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FBF11" w14:textId="77777777" w:rsidR="00AC68EB" w:rsidRPr="00805A8D" w:rsidRDefault="00AC68EB" w:rsidP="00AF6973">
      <w:pPr>
        <w:pStyle w:val="Articletitle"/>
        <w:jc w:val="both"/>
        <w:rPr>
          <w:sz w:val="24"/>
        </w:rPr>
      </w:pPr>
    </w:p>
    <w:p w14:paraId="666D40F0" w14:textId="77777777" w:rsidR="00AC68EB" w:rsidRPr="00805A8D" w:rsidRDefault="00AC68EB" w:rsidP="00AF6973">
      <w:pPr>
        <w:pStyle w:val="Articletitle"/>
        <w:jc w:val="both"/>
        <w:rPr>
          <w:sz w:val="24"/>
        </w:rPr>
      </w:pPr>
    </w:p>
    <w:p w14:paraId="732B0983" w14:textId="77777777" w:rsidR="00AC68EB" w:rsidRPr="00805A8D" w:rsidRDefault="00AC68EB" w:rsidP="00AF6973">
      <w:pPr>
        <w:pStyle w:val="Articletitle"/>
        <w:jc w:val="both"/>
        <w:rPr>
          <w:sz w:val="24"/>
        </w:rPr>
      </w:pPr>
    </w:p>
    <w:p w14:paraId="0F54610F" w14:textId="67F9BF41" w:rsidR="00661045" w:rsidRPr="00BA16C4" w:rsidRDefault="003853A7" w:rsidP="00BA16C4">
      <w:pPr>
        <w:pStyle w:val="Articletitle"/>
        <w:jc w:val="center"/>
        <w:rPr>
          <w:sz w:val="24"/>
        </w:rPr>
      </w:pPr>
      <w:r w:rsidRPr="00BA16C4">
        <w:rPr>
          <w:sz w:val="24"/>
        </w:rPr>
        <w:t>A mathematical model of self-organisation in football</w:t>
      </w:r>
    </w:p>
    <w:p w14:paraId="331C479A" w14:textId="77777777" w:rsidR="00AF6973" w:rsidRPr="00BA16C4" w:rsidRDefault="00163551" w:rsidP="00BA16C4">
      <w:pPr>
        <w:pStyle w:val="Authornames"/>
        <w:jc w:val="center"/>
        <w:rPr>
          <w:sz w:val="24"/>
          <w:vertAlign w:val="superscript"/>
        </w:rPr>
      </w:pPr>
      <w:r w:rsidRPr="00BA16C4">
        <w:rPr>
          <w:sz w:val="24"/>
        </w:rPr>
        <w:t xml:space="preserve">Philippe </w:t>
      </w:r>
      <w:proofErr w:type="spellStart"/>
      <w:r w:rsidRPr="00BA16C4">
        <w:rPr>
          <w:sz w:val="24"/>
        </w:rPr>
        <w:t>Chassy</w:t>
      </w:r>
      <w:r w:rsidR="004F428E" w:rsidRPr="00BA16C4">
        <w:rPr>
          <w:sz w:val="24"/>
          <w:vertAlign w:val="superscript"/>
        </w:rPr>
        <w:t>a</w:t>
      </w:r>
      <w:proofErr w:type="spellEnd"/>
      <w:r w:rsidRPr="00BA16C4">
        <w:rPr>
          <w:sz w:val="24"/>
          <w:vertAlign w:val="superscript"/>
        </w:rPr>
        <w:t>*</w:t>
      </w:r>
      <w:r w:rsidRPr="00BA16C4">
        <w:rPr>
          <w:sz w:val="24"/>
        </w:rPr>
        <w:t xml:space="preserve">, James J. </w:t>
      </w:r>
      <w:proofErr w:type="spellStart"/>
      <w:r w:rsidRPr="00BA16C4">
        <w:rPr>
          <w:sz w:val="24"/>
        </w:rPr>
        <w:t>Malone</w:t>
      </w:r>
      <w:r w:rsidRPr="00BA16C4">
        <w:rPr>
          <w:sz w:val="24"/>
          <w:vertAlign w:val="superscript"/>
        </w:rPr>
        <w:t>b</w:t>
      </w:r>
      <w:proofErr w:type="spellEnd"/>
      <w:r w:rsidRPr="00BA16C4">
        <w:rPr>
          <w:sz w:val="24"/>
        </w:rPr>
        <w:t>,</w:t>
      </w:r>
      <w:r w:rsidRPr="00BA16C4">
        <w:rPr>
          <w:sz w:val="24"/>
          <w:vertAlign w:val="superscript"/>
        </w:rPr>
        <w:t xml:space="preserve"> </w:t>
      </w:r>
      <w:r w:rsidR="004F428E" w:rsidRPr="00BA16C4">
        <w:rPr>
          <w:sz w:val="24"/>
        </w:rPr>
        <w:t xml:space="preserve">and </w:t>
      </w:r>
      <w:r w:rsidRPr="00BA16C4">
        <w:rPr>
          <w:sz w:val="24"/>
        </w:rPr>
        <w:t xml:space="preserve">Dan P.A. </w:t>
      </w:r>
      <w:proofErr w:type="spellStart"/>
      <w:r w:rsidRPr="00BA16C4">
        <w:rPr>
          <w:sz w:val="24"/>
        </w:rPr>
        <w:t>Clark</w:t>
      </w:r>
      <w:r w:rsidRPr="00BA16C4">
        <w:rPr>
          <w:sz w:val="24"/>
          <w:vertAlign w:val="superscript"/>
        </w:rPr>
        <w:t>c</w:t>
      </w:r>
      <w:proofErr w:type="spellEnd"/>
    </w:p>
    <w:p w14:paraId="08698F67" w14:textId="77777777" w:rsidR="00AC68EB" w:rsidRPr="00805A8D" w:rsidRDefault="00AC68EB" w:rsidP="00AF6973">
      <w:pPr>
        <w:pStyle w:val="Authornames"/>
        <w:jc w:val="both"/>
        <w:rPr>
          <w:sz w:val="24"/>
          <w:vertAlign w:val="superscript"/>
        </w:rPr>
      </w:pPr>
    </w:p>
    <w:p w14:paraId="5EF3BFE7" w14:textId="1F46B8A0" w:rsidR="00AF6973" w:rsidRPr="00805A8D" w:rsidRDefault="00B64FA3" w:rsidP="00AF6973">
      <w:pPr>
        <w:pStyle w:val="Authornames"/>
        <w:jc w:val="both"/>
        <w:rPr>
          <w:sz w:val="24"/>
        </w:rPr>
      </w:pPr>
      <w:proofErr w:type="spellStart"/>
      <w:proofErr w:type="gramStart"/>
      <w:r w:rsidRPr="00BA16C4">
        <w:rPr>
          <w:sz w:val="24"/>
          <w:vertAlign w:val="superscript"/>
        </w:rPr>
        <w:t>a</w:t>
      </w:r>
      <w:proofErr w:type="spellEnd"/>
      <w:proofErr w:type="gramEnd"/>
      <w:r w:rsidR="00CF0664" w:rsidRPr="00BA16C4">
        <w:rPr>
          <w:sz w:val="24"/>
        </w:rPr>
        <w:t xml:space="preserve"> </w:t>
      </w:r>
      <w:r w:rsidR="00CF0664" w:rsidRPr="00805A8D">
        <w:rPr>
          <w:sz w:val="24"/>
        </w:rPr>
        <w:t>Evolution</w:t>
      </w:r>
      <w:r w:rsidR="00163551" w:rsidRPr="00BA16C4">
        <w:rPr>
          <w:sz w:val="24"/>
        </w:rPr>
        <w:t xml:space="preserve"> </w:t>
      </w:r>
      <w:r w:rsidR="005E0EF5" w:rsidRPr="00BA16C4">
        <w:rPr>
          <w:sz w:val="24"/>
        </w:rPr>
        <w:t xml:space="preserve">of </w:t>
      </w:r>
      <w:r w:rsidR="005E0EF5" w:rsidRPr="00805A8D">
        <w:rPr>
          <w:sz w:val="24"/>
        </w:rPr>
        <w:t>Human Cognition</w:t>
      </w:r>
      <w:r w:rsidR="00163551" w:rsidRPr="00805A8D">
        <w:rPr>
          <w:sz w:val="24"/>
        </w:rPr>
        <w:t xml:space="preserve">, </w:t>
      </w:r>
      <w:r w:rsidR="00AF6973" w:rsidRPr="00805A8D">
        <w:rPr>
          <w:sz w:val="24"/>
        </w:rPr>
        <w:t>Department</w:t>
      </w:r>
      <w:r w:rsidR="00DD5A1B" w:rsidRPr="00805A8D">
        <w:rPr>
          <w:sz w:val="24"/>
        </w:rPr>
        <w:t xml:space="preserve"> of </w:t>
      </w:r>
      <w:r w:rsidR="00163551" w:rsidRPr="00BA16C4">
        <w:rPr>
          <w:sz w:val="24"/>
        </w:rPr>
        <w:t>Psychology</w:t>
      </w:r>
      <w:r w:rsidRPr="00BA16C4">
        <w:rPr>
          <w:sz w:val="24"/>
        </w:rPr>
        <w:t>, University</w:t>
      </w:r>
      <w:r w:rsidR="00163551" w:rsidRPr="00BA16C4">
        <w:rPr>
          <w:sz w:val="24"/>
        </w:rPr>
        <w:t xml:space="preserve"> of Liverpool</w:t>
      </w:r>
      <w:r w:rsidRPr="00BA16C4">
        <w:rPr>
          <w:sz w:val="24"/>
        </w:rPr>
        <w:t xml:space="preserve">, </w:t>
      </w:r>
      <w:r w:rsidR="00163551" w:rsidRPr="00BA16C4">
        <w:rPr>
          <w:sz w:val="24"/>
        </w:rPr>
        <w:t>Liverpool</w:t>
      </w:r>
      <w:r w:rsidRPr="00BA16C4">
        <w:rPr>
          <w:sz w:val="24"/>
        </w:rPr>
        <w:t xml:space="preserve">, </w:t>
      </w:r>
      <w:r w:rsidR="00163551" w:rsidRPr="00BA16C4">
        <w:rPr>
          <w:sz w:val="24"/>
        </w:rPr>
        <w:t>UK</w:t>
      </w:r>
    </w:p>
    <w:p w14:paraId="4815DC68" w14:textId="4CC27EB0" w:rsidR="00AF6973" w:rsidRPr="00805A8D" w:rsidRDefault="00B64FA3" w:rsidP="00AF6973">
      <w:pPr>
        <w:pStyle w:val="Affiliation"/>
        <w:jc w:val="both"/>
        <w:rPr>
          <w:i w:val="0"/>
          <w:iCs/>
        </w:rPr>
      </w:pPr>
      <w:proofErr w:type="gramStart"/>
      <w:r w:rsidRPr="00BA16C4">
        <w:rPr>
          <w:i w:val="0"/>
          <w:vertAlign w:val="superscript"/>
        </w:rPr>
        <w:t>b</w:t>
      </w:r>
      <w:proofErr w:type="gramEnd"/>
      <w:r w:rsidR="00163551" w:rsidRPr="00BA16C4">
        <w:rPr>
          <w:i w:val="0"/>
        </w:rPr>
        <w:t xml:space="preserve"> </w:t>
      </w:r>
      <w:r w:rsidR="00887673" w:rsidRPr="00805A8D">
        <w:rPr>
          <w:i w:val="0"/>
          <w:iCs/>
        </w:rPr>
        <w:t>School of</w:t>
      </w:r>
      <w:r w:rsidR="00887673" w:rsidRPr="00BA16C4">
        <w:rPr>
          <w:i w:val="0"/>
        </w:rPr>
        <w:t xml:space="preserve"> Health </w:t>
      </w:r>
      <w:r w:rsidR="00887673" w:rsidRPr="00805A8D">
        <w:rPr>
          <w:i w:val="0"/>
          <w:iCs/>
        </w:rPr>
        <w:t>Sciences</w:t>
      </w:r>
      <w:r w:rsidRPr="00BA16C4">
        <w:rPr>
          <w:i w:val="0"/>
        </w:rPr>
        <w:t xml:space="preserve">, </w:t>
      </w:r>
      <w:r w:rsidR="00163551" w:rsidRPr="00BA16C4">
        <w:rPr>
          <w:i w:val="0"/>
        </w:rPr>
        <w:t xml:space="preserve">Liverpool Hope </w:t>
      </w:r>
      <w:r w:rsidRPr="00BA16C4">
        <w:rPr>
          <w:i w:val="0"/>
        </w:rPr>
        <w:t xml:space="preserve">University, </w:t>
      </w:r>
      <w:r w:rsidR="00163551" w:rsidRPr="00BA16C4">
        <w:rPr>
          <w:i w:val="0"/>
        </w:rPr>
        <w:t>Liverpool</w:t>
      </w:r>
      <w:r w:rsidRPr="00BA16C4">
        <w:rPr>
          <w:i w:val="0"/>
        </w:rPr>
        <w:t xml:space="preserve">, </w:t>
      </w:r>
      <w:r w:rsidR="00AF6973" w:rsidRPr="00805A8D">
        <w:rPr>
          <w:i w:val="0"/>
          <w:iCs/>
        </w:rPr>
        <w:t>UK</w:t>
      </w:r>
    </w:p>
    <w:p w14:paraId="09B5534F" w14:textId="5C82FF67" w:rsidR="00997B0F" w:rsidRPr="00805A8D" w:rsidRDefault="00163551" w:rsidP="00AF6973">
      <w:pPr>
        <w:pStyle w:val="Affiliation"/>
        <w:jc w:val="both"/>
        <w:rPr>
          <w:i w:val="0"/>
          <w:iCs/>
        </w:rPr>
      </w:pPr>
      <w:proofErr w:type="gramStart"/>
      <w:r w:rsidRPr="00BA16C4">
        <w:rPr>
          <w:i w:val="0"/>
          <w:vertAlign w:val="superscript"/>
        </w:rPr>
        <w:t>c</w:t>
      </w:r>
      <w:proofErr w:type="gramEnd"/>
      <w:r w:rsidRPr="00BA16C4">
        <w:rPr>
          <w:i w:val="0"/>
        </w:rPr>
        <w:t xml:space="preserve"> Memory Research Group, Department of Psychology, Liverpool Hope University, Liverpool, </w:t>
      </w:r>
      <w:r w:rsidR="00AF6973" w:rsidRPr="00805A8D">
        <w:rPr>
          <w:i w:val="0"/>
          <w:iCs/>
        </w:rPr>
        <w:t>UK</w:t>
      </w:r>
    </w:p>
    <w:p w14:paraId="0C49A2CB" w14:textId="791D60B3" w:rsidR="00163551" w:rsidRPr="00805A8D" w:rsidRDefault="00163551" w:rsidP="00BA16C4">
      <w:pPr>
        <w:pStyle w:val="Correspondencedetails"/>
      </w:pPr>
    </w:p>
    <w:p w14:paraId="7713BBFE" w14:textId="77777777" w:rsidR="00AC68EB" w:rsidRPr="00805A8D" w:rsidRDefault="00AC68EB" w:rsidP="00A2360E">
      <w:pPr>
        <w:pStyle w:val="Correspondencedetails"/>
      </w:pPr>
    </w:p>
    <w:p w14:paraId="7FF6F5D9" w14:textId="77777777" w:rsidR="00DD5A1B" w:rsidRPr="00805A8D" w:rsidRDefault="00DD5A1B" w:rsidP="00DD5A1B">
      <w:pPr>
        <w:pStyle w:val="Correspondencedetails"/>
      </w:pPr>
      <w:r w:rsidRPr="00805A8D">
        <w:t>*Corresponding author</w:t>
      </w:r>
    </w:p>
    <w:p w14:paraId="40427733" w14:textId="77777777" w:rsidR="00DD5A1B" w:rsidRPr="00805A8D" w:rsidRDefault="00DD5A1B" w:rsidP="00DD5A1B">
      <w:pPr>
        <w:pStyle w:val="Correspondencedetails"/>
      </w:pPr>
      <w:proofErr w:type="spellStart"/>
      <w:r w:rsidRPr="00805A8D">
        <w:t>Dr.</w:t>
      </w:r>
      <w:proofErr w:type="spellEnd"/>
      <w:r w:rsidRPr="00805A8D">
        <w:t xml:space="preserve"> Philippe Chassy</w:t>
      </w:r>
    </w:p>
    <w:p w14:paraId="50E3B29F" w14:textId="77777777" w:rsidR="00DD5A1B" w:rsidRPr="00805A8D" w:rsidRDefault="00DD5A1B" w:rsidP="00DD5A1B">
      <w:pPr>
        <w:pStyle w:val="Correspondencedetails"/>
      </w:pPr>
      <w:r w:rsidRPr="00805A8D">
        <w:t>Eleanor Rathbone Building, Office 2.44</w:t>
      </w:r>
    </w:p>
    <w:p w14:paraId="4A486876" w14:textId="77777777" w:rsidR="00DD5A1B" w:rsidRPr="00805A8D" w:rsidRDefault="00DD5A1B" w:rsidP="00DD5A1B">
      <w:pPr>
        <w:pStyle w:val="Correspondencedetails"/>
      </w:pPr>
      <w:r w:rsidRPr="00805A8D">
        <w:t>Bedford Street South, Liverpool, L69 7ZA</w:t>
      </w:r>
    </w:p>
    <w:p w14:paraId="56DC4385" w14:textId="77777777" w:rsidR="00DD5A1B" w:rsidRPr="00805A8D" w:rsidRDefault="00DD5A1B" w:rsidP="00DD5A1B">
      <w:pPr>
        <w:pStyle w:val="Correspondencedetails"/>
      </w:pPr>
      <w:r w:rsidRPr="00805A8D">
        <w:t>United Kingdom</w:t>
      </w:r>
    </w:p>
    <w:p w14:paraId="5B171830" w14:textId="77777777" w:rsidR="00DD5A1B" w:rsidRPr="00805A8D" w:rsidRDefault="00DD5A1B" w:rsidP="00DD5A1B">
      <w:pPr>
        <w:pStyle w:val="Correspondencedetails"/>
      </w:pPr>
      <w:r w:rsidRPr="00BA16C4">
        <w:rPr>
          <w:b/>
        </w:rPr>
        <w:t>Phone:</w:t>
      </w:r>
      <w:r w:rsidRPr="00805A8D">
        <w:t xml:space="preserve"> +44 (0) 151 794 1108</w:t>
      </w:r>
    </w:p>
    <w:p w14:paraId="2007BF3C" w14:textId="409E39AB" w:rsidR="00DD5A1B" w:rsidRPr="00D962C9" w:rsidRDefault="00DD5A1B" w:rsidP="00AF6973">
      <w:pPr>
        <w:pStyle w:val="Correspondencedetails"/>
        <w:rPr>
          <w:lang w:val="fr-FR"/>
        </w:rPr>
      </w:pPr>
      <w:r w:rsidRPr="00BA16C4">
        <w:rPr>
          <w:b/>
          <w:lang w:val="fr-FR"/>
        </w:rPr>
        <w:t xml:space="preserve">E-mail: </w:t>
      </w:r>
      <w:hyperlink r:id="rId8" w:history="1">
        <w:r w:rsidRPr="00BA16C4">
          <w:rPr>
            <w:rStyle w:val="Hyperlink"/>
            <w:color w:val="auto"/>
            <w:lang w:val="fr-FR"/>
          </w:rPr>
          <w:t>Philippe.Chassy@liverpool.ac.uk</w:t>
        </w:r>
      </w:hyperlink>
      <w:r w:rsidRPr="00D962C9">
        <w:rPr>
          <w:lang w:val="fr-FR"/>
        </w:rPr>
        <w:br w:type="page"/>
      </w:r>
    </w:p>
    <w:p w14:paraId="64401372" w14:textId="77777777" w:rsidR="003853A7" w:rsidRPr="00805A8D" w:rsidRDefault="003853A7" w:rsidP="003853A7">
      <w:pPr>
        <w:pStyle w:val="Articletitle"/>
      </w:pPr>
      <w:r w:rsidRPr="00BA16C4">
        <w:lastRenderedPageBreak/>
        <w:t>A mathematical model of self-organisation in football</w:t>
      </w:r>
    </w:p>
    <w:p w14:paraId="0936F487" w14:textId="77777777" w:rsidR="00AF6973" w:rsidRPr="00B60B67" w:rsidRDefault="00AF6973" w:rsidP="00AF6973"/>
    <w:p w14:paraId="1C4F990A" w14:textId="336AF1E8" w:rsidR="00AF6973" w:rsidRPr="00BA16C4" w:rsidRDefault="00AF6973" w:rsidP="00BA16C4">
      <w:pPr>
        <w:pStyle w:val="Abstract"/>
        <w:ind w:left="0"/>
        <w:jc w:val="both"/>
        <w:rPr>
          <w:sz w:val="24"/>
        </w:rPr>
      </w:pPr>
      <w:r w:rsidRPr="00BA16C4">
        <w:rPr>
          <w:sz w:val="24"/>
        </w:rPr>
        <w:t xml:space="preserve">The theory of self-organising systems </w:t>
      </w:r>
      <w:proofErr w:type="gramStart"/>
      <w:r w:rsidRPr="00BA16C4">
        <w:rPr>
          <w:sz w:val="24"/>
        </w:rPr>
        <w:t>was used</w:t>
      </w:r>
      <w:proofErr w:type="gramEnd"/>
      <w:r w:rsidRPr="00BA16C4">
        <w:rPr>
          <w:sz w:val="24"/>
        </w:rPr>
        <w:t xml:space="preserve"> to analyse the factors that play a key role in a football teams’ performance. The resulting mathematical model revealed that passing was the most central component to </w:t>
      </w:r>
      <w:proofErr w:type="gramStart"/>
      <w:r w:rsidRPr="00BA16C4">
        <w:rPr>
          <w:sz w:val="24"/>
        </w:rPr>
        <w:t>team’s</w:t>
      </w:r>
      <w:proofErr w:type="gramEnd"/>
      <w:r w:rsidRPr="00BA16C4">
        <w:rPr>
          <w:sz w:val="24"/>
        </w:rPr>
        <w:t xml:space="preserve"> performance. The current study aimed </w:t>
      </w:r>
      <w:proofErr w:type="gramStart"/>
      <w:r w:rsidRPr="00BA16C4">
        <w:rPr>
          <w:sz w:val="24"/>
        </w:rPr>
        <w:t xml:space="preserve">to </w:t>
      </w:r>
      <w:r w:rsidR="009512E7" w:rsidRPr="00B60B67">
        <w:rPr>
          <w:sz w:val="24"/>
          <w:szCs w:val="28"/>
        </w:rPr>
        <w:t xml:space="preserve"> </w:t>
      </w:r>
      <w:r w:rsidR="009512E7" w:rsidRPr="00805A8D">
        <w:rPr>
          <w:sz w:val="24"/>
          <w:szCs w:val="28"/>
        </w:rPr>
        <w:t>introduce</w:t>
      </w:r>
      <w:proofErr w:type="gramEnd"/>
      <w:r w:rsidR="009512E7" w:rsidRPr="00805A8D">
        <w:rPr>
          <w:sz w:val="24"/>
          <w:szCs w:val="28"/>
        </w:rPr>
        <w:t xml:space="preserve"> </w:t>
      </w:r>
      <w:r w:rsidR="00A531EF" w:rsidRPr="00805A8D">
        <w:rPr>
          <w:sz w:val="24"/>
          <w:szCs w:val="28"/>
        </w:rPr>
        <w:t>a</w:t>
      </w:r>
      <w:r w:rsidR="009512E7" w:rsidRPr="00805A8D">
        <w:rPr>
          <w:sz w:val="24"/>
          <w:szCs w:val="28"/>
        </w:rPr>
        <w:t xml:space="preserve"> spatial component into the model </w:t>
      </w:r>
      <w:r w:rsidRPr="00BA16C4">
        <w:rPr>
          <w:sz w:val="24"/>
        </w:rPr>
        <w:t xml:space="preserve">by </w:t>
      </w:r>
      <w:r w:rsidR="00083DC8" w:rsidRPr="00805A8D">
        <w:rPr>
          <w:sz w:val="24"/>
          <w:szCs w:val="28"/>
        </w:rPr>
        <w:t>exploring</w:t>
      </w:r>
      <w:r w:rsidR="00083DC8" w:rsidRPr="00BA16C4">
        <w:rPr>
          <w:sz w:val="24"/>
        </w:rPr>
        <w:t xml:space="preserve"> </w:t>
      </w:r>
      <w:r w:rsidRPr="00BA16C4">
        <w:rPr>
          <w:sz w:val="24"/>
        </w:rPr>
        <w:t>passing data from different spatial zones of the pitch</w:t>
      </w:r>
      <w:r w:rsidR="00145878" w:rsidRPr="00BA16C4">
        <w:rPr>
          <w:sz w:val="24"/>
        </w:rPr>
        <w:t xml:space="preserve"> (defence, midfield </w:t>
      </w:r>
      <w:r w:rsidRPr="00BA16C4">
        <w:rPr>
          <w:sz w:val="24"/>
        </w:rPr>
        <w:t xml:space="preserve">and attack). This analysis helped understand the </w:t>
      </w:r>
      <w:proofErr w:type="gramStart"/>
      <w:r w:rsidRPr="00BA16C4">
        <w:rPr>
          <w:sz w:val="24"/>
        </w:rPr>
        <w:t>organisation which</w:t>
      </w:r>
      <w:proofErr w:type="gramEnd"/>
      <w:r w:rsidRPr="00BA16C4">
        <w:rPr>
          <w:sz w:val="24"/>
        </w:rPr>
        <w:t xml:space="preserve"> underpins the dynamics at the core of team performance when in possession of the ball. The amended Spatial Integrated Model of Self-Organisation in Football Teams (SIMSOFT) considers seven parameters of which six relate to passing frequency and accuracy. SIMSOFT outputs a team play </w:t>
      </w:r>
      <w:proofErr w:type="gramStart"/>
      <w:r w:rsidRPr="00BA16C4">
        <w:rPr>
          <w:sz w:val="24"/>
        </w:rPr>
        <w:t>index which</w:t>
      </w:r>
      <w:proofErr w:type="gramEnd"/>
      <w:r w:rsidRPr="00BA16C4">
        <w:rPr>
          <w:sz w:val="24"/>
        </w:rPr>
        <w:t>, when applied to the results from Barclays Premier League on the complete 760 games of season 2012-2013, accounts for 57% of the variance in football team performance, measured as the number of goals scored per minute of possession. We conclude that the self-organising theoretical framework is a useful theoretical approach to examine the performance of football teams. These findings may have potential implications for coaches’ looking to develop footballers in the most efficient way to maximise performance outcome.</w:t>
      </w:r>
    </w:p>
    <w:p w14:paraId="34AEDEBD" w14:textId="77777777" w:rsidR="00AF6973" w:rsidRPr="00805A8D" w:rsidRDefault="00AF6973" w:rsidP="00AF6973">
      <w:pPr>
        <w:pStyle w:val="Keywords"/>
        <w:ind w:left="0"/>
        <w:rPr>
          <w:sz w:val="28"/>
          <w:szCs w:val="28"/>
        </w:rPr>
      </w:pPr>
    </w:p>
    <w:p w14:paraId="33A3C4CA" w14:textId="35E07E66" w:rsidR="003853A7" w:rsidRPr="00B60B67" w:rsidRDefault="00997B0F" w:rsidP="00BA16C4">
      <w:pPr>
        <w:pStyle w:val="Keywords"/>
        <w:ind w:left="0"/>
      </w:pPr>
      <w:r w:rsidRPr="00BA16C4">
        <w:rPr>
          <w:b/>
          <w:sz w:val="24"/>
        </w:rPr>
        <w:t>Keywords:</w:t>
      </w:r>
      <w:r w:rsidRPr="00BA16C4">
        <w:rPr>
          <w:sz w:val="24"/>
        </w:rPr>
        <w:t xml:space="preserve"> </w:t>
      </w:r>
      <w:r w:rsidR="00145878" w:rsidRPr="00BA16C4">
        <w:rPr>
          <w:sz w:val="24"/>
        </w:rPr>
        <w:t xml:space="preserve">Passing, </w:t>
      </w:r>
      <w:r w:rsidR="00A72CAC" w:rsidRPr="00805A8D">
        <w:rPr>
          <w:sz w:val="24"/>
          <w:szCs w:val="28"/>
        </w:rPr>
        <w:t>Football</w:t>
      </w:r>
      <w:r w:rsidR="00145878" w:rsidRPr="00805A8D">
        <w:rPr>
          <w:sz w:val="24"/>
          <w:szCs w:val="28"/>
        </w:rPr>
        <w:t>,</w:t>
      </w:r>
      <w:r w:rsidR="00083DC8" w:rsidRPr="00805A8D">
        <w:rPr>
          <w:sz w:val="24"/>
          <w:szCs w:val="28"/>
        </w:rPr>
        <w:t xml:space="preserve"> Soccer,</w:t>
      </w:r>
      <w:r w:rsidR="00145878" w:rsidRPr="00805A8D">
        <w:rPr>
          <w:sz w:val="24"/>
          <w:szCs w:val="28"/>
        </w:rPr>
        <w:t xml:space="preserve"> Team Sports, Performance A</w:t>
      </w:r>
      <w:r w:rsidR="003853A7" w:rsidRPr="00805A8D">
        <w:rPr>
          <w:sz w:val="24"/>
          <w:szCs w:val="28"/>
        </w:rPr>
        <w:t>nalysis</w:t>
      </w:r>
      <w:r w:rsidR="003853A7" w:rsidRPr="00B60B67">
        <w:br w:type="page"/>
      </w:r>
    </w:p>
    <w:p w14:paraId="0D07A163" w14:textId="168FCE5A" w:rsidR="00997B0F" w:rsidRPr="00805A8D" w:rsidRDefault="00D329C7" w:rsidP="00BA16C4">
      <w:pPr>
        <w:pStyle w:val="Heading1"/>
        <w:jc w:val="both"/>
      </w:pPr>
      <w:r w:rsidRPr="00805A8D">
        <w:lastRenderedPageBreak/>
        <w:t>Introduction</w:t>
      </w:r>
    </w:p>
    <w:p w14:paraId="0E051BD7" w14:textId="25EC11A3" w:rsidR="00007836" w:rsidRPr="00805A8D" w:rsidRDefault="0096527B" w:rsidP="00052CAB">
      <w:pPr>
        <w:pStyle w:val="Paragraph"/>
        <w:ind w:firstLine="720"/>
        <w:jc w:val="both"/>
      </w:pPr>
      <w:r w:rsidRPr="00805A8D">
        <w:t>Self-organisation refers to systems made of a collection of agents that develop a structure in absence of controlled supervision (Jensen, 1998). In biological systems, it occurs in groups of organisms when the efforts of the individual are not able to achieve all the tasks required by the group. In these situations, the coordination of the constituent members becomes necessary in order to achieve larger goals. Interestingly, whilst this high-level organisation appears to be the result of a pre-set design, research has shown that this is an illusion (</w:t>
      </w:r>
      <w:proofErr w:type="spellStart"/>
      <w:r w:rsidRPr="00805A8D">
        <w:t>Bonabeau</w:t>
      </w:r>
      <w:proofErr w:type="spellEnd"/>
      <w:r w:rsidRPr="00805A8D">
        <w:t xml:space="preserve">, </w:t>
      </w:r>
      <w:proofErr w:type="spellStart"/>
      <w:r w:rsidRPr="00805A8D">
        <w:t>Theraulaz</w:t>
      </w:r>
      <w:proofErr w:type="spellEnd"/>
      <w:r w:rsidRPr="00805A8D">
        <w:t xml:space="preserve">, </w:t>
      </w:r>
      <w:proofErr w:type="spellStart"/>
      <w:r w:rsidRPr="00805A8D">
        <w:t>Deneubourg</w:t>
      </w:r>
      <w:proofErr w:type="spellEnd"/>
      <w:r w:rsidRPr="00805A8D">
        <w:t xml:space="preserve">, Aron, &amp; </w:t>
      </w:r>
      <w:proofErr w:type="spellStart"/>
      <w:r w:rsidRPr="00805A8D">
        <w:t>Camazine</w:t>
      </w:r>
      <w:proofErr w:type="spellEnd"/>
      <w:r w:rsidRPr="00805A8D">
        <w:t>, 1997). Instead, what appears to be a supervised coordination of potentially thousands of individuals is simply the result of each individual animal responding to local patterns in their environment (</w:t>
      </w:r>
      <w:proofErr w:type="spellStart"/>
      <w:r w:rsidRPr="00805A8D">
        <w:t>Camazine</w:t>
      </w:r>
      <w:proofErr w:type="spellEnd"/>
      <w:r w:rsidRPr="00805A8D">
        <w:t xml:space="preserve">, 1991). In a biological self-organised system, the system’s organisation emerges from behavioural rules applicable at the individual level. Recently it has showed that the notion of dynamical </w:t>
      </w:r>
      <w:r w:rsidR="00DD58AD" w:rsidRPr="00805A8D">
        <w:t>self-organising</w:t>
      </w:r>
      <w:r w:rsidRPr="00805A8D">
        <w:t xml:space="preserve"> </w:t>
      </w:r>
      <w:r w:rsidRPr="00B60B67">
        <w:t>system can be applied to sports (</w:t>
      </w:r>
      <w:proofErr w:type="spellStart"/>
      <w:r w:rsidRPr="00B60B67">
        <w:t>McGarry</w:t>
      </w:r>
      <w:proofErr w:type="spellEnd"/>
      <w:r w:rsidRPr="00B60B67">
        <w:t xml:space="preserve">, Anderson, &amp; Wallace, 2002; </w:t>
      </w:r>
      <w:proofErr w:type="spellStart"/>
      <w:r w:rsidRPr="00B60B67">
        <w:t>Passos</w:t>
      </w:r>
      <w:proofErr w:type="spellEnd"/>
      <w:r w:rsidRPr="00B60B67">
        <w:t xml:space="preserve">, </w:t>
      </w:r>
      <w:proofErr w:type="spellStart"/>
      <w:r w:rsidRPr="00B60B67">
        <w:t>Araújo</w:t>
      </w:r>
      <w:proofErr w:type="spellEnd"/>
      <w:r w:rsidRPr="00B60B67">
        <w:t xml:space="preserve">, &amp; </w:t>
      </w:r>
      <w:proofErr w:type="spellStart"/>
      <w:r w:rsidRPr="00B60B67">
        <w:t>Davids</w:t>
      </w:r>
      <w:proofErr w:type="spellEnd"/>
      <w:r w:rsidRPr="00B60B67">
        <w:t xml:space="preserve">, 2013). </w:t>
      </w:r>
      <w:r w:rsidR="004778A6" w:rsidRPr="00805A8D">
        <w:t>Similar to animals that adjust their relative position to fit the purpose of the swarm,</w:t>
      </w:r>
      <w:r w:rsidR="00E02249" w:rsidRPr="00805A8D">
        <w:t xml:space="preserve"> we reason that</w:t>
      </w:r>
      <w:r w:rsidR="004778A6" w:rsidRPr="00805A8D">
        <w:t xml:space="preserve"> self-organisation in </w:t>
      </w:r>
      <w:r w:rsidR="00052CAB" w:rsidRPr="00805A8D">
        <w:t>team sports</w:t>
      </w:r>
      <w:r w:rsidR="004778A6" w:rsidRPr="00805A8D">
        <w:t xml:space="preserve"> refers to the ability of the players to adjust their position as a function of </w:t>
      </w:r>
      <w:r w:rsidR="00D368A7" w:rsidRPr="00805A8D">
        <w:t xml:space="preserve">both </w:t>
      </w:r>
      <w:r w:rsidR="004778A6" w:rsidRPr="00805A8D">
        <w:t xml:space="preserve">the </w:t>
      </w:r>
      <w:r w:rsidR="00D368A7" w:rsidRPr="00805A8D">
        <w:t xml:space="preserve">location </w:t>
      </w:r>
      <w:r w:rsidR="004778A6" w:rsidRPr="00805A8D">
        <w:t xml:space="preserve">of the ball and </w:t>
      </w:r>
      <w:r w:rsidR="0092416C" w:rsidRPr="00805A8D">
        <w:t>other players. These adjustments take place within a few seconds and stem from expert intuition (</w:t>
      </w:r>
      <w:r w:rsidR="004778A6" w:rsidRPr="00805A8D">
        <w:t>Chassy &amp;</w:t>
      </w:r>
      <w:r w:rsidR="00007836" w:rsidRPr="00805A8D">
        <w:t xml:space="preserve"> Gobet, 2011). </w:t>
      </w:r>
      <w:r w:rsidR="004778A6" w:rsidRPr="00805A8D">
        <w:t xml:space="preserve">The players in possession need to </w:t>
      </w:r>
      <w:r w:rsidR="00DD58AD" w:rsidRPr="00805A8D">
        <w:t>constantly</w:t>
      </w:r>
      <w:r w:rsidR="004778A6" w:rsidRPr="00805A8D">
        <w:t xml:space="preserve"> change the</w:t>
      </w:r>
      <w:r w:rsidR="00DD58AD" w:rsidRPr="00805A8D">
        <w:t>ir</w:t>
      </w:r>
      <w:r w:rsidR="004778A6" w:rsidRPr="00805A8D">
        <w:t xml:space="preserve"> </w:t>
      </w:r>
      <w:r w:rsidR="00DD58AD" w:rsidRPr="00805A8D">
        <w:t xml:space="preserve">spatial </w:t>
      </w:r>
      <w:r w:rsidR="004778A6" w:rsidRPr="00805A8D">
        <w:t xml:space="preserve">configuration </w:t>
      </w:r>
      <w:r w:rsidR="00DD58AD" w:rsidRPr="00805A8D">
        <w:t xml:space="preserve">on the pitch </w:t>
      </w:r>
      <w:proofErr w:type="gramStart"/>
      <w:r w:rsidR="00DD58AD" w:rsidRPr="00805A8D">
        <w:t>so as to</w:t>
      </w:r>
      <w:proofErr w:type="gramEnd"/>
      <w:r w:rsidR="00DD58AD" w:rsidRPr="00805A8D">
        <w:t xml:space="preserve"> progress without losing the ball. </w:t>
      </w:r>
    </w:p>
    <w:p w14:paraId="4B24E159" w14:textId="77777777" w:rsidR="00E11895" w:rsidRPr="00B60B67" w:rsidRDefault="00E11895" w:rsidP="00007836">
      <w:pPr>
        <w:pStyle w:val="Newparagraph"/>
        <w:ind w:firstLine="0"/>
      </w:pPr>
    </w:p>
    <w:p w14:paraId="05CAB4AD" w14:textId="3B9D2AB1" w:rsidR="0096527B" w:rsidRPr="00805A8D" w:rsidRDefault="0096527B" w:rsidP="00BA16C4">
      <w:pPr>
        <w:pStyle w:val="Paragraph"/>
        <w:ind w:firstLine="720"/>
        <w:jc w:val="both"/>
      </w:pPr>
      <w:r w:rsidRPr="00805A8D">
        <w:t xml:space="preserve">In football, possession has been taken as the core factor underpinning performance with most research thus focusing on the various factors that enhance or moderate possession (Jones, James, &amp; </w:t>
      </w:r>
      <w:proofErr w:type="spellStart"/>
      <w:r w:rsidRPr="00805A8D">
        <w:t>Mellalieu</w:t>
      </w:r>
      <w:proofErr w:type="spellEnd"/>
      <w:r w:rsidRPr="00805A8D">
        <w:t>, 2004; Lago-</w:t>
      </w:r>
      <w:proofErr w:type="spellStart"/>
      <w:r w:rsidRPr="00805A8D">
        <w:t>Peñas</w:t>
      </w:r>
      <w:proofErr w:type="spellEnd"/>
      <w:r w:rsidRPr="00805A8D">
        <w:t xml:space="preserve"> &amp; </w:t>
      </w:r>
      <w:proofErr w:type="spellStart"/>
      <w:r w:rsidRPr="00805A8D">
        <w:t>Dellal</w:t>
      </w:r>
      <w:proofErr w:type="spellEnd"/>
      <w:r w:rsidRPr="00805A8D">
        <w:t xml:space="preserve">, 2010; Lago, 2009; </w:t>
      </w:r>
      <w:proofErr w:type="spellStart"/>
      <w:r w:rsidRPr="00805A8D">
        <w:t>Morgans</w:t>
      </w:r>
      <w:proofErr w:type="spellEnd"/>
      <w:r w:rsidRPr="00805A8D">
        <w:t xml:space="preserve">, Adams, Mullen, &amp; Williams, 2014; </w:t>
      </w:r>
      <w:proofErr w:type="spellStart"/>
      <w:r w:rsidRPr="00805A8D">
        <w:t>Shafizadeh</w:t>
      </w:r>
      <w:proofErr w:type="spellEnd"/>
      <w:r w:rsidRPr="00805A8D">
        <w:t xml:space="preserve">, </w:t>
      </w:r>
      <w:proofErr w:type="spellStart"/>
      <w:r w:rsidRPr="00805A8D">
        <w:t>Gray</w:t>
      </w:r>
      <w:proofErr w:type="spellEnd"/>
      <w:r w:rsidRPr="00805A8D">
        <w:t xml:space="preserve">, </w:t>
      </w:r>
      <w:proofErr w:type="spellStart"/>
      <w:r w:rsidRPr="00805A8D">
        <w:t>Sproule</w:t>
      </w:r>
      <w:proofErr w:type="spellEnd"/>
      <w:r w:rsidRPr="00805A8D">
        <w:t xml:space="preserve">, &amp; </w:t>
      </w:r>
      <w:proofErr w:type="spellStart"/>
      <w:r w:rsidRPr="00805A8D">
        <w:t>McMorris</w:t>
      </w:r>
      <w:proofErr w:type="spellEnd"/>
      <w:r w:rsidRPr="00805A8D">
        <w:t xml:space="preserve">, 2012). Yet, recent questioning of the central role of possession has revealed that other factors contribute largely to success </w:t>
      </w:r>
      <w:r w:rsidRPr="00805A8D">
        <w:lastRenderedPageBreak/>
        <w:t xml:space="preserve">(Collet, 2013; </w:t>
      </w:r>
      <w:proofErr w:type="spellStart"/>
      <w:r w:rsidRPr="00805A8D">
        <w:t>Davids</w:t>
      </w:r>
      <w:proofErr w:type="spellEnd"/>
      <w:r w:rsidRPr="00805A8D">
        <w:t xml:space="preserve">, </w:t>
      </w:r>
      <w:proofErr w:type="spellStart"/>
      <w:r w:rsidRPr="00805A8D">
        <w:t>Araújo</w:t>
      </w:r>
      <w:proofErr w:type="spellEnd"/>
      <w:r w:rsidRPr="00805A8D">
        <w:t xml:space="preserve">, &amp; </w:t>
      </w:r>
      <w:proofErr w:type="spellStart"/>
      <w:r w:rsidRPr="00805A8D">
        <w:t>Shuttleworth</w:t>
      </w:r>
      <w:proofErr w:type="spellEnd"/>
      <w:r w:rsidRPr="00805A8D">
        <w:t xml:space="preserve">, 2005; </w:t>
      </w:r>
      <w:proofErr w:type="spellStart"/>
      <w:r w:rsidRPr="00805A8D">
        <w:t>Travassos</w:t>
      </w:r>
      <w:proofErr w:type="spellEnd"/>
      <w:r w:rsidRPr="00805A8D">
        <w:t xml:space="preserve">, </w:t>
      </w:r>
      <w:proofErr w:type="spellStart"/>
      <w:r w:rsidRPr="00805A8D">
        <w:t>Araújo</w:t>
      </w:r>
      <w:proofErr w:type="spellEnd"/>
      <w:r w:rsidRPr="00805A8D">
        <w:t xml:space="preserve">, </w:t>
      </w:r>
      <w:proofErr w:type="spellStart"/>
      <w:r w:rsidRPr="00805A8D">
        <w:t>Vilar</w:t>
      </w:r>
      <w:proofErr w:type="spellEnd"/>
      <w:r w:rsidRPr="00805A8D">
        <w:t xml:space="preserve">, &amp; </w:t>
      </w:r>
      <w:proofErr w:type="spellStart"/>
      <w:r w:rsidRPr="00805A8D">
        <w:t>McGarry</w:t>
      </w:r>
      <w:proofErr w:type="spellEnd"/>
      <w:r w:rsidRPr="00805A8D">
        <w:t xml:space="preserve">, 2011). Mathematical approaches integrate findings into unified theories of football (Miyamoto, Kaneki, &amp; </w:t>
      </w:r>
      <w:proofErr w:type="spellStart"/>
      <w:r w:rsidRPr="00805A8D">
        <w:t>Misumi</w:t>
      </w:r>
      <w:proofErr w:type="spellEnd"/>
      <w:r w:rsidRPr="00805A8D">
        <w:t xml:space="preserve">, 2017; </w:t>
      </w:r>
      <w:proofErr w:type="spellStart"/>
      <w:r w:rsidRPr="00805A8D">
        <w:t>Sarmento</w:t>
      </w:r>
      <w:proofErr w:type="spellEnd"/>
      <w:r w:rsidRPr="00805A8D">
        <w:t xml:space="preserve"> et al., 2014). The dynamical approach has enabled showing that football exhibits complex and multidimensional properties</w:t>
      </w:r>
      <w:r w:rsidR="00FD35A6" w:rsidRPr="00805A8D">
        <w:t xml:space="preserve"> (Silva, Chung, </w:t>
      </w:r>
      <w:proofErr w:type="spellStart"/>
      <w:r w:rsidR="00FD35A6" w:rsidRPr="00805A8D">
        <w:t>Carvalho</w:t>
      </w:r>
      <w:proofErr w:type="spellEnd"/>
      <w:r w:rsidR="00FD35A6" w:rsidRPr="00805A8D">
        <w:t xml:space="preserve">, Cardoso, </w:t>
      </w:r>
      <w:proofErr w:type="spellStart"/>
      <w:r w:rsidR="00FD35A6" w:rsidRPr="00805A8D">
        <w:t>Davids</w:t>
      </w:r>
      <w:proofErr w:type="spellEnd"/>
      <w:r w:rsidR="00FD35A6" w:rsidRPr="00805A8D">
        <w:t xml:space="preserve">, </w:t>
      </w:r>
      <w:proofErr w:type="spellStart"/>
      <w:r w:rsidR="00FD35A6" w:rsidRPr="00805A8D">
        <w:t>Araújo</w:t>
      </w:r>
      <w:proofErr w:type="spellEnd"/>
      <w:r w:rsidR="00FD35A6" w:rsidRPr="00805A8D">
        <w:t xml:space="preserve">, &amp; </w:t>
      </w:r>
      <w:proofErr w:type="spellStart"/>
      <w:r w:rsidR="00FD35A6" w:rsidRPr="00805A8D">
        <w:t>Garganta</w:t>
      </w:r>
      <w:proofErr w:type="spellEnd"/>
      <w:r w:rsidR="00FD35A6" w:rsidRPr="00805A8D">
        <w:t>, 2016).</w:t>
      </w:r>
      <w:r w:rsidRPr="00805A8D">
        <w:t xml:space="preserve"> In this context, one factor identified as such is passing (Chassy, 2013). The ability to transmit the football is the only action in football that makes a team a dynamical group of interacting individuals. This paper examines the central role of passing in performance. It is important that coaches and players understand how behaviour at the </w:t>
      </w:r>
      <w:r w:rsidR="00052CAB" w:rsidRPr="00805A8D">
        <w:t>player’s</w:t>
      </w:r>
      <w:r w:rsidRPr="00805A8D">
        <w:t xml:space="preserve"> level influences the team performance and its tactics.</w:t>
      </w:r>
    </w:p>
    <w:p w14:paraId="27287E7E" w14:textId="7E2783D0" w:rsidR="00E11895" w:rsidRPr="00805A8D" w:rsidRDefault="00E11895" w:rsidP="00052CAB">
      <w:pPr>
        <w:pStyle w:val="Paragraph"/>
        <w:jc w:val="both"/>
      </w:pPr>
    </w:p>
    <w:p w14:paraId="7AC83769" w14:textId="4CF8CC35" w:rsidR="003A0855" w:rsidRPr="00805A8D" w:rsidRDefault="00963772" w:rsidP="003A0855">
      <w:pPr>
        <w:pStyle w:val="Paragraph"/>
        <w:ind w:firstLine="720"/>
        <w:jc w:val="both"/>
      </w:pPr>
      <w:r w:rsidRPr="00805A8D">
        <w:t>Teams are dynamical systems that constantly try outdoing each other (</w:t>
      </w:r>
      <w:proofErr w:type="spellStart"/>
      <w:r w:rsidRPr="00805A8D">
        <w:t>Gréhaigne</w:t>
      </w:r>
      <w:proofErr w:type="spellEnd"/>
      <w:r w:rsidRPr="00805A8D">
        <w:t xml:space="preserve"> &amp; Godbout, 2014). </w:t>
      </w:r>
      <w:r w:rsidR="00065672" w:rsidRPr="00805A8D">
        <w:t>In line with the realisation that football can be analysed through the self-organising principles (</w:t>
      </w:r>
      <w:proofErr w:type="spellStart"/>
      <w:r w:rsidR="00065672" w:rsidRPr="00805A8D">
        <w:t>McGarry</w:t>
      </w:r>
      <w:proofErr w:type="spellEnd"/>
      <w:r w:rsidR="00065672" w:rsidRPr="00805A8D">
        <w:t xml:space="preserve">, Anderson, Wallace, Hughes, &amp; Franks, 2002), positional data is becoming a new standard </w:t>
      </w:r>
      <w:r w:rsidR="003A0855" w:rsidRPr="00805A8D">
        <w:t>to exam</w:t>
      </w:r>
      <w:r w:rsidR="00065672" w:rsidRPr="00805A8D">
        <w:t xml:space="preserve"> dynamical patterns of play (</w:t>
      </w:r>
      <w:proofErr w:type="spellStart"/>
      <w:r w:rsidR="00065672" w:rsidRPr="00805A8D">
        <w:t>Memmert</w:t>
      </w:r>
      <w:proofErr w:type="spellEnd"/>
      <w:r w:rsidR="00065672" w:rsidRPr="00805A8D">
        <w:t xml:space="preserve">, </w:t>
      </w:r>
      <w:proofErr w:type="spellStart"/>
      <w:r w:rsidR="00065672" w:rsidRPr="00805A8D">
        <w:t>Lemmink</w:t>
      </w:r>
      <w:proofErr w:type="spellEnd"/>
      <w:r w:rsidR="00065672" w:rsidRPr="00805A8D">
        <w:t xml:space="preserve">, &amp; </w:t>
      </w:r>
      <w:proofErr w:type="spellStart"/>
      <w:r w:rsidR="00065672" w:rsidRPr="00805A8D">
        <w:t>Sampaio</w:t>
      </w:r>
      <w:proofErr w:type="spellEnd"/>
      <w:r w:rsidR="00065672" w:rsidRPr="00805A8D">
        <w:t xml:space="preserve">, 2017). </w:t>
      </w:r>
      <w:r w:rsidR="00DD58AD" w:rsidRPr="00805A8D">
        <w:t>T</w:t>
      </w:r>
      <w:r w:rsidRPr="00805A8D">
        <w:t xml:space="preserve">actics, </w:t>
      </w:r>
      <w:r w:rsidR="00083DC8" w:rsidRPr="00805A8D">
        <w:t xml:space="preserve">defined </w:t>
      </w:r>
      <w:r w:rsidRPr="00805A8D">
        <w:t xml:space="preserve">as </w:t>
      </w:r>
      <w:r w:rsidR="00DD58AD" w:rsidRPr="00805A8D">
        <w:t xml:space="preserve">predetermined patterns of </w:t>
      </w:r>
      <w:r w:rsidR="00D368A7" w:rsidRPr="00805A8D">
        <w:t xml:space="preserve">the </w:t>
      </w:r>
      <w:r w:rsidR="00DD58AD" w:rsidRPr="00805A8D">
        <w:t>spatial distribution of players</w:t>
      </w:r>
      <w:r w:rsidR="00083DC8" w:rsidRPr="00805A8D">
        <w:t>,</w:t>
      </w:r>
      <w:r w:rsidRPr="00805A8D">
        <w:t xml:space="preserve"> </w:t>
      </w:r>
      <w:r w:rsidR="00A72CAC" w:rsidRPr="00805A8D">
        <w:t xml:space="preserve">underpin spatial control and thus team performance (Moura, Martins, </w:t>
      </w:r>
      <w:proofErr w:type="spellStart"/>
      <w:r w:rsidR="00A72CAC" w:rsidRPr="00805A8D">
        <w:t>Anido</w:t>
      </w:r>
      <w:proofErr w:type="spellEnd"/>
      <w:r w:rsidR="00A72CAC" w:rsidRPr="00805A8D">
        <w:t xml:space="preserve">, </w:t>
      </w:r>
      <w:proofErr w:type="spellStart"/>
      <w:r w:rsidR="00A72CAC" w:rsidRPr="00805A8D">
        <w:t>Ruffino</w:t>
      </w:r>
      <w:proofErr w:type="spellEnd"/>
      <w:r w:rsidR="00A72CAC" w:rsidRPr="00805A8D">
        <w:t xml:space="preserve">, Barros, &amp; Cunha, 2013; Rein &amp; </w:t>
      </w:r>
      <w:proofErr w:type="spellStart"/>
      <w:r w:rsidR="00A72CAC" w:rsidRPr="00805A8D">
        <w:t>Memmert</w:t>
      </w:r>
      <w:proofErr w:type="spellEnd"/>
      <w:r w:rsidR="00A72CAC" w:rsidRPr="00805A8D">
        <w:t>, 2016)</w:t>
      </w:r>
      <w:r w:rsidR="00DD58AD" w:rsidRPr="00805A8D">
        <w:t xml:space="preserve">. </w:t>
      </w:r>
      <w:r w:rsidR="00D916BF" w:rsidRPr="00805A8D">
        <w:t>Different teams adopt different, yet specific, tactical schemes to outdo the opponent (</w:t>
      </w:r>
      <w:proofErr w:type="spellStart"/>
      <w:r w:rsidR="00D916BF" w:rsidRPr="00805A8D">
        <w:t>Bialkowski</w:t>
      </w:r>
      <w:proofErr w:type="spellEnd"/>
      <w:r w:rsidR="00D916BF" w:rsidRPr="00805A8D">
        <w:t xml:space="preserve">, Lucey, </w:t>
      </w:r>
      <w:proofErr w:type="spellStart"/>
      <w:r w:rsidR="00D916BF" w:rsidRPr="00805A8D">
        <w:t>Carr</w:t>
      </w:r>
      <w:proofErr w:type="spellEnd"/>
      <w:r w:rsidR="00D916BF" w:rsidRPr="00805A8D">
        <w:t xml:space="preserve">, Yue, </w:t>
      </w:r>
      <w:proofErr w:type="spellStart"/>
      <w:r w:rsidR="00D916BF" w:rsidRPr="00805A8D">
        <w:t>Sridharan</w:t>
      </w:r>
      <w:proofErr w:type="spellEnd"/>
      <w:r w:rsidR="00D916BF" w:rsidRPr="00805A8D">
        <w:t>, &amp; Matthews, 2014)</w:t>
      </w:r>
      <w:r w:rsidR="003A0855" w:rsidRPr="00805A8D">
        <w:t>.</w:t>
      </w:r>
      <w:r w:rsidR="00D916BF" w:rsidRPr="00805A8D">
        <w:t xml:space="preserve"> </w:t>
      </w:r>
      <w:r w:rsidR="00065672" w:rsidRPr="00805A8D">
        <w:t>The idea behind tactical schemes</w:t>
      </w:r>
      <w:r w:rsidR="00DD58AD" w:rsidRPr="00805A8D">
        <w:t xml:space="preserve"> is </w:t>
      </w:r>
      <w:r w:rsidR="00800CBD" w:rsidRPr="00805A8D">
        <w:t>that</w:t>
      </w:r>
      <w:r w:rsidR="00DD58AD" w:rsidRPr="00805A8D">
        <w:t xml:space="preserve"> </w:t>
      </w:r>
      <w:r w:rsidR="00800CBD" w:rsidRPr="00805A8D">
        <w:t xml:space="preserve">a </w:t>
      </w:r>
      <w:r w:rsidR="00065672" w:rsidRPr="00805A8D">
        <w:t>share</w:t>
      </w:r>
      <w:r w:rsidR="00800CBD" w:rsidRPr="00805A8D">
        <w:t xml:space="preserve">d </w:t>
      </w:r>
      <w:r w:rsidR="004E4114" w:rsidRPr="00805A8D">
        <w:t>mental</w:t>
      </w:r>
      <w:r w:rsidR="00DD58AD" w:rsidRPr="00805A8D">
        <w:t xml:space="preserve"> </w:t>
      </w:r>
      <w:r w:rsidR="004E4114" w:rsidRPr="00805A8D">
        <w:t>map</w:t>
      </w:r>
      <w:r w:rsidR="00065672" w:rsidRPr="00805A8D">
        <w:t xml:space="preserve"> </w:t>
      </w:r>
      <w:r w:rsidR="00800CBD" w:rsidRPr="00805A8D">
        <w:t xml:space="preserve">of positions will </w:t>
      </w:r>
      <w:r w:rsidR="00DD58AD" w:rsidRPr="00805A8D">
        <w:t>facilitate dynamical exchanges</w:t>
      </w:r>
      <w:r w:rsidR="004E4114" w:rsidRPr="00805A8D">
        <w:t xml:space="preserve"> of the ball</w:t>
      </w:r>
      <w:r w:rsidR="00DD58AD" w:rsidRPr="00805A8D">
        <w:t xml:space="preserve">.  </w:t>
      </w:r>
      <w:r w:rsidR="0096527B" w:rsidRPr="00B60B67">
        <w:t xml:space="preserve">Yet, </w:t>
      </w:r>
      <w:r w:rsidR="004E4114" w:rsidRPr="00B60B67">
        <w:t>because of the opponents’</w:t>
      </w:r>
      <w:r w:rsidR="004E4114" w:rsidRPr="00805A8D">
        <w:t xml:space="preserve"> efforts to stop progression</w:t>
      </w:r>
      <w:r w:rsidR="00D916BF" w:rsidRPr="00805A8D">
        <w:t xml:space="preserve"> (</w:t>
      </w:r>
      <w:proofErr w:type="spellStart"/>
      <w:r w:rsidR="00D916BF" w:rsidRPr="00805A8D">
        <w:t>Andrienko</w:t>
      </w:r>
      <w:proofErr w:type="spellEnd"/>
      <w:r w:rsidR="00D916BF" w:rsidRPr="00805A8D">
        <w:t xml:space="preserve">, </w:t>
      </w:r>
      <w:proofErr w:type="spellStart"/>
      <w:r w:rsidR="00D916BF" w:rsidRPr="00805A8D">
        <w:t>Andrienko</w:t>
      </w:r>
      <w:proofErr w:type="spellEnd"/>
      <w:r w:rsidR="00D916BF" w:rsidRPr="00805A8D">
        <w:t xml:space="preserve">, </w:t>
      </w:r>
      <w:proofErr w:type="spellStart"/>
      <w:r w:rsidR="00D916BF" w:rsidRPr="00805A8D">
        <w:t>Budziak</w:t>
      </w:r>
      <w:proofErr w:type="spellEnd"/>
      <w:r w:rsidR="00D916BF" w:rsidRPr="00805A8D">
        <w:t xml:space="preserve">, Dykes, Fuchs, von </w:t>
      </w:r>
      <w:proofErr w:type="spellStart"/>
      <w:r w:rsidR="00D916BF" w:rsidRPr="00805A8D">
        <w:t>Landesberger</w:t>
      </w:r>
      <w:proofErr w:type="spellEnd"/>
      <w:r w:rsidR="00D916BF" w:rsidRPr="00805A8D">
        <w:t>, &amp; Weber, 2017)</w:t>
      </w:r>
      <w:r w:rsidR="004E4114" w:rsidRPr="00805A8D">
        <w:t xml:space="preserve">, </w:t>
      </w:r>
      <w:r w:rsidR="0096527B" w:rsidRPr="00805A8D">
        <w:t xml:space="preserve">the spatial configuration of the players is constantly changing. </w:t>
      </w:r>
      <w:proofErr w:type="gramStart"/>
      <w:r w:rsidR="0096527B" w:rsidRPr="00805A8D">
        <w:t>It is their ability to form a unit that constitutes the source of efficiency</w:t>
      </w:r>
      <w:r w:rsidR="00D916BF" w:rsidRPr="00805A8D">
        <w:t xml:space="preserve"> (Duarte, </w:t>
      </w:r>
      <w:proofErr w:type="spellStart"/>
      <w:r w:rsidR="00D916BF" w:rsidRPr="00805A8D">
        <w:t>Araújo</w:t>
      </w:r>
      <w:proofErr w:type="spellEnd"/>
      <w:r w:rsidR="00D916BF" w:rsidRPr="00805A8D">
        <w:t xml:space="preserve">, </w:t>
      </w:r>
      <w:proofErr w:type="spellStart"/>
      <w:r w:rsidR="00D916BF" w:rsidRPr="00805A8D">
        <w:t>Correia</w:t>
      </w:r>
      <w:proofErr w:type="spellEnd"/>
      <w:r w:rsidR="00D916BF" w:rsidRPr="00805A8D">
        <w:t xml:space="preserve">, </w:t>
      </w:r>
      <w:proofErr w:type="spellStart"/>
      <w:r w:rsidR="00D916BF" w:rsidRPr="00805A8D">
        <w:t>Davids</w:t>
      </w:r>
      <w:proofErr w:type="spellEnd"/>
      <w:r w:rsidR="00D916BF" w:rsidRPr="00805A8D">
        <w:t>, Marques, &amp; Richardson, 2013)</w:t>
      </w:r>
      <w:r w:rsidR="0096527B" w:rsidRPr="00805A8D">
        <w:t>.</w:t>
      </w:r>
      <w:proofErr w:type="gramEnd"/>
      <w:r w:rsidR="0096527B" w:rsidRPr="00805A8D">
        <w:t xml:space="preserve"> </w:t>
      </w:r>
    </w:p>
    <w:p w14:paraId="4C8201A0" w14:textId="57D72ADC" w:rsidR="0096527B" w:rsidRPr="00805A8D" w:rsidRDefault="0096527B" w:rsidP="00BA16C4">
      <w:pPr>
        <w:pStyle w:val="Paragraph"/>
        <w:ind w:firstLine="720"/>
        <w:jc w:val="both"/>
      </w:pPr>
      <w:r w:rsidRPr="00805A8D">
        <w:lastRenderedPageBreak/>
        <w:t>Previous</w:t>
      </w:r>
      <w:r w:rsidRPr="00B60B67">
        <w:t xml:space="preserve"> studies have applied </w:t>
      </w:r>
      <w:r w:rsidR="00DD58AD" w:rsidRPr="00805A8D">
        <w:t>the</w:t>
      </w:r>
      <w:r w:rsidR="00DD58AD" w:rsidRPr="00B60B67">
        <w:t xml:space="preserve"> </w:t>
      </w:r>
      <w:r w:rsidRPr="00B60B67">
        <w:t>self-organisation framework within football, focusing on goal scoring (</w:t>
      </w:r>
      <w:proofErr w:type="spellStart"/>
      <w:r w:rsidRPr="00B60B67">
        <w:t>Grehaigne</w:t>
      </w:r>
      <w:proofErr w:type="spellEnd"/>
      <w:r w:rsidR="00963772" w:rsidRPr="00805A8D">
        <w:t xml:space="preserve">, </w:t>
      </w:r>
      <w:proofErr w:type="spellStart"/>
      <w:r w:rsidRPr="00805A8D">
        <w:t>Bouthier</w:t>
      </w:r>
      <w:proofErr w:type="spellEnd"/>
      <w:r w:rsidR="00963772" w:rsidRPr="00805A8D">
        <w:t>, &amp; David</w:t>
      </w:r>
      <w:r w:rsidRPr="00805A8D">
        <w:t xml:space="preserve">, 1997; </w:t>
      </w:r>
      <w:proofErr w:type="spellStart"/>
      <w:r w:rsidR="00065672" w:rsidRPr="00805A8D">
        <w:t>McGarry</w:t>
      </w:r>
      <w:proofErr w:type="spellEnd"/>
      <w:r w:rsidR="00065672" w:rsidRPr="00805A8D">
        <w:t xml:space="preserve"> et al., 2002</w:t>
      </w:r>
      <w:proofErr w:type="gramStart"/>
      <w:r w:rsidR="00065672" w:rsidRPr="00805A8D">
        <w:t xml:space="preserve">, </w:t>
      </w:r>
      <w:r w:rsidRPr="00805A8D">
        <w:t>;</w:t>
      </w:r>
      <w:proofErr w:type="gramEnd"/>
      <w:r w:rsidRPr="00805A8D">
        <w:t xml:space="preserve"> </w:t>
      </w:r>
      <w:proofErr w:type="spellStart"/>
      <w:r w:rsidRPr="00805A8D">
        <w:t>Passos</w:t>
      </w:r>
      <w:proofErr w:type="spellEnd"/>
      <w:r w:rsidRPr="00805A8D">
        <w:t xml:space="preserve"> et al., 2013; </w:t>
      </w:r>
      <w:proofErr w:type="spellStart"/>
      <w:r w:rsidRPr="00805A8D">
        <w:t>Travassos</w:t>
      </w:r>
      <w:proofErr w:type="spellEnd"/>
      <w:r w:rsidRPr="00805A8D">
        <w:t xml:space="preserve"> et al., 2011) and the role of passing (Chassy, 2013; </w:t>
      </w:r>
      <w:proofErr w:type="spellStart"/>
      <w:r w:rsidRPr="00805A8D">
        <w:t>Tenga</w:t>
      </w:r>
      <w:proofErr w:type="spellEnd"/>
      <w:r w:rsidRPr="00805A8D">
        <w:t xml:space="preserve">, Holme, &amp; </w:t>
      </w:r>
      <w:proofErr w:type="spellStart"/>
      <w:r w:rsidRPr="00805A8D">
        <w:t>Ronglan</w:t>
      </w:r>
      <w:proofErr w:type="spellEnd"/>
      <w:r w:rsidRPr="00805A8D">
        <w:t xml:space="preserve">, 2010). The analysis of sequences has demonstrated that passing is a crucial component in scoring goals regardless of possession time (Hughes &amp; Franks, 2005; Redwood-Brown, 2008). The team as a whole can progress only if the players stay connected all along. The distance between the players </w:t>
      </w:r>
      <w:proofErr w:type="gramStart"/>
      <w:r w:rsidRPr="00805A8D">
        <w:t>has been highlighted</w:t>
      </w:r>
      <w:proofErr w:type="gramEnd"/>
      <w:r w:rsidRPr="00805A8D">
        <w:t xml:space="preserve"> as a key component of successful passing (</w:t>
      </w:r>
      <w:proofErr w:type="spellStart"/>
      <w:r w:rsidRPr="00805A8D">
        <w:t>Travassos</w:t>
      </w:r>
      <w:proofErr w:type="spellEnd"/>
      <w:r w:rsidRPr="00805A8D">
        <w:t xml:space="preserve"> et al., 2011). The coordination of moving players on the pitch is thus the crucial factor. It is evidently underpinned by the </w:t>
      </w:r>
      <w:proofErr w:type="gramStart"/>
      <w:r w:rsidRPr="00805A8D">
        <w:t>players</w:t>
      </w:r>
      <w:proofErr w:type="gramEnd"/>
      <w:r w:rsidRPr="00805A8D">
        <w:t xml:space="preserve"> knowledge of the tactics, their physical ability to be in the correct position and their technical skills to execute the appropriate motor actions. It remains true that the last player touching the ball should have the technical capacity to score. In line with this, much research </w:t>
      </w:r>
      <w:proofErr w:type="gramStart"/>
      <w:r w:rsidRPr="00805A8D">
        <w:t>has been dedicated</w:t>
      </w:r>
      <w:proofErr w:type="gramEnd"/>
      <w:r w:rsidRPr="00805A8D">
        <w:t xml:space="preserve"> in understanding the importan</w:t>
      </w:r>
      <w:r w:rsidR="006D0ED1" w:rsidRPr="00805A8D">
        <w:t xml:space="preserve">ce of accurate shooting collet (Collet, 2013; </w:t>
      </w:r>
      <w:r w:rsidRPr="00805A8D">
        <w:t xml:space="preserve">Marques et al., 2011). However, it </w:t>
      </w:r>
      <w:proofErr w:type="gramStart"/>
      <w:r w:rsidRPr="00805A8D">
        <w:t>is often forgotten</w:t>
      </w:r>
      <w:proofErr w:type="gramEnd"/>
      <w:r w:rsidRPr="00805A8D">
        <w:t xml:space="preserve"> that shooting opportunities arise because of good passing. </w:t>
      </w:r>
      <w:proofErr w:type="spellStart"/>
      <w:r w:rsidRPr="00805A8D">
        <w:t>Tenga</w:t>
      </w:r>
      <w:proofErr w:type="spellEnd"/>
      <w:r w:rsidRPr="00805A8D">
        <w:t xml:space="preserve"> and colleagues (2010) have shown that longer possessions are more likely to produce a goal when the possession includes a longer passing sequence. The question that can be asked is how much of a team performance can be predicted based upon shooting and passing parameters. Should self-organisation hold true for football, a mathematical model that would integrate passing should be an accurate indicator of the level of swarm intelligence displayed by a </w:t>
      </w:r>
      <w:proofErr w:type="gramStart"/>
      <w:r w:rsidRPr="00805A8D">
        <w:t>team.</w:t>
      </w:r>
      <w:proofErr w:type="gramEnd"/>
    </w:p>
    <w:p w14:paraId="796B4F21" w14:textId="6EBE7D68" w:rsidR="00E11895" w:rsidRPr="00805A8D" w:rsidRDefault="00E11895" w:rsidP="00E11895">
      <w:pPr>
        <w:pStyle w:val="Newparagraph"/>
      </w:pPr>
    </w:p>
    <w:p w14:paraId="32853A7B" w14:textId="7F388FF5" w:rsidR="0096527B" w:rsidRPr="00805A8D" w:rsidRDefault="0096527B" w:rsidP="00BA16C4">
      <w:pPr>
        <w:pStyle w:val="Paragraph"/>
        <w:spacing w:before="0"/>
        <w:ind w:firstLine="720"/>
        <w:jc w:val="both"/>
      </w:pPr>
      <w:r w:rsidRPr="00805A8D">
        <w:t xml:space="preserve">Chassy (2013) employed the self-organisation framework to develop a mathematical model of team performance based upon passing, shooting, and possession. </w:t>
      </w:r>
      <w:r w:rsidR="00212A09" w:rsidRPr="00805A8D">
        <w:t xml:space="preserve">Passing and shooting abilities </w:t>
      </w:r>
      <w:proofErr w:type="gramStart"/>
      <w:r w:rsidR="00212A09" w:rsidRPr="00805A8D">
        <w:t>were selected</w:t>
      </w:r>
      <w:proofErr w:type="gramEnd"/>
      <w:r w:rsidR="00212A09" w:rsidRPr="00805A8D">
        <w:t xml:space="preserve"> to develop the initial model as they </w:t>
      </w:r>
      <w:r w:rsidR="00083DC8" w:rsidRPr="00805A8D">
        <w:t>provide a proxy measure of</w:t>
      </w:r>
      <w:r w:rsidR="00212A09" w:rsidRPr="00B60B67">
        <w:t xml:space="preserve"> the self-organisational ability of a team</w:t>
      </w:r>
      <w:r w:rsidR="00FD35A6" w:rsidRPr="00B60B67">
        <w:t>.</w:t>
      </w:r>
      <w:r w:rsidR="00212A09" w:rsidRPr="00805A8D">
        <w:t xml:space="preserve"> </w:t>
      </w:r>
      <w:r w:rsidR="0041063C" w:rsidRPr="00B60B67">
        <w:t>Many factors play a role in a team’s progress towards the goal (Lago-Ballesteros, Lago-</w:t>
      </w:r>
      <w:proofErr w:type="spellStart"/>
      <w:r w:rsidR="0041063C" w:rsidRPr="00B60B67">
        <w:t>Peñas</w:t>
      </w:r>
      <w:proofErr w:type="spellEnd"/>
      <w:r w:rsidR="0041063C" w:rsidRPr="00B60B67">
        <w:t>, &amp; Rey, 2012) but p</w:t>
      </w:r>
      <w:r w:rsidR="00212A09" w:rsidRPr="00805A8D">
        <w:t xml:space="preserve">assing </w:t>
      </w:r>
      <w:r w:rsidR="003C2FDE" w:rsidRPr="00805A8D">
        <w:t>constitutes</w:t>
      </w:r>
      <w:r w:rsidR="0041063C" w:rsidRPr="00805A8D">
        <w:t xml:space="preserve"> </w:t>
      </w:r>
      <w:r w:rsidR="00212A09" w:rsidRPr="00805A8D">
        <w:t xml:space="preserve">the </w:t>
      </w:r>
      <w:r w:rsidR="00E017CF" w:rsidRPr="00805A8D">
        <w:t xml:space="preserve">one </w:t>
      </w:r>
      <w:r w:rsidR="00E017CF" w:rsidRPr="00805A8D">
        <w:lastRenderedPageBreak/>
        <w:t xml:space="preserve">process </w:t>
      </w:r>
      <w:r w:rsidR="008424CE" w:rsidRPr="00805A8D">
        <w:t xml:space="preserve">that involves a cooperative </w:t>
      </w:r>
      <w:r w:rsidR="00212A09" w:rsidRPr="00805A8D">
        <w:t>interaction</w:t>
      </w:r>
      <w:r w:rsidR="0041063C" w:rsidRPr="00805A8D">
        <w:t xml:space="preserve"> (Hughes &amp; Franks, 2005; Rein, </w:t>
      </w:r>
      <w:proofErr w:type="spellStart"/>
      <w:r w:rsidR="0041063C" w:rsidRPr="00805A8D">
        <w:t>Raabe</w:t>
      </w:r>
      <w:proofErr w:type="spellEnd"/>
      <w:r w:rsidR="0041063C" w:rsidRPr="00805A8D">
        <w:t xml:space="preserve">, &amp; </w:t>
      </w:r>
      <w:proofErr w:type="spellStart"/>
      <w:r w:rsidR="0041063C" w:rsidRPr="00805A8D">
        <w:t>Memmert</w:t>
      </w:r>
      <w:proofErr w:type="spellEnd"/>
      <w:r w:rsidR="0041063C" w:rsidRPr="00805A8D">
        <w:t>, 2017)</w:t>
      </w:r>
      <w:r w:rsidR="00C32F5D" w:rsidRPr="00805A8D">
        <w:t>.</w:t>
      </w:r>
      <w:r w:rsidR="0041063C" w:rsidRPr="00805A8D">
        <w:t xml:space="preserve"> </w:t>
      </w:r>
      <w:r w:rsidR="00C32F5D" w:rsidRPr="00805A8D">
        <w:t xml:space="preserve"> </w:t>
      </w:r>
      <w:r w:rsidR="00083DC8" w:rsidRPr="00805A8D">
        <w:t>The</w:t>
      </w:r>
      <w:r w:rsidR="00E017CF" w:rsidRPr="00805A8D">
        <w:t xml:space="preserve"> importance</w:t>
      </w:r>
      <w:r w:rsidR="00083DC8" w:rsidRPr="00805A8D">
        <w:t xml:space="preserve"> of passing</w:t>
      </w:r>
      <w:r w:rsidR="00E017CF" w:rsidRPr="00805A8D">
        <w:t xml:space="preserve"> </w:t>
      </w:r>
      <w:r w:rsidR="00C32F5D" w:rsidRPr="00805A8D">
        <w:t xml:space="preserve">is </w:t>
      </w:r>
      <w:r w:rsidR="00083DC8" w:rsidRPr="00805A8D">
        <w:t>illustrated</w:t>
      </w:r>
      <w:r w:rsidR="00C32F5D" w:rsidRPr="00805A8D">
        <w:t xml:space="preserve"> by the fact that </w:t>
      </w:r>
      <w:r w:rsidR="00E017CF" w:rsidRPr="00805A8D">
        <w:t xml:space="preserve">its rate has </w:t>
      </w:r>
      <w:r w:rsidR="0041063C" w:rsidRPr="00805A8D">
        <w:t xml:space="preserve">increased over time </w:t>
      </w:r>
      <w:r w:rsidR="00E017CF" w:rsidRPr="00805A8D">
        <w:t>at the highest level of practice (Barnes, Archer, Hogg, Bush, &amp; Bradley, 2014; Wallace &amp; Norton, 2014)</w:t>
      </w:r>
      <w:r w:rsidR="008424CE" w:rsidRPr="00805A8D">
        <w:t xml:space="preserve">. </w:t>
      </w:r>
      <w:r w:rsidR="004E604F" w:rsidRPr="00805A8D">
        <w:t xml:space="preserve">This trend of increasing passing </w:t>
      </w:r>
      <w:proofErr w:type="gramStart"/>
      <w:r w:rsidR="004E604F" w:rsidRPr="00805A8D">
        <w:t>can also be seen</w:t>
      </w:r>
      <w:proofErr w:type="gramEnd"/>
      <w:r w:rsidR="004E604F" w:rsidRPr="00805A8D">
        <w:t xml:space="preserve"> at the player level, where the passing requirements have dramatically increased for specific positions (Bush, Barnes, Archer, Hogg, &amp; Bradley, 2015). </w:t>
      </w:r>
      <w:r w:rsidR="00083DC8" w:rsidRPr="00805A8D">
        <w:t>Whilst</w:t>
      </w:r>
      <w:r w:rsidR="00212A09" w:rsidRPr="00805A8D">
        <w:t xml:space="preserve"> </w:t>
      </w:r>
      <w:r w:rsidR="008A0E6F" w:rsidRPr="00805A8D">
        <w:t>passing</w:t>
      </w:r>
      <w:r w:rsidR="00212A09" w:rsidRPr="00805A8D">
        <w:t xml:space="preserve"> restricts the measure of self-organisation to two players, the multiplicity of measures, averaged across all players and over 90 minutes of play provides a measure of </w:t>
      </w:r>
      <w:r w:rsidR="008424CE" w:rsidRPr="00805A8D">
        <w:t>coordinated actions</w:t>
      </w:r>
      <w:r w:rsidR="00212A09" w:rsidRPr="00805A8D">
        <w:t xml:space="preserve"> for the whole team. Shooting </w:t>
      </w:r>
      <w:r w:rsidR="008A0E6F" w:rsidRPr="00805A8D">
        <w:t xml:space="preserve">is obviously a key skill but it </w:t>
      </w:r>
      <w:r w:rsidR="00212A09" w:rsidRPr="00805A8D">
        <w:t xml:space="preserve">usually arises usually after series of passes </w:t>
      </w:r>
      <w:r w:rsidR="00A53C11" w:rsidRPr="00805A8D">
        <w:t>(</w:t>
      </w:r>
      <w:proofErr w:type="spellStart"/>
      <w:r w:rsidR="00AE712C" w:rsidRPr="00805A8D">
        <w:t>Barreira</w:t>
      </w:r>
      <w:proofErr w:type="spellEnd"/>
      <w:r w:rsidR="00AE712C" w:rsidRPr="00805A8D">
        <w:t xml:space="preserve">, </w:t>
      </w:r>
      <w:proofErr w:type="spellStart"/>
      <w:r w:rsidR="00AE712C" w:rsidRPr="00805A8D">
        <w:t>Vendite</w:t>
      </w:r>
      <w:proofErr w:type="spellEnd"/>
      <w:r w:rsidR="00AE712C" w:rsidRPr="00805A8D">
        <w:t xml:space="preserve">, &amp; </w:t>
      </w:r>
      <w:proofErr w:type="spellStart"/>
      <w:r w:rsidR="00AE712C" w:rsidRPr="00805A8D">
        <w:t>Vendite</w:t>
      </w:r>
      <w:proofErr w:type="spellEnd"/>
      <w:r w:rsidR="00AE712C" w:rsidRPr="00805A8D">
        <w:t xml:space="preserve">, 2016; </w:t>
      </w:r>
      <w:r w:rsidR="00A53C11" w:rsidRPr="00805A8D">
        <w:t>Hughes &amp; Franks, 2005;</w:t>
      </w:r>
      <w:r w:rsidR="00AE712C" w:rsidRPr="00805A8D">
        <w:t xml:space="preserve"> Wright, Atkins, </w:t>
      </w:r>
      <w:proofErr w:type="spellStart"/>
      <w:r w:rsidR="00AE712C" w:rsidRPr="00805A8D">
        <w:t>Polman</w:t>
      </w:r>
      <w:proofErr w:type="spellEnd"/>
      <w:r w:rsidR="00AE712C" w:rsidRPr="00805A8D">
        <w:t xml:space="preserve">, Jones, &amp; </w:t>
      </w:r>
      <w:proofErr w:type="spellStart"/>
      <w:r w:rsidR="00AE712C" w:rsidRPr="00805A8D">
        <w:t>Sargeson</w:t>
      </w:r>
      <w:proofErr w:type="spellEnd"/>
      <w:r w:rsidR="00AE712C" w:rsidRPr="00805A8D">
        <w:t>, 2011</w:t>
      </w:r>
      <w:r w:rsidR="00A53C11" w:rsidRPr="00805A8D">
        <w:t>)</w:t>
      </w:r>
      <w:proofErr w:type="gramStart"/>
      <w:r w:rsidR="008A0E6F" w:rsidRPr="00805A8D">
        <w:t>;</w:t>
      </w:r>
      <w:proofErr w:type="gramEnd"/>
      <w:r w:rsidR="00A53C11" w:rsidRPr="00805A8D">
        <w:t xml:space="preserve"> </w:t>
      </w:r>
      <w:r w:rsidR="00212A09" w:rsidRPr="00805A8D">
        <w:t xml:space="preserve">and thus </w:t>
      </w:r>
      <w:r w:rsidR="00D61BFB" w:rsidRPr="00805A8D">
        <w:t xml:space="preserve">constitutes </w:t>
      </w:r>
      <w:r w:rsidR="008A0E6F" w:rsidRPr="00805A8D">
        <w:t xml:space="preserve">only </w:t>
      </w:r>
      <w:r w:rsidR="00D61BFB" w:rsidRPr="00805A8D">
        <w:t xml:space="preserve">another </w:t>
      </w:r>
      <w:r w:rsidR="00212A09" w:rsidRPr="00805A8D">
        <w:t xml:space="preserve">proxy of the ability </w:t>
      </w:r>
      <w:r w:rsidR="008A0E6F" w:rsidRPr="00805A8D">
        <w:t>of</w:t>
      </w:r>
      <w:r w:rsidR="00212A09" w:rsidRPr="00805A8D">
        <w:t xml:space="preserve"> the team to deliver</w:t>
      </w:r>
      <w:r w:rsidR="007B56D7" w:rsidRPr="00805A8D">
        <w:t xml:space="preserve"> an outcome</w:t>
      </w:r>
      <w:r w:rsidR="00212A09" w:rsidRPr="00805A8D">
        <w:t xml:space="preserve">. </w:t>
      </w:r>
      <w:r w:rsidR="001D590A" w:rsidRPr="00805A8D">
        <w:t xml:space="preserve">These </w:t>
      </w:r>
      <w:r w:rsidR="00605631" w:rsidRPr="00805A8D">
        <w:t xml:space="preserve">two </w:t>
      </w:r>
      <w:r w:rsidR="001D590A" w:rsidRPr="00805A8D">
        <w:t xml:space="preserve">variables </w:t>
      </w:r>
      <w:r w:rsidR="00605631" w:rsidRPr="00805A8D">
        <w:t xml:space="preserve">together </w:t>
      </w:r>
      <w:r w:rsidR="00212A09" w:rsidRPr="00805A8D">
        <w:t xml:space="preserve">have the advantage of </w:t>
      </w:r>
      <w:r w:rsidR="001D590A" w:rsidRPr="00805A8D">
        <w:t>provid</w:t>
      </w:r>
      <w:r w:rsidR="00212A09" w:rsidRPr="00805A8D">
        <w:t>ing</w:t>
      </w:r>
      <w:r w:rsidR="001D590A" w:rsidRPr="00805A8D">
        <w:t xml:space="preserve"> a </w:t>
      </w:r>
      <w:r w:rsidR="004E604F" w:rsidRPr="00805A8D">
        <w:t>multidimensional</w:t>
      </w:r>
      <w:r w:rsidR="008A0E6F" w:rsidRPr="00805A8D">
        <w:t xml:space="preserve"> scale to measure </w:t>
      </w:r>
      <w:r w:rsidR="001D590A" w:rsidRPr="00805A8D">
        <w:t>interactions between players</w:t>
      </w:r>
      <w:r w:rsidR="00B65AC0" w:rsidRPr="00B60B67">
        <w:t>.</w:t>
      </w:r>
      <w:r w:rsidR="00D962C9">
        <w:t xml:space="preserve"> </w:t>
      </w:r>
      <w:r w:rsidR="00605631" w:rsidRPr="00B60B67">
        <w:t xml:space="preserve">Chassy’s (2013) </w:t>
      </w:r>
      <w:r w:rsidRPr="00805A8D">
        <w:t xml:space="preserve">study revealed that three parameters play a key role in performance: the average number of passes per minute of possession (pass density), proportion of successfully completed passes (pass precision), and number of goals scored divided by the number of shots taken (hit ratio). Pass density and precision </w:t>
      </w:r>
      <w:proofErr w:type="gramStart"/>
      <w:r w:rsidRPr="00805A8D">
        <w:t>were introduced</w:t>
      </w:r>
      <w:proofErr w:type="gramEnd"/>
      <w:r w:rsidRPr="00805A8D">
        <w:t xml:space="preserve"> to integrate the role of passing in a team’s performance. The parameters </w:t>
      </w:r>
      <w:proofErr w:type="gramStart"/>
      <w:r w:rsidRPr="00805A8D">
        <w:t>were used</w:t>
      </w:r>
      <w:proofErr w:type="gramEnd"/>
      <w:r w:rsidRPr="00805A8D">
        <w:t xml:space="preserve"> to compute two factors, self-organisation and offensive power, which combined, produced a general index of performance: team play (TP). While the factor self-organization was heavily loaded with passing parameters, the factor offensive power </w:t>
      </w:r>
      <w:proofErr w:type="gramStart"/>
      <w:r w:rsidRPr="00805A8D">
        <w:t>was dominated</w:t>
      </w:r>
      <w:proofErr w:type="gramEnd"/>
      <w:r w:rsidRPr="00805A8D">
        <w:t xml:space="preserve"> by shooting. This split in weights between the two factors is indicative that two aspects standing at the core to team performance: Passing ability and shooting skills. The primary aim was to introduce the idea that passing is more important than mere possession. In this respect, the model was successful: both passing density and pass precision were both strong predictors of possession (99.85%) and shooting opportunities (94.92%).</w:t>
      </w:r>
    </w:p>
    <w:p w14:paraId="6AF75E79" w14:textId="77777777" w:rsidR="00E11895" w:rsidRPr="00805A8D" w:rsidRDefault="00E11895" w:rsidP="00E11895">
      <w:pPr>
        <w:pStyle w:val="Newparagraph"/>
      </w:pPr>
    </w:p>
    <w:p w14:paraId="3C2154FA" w14:textId="0AD3E393" w:rsidR="0096527B" w:rsidRPr="00805A8D" w:rsidRDefault="0096527B" w:rsidP="00BA16C4">
      <w:pPr>
        <w:pStyle w:val="Paragraph"/>
        <w:spacing w:before="0"/>
        <w:ind w:firstLine="720"/>
        <w:jc w:val="both"/>
      </w:pPr>
      <w:r w:rsidRPr="00805A8D">
        <w:t xml:space="preserve">The model has two key limitations that call for further research. One, key limitation of the model was the fact that all passes were considered of equal value. For example, it is evident that the consequences of imprecise passing in front of one’s goal can lead to more damaging consequences than a missed passed on the opposing side of the pitch. This </w:t>
      </w:r>
      <w:proofErr w:type="gramStart"/>
      <w:r w:rsidRPr="00805A8D">
        <w:t>spatially-dependent</w:t>
      </w:r>
      <w:proofErr w:type="gramEnd"/>
      <w:r w:rsidRPr="00805A8D">
        <w:t xml:space="preserve"> aspect of football requires consideration for a more accurate view of self-organising systems, and thus of efficiency in football. In addition, the model </w:t>
      </w:r>
      <w:proofErr w:type="gramStart"/>
      <w:r w:rsidRPr="00805A8D">
        <w:t>was only applied</w:t>
      </w:r>
      <w:proofErr w:type="gramEnd"/>
      <w:r w:rsidRPr="00805A8D">
        <w:t xml:space="preserve"> to a knockout competition (UEFA Champions League) rather than a league competition where teams play against opposition both home and away across a longitudinal period. The purpose of the present study was </w:t>
      </w:r>
      <w:proofErr w:type="gramStart"/>
      <w:r w:rsidRPr="00805A8D">
        <w:t>to further determine</w:t>
      </w:r>
      <w:proofErr w:type="gramEnd"/>
      <w:r w:rsidRPr="00805A8D">
        <w:t xml:space="preserve"> which match variables are key to a football team’s performance across a competitive season. </w:t>
      </w:r>
      <w:r w:rsidRPr="00B60B67">
        <w:t xml:space="preserve">In order to investigate the influence of zonal position on the pitch, match performance variables </w:t>
      </w:r>
      <w:proofErr w:type="gramStart"/>
      <w:r w:rsidRPr="00B60B67">
        <w:t>were explored</w:t>
      </w:r>
      <w:proofErr w:type="gramEnd"/>
      <w:r w:rsidRPr="00B60B67">
        <w:t xml:space="preserve"> in three equal sized subsections of th</w:t>
      </w:r>
      <w:r w:rsidRPr="00805A8D">
        <w:t xml:space="preserve">e pitch: the attacking zone, the midfield zone, and the defensive zone. </w:t>
      </w:r>
    </w:p>
    <w:p w14:paraId="65C5E1EB" w14:textId="77777777" w:rsidR="0096527B" w:rsidRPr="00805A8D" w:rsidRDefault="0096527B" w:rsidP="00BA16C4">
      <w:pPr>
        <w:pStyle w:val="Paragraph"/>
        <w:jc w:val="both"/>
      </w:pPr>
    </w:p>
    <w:p w14:paraId="7378F22C" w14:textId="77777777" w:rsidR="0096527B" w:rsidRPr="00805A8D" w:rsidRDefault="0096527B" w:rsidP="00BA16C4">
      <w:pPr>
        <w:pStyle w:val="Heading1"/>
        <w:jc w:val="both"/>
      </w:pPr>
      <w:r w:rsidRPr="00805A8D">
        <w:t>Methods</w:t>
      </w:r>
    </w:p>
    <w:p w14:paraId="01EF8137" w14:textId="77777777" w:rsidR="0096527B" w:rsidRPr="00805A8D" w:rsidRDefault="0096527B" w:rsidP="00BA16C4">
      <w:pPr>
        <w:pStyle w:val="Heading2"/>
        <w:jc w:val="both"/>
      </w:pPr>
      <w:r w:rsidRPr="00805A8D">
        <w:t>Match Data</w:t>
      </w:r>
    </w:p>
    <w:p w14:paraId="5C3CDEF0" w14:textId="77777777" w:rsidR="0096527B" w:rsidRPr="00805A8D" w:rsidRDefault="0096527B" w:rsidP="00BA16C4">
      <w:pPr>
        <w:pStyle w:val="Paragraph"/>
        <w:ind w:firstLine="720"/>
        <w:jc w:val="both"/>
      </w:pPr>
      <w:r w:rsidRPr="00805A8D">
        <w:t xml:space="preserve">In this prospective study, match data </w:t>
      </w:r>
      <w:proofErr w:type="gramStart"/>
      <w:r w:rsidRPr="00805A8D">
        <w:t>were collected</w:t>
      </w:r>
      <w:proofErr w:type="gramEnd"/>
      <w:r w:rsidRPr="00805A8D">
        <w:t xml:space="preserve"> during the 2013-14 Barclays Premier League season from the database provided by </w:t>
      </w:r>
      <w:proofErr w:type="spellStart"/>
      <w:r w:rsidRPr="00805A8D">
        <w:t>Opta</w:t>
      </w:r>
      <w:proofErr w:type="spellEnd"/>
      <w:r w:rsidRPr="00805A8D">
        <w:t xml:space="preserve"> (London, UK). We recorded 760 entries with the following parameters: home team, away team, result, possession percentage, successful passes and total passes for the defensive zone, the middle zone and the attacking zone of the pitch, and number of shots for the home and away team. Pass density is calculated as the ratio of passes over possession time. Pass precision is calculated as the ratio of correct passes over the total passes. Efficiency, finally, is the ratio between goals and total shots. For each team and each game, we standardised the parameters of interest. The data </w:t>
      </w:r>
      <w:proofErr w:type="gramStart"/>
      <w:r w:rsidRPr="00805A8D">
        <w:t xml:space="preserve">were then </w:t>
      </w:r>
      <w:r w:rsidRPr="00805A8D">
        <w:lastRenderedPageBreak/>
        <w:t>averaged</w:t>
      </w:r>
      <w:proofErr w:type="gramEnd"/>
      <w:r w:rsidRPr="00805A8D">
        <w:t xml:space="preserve"> across games to generate mean estimates for each team. While the data collected arose as a condition of employment for the players involved, approval for the study from the Liverpool Hope University ethics board </w:t>
      </w:r>
      <w:proofErr w:type="gramStart"/>
      <w:r w:rsidRPr="00805A8D">
        <w:t>was obtained</w:t>
      </w:r>
      <w:proofErr w:type="gramEnd"/>
      <w:r w:rsidRPr="00805A8D">
        <w:t>.</w:t>
      </w:r>
    </w:p>
    <w:p w14:paraId="264193BA" w14:textId="77777777" w:rsidR="0096527B" w:rsidRPr="00805A8D" w:rsidRDefault="0096527B" w:rsidP="00BA16C4">
      <w:pPr>
        <w:pStyle w:val="Paragraph"/>
        <w:jc w:val="both"/>
      </w:pPr>
    </w:p>
    <w:p w14:paraId="3CCD1EB0" w14:textId="55D1B9C8" w:rsidR="0096527B" w:rsidRPr="00805A8D" w:rsidRDefault="002933CD" w:rsidP="00D329C7">
      <w:pPr>
        <w:pStyle w:val="Heading2"/>
        <w:jc w:val="both"/>
      </w:pPr>
      <w:r w:rsidRPr="00805A8D">
        <w:t xml:space="preserve"> Spatial integrated model of self-organisation in football teams (SIMSOFT)</w:t>
      </w:r>
    </w:p>
    <w:p w14:paraId="241F10CB" w14:textId="77777777" w:rsidR="006A4ACF" w:rsidRPr="00805A8D" w:rsidRDefault="0096527B" w:rsidP="00BA16C4">
      <w:pPr>
        <w:pStyle w:val="Paragraph"/>
        <w:ind w:firstLine="720"/>
        <w:jc w:val="both"/>
      </w:pPr>
      <w:r w:rsidRPr="00805A8D">
        <w:t xml:space="preserve">Chassy’s original mathematical model (Chassy, 2013) </w:t>
      </w:r>
      <w:proofErr w:type="gramStart"/>
      <w:r w:rsidRPr="00805A8D">
        <w:t>was developed</w:t>
      </w:r>
      <w:proofErr w:type="gramEnd"/>
      <w:r w:rsidRPr="00805A8D">
        <w:t xml:space="preserve"> upon pass density (PD), pass precision (PP) and hit ratio (HR). Based upon these parameters, two factors were calculated. </w:t>
      </w:r>
      <w:proofErr w:type="gramStart"/>
      <w:r w:rsidRPr="00805A8D">
        <w:t>First and foremost</w:t>
      </w:r>
      <w:proofErr w:type="gramEnd"/>
      <w:r w:rsidRPr="00805A8D">
        <w:t xml:space="preserve"> was Self organisation = .79PD + .81PP + -.04HR wherein the weight of shooting performance is negligible. In the second factor, Offensive power (OP), the relative weights of the parameters emphasise the importance of shooting but also highlight that passing still plays a role: OP = .33PD - .29 PP + .94 HR (i.e. there is no shooting opportunity without passing). Team play (TP) </w:t>
      </w:r>
      <w:proofErr w:type="gramStart"/>
      <w:r w:rsidRPr="00805A8D">
        <w:t>was calculated</w:t>
      </w:r>
      <w:proofErr w:type="gramEnd"/>
      <w:r w:rsidRPr="00805A8D">
        <w:t xml:space="preserve"> by summing the two factors. To integrate spatiality into the model, we divided the pitch into three zones of play (defensive, midfield and attacking thirds) of equal area and used principal component analysis (PCA) to integrate the weight of passing density and accuracy in each third. PCA is a mathematical technique that reduces a series of measures, which potentially highly correlate, to a number of independent factors. Factors are recursively selected according to the variance that they account for until a criterion of acceptance </w:t>
      </w:r>
      <w:proofErr w:type="gramStart"/>
      <w:r w:rsidRPr="00805A8D">
        <w:t>is reached</w:t>
      </w:r>
      <w:proofErr w:type="gramEnd"/>
      <w:r w:rsidRPr="00805A8D">
        <w:t xml:space="preserve"> (i.e. values less than 1, (Stevens, 1996)). Prior to </w:t>
      </w:r>
      <w:proofErr w:type="gramStart"/>
      <w:r w:rsidRPr="00805A8D">
        <w:t>being performed</w:t>
      </w:r>
      <w:proofErr w:type="gramEnd"/>
      <w:r w:rsidRPr="00805A8D">
        <w:t xml:space="preserve">, PCA analysis requires a set of conditions to be met (Kaiser, 1960; </w:t>
      </w:r>
      <w:proofErr w:type="spellStart"/>
      <w:r w:rsidRPr="00805A8D">
        <w:t>Tabachnick</w:t>
      </w:r>
      <w:proofErr w:type="spellEnd"/>
      <w:r w:rsidRPr="00805A8D">
        <w:t xml:space="preserve">, </w:t>
      </w:r>
      <w:proofErr w:type="spellStart"/>
      <w:r w:rsidRPr="00805A8D">
        <w:t>Fidell</w:t>
      </w:r>
      <w:proofErr w:type="spellEnd"/>
      <w:r w:rsidRPr="00805A8D">
        <w:t xml:space="preserve">, &amp; Osterlind, 2001). To evaluate the suitability of the 2013-2014 Premier league data set to </w:t>
      </w:r>
      <w:proofErr w:type="gramStart"/>
      <w:r w:rsidRPr="00805A8D">
        <w:t>be submitted</w:t>
      </w:r>
      <w:proofErr w:type="gramEnd"/>
      <w:r w:rsidRPr="00805A8D">
        <w:t xml:space="preserve"> to PCA analysis, we carried out the Kaiser-Meyer-</w:t>
      </w:r>
      <w:proofErr w:type="spellStart"/>
      <w:r w:rsidRPr="00805A8D">
        <w:t>Olkin</w:t>
      </w:r>
      <w:proofErr w:type="spellEnd"/>
      <w:r w:rsidRPr="00805A8D">
        <w:t xml:space="preserve"> (KMO) test and Bartlett’s test. A KMO value equal or superior to 0.5 indicates that PCA is suitable for the data set. Both tests </w:t>
      </w:r>
      <w:proofErr w:type="gramStart"/>
      <w:r w:rsidRPr="00805A8D">
        <w:t>have been shown</w:t>
      </w:r>
      <w:proofErr w:type="gramEnd"/>
      <w:r w:rsidRPr="00805A8D">
        <w:t xml:space="preserve"> to be good indicators of the suitability of data for factor reduction (Kaiser, 1960; </w:t>
      </w:r>
      <w:proofErr w:type="spellStart"/>
      <w:r w:rsidRPr="00805A8D">
        <w:t>Tabachnick</w:t>
      </w:r>
      <w:proofErr w:type="spellEnd"/>
      <w:r w:rsidRPr="00805A8D">
        <w:t xml:space="preserve"> et al., 2001). </w:t>
      </w:r>
      <w:r w:rsidR="006A4ACF" w:rsidRPr="00805A8D">
        <w:t xml:space="preserve">The KMO value for our data set was .64. </w:t>
      </w:r>
      <w:r w:rsidR="006A4ACF" w:rsidRPr="00805A8D">
        <w:lastRenderedPageBreak/>
        <w:t xml:space="preserve">The KMO test indicates that the variables in our set do not correlate highly with one another. Similarly, Bartlett's test of </w:t>
      </w:r>
      <w:proofErr w:type="spellStart"/>
      <w:r w:rsidR="006A4ACF" w:rsidRPr="00805A8D">
        <w:t>sphericity</w:t>
      </w:r>
      <w:proofErr w:type="spellEnd"/>
      <w:r w:rsidR="006A4ACF" w:rsidRPr="00805A8D">
        <w:t xml:space="preserve"> was highly significant </w:t>
      </w:r>
      <w:proofErr w:type="gramStart"/>
      <w:r w:rsidR="006A4ACF" w:rsidRPr="00805A8D">
        <w:t>χ²(</w:t>
      </w:r>
      <w:proofErr w:type="gramEnd"/>
      <w:r w:rsidR="006A4ACF" w:rsidRPr="00805A8D">
        <w:t>15, n = 20) = 85.87, P &lt; .01. Both KMO and Bartlett’s tests support the use of PCA to reduce the number of factors.</w:t>
      </w:r>
    </w:p>
    <w:p w14:paraId="56D400D4" w14:textId="77777777" w:rsidR="0096527B" w:rsidRPr="00805A8D" w:rsidRDefault="0096527B" w:rsidP="00BA16C4">
      <w:pPr>
        <w:pStyle w:val="Paragraph"/>
        <w:ind w:firstLine="720"/>
        <w:jc w:val="both"/>
      </w:pPr>
      <w:r w:rsidRPr="00805A8D">
        <w:t xml:space="preserve">Following this methodological precaution, PCA was conducted on the pass precision and density of all three zones of play (defence, midfield, and attack) to determine the relative weight and contribution of each component to self-organisation. The new mathematical model, called the spatial integrated model of self-organisation in football teams (SIMSOFT), enables the examination of how teams reorganise in different spatial zones (defence, midfield, attack). </w:t>
      </w:r>
    </w:p>
    <w:p w14:paraId="1E30B0FD" w14:textId="77777777" w:rsidR="0096527B" w:rsidRPr="00805A8D" w:rsidRDefault="0096527B" w:rsidP="00BA16C4">
      <w:pPr>
        <w:pStyle w:val="Paragraph"/>
        <w:jc w:val="both"/>
      </w:pPr>
    </w:p>
    <w:p w14:paraId="4D02A9EF" w14:textId="77777777" w:rsidR="0096527B" w:rsidRPr="00805A8D" w:rsidRDefault="0096527B" w:rsidP="00BA16C4">
      <w:pPr>
        <w:pStyle w:val="Heading2"/>
        <w:jc w:val="both"/>
      </w:pPr>
      <w:r w:rsidRPr="00805A8D">
        <w:t>Ecological validity of the model</w:t>
      </w:r>
    </w:p>
    <w:p w14:paraId="7A3E0F5C" w14:textId="77777777" w:rsidR="0096527B" w:rsidRPr="00805A8D" w:rsidRDefault="0096527B" w:rsidP="00BA16C4">
      <w:pPr>
        <w:pStyle w:val="Paragraph"/>
        <w:ind w:firstLine="720"/>
        <w:jc w:val="both"/>
      </w:pPr>
      <w:r w:rsidRPr="00805A8D">
        <w:t>SIMFSOFT is a mathematical model of team play when in possession of the ball. Such capability should reflect on the performance on the team and, under the assumption of a football team being a self-organised system, should actually be predictive of performance. We tested three predictions that demonstrate the model’s ecological validity and thus highlight the practical impact of SIMSOFT.</w:t>
      </w:r>
    </w:p>
    <w:p w14:paraId="39E03EF3" w14:textId="77777777" w:rsidR="0096527B" w:rsidRPr="00805A8D" w:rsidRDefault="0096527B" w:rsidP="00BA16C4">
      <w:pPr>
        <w:pStyle w:val="Paragraph"/>
        <w:ind w:firstLine="720"/>
        <w:jc w:val="both"/>
      </w:pPr>
      <w:r w:rsidRPr="00805A8D">
        <w:t xml:space="preserve">The first prediction stands at the team level. A properly self-organised system should be delivering an output (i.e. goals) in spite of constant changes in the layout of the opposite team. SIMSOFT predicts team’s performance as evaluated by the number of goals per minute of possession. To test this prediction, team play indexes </w:t>
      </w:r>
      <w:proofErr w:type="gramStart"/>
      <w:r w:rsidRPr="00805A8D">
        <w:t>were correlated</w:t>
      </w:r>
      <w:proofErr w:type="gramEnd"/>
      <w:r w:rsidRPr="00805A8D">
        <w:t xml:space="preserve"> with the number of goals per minute of possession.</w:t>
      </w:r>
    </w:p>
    <w:p w14:paraId="6ADBB3EF" w14:textId="77777777" w:rsidR="0096527B" w:rsidRPr="00805A8D" w:rsidRDefault="0096527B" w:rsidP="00BA16C4">
      <w:pPr>
        <w:pStyle w:val="Paragraph"/>
        <w:ind w:firstLine="720"/>
        <w:jc w:val="both"/>
      </w:pPr>
      <w:r w:rsidRPr="00805A8D">
        <w:t xml:space="preserve">The second prediction stands at the match level. We tested whether SIMSOFT is able to account for individual games outcomes. To predict the outcome of a game we compared the team play index of the two teams and assigned the team with the best team play a theoretical </w:t>
      </w:r>
      <w:r w:rsidRPr="00805A8D">
        <w:lastRenderedPageBreak/>
        <w:t>win. This method does not allow predicting draws (78 games out of 360) as none of the team play’s indices are equal but it provides a proxy regarding the importance of team play in performance.</w:t>
      </w:r>
    </w:p>
    <w:p w14:paraId="0992D8DB" w14:textId="77777777" w:rsidR="0096527B" w:rsidRPr="00805A8D" w:rsidRDefault="0096527B" w:rsidP="00BA16C4">
      <w:pPr>
        <w:pStyle w:val="Paragraph"/>
        <w:ind w:firstLine="720"/>
        <w:jc w:val="both"/>
      </w:pPr>
      <w:r w:rsidRPr="00805A8D">
        <w:t xml:space="preserve">The third prediction stands at the league level. Should passing play a key role in performance then the self-organising theory should account for the final ranking of a team. We examined whether SIMSOFT predicts team ranking in the League. To this purpose, teams </w:t>
      </w:r>
      <w:proofErr w:type="gramStart"/>
      <w:r w:rsidRPr="00805A8D">
        <w:t>were ranked</w:t>
      </w:r>
      <w:proofErr w:type="gramEnd"/>
      <w:r w:rsidRPr="00805A8D">
        <w:t xml:space="preserve"> according to their team play index. Such theoretical ranking </w:t>
      </w:r>
      <w:proofErr w:type="gramStart"/>
      <w:r w:rsidRPr="00805A8D">
        <w:t>was correlated</w:t>
      </w:r>
      <w:proofErr w:type="gramEnd"/>
      <w:r w:rsidRPr="00805A8D">
        <w:t xml:space="preserve"> to the actua</w:t>
      </w:r>
      <w:r w:rsidR="005B3C1C" w:rsidRPr="00805A8D">
        <w:t>l ranking in the league tables.</w:t>
      </w:r>
    </w:p>
    <w:p w14:paraId="6195F4F1" w14:textId="77777777" w:rsidR="005B3C1C" w:rsidRPr="00805A8D" w:rsidRDefault="005B3C1C" w:rsidP="00BA16C4">
      <w:pPr>
        <w:pStyle w:val="Newparagraph"/>
        <w:jc w:val="both"/>
      </w:pPr>
    </w:p>
    <w:p w14:paraId="50E2A1E8" w14:textId="77777777" w:rsidR="0096527B" w:rsidRPr="00805A8D" w:rsidRDefault="0096527B" w:rsidP="00BA16C4">
      <w:pPr>
        <w:pStyle w:val="Heading1"/>
        <w:jc w:val="both"/>
      </w:pPr>
      <w:r w:rsidRPr="00805A8D">
        <w:t>Results</w:t>
      </w:r>
    </w:p>
    <w:p w14:paraId="216A31C0" w14:textId="77777777" w:rsidR="0096527B" w:rsidRPr="00805A8D" w:rsidRDefault="0096527B" w:rsidP="00BA16C4">
      <w:pPr>
        <w:pStyle w:val="Heading3"/>
        <w:jc w:val="both"/>
      </w:pPr>
      <w:r w:rsidRPr="00805A8D">
        <w:t>SIMSOFT</w:t>
      </w:r>
    </w:p>
    <w:p w14:paraId="4865B356" w14:textId="567D1187" w:rsidR="00323D10" w:rsidRPr="00805A8D" w:rsidRDefault="0096527B" w:rsidP="00323D10">
      <w:pPr>
        <w:pStyle w:val="Paragraph"/>
        <w:spacing w:before="0"/>
        <w:ind w:firstLine="720"/>
        <w:jc w:val="both"/>
      </w:pPr>
      <w:r w:rsidRPr="00805A8D">
        <w:t>Table 1 reports the parameters of interest for each team. The standardised parameters already offer some insight into a team’s structure by highlighting the differences in passing abilities across all the 20 teams in the premier league. It is striking to see that teams within the Premier league and thus the best possible football in the UK can differ from one another by several standard deviations in their ability to make passes.</w:t>
      </w:r>
    </w:p>
    <w:p w14:paraId="02035EE2" w14:textId="2D2749D8" w:rsidR="0096527B" w:rsidRPr="00805A8D" w:rsidRDefault="0096527B" w:rsidP="00323D10">
      <w:pPr>
        <w:pStyle w:val="Paragraph"/>
        <w:spacing w:before="0"/>
        <w:ind w:firstLine="720"/>
        <w:jc w:val="both"/>
      </w:pPr>
      <w:r w:rsidRPr="00805A8D">
        <w:t xml:space="preserve"> </w:t>
      </w:r>
    </w:p>
    <w:p w14:paraId="565BA631" w14:textId="4E4BB15B" w:rsidR="00C30BF6" w:rsidRPr="00805A8D" w:rsidRDefault="00323D10" w:rsidP="00323D10">
      <w:pPr>
        <w:pStyle w:val="Paragraph"/>
        <w:spacing w:before="0"/>
        <w:jc w:val="center"/>
        <w:rPr>
          <w:b/>
        </w:rPr>
      </w:pPr>
      <w:r w:rsidRPr="00805A8D">
        <w:rPr>
          <w:b/>
        </w:rPr>
        <w:t xml:space="preserve">***Insert Table 1 </w:t>
      </w:r>
      <w:proofErr w:type="gramStart"/>
      <w:r w:rsidRPr="00805A8D">
        <w:rPr>
          <w:b/>
        </w:rPr>
        <w:t>Around</w:t>
      </w:r>
      <w:proofErr w:type="gramEnd"/>
      <w:r w:rsidRPr="00805A8D">
        <w:rPr>
          <w:b/>
        </w:rPr>
        <w:t xml:space="preserve"> H</w:t>
      </w:r>
      <w:r w:rsidR="00C60B04" w:rsidRPr="00805A8D">
        <w:rPr>
          <w:b/>
        </w:rPr>
        <w:t>ere</w:t>
      </w:r>
      <w:r w:rsidRPr="00805A8D">
        <w:rPr>
          <w:b/>
        </w:rPr>
        <w:t>**</w:t>
      </w:r>
    </w:p>
    <w:p w14:paraId="44CA1957" w14:textId="77777777" w:rsidR="00323D10" w:rsidRPr="00805A8D" w:rsidRDefault="00323D10" w:rsidP="00BA16C4">
      <w:pPr>
        <w:pStyle w:val="Newparagraph"/>
      </w:pPr>
    </w:p>
    <w:p w14:paraId="15039872" w14:textId="77777777" w:rsidR="0096527B" w:rsidRPr="00805A8D" w:rsidRDefault="0096527B" w:rsidP="00BA16C4">
      <w:pPr>
        <w:pStyle w:val="Paragraph"/>
        <w:spacing w:before="0"/>
        <w:ind w:firstLine="720"/>
        <w:jc w:val="both"/>
      </w:pPr>
      <w:r w:rsidRPr="00805A8D">
        <w:t>The correlation matrix (Table 2) indicates the degree of association between the variables. As the correlation matrix shows, density tends to correlate negatively across the three zones of the field. Precision on the other hand correlates positively across the three zones. The correlation between density and precision is apparent only in the midfield with all r² &gt; .19.</w:t>
      </w:r>
    </w:p>
    <w:p w14:paraId="45FC1472" w14:textId="77777777" w:rsidR="0096527B" w:rsidRPr="00805A8D" w:rsidRDefault="0096527B" w:rsidP="00BA16C4">
      <w:pPr>
        <w:pStyle w:val="Paragraph"/>
        <w:spacing w:before="0"/>
        <w:jc w:val="both"/>
      </w:pPr>
    </w:p>
    <w:p w14:paraId="72A93ABE" w14:textId="4D8D8000" w:rsidR="00C60B04" w:rsidRPr="00805A8D" w:rsidRDefault="00323D10" w:rsidP="00BA16C4">
      <w:pPr>
        <w:pStyle w:val="Paragraph"/>
        <w:spacing w:before="0"/>
        <w:jc w:val="center"/>
        <w:rPr>
          <w:b/>
        </w:rPr>
      </w:pPr>
      <w:r w:rsidRPr="00805A8D">
        <w:rPr>
          <w:b/>
        </w:rPr>
        <w:lastRenderedPageBreak/>
        <w:t>***Insert T</w:t>
      </w:r>
      <w:r w:rsidR="00C60B04" w:rsidRPr="00805A8D">
        <w:rPr>
          <w:b/>
        </w:rPr>
        <w:t>able 2</w:t>
      </w:r>
      <w:r w:rsidRPr="00805A8D">
        <w:rPr>
          <w:b/>
        </w:rPr>
        <w:t xml:space="preserve"> </w:t>
      </w:r>
      <w:proofErr w:type="gramStart"/>
      <w:r w:rsidRPr="00805A8D">
        <w:rPr>
          <w:b/>
        </w:rPr>
        <w:t>Around</w:t>
      </w:r>
      <w:proofErr w:type="gramEnd"/>
      <w:r w:rsidRPr="00805A8D">
        <w:rPr>
          <w:b/>
        </w:rPr>
        <w:t xml:space="preserve"> H</w:t>
      </w:r>
      <w:r w:rsidR="00C60B04" w:rsidRPr="00805A8D">
        <w:rPr>
          <w:b/>
        </w:rPr>
        <w:t>ere</w:t>
      </w:r>
      <w:r w:rsidRPr="00805A8D">
        <w:rPr>
          <w:b/>
        </w:rPr>
        <w:t>***</w:t>
      </w:r>
    </w:p>
    <w:p w14:paraId="613F895A" w14:textId="77777777" w:rsidR="005B3C1C" w:rsidRPr="00805A8D" w:rsidRDefault="005B3C1C" w:rsidP="00BA16C4">
      <w:pPr>
        <w:pStyle w:val="Paragraph"/>
        <w:spacing w:before="0"/>
        <w:jc w:val="both"/>
      </w:pPr>
    </w:p>
    <w:p w14:paraId="5D852520" w14:textId="77777777" w:rsidR="00C30BF6" w:rsidRPr="00805A8D" w:rsidRDefault="0096527B" w:rsidP="00BA16C4">
      <w:pPr>
        <w:pStyle w:val="Paragraph"/>
        <w:ind w:firstLine="720"/>
        <w:jc w:val="both"/>
      </w:pPr>
      <w:r w:rsidRPr="00805A8D">
        <w:t>Principal components extraction identified two main components, a result that supports the previous study identifying also two components to a team’s performance (Chassy, 2013). Table 3 details the relative loading of each component. Component 1 alone accounts for 55% of the variance, with the second component accounting for 26%. The sum of both components accounts for 81% of the sum of squares.</w:t>
      </w:r>
    </w:p>
    <w:p w14:paraId="55B68EAD" w14:textId="77777777" w:rsidR="00170057" w:rsidRPr="00805A8D" w:rsidRDefault="00170057" w:rsidP="00170057">
      <w:pPr>
        <w:pStyle w:val="Newparagraph"/>
      </w:pPr>
    </w:p>
    <w:p w14:paraId="57EE17E3" w14:textId="33A45366" w:rsidR="00C60B04" w:rsidRPr="00805A8D" w:rsidRDefault="00170057" w:rsidP="00BA16C4">
      <w:pPr>
        <w:pStyle w:val="Paragraph"/>
        <w:spacing w:before="0"/>
        <w:jc w:val="center"/>
        <w:rPr>
          <w:b/>
        </w:rPr>
      </w:pPr>
      <w:r w:rsidRPr="00805A8D">
        <w:rPr>
          <w:b/>
        </w:rPr>
        <w:t>***</w:t>
      </w:r>
      <w:r w:rsidR="00C60B04" w:rsidRPr="00805A8D">
        <w:rPr>
          <w:b/>
        </w:rPr>
        <w:t>Insert</w:t>
      </w:r>
      <w:r w:rsidRPr="00805A8D">
        <w:rPr>
          <w:b/>
        </w:rPr>
        <w:t xml:space="preserve"> T</w:t>
      </w:r>
      <w:r w:rsidR="00C60B04" w:rsidRPr="00805A8D">
        <w:rPr>
          <w:b/>
        </w:rPr>
        <w:t>able 3</w:t>
      </w:r>
      <w:r w:rsidRPr="00805A8D">
        <w:rPr>
          <w:b/>
        </w:rPr>
        <w:t xml:space="preserve"> </w:t>
      </w:r>
      <w:proofErr w:type="gramStart"/>
      <w:r w:rsidRPr="00805A8D">
        <w:rPr>
          <w:b/>
        </w:rPr>
        <w:t>Around</w:t>
      </w:r>
      <w:proofErr w:type="gramEnd"/>
      <w:r w:rsidRPr="00805A8D">
        <w:rPr>
          <w:b/>
        </w:rPr>
        <w:t xml:space="preserve"> H</w:t>
      </w:r>
      <w:r w:rsidR="00C60B04" w:rsidRPr="00805A8D">
        <w:rPr>
          <w:b/>
        </w:rPr>
        <w:t>ere</w:t>
      </w:r>
      <w:r w:rsidRPr="00805A8D">
        <w:rPr>
          <w:b/>
        </w:rPr>
        <w:t>***</w:t>
      </w:r>
    </w:p>
    <w:p w14:paraId="64174271" w14:textId="77777777" w:rsidR="00C60B04" w:rsidRPr="00805A8D" w:rsidRDefault="00C60B04" w:rsidP="00BA16C4">
      <w:pPr>
        <w:pStyle w:val="Newparagraph"/>
        <w:jc w:val="both"/>
      </w:pPr>
    </w:p>
    <w:p w14:paraId="6B5CE73A" w14:textId="77777777" w:rsidR="0096527B" w:rsidRPr="00805A8D" w:rsidRDefault="0096527B" w:rsidP="00BA16C4">
      <w:pPr>
        <w:pStyle w:val="Paragraph"/>
        <w:ind w:firstLine="720"/>
        <w:jc w:val="both"/>
      </w:pPr>
      <w:r w:rsidRPr="00805A8D">
        <w:t xml:space="preserve">The results of the PCA </w:t>
      </w:r>
      <w:proofErr w:type="gramStart"/>
      <w:r w:rsidRPr="00805A8D">
        <w:t>were integrated</w:t>
      </w:r>
      <w:proofErr w:type="gramEnd"/>
      <w:r w:rsidRPr="00805A8D">
        <w:t xml:space="preserve"> into the initial Chassy’s model (Chassy, 2013) with the Efficiency parameter being left unchanged. The resulting mathematical model, SIMSOFT, </w:t>
      </w:r>
      <w:proofErr w:type="gramStart"/>
      <w:r w:rsidRPr="00805A8D">
        <w:t>is presented</w:t>
      </w:r>
      <w:proofErr w:type="gramEnd"/>
      <w:r w:rsidRPr="00805A8D">
        <w:t xml:space="preserve"> in Equation 1. It is interesting to note that the Efficiency factor, the only factor not relating to passing, influences the performance of the team at one stage only. Hence, out of 14 factors, shooting is relevant once; Its weight cumulated over the two components is very small as compared to passing parameters (0.94 &lt; 3.17). Equation 1 below is the full model that predicts team play as a function of standardised passing and shooting parameters. A regression of the TP index over team’s performance shows that SIMFOT has a significant predictive power (r </w:t>
      </w:r>
      <w:r w:rsidR="003264A9" w:rsidRPr="00805A8D">
        <w:t>= .76, P &lt; .001, 95% CI [179.14</w:t>
      </w:r>
      <w:r w:rsidRPr="00805A8D">
        <w:t>-437.9</w:t>
      </w:r>
      <w:r w:rsidR="003264A9" w:rsidRPr="00805A8D">
        <w:t>5</w:t>
      </w:r>
      <w:r w:rsidRPr="00805A8D">
        <w:t>]). Performance = 0.002 * Team Play + 0.030) and that a team performance linearly increases with team play.</w:t>
      </w:r>
    </w:p>
    <w:p w14:paraId="754C16EC" w14:textId="77777777" w:rsidR="00170057" w:rsidRPr="00805A8D" w:rsidRDefault="00170057" w:rsidP="00170057">
      <w:pPr>
        <w:pStyle w:val="Newparagraph"/>
      </w:pPr>
    </w:p>
    <w:p w14:paraId="661F97C6" w14:textId="77777777" w:rsidR="0096527B" w:rsidRPr="00805A8D" w:rsidRDefault="0096527B" w:rsidP="00D329C7">
      <w:pPr>
        <w:pStyle w:val="Paragraph"/>
        <w:ind w:firstLine="720"/>
        <w:jc w:val="both"/>
      </w:pPr>
      <w:r w:rsidRPr="00805A8D">
        <w:t>SIMSOFT model, Equation 1. Team Play = .33 DD + .863 DP + .7</w:t>
      </w:r>
      <w:r w:rsidR="003264A9" w:rsidRPr="00805A8D">
        <w:t>6</w:t>
      </w:r>
      <w:r w:rsidRPr="00805A8D">
        <w:t xml:space="preserve"> MD + .9</w:t>
      </w:r>
      <w:r w:rsidR="003264A9" w:rsidRPr="00805A8D">
        <w:t>7</w:t>
      </w:r>
      <w:r w:rsidRPr="00805A8D">
        <w:t xml:space="preserve"> MP + .20 AD + .94 AP + -.040 E + -.80 DD + -.1</w:t>
      </w:r>
      <w:r w:rsidR="003264A9" w:rsidRPr="00805A8D">
        <w:t>1</w:t>
      </w:r>
      <w:r w:rsidRPr="00805A8D">
        <w:t xml:space="preserve"> DP + -.21 MD + .1</w:t>
      </w:r>
      <w:r w:rsidR="003264A9" w:rsidRPr="00805A8D">
        <w:t>2</w:t>
      </w:r>
      <w:r w:rsidRPr="00805A8D">
        <w:t xml:space="preserve"> MP + .89 AD + .23 AP + .940E, accurate to three decimal places.</w:t>
      </w:r>
    </w:p>
    <w:p w14:paraId="09588305" w14:textId="77777777" w:rsidR="00170057" w:rsidRPr="00805A8D" w:rsidRDefault="00170057" w:rsidP="00BA16C4">
      <w:pPr>
        <w:pStyle w:val="Newparagraph"/>
        <w:ind w:firstLine="0"/>
      </w:pPr>
    </w:p>
    <w:p w14:paraId="650E82EF" w14:textId="77777777" w:rsidR="0096527B" w:rsidRPr="00805A8D" w:rsidRDefault="0096527B" w:rsidP="00BA16C4">
      <w:pPr>
        <w:pStyle w:val="Heading2"/>
        <w:jc w:val="both"/>
      </w:pPr>
      <w:r w:rsidRPr="00805A8D">
        <w:t>Ecological validity</w:t>
      </w:r>
    </w:p>
    <w:p w14:paraId="78C1FC43" w14:textId="77777777" w:rsidR="0096527B" w:rsidRPr="00805A8D" w:rsidRDefault="0096527B" w:rsidP="00BA16C4">
      <w:pPr>
        <w:pStyle w:val="Paragraph"/>
        <w:ind w:firstLine="720"/>
        <w:jc w:val="both"/>
      </w:pPr>
      <w:r w:rsidRPr="00805A8D">
        <w:t xml:space="preserve">All three ecological predictions received empirical support. The ecological prediction at the team level </w:t>
      </w:r>
      <w:proofErr w:type="gramStart"/>
      <w:r w:rsidRPr="00805A8D">
        <w:t>was supported</w:t>
      </w:r>
      <w:proofErr w:type="gramEnd"/>
      <w:r w:rsidRPr="00805A8D">
        <w:t>. SIMSOFT’s team play index significantly predicts the number of goals per minute of posse</w:t>
      </w:r>
      <w:r w:rsidR="003264A9" w:rsidRPr="00805A8D">
        <w:t>ssion (r = .779, 95% CI [125.44-291.91</w:t>
      </w:r>
      <w:r w:rsidRPr="00805A8D">
        <w:t xml:space="preserve">], </w:t>
      </w:r>
      <w:proofErr w:type="gramStart"/>
      <w:r w:rsidRPr="00805A8D">
        <w:t>F(</w:t>
      </w:r>
      <w:proofErr w:type="gramEnd"/>
      <w:r w:rsidRPr="00805A8D">
        <w:t>1, 18) = 27, P &lt; 0.001). Thirteen out of twenty teams fall within the confidence interval of the equation, indicating a high level of prediction. This result constitutes good evidence that passing abilities in the three thirds of the game underpin a team’s ability to create scoring opportunities.</w:t>
      </w:r>
    </w:p>
    <w:p w14:paraId="44F796B1" w14:textId="77777777" w:rsidR="0096527B" w:rsidRPr="00805A8D" w:rsidRDefault="0096527B" w:rsidP="00BA16C4">
      <w:pPr>
        <w:pStyle w:val="Paragraph"/>
        <w:ind w:firstLine="720"/>
        <w:jc w:val="both"/>
      </w:pPr>
      <w:r w:rsidRPr="00805A8D">
        <w:t xml:space="preserve">The ecological prediction at the match level </w:t>
      </w:r>
      <w:proofErr w:type="gramStart"/>
      <w:r w:rsidRPr="00805A8D">
        <w:t>was supported</w:t>
      </w:r>
      <w:proofErr w:type="gramEnd"/>
      <w:r w:rsidRPr="00805A8D">
        <w:t>. By comparing team play indexes, SIMSOFT predicts the winner in 68% of games (204 results predicted out of 302 games). A predictor capability that significantly departs from chance (</w:t>
      </w:r>
      <w:proofErr w:type="gramStart"/>
      <w:r w:rsidRPr="00805A8D">
        <w:t>χ²(</w:t>
      </w:r>
      <w:proofErr w:type="gramEnd"/>
      <w:r w:rsidRPr="00805A8D">
        <w:t>1) = 37.21, N = 302, p &lt; .001). SIMSOFT correctly predicted outcomes were 66% (118 / 180) of wins (</w:t>
      </w:r>
      <w:proofErr w:type="gramStart"/>
      <w:r w:rsidRPr="00805A8D">
        <w:t>χ²(</w:t>
      </w:r>
      <w:proofErr w:type="gramEnd"/>
      <w:r w:rsidRPr="00805A8D">
        <w:t>1) = 12.90, N = 298, p &lt; .001) for the home team and 70% (86 / 122) of wins by the away team (χ²(1) = 6.23, N = 208, p &lt; .001). This result is supportive of the idea that passing is an essential key aspect of competition.</w:t>
      </w:r>
    </w:p>
    <w:p w14:paraId="695CE3FB" w14:textId="77777777" w:rsidR="0096527B" w:rsidRPr="00805A8D" w:rsidRDefault="0096527B" w:rsidP="00BA16C4">
      <w:pPr>
        <w:pStyle w:val="Paragraph"/>
        <w:ind w:firstLine="720"/>
        <w:jc w:val="both"/>
      </w:pPr>
      <w:r w:rsidRPr="00805A8D">
        <w:t xml:space="preserve">The ecological prediction at the league level </w:t>
      </w:r>
      <w:proofErr w:type="gramStart"/>
      <w:r w:rsidRPr="00805A8D">
        <w:t>was supported</w:t>
      </w:r>
      <w:proofErr w:type="gramEnd"/>
      <w:r w:rsidRPr="00805A8D">
        <w:t>. Ranking teams as a function of team play is predictive of the final league table ranking at</w:t>
      </w:r>
      <w:r w:rsidR="003264A9" w:rsidRPr="00805A8D">
        <w:t xml:space="preserve"> the end of the season (r = .76</w:t>
      </w:r>
      <w:r w:rsidRPr="00805A8D">
        <w:t xml:space="preserve">, 95% CI [0.43-1.08], </w:t>
      </w:r>
      <w:proofErr w:type="gramStart"/>
      <w:r w:rsidRPr="00805A8D">
        <w:t>F(</w:t>
      </w:r>
      <w:proofErr w:type="gramEnd"/>
      <w:r w:rsidRPr="00805A8D">
        <w:t>1,18) = 23.85, P &lt; .001).</w:t>
      </w:r>
    </w:p>
    <w:p w14:paraId="2BA312AA" w14:textId="77777777" w:rsidR="0096527B" w:rsidRPr="00805A8D" w:rsidRDefault="0096527B" w:rsidP="00BA16C4">
      <w:pPr>
        <w:pStyle w:val="Paragraph"/>
        <w:ind w:firstLine="720"/>
        <w:jc w:val="both"/>
      </w:pPr>
      <w:r w:rsidRPr="00805A8D">
        <w:t xml:space="preserve">All three ecological predictions </w:t>
      </w:r>
      <w:proofErr w:type="gramStart"/>
      <w:r w:rsidRPr="00805A8D">
        <w:t>were supported</w:t>
      </w:r>
      <w:proofErr w:type="gramEnd"/>
      <w:r w:rsidRPr="00805A8D">
        <w:t xml:space="preserve"> indicating that SIMSOFT is valid across levels of analysis; from team performance to final league ranking. This crucial result suggests that passing abilities constitute the core of a team’s success. The ecological tests carried out support the idea that SIMSOFT constitutes a mathematical model that, by integrating passing and shooting parameters into a </w:t>
      </w:r>
      <w:proofErr w:type="gramStart"/>
      <w:r w:rsidRPr="00805A8D">
        <w:t>spatially-structured</w:t>
      </w:r>
      <w:proofErr w:type="gramEnd"/>
      <w:r w:rsidRPr="00805A8D">
        <w:t xml:space="preserve"> mathematical model, </w:t>
      </w:r>
      <w:r w:rsidRPr="00805A8D">
        <w:lastRenderedPageBreak/>
        <w:t>can predict team performance in real world situations.</w:t>
      </w:r>
    </w:p>
    <w:p w14:paraId="2A0FCE9D" w14:textId="77777777" w:rsidR="0096527B" w:rsidRPr="00805A8D" w:rsidRDefault="0096527B" w:rsidP="00BA16C4">
      <w:pPr>
        <w:pStyle w:val="Paragraph"/>
        <w:jc w:val="both"/>
      </w:pPr>
    </w:p>
    <w:p w14:paraId="3B76221F" w14:textId="77777777" w:rsidR="0096527B" w:rsidRPr="00805A8D" w:rsidRDefault="0096527B" w:rsidP="00BA16C4">
      <w:pPr>
        <w:pStyle w:val="Heading1"/>
        <w:jc w:val="both"/>
      </w:pPr>
      <w:r w:rsidRPr="00805A8D">
        <w:t>Discussion</w:t>
      </w:r>
    </w:p>
    <w:p w14:paraId="3E07C4DF" w14:textId="77777777" w:rsidR="0096527B" w:rsidRPr="00805A8D" w:rsidRDefault="0096527B" w:rsidP="00BA16C4">
      <w:pPr>
        <w:pStyle w:val="Paragraph"/>
        <w:ind w:firstLine="720"/>
        <w:jc w:val="both"/>
      </w:pPr>
      <w:r w:rsidRPr="00805A8D">
        <w:t>The main finding of the present study is that Team Play was a significant predictor of team performance; accounting for 61% of the variance. This finding provides further support for mathematical modelling of football play (</w:t>
      </w:r>
      <w:proofErr w:type="spellStart"/>
      <w:r w:rsidRPr="00805A8D">
        <w:t>Brillinger</w:t>
      </w:r>
      <w:proofErr w:type="spellEnd"/>
      <w:r w:rsidRPr="00805A8D">
        <w:t xml:space="preserve">, 2007; Chassy, 2013; </w:t>
      </w:r>
      <w:proofErr w:type="spellStart"/>
      <w:r w:rsidRPr="00805A8D">
        <w:t>McGarry</w:t>
      </w:r>
      <w:proofErr w:type="spellEnd"/>
      <w:r w:rsidRPr="00805A8D">
        <w:t xml:space="preserve"> et al., 2002), and through it, to the hypothesis of a team behaving as a self-organised system. SIMSOFT is significantly accurate in predicting the outcome of games as well as the final ranking of a team in a round-robin tournament. It is critical to note that SIMSOFT is a compound of six passing and one shooting parameter, which highlights the fact that the relative weights of passing in three zones of play contribute to predict performance. The present findings suggest that density of passing whilst in possession is a key contributor to performance. </w:t>
      </w:r>
    </w:p>
    <w:p w14:paraId="4B186F09" w14:textId="77777777" w:rsidR="0096527B" w:rsidRPr="00805A8D" w:rsidRDefault="0096527B" w:rsidP="00BA16C4">
      <w:pPr>
        <w:pStyle w:val="Paragraph"/>
        <w:ind w:firstLine="720"/>
        <w:jc w:val="both"/>
      </w:pPr>
      <w:r w:rsidRPr="00805A8D">
        <w:t xml:space="preserve">The introduction of zones of play in the model allows for consideration of the role of location in a team’s performance. Pass density analysis revealed that defensive play was negatively related to pass density in attack (r = -.45). This suggests that the more passes made in the defensive zone, the fewer passes are made in the attacking zone indicating a difficulty in progressing from the defensive third to the attacking third; a proper, objective measure of spatial domination by one team. A similar pattern of findings was found with the midfield zone, which was positively related to passing in defence, but also shared a negative relationship with the pass density in the attacking zone (r = -.09). This could be indicative of a lower frequency of passing in the attacking zone relating to an increased number of attempts at the goal, and subsequently a higher goal-scoring rate. Indeed, there is literature to support the idea that more </w:t>
      </w:r>
      <w:r w:rsidRPr="00805A8D">
        <w:lastRenderedPageBreak/>
        <w:t xml:space="preserve">goals </w:t>
      </w:r>
      <w:proofErr w:type="gramStart"/>
      <w:r w:rsidRPr="00805A8D">
        <w:t>are scored</w:t>
      </w:r>
      <w:proofErr w:type="gramEnd"/>
      <w:r w:rsidRPr="00805A8D">
        <w:t xml:space="preserve"> as the result of shorter passing sequences (</w:t>
      </w:r>
      <w:proofErr w:type="spellStart"/>
      <w:r w:rsidRPr="00805A8D">
        <w:t>Travassos</w:t>
      </w:r>
      <w:proofErr w:type="spellEnd"/>
      <w:r w:rsidRPr="00805A8D">
        <w:t xml:space="preserve"> et al., 2011). However, there is also contrasting evidence to suggest that more goals </w:t>
      </w:r>
      <w:proofErr w:type="gramStart"/>
      <w:r w:rsidRPr="00805A8D">
        <w:t>are scored</w:t>
      </w:r>
      <w:proofErr w:type="gramEnd"/>
      <w:r w:rsidRPr="00805A8D">
        <w:t xml:space="preserve"> from longer passing sequences (Hughes &amp; Franks, 2005; </w:t>
      </w:r>
      <w:proofErr w:type="spellStart"/>
      <w:r w:rsidRPr="00805A8D">
        <w:t>Tenga</w:t>
      </w:r>
      <w:proofErr w:type="spellEnd"/>
      <w:r w:rsidRPr="00805A8D">
        <w:t xml:space="preserve"> et al., 2010). As the majority of the evidence reported here did not explore whether </w:t>
      </w:r>
      <w:proofErr w:type="gramStart"/>
      <w:r w:rsidRPr="00805A8D">
        <w:t>passing sequences originated in either</w:t>
      </w:r>
      <w:proofErr w:type="gramEnd"/>
      <w:r w:rsidRPr="00805A8D">
        <w:t xml:space="preserve"> the defensive, midfield, or attacking zones, it is possible that the starting point of the passing manoeuvre is influential to the length of passing sequences that lead to a shot on target.</w:t>
      </w:r>
    </w:p>
    <w:p w14:paraId="036885D0" w14:textId="77777777" w:rsidR="0096527B" w:rsidRPr="00805A8D" w:rsidRDefault="0096527B" w:rsidP="00BA16C4">
      <w:pPr>
        <w:pStyle w:val="Paragraph"/>
        <w:ind w:firstLine="720"/>
        <w:jc w:val="both"/>
      </w:pPr>
      <w:r w:rsidRPr="00805A8D">
        <w:t xml:space="preserve">The match data analysis indicated that the midfield zone is the most influential zone in the current model, contributing to the highest weightings for both pass density and pass precision. This interpretation is in line with the work of </w:t>
      </w:r>
      <w:proofErr w:type="spellStart"/>
      <w:r w:rsidRPr="00805A8D">
        <w:t>Tenga</w:t>
      </w:r>
      <w:proofErr w:type="spellEnd"/>
      <w:r w:rsidRPr="00805A8D">
        <w:t xml:space="preserve"> et al. (2010) who reported that more goals </w:t>
      </w:r>
      <w:proofErr w:type="gramStart"/>
      <w:r w:rsidRPr="00805A8D">
        <w:t>were scored</w:t>
      </w:r>
      <w:proofErr w:type="gramEnd"/>
      <w:r w:rsidRPr="00805A8D">
        <w:t xml:space="preserve"> from possessions that began in the midfield zone of the pitch than either the defensive or attacking zones. Our explanation for this result is that, in the attacking zone, the mean ratio between the two teams in terms of players becomes less than one for the attacking team. For example, where both teams play in 4-4-2 in the defensive third, the team in possession has a ratio of </w:t>
      </w:r>
      <w:proofErr w:type="gramStart"/>
      <w:r w:rsidRPr="00805A8D">
        <w:t>2</w:t>
      </w:r>
      <w:proofErr w:type="gramEnd"/>
      <w:r w:rsidRPr="00805A8D">
        <w:t xml:space="preserve"> (four defenders vs. two attackers), in its midfield, the ratio is 1 (four midfields vs four midfields). However, in the attacking third they have to create space in a ratio of .5 (two attackers vs. four defenders). The progressive decrease of the balance between the two teams as the attacking team progresses towards the goal </w:t>
      </w:r>
      <w:proofErr w:type="gramStart"/>
      <w:r w:rsidRPr="00805A8D">
        <w:t>is mirrored</w:t>
      </w:r>
      <w:proofErr w:type="gramEnd"/>
      <w:r w:rsidRPr="00805A8D">
        <w:t xml:space="preserve"> by an increasing demand in coordination and speed. According to our results, the midfield is the place to self-organise for future attacks. This approach would also explain why there is a higher proportion of play in the midfield zone, as it is where both teams have equal forces and thus are perpetually trying to create an advantage. This logic is in line with the finding that pass density increases before a goal </w:t>
      </w:r>
      <w:proofErr w:type="gramStart"/>
      <w:r w:rsidRPr="00805A8D">
        <w:t>is scored</w:t>
      </w:r>
      <w:proofErr w:type="gramEnd"/>
      <w:r w:rsidRPr="00805A8D">
        <w:t xml:space="preserve"> (Redwood-Brown, 2008). Taken together these results suggest that good coordination in the midfield plus an acceleration of the passing pattern, while maintaining accuracy, when progressing to the goal are key to scoring.</w:t>
      </w:r>
    </w:p>
    <w:p w14:paraId="3678D0DD" w14:textId="691386A4" w:rsidR="00170057" w:rsidRPr="00805A8D" w:rsidRDefault="00170057" w:rsidP="00170057">
      <w:pPr>
        <w:pStyle w:val="Newparagraph"/>
      </w:pPr>
    </w:p>
    <w:p w14:paraId="5BE2325C" w14:textId="18038BD6" w:rsidR="00843F37" w:rsidRPr="00805A8D" w:rsidRDefault="00843F37" w:rsidP="009630A0">
      <w:pPr>
        <w:ind w:firstLine="720"/>
        <w:jc w:val="both"/>
      </w:pPr>
      <w:r w:rsidRPr="00805A8D">
        <w:lastRenderedPageBreak/>
        <w:t xml:space="preserve">Our results have </w:t>
      </w:r>
      <w:r w:rsidR="00083DC8" w:rsidRPr="00805A8D">
        <w:t>several</w:t>
      </w:r>
      <w:r w:rsidRPr="00805A8D">
        <w:t xml:space="preserve"> practical implications. The </w:t>
      </w:r>
      <w:r w:rsidR="00083DC8" w:rsidRPr="00805A8D">
        <w:t>key</w:t>
      </w:r>
      <w:r w:rsidRPr="00805A8D">
        <w:t xml:space="preserve"> result is the high weight of the passing parameters in determining a team’s performance. To </w:t>
      </w:r>
      <w:proofErr w:type="gramStart"/>
      <w:r w:rsidRPr="00805A8D">
        <w:t>be performed</w:t>
      </w:r>
      <w:proofErr w:type="gramEnd"/>
      <w:r w:rsidRPr="00805A8D">
        <w:t xml:space="preserve"> successfully, passing requires the presence of two factors. </w:t>
      </w:r>
      <w:r w:rsidR="00083DC8" w:rsidRPr="00805A8D">
        <w:t>The first</w:t>
      </w:r>
      <w:r w:rsidRPr="00805A8D">
        <w:t xml:space="preserve"> is the correct positioning of the passer and the receiver on the pitch. We believe this factor to be mostly of cognitive nature.</w:t>
      </w:r>
      <w:r w:rsidRPr="00B60B67">
        <w:t xml:space="preserve"> </w:t>
      </w:r>
      <w:r w:rsidR="005F684D" w:rsidRPr="00B60B67">
        <w:t xml:space="preserve">The role of cognitive </w:t>
      </w:r>
      <w:r w:rsidR="00C35C17" w:rsidRPr="00B60B67">
        <w:t xml:space="preserve">skills </w:t>
      </w:r>
      <w:r w:rsidR="005F684D" w:rsidRPr="00805A8D">
        <w:t xml:space="preserve">in </w:t>
      </w:r>
      <w:r w:rsidR="00C35C17" w:rsidRPr="00805A8D">
        <w:t xml:space="preserve">the acquisition of </w:t>
      </w:r>
      <w:r w:rsidR="005F684D" w:rsidRPr="00805A8D">
        <w:t xml:space="preserve">football expertise has been largely emphasised earlier (Ward, &amp; Williams, 2003) and our study supports its centrality. </w:t>
      </w:r>
      <w:r w:rsidRPr="00805A8D">
        <w:t>Tactical schemes will guide players in how they should progress towards the goal</w:t>
      </w:r>
      <w:r w:rsidR="00D70E4C" w:rsidRPr="00805A8D">
        <w:t xml:space="preserve"> (Gonzalez-</w:t>
      </w:r>
      <w:proofErr w:type="spellStart"/>
      <w:r w:rsidR="00D70E4C" w:rsidRPr="00805A8D">
        <w:t>Rodenas</w:t>
      </w:r>
      <w:proofErr w:type="spellEnd"/>
      <w:r w:rsidR="00D70E4C" w:rsidRPr="00805A8D">
        <w:t>, Lopez-</w:t>
      </w:r>
      <w:proofErr w:type="spellStart"/>
      <w:r w:rsidR="00D70E4C" w:rsidRPr="00805A8D">
        <w:t>Bondia</w:t>
      </w:r>
      <w:proofErr w:type="spellEnd"/>
      <w:r w:rsidR="00D70E4C" w:rsidRPr="00805A8D">
        <w:t xml:space="preserve">, </w:t>
      </w:r>
      <w:proofErr w:type="spellStart"/>
      <w:r w:rsidR="00D70E4C" w:rsidRPr="00805A8D">
        <w:t>Calabuig</w:t>
      </w:r>
      <w:proofErr w:type="spellEnd"/>
      <w:r w:rsidR="00D70E4C" w:rsidRPr="00805A8D">
        <w:t xml:space="preserve">, Pérez-Turpin, &amp; Aranda, 2016; </w:t>
      </w:r>
      <w:proofErr w:type="spellStart"/>
      <w:r w:rsidR="00D70E4C" w:rsidRPr="00805A8D">
        <w:t>Tenga</w:t>
      </w:r>
      <w:proofErr w:type="spellEnd"/>
      <w:r w:rsidR="00D70E4C" w:rsidRPr="00805A8D">
        <w:t xml:space="preserve">, Holme, </w:t>
      </w:r>
      <w:proofErr w:type="spellStart"/>
      <w:r w:rsidR="00D70E4C" w:rsidRPr="00805A8D">
        <w:t>Ronglan</w:t>
      </w:r>
      <w:proofErr w:type="spellEnd"/>
      <w:r w:rsidR="00D70E4C" w:rsidRPr="00805A8D">
        <w:t xml:space="preserve">, &amp; </w:t>
      </w:r>
      <w:proofErr w:type="spellStart"/>
      <w:r w:rsidR="00D70E4C" w:rsidRPr="00805A8D">
        <w:t>Barh</w:t>
      </w:r>
      <w:proofErr w:type="spellEnd"/>
      <w:r w:rsidR="00D70E4C" w:rsidRPr="00805A8D">
        <w:t>, 2010)</w:t>
      </w:r>
      <w:r w:rsidRPr="00805A8D">
        <w:t xml:space="preserve">. Each player has knowledge of the typical positions that </w:t>
      </w:r>
      <w:proofErr w:type="gramStart"/>
      <w:r w:rsidRPr="00805A8D">
        <w:t>could be taken</w:t>
      </w:r>
      <w:proofErr w:type="gramEnd"/>
      <w:r w:rsidRPr="00805A8D">
        <w:t xml:space="preserve"> and the typical manoeuvres that were rehearsed at training. The ability of the players to implement, or adapt, the team’s tactical scheme is</w:t>
      </w:r>
      <w:r w:rsidR="0071666A" w:rsidRPr="00805A8D">
        <w:t>, we suggest</w:t>
      </w:r>
      <w:r w:rsidR="0071666A" w:rsidRPr="00B60B67">
        <w:t>,</w:t>
      </w:r>
      <w:r w:rsidRPr="00B60B67">
        <w:t xml:space="preserve"> heavily depending upon spatial </w:t>
      </w:r>
      <w:r w:rsidR="0071666A" w:rsidRPr="00B60B67">
        <w:t>cognition</w:t>
      </w:r>
      <w:r w:rsidRPr="00805A8D">
        <w:t>. Foreseeing and anticipating the evolution of a game will create the positive conditions for a successful pass. If spatial cognition plays a role as we suggest in the present paper, then it would be beneficial to develop a sense of space awareness in players and develop their spatial skills</w:t>
      </w:r>
      <w:r w:rsidR="009630A0" w:rsidRPr="00805A8D">
        <w:t xml:space="preserve"> through training drills</w:t>
      </w:r>
      <w:r w:rsidRPr="00805A8D">
        <w:t xml:space="preserve">. The second factor is the actual skill to make the pass. </w:t>
      </w:r>
      <w:r w:rsidRPr="00B60B67">
        <w:t xml:space="preserve">Like any motor </w:t>
      </w:r>
      <w:r w:rsidRPr="00805A8D">
        <w:t xml:space="preserve">skill, performance is </w:t>
      </w:r>
      <w:r w:rsidR="00567833" w:rsidRPr="00805A8D">
        <w:t xml:space="preserve">a </w:t>
      </w:r>
      <w:r w:rsidRPr="00805A8D">
        <w:t>mere reflection of training</w:t>
      </w:r>
      <w:r w:rsidR="008D2986" w:rsidRPr="00805A8D">
        <w:t xml:space="preserve"> (Ericsson, </w:t>
      </w:r>
      <w:proofErr w:type="spellStart"/>
      <w:r w:rsidR="008D2986" w:rsidRPr="00805A8D">
        <w:t>Krampe</w:t>
      </w:r>
      <w:proofErr w:type="spellEnd"/>
      <w:r w:rsidR="008D2986" w:rsidRPr="00805A8D">
        <w:t xml:space="preserve">, &amp; </w:t>
      </w:r>
      <w:proofErr w:type="spellStart"/>
      <w:r w:rsidR="008D2986" w:rsidRPr="00805A8D">
        <w:t>Tesch-Römer</w:t>
      </w:r>
      <w:proofErr w:type="spellEnd"/>
      <w:r w:rsidR="008D2986" w:rsidRPr="00805A8D">
        <w:t>, 1993; Newell, &amp; Rosenbloom, 1981)</w:t>
      </w:r>
      <w:r w:rsidRPr="00805A8D">
        <w:t>; much literature has been written on the direct relationship between amount of practice and skills</w:t>
      </w:r>
      <w:r w:rsidR="00110DA3" w:rsidRPr="00805A8D">
        <w:t xml:space="preserve"> </w:t>
      </w:r>
      <w:r w:rsidR="008D2986" w:rsidRPr="00805A8D">
        <w:t xml:space="preserve">(Kaufman &amp; Duckworth, 2017) </w:t>
      </w:r>
      <w:r w:rsidR="005F684D" w:rsidRPr="00805A8D">
        <w:t>even though other factors might also modul</w:t>
      </w:r>
      <w:r w:rsidR="008D2986" w:rsidRPr="00805A8D">
        <w:t>a</w:t>
      </w:r>
      <w:r w:rsidR="005F684D" w:rsidRPr="00805A8D">
        <w:t xml:space="preserve">te speed of acquisition (Chassy &amp; </w:t>
      </w:r>
      <w:proofErr w:type="spellStart"/>
      <w:r w:rsidR="005F684D" w:rsidRPr="00805A8D">
        <w:t>Gobet</w:t>
      </w:r>
      <w:proofErr w:type="spellEnd"/>
      <w:r w:rsidR="005F684D" w:rsidRPr="00805A8D">
        <w:t xml:space="preserve">, 2011; Hornig, </w:t>
      </w:r>
      <w:proofErr w:type="spellStart"/>
      <w:r w:rsidR="005F684D" w:rsidRPr="00805A8D">
        <w:t>Aust</w:t>
      </w:r>
      <w:proofErr w:type="spellEnd"/>
      <w:r w:rsidR="005F684D" w:rsidRPr="00805A8D">
        <w:t xml:space="preserve">, &amp; </w:t>
      </w:r>
      <w:proofErr w:type="spellStart"/>
      <w:r w:rsidR="005F684D" w:rsidRPr="00805A8D">
        <w:t>Güllich</w:t>
      </w:r>
      <w:proofErr w:type="spellEnd"/>
      <w:r w:rsidR="005F684D" w:rsidRPr="00805A8D">
        <w:t>, 2016)</w:t>
      </w:r>
      <w:r w:rsidRPr="00805A8D">
        <w:t xml:space="preserve">. </w:t>
      </w:r>
      <w:r w:rsidR="009630A0" w:rsidRPr="00B60B67">
        <w:t>C</w:t>
      </w:r>
      <w:r w:rsidRPr="0065786D">
        <w:t xml:space="preserve">onsidering that players occupy determined positions all </w:t>
      </w:r>
      <w:r w:rsidRPr="00805A8D">
        <w:t>along the game, they are likely to be required to make passes in the same direction. The set of motor skills acquired during training should match the passing requirements determined by the spatial location of the player.</w:t>
      </w:r>
    </w:p>
    <w:p w14:paraId="0AD88601" w14:textId="77777777" w:rsidR="00170057" w:rsidRPr="00805A8D" w:rsidRDefault="00170057" w:rsidP="00BA16C4">
      <w:pPr>
        <w:ind w:firstLine="720"/>
        <w:jc w:val="both"/>
      </w:pPr>
    </w:p>
    <w:p w14:paraId="5BE07956" w14:textId="70438159" w:rsidR="0096527B" w:rsidRPr="00B60B67" w:rsidRDefault="0096527B" w:rsidP="00D329C7">
      <w:pPr>
        <w:pStyle w:val="Paragraph"/>
        <w:ind w:firstLine="720"/>
        <w:jc w:val="both"/>
      </w:pPr>
      <w:r w:rsidRPr="00805A8D">
        <w:t xml:space="preserve">The mathematical model, SIMSOFT, will benefit from more research. Three main avenues for improvement would be beneficial at this stage. The first is introducing parameters </w:t>
      </w:r>
      <w:r w:rsidRPr="00805A8D">
        <w:lastRenderedPageBreak/>
        <w:t>that modulate the effect of team play. For example, playing home (or away) is known to have an effect on the result (</w:t>
      </w:r>
      <w:proofErr w:type="spellStart"/>
      <w:r w:rsidRPr="00805A8D">
        <w:t>Nevill</w:t>
      </w:r>
      <w:proofErr w:type="spellEnd"/>
      <w:r w:rsidRPr="00805A8D">
        <w:t xml:space="preserve">, Newell, &amp; Gale, 1996). The second avenue is to develop a more sophisticated mapping of the football pitch. The spatiality of the model </w:t>
      </w:r>
      <w:proofErr w:type="gramStart"/>
      <w:r w:rsidRPr="00805A8D">
        <w:t>should be extended</w:t>
      </w:r>
      <w:proofErr w:type="gramEnd"/>
      <w:r w:rsidRPr="00805A8D">
        <w:t xml:space="preserve"> maybe with a continuous coordinate system in place of an arbitrary division of the pitch. Third, we have suggested that a team’s performance can be formalised by using the framework of a self-organising system; however, it is important to note that the current model only predicts performance when a team has possession of the ball. Possession </w:t>
      </w:r>
      <w:proofErr w:type="gramStart"/>
      <w:r w:rsidRPr="00805A8D">
        <w:t>is considered</w:t>
      </w:r>
      <w:proofErr w:type="gramEnd"/>
      <w:r w:rsidRPr="00805A8D">
        <w:t xml:space="preserve"> an important indicator of performance and there is a large body of research exploring this relationship (Hughes &amp; Franks, 2005; Lago-</w:t>
      </w:r>
      <w:proofErr w:type="spellStart"/>
      <w:r w:rsidRPr="00805A8D">
        <w:t>Peñas</w:t>
      </w:r>
      <w:proofErr w:type="spellEnd"/>
      <w:r w:rsidRPr="00805A8D">
        <w:t xml:space="preserve"> &amp; </w:t>
      </w:r>
      <w:proofErr w:type="spellStart"/>
      <w:r w:rsidRPr="00805A8D">
        <w:t>Dellal</w:t>
      </w:r>
      <w:proofErr w:type="spellEnd"/>
      <w:r w:rsidRPr="00805A8D">
        <w:t>, 2010; Lago, 2009). It is clear that a team would also function as a self-organising system when they do not have possession. Otherwise, it would not be possible for players to perform defensive actions. Thus, only accounting for possession play represents a limitation of the current model which should be addressed in fut</w:t>
      </w:r>
      <w:r w:rsidR="00B512E5">
        <w:t>ure research</w:t>
      </w:r>
      <w:r w:rsidR="00B65AC0" w:rsidRPr="00805A8D">
        <w:t>. Noticeably though, there is no equivalent behavioural measure of direct interactions, and thus self-organisation, when the team is not in possession</w:t>
      </w:r>
      <w:r w:rsidR="00B65AC0" w:rsidRPr="00B60B67">
        <w:t xml:space="preserve">. A potential technique that </w:t>
      </w:r>
      <w:proofErr w:type="gramStart"/>
      <w:r w:rsidR="00B65AC0" w:rsidRPr="00B60B67">
        <w:t>could be used</w:t>
      </w:r>
      <w:proofErr w:type="gramEnd"/>
      <w:r w:rsidR="00B65AC0" w:rsidRPr="00B60B67">
        <w:t xml:space="preserve"> is to analyse the relative motion of players (</w:t>
      </w:r>
      <w:proofErr w:type="spellStart"/>
      <w:r w:rsidR="00B65AC0" w:rsidRPr="00B60B67">
        <w:t>Folgado</w:t>
      </w:r>
      <w:proofErr w:type="spellEnd"/>
      <w:r w:rsidR="00B65AC0" w:rsidRPr="00B60B67">
        <w:t xml:space="preserve">, Duarte, Marques, </w:t>
      </w:r>
      <w:proofErr w:type="spellStart"/>
      <w:r w:rsidR="00B65AC0" w:rsidRPr="00B60B67">
        <w:t>Gonçalves</w:t>
      </w:r>
      <w:proofErr w:type="spellEnd"/>
      <w:r w:rsidR="00B65AC0" w:rsidRPr="00B60B67">
        <w:t xml:space="preserve">, &amp; </w:t>
      </w:r>
      <w:proofErr w:type="spellStart"/>
      <w:r w:rsidR="00B65AC0" w:rsidRPr="00B60B67">
        <w:t>Sampaio</w:t>
      </w:r>
      <w:proofErr w:type="spellEnd"/>
      <w:r w:rsidR="00B65AC0" w:rsidRPr="00B60B67">
        <w:t xml:space="preserve">, 2018). A spatial approach </w:t>
      </w:r>
      <w:r w:rsidR="00BD1C54" w:rsidRPr="00B60B67">
        <w:t xml:space="preserve">to self-organisation </w:t>
      </w:r>
      <w:r w:rsidR="00B65AC0" w:rsidRPr="00B60B67">
        <w:t xml:space="preserve">provides a </w:t>
      </w:r>
      <w:r w:rsidR="00B65AC0" w:rsidRPr="0065786D">
        <w:t xml:space="preserve">proxy on the degree of coordination between players but does not reflect their ability to interact. </w:t>
      </w:r>
    </w:p>
    <w:p w14:paraId="7F283F63" w14:textId="77777777" w:rsidR="00170057" w:rsidRPr="00805A8D" w:rsidRDefault="00170057" w:rsidP="00BA16C4">
      <w:pPr>
        <w:pStyle w:val="Newparagraph"/>
        <w:ind w:firstLine="0"/>
      </w:pPr>
    </w:p>
    <w:p w14:paraId="4D9BB215" w14:textId="77777777" w:rsidR="0096527B" w:rsidRPr="00805A8D" w:rsidRDefault="0096527B" w:rsidP="00BA16C4">
      <w:pPr>
        <w:pStyle w:val="Paragraph"/>
        <w:ind w:firstLine="720"/>
        <w:jc w:val="both"/>
      </w:pPr>
      <w:r w:rsidRPr="00805A8D">
        <w:t xml:space="preserve">In conclusion, the present study has provided further evidence that the theory of self-organising systems is an appropriate and useful framework through which to explore the team play in football when a team is in possession. The study has replicated the original model (Chassy, 2013) using data from a round robin league and has developed this further, demonstrating the contribution of localised, self-organised sub-systems in three zones of play. The SIMSOFT mathematical model successfully predicts the winning team, in 68% of the games. The present results open a new avenue for analysing and integrating team performance </w:t>
      </w:r>
      <w:r w:rsidRPr="00805A8D">
        <w:lastRenderedPageBreak/>
        <w:t>into a single framework.</w:t>
      </w:r>
    </w:p>
    <w:p w14:paraId="690BA14C" w14:textId="77777777" w:rsidR="0096527B" w:rsidRPr="00B60B67" w:rsidRDefault="0096527B" w:rsidP="0096527B">
      <w:pPr>
        <w:pStyle w:val="Paragraph"/>
      </w:pPr>
      <w:r w:rsidRPr="00B60B67">
        <w:t> </w:t>
      </w:r>
    </w:p>
    <w:p w14:paraId="7E37E05C" w14:textId="77777777" w:rsidR="003264A9" w:rsidRPr="00B60B67" w:rsidRDefault="003264A9">
      <w:pPr>
        <w:spacing w:line="240" w:lineRule="auto"/>
        <w:rPr>
          <w:rFonts w:cs="Arial"/>
          <w:b/>
          <w:bCs/>
          <w:kern w:val="32"/>
          <w:szCs w:val="32"/>
        </w:rPr>
      </w:pPr>
      <w:r w:rsidRPr="00B60B67">
        <w:br w:type="page"/>
      </w:r>
    </w:p>
    <w:p w14:paraId="40A71E03" w14:textId="77777777" w:rsidR="0096527B" w:rsidRPr="00805A8D" w:rsidRDefault="0096527B" w:rsidP="006D0ED1">
      <w:pPr>
        <w:pStyle w:val="Heading1"/>
      </w:pPr>
      <w:r w:rsidRPr="00805A8D">
        <w:lastRenderedPageBreak/>
        <w:t>References</w:t>
      </w:r>
    </w:p>
    <w:p w14:paraId="23E9DBCE" w14:textId="77777777" w:rsidR="00701DFE" w:rsidRPr="00B60B67" w:rsidRDefault="00701DFE" w:rsidP="0096527B">
      <w:pPr>
        <w:pStyle w:val="Paragraph"/>
      </w:pPr>
      <w:proofErr w:type="spellStart"/>
      <w:r w:rsidRPr="00805A8D">
        <w:t>Andrienko</w:t>
      </w:r>
      <w:proofErr w:type="spellEnd"/>
      <w:r w:rsidRPr="00805A8D">
        <w:t xml:space="preserve">, G., </w:t>
      </w:r>
      <w:proofErr w:type="spellStart"/>
      <w:r w:rsidRPr="00805A8D">
        <w:t>Andrienko</w:t>
      </w:r>
      <w:proofErr w:type="spellEnd"/>
      <w:r w:rsidRPr="00805A8D">
        <w:t xml:space="preserve">, N., </w:t>
      </w:r>
      <w:proofErr w:type="spellStart"/>
      <w:r w:rsidRPr="00805A8D">
        <w:t>Budziak</w:t>
      </w:r>
      <w:proofErr w:type="spellEnd"/>
      <w:r w:rsidRPr="00805A8D">
        <w:t xml:space="preserve">, G., Dykes, J., Fuchs, G., von </w:t>
      </w:r>
      <w:proofErr w:type="spellStart"/>
      <w:r w:rsidRPr="00805A8D">
        <w:t>Landesberger</w:t>
      </w:r>
      <w:proofErr w:type="spellEnd"/>
      <w:r w:rsidRPr="00805A8D">
        <w:t xml:space="preserve">, T., &amp; Weber, H. (2017). Visual analysis of pressure in football. </w:t>
      </w:r>
      <w:r w:rsidRPr="00805A8D">
        <w:rPr>
          <w:i/>
        </w:rPr>
        <w:t>Data Mining and Knowledge Discovery, 31</w:t>
      </w:r>
      <w:r w:rsidRPr="00B60B67">
        <w:t>(6), 1793-1839.</w:t>
      </w:r>
    </w:p>
    <w:p w14:paraId="1E40E784" w14:textId="07C17FA7" w:rsidR="008D2986" w:rsidRPr="00B60B67" w:rsidRDefault="008D2986" w:rsidP="0096527B">
      <w:pPr>
        <w:pStyle w:val="Paragraph"/>
      </w:pPr>
      <w:r w:rsidRPr="00805A8D">
        <w:t xml:space="preserve">Barnes, C., Archer, D. T., Hogg, B., Bush, M., &amp; Bradley, P. S. (2014). The evolution of physical and technical performance parameters in the English Premier League. </w:t>
      </w:r>
      <w:r w:rsidR="00B60B67" w:rsidRPr="00805A8D">
        <w:rPr>
          <w:i/>
        </w:rPr>
        <w:t>International</w:t>
      </w:r>
      <w:r w:rsidRPr="00805A8D">
        <w:rPr>
          <w:i/>
        </w:rPr>
        <w:t xml:space="preserve"> J</w:t>
      </w:r>
      <w:r w:rsidR="00B60B67" w:rsidRPr="00805A8D">
        <w:rPr>
          <w:i/>
        </w:rPr>
        <w:t>ournal of</w:t>
      </w:r>
      <w:r w:rsidRPr="00805A8D">
        <w:rPr>
          <w:i/>
        </w:rPr>
        <w:t xml:space="preserve"> Sports Med</w:t>
      </w:r>
      <w:r w:rsidR="00B60B67" w:rsidRPr="00805A8D">
        <w:rPr>
          <w:i/>
        </w:rPr>
        <w:t>icine</w:t>
      </w:r>
      <w:r w:rsidRPr="00805A8D">
        <w:rPr>
          <w:i/>
        </w:rPr>
        <w:t>, 35</w:t>
      </w:r>
      <w:r w:rsidRPr="00B60B67">
        <w:t>(13), 1095-1100.</w:t>
      </w:r>
    </w:p>
    <w:p w14:paraId="6D9DE311" w14:textId="1D2FCC5C" w:rsidR="00701DFE" w:rsidRPr="00805A8D" w:rsidRDefault="00701DFE" w:rsidP="00701DFE">
      <w:pPr>
        <w:pStyle w:val="Paragraph"/>
      </w:pPr>
      <w:proofErr w:type="spellStart"/>
      <w:r w:rsidRPr="00805A8D">
        <w:t>Bialkowski</w:t>
      </w:r>
      <w:proofErr w:type="spellEnd"/>
      <w:r w:rsidRPr="00805A8D">
        <w:t xml:space="preserve">, A., Lucey, P., </w:t>
      </w:r>
      <w:proofErr w:type="spellStart"/>
      <w:r w:rsidRPr="00805A8D">
        <w:t>Carr</w:t>
      </w:r>
      <w:proofErr w:type="spellEnd"/>
      <w:r w:rsidRPr="00805A8D">
        <w:t xml:space="preserve">, P., Yue, Y., </w:t>
      </w:r>
      <w:proofErr w:type="spellStart"/>
      <w:r w:rsidRPr="00805A8D">
        <w:t>Sridharan</w:t>
      </w:r>
      <w:proofErr w:type="spellEnd"/>
      <w:r w:rsidRPr="00805A8D">
        <w:t>, S., &amp; Matthews, I. (2014, December). Identifying team style in soccer using formations learned from spatiotemporal tracking data. In Data Mining Workshop (ICDMW), 2014 IEEE International Conference on (pp. 9-14). IEEE.</w:t>
      </w:r>
    </w:p>
    <w:p w14:paraId="663724D7" w14:textId="3FD66080" w:rsidR="0096527B" w:rsidRPr="00B60B67" w:rsidRDefault="0096527B" w:rsidP="0096527B">
      <w:pPr>
        <w:pStyle w:val="Paragraph"/>
      </w:pPr>
      <w:proofErr w:type="spellStart"/>
      <w:r w:rsidRPr="00805A8D">
        <w:t>Bonabeau</w:t>
      </w:r>
      <w:proofErr w:type="spellEnd"/>
      <w:r w:rsidRPr="00805A8D">
        <w:t xml:space="preserve">, E., </w:t>
      </w:r>
      <w:proofErr w:type="spellStart"/>
      <w:r w:rsidRPr="00805A8D">
        <w:t>Theraulaz</w:t>
      </w:r>
      <w:proofErr w:type="spellEnd"/>
      <w:r w:rsidRPr="00805A8D">
        <w:t xml:space="preserve">, G., </w:t>
      </w:r>
      <w:proofErr w:type="spellStart"/>
      <w:r w:rsidRPr="00805A8D">
        <w:t>Deneubourg</w:t>
      </w:r>
      <w:proofErr w:type="spellEnd"/>
      <w:r w:rsidRPr="00805A8D">
        <w:t xml:space="preserve">, J.-L., Aron, S., &amp; </w:t>
      </w:r>
      <w:proofErr w:type="spellStart"/>
      <w:r w:rsidRPr="00805A8D">
        <w:t>Camazine</w:t>
      </w:r>
      <w:proofErr w:type="spellEnd"/>
      <w:r w:rsidRPr="00805A8D">
        <w:t xml:space="preserve">, S. (1997). Self-organization in social insects. </w:t>
      </w:r>
      <w:r w:rsidRPr="00BA16C4">
        <w:rPr>
          <w:i/>
        </w:rPr>
        <w:t>Trends in Ecology &amp; Evolution, 12</w:t>
      </w:r>
      <w:r w:rsidRPr="00B60B67">
        <w:t xml:space="preserve">(5), 188-193. </w:t>
      </w:r>
    </w:p>
    <w:p w14:paraId="6C8D3E72" w14:textId="77777777" w:rsidR="0096527B" w:rsidRPr="00B60B67" w:rsidRDefault="0096527B" w:rsidP="0096527B">
      <w:pPr>
        <w:pStyle w:val="Paragraph"/>
      </w:pPr>
      <w:proofErr w:type="spellStart"/>
      <w:r w:rsidRPr="00B60B67">
        <w:t>Brillinger</w:t>
      </w:r>
      <w:proofErr w:type="spellEnd"/>
      <w:r w:rsidRPr="00B60B67">
        <w:t xml:space="preserve">, D. R. (2007). A potential function approach to the flow of play in soccer. </w:t>
      </w:r>
      <w:r w:rsidRPr="00BA16C4">
        <w:rPr>
          <w:i/>
        </w:rPr>
        <w:t>Journal of Quantitative Analysis in Sports, 3(</w:t>
      </w:r>
      <w:r w:rsidRPr="00B60B67">
        <w:t xml:space="preserve">1). </w:t>
      </w:r>
    </w:p>
    <w:p w14:paraId="37049979" w14:textId="77777777" w:rsidR="008D2986" w:rsidRPr="00B60B67" w:rsidRDefault="008D2986" w:rsidP="0096527B">
      <w:pPr>
        <w:pStyle w:val="Paragraph"/>
      </w:pPr>
      <w:r w:rsidRPr="00805A8D">
        <w:t xml:space="preserve">Bush, M., Barnes, C., Archer, D. T., Hogg, B., &amp; Bradley, P. S. (2015). Evolution of match performance parameters for various playing positions in the English Premier League. </w:t>
      </w:r>
      <w:r w:rsidRPr="00805A8D">
        <w:rPr>
          <w:i/>
        </w:rPr>
        <w:t>Human Movement Science, 39</w:t>
      </w:r>
      <w:r w:rsidRPr="00B60B67">
        <w:t xml:space="preserve">, 1-11. </w:t>
      </w:r>
    </w:p>
    <w:p w14:paraId="01A17C4D" w14:textId="4FB58AB8" w:rsidR="0096527B" w:rsidRPr="00B60B67" w:rsidRDefault="0096527B" w:rsidP="0096527B">
      <w:pPr>
        <w:pStyle w:val="Paragraph"/>
      </w:pPr>
      <w:proofErr w:type="spellStart"/>
      <w:r w:rsidRPr="00B60B67">
        <w:t>Camazine</w:t>
      </w:r>
      <w:proofErr w:type="spellEnd"/>
      <w:r w:rsidRPr="00B60B67">
        <w:t xml:space="preserve">, S. (1991). Self-organizing pattern formation on the combs of </w:t>
      </w:r>
      <w:proofErr w:type="gramStart"/>
      <w:r w:rsidRPr="00B60B67">
        <w:t>honey bee</w:t>
      </w:r>
      <w:proofErr w:type="gramEnd"/>
      <w:r w:rsidRPr="00B60B67">
        <w:t xml:space="preserve"> colonies. </w:t>
      </w:r>
      <w:proofErr w:type="spellStart"/>
      <w:r w:rsidRPr="00BA16C4">
        <w:rPr>
          <w:i/>
        </w:rPr>
        <w:t>Behavioral</w:t>
      </w:r>
      <w:proofErr w:type="spellEnd"/>
      <w:r w:rsidRPr="00BA16C4">
        <w:rPr>
          <w:i/>
        </w:rPr>
        <w:t xml:space="preserve"> </w:t>
      </w:r>
      <w:r w:rsidR="00B60B67" w:rsidRPr="00805A8D">
        <w:rPr>
          <w:i/>
        </w:rPr>
        <w:t>E</w:t>
      </w:r>
      <w:r w:rsidRPr="00805A8D">
        <w:rPr>
          <w:i/>
        </w:rPr>
        <w:t>cology</w:t>
      </w:r>
      <w:r w:rsidRPr="00BA16C4">
        <w:rPr>
          <w:i/>
        </w:rPr>
        <w:t xml:space="preserve"> and </w:t>
      </w:r>
      <w:proofErr w:type="spellStart"/>
      <w:r w:rsidR="00B60B67" w:rsidRPr="00805A8D">
        <w:rPr>
          <w:i/>
        </w:rPr>
        <w:t>S</w:t>
      </w:r>
      <w:r w:rsidRPr="00805A8D">
        <w:rPr>
          <w:i/>
        </w:rPr>
        <w:t>ociobiology</w:t>
      </w:r>
      <w:proofErr w:type="spellEnd"/>
      <w:r w:rsidRPr="00BA16C4">
        <w:rPr>
          <w:i/>
        </w:rPr>
        <w:t>, 28</w:t>
      </w:r>
      <w:r w:rsidRPr="00B60B67">
        <w:t xml:space="preserve">(1), 61-76. </w:t>
      </w:r>
    </w:p>
    <w:p w14:paraId="2B2A4434" w14:textId="77777777" w:rsidR="0096527B" w:rsidRPr="00B60B67" w:rsidRDefault="0096527B" w:rsidP="0096527B">
      <w:pPr>
        <w:pStyle w:val="Paragraph"/>
      </w:pPr>
      <w:r w:rsidRPr="00805A8D">
        <w:t xml:space="preserve">Chassy, P. (2013). Team play in football: How science supports FC Barcelona’s training strategy. </w:t>
      </w:r>
      <w:r w:rsidRPr="00BA16C4">
        <w:rPr>
          <w:i/>
        </w:rPr>
        <w:t>Psychology, 4</w:t>
      </w:r>
      <w:r w:rsidRPr="00B60B67">
        <w:t xml:space="preserve">, 7-12. </w:t>
      </w:r>
    </w:p>
    <w:p w14:paraId="433CE749" w14:textId="77657993" w:rsidR="008D2986" w:rsidRPr="00B60B67" w:rsidRDefault="008D2986" w:rsidP="0096527B">
      <w:pPr>
        <w:pStyle w:val="Paragraph"/>
      </w:pPr>
      <w:r w:rsidRPr="0065786D">
        <w:lastRenderedPageBreak/>
        <w:t xml:space="preserve">Chassy, P., &amp; Gobet, F. (2010). Speed of expertise acquisition depends upon inherited factors. </w:t>
      </w:r>
      <w:r w:rsidRPr="00805A8D">
        <w:rPr>
          <w:i/>
        </w:rPr>
        <w:t>Talent Development and Excellence, 2</w:t>
      </w:r>
      <w:r w:rsidRPr="00B60B67">
        <w:t>, 17-27.</w:t>
      </w:r>
    </w:p>
    <w:p w14:paraId="0AF5F005" w14:textId="36A51339" w:rsidR="00E02249" w:rsidRPr="00B60B67" w:rsidRDefault="00E02249" w:rsidP="00E02249">
      <w:pPr>
        <w:pStyle w:val="Paragraph"/>
      </w:pPr>
      <w:r w:rsidRPr="00B60B67">
        <w:t xml:space="preserve">Chassy, P., &amp; Gobet, F. (2011). A hypothesis about the biological basis of expert intuition. </w:t>
      </w:r>
      <w:r w:rsidRPr="00805A8D">
        <w:rPr>
          <w:i/>
        </w:rPr>
        <w:t>Review of General Psychology, 15</w:t>
      </w:r>
      <w:r w:rsidRPr="00B60B67">
        <w:t>(3), 198.</w:t>
      </w:r>
    </w:p>
    <w:p w14:paraId="0F875B82" w14:textId="02978E63" w:rsidR="0096527B" w:rsidRPr="00B60B67" w:rsidRDefault="0096527B" w:rsidP="0096527B">
      <w:pPr>
        <w:pStyle w:val="Paragraph"/>
      </w:pPr>
      <w:r w:rsidRPr="0065786D">
        <w:t xml:space="preserve">Collet, C. (2013). The possession game? A comparative analysis of ball retention and team success in European and international football, 2007–2010. </w:t>
      </w:r>
      <w:r w:rsidRPr="00BA16C4">
        <w:rPr>
          <w:i/>
        </w:rPr>
        <w:t xml:space="preserve">Journal of </w:t>
      </w:r>
      <w:r w:rsidR="00E02249" w:rsidRPr="00805A8D">
        <w:rPr>
          <w:i/>
        </w:rPr>
        <w:t>S</w:t>
      </w:r>
      <w:r w:rsidRPr="00805A8D">
        <w:rPr>
          <w:i/>
        </w:rPr>
        <w:t xml:space="preserve">ports </w:t>
      </w:r>
      <w:r w:rsidR="00E02249" w:rsidRPr="00805A8D">
        <w:rPr>
          <w:i/>
        </w:rPr>
        <w:t>S</w:t>
      </w:r>
      <w:r w:rsidRPr="00805A8D">
        <w:rPr>
          <w:i/>
        </w:rPr>
        <w:t>ciences</w:t>
      </w:r>
      <w:r w:rsidRPr="00BA16C4">
        <w:rPr>
          <w:i/>
        </w:rPr>
        <w:t>, 31</w:t>
      </w:r>
      <w:r w:rsidRPr="00B60B67">
        <w:t xml:space="preserve">(2), 123-136. </w:t>
      </w:r>
    </w:p>
    <w:p w14:paraId="1B768648" w14:textId="0BA79334" w:rsidR="00E02249" w:rsidRPr="00B60B67" w:rsidRDefault="0096527B" w:rsidP="0096527B">
      <w:pPr>
        <w:pStyle w:val="Paragraph"/>
      </w:pPr>
      <w:proofErr w:type="spellStart"/>
      <w:r w:rsidRPr="0065786D">
        <w:t>Davids</w:t>
      </w:r>
      <w:proofErr w:type="spellEnd"/>
      <w:r w:rsidRPr="0065786D">
        <w:t xml:space="preserve">, K., </w:t>
      </w:r>
      <w:proofErr w:type="spellStart"/>
      <w:r w:rsidRPr="0065786D">
        <w:t>Araújo</w:t>
      </w:r>
      <w:proofErr w:type="spellEnd"/>
      <w:r w:rsidRPr="0065786D">
        <w:t xml:space="preserve">, D., &amp; </w:t>
      </w:r>
      <w:proofErr w:type="spellStart"/>
      <w:r w:rsidRPr="0065786D">
        <w:t>Shuttleworth</w:t>
      </w:r>
      <w:proofErr w:type="spellEnd"/>
      <w:r w:rsidRPr="0065786D">
        <w:t xml:space="preserve">, R. (2005). Applications of dynamical systems theory to football. </w:t>
      </w:r>
      <w:r w:rsidRPr="00BA16C4">
        <w:rPr>
          <w:i/>
        </w:rPr>
        <w:t xml:space="preserve">Science and </w:t>
      </w:r>
      <w:r w:rsidR="00B60B67">
        <w:rPr>
          <w:i/>
        </w:rPr>
        <w:t>F</w:t>
      </w:r>
      <w:r w:rsidRPr="00805A8D">
        <w:rPr>
          <w:i/>
        </w:rPr>
        <w:t>ootball</w:t>
      </w:r>
      <w:r w:rsidRPr="00BA16C4">
        <w:rPr>
          <w:i/>
        </w:rPr>
        <w:t xml:space="preserve"> V</w:t>
      </w:r>
      <w:r w:rsidRPr="00B60B67">
        <w:t>, 537</w:t>
      </w:r>
      <w:r w:rsidR="00E02249" w:rsidRPr="00B60B67">
        <w:t>-</w:t>
      </w:r>
      <w:r w:rsidRPr="00B60B67">
        <w:t>550.</w:t>
      </w:r>
    </w:p>
    <w:p w14:paraId="1E8507A0" w14:textId="29D5E86B" w:rsidR="00701DFE" w:rsidRPr="0065786D" w:rsidRDefault="00701DFE" w:rsidP="00701DFE">
      <w:pPr>
        <w:pStyle w:val="Paragraph"/>
      </w:pPr>
      <w:r w:rsidRPr="0065786D">
        <w:t xml:space="preserve">Duarte, R., </w:t>
      </w:r>
      <w:proofErr w:type="spellStart"/>
      <w:r w:rsidRPr="0065786D">
        <w:t>Araújo</w:t>
      </w:r>
      <w:proofErr w:type="spellEnd"/>
      <w:r w:rsidRPr="0065786D">
        <w:t xml:space="preserve">, D., </w:t>
      </w:r>
      <w:proofErr w:type="spellStart"/>
      <w:r w:rsidRPr="0065786D">
        <w:t>Correia</w:t>
      </w:r>
      <w:proofErr w:type="spellEnd"/>
      <w:r w:rsidRPr="0065786D">
        <w:t xml:space="preserve">, V., </w:t>
      </w:r>
      <w:proofErr w:type="spellStart"/>
      <w:r w:rsidRPr="0065786D">
        <w:t>Davids</w:t>
      </w:r>
      <w:proofErr w:type="spellEnd"/>
      <w:r w:rsidRPr="0065786D">
        <w:t xml:space="preserve">, K., Marques, P., &amp; Richardson, M. J. (2013). Competing together: Assessing the dynamics of team–team and player–team synchrony in professional association football. </w:t>
      </w:r>
      <w:r w:rsidRPr="00805A8D">
        <w:rPr>
          <w:i/>
        </w:rPr>
        <w:t>Human Movement Science, 32</w:t>
      </w:r>
      <w:r w:rsidRPr="0065786D">
        <w:t>(4), 555-566.</w:t>
      </w:r>
    </w:p>
    <w:p w14:paraId="6DD3ADA5" w14:textId="7E939DBC" w:rsidR="00E02249" w:rsidRPr="00D962C9" w:rsidRDefault="00E02249" w:rsidP="0096527B">
      <w:pPr>
        <w:pStyle w:val="Paragraph"/>
        <w:rPr>
          <w:lang w:val="fr-FR"/>
        </w:rPr>
      </w:pPr>
      <w:r w:rsidRPr="00805A8D">
        <w:t xml:space="preserve">Ericsson, K. A., </w:t>
      </w:r>
      <w:proofErr w:type="spellStart"/>
      <w:r w:rsidRPr="00805A8D">
        <w:t>Krampe</w:t>
      </w:r>
      <w:proofErr w:type="spellEnd"/>
      <w:r w:rsidRPr="00805A8D">
        <w:t xml:space="preserve">, R. T., &amp; </w:t>
      </w:r>
      <w:proofErr w:type="spellStart"/>
      <w:r w:rsidRPr="00805A8D">
        <w:t>Tesch-Römer</w:t>
      </w:r>
      <w:proofErr w:type="spellEnd"/>
      <w:r w:rsidRPr="00805A8D">
        <w:t xml:space="preserve">, C. (1993). The role of deliberate practice in the acquisition of expert performance. </w:t>
      </w:r>
      <w:proofErr w:type="spellStart"/>
      <w:r w:rsidRPr="00D962C9">
        <w:rPr>
          <w:i/>
          <w:lang w:val="fr-FR"/>
        </w:rPr>
        <w:t>Psychological</w:t>
      </w:r>
      <w:proofErr w:type="spellEnd"/>
      <w:r w:rsidRPr="00D962C9">
        <w:rPr>
          <w:i/>
          <w:lang w:val="fr-FR"/>
        </w:rPr>
        <w:t xml:space="preserve"> </w:t>
      </w:r>
      <w:proofErr w:type="spellStart"/>
      <w:r w:rsidR="00B60B67" w:rsidRPr="00D962C9">
        <w:rPr>
          <w:i/>
          <w:lang w:val="fr-FR"/>
        </w:rPr>
        <w:t>R</w:t>
      </w:r>
      <w:r w:rsidRPr="00D962C9">
        <w:rPr>
          <w:i/>
          <w:lang w:val="fr-FR"/>
        </w:rPr>
        <w:t>eview</w:t>
      </w:r>
      <w:proofErr w:type="spellEnd"/>
      <w:r w:rsidRPr="00D962C9">
        <w:rPr>
          <w:i/>
          <w:lang w:val="fr-FR"/>
        </w:rPr>
        <w:t>, 100</w:t>
      </w:r>
      <w:r w:rsidRPr="00D962C9">
        <w:rPr>
          <w:lang w:val="fr-FR"/>
        </w:rPr>
        <w:t>(3), 363-406.</w:t>
      </w:r>
    </w:p>
    <w:p w14:paraId="56CE3652" w14:textId="7910149A" w:rsidR="0096527B" w:rsidRPr="00805A8D" w:rsidRDefault="00E02249" w:rsidP="0096527B">
      <w:pPr>
        <w:pStyle w:val="Paragraph"/>
      </w:pPr>
      <w:proofErr w:type="spellStart"/>
      <w:r w:rsidRPr="00D962C9">
        <w:rPr>
          <w:lang w:val="fr-FR"/>
        </w:rPr>
        <w:t>Folgado</w:t>
      </w:r>
      <w:proofErr w:type="spellEnd"/>
      <w:r w:rsidRPr="00D962C9">
        <w:rPr>
          <w:lang w:val="fr-FR"/>
        </w:rPr>
        <w:t xml:space="preserve">, H., Duarte, R., Marques, P., Gonçalves, B., &amp; </w:t>
      </w:r>
      <w:proofErr w:type="spellStart"/>
      <w:r w:rsidRPr="00D962C9">
        <w:rPr>
          <w:lang w:val="fr-FR"/>
        </w:rPr>
        <w:t>Sampaio</w:t>
      </w:r>
      <w:proofErr w:type="spellEnd"/>
      <w:r w:rsidRPr="00D962C9">
        <w:rPr>
          <w:lang w:val="fr-FR"/>
        </w:rPr>
        <w:t xml:space="preserve">, J. (2018). </w:t>
      </w:r>
      <w:r w:rsidRPr="00805A8D">
        <w:t xml:space="preserve">Exploring how movement synchronization </w:t>
      </w:r>
      <w:proofErr w:type="gramStart"/>
      <w:r w:rsidRPr="00805A8D">
        <w:t>is related</w:t>
      </w:r>
      <w:proofErr w:type="gramEnd"/>
      <w:r w:rsidRPr="00805A8D">
        <w:t xml:space="preserve"> to match outcome in elite professional football. </w:t>
      </w:r>
      <w:r w:rsidRPr="00805A8D">
        <w:rPr>
          <w:i/>
        </w:rPr>
        <w:t>Science and Medicine in Football</w:t>
      </w:r>
      <w:r w:rsidRPr="0065786D">
        <w:t>, 1-7.</w:t>
      </w:r>
    </w:p>
    <w:p w14:paraId="6CB9F45A" w14:textId="19D898DD" w:rsidR="00E02249" w:rsidRPr="00B60B67" w:rsidRDefault="00E02249" w:rsidP="00E02249">
      <w:pPr>
        <w:pStyle w:val="Paragraph"/>
      </w:pPr>
      <w:r w:rsidRPr="0065786D">
        <w:t>Gonzalez-</w:t>
      </w:r>
      <w:proofErr w:type="spellStart"/>
      <w:r w:rsidRPr="0065786D">
        <w:t>Rodenas</w:t>
      </w:r>
      <w:proofErr w:type="spellEnd"/>
      <w:r w:rsidRPr="0065786D">
        <w:t>, J., Lopez-</w:t>
      </w:r>
      <w:proofErr w:type="spellStart"/>
      <w:r w:rsidRPr="0065786D">
        <w:t>Bondia</w:t>
      </w:r>
      <w:proofErr w:type="spellEnd"/>
      <w:r w:rsidRPr="0065786D">
        <w:t xml:space="preserve">, I., </w:t>
      </w:r>
      <w:proofErr w:type="spellStart"/>
      <w:r w:rsidRPr="0065786D">
        <w:t>Calabuig</w:t>
      </w:r>
      <w:proofErr w:type="spellEnd"/>
      <w:r w:rsidRPr="0065786D">
        <w:t xml:space="preserve">, F., Pérez-Turpin, J. A., &amp; Aranda, R. </w:t>
      </w:r>
      <w:r w:rsidRPr="00805A8D">
        <w:t xml:space="preserve">(2016). Association between playing tactics and creating scoring opportunities in counterattacks from United States Major League Soccer games. </w:t>
      </w:r>
      <w:r w:rsidRPr="00805A8D">
        <w:rPr>
          <w:i/>
        </w:rPr>
        <w:t>International Journal of Performance Analysis in Sport, 16</w:t>
      </w:r>
      <w:r w:rsidRPr="00B60B67">
        <w:t>(2), 737-752.</w:t>
      </w:r>
    </w:p>
    <w:p w14:paraId="4DE18851" w14:textId="33E6633C" w:rsidR="00E02249" w:rsidRPr="00B60B67" w:rsidRDefault="0096527B" w:rsidP="0096527B">
      <w:pPr>
        <w:pStyle w:val="Paragraph"/>
      </w:pPr>
      <w:proofErr w:type="spellStart"/>
      <w:r w:rsidRPr="0065786D">
        <w:t>Grehaigne</w:t>
      </w:r>
      <w:proofErr w:type="spellEnd"/>
      <w:r w:rsidRPr="0065786D">
        <w:t xml:space="preserve">, J., </w:t>
      </w:r>
      <w:proofErr w:type="spellStart"/>
      <w:r w:rsidRPr="0065786D">
        <w:t>Bouthier</w:t>
      </w:r>
      <w:proofErr w:type="spellEnd"/>
      <w:r w:rsidRPr="0065786D">
        <w:t>, D</w:t>
      </w:r>
      <w:r w:rsidR="00A72CAC" w:rsidRPr="0065786D">
        <w:t xml:space="preserve">, &amp; David, </w:t>
      </w:r>
      <w:proofErr w:type="gramStart"/>
      <w:r w:rsidR="00A72CAC" w:rsidRPr="0065786D">
        <w:t>B.</w:t>
      </w:r>
      <w:r w:rsidRPr="00805A8D">
        <w:t>.</w:t>
      </w:r>
      <w:proofErr w:type="gramEnd"/>
      <w:r w:rsidRPr="00805A8D">
        <w:t xml:space="preserve"> (1997). Dynamic-system analysis of opponent </w:t>
      </w:r>
      <w:r w:rsidRPr="00805A8D">
        <w:lastRenderedPageBreak/>
        <w:t xml:space="preserve">relationships in collective actions in soccer. </w:t>
      </w:r>
      <w:r w:rsidRPr="00BA16C4">
        <w:rPr>
          <w:i/>
        </w:rPr>
        <w:t xml:space="preserve">Journal of Sports </w:t>
      </w:r>
      <w:r w:rsidRPr="00805A8D">
        <w:rPr>
          <w:i/>
        </w:rPr>
        <w:t>Science</w:t>
      </w:r>
      <w:r w:rsidR="00E02249" w:rsidRPr="00805A8D">
        <w:rPr>
          <w:i/>
        </w:rPr>
        <w:t>s</w:t>
      </w:r>
      <w:r w:rsidRPr="00BA16C4">
        <w:rPr>
          <w:i/>
        </w:rPr>
        <w:t>, 15</w:t>
      </w:r>
      <w:r w:rsidRPr="00B60B67">
        <w:t>, 137-149.</w:t>
      </w:r>
    </w:p>
    <w:p w14:paraId="59D4EA81" w14:textId="77777777" w:rsidR="00701DFE" w:rsidRPr="00B60B67" w:rsidRDefault="00701DFE" w:rsidP="0096527B">
      <w:pPr>
        <w:pStyle w:val="Paragraph"/>
      </w:pPr>
      <w:proofErr w:type="spellStart"/>
      <w:r w:rsidRPr="00B60B67">
        <w:t>Gréhaigne</w:t>
      </w:r>
      <w:proofErr w:type="spellEnd"/>
      <w:r w:rsidRPr="00B60B67">
        <w:t xml:space="preserve">, J. F., &amp; Godbout, P. (2014). Dynamic systems theory and team sport coaching. </w:t>
      </w:r>
      <w:r w:rsidRPr="00805A8D">
        <w:rPr>
          <w:i/>
        </w:rPr>
        <w:t>Quest, 66</w:t>
      </w:r>
      <w:r w:rsidRPr="00B60B67">
        <w:t>(1), 96-116.</w:t>
      </w:r>
    </w:p>
    <w:p w14:paraId="4006D0CD" w14:textId="52B3E13E" w:rsidR="0096527B" w:rsidRPr="00B60B67" w:rsidRDefault="00E02249" w:rsidP="0096527B">
      <w:pPr>
        <w:pStyle w:val="Paragraph"/>
      </w:pPr>
      <w:r w:rsidRPr="00805A8D">
        <w:t xml:space="preserve">Hornig, M., </w:t>
      </w:r>
      <w:proofErr w:type="spellStart"/>
      <w:r w:rsidRPr="00805A8D">
        <w:t>Aust</w:t>
      </w:r>
      <w:proofErr w:type="spellEnd"/>
      <w:r w:rsidRPr="00805A8D">
        <w:t xml:space="preserve">, F., &amp; </w:t>
      </w:r>
      <w:proofErr w:type="spellStart"/>
      <w:r w:rsidRPr="00805A8D">
        <w:t>Güllich</w:t>
      </w:r>
      <w:proofErr w:type="spellEnd"/>
      <w:r w:rsidRPr="00805A8D">
        <w:t xml:space="preserve">, A. (2016). Practice and play in the development of German top-level professional football players. </w:t>
      </w:r>
      <w:r w:rsidRPr="00805A8D">
        <w:rPr>
          <w:i/>
        </w:rPr>
        <w:t>European Journal of Sport Science, 16</w:t>
      </w:r>
      <w:r w:rsidRPr="00B60B67">
        <w:t>(1), 96-105.</w:t>
      </w:r>
      <w:r w:rsidR="0096527B" w:rsidRPr="00B60B67">
        <w:t xml:space="preserve"> </w:t>
      </w:r>
    </w:p>
    <w:p w14:paraId="608524EF" w14:textId="2879BC5B" w:rsidR="0096527B" w:rsidRPr="00B60B67" w:rsidRDefault="0096527B" w:rsidP="0096527B">
      <w:pPr>
        <w:pStyle w:val="Paragraph"/>
      </w:pPr>
      <w:r w:rsidRPr="00B60B67">
        <w:t xml:space="preserve">Hughes, M., &amp; Franks, I. (2005). Analysis of passing sequences, shots and goals in soccer. </w:t>
      </w:r>
      <w:r w:rsidRPr="00BA16C4">
        <w:rPr>
          <w:i/>
        </w:rPr>
        <w:t xml:space="preserve">Journal of Sports </w:t>
      </w:r>
      <w:r w:rsidRPr="00805A8D">
        <w:rPr>
          <w:i/>
        </w:rPr>
        <w:t>Science</w:t>
      </w:r>
      <w:r w:rsidR="00E02249" w:rsidRPr="00805A8D">
        <w:rPr>
          <w:i/>
        </w:rPr>
        <w:t>s</w:t>
      </w:r>
      <w:r w:rsidRPr="00BA16C4">
        <w:rPr>
          <w:i/>
        </w:rPr>
        <w:t>, 23</w:t>
      </w:r>
      <w:r w:rsidRPr="00B60B67">
        <w:t xml:space="preserve">, 509-514. </w:t>
      </w:r>
    </w:p>
    <w:p w14:paraId="6EE6C435" w14:textId="77777777" w:rsidR="0096527B" w:rsidRPr="00B60B67" w:rsidRDefault="0096527B" w:rsidP="0096527B">
      <w:pPr>
        <w:pStyle w:val="Paragraph"/>
        <w:rPr>
          <w:lang w:val="fr-FR"/>
        </w:rPr>
      </w:pPr>
      <w:r w:rsidRPr="00805A8D">
        <w:t xml:space="preserve">Jensen, H. J. (1998). Self-Organized criticality: Emergent complex </w:t>
      </w:r>
      <w:proofErr w:type="spellStart"/>
      <w:r w:rsidRPr="00805A8D">
        <w:t>behavior</w:t>
      </w:r>
      <w:proofErr w:type="spellEnd"/>
      <w:r w:rsidRPr="00805A8D">
        <w:t xml:space="preserve"> in physical and biological systems. </w:t>
      </w:r>
      <w:r w:rsidRPr="00BA16C4">
        <w:rPr>
          <w:i/>
          <w:lang w:val="fr-FR"/>
        </w:rPr>
        <w:t xml:space="preserve">Cambridge Lecture Notes in </w:t>
      </w:r>
      <w:proofErr w:type="spellStart"/>
      <w:r w:rsidRPr="00BA16C4">
        <w:rPr>
          <w:i/>
          <w:lang w:val="fr-FR"/>
        </w:rPr>
        <w:t>Physics</w:t>
      </w:r>
      <w:proofErr w:type="spellEnd"/>
      <w:r w:rsidRPr="00B60B67">
        <w:rPr>
          <w:lang w:val="fr-FR"/>
        </w:rPr>
        <w:t xml:space="preserve">, 10. </w:t>
      </w:r>
    </w:p>
    <w:p w14:paraId="260207DD" w14:textId="77777777" w:rsidR="0096527B" w:rsidRPr="00B60B67" w:rsidRDefault="0096527B" w:rsidP="0096527B">
      <w:pPr>
        <w:pStyle w:val="Paragraph"/>
      </w:pPr>
      <w:r w:rsidRPr="00805A8D">
        <w:rPr>
          <w:lang w:val="fr-FR"/>
        </w:rPr>
        <w:t xml:space="preserve">Jones, P., James, N., &amp; </w:t>
      </w:r>
      <w:proofErr w:type="spellStart"/>
      <w:r w:rsidRPr="00805A8D">
        <w:rPr>
          <w:lang w:val="fr-FR"/>
        </w:rPr>
        <w:t>Mellalieu</w:t>
      </w:r>
      <w:proofErr w:type="spellEnd"/>
      <w:r w:rsidRPr="00805A8D">
        <w:rPr>
          <w:lang w:val="fr-FR"/>
        </w:rPr>
        <w:t xml:space="preserve">, S. D. (2004). </w:t>
      </w:r>
      <w:r w:rsidRPr="00805A8D">
        <w:t xml:space="preserve">Possession as a performance indicator in soccer. </w:t>
      </w:r>
      <w:r w:rsidRPr="00BA16C4">
        <w:rPr>
          <w:i/>
        </w:rPr>
        <w:t>International Journal of Performance Analysis in Sport, 4</w:t>
      </w:r>
      <w:r w:rsidRPr="00B60B67">
        <w:t xml:space="preserve">(1), 98-102. </w:t>
      </w:r>
    </w:p>
    <w:p w14:paraId="3A88212A" w14:textId="613BB471" w:rsidR="00E02249" w:rsidRPr="00B60B67" w:rsidRDefault="0096527B" w:rsidP="0096527B">
      <w:pPr>
        <w:pStyle w:val="Paragraph"/>
      </w:pPr>
      <w:r w:rsidRPr="00B60B67">
        <w:t xml:space="preserve">Kaiser, H. (1960). The application of electronic computers to factor analysis. </w:t>
      </w:r>
      <w:r w:rsidRPr="00BA16C4">
        <w:rPr>
          <w:i/>
        </w:rPr>
        <w:t xml:space="preserve">Educational and Psychological </w:t>
      </w:r>
      <w:proofErr w:type="spellStart"/>
      <w:r w:rsidRPr="00BA16C4">
        <w:rPr>
          <w:i/>
        </w:rPr>
        <w:t>Measurment</w:t>
      </w:r>
      <w:proofErr w:type="spellEnd"/>
      <w:r w:rsidRPr="00BA16C4">
        <w:rPr>
          <w:i/>
        </w:rPr>
        <w:t>, 20</w:t>
      </w:r>
      <w:r w:rsidRPr="00B60B67">
        <w:t>, 141-151.</w:t>
      </w:r>
    </w:p>
    <w:p w14:paraId="1711075E" w14:textId="20650FB0" w:rsidR="00E02249" w:rsidRPr="00B60B67" w:rsidRDefault="00E02249" w:rsidP="0096527B">
      <w:pPr>
        <w:pStyle w:val="Paragraph"/>
      </w:pPr>
      <w:r w:rsidRPr="00B60B67">
        <w:t xml:space="preserve">Kaufman, S. B., &amp; Duckworth, A. L. (2017). </w:t>
      </w:r>
      <w:proofErr w:type="gramStart"/>
      <w:r w:rsidRPr="00B60B67">
        <w:t>World‐class</w:t>
      </w:r>
      <w:proofErr w:type="gramEnd"/>
      <w:r w:rsidRPr="00B60B67">
        <w:t xml:space="preserve"> expertise: a developmental model. </w:t>
      </w:r>
      <w:r w:rsidRPr="00805A8D">
        <w:rPr>
          <w:i/>
        </w:rPr>
        <w:t>Wiley Interdisciplinary Reviews: Cognitive Science, 8</w:t>
      </w:r>
      <w:r w:rsidRPr="00B60B67">
        <w:t>(1-2), e1365.</w:t>
      </w:r>
    </w:p>
    <w:p w14:paraId="36F45E43" w14:textId="2B6C9169" w:rsidR="0096527B" w:rsidRPr="00B60B67" w:rsidRDefault="00E02249" w:rsidP="0096527B">
      <w:pPr>
        <w:pStyle w:val="Paragraph"/>
      </w:pPr>
      <w:r w:rsidRPr="00805A8D">
        <w:t>Lago-Ballesteros, J., Lago-</w:t>
      </w:r>
      <w:proofErr w:type="spellStart"/>
      <w:r w:rsidRPr="00805A8D">
        <w:t>Peñas</w:t>
      </w:r>
      <w:proofErr w:type="spellEnd"/>
      <w:r w:rsidRPr="00805A8D">
        <w:t xml:space="preserve">, C., &amp; Rey, E. (2012). The effect of playing tactics and situational variables on achieving score-box possessions in a professional soccer team. </w:t>
      </w:r>
      <w:r w:rsidRPr="00805A8D">
        <w:rPr>
          <w:i/>
        </w:rPr>
        <w:t>Journal of Sports Sciences, 30</w:t>
      </w:r>
      <w:r w:rsidRPr="00B60B67">
        <w:t>(14), 1455-1461.</w:t>
      </w:r>
    </w:p>
    <w:p w14:paraId="02ABCF7C" w14:textId="36458A6A" w:rsidR="00E02249" w:rsidRPr="00B60B67" w:rsidRDefault="0096527B" w:rsidP="00E02249">
      <w:pPr>
        <w:pStyle w:val="Paragraph"/>
      </w:pPr>
      <w:r w:rsidRPr="00805A8D">
        <w:t>Lago-</w:t>
      </w:r>
      <w:proofErr w:type="spellStart"/>
      <w:r w:rsidRPr="00805A8D">
        <w:t>Peñas</w:t>
      </w:r>
      <w:proofErr w:type="spellEnd"/>
      <w:r w:rsidRPr="00805A8D">
        <w:t xml:space="preserve">, C., &amp; </w:t>
      </w:r>
      <w:proofErr w:type="spellStart"/>
      <w:r w:rsidRPr="00805A8D">
        <w:t>Dellal</w:t>
      </w:r>
      <w:proofErr w:type="spellEnd"/>
      <w:r w:rsidRPr="00805A8D">
        <w:t xml:space="preserve">, A. (2010). Ball possession strategies in elite soccer according to the evolution of the match-score: the influence of situational variables. </w:t>
      </w:r>
      <w:r w:rsidRPr="00BA16C4">
        <w:rPr>
          <w:i/>
        </w:rPr>
        <w:t>Journal of Human Kinetics, 25</w:t>
      </w:r>
      <w:r w:rsidRPr="00B60B67">
        <w:t xml:space="preserve">, 93-100. </w:t>
      </w:r>
    </w:p>
    <w:p w14:paraId="062A9ECC" w14:textId="77777777" w:rsidR="0096527B" w:rsidRPr="00B60B67" w:rsidRDefault="0096527B" w:rsidP="0096527B">
      <w:pPr>
        <w:pStyle w:val="Paragraph"/>
      </w:pPr>
      <w:r w:rsidRPr="00805A8D">
        <w:lastRenderedPageBreak/>
        <w:t xml:space="preserve">Lago, C. (2009). The influence of match location, quality of opposition, and match status on possession strategies in professional association football. </w:t>
      </w:r>
      <w:r w:rsidRPr="00BA16C4">
        <w:rPr>
          <w:i/>
        </w:rPr>
        <w:t>Journal of Performance and analysis in Sports, 27</w:t>
      </w:r>
      <w:r w:rsidRPr="00B60B67">
        <w:t xml:space="preserve">, 1463-1469. </w:t>
      </w:r>
    </w:p>
    <w:p w14:paraId="2C1AA777" w14:textId="77777777" w:rsidR="0096527B" w:rsidRPr="00B60B67" w:rsidRDefault="0096527B" w:rsidP="0096527B">
      <w:pPr>
        <w:pStyle w:val="Paragraph"/>
      </w:pPr>
      <w:r w:rsidRPr="00805A8D">
        <w:t xml:space="preserve">Marques, M. C., Pereira, F., </w:t>
      </w:r>
      <w:proofErr w:type="spellStart"/>
      <w:r w:rsidRPr="00805A8D">
        <w:t>Marinho</w:t>
      </w:r>
      <w:proofErr w:type="spellEnd"/>
      <w:r w:rsidRPr="00805A8D">
        <w:t xml:space="preserve">, D. A., Reis, M., </w:t>
      </w:r>
      <w:proofErr w:type="spellStart"/>
      <w:r w:rsidRPr="00805A8D">
        <w:t>Cretu</w:t>
      </w:r>
      <w:proofErr w:type="spellEnd"/>
      <w:r w:rsidRPr="00805A8D">
        <w:t xml:space="preserve">, M., &amp; Van Den </w:t>
      </w:r>
      <w:proofErr w:type="spellStart"/>
      <w:r w:rsidRPr="00805A8D">
        <w:t>Tillaar</w:t>
      </w:r>
      <w:proofErr w:type="spellEnd"/>
      <w:r w:rsidRPr="00805A8D">
        <w:t xml:space="preserve">, R. (2011). A comparison of ball velocity in different kicking positions with dominant and non-dominant leg in junior soccer players. </w:t>
      </w:r>
      <w:r w:rsidRPr="00BA16C4">
        <w:rPr>
          <w:i/>
        </w:rPr>
        <w:t>Journal of Physical Education and Sport, 11</w:t>
      </w:r>
      <w:r w:rsidRPr="00B60B67">
        <w:t xml:space="preserve">(2), 159. </w:t>
      </w:r>
    </w:p>
    <w:p w14:paraId="15975248" w14:textId="1E3230BD" w:rsidR="0096527B" w:rsidRPr="00805A8D" w:rsidRDefault="00065672" w:rsidP="0096527B">
      <w:pPr>
        <w:pStyle w:val="Paragraph"/>
      </w:pPr>
      <w:proofErr w:type="spellStart"/>
      <w:r w:rsidRPr="00805A8D">
        <w:t>McGarry</w:t>
      </w:r>
      <w:proofErr w:type="spellEnd"/>
      <w:r w:rsidRPr="00805A8D">
        <w:t>, T., Anderson, D. I., Wallace, S. A., Hughes, M. D., &amp; Franks, I. M. (2002). Sport competition as a dynamical self</w:t>
      </w:r>
      <w:r w:rsidR="00B60B67" w:rsidRPr="00805A8D">
        <w:t xml:space="preserve">-organizing system. </w:t>
      </w:r>
      <w:r w:rsidR="00B60B67" w:rsidRPr="00BA16C4">
        <w:rPr>
          <w:i/>
        </w:rPr>
        <w:t>Journal of S</w:t>
      </w:r>
      <w:r w:rsidRPr="00BA16C4">
        <w:rPr>
          <w:i/>
        </w:rPr>
        <w:t xml:space="preserve">ports </w:t>
      </w:r>
      <w:r w:rsidR="00B60B67" w:rsidRPr="00805A8D">
        <w:rPr>
          <w:i/>
        </w:rPr>
        <w:t>S</w:t>
      </w:r>
      <w:r w:rsidRPr="00805A8D">
        <w:rPr>
          <w:i/>
        </w:rPr>
        <w:t>ciences</w:t>
      </w:r>
      <w:r w:rsidRPr="00BA16C4">
        <w:rPr>
          <w:i/>
        </w:rPr>
        <w:t>, 20</w:t>
      </w:r>
      <w:r w:rsidRPr="00B60B67">
        <w:t>(10), 771-781.</w:t>
      </w:r>
    </w:p>
    <w:p w14:paraId="78B28FFC" w14:textId="77777777" w:rsidR="00701DFE" w:rsidRPr="00B60B67" w:rsidRDefault="00701DFE" w:rsidP="0096527B">
      <w:pPr>
        <w:pStyle w:val="Paragraph"/>
      </w:pPr>
      <w:proofErr w:type="spellStart"/>
      <w:r w:rsidRPr="00805A8D">
        <w:t>Memmert</w:t>
      </w:r>
      <w:proofErr w:type="spellEnd"/>
      <w:r w:rsidRPr="00805A8D">
        <w:t xml:space="preserve">, D., </w:t>
      </w:r>
      <w:proofErr w:type="spellStart"/>
      <w:r w:rsidRPr="00805A8D">
        <w:t>Lemmink</w:t>
      </w:r>
      <w:proofErr w:type="spellEnd"/>
      <w:r w:rsidRPr="00805A8D">
        <w:t xml:space="preserve">, K. A., &amp; </w:t>
      </w:r>
      <w:proofErr w:type="spellStart"/>
      <w:r w:rsidRPr="00805A8D">
        <w:t>Sampaio</w:t>
      </w:r>
      <w:proofErr w:type="spellEnd"/>
      <w:r w:rsidRPr="00805A8D">
        <w:t xml:space="preserve">, J. (2017). Current approaches to tactical performance analyses in soccer using position data. </w:t>
      </w:r>
      <w:r w:rsidRPr="00805A8D">
        <w:rPr>
          <w:i/>
        </w:rPr>
        <w:t>Sports Medicine, 47</w:t>
      </w:r>
      <w:r w:rsidRPr="00B60B67">
        <w:t>(1), 1-10.</w:t>
      </w:r>
    </w:p>
    <w:p w14:paraId="693C43A9" w14:textId="4173207F" w:rsidR="0096527B" w:rsidRPr="00805A8D" w:rsidRDefault="0096527B" w:rsidP="0096527B">
      <w:pPr>
        <w:pStyle w:val="Paragraph"/>
      </w:pPr>
      <w:r w:rsidRPr="00805A8D">
        <w:t xml:space="preserve">Miyamoto, M., Kaneki, Y., &amp; </w:t>
      </w:r>
      <w:proofErr w:type="spellStart"/>
      <w:r w:rsidRPr="00805A8D">
        <w:t>Misumi</w:t>
      </w:r>
      <w:proofErr w:type="spellEnd"/>
      <w:r w:rsidRPr="00805A8D">
        <w:t xml:space="preserve">, Y. (2017). Empirical Analysis of Japanese Football Games Using Structural Equation </w:t>
      </w:r>
      <w:proofErr w:type="spellStart"/>
      <w:r w:rsidRPr="00805A8D">
        <w:t>Modeling</w:t>
      </w:r>
      <w:proofErr w:type="spellEnd"/>
      <w:r w:rsidRPr="00805A8D">
        <w:t>. In Advances in Human Factors in Sports and Outdoor Recreation (pp. 109-123): Springer.</w:t>
      </w:r>
    </w:p>
    <w:p w14:paraId="47FC8A61" w14:textId="77777777" w:rsidR="0096527B" w:rsidRPr="00B60B67" w:rsidRDefault="0096527B" w:rsidP="0096527B">
      <w:pPr>
        <w:pStyle w:val="Paragraph"/>
      </w:pPr>
      <w:proofErr w:type="spellStart"/>
      <w:r w:rsidRPr="00805A8D">
        <w:t>Morgans</w:t>
      </w:r>
      <w:proofErr w:type="spellEnd"/>
      <w:r w:rsidRPr="00805A8D">
        <w:t xml:space="preserve">, R., Adams, D., Mullen, R., &amp; Williams, M. D. (2014). Changes in physical performance variables in an English Championship League team across the competitive season: the effect of possession. </w:t>
      </w:r>
      <w:r w:rsidRPr="00BA16C4">
        <w:rPr>
          <w:i/>
        </w:rPr>
        <w:t>International Journal of Performance Analysis in Sport, 14</w:t>
      </w:r>
      <w:r w:rsidRPr="00B60B67">
        <w:t xml:space="preserve">(2), 493-503. </w:t>
      </w:r>
    </w:p>
    <w:p w14:paraId="0BA1F988" w14:textId="77777777" w:rsidR="00701DFE" w:rsidRPr="00B60B67" w:rsidRDefault="00701DFE" w:rsidP="0096527B">
      <w:pPr>
        <w:pStyle w:val="Paragraph"/>
      </w:pPr>
      <w:r w:rsidRPr="00B60B67">
        <w:t xml:space="preserve">Moura, F. A., Martins, L. E. B., </w:t>
      </w:r>
      <w:proofErr w:type="spellStart"/>
      <w:r w:rsidRPr="00B60B67">
        <w:t>Anido</w:t>
      </w:r>
      <w:proofErr w:type="spellEnd"/>
      <w:r w:rsidRPr="00B60B67">
        <w:t xml:space="preserve">, R. O., </w:t>
      </w:r>
      <w:proofErr w:type="spellStart"/>
      <w:r w:rsidRPr="00B60B67">
        <w:t>Ruffino</w:t>
      </w:r>
      <w:proofErr w:type="spellEnd"/>
      <w:r w:rsidRPr="00B60B67">
        <w:t xml:space="preserve">, P. R. C., Barros, R. M., &amp; Cunha, S. A. (2013). A spectral analysis of team dynamics and tactics in Brazilian football. </w:t>
      </w:r>
      <w:r w:rsidRPr="00805A8D">
        <w:rPr>
          <w:i/>
        </w:rPr>
        <w:t>Journal of Sports Sciences, 31</w:t>
      </w:r>
      <w:r w:rsidRPr="00B60B67">
        <w:t>(14), 1568-1577.</w:t>
      </w:r>
    </w:p>
    <w:p w14:paraId="30AEEBEA" w14:textId="0684807B" w:rsidR="00E02249" w:rsidRPr="00B60B67" w:rsidRDefault="0096527B" w:rsidP="0096527B">
      <w:pPr>
        <w:pStyle w:val="Paragraph"/>
      </w:pPr>
      <w:proofErr w:type="spellStart"/>
      <w:r w:rsidRPr="00805A8D">
        <w:t>Nevill</w:t>
      </w:r>
      <w:proofErr w:type="spellEnd"/>
      <w:r w:rsidRPr="00805A8D">
        <w:t xml:space="preserve">, A. M., Newell, S. M., &amp; Gale, S. (1996). Factors associated with home advantage in </w:t>
      </w:r>
      <w:r w:rsidRPr="00805A8D">
        <w:lastRenderedPageBreak/>
        <w:t xml:space="preserve">English and Scottish soccer matches. </w:t>
      </w:r>
      <w:r w:rsidRPr="00BA16C4">
        <w:rPr>
          <w:i/>
        </w:rPr>
        <w:t xml:space="preserve">Journal of Sports </w:t>
      </w:r>
      <w:r w:rsidRPr="00805A8D">
        <w:rPr>
          <w:i/>
        </w:rPr>
        <w:t>Science</w:t>
      </w:r>
      <w:r w:rsidR="00506AEB">
        <w:rPr>
          <w:i/>
        </w:rPr>
        <w:t>s</w:t>
      </w:r>
      <w:r w:rsidRPr="00BA16C4">
        <w:rPr>
          <w:i/>
        </w:rPr>
        <w:t>, 14</w:t>
      </w:r>
      <w:r w:rsidRPr="00B60B67">
        <w:t>, 181-186.</w:t>
      </w:r>
    </w:p>
    <w:p w14:paraId="3E5578DD" w14:textId="5E24E4D5" w:rsidR="0096527B" w:rsidRPr="00506AEB" w:rsidRDefault="00E02249" w:rsidP="0096527B">
      <w:pPr>
        <w:pStyle w:val="Paragraph"/>
      </w:pPr>
      <w:r w:rsidRPr="00805A8D">
        <w:t xml:space="preserve">Newell, A., &amp; Rosenbloom, P. S. (1981). Mechanisms of skill acquisition and the law of practice. </w:t>
      </w:r>
      <w:r w:rsidRPr="00805A8D">
        <w:rPr>
          <w:i/>
        </w:rPr>
        <w:t>Cogniti</w:t>
      </w:r>
      <w:r w:rsidR="00B60B67" w:rsidRPr="00805A8D">
        <w:rPr>
          <w:i/>
        </w:rPr>
        <w:t>ve S</w:t>
      </w:r>
      <w:r w:rsidRPr="00805A8D">
        <w:rPr>
          <w:i/>
        </w:rPr>
        <w:t xml:space="preserve">kills and </w:t>
      </w:r>
      <w:r w:rsidR="00506AEB" w:rsidRPr="00805A8D">
        <w:rPr>
          <w:i/>
        </w:rPr>
        <w:t>T</w:t>
      </w:r>
      <w:r w:rsidRPr="00805A8D">
        <w:rPr>
          <w:i/>
        </w:rPr>
        <w:t xml:space="preserve">heir </w:t>
      </w:r>
      <w:r w:rsidR="00506AEB" w:rsidRPr="00805A8D">
        <w:rPr>
          <w:i/>
        </w:rPr>
        <w:t>A</w:t>
      </w:r>
      <w:r w:rsidRPr="00805A8D">
        <w:rPr>
          <w:i/>
        </w:rPr>
        <w:t>cquisition, 1</w:t>
      </w:r>
      <w:r w:rsidRPr="00506AEB">
        <w:t>, 1-55.</w:t>
      </w:r>
      <w:r w:rsidR="0096527B" w:rsidRPr="00506AEB">
        <w:t xml:space="preserve"> </w:t>
      </w:r>
    </w:p>
    <w:p w14:paraId="700A9704" w14:textId="77777777" w:rsidR="0096527B" w:rsidRPr="00506AEB" w:rsidRDefault="0096527B" w:rsidP="0096527B">
      <w:pPr>
        <w:pStyle w:val="Paragraph"/>
      </w:pPr>
      <w:proofErr w:type="spellStart"/>
      <w:r w:rsidRPr="00805A8D">
        <w:t>Passos</w:t>
      </w:r>
      <w:proofErr w:type="spellEnd"/>
      <w:r w:rsidRPr="00805A8D">
        <w:t xml:space="preserve">, P., </w:t>
      </w:r>
      <w:proofErr w:type="spellStart"/>
      <w:r w:rsidRPr="00805A8D">
        <w:t>Araújo</w:t>
      </w:r>
      <w:proofErr w:type="spellEnd"/>
      <w:r w:rsidRPr="00805A8D">
        <w:t xml:space="preserve">, D., &amp; </w:t>
      </w:r>
      <w:proofErr w:type="spellStart"/>
      <w:r w:rsidRPr="00805A8D">
        <w:t>Davids</w:t>
      </w:r>
      <w:proofErr w:type="spellEnd"/>
      <w:r w:rsidRPr="00805A8D">
        <w:t xml:space="preserve">, K. (2013). Self-organization processes in field-invasion team sports. </w:t>
      </w:r>
      <w:r w:rsidRPr="00BA16C4">
        <w:rPr>
          <w:i/>
        </w:rPr>
        <w:t>Sport Medicine, 43</w:t>
      </w:r>
      <w:r w:rsidRPr="00506AEB">
        <w:t xml:space="preserve">, 1-7. </w:t>
      </w:r>
    </w:p>
    <w:p w14:paraId="07BE862F" w14:textId="24419C8B" w:rsidR="00E02249" w:rsidRPr="00506AEB" w:rsidRDefault="0096527B" w:rsidP="0096527B">
      <w:pPr>
        <w:pStyle w:val="Paragraph"/>
      </w:pPr>
      <w:r w:rsidRPr="00805A8D">
        <w:t xml:space="preserve">Redwood-Brown, A. (2008). Passing patterns before and after goal scoring in FA Premier League Soccer. </w:t>
      </w:r>
      <w:r w:rsidRPr="00BA16C4">
        <w:rPr>
          <w:i/>
        </w:rPr>
        <w:t xml:space="preserve">Journal of Performance and </w:t>
      </w:r>
      <w:r w:rsidR="00506AEB" w:rsidRPr="00805A8D">
        <w:rPr>
          <w:i/>
        </w:rPr>
        <w:t>A</w:t>
      </w:r>
      <w:r w:rsidRPr="00805A8D">
        <w:rPr>
          <w:i/>
        </w:rPr>
        <w:t>nalysis</w:t>
      </w:r>
      <w:r w:rsidRPr="00BA16C4">
        <w:rPr>
          <w:i/>
        </w:rPr>
        <w:t xml:space="preserve"> in Sports, 8</w:t>
      </w:r>
      <w:r w:rsidRPr="00506AEB">
        <w:t>, 172-182.</w:t>
      </w:r>
    </w:p>
    <w:p w14:paraId="5A988905" w14:textId="77777777" w:rsidR="00701DFE" w:rsidRPr="00805A8D" w:rsidRDefault="00701DFE" w:rsidP="0096527B">
      <w:pPr>
        <w:pStyle w:val="Paragraph"/>
      </w:pPr>
      <w:r w:rsidRPr="00805A8D">
        <w:t xml:space="preserve">Rein, R., &amp; </w:t>
      </w:r>
      <w:proofErr w:type="spellStart"/>
      <w:r w:rsidRPr="00805A8D">
        <w:t>Memmert</w:t>
      </w:r>
      <w:proofErr w:type="spellEnd"/>
      <w:r w:rsidRPr="00805A8D">
        <w:t xml:space="preserve">, D. (2016). Big data and tactical analysis in elite soccer: future challenges and opportunities for sports science. </w:t>
      </w:r>
      <w:proofErr w:type="spellStart"/>
      <w:r w:rsidRPr="00805A8D">
        <w:rPr>
          <w:i/>
        </w:rPr>
        <w:t>SpringerPlus</w:t>
      </w:r>
      <w:proofErr w:type="spellEnd"/>
      <w:r w:rsidRPr="00805A8D">
        <w:rPr>
          <w:i/>
        </w:rPr>
        <w:t>, 5</w:t>
      </w:r>
      <w:r w:rsidRPr="00805A8D">
        <w:t>(1), 1410.</w:t>
      </w:r>
    </w:p>
    <w:p w14:paraId="61506166" w14:textId="645BFA7E" w:rsidR="0096527B" w:rsidRPr="00506AEB" w:rsidRDefault="00E02249" w:rsidP="0096527B">
      <w:pPr>
        <w:pStyle w:val="Paragraph"/>
      </w:pPr>
      <w:proofErr w:type="gramStart"/>
      <w:r w:rsidRPr="00B60B67">
        <w:t>Rein,</w:t>
      </w:r>
      <w:proofErr w:type="gramEnd"/>
      <w:r w:rsidRPr="00B60B67">
        <w:t xml:space="preserve"> R., </w:t>
      </w:r>
      <w:proofErr w:type="spellStart"/>
      <w:r w:rsidRPr="00B60B67">
        <w:t>Raabe</w:t>
      </w:r>
      <w:proofErr w:type="spellEnd"/>
      <w:r w:rsidRPr="00B60B67">
        <w:t xml:space="preserve">, D., &amp; </w:t>
      </w:r>
      <w:proofErr w:type="spellStart"/>
      <w:r w:rsidRPr="00B60B67">
        <w:t>Memmert</w:t>
      </w:r>
      <w:proofErr w:type="spellEnd"/>
      <w:r w:rsidRPr="00B60B67">
        <w:t xml:space="preserve">, D. (2017). “Which pass is better?” Novel approaches to assess passing effectiveness in elite soccer. </w:t>
      </w:r>
      <w:r w:rsidRPr="00805A8D">
        <w:rPr>
          <w:i/>
        </w:rPr>
        <w:t xml:space="preserve">Human </w:t>
      </w:r>
      <w:r w:rsidR="00506AEB" w:rsidRPr="00805A8D">
        <w:rPr>
          <w:i/>
        </w:rPr>
        <w:t>M</w:t>
      </w:r>
      <w:r w:rsidRPr="00805A8D">
        <w:rPr>
          <w:i/>
        </w:rPr>
        <w:t xml:space="preserve">ovement </w:t>
      </w:r>
      <w:r w:rsidR="00506AEB" w:rsidRPr="00805A8D">
        <w:rPr>
          <w:i/>
        </w:rPr>
        <w:t>S</w:t>
      </w:r>
      <w:r w:rsidRPr="00805A8D">
        <w:rPr>
          <w:i/>
        </w:rPr>
        <w:t>cience, 55</w:t>
      </w:r>
      <w:r w:rsidRPr="00B60B67">
        <w:t>, 172-181.</w:t>
      </w:r>
      <w:r w:rsidR="0096527B" w:rsidRPr="00506AEB">
        <w:t xml:space="preserve"> </w:t>
      </w:r>
    </w:p>
    <w:p w14:paraId="63B56416" w14:textId="77777777" w:rsidR="0096527B" w:rsidRPr="00805A8D" w:rsidRDefault="0096527B" w:rsidP="0096527B">
      <w:pPr>
        <w:pStyle w:val="Paragraph"/>
      </w:pPr>
      <w:proofErr w:type="spellStart"/>
      <w:r w:rsidRPr="00805A8D">
        <w:t>Sarmento</w:t>
      </w:r>
      <w:proofErr w:type="spellEnd"/>
      <w:r w:rsidRPr="00805A8D">
        <w:t xml:space="preserve">, H., </w:t>
      </w:r>
      <w:proofErr w:type="spellStart"/>
      <w:r w:rsidRPr="00805A8D">
        <w:t>Marcelino</w:t>
      </w:r>
      <w:proofErr w:type="spellEnd"/>
      <w:r w:rsidRPr="00805A8D">
        <w:t xml:space="preserve">, R., </w:t>
      </w:r>
      <w:proofErr w:type="spellStart"/>
      <w:r w:rsidRPr="00805A8D">
        <w:t>Anguera</w:t>
      </w:r>
      <w:proofErr w:type="spellEnd"/>
      <w:r w:rsidRPr="00805A8D">
        <w:t xml:space="preserve">, M. T., </w:t>
      </w:r>
      <w:proofErr w:type="spellStart"/>
      <w:r w:rsidRPr="00805A8D">
        <w:t>Campanico</w:t>
      </w:r>
      <w:proofErr w:type="spellEnd"/>
      <w:r w:rsidRPr="00805A8D">
        <w:t xml:space="preserve">, J., Matos, N., &amp; </w:t>
      </w:r>
      <w:proofErr w:type="spellStart"/>
      <w:r w:rsidRPr="00805A8D">
        <w:t>Leitao</w:t>
      </w:r>
      <w:proofErr w:type="spellEnd"/>
      <w:r w:rsidRPr="00805A8D">
        <w:t xml:space="preserve">, J. C. (2014). Match analysis in football: a systematic review. </w:t>
      </w:r>
      <w:r w:rsidRPr="00BA16C4">
        <w:rPr>
          <w:i/>
        </w:rPr>
        <w:t>Journal of Sports Science, 32</w:t>
      </w:r>
      <w:r w:rsidRPr="00506AEB">
        <w:t xml:space="preserve">(20), 1831-1843. </w:t>
      </w:r>
    </w:p>
    <w:p w14:paraId="57F96147" w14:textId="77777777" w:rsidR="00E02249" w:rsidRPr="00506AEB" w:rsidRDefault="0096527B" w:rsidP="0096527B">
      <w:pPr>
        <w:pStyle w:val="Paragraph"/>
      </w:pPr>
      <w:proofErr w:type="spellStart"/>
      <w:r w:rsidRPr="00805A8D">
        <w:t>Shafizadeh</w:t>
      </w:r>
      <w:proofErr w:type="spellEnd"/>
      <w:r w:rsidRPr="00805A8D">
        <w:t xml:space="preserve">, M., </w:t>
      </w:r>
      <w:proofErr w:type="spellStart"/>
      <w:r w:rsidRPr="00805A8D">
        <w:t>Gray</w:t>
      </w:r>
      <w:proofErr w:type="spellEnd"/>
      <w:r w:rsidRPr="00805A8D">
        <w:t xml:space="preserve">, S., </w:t>
      </w:r>
      <w:proofErr w:type="spellStart"/>
      <w:r w:rsidRPr="00805A8D">
        <w:t>Sproule</w:t>
      </w:r>
      <w:proofErr w:type="spellEnd"/>
      <w:r w:rsidRPr="00805A8D">
        <w:t xml:space="preserve">, J., &amp; </w:t>
      </w:r>
      <w:proofErr w:type="spellStart"/>
      <w:r w:rsidRPr="00805A8D">
        <w:t>McMorris</w:t>
      </w:r>
      <w:proofErr w:type="spellEnd"/>
      <w:r w:rsidRPr="00805A8D">
        <w:t xml:space="preserve">, T. (2012). An exploratory analysis of losing possession in professional soccer. </w:t>
      </w:r>
      <w:r w:rsidRPr="00BA16C4">
        <w:rPr>
          <w:i/>
        </w:rPr>
        <w:t>International Journal of Performance Analysis in Sport, 12</w:t>
      </w:r>
      <w:r w:rsidRPr="00506AEB">
        <w:t>(1), 14-23.</w:t>
      </w:r>
    </w:p>
    <w:p w14:paraId="40CD9E9F" w14:textId="703D868E" w:rsidR="0096527B" w:rsidRPr="00506AEB" w:rsidRDefault="00E02249" w:rsidP="0096527B">
      <w:pPr>
        <w:pStyle w:val="Paragraph"/>
      </w:pPr>
      <w:r w:rsidRPr="0065786D">
        <w:t xml:space="preserve">Silva, P., Chung, D., </w:t>
      </w:r>
      <w:proofErr w:type="spellStart"/>
      <w:r w:rsidRPr="0065786D">
        <w:t>Carvalho</w:t>
      </w:r>
      <w:proofErr w:type="spellEnd"/>
      <w:r w:rsidRPr="0065786D">
        <w:t xml:space="preserve">, T., Cardoso, T., </w:t>
      </w:r>
      <w:proofErr w:type="spellStart"/>
      <w:r w:rsidRPr="0065786D">
        <w:t>Davids</w:t>
      </w:r>
      <w:proofErr w:type="spellEnd"/>
      <w:r w:rsidRPr="0065786D">
        <w:t xml:space="preserve">, K., </w:t>
      </w:r>
      <w:proofErr w:type="spellStart"/>
      <w:r w:rsidRPr="0065786D">
        <w:t>Araújo</w:t>
      </w:r>
      <w:proofErr w:type="spellEnd"/>
      <w:r w:rsidRPr="0065786D">
        <w:t xml:space="preserve">, D., &amp; </w:t>
      </w:r>
      <w:proofErr w:type="spellStart"/>
      <w:r w:rsidRPr="0065786D">
        <w:t>Garganta</w:t>
      </w:r>
      <w:proofErr w:type="spellEnd"/>
      <w:r w:rsidRPr="0065786D">
        <w:t xml:space="preserve">, J. (2016). Practice effects on intra-team synergies in football teams. </w:t>
      </w:r>
      <w:r w:rsidRPr="00805A8D">
        <w:rPr>
          <w:i/>
        </w:rPr>
        <w:t>Human Movement Science, 46</w:t>
      </w:r>
      <w:r w:rsidRPr="00506AEB">
        <w:t>, 39-51.</w:t>
      </w:r>
      <w:r w:rsidR="0096527B" w:rsidRPr="00506AEB">
        <w:t xml:space="preserve"> </w:t>
      </w:r>
    </w:p>
    <w:p w14:paraId="2B4B128E" w14:textId="77777777" w:rsidR="0096527B" w:rsidRPr="00805A8D" w:rsidRDefault="0096527B" w:rsidP="0096527B">
      <w:pPr>
        <w:pStyle w:val="Paragraph"/>
      </w:pPr>
      <w:r w:rsidRPr="00805A8D">
        <w:t xml:space="preserve">Stevens, J. P. (1996). Applied multivariate statistics for the social sciences. London: Taylor </w:t>
      </w:r>
      <w:r w:rsidRPr="00805A8D">
        <w:lastRenderedPageBreak/>
        <w:t>&amp; Francis.</w:t>
      </w:r>
    </w:p>
    <w:p w14:paraId="7A138E6D" w14:textId="77777777" w:rsidR="0096527B" w:rsidRPr="00805A8D" w:rsidRDefault="0096527B" w:rsidP="0096527B">
      <w:pPr>
        <w:pStyle w:val="Paragraph"/>
      </w:pPr>
      <w:proofErr w:type="spellStart"/>
      <w:r w:rsidRPr="00805A8D">
        <w:t>Tabachnick</w:t>
      </w:r>
      <w:proofErr w:type="spellEnd"/>
      <w:r w:rsidRPr="00805A8D">
        <w:t xml:space="preserve">, B., </w:t>
      </w:r>
      <w:proofErr w:type="spellStart"/>
      <w:r w:rsidRPr="00805A8D">
        <w:t>Fidell</w:t>
      </w:r>
      <w:proofErr w:type="spellEnd"/>
      <w:r w:rsidRPr="00805A8D">
        <w:t>, L., &amp; Osterlind, S. (2001). Using multivariate statistics. Boston, MA: Pearson Education.</w:t>
      </w:r>
    </w:p>
    <w:p w14:paraId="5B4BD851" w14:textId="041F3A45" w:rsidR="0096527B" w:rsidRPr="00506AEB" w:rsidRDefault="0096527B" w:rsidP="0096527B">
      <w:pPr>
        <w:pStyle w:val="Paragraph"/>
      </w:pPr>
      <w:proofErr w:type="spellStart"/>
      <w:r w:rsidRPr="00805A8D">
        <w:t>Tenga</w:t>
      </w:r>
      <w:proofErr w:type="spellEnd"/>
      <w:r w:rsidRPr="00805A8D">
        <w:t xml:space="preserve">, A., Holme, I., </w:t>
      </w:r>
      <w:proofErr w:type="spellStart"/>
      <w:r w:rsidRPr="00805A8D">
        <w:t>Ronglan</w:t>
      </w:r>
      <w:proofErr w:type="spellEnd"/>
      <w:r w:rsidRPr="00805A8D">
        <w:t xml:space="preserve">, L. </w:t>
      </w:r>
      <w:r w:rsidR="00D70E4C" w:rsidRPr="00805A8D">
        <w:t xml:space="preserve">T., &amp; </w:t>
      </w:r>
      <w:proofErr w:type="spellStart"/>
      <w:r w:rsidR="00D70E4C" w:rsidRPr="00805A8D">
        <w:t>Barh</w:t>
      </w:r>
      <w:proofErr w:type="spellEnd"/>
      <w:r w:rsidR="00D70E4C" w:rsidRPr="00805A8D">
        <w:t xml:space="preserve">, R. </w:t>
      </w:r>
      <w:r w:rsidRPr="00805A8D">
        <w:t xml:space="preserve">(2010). Effect of playing tactics on goal scoring in Norwegian professional soccer. </w:t>
      </w:r>
      <w:r w:rsidRPr="00BA16C4">
        <w:rPr>
          <w:i/>
        </w:rPr>
        <w:t>Journal of Sports Science, 28</w:t>
      </w:r>
      <w:r w:rsidRPr="00506AEB">
        <w:t xml:space="preserve">, 237-244. </w:t>
      </w:r>
    </w:p>
    <w:p w14:paraId="117F58E0" w14:textId="3D0B1E44" w:rsidR="00E02249" w:rsidRPr="00506AEB" w:rsidRDefault="0096527B" w:rsidP="0096527B">
      <w:pPr>
        <w:pStyle w:val="Paragraph"/>
      </w:pPr>
      <w:proofErr w:type="spellStart"/>
      <w:r w:rsidRPr="00805A8D">
        <w:t>Travassos</w:t>
      </w:r>
      <w:proofErr w:type="spellEnd"/>
      <w:r w:rsidRPr="00805A8D">
        <w:t xml:space="preserve">, B., </w:t>
      </w:r>
      <w:proofErr w:type="spellStart"/>
      <w:r w:rsidRPr="00805A8D">
        <w:t>Araújo</w:t>
      </w:r>
      <w:proofErr w:type="spellEnd"/>
      <w:r w:rsidRPr="00805A8D">
        <w:t xml:space="preserve">, D., </w:t>
      </w:r>
      <w:proofErr w:type="spellStart"/>
      <w:r w:rsidRPr="00805A8D">
        <w:t>Vilar</w:t>
      </w:r>
      <w:proofErr w:type="spellEnd"/>
      <w:r w:rsidRPr="00805A8D">
        <w:t xml:space="preserve">, L., &amp; </w:t>
      </w:r>
      <w:proofErr w:type="spellStart"/>
      <w:r w:rsidRPr="00805A8D">
        <w:t>McGarry</w:t>
      </w:r>
      <w:proofErr w:type="spellEnd"/>
      <w:r w:rsidRPr="00805A8D">
        <w:t xml:space="preserve">, T. (2011). Interpersonal coordination and ball dynamics in futsal (indoor football). </w:t>
      </w:r>
      <w:r w:rsidRPr="00BA16C4">
        <w:rPr>
          <w:i/>
        </w:rPr>
        <w:t>Human Movement Science, 30</w:t>
      </w:r>
      <w:r w:rsidRPr="00506AEB">
        <w:t>(6), 1245-1259.</w:t>
      </w:r>
    </w:p>
    <w:p w14:paraId="4A54BBFE" w14:textId="77777777" w:rsidR="00E02249" w:rsidRPr="00506AEB" w:rsidRDefault="00E02249" w:rsidP="00E02249">
      <w:pPr>
        <w:pStyle w:val="Paragraph"/>
      </w:pPr>
      <w:r w:rsidRPr="00805A8D">
        <w:t xml:space="preserve">Wallace, J. L., &amp; Norton, K. I. (2014). Evolution of World Cup soccer final games 1966–2010: Game structure, speed and play patterns. </w:t>
      </w:r>
      <w:r w:rsidRPr="00805A8D">
        <w:rPr>
          <w:i/>
        </w:rPr>
        <w:t>Journal of Science and Medicine in Sport, 17</w:t>
      </w:r>
      <w:r w:rsidRPr="00506AEB">
        <w:t>(2), 223-228.</w:t>
      </w:r>
    </w:p>
    <w:p w14:paraId="07B68AD9" w14:textId="35D897F6" w:rsidR="0096527B" w:rsidRDefault="00E02249" w:rsidP="00E02249">
      <w:pPr>
        <w:pStyle w:val="Paragraph"/>
      </w:pPr>
      <w:r w:rsidRPr="00805A8D">
        <w:t xml:space="preserve">Ward, P., &amp; Williams, A. M. (2003). Perceptual and cognitive skill development in soccer: The multidimensional nature of </w:t>
      </w:r>
      <w:r w:rsidR="00506AEB" w:rsidRPr="00805A8D">
        <w:t xml:space="preserve">expert performance. </w:t>
      </w:r>
      <w:r w:rsidR="00506AEB" w:rsidRPr="00805A8D">
        <w:rPr>
          <w:i/>
        </w:rPr>
        <w:t>Journal of S</w:t>
      </w:r>
      <w:r w:rsidRPr="00805A8D">
        <w:rPr>
          <w:i/>
        </w:rPr>
        <w:t xml:space="preserve">port and </w:t>
      </w:r>
      <w:r w:rsidR="00506AEB" w:rsidRPr="00805A8D">
        <w:rPr>
          <w:i/>
        </w:rPr>
        <w:t>E</w:t>
      </w:r>
      <w:r w:rsidRPr="00805A8D">
        <w:rPr>
          <w:i/>
        </w:rPr>
        <w:t xml:space="preserve">xercise </w:t>
      </w:r>
      <w:r w:rsidR="00506AEB" w:rsidRPr="00805A8D">
        <w:rPr>
          <w:i/>
        </w:rPr>
        <w:t>P</w:t>
      </w:r>
      <w:r w:rsidRPr="00805A8D">
        <w:rPr>
          <w:i/>
        </w:rPr>
        <w:t>sychology, 25</w:t>
      </w:r>
      <w:r w:rsidRPr="00506AEB">
        <w:t>(1), 93-111.</w:t>
      </w:r>
      <w:r w:rsidR="0096527B" w:rsidRPr="00506AEB">
        <w:t xml:space="preserve"> </w:t>
      </w:r>
    </w:p>
    <w:p w14:paraId="514A8013" w14:textId="30E934AF" w:rsidR="00BA16C4" w:rsidRDefault="00BA16C4" w:rsidP="00BA16C4">
      <w:pPr>
        <w:pStyle w:val="Newparagraph"/>
      </w:pPr>
    </w:p>
    <w:p w14:paraId="7D96E580" w14:textId="2DEC44A0" w:rsidR="00BA16C4" w:rsidRDefault="00BA16C4" w:rsidP="00BA16C4">
      <w:pPr>
        <w:pStyle w:val="Newparagraph"/>
      </w:pPr>
    </w:p>
    <w:p w14:paraId="5C1180D8" w14:textId="0CB47F1F" w:rsidR="00BA16C4" w:rsidRDefault="00BA16C4" w:rsidP="00BA16C4">
      <w:pPr>
        <w:pStyle w:val="Newparagraph"/>
      </w:pPr>
    </w:p>
    <w:p w14:paraId="037D8A6D" w14:textId="5EA5C191" w:rsidR="00BA16C4" w:rsidRDefault="00BA16C4" w:rsidP="00BA16C4">
      <w:pPr>
        <w:pStyle w:val="Newparagraph"/>
      </w:pPr>
    </w:p>
    <w:p w14:paraId="17FFC6BA" w14:textId="44805045" w:rsidR="00BA16C4" w:rsidRDefault="00BA16C4" w:rsidP="00BA16C4">
      <w:pPr>
        <w:pStyle w:val="Newparagraph"/>
      </w:pPr>
    </w:p>
    <w:p w14:paraId="09944003" w14:textId="53B63054" w:rsidR="00BA16C4" w:rsidRDefault="00BA16C4" w:rsidP="00BA16C4">
      <w:pPr>
        <w:pStyle w:val="Newparagraph"/>
      </w:pPr>
    </w:p>
    <w:p w14:paraId="0F68D5CB" w14:textId="59FA4216" w:rsidR="00BA16C4" w:rsidRDefault="00BA16C4" w:rsidP="00BA16C4">
      <w:pPr>
        <w:pStyle w:val="Newparagraph"/>
      </w:pPr>
    </w:p>
    <w:p w14:paraId="70C62021" w14:textId="2D4F8374" w:rsidR="00BA16C4" w:rsidRDefault="00BA16C4" w:rsidP="00BA16C4">
      <w:pPr>
        <w:pStyle w:val="Newparagraph"/>
      </w:pPr>
    </w:p>
    <w:p w14:paraId="5E72CEA2" w14:textId="1FD503FF" w:rsidR="00BA16C4" w:rsidRDefault="00BA16C4" w:rsidP="00BA16C4">
      <w:pPr>
        <w:pStyle w:val="Newparagraph"/>
      </w:pPr>
    </w:p>
    <w:p w14:paraId="4A071292" w14:textId="63C23339" w:rsidR="00BA16C4" w:rsidRDefault="00BA16C4" w:rsidP="00BA16C4">
      <w:pPr>
        <w:pStyle w:val="Newparagraph"/>
      </w:pPr>
    </w:p>
    <w:p w14:paraId="1E41DD42" w14:textId="77777777" w:rsidR="00BA16C4" w:rsidRDefault="00BA16C4" w:rsidP="00BA16C4">
      <w:pPr>
        <w:pStyle w:val="Paragraph"/>
        <w:jc w:val="both"/>
      </w:pPr>
      <w:r w:rsidRPr="00325419">
        <w:rPr>
          <w:b/>
          <w:bCs/>
        </w:rPr>
        <w:lastRenderedPageBreak/>
        <w:t>Table 1.</w:t>
      </w:r>
      <w:r>
        <w:t xml:space="preserve"> Standardised values used for principal component analysis.</w:t>
      </w:r>
    </w:p>
    <w:tbl>
      <w:tblPr>
        <w:tblW w:w="9499" w:type="dxa"/>
        <w:tblLook w:val="04A0" w:firstRow="1" w:lastRow="0" w:firstColumn="1" w:lastColumn="0" w:noHBand="0" w:noVBand="1"/>
      </w:tblPr>
      <w:tblGrid>
        <w:gridCol w:w="1497"/>
        <w:gridCol w:w="1293"/>
        <w:gridCol w:w="1110"/>
        <w:gridCol w:w="1140"/>
        <w:gridCol w:w="1110"/>
        <w:gridCol w:w="963"/>
        <w:gridCol w:w="1167"/>
        <w:gridCol w:w="1219"/>
      </w:tblGrid>
      <w:tr w:rsidR="00BA16C4" w:rsidRPr="00284508" w14:paraId="558EF653" w14:textId="77777777" w:rsidTr="00B57600">
        <w:trPr>
          <w:trHeight w:val="315"/>
        </w:trPr>
        <w:tc>
          <w:tcPr>
            <w:tcW w:w="1497" w:type="dxa"/>
            <w:tcBorders>
              <w:top w:val="single" w:sz="8" w:space="0" w:color="auto"/>
              <w:left w:val="nil"/>
              <w:bottom w:val="nil"/>
              <w:right w:val="nil"/>
            </w:tcBorders>
            <w:shd w:val="clear" w:color="auto" w:fill="auto"/>
            <w:noWrap/>
            <w:vAlign w:val="center"/>
            <w:hideMark/>
          </w:tcPr>
          <w:p w14:paraId="5FD1DD4E" w14:textId="77777777" w:rsidR="00BA16C4" w:rsidRPr="00284508" w:rsidRDefault="00BA16C4" w:rsidP="00B57600">
            <w:pPr>
              <w:spacing w:line="240" w:lineRule="auto"/>
              <w:rPr>
                <w:rFonts w:ascii="Calibri" w:hAnsi="Calibri" w:cs="Calibri"/>
                <w:color w:val="000000"/>
              </w:rPr>
            </w:pPr>
            <w:r w:rsidRPr="00284508">
              <w:rPr>
                <w:rFonts w:ascii="Calibri" w:hAnsi="Calibri" w:cs="Calibri"/>
                <w:color w:val="000000"/>
              </w:rPr>
              <w:t> </w:t>
            </w:r>
          </w:p>
        </w:tc>
        <w:tc>
          <w:tcPr>
            <w:tcW w:w="2403" w:type="dxa"/>
            <w:gridSpan w:val="2"/>
            <w:tcBorders>
              <w:top w:val="single" w:sz="8" w:space="0" w:color="auto"/>
              <w:left w:val="nil"/>
              <w:bottom w:val="nil"/>
              <w:right w:val="nil"/>
            </w:tcBorders>
            <w:shd w:val="clear" w:color="auto" w:fill="auto"/>
            <w:noWrap/>
            <w:vAlign w:val="center"/>
            <w:hideMark/>
          </w:tcPr>
          <w:p w14:paraId="1123D93F" w14:textId="77777777" w:rsidR="00BA16C4" w:rsidRPr="00284508" w:rsidRDefault="00BA16C4" w:rsidP="00B57600">
            <w:pPr>
              <w:spacing w:line="240" w:lineRule="auto"/>
              <w:rPr>
                <w:color w:val="000000"/>
              </w:rPr>
            </w:pPr>
            <w:r w:rsidRPr="00284508">
              <w:rPr>
                <w:color w:val="000000"/>
              </w:rPr>
              <w:t>Defence</w:t>
            </w:r>
          </w:p>
        </w:tc>
        <w:tc>
          <w:tcPr>
            <w:tcW w:w="2250" w:type="dxa"/>
            <w:gridSpan w:val="2"/>
            <w:tcBorders>
              <w:top w:val="single" w:sz="8" w:space="0" w:color="auto"/>
              <w:left w:val="nil"/>
              <w:bottom w:val="nil"/>
              <w:right w:val="nil"/>
            </w:tcBorders>
            <w:shd w:val="clear" w:color="auto" w:fill="auto"/>
            <w:noWrap/>
            <w:vAlign w:val="center"/>
            <w:hideMark/>
          </w:tcPr>
          <w:p w14:paraId="27520C8C" w14:textId="77777777" w:rsidR="00BA16C4" w:rsidRPr="00284508" w:rsidRDefault="00BA16C4" w:rsidP="00B57600">
            <w:pPr>
              <w:spacing w:line="240" w:lineRule="auto"/>
              <w:rPr>
                <w:color w:val="000000"/>
              </w:rPr>
            </w:pPr>
            <w:r w:rsidRPr="00284508">
              <w:rPr>
                <w:color w:val="000000"/>
              </w:rPr>
              <w:t>Midfield</w:t>
            </w:r>
          </w:p>
        </w:tc>
        <w:tc>
          <w:tcPr>
            <w:tcW w:w="963" w:type="dxa"/>
            <w:tcBorders>
              <w:top w:val="single" w:sz="8" w:space="0" w:color="auto"/>
              <w:left w:val="nil"/>
              <w:bottom w:val="nil"/>
              <w:right w:val="nil"/>
            </w:tcBorders>
            <w:shd w:val="clear" w:color="auto" w:fill="auto"/>
            <w:noWrap/>
            <w:vAlign w:val="center"/>
            <w:hideMark/>
          </w:tcPr>
          <w:p w14:paraId="11B8155A" w14:textId="77777777" w:rsidR="00BA16C4" w:rsidRPr="00284508" w:rsidRDefault="00BA16C4" w:rsidP="00B57600">
            <w:pPr>
              <w:spacing w:line="240" w:lineRule="auto"/>
              <w:rPr>
                <w:color w:val="000000"/>
              </w:rPr>
            </w:pPr>
            <w:r w:rsidRPr="00284508">
              <w:rPr>
                <w:color w:val="000000"/>
              </w:rPr>
              <w:t>Attack</w:t>
            </w:r>
          </w:p>
        </w:tc>
        <w:tc>
          <w:tcPr>
            <w:tcW w:w="2386" w:type="dxa"/>
            <w:gridSpan w:val="2"/>
            <w:tcBorders>
              <w:top w:val="single" w:sz="8" w:space="0" w:color="auto"/>
              <w:left w:val="nil"/>
              <w:bottom w:val="nil"/>
              <w:right w:val="nil"/>
            </w:tcBorders>
            <w:shd w:val="clear" w:color="auto" w:fill="auto"/>
            <w:noWrap/>
            <w:vAlign w:val="center"/>
            <w:hideMark/>
          </w:tcPr>
          <w:p w14:paraId="5E17E3E7" w14:textId="77777777" w:rsidR="00BA16C4" w:rsidRPr="00284508" w:rsidRDefault="00BA16C4" w:rsidP="00B57600">
            <w:pPr>
              <w:spacing w:line="240" w:lineRule="auto"/>
              <w:rPr>
                <w:rFonts w:ascii="Calibri" w:hAnsi="Calibri" w:cs="Calibri"/>
                <w:color w:val="000000"/>
              </w:rPr>
            </w:pPr>
            <w:r w:rsidRPr="00284508">
              <w:rPr>
                <w:rFonts w:ascii="Calibri" w:hAnsi="Calibri" w:cs="Calibri"/>
                <w:color w:val="000000"/>
              </w:rPr>
              <w:t> </w:t>
            </w:r>
          </w:p>
        </w:tc>
      </w:tr>
      <w:tr w:rsidR="00BA16C4" w:rsidRPr="00284508" w14:paraId="051104C3" w14:textId="77777777" w:rsidTr="00B57600">
        <w:trPr>
          <w:trHeight w:val="330"/>
        </w:trPr>
        <w:tc>
          <w:tcPr>
            <w:tcW w:w="1497" w:type="dxa"/>
            <w:tcBorders>
              <w:top w:val="nil"/>
              <w:left w:val="nil"/>
              <w:bottom w:val="single" w:sz="8" w:space="0" w:color="auto"/>
              <w:right w:val="nil"/>
            </w:tcBorders>
            <w:shd w:val="clear" w:color="auto" w:fill="auto"/>
            <w:noWrap/>
            <w:vAlign w:val="center"/>
            <w:hideMark/>
          </w:tcPr>
          <w:p w14:paraId="688CAD16" w14:textId="77777777" w:rsidR="00BA16C4" w:rsidRPr="00284508" w:rsidRDefault="00BA16C4" w:rsidP="00B57600">
            <w:pPr>
              <w:spacing w:line="240" w:lineRule="auto"/>
              <w:rPr>
                <w:color w:val="000000"/>
              </w:rPr>
            </w:pPr>
            <w:r w:rsidRPr="00284508">
              <w:rPr>
                <w:color w:val="000000"/>
              </w:rPr>
              <w:t>Team</w:t>
            </w:r>
          </w:p>
        </w:tc>
        <w:tc>
          <w:tcPr>
            <w:tcW w:w="1293" w:type="dxa"/>
            <w:tcBorders>
              <w:top w:val="nil"/>
              <w:left w:val="nil"/>
              <w:bottom w:val="single" w:sz="8" w:space="0" w:color="auto"/>
              <w:right w:val="nil"/>
            </w:tcBorders>
            <w:shd w:val="clear" w:color="auto" w:fill="auto"/>
            <w:noWrap/>
            <w:vAlign w:val="center"/>
            <w:hideMark/>
          </w:tcPr>
          <w:p w14:paraId="77D90426" w14:textId="77777777" w:rsidR="00BA16C4" w:rsidRPr="00284508" w:rsidRDefault="00BA16C4" w:rsidP="00B57600">
            <w:pPr>
              <w:spacing w:line="240" w:lineRule="auto"/>
              <w:rPr>
                <w:color w:val="000000"/>
              </w:rPr>
            </w:pPr>
            <w:r w:rsidRPr="00284508">
              <w:rPr>
                <w:color w:val="000000"/>
              </w:rPr>
              <w:t>Density</w:t>
            </w:r>
          </w:p>
        </w:tc>
        <w:tc>
          <w:tcPr>
            <w:tcW w:w="1110" w:type="dxa"/>
            <w:tcBorders>
              <w:top w:val="nil"/>
              <w:left w:val="nil"/>
              <w:bottom w:val="single" w:sz="8" w:space="0" w:color="auto"/>
              <w:right w:val="nil"/>
            </w:tcBorders>
            <w:shd w:val="clear" w:color="auto" w:fill="auto"/>
            <w:noWrap/>
            <w:vAlign w:val="center"/>
            <w:hideMark/>
          </w:tcPr>
          <w:p w14:paraId="5B8119DE" w14:textId="77777777" w:rsidR="00BA16C4" w:rsidRPr="00284508" w:rsidRDefault="00BA16C4" w:rsidP="00B57600">
            <w:pPr>
              <w:spacing w:line="240" w:lineRule="auto"/>
              <w:rPr>
                <w:color w:val="000000"/>
              </w:rPr>
            </w:pPr>
            <w:r w:rsidRPr="00284508">
              <w:rPr>
                <w:color w:val="000000"/>
              </w:rPr>
              <w:t>Precision</w:t>
            </w:r>
          </w:p>
        </w:tc>
        <w:tc>
          <w:tcPr>
            <w:tcW w:w="1140" w:type="dxa"/>
            <w:tcBorders>
              <w:top w:val="nil"/>
              <w:left w:val="nil"/>
              <w:bottom w:val="single" w:sz="8" w:space="0" w:color="auto"/>
              <w:right w:val="nil"/>
            </w:tcBorders>
            <w:shd w:val="clear" w:color="auto" w:fill="auto"/>
            <w:noWrap/>
            <w:vAlign w:val="center"/>
            <w:hideMark/>
          </w:tcPr>
          <w:p w14:paraId="02CA416E" w14:textId="77777777" w:rsidR="00BA16C4" w:rsidRPr="00284508" w:rsidRDefault="00BA16C4" w:rsidP="00B57600">
            <w:pPr>
              <w:spacing w:line="240" w:lineRule="auto"/>
              <w:rPr>
                <w:color w:val="000000"/>
              </w:rPr>
            </w:pPr>
            <w:r w:rsidRPr="00284508">
              <w:rPr>
                <w:color w:val="000000"/>
              </w:rPr>
              <w:t>Density</w:t>
            </w:r>
          </w:p>
        </w:tc>
        <w:tc>
          <w:tcPr>
            <w:tcW w:w="1110" w:type="dxa"/>
            <w:tcBorders>
              <w:top w:val="nil"/>
              <w:left w:val="nil"/>
              <w:bottom w:val="single" w:sz="8" w:space="0" w:color="auto"/>
              <w:right w:val="nil"/>
            </w:tcBorders>
            <w:shd w:val="clear" w:color="auto" w:fill="auto"/>
            <w:noWrap/>
            <w:vAlign w:val="center"/>
            <w:hideMark/>
          </w:tcPr>
          <w:p w14:paraId="243CBC08" w14:textId="77777777" w:rsidR="00BA16C4" w:rsidRPr="00284508" w:rsidRDefault="00BA16C4" w:rsidP="00B57600">
            <w:pPr>
              <w:spacing w:line="240" w:lineRule="auto"/>
              <w:rPr>
                <w:color w:val="000000"/>
              </w:rPr>
            </w:pPr>
            <w:r w:rsidRPr="00284508">
              <w:rPr>
                <w:color w:val="000000"/>
              </w:rPr>
              <w:t>Precision</w:t>
            </w:r>
          </w:p>
        </w:tc>
        <w:tc>
          <w:tcPr>
            <w:tcW w:w="963" w:type="dxa"/>
            <w:tcBorders>
              <w:top w:val="nil"/>
              <w:left w:val="nil"/>
              <w:bottom w:val="single" w:sz="8" w:space="0" w:color="auto"/>
              <w:right w:val="nil"/>
            </w:tcBorders>
            <w:shd w:val="clear" w:color="auto" w:fill="auto"/>
            <w:noWrap/>
            <w:vAlign w:val="center"/>
            <w:hideMark/>
          </w:tcPr>
          <w:p w14:paraId="490632AF" w14:textId="77777777" w:rsidR="00BA16C4" w:rsidRPr="00284508" w:rsidRDefault="00BA16C4" w:rsidP="00B57600">
            <w:pPr>
              <w:spacing w:line="240" w:lineRule="auto"/>
              <w:rPr>
                <w:color w:val="000000"/>
              </w:rPr>
            </w:pPr>
            <w:r w:rsidRPr="00284508">
              <w:rPr>
                <w:color w:val="000000"/>
              </w:rPr>
              <w:t>Density</w:t>
            </w:r>
          </w:p>
        </w:tc>
        <w:tc>
          <w:tcPr>
            <w:tcW w:w="1167" w:type="dxa"/>
            <w:tcBorders>
              <w:top w:val="nil"/>
              <w:left w:val="nil"/>
              <w:bottom w:val="single" w:sz="8" w:space="0" w:color="auto"/>
              <w:right w:val="nil"/>
            </w:tcBorders>
            <w:shd w:val="clear" w:color="auto" w:fill="auto"/>
            <w:noWrap/>
            <w:vAlign w:val="center"/>
            <w:hideMark/>
          </w:tcPr>
          <w:p w14:paraId="0DD341C3" w14:textId="77777777" w:rsidR="00BA16C4" w:rsidRPr="00284508" w:rsidRDefault="00BA16C4" w:rsidP="00B57600">
            <w:pPr>
              <w:spacing w:line="240" w:lineRule="auto"/>
              <w:rPr>
                <w:color w:val="000000"/>
              </w:rPr>
            </w:pPr>
            <w:r w:rsidRPr="00284508">
              <w:rPr>
                <w:color w:val="000000"/>
              </w:rPr>
              <w:t>Precision</w:t>
            </w:r>
          </w:p>
        </w:tc>
        <w:tc>
          <w:tcPr>
            <w:tcW w:w="1219" w:type="dxa"/>
            <w:tcBorders>
              <w:top w:val="nil"/>
              <w:left w:val="nil"/>
              <w:bottom w:val="single" w:sz="8" w:space="0" w:color="auto"/>
              <w:right w:val="nil"/>
            </w:tcBorders>
            <w:shd w:val="clear" w:color="auto" w:fill="auto"/>
            <w:noWrap/>
            <w:vAlign w:val="center"/>
            <w:hideMark/>
          </w:tcPr>
          <w:p w14:paraId="7C8E95AD" w14:textId="77777777" w:rsidR="00BA16C4" w:rsidRPr="00284508" w:rsidRDefault="00BA16C4" w:rsidP="00B57600">
            <w:pPr>
              <w:spacing w:line="240" w:lineRule="auto"/>
              <w:rPr>
                <w:color w:val="000000"/>
              </w:rPr>
            </w:pPr>
            <w:r w:rsidRPr="00284508">
              <w:rPr>
                <w:color w:val="000000"/>
              </w:rPr>
              <w:t>Efficiency</w:t>
            </w:r>
          </w:p>
        </w:tc>
      </w:tr>
      <w:tr w:rsidR="00BA16C4" w:rsidRPr="00284508" w14:paraId="04749463" w14:textId="77777777" w:rsidTr="00B57600">
        <w:trPr>
          <w:trHeight w:val="315"/>
        </w:trPr>
        <w:tc>
          <w:tcPr>
            <w:tcW w:w="1497" w:type="dxa"/>
            <w:tcBorders>
              <w:top w:val="nil"/>
              <w:left w:val="nil"/>
              <w:bottom w:val="nil"/>
              <w:right w:val="nil"/>
            </w:tcBorders>
            <w:shd w:val="clear" w:color="auto" w:fill="auto"/>
            <w:noWrap/>
            <w:vAlign w:val="center"/>
            <w:hideMark/>
          </w:tcPr>
          <w:p w14:paraId="78F06A81" w14:textId="77777777" w:rsidR="00BA16C4" w:rsidRPr="00284508" w:rsidRDefault="00BA16C4" w:rsidP="00B57600">
            <w:pPr>
              <w:spacing w:line="240" w:lineRule="auto"/>
              <w:rPr>
                <w:color w:val="000000"/>
              </w:rPr>
            </w:pPr>
            <w:r w:rsidRPr="00284508">
              <w:rPr>
                <w:color w:val="000000"/>
              </w:rPr>
              <w:t>Arsenal</w:t>
            </w:r>
          </w:p>
        </w:tc>
        <w:tc>
          <w:tcPr>
            <w:tcW w:w="1293" w:type="dxa"/>
            <w:tcBorders>
              <w:top w:val="nil"/>
              <w:left w:val="nil"/>
              <w:bottom w:val="nil"/>
              <w:right w:val="nil"/>
            </w:tcBorders>
            <w:shd w:val="clear" w:color="auto" w:fill="auto"/>
            <w:noWrap/>
            <w:vAlign w:val="center"/>
            <w:hideMark/>
          </w:tcPr>
          <w:p w14:paraId="3A32C383" w14:textId="77777777" w:rsidR="00BA16C4" w:rsidRPr="00284508" w:rsidRDefault="00BA16C4" w:rsidP="00B57600">
            <w:pPr>
              <w:spacing w:line="240" w:lineRule="auto"/>
              <w:rPr>
                <w:color w:val="000000"/>
              </w:rPr>
            </w:pPr>
            <w:r w:rsidRPr="00284508">
              <w:rPr>
                <w:color w:val="000000"/>
              </w:rPr>
              <w:t>0.50</w:t>
            </w:r>
          </w:p>
        </w:tc>
        <w:tc>
          <w:tcPr>
            <w:tcW w:w="1110" w:type="dxa"/>
            <w:tcBorders>
              <w:top w:val="nil"/>
              <w:left w:val="nil"/>
              <w:bottom w:val="nil"/>
              <w:right w:val="nil"/>
            </w:tcBorders>
            <w:shd w:val="clear" w:color="auto" w:fill="auto"/>
            <w:noWrap/>
            <w:vAlign w:val="center"/>
            <w:hideMark/>
          </w:tcPr>
          <w:p w14:paraId="48833AC0" w14:textId="77777777" w:rsidR="00BA16C4" w:rsidRPr="00284508" w:rsidRDefault="00BA16C4" w:rsidP="00B57600">
            <w:pPr>
              <w:spacing w:line="240" w:lineRule="auto"/>
              <w:rPr>
                <w:color w:val="000000"/>
              </w:rPr>
            </w:pPr>
            <w:r w:rsidRPr="00284508">
              <w:rPr>
                <w:color w:val="000000"/>
              </w:rPr>
              <w:t>0.77</w:t>
            </w:r>
          </w:p>
        </w:tc>
        <w:tc>
          <w:tcPr>
            <w:tcW w:w="1140" w:type="dxa"/>
            <w:tcBorders>
              <w:top w:val="nil"/>
              <w:left w:val="nil"/>
              <w:bottom w:val="nil"/>
              <w:right w:val="nil"/>
            </w:tcBorders>
            <w:shd w:val="clear" w:color="auto" w:fill="auto"/>
            <w:noWrap/>
            <w:vAlign w:val="center"/>
            <w:hideMark/>
          </w:tcPr>
          <w:p w14:paraId="6D71C07F" w14:textId="77777777" w:rsidR="00BA16C4" w:rsidRPr="00284508" w:rsidRDefault="00BA16C4" w:rsidP="00B57600">
            <w:pPr>
              <w:spacing w:line="240" w:lineRule="auto"/>
              <w:rPr>
                <w:color w:val="000000"/>
              </w:rPr>
            </w:pPr>
            <w:r w:rsidRPr="00284508">
              <w:rPr>
                <w:color w:val="000000"/>
              </w:rPr>
              <w:t>1.29</w:t>
            </w:r>
          </w:p>
        </w:tc>
        <w:tc>
          <w:tcPr>
            <w:tcW w:w="1110" w:type="dxa"/>
            <w:tcBorders>
              <w:top w:val="nil"/>
              <w:left w:val="nil"/>
              <w:bottom w:val="nil"/>
              <w:right w:val="nil"/>
            </w:tcBorders>
            <w:shd w:val="clear" w:color="auto" w:fill="auto"/>
            <w:noWrap/>
            <w:vAlign w:val="center"/>
            <w:hideMark/>
          </w:tcPr>
          <w:p w14:paraId="3FF2C5CB" w14:textId="77777777" w:rsidR="00BA16C4" w:rsidRPr="00284508" w:rsidRDefault="00BA16C4" w:rsidP="00B57600">
            <w:pPr>
              <w:spacing w:line="240" w:lineRule="auto"/>
              <w:rPr>
                <w:color w:val="000000"/>
              </w:rPr>
            </w:pPr>
            <w:r w:rsidRPr="00284508">
              <w:rPr>
                <w:color w:val="000000"/>
              </w:rPr>
              <w:t>1.38</w:t>
            </w:r>
          </w:p>
        </w:tc>
        <w:tc>
          <w:tcPr>
            <w:tcW w:w="963" w:type="dxa"/>
            <w:tcBorders>
              <w:top w:val="nil"/>
              <w:left w:val="nil"/>
              <w:bottom w:val="nil"/>
              <w:right w:val="nil"/>
            </w:tcBorders>
            <w:shd w:val="clear" w:color="auto" w:fill="auto"/>
            <w:noWrap/>
            <w:vAlign w:val="center"/>
            <w:hideMark/>
          </w:tcPr>
          <w:p w14:paraId="5F9AC7BF" w14:textId="77777777" w:rsidR="00BA16C4" w:rsidRPr="00284508" w:rsidRDefault="00BA16C4" w:rsidP="00B57600">
            <w:pPr>
              <w:spacing w:line="240" w:lineRule="auto"/>
              <w:rPr>
                <w:color w:val="000000"/>
              </w:rPr>
            </w:pPr>
            <w:r w:rsidRPr="00284508">
              <w:rPr>
                <w:color w:val="000000"/>
              </w:rPr>
              <w:t>1.93</w:t>
            </w:r>
          </w:p>
        </w:tc>
        <w:tc>
          <w:tcPr>
            <w:tcW w:w="1167" w:type="dxa"/>
            <w:tcBorders>
              <w:top w:val="nil"/>
              <w:left w:val="nil"/>
              <w:bottom w:val="nil"/>
              <w:right w:val="nil"/>
            </w:tcBorders>
            <w:shd w:val="clear" w:color="auto" w:fill="auto"/>
            <w:noWrap/>
            <w:vAlign w:val="center"/>
            <w:hideMark/>
          </w:tcPr>
          <w:p w14:paraId="4FEDE3C5" w14:textId="77777777" w:rsidR="00BA16C4" w:rsidRPr="00284508" w:rsidRDefault="00BA16C4" w:rsidP="00B57600">
            <w:pPr>
              <w:spacing w:line="240" w:lineRule="auto"/>
              <w:rPr>
                <w:color w:val="000000"/>
              </w:rPr>
            </w:pPr>
            <w:r w:rsidRPr="00284508">
              <w:rPr>
                <w:color w:val="000000"/>
              </w:rPr>
              <w:t>1.71</w:t>
            </w:r>
          </w:p>
        </w:tc>
        <w:tc>
          <w:tcPr>
            <w:tcW w:w="1219" w:type="dxa"/>
            <w:tcBorders>
              <w:top w:val="nil"/>
              <w:left w:val="nil"/>
              <w:bottom w:val="nil"/>
              <w:right w:val="nil"/>
            </w:tcBorders>
            <w:shd w:val="clear" w:color="auto" w:fill="auto"/>
            <w:noWrap/>
            <w:vAlign w:val="center"/>
            <w:hideMark/>
          </w:tcPr>
          <w:p w14:paraId="7447E04B" w14:textId="77777777" w:rsidR="00BA16C4" w:rsidRPr="00284508" w:rsidRDefault="00BA16C4" w:rsidP="00B57600">
            <w:pPr>
              <w:spacing w:line="240" w:lineRule="auto"/>
              <w:rPr>
                <w:color w:val="000000"/>
              </w:rPr>
            </w:pPr>
            <w:r w:rsidRPr="00284508">
              <w:rPr>
                <w:color w:val="000000"/>
              </w:rPr>
              <w:t>0.40</w:t>
            </w:r>
          </w:p>
        </w:tc>
      </w:tr>
      <w:tr w:rsidR="00BA16C4" w:rsidRPr="00284508" w14:paraId="4B92A3E6" w14:textId="77777777" w:rsidTr="00B57600">
        <w:trPr>
          <w:trHeight w:val="315"/>
        </w:trPr>
        <w:tc>
          <w:tcPr>
            <w:tcW w:w="1497" w:type="dxa"/>
            <w:tcBorders>
              <w:top w:val="nil"/>
              <w:left w:val="nil"/>
              <w:bottom w:val="nil"/>
              <w:right w:val="nil"/>
            </w:tcBorders>
            <w:shd w:val="clear" w:color="auto" w:fill="auto"/>
            <w:noWrap/>
            <w:vAlign w:val="center"/>
            <w:hideMark/>
          </w:tcPr>
          <w:p w14:paraId="076D4640" w14:textId="77777777" w:rsidR="00BA16C4" w:rsidRPr="00284508" w:rsidRDefault="00BA16C4" w:rsidP="00B57600">
            <w:pPr>
              <w:spacing w:line="240" w:lineRule="auto"/>
              <w:rPr>
                <w:color w:val="000000"/>
              </w:rPr>
            </w:pPr>
            <w:r w:rsidRPr="00284508">
              <w:rPr>
                <w:color w:val="000000"/>
              </w:rPr>
              <w:t>Aston Villa</w:t>
            </w:r>
          </w:p>
        </w:tc>
        <w:tc>
          <w:tcPr>
            <w:tcW w:w="1293" w:type="dxa"/>
            <w:tcBorders>
              <w:top w:val="nil"/>
              <w:left w:val="nil"/>
              <w:bottom w:val="nil"/>
              <w:right w:val="nil"/>
            </w:tcBorders>
            <w:shd w:val="clear" w:color="auto" w:fill="auto"/>
            <w:noWrap/>
            <w:vAlign w:val="center"/>
            <w:hideMark/>
          </w:tcPr>
          <w:p w14:paraId="062CC624" w14:textId="77777777" w:rsidR="00BA16C4" w:rsidRPr="00284508" w:rsidRDefault="00BA16C4" w:rsidP="00B57600">
            <w:pPr>
              <w:spacing w:line="240" w:lineRule="auto"/>
              <w:rPr>
                <w:color w:val="000000"/>
              </w:rPr>
            </w:pPr>
            <w:r w:rsidRPr="00284508">
              <w:rPr>
                <w:color w:val="000000"/>
              </w:rPr>
              <w:t>-0.92</w:t>
            </w:r>
          </w:p>
        </w:tc>
        <w:tc>
          <w:tcPr>
            <w:tcW w:w="1110" w:type="dxa"/>
            <w:tcBorders>
              <w:top w:val="nil"/>
              <w:left w:val="nil"/>
              <w:bottom w:val="nil"/>
              <w:right w:val="nil"/>
            </w:tcBorders>
            <w:shd w:val="clear" w:color="auto" w:fill="auto"/>
            <w:noWrap/>
            <w:vAlign w:val="center"/>
            <w:hideMark/>
          </w:tcPr>
          <w:p w14:paraId="7EBA1217" w14:textId="77777777" w:rsidR="00BA16C4" w:rsidRPr="00284508" w:rsidRDefault="00BA16C4" w:rsidP="00B57600">
            <w:pPr>
              <w:spacing w:line="240" w:lineRule="auto"/>
              <w:rPr>
                <w:color w:val="000000"/>
              </w:rPr>
            </w:pPr>
            <w:r w:rsidRPr="00284508">
              <w:rPr>
                <w:color w:val="000000"/>
              </w:rPr>
              <w:t>-0.90</w:t>
            </w:r>
          </w:p>
        </w:tc>
        <w:tc>
          <w:tcPr>
            <w:tcW w:w="1140" w:type="dxa"/>
            <w:tcBorders>
              <w:top w:val="nil"/>
              <w:left w:val="nil"/>
              <w:bottom w:val="nil"/>
              <w:right w:val="nil"/>
            </w:tcBorders>
            <w:shd w:val="clear" w:color="auto" w:fill="auto"/>
            <w:noWrap/>
            <w:vAlign w:val="center"/>
            <w:hideMark/>
          </w:tcPr>
          <w:p w14:paraId="4354F357" w14:textId="77777777" w:rsidR="00BA16C4" w:rsidRPr="00284508" w:rsidRDefault="00BA16C4" w:rsidP="00B57600">
            <w:pPr>
              <w:spacing w:line="240" w:lineRule="auto"/>
              <w:rPr>
                <w:color w:val="000000"/>
              </w:rPr>
            </w:pPr>
            <w:r w:rsidRPr="00284508">
              <w:rPr>
                <w:color w:val="000000"/>
              </w:rPr>
              <w:t>-0.47</w:t>
            </w:r>
          </w:p>
        </w:tc>
        <w:tc>
          <w:tcPr>
            <w:tcW w:w="1110" w:type="dxa"/>
            <w:tcBorders>
              <w:top w:val="nil"/>
              <w:left w:val="nil"/>
              <w:bottom w:val="nil"/>
              <w:right w:val="nil"/>
            </w:tcBorders>
            <w:shd w:val="clear" w:color="auto" w:fill="auto"/>
            <w:noWrap/>
            <w:vAlign w:val="center"/>
            <w:hideMark/>
          </w:tcPr>
          <w:p w14:paraId="2D083B88" w14:textId="77777777" w:rsidR="00BA16C4" w:rsidRPr="00284508" w:rsidRDefault="00BA16C4" w:rsidP="00B57600">
            <w:pPr>
              <w:spacing w:line="240" w:lineRule="auto"/>
              <w:rPr>
                <w:color w:val="000000"/>
              </w:rPr>
            </w:pPr>
            <w:r w:rsidRPr="00284508">
              <w:rPr>
                <w:color w:val="000000"/>
              </w:rPr>
              <w:t>-1.41</w:t>
            </w:r>
          </w:p>
        </w:tc>
        <w:tc>
          <w:tcPr>
            <w:tcW w:w="963" w:type="dxa"/>
            <w:tcBorders>
              <w:top w:val="nil"/>
              <w:left w:val="nil"/>
              <w:bottom w:val="nil"/>
              <w:right w:val="nil"/>
            </w:tcBorders>
            <w:shd w:val="clear" w:color="auto" w:fill="auto"/>
            <w:noWrap/>
            <w:vAlign w:val="center"/>
            <w:hideMark/>
          </w:tcPr>
          <w:p w14:paraId="2FE08B9A" w14:textId="77777777" w:rsidR="00BA16C4" w:rsidRPr="00284508" w:rsidRDefault="00BA16C4" w:rsidP="00B57600">
            <w:pPr>
              <w:spacing w:line="240" w:lineRule="auto"/>
              <w:rPr>
                <w:color w:val="000000"/>
              </w:rPr>
            </w:pPr>
            <w:r w:rsidRPr="00284508">
              <w:rPr>
                <w:color w:val="000000"/>
              </w:rPr>
              <w:t>-0.11</w:t>
            </w:r>
          </w:p>
        </w:tc>
        <w:tc>
          <w:tcPr>
            <w:tcW w:w="1167" w:type="dxa"/>
            <w:tcBorders>
              <w:top w:val="nil"/>
              <w:left w:val="nil"/>
              <w:bottom w:val="nil"/>
              <w:right w:val="nil"/>
            </w:tcBorders>
            <w:shd w:val="clear" w:color="auto" w:fill="auto"/>
            <w:noWrap/>
            <w:vAlign w:val="center"/>
            <w:hideMark/>
          </w:tcPr>
          <w:p w14:paraId="54585974" w14:textId="77777777" w:rsidR="00BA16C4" w:rsidRPr="00284508" w:rsidRDefault="00BA16C4" w:rsidP="00B57600">
            <w:pPr>
              <w:spacing w:line="240" w:lineRule="auto"/>
              <w:rPr>
                <w:color w:val="000000"/>
              </w:rPr>
            </w:pPr>
            <w:r w:rsidRPr="00284508">
              <w:rPr>
                <w:color w:val="000000"/>
              </w:rPr>
              <w:t>-1.34</w:t>
            </w:r>
          </w:p>
        </w:tc>
        <w:tc>
          <w:tcPr>
            <w:tcW w:w="1219" w:type="dxa"/>
            <w:tcBorders>
              <w:top w:val="nil"/>
              <w:left w:val="nil"/>
              <w:bottom w:val="nil"/>
              <w:right w:val="nil"/>
            </w:tcBorders>
            <w:shd w:val="clear" w:color="auto" w:fill="auto"/>
            <w:noWrap/>
            <w:vAlign w:val="center"/>
            <w:hideMark/>
          </w:tcPr>
          <w:p w14:paraId="5C6C8E0E" w14:textId="77777777" w:rsidR="00BA16C4" w:rsidRPr="00284508" w:rsidRDefault="00BA16C4" w:rsidP="00B57600">
            <w:pPr>
              <w:spacing w:line="240" w:lineRule="auto"/>
              <w:rPr>
                <w:color w:val="000000"/>
              </w:rPr>
            </w:pPr>
            <w:r w:rsidRPr="00284508">
              <w:rPr>
                <w:color w:val="000000"/>
              </w:rPr>
              <w:t>0.16</w:t>
            </w:r>
          </w:p>
        </w:tc>
      </w:tr>
      <w:tr w:rsidR="00BA16C4" w:rsidRPr="00284508" w14:paraId="4A44DD70" w14:textId="77777777" w:rsidTr="00B57600">
        <w:trPr>
          <w:trHeight w:val="315"/>
        </w:trPr>
        <w:tc>
          <w:tcPr>
            <w:tcW w:w="1497" w:type="dxa"/>
            <w:tcBorders>
              <w:top w:val="nil"/>
              <w:left w:val="nil"/>
              <w:bottom w:val="nil"/>
              <w:right w:val="nil"/>
            </w:tcBorders>
            <w:shd w:val="clear" w:color="auto" w:fill="auto"/>
            <w:noWrap/>
            <w:vAlign w:val="center"/>
            <w:hideMark/>
          </w:tcPr>
          <w:p w14:paraId="53A68F36" w14:textId="77777777" w:rsidR="00BA16C4" w:rsidRPr="00284508" w:rsidRDefault="00BA16C4" w:rsidP="00B57600">
            <w:pPr>
              <w:spacing w:line="240" w:lineRule="auto"/>
              <w:rPr>
                <w:color w:val="000000"/>
              </w:rPr>
            </w:pPr>
            <w:r w:rsidRPr="00284508">
              <w:rPr>
                <w:color w:val="000000"/>
              </w:rPr>
              <w:t>Cardiff</w:t>
            </w:r>
          </w:p>
        </w:tc>
        <w:tc>
          <w:tcPr>
            <w:tcW w:w="1293" w:type="dxa"/>
            <w:tcBorders>
              <w:top w:val="nil"/>
              <w:left w:val="nil"/>
              <w:bottom w:val="nil"/>
              <w:right w:val="nil"/>
            </w:tcBorders>
            <w:shd w:val="clear" w:color="auto" w:fill="auto"/>
            <w:noWrap/>
            <w:vAlign w:val="center"/>
            <w:hideMark/>
          </w:tcPr>
          <w:p w14:paraId="37D0F098" w14:textId="77777777" w:rsidR="00BA16C4" w:rsidRPr="00284508" w:rsidRDefault="00BA16C4" w:rsidP="00B57600">
            <w:pPr>
              <w:spacing w:line="240" w:lineRule="auto"/>
              <w:rPr>
                <w:color w:val="000000"/>
              </w:rPr>
            </w:pPr>
            <w:r w:rsidRPr="00284508">
              <w:rPr>
                <w:color w:val="000000"/>
              </w:rPr>
              <w:t>0.82</w:t>
            </w:r>
          </w:p>
        </w:tc>
        <w:tc>
          <w:tcPr>
            <w:tcW w:w="1110" w:type="dxa"/>
            <w:tcBorders>
              <w:top w:val="nil"/>
              <w:left w:val="nil"/>
              <w:bottom w:val="nil"/>
              <w:right w:val="nil"/>
            </w:tcBorders>
            <w:shd w:val="clear" w:color="auto" w:fill="auto"/>
            <w:noWrap/>
            <w:vAlign w:val="center"/>
            <w:hideMark/>
          </w:tcPr>
          <w:p w14:paraId="65AAD939" w14:textId="77777777" w:rsidR="00BA16C4" w:rsidRPr="00284508" w:rsidRDefault="00BA16C4" w:rsidP="00B57600">
            <w:pPr>
              <w:spacing w:line="240" w:lineRule="auto"/>
              <w:rPr>
                <w:color w:val="000000"/>
              </w:rPr>
            </w:pPr>
            <w:r w:rsidRPr="00284508">
              <w:rPr>
                <w:color w:val="000000"/>
              </w:rPr>
              <w:t>-1.10</w:t>
            </w:r>
          </w:p>
        </w:tc>
        <w:tc>
          <w:tcPr>
            <w:tcW w:w="1140" w:type="dxa"/>
            <w:tcBorders>
              <w:top w:val="nil"/>
              <w:left w:val="nil"/>
              <w:bottom w:val="nil"/>
              <w:right w:val="nil"/>
            </w:tcBorders>
            <w:shd w:val="clear" w:color="auto" w:fill="auto"/>
            <w:noWrap/>
            <w:vAlign w:val="center"/>
            <w:hideMark/>
          </w:tcPr>
          <w:p w14:paraId="665C5006" w14:textId="77777777" w:rsidR="00BA16C4" w:rsidRPr="00284508" w:rsidRDefault="00BA16C4" w:rsidP="00B57600">
            <w:pPr>
              <w:spacing w:line="240" w:lineRule="auto"/>
              <w:rPr>
                <w:color w:val="000000"/>
              </w:rPr>
            </w:pPr>
            <w:r w:rsidRPr="00284508">
              <w:rPr>
                <w:color w:val="000000"/>
              </w:rPr>
              <w:t>-0.82</w:t>
            </w:r>
          </w:p>
        </w:tc>
        <w:tc>
          <w:tcPr>
            <w:tcW w:w="1110" w:type="dxa"/>
            <w:tcBorders>
              <w:top w:val="nil"/>
              <w:left w:val="nil"/>
              <w:bottom w:val="nil"/>
              <w:right w:val="nil"/>
            </w:tcBorders>
            <w:shd w:val="clear" w:color="auto" w:fill="auto"/>
            <w:noWrap/>
            <w:vAlign w:val="center"/>
            <w:hideMark/>
          </w:tcPr>
          <w:p w14:paraId="7E76DABB" w14:textId="77777777" w:rsidR="00BA16C4" w:rsidRPr="00284508" w:rsidRDefault="00BA16C4" w:rsidP="00B57600">
            <w:pPr>
              <w:spacing w:line="240" w:lineRule="auto"/>
              <w:rPr>
                <w:color w:val="000000"/>
              </w:rPr>
            </w:pPr>
            <w:r w:rsidRPr="00284508">
              <w:rPr>
                <w:color w:val="000000"/>
              </w:rPr>
              <w:t>-1.09</w:t>
            </w:r>
          </w:p>
        </w:tc>
        <w:tc>
          <w:tcPr>
            <w:tcW w:w="963" w:type="dxa"/>
            <w:tcBorders>
              <w:top w:val="nil"/>
              <w:left w:val="nil"/>
              <w:bottom w:val="nil"/>
              <w:right w:val="nil"/>
            </w:tcBorders>
            <w:shd w:val="clear" w:color="auto" w:fill="auto"/>
            <w:noWrap/>
            <w:vAlign w:val="center"/>
            <w:hideMark/>
          </w:tcPr>
          <w:p w14:paraId="30B22EFF" w14:textId="77777777" w:rsidR="00BA16C4" w:rsidRPr="00284508" w:rsidRDefault="00BA16C4" w:rsidP="00B57600">
            <w:pPr>
              <w:spacing w:line="240" w:lineRule="auto"/>
              <w:rPr>
                <w:color w:val="000000"/>
              </w:rPr>
            </w:pPr>
            <w:r w:rsidRPr="00284508">
              <w:rPr>
                <w:color w:val="000000"/>
              </w:rPr>
              <w:t>-0.92</w:t>
            </w:r>
          </w:p>
        </w:tc>
        <w:tc>
          <w:tcPr>
            <w:tcW w:w="1167" w:type="dxa"/>
            <w:tcBorders>
              <w:top w:val="nil"/>
              <w:left w:val="nil"/>
              <w:bottom w:val="nil"/>
              <w:right w:val="nil"/>
            </w:tcBorders>
            <w:shd w:val="clear" w:color="auto" w:fill="auto"/>
            <w:noWrap/>
            <w:vAlign w:val="center"/>
            <w:hideMark/>
          </w:tcPr>
          <w:p w14:paraId="3EC1B83D" w14:textId="77777777" w:rsidR="00BA16C4" w:rsidRPr="00284508" w:rsidRDefault="00BA16C4" w:rsidP="00B57600">
            <w:pPr>
              <w:spacing w:line="240" w:lineRule="auto"/>
              <w:rPr>
                <w:color w:val="000000"/>
              </w:rPr>
            </w:pPr>
            <w:r w:rsidRPr="00284508">
              <w:rPr>
                <w:color w:val="000000"/>
              </w:rPr>
              <w:t>-0.74</w:t>
            </w:r>
          </w:p>
        </w:tc>
        <w:tc>
          <w:tcPr>
            <w:tcW w:w="1219" w:type="dxa"/>
            <w:tcBorders>
              <w:top w:val="nil"/>
              <w:left w:val="nil"/>
              <w:bottom w:val="nil"/>
              <w:right w:val="nil"/>
            </w:tcBorders>
            <w:shd w:val="clear" w:color="auto" w:fill="auto"/>
            <w:noWrap/>
            <w:vAlign w:val="center"/>
            <w:hideMark/>
          </w:tcPr>
          <w:p w14:paraId="28C5E091" w14:textId="77777777" w:rsidR="00BA16C4" w:rsidRPr="00284508" w:rsidRDefault="00BA16C4" w:rsidP="00B57600">
            <w:pPr>
              <w:spacing w:line="240" w:lineRule="auto"/>
              <w:rPr>
                <w:color w:val="000000"/>
              </w:rPr>
            </w:pPr>
            <w:r w:rsidRPr="00284508">
              <w:rPr>
                <w:color w:val="000000"/>
              </w:rPr>
              <w:t>1.19</w:t>
            </w:r>
          </w:p>
        </w:tc>
      </w:tr>
      <w:tr w:rsidR="00BA16C4" w:rsidRPr="00284508" w14:paraId="073216B5" w14:textId="77777777" w:rsidTr="00B57600">
        <w:trPr>
          <w:trHeight w:val="315"/>
        </w:trPr>
        <w:tc>
          <w:tcPr>
            <w:tcW w:w="1497" w:type="dxa"/>
            <w:tcBorders>
              <w:top w:val="nil"/>
              <w:left w:val="nil"/>
              <w:bottom w:val="nil"/>
              <w:right w:val="nil"/>
            </w:tcBorders>
            <w:shd w:val="clear" w:color="auto" w:fill="auto"/>
            <w:noWrap/>
            <w:vAlign w:val="center"/>
            <w:hideMark/>
          </w:tcPr>
          <w:p w14:paraId="4EEFE575" w14:textId="77777777" w:rsidR="00BA16C4" w:rsidRPr="00284508" w:rsidRDefault="00BA16C4" w:rsidP="00B57600">
            <w:pPr>
              <w:spacing w:line="240" w:lineRule="auto"/>
              <w:rPr>
                <w:color w:val="000000"/>
              </w:rPr>
            </w:pPr>
            <w:r w:rsidRPr="00284508">
              <w:rPr>
                <w:color w:val="000000"/>
              </w:rPr>
              <w:t>Chelsea</w:t>
            </w:r>
          </w:p>
        </w:tc>
        <w:tc>
          <w:tcPr>
            <w:tcW w:w="1293" w:type="dxa"/>
            <w:tcBorders>
              <w:top w:val="nil"/>
              <w:left w:val="nil"/>
              <w:bottom w:val="nil"/>
              <w:right w:val="nil"/>
            </w:tcBorders>
            <w:shd w:val="clear" w:color="auto" w:fill="auto"/>
            <w:noWrap/>
            <w:vAlign w:val="center"/>
            <w:hideMark/>
          </w:tcPr>
          <w:p w14:paraId="64429630" w14:textId="77777777" w:rsidR="00BA16C4" w:rsidRPr="00284508" w:rsidRDefault="00BA16C4" w:rsidP="00B57600">
            <w:pPr>
              <w:spacing w:line="240" w:lineRule="auto"/>
              <w:rPr>
                <w:color w:val="000000"/>
              </w:rPr>
            </w:pPr>
            <w:r w:rsidRPr="00284508">
              <w:rPr>
                <w:color w:val="000000"/>
              </w:rPr>
              <w:t>-0.46</w:t>
            </w:r>
          </w:p>
        </w:tc>
        <w:tc>
          <w:tcPr>
            <w:tcW w:w="1110" w:type="dxa"/>
            <w:tcBorders>
              <w:top w:val="nil"/>
              <w:left w:val="nil"/>
              <w:bottom w:val="nil"/>
              <w:right w:val="nil"/>
            </w:tcBorders>
            <w:shd w:val="clear" w:color="auto" w:fill="auto"/>
            <w:noWrap/>
            <w:vAlign w:val="center"/>
            <w:hideMark/>
          </w:tcPr>
          <w:p w14:paraId="6988A3B9" w14:textId="77777777" w:rsidR="00BA16C4" w:rsidRPr="00284508" w:rsidRDefault="00BA16C4" w:rsidP="00B57600">
            <w:pPr>
              <w:spacing w:line="240" w:lineRule="auto"/>
              <w:rPr>
                <w:color w:val="000000"/>
              </w:rPr>
            </w:pPr>
            <w:r w:rsidRPr="00284508">
              <w:rPr>
                <w:color w:val="000000"/>
              </w:rPr>
              <w:t>1.37</w:t>
            </w:r>
          </w:p>
        </w:tc>
        <w:tc>
          <w:tcPr>
            <w:tcW w:w="1140" w:type="dxa"/>
            <w:tcBorders>
              <w:top w:val="nil"/>
              <w:left w:val="nil"/>
              <w:bottom w:val="nil"/>
              <w:right w:val="nil"/>
            </w:tcBorders>
            <w:shd w:val="clear" w:color="auto" w:fill="auto"/>
            <w:noWrap/>
            <w:vAlign w:val="center"/>
            <w:hideMark/>
          </w:tcPr>
          <w:p w14:paraId="39FDECD0" w14:textId="77777777" w:rsidR="00BA16C4" w:rsidRPr="00284508" w:rsidRDefault="00BA16C4" w:rsidP="00B57600">
            <w:pPr>
              <w:spacing w:line="240" w:lineRule="auto"/>
              <w:rPr>
                <w:color w:val="000000"/>
              </w:rPr>
            </w:pPr>
            <w:r w:rsidRPr="00284508">
              <w:rPr>
                <w:color w:val="000000"/>
              </w:rPr>
              <w:t>-0.42</w:t>
            </w:r>
          </w:p>
        </w:tc>
        <w:tc>
          <w:tcPr>
            <w:tcW w:w="1110" w:type="dxa"/>
            <w:tcBorders>
              <w:top w:val="nil"/>
              <w:left w:val="nil"/>
              <w:bottom w:val="nil"/>
              <w:right w:val="nil"/>
            </w:tcBorders>
            <w:shd w:val="clear" w:color="auto" w:fill="auto"/>
            <w:noWrap/>
            <w:vAlign w:val="center"/>
            <w:hideMark/>
          </w:tcPr>
          <w:p w14:paraId="5D72C406" w14:textId="77777777" w:rsidR="00BA16C4" w:rsidRPr="00284508" w:rsidRDefault="00BA16C4" w:rsidP="00B57600">
            <w:pPr>
              <w:spacing w:line="240" w:lineRule="auto"/>
              <w:rPr>
                <w:color w:val="000000"/>
              </w:rPr>
            </w:pPr>
            <w:r w:rsidRPr="00284508">
              <w:rPr>
                <w:color w:val="000000"/>
              </w:rPr>
              <w:t>0.93</w:t>
            </w:r>
          </w:p>
        </w:tc>
        <w:tc>
          <w:tcPr>
            <w:tcW w:w="963" w:type="dxa"/>
            <w:tcBorders>
              <w:top w:val="nil"/>
              <w:left w:val="nil"/>
              <w:bottom w:val="nil"/>
              <w:right w:val="nil"/>
            </w:tcBorders>
            <w:shd w:val="clear" w:color="auto" w:fill="auto"/>
            <w:noWrap/>
            <w:vAlign w:val="center"/>
            <w:hideMark/>
          </w:tcPr>
          <w:p w14:paraId="16D6F991" w14:textId="77777777" w:rsidR="00BA16C4" w:rsidRPr="00284508" w:rsidRDefault="00BA16C4" w:rsidP="00B57600">
            <w:pPr>
              <w:spacing w:line="240" w:lineRule="auto"/>
              <w:rPr>
                <w:color w:val="000000"/>
              </w:rPr>
            </w:pPr>
            <w:r w:rsidRPr="00284508">
              <w:rPr>
                <w:color w:val="000000"/>
              </w:rPr>
              <w:t>1.23</w:t>
            </w:r>
          </w:p>
        </w:tc>
        <w:tc>
          <w:tcPr>
            <w:tcW w:w="1167" w:type="dxa"/>
            <w:tcBorders>
              <w:top w:val="nil"/>
              <w:left w:val="nil"/>
              <w:bottom w:val="nil"/>
              <w:right w:val="nil"/>
            </w:tcBorders>
            <w:shd w:val="clear" w:color="auto" w:fill="auto"/>
            <w:noWrap/>
            <w:vAlign w:val="center"/>
            <w:hideMark/>
          </w:tcPr>
          <w:p w14:paraId="5030EBEB" w14:textId="77777777" w:rsidR="00BA16C4" w:rsidRPr="00284508" w:rsidRDefault="00BA16C4" w:rsidP="00B57600">
            <w:pPr>
              <w:spacing w:line="240" w:lineRule="auto"/>
              <w:rPr>
                <w:color w:val="000000"/>
              </w:rPr>
            </w:pPr>
            <w:r w:rsidRPr="00284508">
              <w:rPr>
                <w:color w:val="000000"/>
              </w:rPr>
              <w:t>0.88</w:t>
            </w:r>
          </w:p>
        </w:tc>
        <w:tc>
          <w:tcPr>
            <w:tcW w:w="1219" w:type="dxa"/>
            <w:tcBorders>
              <w:top w:val="nil"/>
              <w:left w:val="nil"/>
              <w:bottom w:val="nil"/>
              <w:right w:val="nil"/>
            </w:tcBorders>
            <w:shd w:val="clear" w:color="auto" w:fill="auto"/>
            <w:noWrap/>
            <w:vAlign w:val="center"/>
            <w:hideMark/>
          </w:tcPr>
          <w:p w14:paraId="7FD771B5" w14:textId="77777777" w:rsidR="00BA16C4" w:rsidRPr="00284508" w:rsidRDefault="00BA16C4" w:rsidP="00B57600">
            <w:pPr>
              <w:spacing w:line="240" w:lineRule="auto"/>
              <w:rPr>
                <w:color w:val="000000"/>
              </w:rPr>
            </w:pPr>
            <w:r w:rsidRPr="00284508">
              <w:rPr>
                <w:color w:val="000000"/>
              </w:rPr>
              <w:t>-1.81</w:t>
            </w:r>
          </w:p>
        </w:tc>
      </w:tr>
      <w:tr w:rsidR="00BA16C4" w:rsidRPr="00284508" w14:paraId="0EBC555B" w14:textId="77777777" w:rsidTr="00B57600">
        <w:trPr>
          <w:trHeight w:val="315"/>
        </w:trPr>
        <w:tc>
          <w:tcPr>
            <w:tcW w:w="1497" w:type="dxa"/>
            <w:tcBorders>
              <w:top w:val="nil"/>
              <w:left w:val="nil"/>
              <w:bottom w:val="nil"/>
              <w:right w:val="nil"/>
            </w:tcBorders>
            <w:shd w:val="clear" w:color="auto" w:fill="auto"/>
            <w:noWrap/>
            <w:vAlign w:val="center"/>
            <w:hideMark/>
          </w:tcPr>
          <w:p w14:paraId="279DCB3D" w14:textId="77777777" w:rsidR="00BA16C4" w:rsidRPr="00284508" w:rsidRDefault="00BA16C4" w:rsidP="00B57600">
            <w:pPr>
              <w:spacing w:line="240" w:lineRule="auto"/>
              <w:rPr>
                <w:color w:val="000000"/>
              </w:rPr>
            </w:pPr>
            <w:r w:rsidRPr="00284508">
              <w:rPr>
                <w:color w:val="000000"/>
              </w:rPr>
              <w:t>Crystal Palace</w:t>
            </w:r>
          </w:p>
        </w:tc>
        <w:tc>
          <w:tcPr>
            <w:tcW w:w="1293" w:type="dxa"/>
            <w:tcBorders>
              <w:top w:val="nil"/>
              <w:left w:val="nil"/>
              <w:bottom w:val="nil"/>
              <w:right w:val="nil"/>
            </w:tcBorders>
            <w:shd w:val="clear" w:color="auto" w:fill="auto"/>
            <w:noWrap/>
            <w:vAlign w:val="center"/>
            <w:hideMark/>
          </w:tcPr>
          <w:p w14:paraId="6B8AA073" w14:textId="77777777" w:rsidR="00BA16C4" w:rsidRPr="00284508" w:rsidRDefault="00BA16C4" w:rsidP="00B57600">
            <w:pPr>
              <w:spacing w:line="240" w:lineRule="auto"/>
              <w:rPr>
                <w:color w:val="000000"/>
              </w:rPr>
            </w:pPr>
            <w:r w:rsidRPr="00284508">
              <w:rPr>
                <w:color w:val="000000"/>
              </w:rPr>
              <w:t>-1.24</w:t>
            </w:r>
          </w:p>
        </w:tc>
        <w:tc>
          <w:tcPr>
            <w:tcW w:w="1110" w:type="dxa"/>
            <w:tcBorders>
              <w:top w:val="nil"/>
              <w:left w:val="nil"/>
              <w:bottom w:val="nil"/>
              <w:right w:val="nil"/>
            </w:tcBorders>
            <w:shd w:val="clear" w:color="auto" w:fill="auto"/>
            <w:noWrap/>
            <w:vAlign w:val="center"/>
            <w:hideMark/>
          </w:tcPr>
          <w:p w14:paraId="403A4BF2" w14:textId="77777777" w:rsidR="00BA16C4" w:rsidRPr="00284508" w:rsidRDefault="00BA16C4" w:rsidP="00B57600">
            <w:pPr>
              <w:spacing w:line="240" w:lineRule="auto"/>
              <w:rPr>
                <w:color w:val="000000"/>
              </w:rPr>
            </w:pPr>
            <w:r w:rsidRPr="00284508">
              <w:rPr>
                <w:color w:val="000000"/>
              </w:rPr>
              <w:t>-2.69</w:t>
            </w:r>
          </w:p>
        </w:tc>
        <w:tc>
          <w:tcPr>
            <w:tcW w:w="1140" w:type="dxa"/>
            <w:tcBorders>
              <w:top w:val="nil"/>
              <w:left w:val="nil"/>
              <w:bottom w:val="nil"/>
              <w:right w:val="nil"/>
            </w:tcBorders>
            <w:shd w:val="clear" w:color="auto" w:fill="auto"/>
            <w:noWrap/>
            <w:vAlign w:val="center"/>
            <w:hideMark/>
          </w:tcPr>
          <w:p w14:paraId="1780599C" w14:textId="77777777" w:rsidR="00BA16C4" w:rsidRPr="00284508" w:rsidRDefault="00BA16C4" w:rsidP="00B57600">
            <w:pPr>
              <w:spacing w:line="240" w:lineRule="auto"/>
              <w:rPr>
                <w:color w:val="000000"/>
              </w:rPr>
            </w:pPr>
            <w:r w:rsidRPr="00284508">
              <w:rPr>
                <w:color w:val="000000"/>
              </w:rPr>
              <w:t>-0.85</w:t>
            </w:r>
          </w:p>
        </w:tc>
        <w:tc>
          <w:tcPr>
            <w:tcW w:w="1110" w:type="dxa"/>
            <w:tcBorders>
              <w:top w:val="nil"/>
              <w:left w:val="nil"/>
              <w:bottom w:val="nil"/>
              <w:right w:val="nil"/>
            </w:tcBorders>
            <w:shd w:val="clear" w:color="auto" w:fill="auto"/>
            <w:noWrap/>
            <w:vAlign w:val="center"/>
            <w:hideMark/>
          </w:tcPr>
          <w:p w14:paraId="31FA6F38" w14:textId="77777777" w:rsidR="00BA16C4" w:rsidRPr="00284508" w:rsidRDefault="00BA16C4" w:rsidP="00B57600">
            <w:pPr>
              <w:spacing w:line="240" w:lineRule="auto"/>
              <w:rPr>
                <w:color w:val="000000"/>
              </w:rPr>
            </w:pPr>
            <w:r w:rsidRPr="00284508">
              <w:rPr>
                <w:color w:val="000000"/>
              </w:rPr>
              <w:t>-2.19</w:t>
            </w:r>
          </w:p>
        </w:tc>
        <w:tc>
          <w:tcPr>
            <w:tcW w:w="963" w:type="dxa"/>
            <w:tcBorders>
              <w:top w:val="nil"/>
              <w:left w:val="nil"/>
              <w:bottom w:val="nil"/>
              <w:right w:val="nil"/>
            </w:tcBorders>
            <w:shd w:val="clear" w:color="auto" w:fill="auto"/>
            <w:noWrap/>
            <w:vAlign w:val="center"/>
            <w:hideMark/>
          </w:tcPr>
          <w:p w14:paraId="6F897E00" w14:textId="77777777" w:rsidR="00BA16C4" w:rsidRPr="00284508" w:rsidRDefault="00BA16C4" w:rsidP="00B57600">
            <w:pPr>
              <w:spacing w:line="240" w:lineRule="auto"/>
              <w:rPr>
                <w:color w:val="000000"/>
              </w:rPr>
            </w:pPr>
            <w:r w:rsidRPr="00284508">
              <w:rPr>
                <w:color w:val="000000"/>
              </w:rPr>
              <w:t>1.19</w:t>
            </w:r>
          </w:p>
        </w:tc>
        <w:tc>
          <w:tcPr>
            <w:tcW w:w="1167" w:type="dxa"/>
            <w:tcBorders>
              <w:top w:val="nil"/>
              <w:left w:val="nil"/>
              <w:bottom w:val="nil"/>
              <w:right w:val="nil"/>
            </w:tcBorders>
            <w:shd w:val="clear" w:color="auto" w:fill="auto"/>
            <w:noWrap/>
            <w:vAlign w:val="center"/>
            <w:hideMark/>
          </w:tcPr>
          <w:p w14:paraId="08B3AADB" w14:textId="77777777" w:rsidR="00BA16C4" w:rsidRPr="00284508" w:rsidRDefault="00BA16C4" w:rsidP="00B57600">
            <w:pPr>
              <w:spacing w:line="240" w:lineRule="auto"/>
              <w:rPr>
                <w:color w:val="000000"/>
              </w:rPr>
            </w:pPr>
            <w:r w:rsidRPr="00284508">
              <w:rPr>
                <w:color w:val="000000"/>
              </w:rPr>
              <w:t>-1.11</w:t>
            </w:r>
          </w:p>
        </w:tc>
        <w:tc>
          <w:tcPr>
            <w:tcW w:w="1219" w:type="dxa"/>
            <w:tcBorders>
              <w:top w:val="nil"/>
              <w:left w:val="nil"/>
              <w:bottom w:val="nil"/>
              <w:right w:val="nil"/>
            </w:tcBorders>
            <w:shd w:val="clear" w:color="auto" w:fill="auto"/>
            <w:noWrap/>
            <w:vAlign w:val="center"/>
            <w:hideMark/>
          </w:tcPr>
          <w:p w14:paraId="6FAE59EA" w14:textId="77777777" w:rsidR="00BA16C4" w:rsidRPr="00284508" w:rsidRDefault="00BA16C4" w:rsidP="00B57600">
            <w:pPr>
              <w:spacing w:line="240" w:lineRule="auto"/>
              <w:rPr>
                <w:color w:val="000000"/>
              </w:rPr>
            </w:pPr>
            <w:r w:rsidRPr="00284508">
              <w:rPr>
                <w:color w:val="000000"/>
              </w:rPr>
              <w:t>-0.55</w:t>
            </w:r>
          </w:p>
        </w:tc>
      </w:tr>
      <w:tr w:rsidR="00BA16C4" w:rsidRPr="00284508" w14:paraId="58B6359A" w14:textId="77777777" w:rsidTr="00B57600">
        <w:trPr>
          <w:trHeight w:val="315"/>
        </w:trPr>
        <w:tc>
          <w:tcPr>
            <w:tcW w:w="1497" w:type="dxa"/>
            <w:tcBorders>
              <w:top w:val="nil"/>
              <w:left w:val="nil"/>
              <w:bottom w:val="nil"/>
              <w:right w:val="nil"/>
            </w:tcBorders>
            <w:shd w:val="clear" w:color="auto" w:fill="auto"/>
            <w:noWrap/>
            <w:vAlign w:val="center"/>
            <w:hideMark/>
          </w:tcPr>
          <w:p w14:paraId="6A233489" w14:textId="77777777" w:rsidR="00BA16C4" w:rsidRPr="00284508" w:rsidRDefault="00BA16C4" w:rsidP="00B57600">
            <w:pPr>
              <w:spacing w:line="240" w:lineRule="auto"/>
              <w:rPr>
                <w:color w:val="000000"/>
              </w:rPr>
            </w:pPr>
            <w:r w:rsidRPr="00284508">
              <w:rPr>
                <w:color w:val="000000"/>
              </w:rPr>
              <w:t>Everton</w:t>
            </w:r>
          </w:p>
        </w:tc>
        <w:tc>
          <w:tcPr>
            <w:tcW w:w="1293" w:type="dxa"/>
            <w:tcBorders>
              <w:top w:val="nil"/>
              <w:left w:val="nil"/>
              <w:bottom w:val="nil"/>
              <w:right w:val="nil"/>
            </w:tcBorders>
            <w:shd w:val="clear" w:color="auto" w:fill="auto"/>
            <w:noWrap/>
            <w:vAlign w:val="center"/>
            <w:hideMark/>
          </w:tcPr>
          <w:p w14:paraId="63A3599D" w14:textId="77777777" w:rsidR="00BA16C4" w:rsidRPr="00284508" w:rsidRDefault="00BA16C4" w:rsidP="00B57600">
            <w:pPr>
              <w:spacing w:line="240" w:lineRule="auto"/>
              <w:rPr>
                <w:color w:val="000000"/>
              </w:rPr>
            </w:pPr>
            <w:r w:rsidRPr="00284508">
              <w:rPr>
                <w:color w:val="000000"/>
              </w:rPr>
              <w:t>0.90</w:t>
            </w:r>
          </w:p>
        </w:tc>
        <w:tc>
          <w:tcPr>
            <w:tcW w:w="1110" w:type="dxa"/>
            <w:tcBorders>
              <w:top w:val="nil"/>
              <w:left w:val="nil"/>
              <w:bottom w:val="nil"/>
              <w:right w:val="nil"/>
            </w:tcBorders>
            <w:shd w:val="clear" w:color="auto" w:fill="auto"/>
            <w:noWrap/>
            <w:vAlign w:val="center"/>
            <w:hideMark/>
          </w:tcPr>
          <w:p w14:paraId="0CB1C0D1" w14:textId="77777777" w:rsidR="00BA16C4" w:rsidRPr="00284508" w:rsidRDefault="00BA16C4" w:rsidP="00B57600">
            <w:pPr>
              <w:spacing w:line="240" w:lineRule="auto"/>
              <w:rPr>
                <w:color w:val="000000"/>
              </w:rPr>
            </w:pPr>
            <w:r w:rsidRPr="00284508">
              <w:rPr>
                <w:color w:val="000000"/>
              </w:rPr>
              <w:t>1.23</w:t>
            </w:r>
          </w:p>
        </w:tc>
        <w:tc>
          <w:tcPr>
            <w:tcW w:w="1140" w:type="dxa"/>
            <w:tcBorders>
              <w:top w:val="nil"/>
              <w:left w:val="nil"/>
              <w:bottom w:val="nil"/>
              <w:right w:val="nil"/>
            </w:tcBorders>
            <w:shd w:val="clear" w:color="auto" w:fill="auto"/>
            <w:noWrap/>
            <w:vAlign w:val="center"/>
            <w:hideMark/>
          </w:tcPr>
          <w:p w14:paraId="1A3ED12B" w14:textId="77777777" w:rsidR="00BA16C4" w:rsidRPr="00284508" w:rsidRDefault="00BA16C4" w:rsidP="00B57600">
            <w:pPr>
              <w:spacing w:line="240" w:lineRule="auto"/>
              <w:rPr>
                <w:color w:val="000000"/>
              </w:rPr>
            </w:pPr>
            <w:r w:rsidRPr="00284508">
              <w:rPr>
                <w:color w:val="000000"/>
              </w:rPr>
              <w:t>-0.79</w:t>
            </w:r>
          </w:p>
        </w:tc>
        <w:tc>
          <w:tcPr>
            <w:tcW w:w="1110" w:type="dxa"/>
            <w:tcBorders>
              <w:top w:val="nil"/>
              <w:left w:val="nil"/>
              <w:bottom w:val="nil"/>
              <w:right w:val="nil"/>
            </w:tcBorders>
            <w:shd w:val="clear" w:color="auto" w:fill="auto"/>
            <w:noWrap/>
            <w:vAlign w:val="center"/>
            <w:hideMark/>
          </w:tcPr>
          <w:p w14:paraId="76EB1DC8" w14:textId="77777777" w:rsidR="00BA16C4" w:rsidRPr="00284508" w:rsidRDefault="00BA16C4" w:rsidP="00B57600">
            <w:pPr>
              <w:spacing w:line="240" w:lineRule="auto"/>
              <w:rPr>
                <w:color w:val="000000"/>
              </w:rPr>
            </w:pPr>
            <w:r w:rsidRPr="00284508">
              <w:rPr>
                <w:color w:val="000000"/>
              </w:rPr>
              <w:t>0.84</w:t>
            </w:r>
          </w:p>
        </w:tc>
        <w:tc>
          <w:tcPr>
            <w:tcW w:w="963" w:type="dxa"/>
            <w:tcBorders>
              <w:top w:val="nil"/>
              <w:left w:val="nil"/>
              <w:bottom w:val="nil"/>
              <w:right w:val="nil"/>
            </w:tcBorders>
            <w:shd w:val="clear" w:color="auto" w:fill="auto"/>
            <w:noWrap/>
            <w:vAlign w:val="center"/>
            <w:hideMark/>
          </w:tcPr>
          <w:p w14:paraId="34E28694" w14:textId="77777777" w:rsidR="00BA16C4" w:rsidRPr="00284508" w:rsidRDefault="00BA16C4" w:rsidP="00B57600">
            <w:pPr>
              <w:spacing w:line="240" w:lineRule="auto"/>
              <w:rPr>
                <w:color w:val="000000"/>
              </w:rPr>
            </w:pPr>
            <w:r w:rsidRPr="00284508">
              <w:rPr>
                <w:color w:val="000000"/>
              </w:rPr>
              <w:t>0.40</w:t>
            </w:r>
          </w:p>
        </w:tc>
        <w:tc>
          <w:tcPr>
            <w:tcW w:w="1167" w:type="dxa"/>
            <w:tcBorders>
              <w:top w:val="nil"/>
              <w:left w:val="nil"/>
              <w:bottom w:val="nil"/>
              <w:right w:val="nil"/>
            </w:tcBorders>
            <w:shd w:val="clear" w:color="auto" w:fill="auto"/>
            <w:noWrap/>
            <w:vAlign w:val="center"/>
            <w:hideMark/>
          </w:tcPr>
          <w:p w14:paraId="7151BE98" w14:textId="77777777" w:rsidR="00BA16C4" w:rsidRPr="00284508" w:rsidRDefault="00BA16C4" w:rsidP="00B57600">
            <w:pPr>
              <w:spacing w:line="240" w:lineRule="auto"/>
              <w:rPr>
                <w:color w:val="000000"/>
              </w:rPr>
            </w:pPr>
            <w:r w:rsidRPr="00284508">
              <w:rPr>
                <w:color w:val="000000"/>
              </w:rPr>
              <w:t>0.92</w:t>
            </w:r>
          </w:p>
        </w:tc>
        <w:tc>
          <w:tcPr>
            <w:tcW w:w="1219" w:type="dxa"/>
            <w:tcBorders>
              <w:top w:val="nil"/>
              <w:left w:val="nil"/>
              <w:bottom w:val="nil"/>
              <w:right w:val="nil"/>
            </w:tcBorders>
            <w:shd w:val="clear" w:color="auto" w:fill="auto"/>
            <w:noWrap/>
            <w:vAlign w:val="center"/>
            <w:hideMark/>
          </w:tcPr>
          <w:p w14:paraId="6809BD76" w14:textId="77777777" w:rsidR="00BA16C4" w:rsidRPr="00284508" w:rsidRDefault="00BA16C4" w:rsidP="00B57600">
            <w:pPr>
              <w:spacing w:line="240" w:lineRule="auto"/>
              <w:rPr>
                <w:color w:val="000000"/>
              </w:rPr>
            </w:pPr>
            <w:r w:rsidRPr="00284508">
              <w:rPr>
                <w:color w:val="000000"/>
              </w:rPr>
              <w:t>-0.84</w:t>
            </w:r>
          </w:p>
        </w:tc>
      </w:tr>
      <w:tr w:rsidR="00BA16C4" w:rsidRPr="00284508" w14:paraId="2CC49ADA" w14:textId="77777777" w:rsidTr="00B57600">
        <w:trPr>
          <w:trHeight w:val="315"/>
        </w:trPr>
        <w:tc>
          <w:tcPr>
            <w:tcW w:w="1497" w:type="dxa"/>
            <w:tcBorders>
              <w:top w:val="nil"/>
              <w:left w:val="nil"/>
              <w:bottom w:val="nil"/>
              <w:right w:val="nil"/>
            </w:tcBorders>
            <w:shd w:val="clear" w:color="auto" w:fill="auto"/>
            <w:noWrap/>
            <w:vAlign w:val="center"/>
            <w:hideMark/>
          </w:tcPr>
          <w:p w14:paraId="613337B3" w14:textId="77777777" w:rsidR="00BA16C4" w:rsidRPr="00284508" w:rsidRDefault="00BA16C4" w:rsidP="00B57600">
            <w:pPr>
              <w:spacing w:line="240" w:lineRule="auto"/>
              <w:rPr>
                <w:color w:val="000000"/>
              </w:rPr>
            </w:pPr>
            <w:r w:rsidRPr="00284508">
              <w:rPr>
                <w:color w:val="000000"/>
              </w:rPr>
              <w:t>Fulham</w:t>
            </w:r>
          </w:p>
        </w:tc>
        <w:tc>
          <w:tcPr>
            <w:tcW w:w="1293" w:type="dxa"/>
            <w:tcBorders>
              <w:top w:val="nil"/>
              <w:left w:val="nil"/>
              <w:bottom w:val="nil"/>
              <w:right w:val="nil"/>
            </w:tcBorders>
            <w:shd w:val="clear" w:color="auto" w:fill="auto"/>
            <w:noWrap/>
            <w:vAlign w:val="center"/>
            <w:hideMark/>
          </w:tcPr>
          <w:p w14:paraId="04ECB74E" w14:textId="77777777" w:rsidR="00BA16C4" w:rsidRPr="00284508" w:rsidRDefault="00BA16C4" w:rsidP="00B57600">
            <w:pPr>
              <w:spacing w:line="240" w:lineRule="auto"/>
              <w:rPr>
                <w:color w:val="000000"/>
              </w:rPr>
            </w:pPr>
            <w:r w:rsidRPr="00284508">
              <w:rPr>
                <w:color w:val="000000"/>
              </w:rPr>
              <w:t>1.31</w:t>
            </w:r>
          </w:p>
        </w:tc>
        <w:tc>
          <w:tcPr>
            <w:tcW w:w="1110" w:type="dxa"/>
            <w:tcBorders>
              <w:top w:val="nil"/>
              <w:left w:val="nil"/>
              <w:bottom w:val="nil"/>
              <w:right w:val="nil"/>
            </w:tcBorders>
            <w:shd w:val="clear" w:color="auto" w:fill="auto"/>
            <w:noWrap/>
            <w:vAlign w:val="center"/>
            <w:hideMark/>
          </w:tcPr>
          <w:p w14:paraId="0840E6AF" w14:textId="77777777" w:rsidR="00BA16C4" w:rsidRPr="00284508" w:rsidRDefault="00BA16C4" w:rsidP="00B57600">
            <w:pPr>
              <w:spacing w:line="240" w:lineRule="auto"/>
              <w:rPr>
                <w:color w:val="000000"/>
              </w:rPr>
            </w:pPr>
            <w:r w:rsidRPr="00284508">
              <w:rPr>
                <w:color w:val="000000"/>
              </w:rPr>
              <w:t>0.50</w:t>
            </w:r>
          </w:p>
        </w:tc>
        <w:tc>
          <w:tcPr>
            <w:tcW w:w="1140" w:type="dxa"/>
            <w:tcBorders>
              <w:top w:val="nil"/>
              <w:left w:val="nil"/>
              <w:bottom w:val="nil"/>
              <w:right w:val="nil"/>
            </w:tcBorders>
            <w:shd w:val="clear" w:color="auto" w:fill="auto"/>
            <w:noWrap/>
            <w:vAlign w:val="center"/>
            <w:hideMark/>
          </w:tcPr>
          <w:p w14:paraId="3CDE75A8" w14:textId="77777777" w:rsidR="00BA16C4" w:rsidRPr="00284508" w:rsidRDefault="00BA16C4" w:rsidP="00B57600">
            <w:pPr>
              <w:spacing w:line="240" w:lineRule="auto"/>
              <w:rPr>
                <w:color w:val="000000"/>
              </w:rPr>
            </w:pPr>
            <w:r w:rsidRPr="00284508">
              <w:rPr>
                <w:color w:val="000000"/>
              </w:rPr>
              <w:t>-0.10</w:t>
            </w:r>
          </w:p>
        </w:tc>
        <w:tc>
          <w:tcPr>
            <w:tcW w:w="1110" w:type="dxa"/>
            <w:tcBorders>
              <w:top w:val="nil"/>
              <w:left w:val="nil"/>
              <w:bottom w:val="nil"/>
              <w:right w:val="nil"/>
            </w:tcBorders>
            <w:shd w:val="clear" w:color="auto" w:fill="auto"/>
            <w:noWrap/>
            <w:vAlign w:val="center"/>
            <w:hideMark/>
          </w:tcPr>
          <w:p w14:paraId="3D547CB5" w14:textId="77777777" w:rsidR="00BA16C4" w:rsidRPr="00284508" w:rsidRDefault="00BA16C4" w:rsidP="00B57600">
            <w:pPr>
              <w:spacing w:line="240" w:lineRule="auto"/>
              <w:rPr>
                <w:color w:val="000000"/>
              </w:rPr>
            </w:pPr>
            <w:r w:rsidRPr="00284508">
              <w:rPr>
                <w:color w:val="000000"/>
              </w:rPr>
              <w:t>-0.37</w:t>
            </w:r>
          </w:p>
        </w:tc>
        <w:tc>
          <w:tcPr>
            <w:tcW w:w="963" w:type="dxa"/>
            <w:tcBorders>
              <w:top w:val="nil"/>
              <w:left w:val="nil"/>
              <w:bottom w:val="nil"/>
              <w:right w:val="nil"/>
            </w:tcBorders>
            <w:shd w:val="clear" w:color="auto" w:fill="auto"/>
            <w:noWrap/>
            <w:vAlign w:val="center"/>
            <w:hideMark/>
          </w:tcPr>
          <w:p w14:paraId="6D40FAF3" w14:textId="77777777" w:rsidR="00BA16C4" w:rsidRPr="00284508" w:rsidRDefault="00BA16C4" w:rsidP="00B57600">
            <w:pPr>
              <w:spacing w:line="240" w:lineRule="auto"/>
              <w:rPr>
                <w:color w:val="000000"/>
              </w:rPr>
            </w:pPr>
            <w:r w:rsidRPr="00284508">
              <w:rPr>
                <w:color w:val="000000"/>
              </w:rPr>
              <w:t>-0.87</w:t>
            </w:r>
          </w:p>
        </w:tc>
        <w:tc>
          <w:tcPr>
            <w:tcW w:w="1167" w:type="dxa"/>
            <w:tcBorders>
              <w:top w:val="nil"/>
              <w:left w:val="nil"/>
              <w:bottom w:val="nil"/>
              <w:right w:val="nil"/>
            </w:tcBorders>
            <w:shd w:val="clear" w:color="auto" w:fill="auto"/>
            <w:noWrap/>
            <w:vAlign w:val="center"/>
            <w:hideMark/>
          </w:tcPr>
          <w:p w14:paraId="70E83C41" w14:textId="77777777" w:rsidR="00BA16C4" w:rsidRPr="00284508" w:rsidRDefault="00BA16C4" w:rsidP="00B57600">
            <w:pPr>
              <w:spacing w:line="240" w:lineRule="auto"/>
              <w:rPr>
                <w:color w:val="000000"/>
              </w:rPr>
            </w:pPr>
            <w:r w:rsidRPr="00284508">
              <w:rPr>
                <w:color w:val="000000"/>
              </w:rPr>
              <w:t>-0.69</w:t>
            </w:r>
          </w:p>
        </w:tc>
        <w:tc>
          <w:tcPr>
            <w:tcW w:w="1219" w:type="dxa"/>
            <w:tcBorders>
              <w:top w:val="nil"/>
              <w:left w:val="nil"/>
              <w:bottom w:val="nil"/>
              <w:right w:val="nil"/>
            </w:tcBorders>
            <w:shd w:val="clear" w:color="auto" w:fill="auto"/>
            <w:noWrap/>
            <w:vAlign w:val="center"/>
            <w:hideMark/>
          </w:tcPr>
          <w:p w14:paraId="185C6CBF" w14:textId="77777777" w:rsidR="00BA16C4" w:rsidRPr="00284508" w:rsidRDefault="00BA16C4" w:rsidP="00B57600">
            <w:pPr>
              <w:spacing w:line="240" w:lineRule="auto"/>
              <w:rPr>
                <w:color w:val="000000"/>
              </w:rPr>
            </w:pPr>
            <w:r w:rsidRPr="00284508">
              <w:rPr>
                <w:color w:val="000000"/>
              </w:rPr>
              <w:t>2.48</w:t>
            </w:r>
          </w:p>
        </w:tc>
      </w:tr>
      <w:tr w:rsidR="00BA16C4" w:rsidRPr="00284508" w14:paraId="2D2AFD7C" w14:textId="77777777" w:rsidTr="00B57600">
        <w:trPr>
          <w:trHeight w:val="315"/>
        </w:trPr>
        <w:tc>
          <w:tcPr>
            <w:tcW w:w="1497" w:type="dxa"/>
            <w:tcBorders>
              <w:top w:val="nil"/>
              <w:left w:val="nil"/>
              <w:bottom w:val="nil"/>
              <w:right w:val="nil"/>
            </w:tcBorders>
            <w:shd w:val="clear" w:color="auto" w:fill="auto"/>
            <w:noWrap/>
            <w:vAlign w:val="center"/>
            <w:hideMark/>
          </w:tcPr>
          <w:p w14:paraId="0D757145" w14:textId="77777777" w:rsidR="00BA16C4" w:rsidRPr="00284508" w:rsidRDefault="00BA16C4" w:rsidP="00B57600">
            <w:pPr>
              <w:spacing w:line="240" w:lineRule="auto"/>
              <w:rPr>
                <w:color w:val="000000"/>
              </w:rPr>
            </w:pPr>
            <w:r w:rsidRPr="00284508">
              <w:rPr>
                <w:color w:val="000000"/>
              </w:rPr>
              <w:t>Hull</w:t>
            </w:r>
          </w:p>
        </w:tc>
        <w:tc>
          <w:tcPr>
            <w:tcW w:w="1293" w:type="dxa"/>
            <w:tcBorders>
              <w:top w:val="nil"/>
              <w:left w:val="nil"/>
              <w:bottom w:val="nil"/>
              <w:right w:val="nil"/>
            </w:tcBorders>
            <w:shd w:val="clear" w:color="auto" w:fill="auto"/>
            <w:noWrap/>
            <w:vAlign w:val="center"/>
            <w:hideMark/>
          </w:tcPr>
          <w:p w14:paraId="6D870FE6" w14:textId="77777777" w:rsidR="00BA16C4" w:rsidRPr="00284508" w:rsidRDefault="00BA16C4" w:rsidP="00B57600">
            <w:pPr>
              <w:spacing w:line="240" w:lineRule="auto"/>
              <w:rPr>
                <w:color w:val="000000"/>
              </w:rPr>
            </w:pPr>
            <w:r w:rsidRPr="00284508">
              <w:rPr>
                <w:color w:val="000000"/>
              </w:rPr>
              <w:t>0.29</w:t>
            </w:r>
          </w:p>
        </w:tc>
        <w:tc>
          <w:tcPr>
            <w:tcW w:w="1110" w:type="dxa"/>
            <w:tcBorders>
              <w:top w:val="nil"/>
              <w:left w:val="nil"/>
              <w:bottom w:val="nil"/>
              <w:right w:val="nil"/>
            </w:tcBorders>
            <w:shd w:val="clear" w:color="auto" w:fill="auto"/>
            <w:noWrap/>
            <w:vAlign w:val="center"/>
            <w:hideMark/>
          </w:tcPr>
          <w:p w14:paraId="7179CE5B" w14:textId="77777777" w:rsidR="00BA16C4" w:rsidRPr="00284508" w:rsidRDefault="00BA16C4" w:rsidP="00B57600">
            <w:pPr>
              <w:spacing w:line="240" w:lineRule="auto"/>
              <w:rPr>
                <w:color w:val="000000"/>
              </w:rPr>
            </w:pPr>
            <w:r w:rsidRPr="00284508">
              <w:rPr>
                <w:color w:val="000000"/>
              </w:rPr>
              <w:t>-0.53</w:t>
            </w:r>
          </w:p>
        </w:tc>
        <w:tc>
          <w:tcPr>
            <w:tcW w:w="1140" w:type="dxa"/>
            <w:tcBorders>
              <w:top w:val="nil"/>
              <w:left w:val="nil"/>
              <w:bottom w:val="nil"/>
              <w:right w:val="nil"/>
            </w:tcBorders>
            <w:shd w:val="clear" w:color="auto" w:fill="auto"/>
            <w:noWrap/>
            <w:vAlign w:val="center"/>
            <w:hideMark/>
          </w:tcPr>
          <w:p w14:paraId="68EE7729" w14:textId="77777777" w:rsidR="00BA16C4" w:rsidRPr="00284508" w:rsidRDefault="00BA16C4" w:rsidP="00B57600">
            <w:pPr>
              <w:spacing w:line="240" w:lineRule="auto"/>
              <w:rPr>
                <w:color w:val="000000"/>
              </w:rPr>
            </w:pPr>
            <w:r w:rsidRPr="00284508">
              <w:rPr>
                <w:color w:val="000000"/>
              </w:rPr>
              <w:t>0.36</w:t>
            </w:r>
          </w:p>
        </w:tc>
        <w:tc>
          <w:tcPr>
            <w:tcW w:w="1110" w:type="dxa"/>
            <w:tcBorders>
              <w:top w:val="nil"/>
              <w:left w:val="nil"/>
              <w:bottom w:val="nil"/>
              <w:right w:val="nil"/>
            </w:tcBorders>
            <w:shd w:val="clear" w:color="auto" w:fill="auto"/>
            <w:noWrap/>
            <w:vAlign w:val="center"/>
            <w:hideMark/>
          </w:tcPr>
          <w:p w14:paraId="1F5E54B6" w14:textId="77777777" w:rsidR="00BA16C4" w:rsidRPr="00284508" w:rsidRDefault="00BA16C4" w:rsidP="00B57600">
            <w:pPr>
              <w:spacing w:line="240" w:lineRule="auto"/>
              <w:rPr>
                <w:color w:val="000000"/>
              </w:rPr>
            </w:pPr>
            <w:r w:rsidRPr="00284508">
              <w:rPr>
                <w:color w:val="000000"/>
              </w:rPr>
              <w:t>-0.63</w:t>
            </w:r>
          </w:p>
        </w:tc>
        <w:tc>
          <w:tcPr>
            <w:tcW w:w="963" w:type="dxa"/>
            <w:tcBorders>
              <w:top w:val="nil"/>
              <w:left w:val="nil"/>
              <w:bottom w:val="nil"/>
              <w:right w:val="nil"/>
            </w:tcBorders>
            <w:shd w:val="clear" w:color="auto" w:fill="auto"/>
            <w:noWrap/>
            <w:vAlign w:val="center"/>
            <w:hideMark/>
          </w:tcPr>
          <w:p w14:paraId="00E4846A" w14:textId="77777777" w:rsidR="00BA16C4" w:rsidRPr="00284508" w:rsidRDefault="00BA16C4" w:rsidP="00B57600">
            <w:pPr>
              <w:spacing w:line="240" w:lineRule="auto"/>
              <w:rPr>
                <w:color w:val="000000"/>
              </w:rPr>
            </w:pPr>
            <w:r w:rsidRPr="00284508">
              <w:rPr>
                <w:color w:val="000000"/>
              </w:rPr>
              <w:t>-0.52</w:t>
            </w:r>
          </w:p>
        </w:tc>
        <w:tc>
          <w:tcPr>
            <w:tcW w:w="1167" w:type="dxa"/>
            <w:tcBorders>
              <w:top w:val="nil"/>
              <w:left w:val="nil"/>
              <w:bottom w:val="nil"/>
              <w:right w:val="nil"/>
            </w:tcBorders>
            <w:shd w:val="clear" w:color="auto" w:fill="auto"/>
            <w:noWrap/>
            <w:vAlign w:val="center"/>
            <w:hideMark/>
          </w:tcPr>
          <w:p w14:paraId="59B8961F" w14:textId="77777777" w:rsidR="00BA16C4" w:rsidRPr="00284508" w:rsidRDefault="00BA16C4" w:rsidP="00B57600">
            <w:pPr>
              <w:spacing w:line="240" w:lineRule="auto"/>
              <w:rPr>
                <w:color w:val="000000"/>
              </w:rPr>
            </w:pPr>
            <w:r w:rsidRPr="00284508">
              <w:rPr>
                <w:color w:val="000000"/>
              </w:rPr>
              <w:t>-1.04</w:t>
            </w:r>
          </w:p>
        </w:tc>
        <w:tc>
          <w:tcPr>
            <w:tcW w:w="1219" w:type="dxa"/>
            <w:tcBorders>
              <w:top w:val="nil"/>
              <w:left w:val="nil"/>
              <w:bottom w:val="nil"/>
              <w:right w:val="nil"/>
            </w:tcBorders>
            <w:shd w:val="clear" w:color="auto" w:fill="auto"/>
            <w:noWrap/>
            <w:vAlign w:val="center"/>
            <w:hideMark/>
          </w:tcPr>
          <w:p w14:paraId="19640546" w14:textId="77777777" w:rsidR="00BA16C4" w:rsidRPr="00284508" w:rsidRDefault="00BA16C4" w:rsidP="00B57600">
            <w:pPr>
              <w:spacing w:line="240" w:lineRule="auto"/>
              <w:rPr>
                <w:color w:val="000000"/>
              </w:rPr>
            </w:pPr>
            <w:r w:rsidRPr="00284508">
              <w:rPr>
                <w:color w:val="000000"/>
              </w:rPr>
              <w:t>0.17</w:t>
            </w:r>
          </w:p>
        </w:tc>
      </w:tr>
      <w:tr w:rsidR="00BA16C4" w:rsidRPr="00284508" w14:paraId="252BD1EF" w14:textId="77777777" w:rsidTr="00B57600">
        <w:trPr>
          <w:trHeight w:val="315"/>
        </w:trPr>
        <w:tc>
          <w:tcPr>
            <w:tcW w:w="1497" w:type="dxa"/>
            <w:tcBorders>
              <w:top w:val="nil"/>
              <w:left w:val="nil"/>
              <w:bottom w:val="nil"/>
              <w:right w:val="nil"/>
            </w:tcBorders>
            <w:shd w:val="clear" w:color="auto" w:fill="auto"/>
            <w:noWrap/>
            <w:vAlign w:val="center"/>
            <w:hideMark/>
          </w:tcPr>
          <w:p w14:paraId="654B5A95" w14:textId="77777777" w:rsidR="00BA16C4" w:rsidRPr="00284508" w:rsidRDefault="00BA16C4" w:rsidP="00B57600">
            <w:pPr>
              <w:spacing w:line="240" w:lineRule="auto"/>
              <w:rPr>
                <w:color w:val="000000"/>
              </w:rPr>
            </w:pPr>
            <w:r w:rsidRPr="00284508">
              <w:rPr>
                <w:color w:val="000000"/>
              </w:rPr>
              <w:t>Liverpool</w:t>
            </w:r>
          </w:p>
        </w:tc>
        <w:tc>
          <w:tcPr>
            <w:tcW w:w="1293" w:type="dxa"/>
            <w:tcBorders>
              <w:top w:val="nil"/>
              <w:left w:val="nil"/>
              <w:bottom w:val="nil"/>
              <w:right w:val="nil"/>
            </w:tcBorders>
            <w:shd w:val="clear" w:color="auto" w:fill="auto"/>
            <w:noWrap/>
            <w:vAlign w:val="center"/>
            <w:hideMark/>
          </w:tcPr>
          <w:p w14:paraId="16DEEC7C" w14:textId="77777777" w:rsidR="00BA16C4" w:rsidRPr="00284508" w:rsidRDefault="00BA16C4" w:rsidP="00B57600">
            <w:pPr>
              <w:spacing w:line="240" w:lineRule="auto"/>
              <w:rPr>
                <w:color w:val="000000"/>
              </w:rPr>
            </w:pPr>
            <w:r w:rsidRPr="00284508">
              <w:rPr>
                <w:color w:val="000000"/>
              </w:rPr>
              <w:t>1.70</w:t>
            </w:r>
          </w:p>
        </w:tc>
        <w:tc>
          <w:tcPr>
            <w:tcW w:w="1110" w:type="dxa"/>
            <w:tcBorders>
              <w:top w:val="nil"/>
              <w:left w:val="nil"/>
              <w:bottom w:val="nil"/>
              <w:right w:val="nil"/>
            </w:tcBorders>
            <w:shd w:val="clear" w:color="auto" w:fill="auto"/>
            <w:noWrap/>
            <w:vAlign w:val="center"/>
            <w:hideMark/>
          </w:tcPr>
          <w:p w14:paraId="0123092C" w14:textId="77777777" w:rsidR="00BA16C4" w:rsidRPr="00284508" w:rsidRDefault="00BA16C4" w:rsidP="00B57600">
            <w:pPr>
              <w:spacing w:line="240" w:lineRule="auto"/>
              <w:rPr>
                <w:color w:val="000000"/>
              </w:rPr>
            </w:pPr>
            <w:r w:rsidRPr="00284508">
              <w:rPr>
                <w:color w:val="000000"/>
              </w:rPr>
              <w:t>0.88</w:t>
            </w:r>
          </w:p>
        </w:tc>
        <w:tc>
          <w:tcPr>
            <w:tcW w:w="1140" w:type="dxa"/>
            <w:tcBorders>
              <w:top w:val="nil"/>
              <w:left w:val="nil"/>
              <w:bottom w:val="nil"/>
              <w:right w:val="nil"/>
            </w:tcBorders>
            <w:shd w:val="clear" w:color="auto" w:fill="auto"/>
            <w:noWrap/>
            <w:vAlign w:val="center"/>
            <w:hideMark/>
          </w:tcPr>
          <w:p w14:paraId="38239256" w14:textId="77777777" w:rsidR="00BA16C4" w:rsidRPr="00284508" w:rsidRDefault="00BA16C4" w:rsidP="00B57600">
            <w:pPr>
              <w:spacing w:line="240" w:lineRule="auto"/>
              <w:rPr>
                <w:color w:val="000000"/>
              </w:rPr>
            </w:pPr>
            <w:r w:rsidRPr="00284508">
              <w:rPr>
                <w:color w:val="000000"/>
              </w:rPr>
              <w:t>0.63</w:t>
            </w:r>
          </w:p>
        </w:tc>
        <w:tc>
          <w:tcPr>
            <w:tcW w:w="1110" w:type="dxa"/>
            <w:tcBorders>
              <w:top w:val="nil"/>
              <w:left w:val="nil"/>
              <w:bottom w:val="nil"/>
              <w:right w:val="nil"/>
            </w:tcBorders>
            <w:shd w:val="clear" w:color="auto" w:fill="auto"/>
            <w:noWrap/>
            <w:vAlign w:val="center"/>
            <w:hideMark/>
          </w:tcPr>
          <w:p w14:paraId="47B1AD4F" w14:textId="77777777" w:rsidR="00BA16C4" w:rsidRPr="00284508" w:rsidRDefault="00BA16C4" w:rsidP="00B57600">
            <w:pPr>
              <w:spacing w:line="240" w:lineRule="auto"/>
              <w:rPr>
                <w:color w:val="000000"/>
              </w:rPr>
            </w:pPr>
            <w:r w:rsidRPr="00284508">
              <w:rPr>
                <w:color w:val="000000"/>
              </w:rPr>
              <w:t>1.04</w:t>
            </w:r>
          </w:p>
        </w:tc>
        <w:tc>
          <w:tcPr>
            <w:tcW w:w="963" w:type="dxa"/>
            <w:tcBorders>
              <w:top w:val="nil"/>
              <w:left w:val="nil"/>
              <w:bottom w:val="nil"/>
              <w:right w:val="nil"/>
            </w:tcBorders>
            <w:shd w:val="clear" w:color="auto" w:fill="auto"/>
            <w:noWrap/>
            <w:vAlign w:val="center"/>
            <w:hideMark/>
          </w:tcPr>
          <w:p w14:paraId="06527A42" w14:textId="77777777" w:rsidR="00BA16C4" w:rsidRPr="00284508" w:rsidRDefault="00BA16C4" w:rsidP="00B57600">
            <w:pPr>
              <w:spacing w:line="240" w:lineRule="auto"/>
              <w:rPr>
                <w:color w:val="000000"/>
              </w:rPr>
            </w:pPr>
            <w:r w:rsidRPr="00284508">
              <w:rPr>
                <w:color w:val="000000"/>
              </w:rPr>
              <w:t>0.39</w:t>
            </w:r>
          </w:p>
        </w:tc>
        <w:tc>
          <w:tcPr>
            <w:tcW w:w="1167" w:type="dxa"/>
            <w:tcBorders>
              <w:top w:val="nil"/>
              <w:left w:val="nil"/>
              <w:bottom w:val="nil"/>
              <w:right w:val="nil"/>
            </w:tcBorders>
            <w:shd w:val="clear" w:color="auto" w:fill="auto"/>
            <w:noWrap/>
            <w:vAlign w:val="center"/>
            <w:hideMark/>
          </w:tcPr>
          <w:p w14:paraId="2528DF30" w14:textId="77777777" w:rsidR="00BA16C4" w:rsidRPr="00284508" w:rsidRDefault="00BA16C4" w:rsidP="00B57600">
            <w:pPr>
              <w:spacing w:line="240" w:lineRule="auto"/>
              <w:rPr>
                <w:color w:val="000000"/>
              </w:rPr>
            </w:pPr>
            <w:r w:rsidRPr="00284508">
              <w:rPr>
                <w:color w:val="000000"/>
              </w:rPr>
              <w:t>0.95</w:t>
            </w:r>
          </w:p>
        </w:tc>
        <w:tc>
          <w:tcPr>
            <w:tcW w:w="1219" w:type="dxa"/>
            <w:tcBorders>
              <w:top w:val="nil"/>
              <w:left w:val="nil"/>
              <w:bottom w:val="nil"/>
              <w:right w:val="nil"/>
            </w:tcBorders>
            <w:shd w:val="clear" w:color="auto" w:fill="auto"/>
            <w:noWrap/>
            <w:vAlign w:val="center"/>
            <w:hideMark/>
          </w:tcPr>
          <w:p w14:paraId="2C070A88" w14:textId="77777777" w:rsidR="00BA16C4" w:rsidRPr="00284508" w:rsidRDefault="00BA16C4" w:rsidP="00B57600">
            <w:pPr>
              <w:spacing w:line="240" w:lineRule="auto"/>
              <w:rPr>
                <w:color w:val="000000"/>
              </w:rPr>
            </w:pPr>
            <w:r w:rsidRPr="00284508">
              <w:rPr>
                <w:color w:val="000000"/>
              </w:rPr>
              <w:t>0.64</w:t>
            </w:r>
          </w:p>
        </w:tc>
      </w:tr>
      <w:tr w:rsidR="00BA16C4" w:rsidRPr="00284508" w14:paraId="31390886" w14:textId="77777777" w:rsidTr="00B57600">
        <w:trPr>
          <w:trHeight w:val="315"/>
        </w:trPr>
        <w:tc>
          <w:tcPr>
            <w:tcW w:w="1497" w:type="dxa"/>
            <w:tcBorders>
              <w:top w:val="nil"/>
              <w:left w:val="nil"/>
              <w:bottom w:val="nil"/>
              <w:right w:val="nil"/>
            </w:tcBorders>
            <w:shd w:val="clear" w:color="auto" w:fill="auto"/>
            <w:noWrap/>
            <w:vAlign w:val="center"/>
            <w:hideMark/>
          </w:tcPr>
          <w:p w14:paraId="1D217F17" w14:textId="77777777" w:rsidR="00BA16C4" w:rsidRPr="00284508" w:rsidRDefault="00BA16C4" w:rsidP="00B57600">
            <w:pPr>
              <w:spacing w:line="240" w:lineRule="auto"/>
              <w:rPr>
                <w:color w:val="000000"/>
              </w:rPr>
            </w:pPr>
            <w:r w:rsidRPr="00284508">
              <w:rPr>
                <w:color w:val="000000"/>
              </w:rPr>
              <w:t>Man City</w:t>
            </w:r>
          </w:p>
        </w:tc>
        <w:tc>
          <w:tcPr>
            <w:tcW w:w="1293" w:type="dxa"/>
            <w:tcBorders>
              <w:top w:val="nil"/>
              <w:left w:val="nil"/>
              <w:bottom w:val="nil"/>
              <w:right w:val="nil"/>
            </w:tcBorders>
            <w:shd w:val="clear" w:color="auto" w:fill="auto"/>
            <w:noWrap/>
            <w:vAlign w:val="center"/>
            <w:hideMark/>
          </w:tcPr>
          <w:p w14:paraId="291550DA" w14:textId="77777777" w:rsidR="00BA16C4" w:rsidRPr="00284508" w:rsidRDefault="00BA16C4" w:rsidP="00B57600">
            <w:pPr>
              <w:spacing w:line="240" w:lineRule="auto"/>
              <w:rPr>
                <w:color w:val="000000"/>
              </w:rPr>
            </w:pPr>
            <w:r w:rsidRPr="00284508">
              <w:rPr>
                <w:color w:val="000000"/>
              </w:rPr>
              <w:t>-1.63</w:t>
            </w:r>
          </w:p>
        </w:tc>
        <w:tc>
          <w:tcPr>
            <w:tcW w:w="1110" w:type="dxa"/>
            <w:tcBorders>
              <w:top w:val="nil"/>
              <w:left w:val="nil"/>
              <w:bottom w:val="nil"/>
              <w:right w:val="nil"/>
            </w:tcBorders>
            <w:shd w:val="clear" w:color="auto" w:fill="auto"/>
            <w:noWrap/>
            <w:vAlign w:val="center"/>
            <w:hideMark/>
          </w:tcPr>
          <w:p w14:paraId="31CB7737" w14:textId="77777777" w:rsidR="00BA16C4" w:rsidRPr="00284508" w:rsidRDefault="00BA16C4" w:rsidP="00B57600">
            <w:pPr>
              <w:spacing w:line="240" w:lineRule="auto"/>
              <w:rPr>
                <w:color w:val="000000"/>
              </w:rPr>
            </w:pPr>
            <w:r w:rsidRPr="00284508">
              <w:rPr>
                <w:color w:val="000000"/>
              </w:rPr>
              <w:t>0.89</w:t>
            </w:r>
          </w:p>
        </w:tc>
        <w:tc>
          <w:tcPr>
            <w:tcW w:w="1140" w:type="dxa"/>
            <w:tcBorders>
              <w:top w:val="nil"/>
              <w:left w:val="nil"/>
              <w:bottom w:val="nil"/>
              <w:right w:val="nil"/>
            </w:tcBorders>
            <w:shd w:val="clear" w:color="auto" w:fill="auto"/>
            <w:noWrap/>
            <w:vAlign w:val="center"/>
            <w:hideMark/>
          </w:tcPr>
          <w:p w14:paraId="65A93F69" w14:textId="77777777" w:rsidR="00BA16C4" w:rsidRPr="00284508" w:rsidRDefault="00BA16C4" w:rsidP="00B57600">
            <w:pPr>
              <w:spacing w:line="240" w:lineRule="auto"/>
              <w:rPr>
                <w:color w:val="000000"/>
              </w:rPr>
            </w:pPr>
            <w:r w:rsidRPr="00284508">
              <w:rPr>
                <w:color w:val="000000"/>
              </w:rPr>
              <w:t>1.42</w:t>
            </w:r>
          </w:p>
        </w:tc>
        <w:tc>
          <w:tcPr>
            <w:tcW w:w="1110" w:type="dxa"/>
            <w:tcBorders>
              <w:top w:val="nil"/>
              <w:left w:val="nil"/>
              <w:bottom w:val="nil"/>
              <w:right w:val="nil"/>
            </w:tcBorders>
            <w:shd w:val="clear" w:color="auto" w:fill="auto"/>
            <w:noWrap/>
            <w:vAlign w:val="center"/>
            <w:hideMark/>
          </w:tcPr>
          <w:p w14:paraId="28F29575" w14:textId="77777777" w:rsidR="00BA16C4" w:rsidRPr="00284508" w:rsidRDefault="00BA16C4" w:rsidP="00B57600">
            <w:pPr>
              <w:spacing w:line="240" w:lineRule="auto"/>
              <w:rPr>
                <w:color w:val="000000"/>
              </w:rPr>
            </w:pPr>
            <w:r w:rsidRPr="00284508">
              <w:rPr>
                <w:color w:val="000000"/>
              </w:rPr>
              <w:t>1.54</w:t>
            </w:r>
          </w:p>
        </w:tc>
        <w:tc>
          <w:tcPr>
            <w:tcW w:w="963" w:type="dxa"/>
            <w:tcBorders>
              <w:top w:val="nil"/>
              <w:left w:val="nil"/>
              <w:bottom w:val="nil"/>
              <w:right w:val="nil"/>
            </w:tcBorders>
            <w:shd w:val="clear" w:color="auto" w:fill="auto"/>
            <w:noWrap/>
            <w:vAlign w:val="center"/>
            <w:hideMark/>
          </w:tcPr>
          <w:p w14:paraId="7D5C7C12" w14:textId="77777777" w:rsidR="00BA16C4" w:rsidRPr="00284508" w:rsidRDefault="00BA16C4" w:rsidP="00B57600">
            <w:pPr>
              <w:spacing w:line="240" w:lineRule="auto"/>
              <w:rPr>
                <w:color w:val="000000"/>
              </w:rPr>
            </w:pPr>
            <w:r w:rsidRPr="00284508">
              <w:rPr>
                <w:color w:val="000000"/>
              </w:rPr>
              <w:t>1.66</w:t>
            </w:r>
          </w:p>
        </w:tc>
        <w:tc>
          <w:tcPr>
            <w:tcW w:w="1167" w:type="dxa"/>
            <w:tcBorders>
              <w:top w:val="nil"/>
              <w:left w:val="nil"/>
              <w:bottom w:val="nil"/>
              <w:right w:val="nil"/>
            </w:tcBorders>
            <w:shd w:val="clear" w:color="auto" w:fill="auto"/>
            <w:noWrap/>
            <w:vAlign w:val="center"/>
            <w:hideMark/>
          </w:tcPr>
          <w:p w14:paraId="6010C52F" w14:textId="77777777" w:rsidR="00BA16C4" w:rsidRPr="00284508" w:rsidRDefault="00BA16C4" w:rsidP="00B57600">
            <w:pPr>
              <w:spacing w:line="240" w:lineRule="auto"/>
              <w:rPr>
                <w:color w:val="000000"/>
              </w:rPr>
            </w:pPr>
            <w:r w:rsidRPr="00284508">
              <w:rPr>
                <w:color w:val="000000"/>
              </w:rPr>
              <w:t>1.75</w:t>
            </w:r>
          </w:p>
        </w:tc>
        <w:tc>
          <w:tcPr>
            <w:tcW w:w="1219" w:type="dxa"/>
            <w:tcBorders>
              <w:top w:val="nil"/>
              <w:left w:val="nil"/>
              <w:bottom w:val="nil"/>
              <w:right w:val="nil"/>
            </w:tcBorders>
            <w:shd w:val="clear" w:color="auto" w:fill="auto"/>
            <w:noWrap/>
            <w:vAlign w:val="center"/>
            <w:hideMark/>
          </w:tcPr>
          <w:p w14:paraId="7E6985A5" w14:textId="77777777" w:rsidR="00BA16C4" w:rsidRPr="00284508" w:rsidRDefault="00BA16C4" w:rsidP="00B57600">
            <w:pPr>
              <w:spacing w:line="240" w:lineRule="auto"/>
              <w:rPr>
                <w:color w:val="000000"/>
              </w:rPr>
            </w:pPr>
            <w:r w:rsidRPr="00284508">
              <w:rPr>
                <w:color w:val="000000"/>
              </w:rPr>
              <w:t>0.57</w:t>
            </w:r>
          </w:p>
        </w:tc>
      </w:tr>
      <w:tr w:rsidR="00BA16C4" w:rsidRPr="00284508" w14:paraId="380A496A" w14:textId="77777777" w:rsidTr="00B57600">
        <w:trPr>
          <w:trHeight w:val="315"/>
        </w:trPr>
        <w:tc>
          <w:tcPr>
            <w:tcW w:w="1497" w:type="dxa"/>
            <w:tcBorders>
              <w:top w:val="nil"/>
              <w:left w:val="nil"/>
              <w:bottom w:val="nil"/>
              <w:right w:val="nil"/>
            </w:tcBorders>
            <w:shd w:val="clear" w:color="auto" w:fill="auto"/>
            <w:noWrap/>
            <w:vAlign w:val="center"/>
            <w:hideMark/>
          </w:tcPr>
          <w:p w14:paraId="7408C0A3" w14:textId="77777777" w:rsidR="00BA16C4" w:rsidRPr="00284508" w:rsidRDefault="00BA16C4" w:rsidP="00B57600">
            <w:pPr>
              <w:spacing w:line="240" w:lineRule="auto"/>
              <w:rPr>
                <w:color w:val="000000"/>
              </w:rPr>
            </w:pPr>
            <w:r w:rsidRPr="00284508">
              <w:rPr>
                <w:color w:val="000000"/>
              </w:rPr>
              <w:t>Manchester</w:t>
            </w:r>
          </w:p>
        </w:tc>
        <w:tc>
          <w:tcPr>
            <w:tcW w:w="1293" w:type="dxa"/>
            <w:tcBorders>
              <w:top w:val="nil"/>
              <w:left w:val="nil"/>
              <w:bottom w:val="nil"/>
              <w:right w:val="nil"/>
            </w:tcBorders>
            <w:shd w:val="clear" w:color="auto" w:fill="auto"/>
            <w:noWrap/>
            <w:vAlign w:val="center"/>
            <w:hideMark/>
          </w:tcPr>
          <w:p w14:paraId="0ED323C1" w14:textId="77777777" w:rsidR="00BA16C4" w:rsidRPr="00284508" w:rsidRDefault="00BA16C4" w:rsidP="00B57600">
            <w:pPr>
              <w:spacing w:line="240" w:lineRule="auto"/>
              <w:rPr>
                <w:color w:val="000000"/>
              </w:rPr>
            </w:pPr>
            <w:r w:rsidRPr="00284508">
              <w:rPr>
                <w:color w:val="000000"/>
              </w:rPr>
              <w:t>-0.67</w:t>
            </w:r>
          </w:p>
        </w:tc>
        <w:tc>
          <w:tcPr>
            <w:tcW w:w="1110" w:type="dxa"/>
            <w:tcBorders>
              <w:top w:val="nil"/>
              <w:left w:val="nil"/>
              <w:bottom w:val="nil"/>
              <w:right w:val="nil"/>
            </w:tcBorders>
            <w:shd w:val="clear" w:color="auto" w:fill="auto"/>
            <w:noWrap/>
            <w:vAlign w:val="center"/>
            <w:hideMark/>
          </w:tcPr>
          <w:p w14:paraId="550F6460" w14:textId="77777777" w:rsidR="00BA16C4" w:rsidRPr="00284508" w:rsidRDefault="00BA16C4" w:rsidP="00B57600">
            <w:pPr>
              <w:spacing w:line="240" w:lineRule="auto"/>
              <w:rPr>
                <w:color w:val="000000"/>
              </w:rPr>
            </w:pPr>
            <w:r w:rsidRPr="00284508">
              <w:rPr>
                <w:color w:val="000000"/>
              </w:rPr>
              <w:t>1.16</w:t>
            </w:r>
          </w:p>
        </w:tc>
        <w:tc>
          <w:tcPr>
            <w:tcW w:w="1140" w:type="dxa"/>
            <w:tcBorders>
              <w:top w:val="nil"/>
              <w:left w:val="nil"/>
              <w:bottom w:val="nil"/>
              <w:right w:val="nil"/>
            </w:tcBorders>
            <w:shd w:val="clear" w:color="auto" w:fill="auto"/>
            <w:noWrap/>
            <w:vAlign w:val="center"/>
            <w:hideMark/>
          </w:tcPr>
          <w:p w14:paraId="4A8A98BB" w14:textId="77777777" w:rsidR="00BA16C4" w:rsidRPr="00284508" w:rsidRDefault="00BA16C4" w:rsidP="00B57600">
            <w:pPr>
              <w:spacing w:line="240" w:lineRule="auto"/>
              <w:rPr>
                <w:color w:val="000000"/>
              </w:rPr>
            </w:pPr>
            <w:r w:rsidRPr="00284508">
              <w:rPr>
                <w:color w:val="000000"/>
              </w:rPr>
              <w:t>0.58</w:t>
            </w:r>
          </w:p>
        </w:tc>
        <w:tc>
          <w:tcPr>
            <w:tcW w:w="1110" w:type="dxa"/>
            <w:tcBorders>
              <w:top w:val="nil"/>
              <w:left w:val="nil"/>
              <w:bottom w:val="nil"/>
              <w:right w:val="nil"/>
            </w:tcBorders>
            <w:shd w:val="clear" w:color="auto" w:fill="auto"/>
            <w:noWrap/>
            <w:vAlign w:val="center"/>
            <w:hideMark/>
          </w:tcPr>
          <w:p w14:paraId="42122051" w14:textId="77777777" w:rsidR="00BA16C4" w:rsidRPr="00284508" w:rsidRDefault="00BA16C4" w:rsidP="00B57600">
            <w:pPr>
              <w:spacing w:line="240" w:lineRule="auto"/>
              <w:rPr>
                <w:color w:val="000000"/>
              </w:rPr>
            </w:pPr>
            <w:r w:rsidRPr="00284508">
              <w:rPr>
                <w:color w:val="000000"/>
              </w:rPr>
              <w:t>1.07</w:t>
            </w:r>
          </w:p>
        </w:tc>
        <w:tc>
          <w:tcPr>
            <w:tcW w:w="963" w:type="dxa"/>
            <w:tcBorders>
              <w:top w:val="nil"/>
              <w:left w:val="nil"/>
              <w:bottom w:val="nil"/>
              <w:right w:val="nil"/>
            </w:tcBorders>
            <w:shd w:val="clear" w:color="auto" w:fill="auto"/>
            <w:noWrap/>
            <w:vAlign w:val="center"/>
            <w:hideMark/>
          </w:tcPr>
          <w:p w14:paraId="4C6E89DC" w14:textId="77777777" w:rsidR="00BA16C4" w:rsidRPr="00284508" w:rsidRDefault="00BA16C4" w:rsidP="00B57600">
            <w:pPr>
              <w:spacing w:line="240" w:lineRule="auto"/>
              <w:rPr>
                <w:color w:val="000000"/>
              </w:rPr>
            </w:pPr>
            <w:r w:rsidRPr="00284508">
              <w:rPr>
                <w:color w:val="000000"/>
              </w:rPr>
              <w:t>0.44</w:t>
            </w:r>
          </w:p>
        </w:tc>
        <w:tc>
          <w:tcPr>
            <w:tcW w:w="1167" w:type="dxa"/>
            <w:tcBorders>
              <w:top w:val="nil"/>
              <w:left w:val="nil"/>
              <w:bottom w:val="nil"/>
              <w:right w:val="nil"/>
            </w:tcBorders>
            <w:shd w:val="clear" w:color="auto" w:fill="auto"/>
            <w:noWrap/>
            <w:vAlign w:val="center"/>
            <w:hideMark/>
          </w:tcPr>
          <w:p w14:paraId="47AB8CDF" w14:textId="77777777" w:rsidR="00BA16C4" w:rsidRPr="00284508" w:rsidRDefault="00BA16C4" w:rsidP="00B57600">
            <w:pPr>
              <w:spacing w:line="240" w:lineRule="auto"/>
              <w:rPr>
                <w:color w:val="000000"/>
              </w:rPr>
            </w:pPr>
            <w:r w:rsidRPr="00284508">
              <w:rPr>
                <w:color w:val="000000"/>
              </w:rPr>
              <w:t>1.16</w:t>
            </w:r>
          </w:p>
        </w:tc>
        <w:tc>
          <w:tcPr>
            <w:tcW w:w="1219" w:type="dxa"/>
            <w:tcBorders>
              <w:top w:val="nil"/>
              <w:left w:val="nil"/>
              <w:bottom w:val="nil"/>
              <w:right w:val="nil"/>
            </w:tcBorders>
            <w:shd w:val="clear" w:color="auto" w:fill="auto"/>
            <w:noWrap/>
            <w:vAlign w:val="center"/>
            <w:hideMark/>
          </w:tcPr>
          <w:p w14:paraId="1B481996" w14:textId="77777777" w:rsidR="00BA16C4" w:rsidRPr="00284508" w:rsidRDefault="00BA16C4" w:rsidP="00B57600">
            <w:pPr>
              <w:spacing w:line="240" w:lineRule="auto"/>
              <w:rPr>
                <w:color w:val="000000"/>
              </w:rPr>
            </w:pPr>
            <w:r w:rsidRPr="00284508">
              <w:rPr>
                <w:color w:val="000000"/>
              </w:rPr>
              <w:t>-0.99</w:t>
            </w:r>
          </w:p>
        </w:tc>
      </w:tr>
      <w:tr w:rsidR="00BA16C4" w:rsidRPr="00284508" w14:paraId="7C77B8CE" w14:textId="77777777" w:rsidTr="00B57600">
        <w:trPr>
          <w:trHeight w:val="315"/>
        </w:trPr>
        <w:tc>
          <w:tcPr>
            <w:tcW w:w="1497" w:type="dxa"/>
            <w:tcBorders>
              <w:top w:val="nil"/>
              <w:left w:val="nil"/>
              <w:bottom w:val="nil"/>
              <w:right w:val="nil"/>
            </w:tcBorders>
            <w:shd w:val="clear" w:color="auto" w:fill="auto"/>
            <w:noWrap/>
            <w:vAlign w:val="center"/>
            <w:hideMark/>
          </w:tcPr>
          <w:p w14:paraId="7DAF2AA4" w14:textId="77777777" w:rsidR="00BA16C4" w:rsidRPr="00284508" w:rsidRDefault="00BA16C4" w:rsidP="00B57600">
            <w:pPr>
              <w:spacing w:line="240" w:lineRule="auto"/>
              <w:rPr>
                <w:color w:val="000000"/>
              </w:rPr>
            </w:pPr>
            <w:r w:rsidRPr="00284508">
              <w:rPr>
                <w:color w:val="000000"/>
              </w:rPr>
              <w:t>Newcastle</w:t>
            </w:r>
          </w:p>
        </w:tc>
        <w:tc>
          <w:tcPr>
            <w:tcW w:w="1293" w:type="dxa"/>
            <w:tcBorders>
              <w:top w:val="nil"/>
              <w:left w:val="nil"/>
              <w:bottom w:val="nil"/>
              <w:right w:val="nil"/>
            </w:tcBorders>
            <w:shd w:val="clear" w:color="auto" w:fill="auto"/>
            <w:noWrap/>
            <w:vAlign w:val="center"/>
            <w:hideMark/>
          </w:tcPr>
          <w:p w14:paraId="4403CC31" w14:textId="77777777" w:rsidR="00BA16C4" w:rsidRPr="00284508" w:rsidRDefault="00BA16C4" w:rsidP="00B57600">
            <w:pPr>
              <w:spacing w:line="240" w:lineRule="auto"/>
              <w:rPr>
                <w:color w:val="000000"/>
              </w:rPr>
            </w:pPr>
            <w:r w:rsidRPr="00284508">
              <w:rPr>
                <w:color w:val="000000"/>
              </w:rPr>
              <w:t>-0.29</w:t>
            </w:r>
          </w:p>
        </w:tc>
        <w:tc>
          <w:tcPr>
            <w:tcW w:w="1110" w:type="dxa"/>
            <w:tcBorders>
              <w:top w:val="nil"/>
              <w:left w:val="nil"/>
              <w:bottom w:val="nil"/>
              <w:right w:val="nil"/>
            </w:tcBorders>
            <w:shd w:val="clear" w:color="auto" w:fill="auto"/>
            <w:noWrap/>
            <w:vAlign w:val="center"/>
            <w:hideMark/>
          </w:tcPr>
          <w:p w14:paraId="60BD3BF4" w14:textId="77777777" w:rsidR="00BA16C4" w:rsidRPr="00284508" w:rsidRDefault="00BA16C4" w:rsidP="00B57600">
            <w:pPr>
              <w:spacing w:line="240" w:lineRule="auto"/>
              <w:rPr>
                <w:color w:val="000000"/>
              </w:rPr>
            </w:pPr>
            <w:r w:rsidRPr="00284508">
              <w:rPr>
                <w:color w:val="000000"/>
              </w:rPr>
              <w:t>0.28</w:t>
            </w:r>
          </w:p>
        </w:tc>
        <w:tc>
          <w:tcPr>
            <w:tcW w:w="1140" w:type="dxa"/>
            <w:tcBorders>
              <w:top w:val="nil"/>
              <w:left w:val="nil"/>
              <w:bottom w:val="nil"/>
              <w:right w:val="nil"/>
            </w:tcBorders>
            <w:shd w:val="clear" w:color="auto" w:fill="auto"/>
            <w:noWrap/>
            <w:vAlign w:val="center"/>
            <w:hideMark/>
          </w:tcPr>
          <w:p w14:paraId="56B1FCC5" w14:textId="77777777" w:rsidR="00BA16C4" w:rsidRPr="00284508" w:rsidRDefault="00BA16C4" w:rsidP="00B57600">
            <w:pPr>
              <w:spacing w:line="240" w:lineRule="auto"/>
              <w:rPr>
                <w:color w:val="000000"/>
              </w:rPr>
            </w:pPr>
            <w:r w:rsidRPr="00284508">
              <w:rPr>
                <w:color w:val="000000"/>
              </w:rPr>
              <w:t>0.28</w:t>
            </w:r>
          </w:p>
        </w:tc>
        <w:tc>
          <w:tcPr>
            <w:tcW w:w="1110" w:type="dxa"/>
            <w:tcBorders>
              <w:top w:val="nil"/>
              <w:left w:val="nil"/>
              <w:bottom w:val="nil"/>
              <w:right w:val="nil"/>
            </w:tcBorders>
            <w:shd w:val="clear" w:color="auto" w:fill="auto"/>
            <w:noWrap/>
            <w:vAlign w:val="center"/>
            <w:hideMark/>
          </w:tcPr>
          <w:p w14:paraId="053AF872" w14:textId="77777777" w:rsidR="00BA16C4" w:rsidRPr="00284508" w:rsidRDefault="00BA16C4" w:rsidP="00B57600">
            <w:pPr>
              <w:spacing w:line="240" w:lineRule="auto"/>
              <w:rPr>
                <w:color w:val="000000"/>
              </w:rPr>
            </w:pPr>
            <w:r w:rsidRPr="00284508">
              <w:rPr>
                <w:color w:val="000000"/>
              </w:rPr>
              <w:t>0.15</w:t>
            </w:r>
          </w:p>
        </w:tc>
        <w:tc>
          <w:tcPr>
            <w:tcW w:w="963" w:type="dxa"/>
            <w:tcBorders>
              <w:top w:val="nil"/>
              <w:left w:val="nil"/>
              <w:bottom w:val="nil"/>
              <w:right w:val="nil"/>
            </w:tcBorders>
            <w:shd w:val="clear" w:color="auto" w:fill="auto"/>
            <w:noWrap/>
            <w:vAlign w:val="center"/>
            <w:hideMark/>
          </w:tcPr>
          <w:p w14:paraId="4259EFF3" w14:textId="77777777" w:rsidR="00BA16C4" w:rsidRPr="00284508" w:rsidRDefault="00BA16C4" w:rsidP="00B57600">
            <w:pPr>
              <w:spacing w:line="240" w:lineRule="auto"/>
              <w:rPr>
                <w:color w:val="000000"/>
              </w:rPr>
            </w:pPr>
            <w:r w:rsidRPr="00284508">
              <w:rPr>
                <w:color w:val="000000"/>
              </w:rPr>
              <w:t>-1.27</w:t>
            </w:r>
          </w:p>
        </w:tc>
        <w:tc>
          <w:tcPr>
            <w:tcW w:w="1167" w:type="dxa"/>
            <w:tcBorders>
              <w:top w:val="nil"/>
              <w:left w:val="nil"/>
              <w:bottom w:val="nil"/>
              <w:right w:val="nil"/>
            </w:tcBorders>
            <w:shd w:val="clear" w:color="auto" w:fill="auto"/>
            <w:noWrap/>
            <w:vAlign w:val="center"/>
            <w:hideMark/>
          </w:tcPr>
          <w:p w14:paraId="0F572282" w14:textId="77777777" w:rsidR="00BA16C4" w:rsidRPr="00284508" w:rsidRDefault="00BA16C4" w:rsidP="00B57600">
            <w:pPr>
              <w:spacing w:line="240" w:lineRule="auto"/>
              <w:rPr>
                <w:color w:val="000000"/>
              </w:rPr>
            </w:pPr>
            <w:r w:rsidRPr="00284508">
              <w:rPr>
                <w:color w:val="000000"/>
              </w:rPr>
              <w:t>-0.43</w:t>
            </w:r>
          </w:p>
        </w:tc>
        <w:tc>
          <w:tcPr>
            <w:tcW w:w="1219" w:type="dxa"/>
            <w:tcBorders>
              <w:top w:val="nil"/>
              <w:left w:val="nil"/>
              <w:bottom w:val="nil"/>
              <w:right w:val="nil"/>
            </w:tcBorders>
            <w:shd w:val="clear" w:color="auto" w:fill="auto"/>
            <w:noWrap/>
            <w:vAlign w:val="center"/>
            <w:hideMark/>
          </w:tcPr>
          <w:p w14:paraId="1CD397EA" w14:textId="77777777" w:rsidR="00BA16C4" w:rsidRPr="00284508" w:rsidRDefault="00BA16C4" w:rsidP="00B57600">
            <w:pPr>
              <w:spacing w:line="240" w:lineRule="auto"/>
              <w:rPr>
                <w:color w:val="000000"/>
              </w:rPr>
            </w:pPr>
            <w:r w:rsidRPr="00284508">
              <w:rPr>
                <w:color w:val="000000"/>
              </w:rPr>
              <w:t>-1.38</w:t>
            </w:r>
          </w:p>
        </w:tc>
      </w:tr>
      <w:tr w:rsidR="00BA16C4" w:rsidRPr="00284508" w14:paraId="66C0CCE9" w14:textId="77777777" w:rsidTr="00B57600">
        <w:trPr>
          <w:trHeight w:val="315"/>
        </w:trPr>
        <w:tc>
          <w:tcPr>
            <w:tcW w:w="1497" w:type="dxa"/>
            <w:tcBorders>
              <w:top w:val="nil"/>
              <w:left w:val="nil"/>
              <w:bottom w:val="nil"/>
              <w:right w:val="nil"/>
            </w:tcBorders>
            <w:shd w:val="clear" w:color="auto" w:fill="auto"/>
            <w:noWrap/>
            <w:vAlign w:val="center"/>
            <w:hideMark/>
          </w:tcPr>
          <w:p w14:paraId="17F9BE02" w14:textId="77777777" w:rsidR="00BA16C4" w:rsidRPr="00284508" w:rsidRDefault="00BA16C4" w:rsidP="00B57600">
            <w:pPr>
              <w:spacing w:line="240" w:lineRule="auto"/>
              <w:rPr>
                <w:color w:val="000000"/>
              </w:rPr>
            </w:pPr>
            <w:r w:rsidRPr="00284508">
              <w:rPr>
                <w:color w:val="000000"/>
              </w:rPr>
              <w:t>Norwich</w:t>
            </w:r>
          </w:p>
        </w:tc>
        <w:tc>
          <w:tcPr>
            <w:tcW w:w="1293" w:type="dxa"/>
            <w:tcBorders>
              <w:top w:val="nil"/>
              <w:left w:val="nil"/>
              <w:bottom w:val="nil"/>
              <w:right w:val="nil"/>
            </w:tcBorders>
            <w:shd w:val="clear" w:color="auto" w:fill="auto"/>
            <w:noWrap/>
            <w:vAlign w:val="center"/>
            <w:hideMark/>
          </w:tcPr>
          <w:p w14:paraId="62FB2047" w14:textId="77777777" w:rsidR="00BA16C4" w:rsidRPr="00284508" w:rsidRDefault="00BA16C4" w:rsidP="00B57600">
            <w:pPr>
              <w:spacing w:line="240" w:lineRule="auto"/>
              <w:rPr>
                <w:color w:val="000000"/>
              </w:rPr>
            </w:pPr>
            <w:r w:rsidRPr="00284508">
              <w:rPr>
                <w:color w:val="000000"/>
              </w:rPr>
              <w:t>0.42</w:t>
            </w:r>
          </w:p>
        </w:tc>
        <w:tc>
          <w:tcPr>
            <w:tcW w:w="1110" w:type="dxa"/>
            <w:tcBorders>
              <w:top w:val="nil"/>
              <w:left w:val="nil"/>
              <w:bottom w:val="nil"/>
              <w:right w:val="nil"/>
            </w:tcBorders>
            <w:shd w:val="clear" w:color="auto" w:fill="auto"/>
            <w:noWrap/>
            <w:vAlign w:val="center"/>
            <w:hideMark/>
          </w:tcPr>
          <w:p w14:paraId="57121D8E" w14:textId="77777777" w:rsidR="00BA16C4" w:rsidRPr="00284508" w:rsidRDefault="00BA16C4" w:rsidP="00B57600">
            <w:pPr>
              <w:spacing w:line="240" w:lineRule="auto"/>
              <w:rPr>
                <w:color w:val="000000"/>
              </w:rPr>
            </w:pPr>
            <w:r w:rsidRPr="00284508">
              <w:rPr>
                <w:color w:val="000000"/>
              </w:rPr>
              <w:t>-0.54</w:t>
            </w:r>
          </w:p>
        </w:tc>
        <w:tc>
          <w:tcPr>
            <w:tcW w:w="1140" w:type="dxa"/>
            <w:tcBorders>
              <w:top w:val="nil"/>
              <w:left w:val="nil"/>
              <w:bottom w:val="nil"/>
              <w:right w:val="nil"/>
            </w:tcBorders>
            <w:shd w:val="clear" w:color="auto" w:fill="auto"/>
            <w:noWrap/>
            <w:vAlign w:val="center"/>
            <w:hideMark/>
          </w:tcPr>
          <w:p w14:paraId="6D04C1A6" w14:textId="77777777" w:rsidR="00BA16C4" w:rsidRPr="00284508" w:rsidRDefault="00BA16C4" w:rsidP="00B57600">
            <w:pPr>
              <w:spacing w:line="240" w:lineRule="auto"/>
              <w:rPr>
                <w:color w:val="000000"/>
              </w:rPr>
            </w:pPr>
            <w:r w:rsidRPr="00284508">
              <w:rPr>
                <w:color w:val="000000"/>
              </w:rPr>
              <w:t>-0.99</w:t>
            </w:r>
          </w:p>
        </w:tc>
        <w:tc>
          <w:tcPr>
            <w:tcW w:w="1110" w:type="dxa"/>
            <w:tcBorders>
              <w:top w:val="nil"/>
              <w:left w:val="nil"/>
              <w:bottom w:val="nil"/>
              <w:right w:val="nil"/>
            </w:tcBorders>
            <w:shd w:val="clear" w:color="auto" w:fill="auto"/>
            <w:noWrap/>
            <w:vAlign w:val="center"/>
            <w:hideMark/>
          </w:tcPr>
          <w:p w14:paraId="6A86012D" w14:textId="77777777" w:rsidR="00BA16C4" w:rsidRPr="00284508" w:rsidRDefault="00BA16C4" w:rsidP="00B57600">
            <w:pPr>
              <w:spacing w:line="240" w:lineRule="auto"/>
              <w:rPr>
                <w:color w:val="000000"/>
              </w:rPr>
            </w:pPr>
            <w:r w:rsidRPr="00284508">
              <w:rPr>
                <w:color w:val="000000"/>
              </w:rPr>
              <w:t>-0.65</w:t>
            </w:r>
          </w:p>
        </w:tc>
        <w:tc>
          <w:tcPr>
            <w:tcW w:w="963" w:type="dxa"/>
            <w:tcBorders>
              <w:top w:val="nil"/>
              <w:left w:val="nil"/>
              <w:bottom w:val="nil"/>
              <w:right w:val="nil"/>
            </w:tcBorders>
            <w:shd w:val="clear" w:color="auto" w:fill="auto"/>
            <w:noWrap/>
            <w:vAlign w:val="center"/>
            <w:hideMark/>
          </w:tcPr>
          <w:p w14:paraId="31E80F90" w14:textId="77777777" w:rsidR="00BA16C4" w:rsidRPr="00284508" w:rsidRDefault="00BA16C4" w:rsidP="00B57600">
            <w:pPr>
              <w:spacing w:line="240" w:lineRule="auto"/>
              <w:rPr>
                <w:color w:val="000000"/>
              </w:rPr>
            </w:pPr>
            <w:r w:rsidRPr="00284508">
              <w:rPr>
                <w:color w:val="000000"/>
              </w:rPr>
              <w:t>0.48</w:t>
            </w:r>
          </w:p>
        </w:tc>
        <w:tc>
          <w:tcPr>
            <w:tcW w:w="1167" w:type="dxa"/>
            <w:tcBorders>
              <w:top w:val="nil"/>
              <w:left w:val="nil"/>
              <w:bottom w:val="nil"/>
              <w:right w:val="nil"/>
            </w:tcBorders>
            <w:shd w:val="clear" w:color="auto" w:fill="auto"/>
            <w:noWrap/>
            <w:vAlign w:val="center"/>
            <w:hideMark/>
          </w:tcPr>
          <w:p w14:paraId="2EA9D697" w14:textId="77777777" w:rsidR="00BA16C4" w:rsidRPr="00284508" w:rsidRDefault="00BA16C4" w:rsidP="00B57600">
            <w:pPr>
              <w:spacing w:line="240" w:lineRule="auto"/>
              <w:rPr>
                <w:color w:val="000000"/>
              </w:rPr>
            </w:pPr>
            <w:r w:rsidRPr="00284508">
              <w:rPr>
                <w:color w:val="000000"/>
              </w:rPr>
              <w:t>-0.73</w:t>
            </w:r>
          </w:p>
        </w:tc>
        <w:tc>
          <w:tcPr>
            <w:tcW w:w="1219" w:type="dxa"/>
            <w:tcBorders>
              <w:top w:val="nil"/>
              <w:left w:val="nil"/>
              <w:bottom w:val="nil"/>
              <w:right w:val="nil"/>
            </w:tcBorders>
            <w:shd w:val="clear" w:color="auto" w:fill="auto"/>
            <w:noWrap/>
            <w:vAlign w:val="center"/>
            <w:hideMark/>
          </w:tcPr>
          <w:p w14:paraId="449A1913" w14:textId="77777777" w:rsidR="00BA16C4" w:rsidRPr="00284508" w:rsidRDefault="00BA16C4" w:rsidP="00B57600">
            <w:pPr>
              <w:spacing w:line="240" w:lineRule="auto"/>
              <w:rPr>
                <w:color w:val="000000"/>
              </w:rPr>
            </w:pPr>
            <w:r w:rsidRPr="00284508">
              <w:rPr>
                <w:color w:val="000000"/>
              </w:rPr>
              <w:t>0.66</w:t>
            </w:r>
          </w:p>
        </w:tc>
      </w:tr>
      <w:tr w:rsidR="00BA16C4" w:rsidRPr="00284508" w14:paraId="2CC0C941" w14:textId="77777777" w:rsidTr="00B57600">
        <w:trPr>
          <w:trHeight w:val="315"/>
        </w:trPr>
        <w:tc>
          <w:tcPr>
            <w:tcW w:w="1497" w:type="dxa"/>
            <w:tcBorders>
              <w:top w:val="nil"/>
              <w:left w:val="nil"/>
              <w:bottom w:val="nil"/>
              <w:right w:val="nil"/>
            </w:tcBorders>
            <w:shd w:val="clear" w:color="auto" w:fill="auto"/>
            <w:noWrap/>
            <w:vAlign w:val="center"/>
            <w:hideMark/>
          </w:tcPr>
          <w:p w14:paraId="0D81ECC6" w14:textId="77777777" w:rsidR="00BA16C4" w:rsidRPr="00284508" w:rsidRDefault="00BA16C4" w:rsidP="00B57600">
            <w:pPr>
              <w:spacing w:line="240" w:lineRule="auto"/>
              <w:rPr>
                <w:color w:val="000000"/>
              </w:rPr>
            </w:pPr>
            <w:r w:rsidRPr="00284508">
              <w:rPr>
                <w:color w:val="000000"/>
              </w:rPr>
              <w:t>Southampton</w:t>
            </w:r>
          </w:p>
        </w:tc>
        <w:tc>
          <w:tcPr>
            <w:tcW w:w="1293" w:type="dxa"/>
            <w:tcBorders>
              <w:top w:val="nil"/>
              <w:left w:val="nil"/>
              <w:bottom w:val="nil"/>
              <w:right w:val="nil"/>
            </w:tcBorders>
            <w:shd w:val="clear" w:color="auto" w:fill="auto"/>
            <w:noWrap/>
            <w:vAlign w:val="center"/>
            <w:hideMark/>
          </w:tcPr>
          <w:p w14:paraId="4C653182" w14:textId="77777777" w:rsidR="00BA16C4" w:rsidRPr="00284508" w:rsidRDefault="00BA16C4" w:rsidP="00B57600">
            <w:pPr>
              <w:spacing w:line="240" w:lineRule="auto"/>
              <w:rPr>
                <w:color w:val="000000"/>
              </w:rPr>
            </w:pPr>
            <w:r w:rsidRPr="00284508">
              <w:rPr>
                <w:color w:val="000000"/>
              </w:rPr>
              <w:t>1.03</w:t>
            </w:r>
          </w:p>
        </w:tc>
        <w:tc>
          <w:tcPr>
            <w:tcW w:w="1110" w:type="dxa"/>
            <w:tcBorders>
              <w:top w:val="nil"/>
              <w:left w:val="nil"/>
              <w:bottom w:val="nil"/>
              <w:right w:val="nil"/>
            </w:tcBorders>
            <w:shd w:val="clear" w:color="auto" w:fill="auto"/>
            <w:noWrap/>
            <w:vAlign w:val="center"/>
            <w:hideMark/>
          </w:tcPr>
          <w:p w14:paraId="6129304D" w14:textId="77777777" w:rsidR="00BA16C4" w:rsidRPr="00284508" w:rsidRDefault="00BA16C4" w:rsidP="00B57600">
            <w:pPr>
              <w:spacing w:line="240" w:lineRule="auto"/>
              <w:rPr>
                <w:color w:val="000000"/>
              </w:rPr>
            </w:pPr>
            <w:r w:rsidRPr="00284508">
              <w:rPr>
                <w:color w:val="000000"/>
              </w:rPr>
              <w:t>0.80</w:t>
            </w:r>
          </w:p>
        </w:tc>
        <w:tc>
          <w:tcPr>
            <w:tcW w:w="1140" w:type="dxa"/>
            <w:tcBorders>
              <w:top w:val="nil"/>
              <w:left w:val="nil"/>
              <w:bottom w:val="nil"/>
              <w:right w:val="nil"/>
            </w:tcBorders>
            <w:shd w:val="clear" w:color="auto" w:fill="auto"/>
            <w:noWrap/>
            <w:vAlign w:val="center"/>
            <w:hideMark/>
          </w:tcPr>
          <w:p w14:paraId="042EDF48" w14:textId="77777777" w:rsidR="00BA16C4" w:rsidRPr="00284508" w:rsidRDefault="00BA16C4" w:rsidP="00B57600">
            <w:pPr>
              <w:spacing w:line="240" w:lineRule="auto"/>
              <w:rPr>
                <w:color w:val="000000"/>
              </w:rPr>
            </w:pPr>
            <w:r w:rsidRPr="00284508">
              <w:rPr>
                <w:color w:val="000000"/>
              </w:rPr>
              <w:t>0.51</w:t>
            </w:r>
          </w:p>
        </w:tc>
        <w:tc>
          <w:tcPr>
            <w:tcW w:w="1110" w:type="dxa"/>
            <w:tcBorders>
              <w:top w:val="nil"/>
              <w:left w:val="nil"/>
              <w:bottom w:val="nil"/>
              <w:right w:val="nil"/>
            </w:tcBorders>
            <w:shd w:val="clear" w:color="auto" w:fill="auto"/>
            <w:noWrap/>
            <w:vAlign w:val="center"/>
            <w:hideMark/>
          </w:tcPr>
          <w:p w14:paraId="15387073" w14:textId="77777777" w:rsidR="00BA16C4" w:rsidRPr="00284508" w:rsidRDefault="00BA16C4" w:rsidP="00B57600">
            <w:pPr>
              <w:spacing w:line="240" w:lineRule="auto"/>
              <w:rPr>
                <w:color w:val="000000"/>
              </w:rPr>
            </w:pPr>
            <w:r w:rsidRPr="00284508">
              <w:rPr>
                <w:color w:val="000000"/>
              </w:rPr>
              <w:t>0.20</w:t>
            </w:r>
          </w:p>
        </w:tc>
        <w:tc>
          <w:tcPr>
            <w:tcW w:w="963" w:type="dxa"/>
            <w:tcBorders>
              <w:top w:val="nil"/>
              <w:left w:val="nil"/>
              <w:bottom w:val="nil"/>
              <w:right w:val="nil"/>
            </w:tcBorders>
            <w:shd w:val="clear" w:color="auto" w:fill="auto"/>
            <w:noWrap/>
            <w:vAlign w:val="center"/>
            <w:hideMark/>
          </w:tcPr>
          <w:p w14:paraId="313EB476" w14:textId="77777777" w:rsidR="00BA16C4" w:rsidRPr="00284508" w:rsidRDefault="00BA16C4" w:rsidP="00B57600">
            <w:pPr>
              <w:spacing w:line="240" w:lineRule="auto"/>
              <w:rPr>
                <w:color w:val="000000"/>
              </w:rPr>
            </w:pPr>
            <w:r w:rsidRPr="00284508">
              <w:rPr>
                <w:color w:val="000000"/>
              </w:rPr>
              <w:t>-1.14</w:t>
            </w:r>
          </w:p>
        </w:tc>
        <w:tc>
          <w:tcPr>
            <w:tcW w:w="1167" w:type="dxa"/>
            <w:tcBorders>
              <w:top w:val="nil"/>
              <w:left w:val="nil"/>
              <w:bottom w:val="nil"/>
              <w:right w:val="nil"/>
            </w:tcBorders>
            <w:shd w:val="clear" w:color="auto" w:fill="auto"/>
            <w:noWrap/>
            <w:vAlign w:val="center"/>
            <w:hideMark/>
          </w:tcPr>
          <w:p w14:paraId="4D9DCDAF" w14:textId="77777777" w:rsidR="00BA16C4" w:rsidRPr="00284508" w:rsidRDefault="00BA16C4" w:rsidP="00B57600">
            <w:pPr>
              <w:spacing w:line="240" w:lineRule="auto"/>
              <w:rPr>
                <w:color w:val="000000"/>
              </w:rPr>
            </w:pPr>
            <w:r w:rsidRPr="00284508">
              <w:rPr>
                <w:color w:val="000000"/>
              </w:rPr>
              <w:t>0.01</w:t>
            </w:r>
          </w:p>
        </w:tc>
        <w:tc>
          <w:tcPr>
            <w:tcW w:w="1219" w:type="dxa"/>
            <w:tcBorders>
              <w:top w:val="nil"/>
              <w:left w:val="nil"/>
              <w:bottom w:val="nil"/>
              <w:right w:val="nil"/>
            </w:tcBorders>
            <w:shd w:val="clear" w:color="auto" w:fill="auto"/>
            <w:noWrap/>
            <w:vAlign w:val="center"/>
            <w:hideMark/>
          </w:tcPr>
          <w:p w14:paraId="39E8A2F8" w14:textId="77777777" w:rsidR="00BA16C4" w:rsidRPr="00284508" w:rsidRDefault="00BA16C4" w:rsidP="00B57600">
            <w:pPr>
              <w:spacing w:line="240" w:lineRule="auto"/>
              <w:rPr>
                <w:color w:val="000000"/>
              </w:rPr>
            </w:pPr>
            <w:r w:rsidRPr="00284508">
              <w:rPr>
                <w:color w:val="000000"/>
              </w:rPr>
              <w:t>-0.77</w:t>
            </w:r>
          </w:p>
        </w:tc>
      </w:tr>
      <w:tr w:rsidR="00BA16C4" w:rsidRPr="00284508" w14:paraId="11B1E752" w14:textId="77777777" w:rsidTr="00B57600">
        <w:trPr>
          <w:trHeight w:val="315"/>
        </w:trPr>
        <w:tc>
          <w:tcPr>
            <w:tcW w:w="1497" w:type="dxa"/>
            <w:tcBorders>
              <w:top w:val="nil"/>
              <w:left w:val="nil"/>
              <w:bottom w:val="nil"/>
              <w:right w:val="nil"/>
            </w:tcBorders>
            <w:shd w:val="clear" w:color="auto" w:fill="auto"/>
            <w:noWrap/>
            <w:vAlign w:val="center"/>
            <w:hideMark/>
          </w:tcPr>
          <w:p w14:paraId="7AF58F30" w14:textId="77777777" w:rsidR="00BA16C4" w:rsidRPr="00284508" w:rsidRDefault="00BA16C4" w:rsidP="00B57600">
            <w:pPr>
              <w:spacing w:line="240" w:lineRule="auto"/>
              <w:rPr>
                <w:color w:val="000000"/>
              </w:rPr>
            </w:pPr>
            <w:r w:rsidRPr="00284508">
              <w:rPr>
                <w:color w:val="000000"/>
              </w:rPr>
              <w:t>Stoke</w:t>
            </w:r>
          </w:p>
        </w:tc>
        <w:tc>
          <w:tcPr>
            <w:tcW w:w="1293" w:type="dxa"/>
            <w:tcBorders>
              <w:top w:val="nil"/>
              <w:left w:val="nil"/>
              <w:bottom w:val="nil"/>
              <w:right w:val="nil"/>
            </w:tcBorders>
            <w:shd w:val="clear" w:color="auto" w:fill="auto"/>
            <w:noWrap/>
            <w:vAlign w:val="center"/>
            <w:hideMark/>
          </w:tcPr>
          <w:p w14:paraId="398316B4" w14:textId="77777777" w:rsidR="00BA16C4" w:rsidRPr="00284508" w:rsidRDefault="00BA16C4" w:rsidP="00B57600">
            <w:pPr>
              <w:spacing w:line="240" w:lineRule="auto"/>
              <w:rPr>
                <w:color w:val="000000"/>
              </w:rPr>
            </w:pPr>
            <w:r w:rsidRPr="00284508">
              <w:rPr>
                <w:color w:val="000000"/>
              </w:rPr>
              <w:t>0.07</w:t>
            </w:r>
          </w:p>
        </w:tc>
        <w:tc>
          <w:tcPr>
            <w:tcW w:w="1110" w:type="dxa"/>
            <w:tcBorders>
              <w:top w:val="nil"/>
              <w:left w:val="nil"/>
              <w:bottom w:val="nil"/>
              <w:right w:val="nil"/>
            </w:tcBorders>
            <w:shd w:val="clear" w:color="auto" w:fill="auto"/>
            <w:noWrap/>
            <w:vAlign w:val="center"/>
            <w:hideMark/>
          </w:tcPr>
          <w:p w14:paraId="750AD160" w14:textId="77777777" w:rsidR="00BA16C4" w:rsidRPr="00284508" w:rsidRDefault="00BA16C4" w:rsidP="00B57600">
            <w:pPr>
              <w:spacing w:line="240" w:lineRule="auto"/>
              <w:rPr>
                <w:color w:val="000000"/>
              </w:rPr>
            </w:pPr>
            <w:r w:rsidRPr="00284508">
              <w:rPr>
                <w:color w:val="000000"/>
              </w:rPr>
              <w:t>-0.74</w:t>
            </w:r>
          </w:p>
        </w:tc>
        <w:tc>
          <w:tcPr>
            <w:tcW w:w="1140" w:type="dxa"/>
            <w:tcBorders>
              <w:top w:val="nil"/>
              <w:left w:val="nil"/>
              <w:bottom w:val="nil"/>
              <w:right w:val="nil"/>
            </w:tcBorders>
            <w:shd w:val="clear" w:color="auto" w:fill="auto"/>
            <w:noWrap/>
            <w:vAlign w:val="center"/>
            <w:hideMark/>
          </w:tcPr>
          <w:p w14:paraId="3B0F55D9" w14:textId="77777777" w:rsidR="00BA16C4" w:rsidRPr="00284508" w:rsidRDefault="00BA16C4" w:rsidP="00B57600">
            <w:pPr>
              <w:spacing w:line="240" w:lineRule="auto"/>
              <w:rPr>
                <w:color w:val="000000"/>
              </w:rPr>
            </w:pPr>
            <w:r w:rsidRPr="00284508">
              <w:rPr>
                <w:color w:val="000000"/>
              </w:rPr>
              <w:t>0.15</w:t>
            </w:r>
          </w:p>
        </w:tc>
        <w:tc>
          <w:tcPr>
            <w:tcW w:w="1110" w:type="dxa"/>
            <w:tcBorders>
              <w:top w:val="nil"/>
              <w:left w:val="nil"/>
              <w:bottom w:val="nil"/>
              <w:right w:val="nil"/>
            </w:tcBorders>
            <w:shd w:val="clear" w:color="auto" w:fill="auto"/>
            <w:noWrap/>
            <w:vAlign w:val="center"/>
            <w:hideMark/>
          </w:tcPr>
          <w:p w14:paraId="565D36FA" w14:textId="77777777" w:rsidR="00BA16C4" w:rsidRPr="00284508" w:rsidRDefault="00BA16C4" w:rsidP="00B57600">
            <w:pPr>
              <w:spacing w:line="240" w:lineRule="auto"/>
              <w:rPr>
                <w:color w:val="000000"/>
              </w:rPr>
            </w:pPr>
            <w:r w:rsidRPr="00284508">
              <w:rPr>
                <w:color w:val="000000"/>
              </w:rPr>
              <w:t>-0.51</w:t>
            </w:r>
          </w:p>
        </w:tc>
        <w:tc>
          <w:tcPr>
            <w:tcW w:w="963" w:type="dxa"/>
            <w:tcBorders>
              <w:top w:val="nil"/>
              <w:left w:val="nil"/>
              <w:bottom w:val="nil"/>
              <w:right w:val="nil"/>
            </w:tcBorders>
            <w:shd w:val="clear" w:color="auto" w:fill="auto"/>
            <w:noWrap/>
            <w:vAlign w:val="center"/>
            <w:hideMark/>
          </w:tcPr>
          <w:p w14:paraId="51130A28" w14:textId="77777777" w:rsidR="00BA16C4" w:rsidRPr="00284508" w:rsidRDefault="00BA16C4" w:rsidP="00B57600">
            <w:pPr>
              <w:spacing w:line="240" w:lineRule="auto"/>
              <w:rPr>
                <w:color w:val="000000"/>
              </w:rPr>
            </w:pPr>
            <w:r w:rsidRPr="00284508">
              <w:rPr>
                <w:color w:val="000000"/>
              </w:rPr>
              <w:t>-0.90</w:t>
            </w:r>
          </w:p>
        </w:tc>
        <w:tc>
          <w:tcPr>
            <w:tcW w:w="1167" w:type="dxa"/>
            <w:tcBorders>
              <w:top w:val="nil"/>
              <w:left w:val="nil"/>
              <w:bottom w:val="nil"/>
              <w:right w:val="nil"/>
            </w:tcBorders>
            <w:shd w:val="clear" w:color="auto" w:fill="auto"/>
            <w:noWrap/>
            <w:vAlign w:val="center"/>
            <w:hideMark/>
          </w:tcPr>
          <w:p w14:paraId="62798B9A" w14:textId="77777777" w:rsidR="00BA16C4" w:rsidRPr="00284508" w:rsidRDefault="00BA16C4" w:rsidP="00B57600">
            <w:pPr>
              <w:spacing w:line="240" w:lineRule="auto"/>
              <w:rPr>
                <w:color w:val="000000"/>
              </w:rPr>
            </w:pPr>
            <w:r w:rsidRPr="00284508">
              <w:rPr>
                <w:color w:val="000000"/>
              </w:rPr>
              <w:t>-0.67</w:t>
            </w:r>
          </w:p>
        </w:tc>
        <w:tc>
          <w:tcPr>
            <w:tcW w:w="1219" w:type="dxa"/>
            <w:tcBorders>
              <w:top w:val="nil"/>
              <w:left w:val="nil"/>
              <w:bottom w:val="nil"/>
              <w:right w:val="nil"/>
            </w:tcBorders>
            <w:shd w:val="clear" w:color="auto" w:fill="auto"/>
            <w:noWrap/>
            <w:vAlign w:val="center"/>
            <w:hideMark/>
          </w:tcPr>
          <w:p w14:paraId="6BED8270" w14:textId="77777777" w:rsidR="00BA16C4" w:rsidRPr="00284508" w:rsidRDefault="00BA16C4" w:rsidP="00B57600">
            <w:pPr>
              <w:spacing w:line="240" w:lineRule="auto"/>
              <w:rPr>
                <w:color w:val="000000"/>
              </w:rPr>
            </w:pPr>
            <w:r w:rsidRPr="00284508">
              <w:rPr>
                <w:color w:val="000000"/>
              </w:rPr>
              <w:t>1.41</w:t>
            </w:r>
          </w:p>
        </w:tc>
      </w:tr>
      <w:tr w:rsidR="00BA16C4" w:rsidRPr="00284508" w14:paraId="151D952A" w14:textId="77777777" w:rsidTr="00B57600">
        <w:trPr>
          <w:trHeight w:val="315"/>
        </w:trPr>
        <w:tc>
          <w:tcPr>
            <w:tcW w:w="1497" w:type="dxa"/>
            <w:tcBorders>
              <w:top w:val="nil"/>
              <w:left w:val="nil"/>
              <w:bottom w:val="nil"/>
              <w:right w:val="nil"/>
            </w:tcBorders>
            <w:shd w:val="clear" w:color="auto" w:fill="auto"/>
            <w:noWrap/>
            <w:vAlign w:val="center"/>
            <w:hideMark/>
          </w:tcPr>
          <w:p w14:paraId="7103E62A" w14:textId="77777777" w:rsidR="00BA16C4" w:rsidRPr="00284508" w:rsidRDefault="00BA16C4" w:rsidP="00B57600">
            <w:pPr>
              <w:spacing w:line="240" w:lineRule="auto"/>
              <w:rPr>
                <w:color w:val="000000"/>
              </w:rPr>
            </w:pPr>
            <w:r w:rsidRPr="00284508">
              <w:rPr>
                <w:color w:val="000000"/>
              </w:rPr>
              <w:t>Sunderland</w:t>
            </w:r>
          </w:p>
        </w:tc>
        <w:tc>
          <w:tcPr>
            <w:tcW w:w="1293" w:type="dxa"/>
            <w:tcBorders>
              <w:top w:val="nil"/>
              <w:left w:val="nil"/>
              <w:bottom w:val="nil"/>
              <w:right w:val="nil"/>
            </w:tcBorders>
            <w:shd w:val="clear" w:color="auto" w:fill="auto"/>
            <w:noWrap/>
            <w:vAlign w:val="center"/>
            <w:hideMark/>
          </w:tcPr>
          <w:p w14:paraId="3DA1CDFF" w14:textId="77777777" w:rsidR="00BA16C4" w:rsidRPr="00284508" w:rsidRDefault="00BA16C4" w:rsidP="00B57600">
            <w:pPr>
              <w:spacing w:line="240" w:lineRule="auto"/>
              <w:rPr>
                <w:color w:val="000000"/>
              </w:rPr>
            </w:pPr>
            <w:r w:rsidRPr="00284508">
              <w:rPr>
                <w:color w:val="000000"/>
              </w:rPr>
              <w:t>-0.02</w:t>
            </w:r>
          </w:p>
        </w:tc>
        <w:tc>
          <w:tcPr>
            <w:tcW w:w="1110" w:type="dxa"/>
            <w:tcBorders>
              <w:top w:val="nil"/>
              <w:left w:val="nil"/>
              <w:bottom w:val="nil"/>
              <w:right w:val="nil"/>
            </w:tcBorders>
            <w:shd w:val="clear" w:color="auto" w:fill="auto"/>
            <w:noWrap/>
            <w:vAlign w:val="center"/>
            <w:hideMark/>
          </w:tcPr>
          <w:p w14:paraId="0368897B" w14:textId="77777777" w:rsidR="00BA16C4" w:rsidRPr="00284508" w:rsidRDefault="00BA16C4" w:rsidP="00B57600">
            <w:pPr>
              <w:spacing w:line="240" w:lineRule="auto"/>
              <w:rPr>
                <w:color w:val="000000"/>
              </w:rPr>
            </w:pPr>
            <w:r w:rsidRPr="00284508">
              <w:rPr>
                <w:color w:val="000000"/>
              </w:rPr>
              <w:t>0.06</w:t>
            </w:r>
          </w:p>
        </w:tc>
        <w:tc>
          <w:tcPr>
            <w:tcW w:w="1140" w:type="dxa"/>
            <w:tcBorders>
              <w:top w:val="nil"/>
              <w:left w:val="nil"/>
              <w:bottom w:val="nil"/>
              <w:right w:val="nil"/>
            </w:tcBorders>
            <w:shd w:val="clear" w:color="auto" w:fill="auto"/>
            <w:noWrap/>
            <w:vAlign w:val="center"/>
            <w:hideMark/>
          </w:tcPr>
          <w:p w14:paraId="5C6EDEFE" w14:textId="77777777" w:rsidR="00BA16C4" w:rsidRPr="00284508" w:rsidRDefault="00BA16C4" w:rsidP="00B57600">
            <w:pPr>
              <w:spacing w:line="240" w:lineRule="auto"/>
              <w:rPr>
                <w:color w:val="000000"/>
              </w:rPr>
            </w:pPr>
            <w:r w:rsidRPr="00284508">
              <w:rPr>
                <w:color w:val="000000"/>
              </w:rPr>
              <w:t>-0.61</w:t>
            </w:r>
          </w:p>
        </w:tc>
        <w:tc>
          <w:tcPr>
            <w:tcW w:w="1110" w:type="dxa"/>
            <w:tcBorders>
              <w:top w:val="nil"/>
              <w:left w:val="nil"/>
              <w:bottom w:val="nil"/>
              <w:right w:val="nil"/>
            </w:tcBorders>
            <w:shd w:val="clear" w:color="auto" w:fill="auto"/>
            <w:noWrap/>
            <w:vAlign w:val="center"/>
            <w:hideMark/>
          </w:tcPr>
          <w:p w14:paraId="246D8FAA" w14:textId="77777777" w:rsidR="00BA16C4" w:rsidRPr="00284508" w:rsidRDefault="00BA16C4" w:rsidP="00B57600">
            <w:pPr>
              <w:spacing w:line="240" w:lineRule="auto"/>
              <w:rPr>
                <w:color w:val="000000"/>
              </w:rPr>
            </w:pPr>
            <w:r w:rsidRPr="00284508">
              <w:rPr>
                <w:color w:val="000000"/>
              </w:rPr>
              <w:t>-0.78</w:t>
            </w:r>
          </w:p>
        </w:tc>
        <w:tc>
          <w:tcPr>
            <w:tcW w:w="963" w:type="dxa"/>
            <w:tcBorders>
              <w:top w:val="nil"/>
              <w:left w:val="nil"/>
              <w:bottom w:val="nil"/>
              <w:right w:val="nil"/>
            </w:tcBorders>
            <w:shd w:val="clear" w:color="auto" w:fill="auto"/>
            <w:noWrap/>
            <w:vAlign w:val="center"/>
            <w:hideMark/>
          </w:tcPr>
          <w:p w14:paraId="1A2D3AFC" w14:textId="77777777" w:rsidR="00BA16C4" w:rsidRPr="00284508" w:rsidRDefault="00BA16C4" w:rsidP="00B57600">
            <w:pPr>
              <w:spacing w:line="240" w:lineRule="auto"/>
              <w:rPr>
                <w:color w:val="000000"/>
              </w:rPr>
            </w:pPr>
            <w:r w:rsidRPr="00284508">
              <w:rPr>
                <w:color w:val="000000"/>
              </w:rPr>
              <w:t>-0.95</w:t>
            </w:r>
          </w:p>
        </w:tc>
        <w:tc>
          <w:tcPr>
            <w:tcW w:w="1167" w:type="dxa"/>
            <w:tcBorders>
              <w:top w:val="nil"/>
              <w:left w:val="nil"/>
              <w:bottom w:val="nil"/>
              <w:right w:val="nil"/>
            </w:tcBorders>
            <w:shd w:val="clear" w:color="auto" w:fill="auto"/>
            <w:noWrap/>
            <w:vAlign w:val="center"/>
            <w:hideMark/>
          </w:tcPr>
          <w:p w14:paraId="543CA14C" w14:textId="77777777" w:rsidR="00BA16C4" w:rsidRPr="00284508" w:rsidRDefault="00BA16C4" w:rsidP="00B57600">
            <w:pPr>
              <w:spacing w:line="240" w:lineRule="auto"/>
              <w:rPr>
                <w:color w:val="000000"/>
              </w:rPr>
            </w:pPr>
            <w:r w:rsidRPr="00284508">
              <w:rPr>
                <w:color w:val="000000"/>
              </w:rPr>
              <w:t>-0.20</w:t>
            </w:r>
          </w:p>
        </w:tc>
        <w:tc>
          <w:tcPr>
            <w:tcW w:w="1219" w:type="dxa"/>
            <w:tcBorders>
              <w:top w:val="nil"/>
              <w:left w:val="nil"/>
              <w:bottom w:val="nil"/>
              <w:right w:val="nil"/>
            </w:tcBorders>
            <w:shd w:val="clear" w:color="auto" w:fill="auto"/>
            <w:noWrap/>
            <w:vAlign w:val="center"/>
            <w:hideMark/>
          </w:tcPr>
          <w:p w14:paraId="3504D2F3" w14:textId="77777777" w:rsidR="00BA16C4" w:rsidRPr="00284508" w:rsidRDefault="00BA16C4" w:rsidP="00B57600">
            <w:pPr>
              <w:spacing w:line="240" w:lineRule="auto"/>
              <w:rPr>
                <w:color w:val="000000"/>
              </w:rPr>
            </w:pPr>
            <w:r w:rsidRPr="00284508">
              <w:rPr>
                <w:color w:val="000000"/>
              </w:rPr>
              <w:t>-0.44</w:t>
            </w:r>
          </w:p>
        </w:tc>
      </w:tr>
      <w:tr w:rsidR="00BA16C4" w:rsidRPr="00284508" w14:paraId="146D9E04" w14:textId="77777777" w:rsidTr="00B57600">
        <w:trPr>
          <w:trHeight w:val="315"/>
        </w:trPr>
        <w:tc>
          <w:tcPr>
            <w:tcW w:w="1497" w:type="dxa"/>
            <w:tcBorders>
              <w:top w:val="nil"/>
              <w:left w:val="nil"/>
              <w:bottom w:val="nil"/>
              <w:right w:val="nil"/>
            </w:tcBorders>
            <w:shd w:val="clear" w:color="auto" w:fill="auto"/>
            <w:noWrap/>
            <w:vAlign w:val="center"/>
            <w:hideMark/>
          </w:tcPr>
          <w:p w14:paraId="2AF01A6A" w14:textId="77777777" w:rsidR="00BA16C4" w:rsidRPr="00284508" w:rsidRDefault="00BA16C4" w:rsidP="00B57600">
            <w:pPr>
              <w:spacing w:line="240" w:lineRule="auto"/>
              <w:rPr>
                <w:color w:val="000000"/>
              </w:rPr>
            </w:pPr>
            <w:r w:rsidRPr="00284508">
              <w:rPr>
                <w:color w:val="000000"/>
              </w:rPr>
              <w:t>Swansea</w:t>
            </w:r>
          </w:p>
        </w:tc>
        <w:tc>
          <w:tcPr>
            <w:tcW w:w="1293" w:type="dxa"/>
            <w:tcBorders>
              <w:top w:val="nil"/>
              <w:left w:val="nil"/>
              <w:bottom w:val="nil"/>
              <w:right w:val="nil"/>
            </w:tcBorders>
            <w:shd w:val="clear" w:color="auto" w:fill="auto"/>
            <w:noWrap/>
            <w:vAlign w:val="center"/>
            <w:hideMark/>
          </w:tcPr>
          <w:p w14:paraId="58322A26" w14:textId="77777777" w:rsidR="00BA16C4" w:rsidRPr="00284508" w:rsidRDefault="00BA16C4" w:rsidP="00B57600">
            <w:pPr>
              <w:spacing w:line="240" w:lineRule="auto"/>
              <w:rPr>
                <w:color w:val="000000"/>
              </w:rPr>
            </w:pPr>
            <w:r w:rsidRPr="00284508">
              <w:rPr>
                <w:color w:val="000000"/>
              </w:rPr>
              <w:t>1.63</w:t>
            </w:r>
          </w:p>
        </w:tc>
        <w:tc>
          <w:tcPr>
            <w:tcW w:w="1110" w:type="dxa"/>
            <w:tcBorders>
              <w:top w:val="nil"/>
              <w:left w:val="nil"/>
              <w:bottom w:val="nil"/>
              <w:right w:val="nil"/>
            </w:tcBorders>
            <w:shd w:val="clear" w:color="auto" w:fill="auto"/>
            <w:noWrap/>
            <w:vAlign w:val="center"/>
            <w:hideMark/>
          </w:tcPr>
          <w:p w14:paraId="1787E540" w14:textId="77777777" w:rsidR="00BA16C4" w:rsidRPr="00284508" w:rsidRDefault="00BA16C4" w:rsidP="00B57600">
            <w:pPr>
              <w:spacing w:line="240" w:lineRule="auto"/>
              <w:rPr>
                <w:color w:val="000000"/>
              </w:rPr>
            </w:pPr>
            <w:r w:rsidRPr="00284508">
              <w:rPr>
                <w:color w:val="000000"/>
              </w:rPr>
              <w:t>0.53</w:t>
            </w:r>
          </w:p>
        </w:tc>
        <w:tc>
          <w:tcPr>
            <w:tcW w:w="1140" w:type="dxa"/>
            <w:tcBorders>
              <w:top w:val="nil"/>
              <w:left w:val="nil"/>
              <w:bottom w:val="nil"/>
              <w:right w:val="nil"/>
            </w:tcBorders>
            <w:shd w:val="clear" w:color="auto" w:fill="auto"/>
            <w:noWrap/>
            <w:vAlign w:val="center"/>
            <w:hideMark/>
          </w:tcPr>
          <w:p w14:paraId="53727BE0" w14:textId="77777777" w:rsidR="00BA16C4" w:rsidRPr="00284508" w:rsidRDefault="00BA16C4" w:rsidP="00B57600">
            <w:pPr>
              <w:spacing w:line="240" w:lineRule="auto"/>
              <w:rPr>
                <w:color w:val="000000"/>
              </w:rPr>
            </w:pPr>
            <w:r w:rsidRPr="00284508">
              <w:rPr>
                <w:color w:val="000000"/>
              </w:rPr>
              <w:t>2.38</w:t>
            </w:r>
          </w:p>
        </w:tc>
        <w:tc>
          <w:tcPr>
            <w:tcW w:w="1110" w:type="dxa"/>
            <w:tcBorders>
              <w:top w:val="nil"/>
              <w:left w:val="nil"/>
              <w:bottom w:val="nil"/>
              <w:right w:val="nil"/>
            </w:tcBorders>
            <w:shd w:val="clear" w:color="auto" w:fill="auto"/>
            <w:noWrap/>
            <w:vAlign w:val="center"/>
            <w:hideMark/>
          </w:tcPr>
          <w:p w14:paraId="6A071FFB" w14:textId="77777777" w:rsidR="00BA16C4" w:rsidRPr="00284508" w:rsidRDefault="00BA16C4" w:rsidP="00B57600">
            <w:pPr>
              <w:spacing w:line="240" w:lineRule="auto"/>
              <w:rPr>
                <w:color w:val="000000"/>
              </w:rPr>
            </w:pPr>
            <w:r w:rsidRPr="00284508">
              <w:rPr>
                <w:color w:val="000000"/>
              </w:rPr>
              <w:t>0.97</w:t>
            </w:r>
          </w:p>
        </w:tc>
        <w:tc>
          <w:tcPr>
            <w:tcW w:w="963" w:type="dxa"/>
            <w:tcBorders>
              <w:top w:val="nil"/>
              <w:left w:val="nil"/>
              <w:bottom w:val="nil"/>
              <w:right w:val="nil"/>
            </w:tcBorders>
            <w:shd w:val="clear" w:color="auto" w:fill="auto"/>
            <w:noWrap/>
            <w:vAlign w:val="center"/>
            <w:hideMark/>
          </w:tcPr>
          <w:p w14:paraId="2E62D7B2" w14:textId="77777777" w:rsidR="00BA16C4" w:rsidRPr="00284508" w:rsidRDefault="00BA16C4" w:rsidP="00B57600">
            <w:pPr>
              <w:spacing w:line="240" w:lineRule="auto"/>
              <w:rPr>
                <w:color w:val="000000"/>
              </w:rPr>
            </w:pPr>
            <w:r w:rsidRPr="00284508">
              <w:rPr>
                <w:color w:val="000000"/>
              </w:rPr>
              <w:t>-1.70</w:t>
            </w:r>
          </w:p>
        </w:tc>
        <w:tc>
          <w:tcPr>
            <w:tcW w:w="1167" w:type="dxa"/>
            <w:tcBorders>
              <w:top w:val="nil"/>
              <w:left w:val="nil"/>
              <w:bottom w:val="nil"/>
              <w:right w:val="nil"/>
            </w:tcBorders>
            <w:shd w:val="clear" w:color="auto" w:fill="auto"/>
            <w:noWrap/>
            <w:vAlign w:val="center"/>
            <w:hideMark/>
          </w:tcPr>
          <w:p w14:paraId="20F996A4" w14:textId="77777777" w:rsidR="00BA16C4" w:rsidRPr="00284508" w:rsidRDefault="00BA16C4" w:rsidP="00B57600">
            <w:pPr>
              <w:spacing w:line="240" w:lineRule="auto"/>
              <w:rPr>
                <w:color w:val="000000"/>
              </w:rPr>
            </w:pPr>
            <w:r w:rsidRPr="00284508">
              <w:rPr>
                <w:color w:val="000000"/>
              </w:rPr>
              <w:t>0.95</w:t>
            </w:r>
          </w:p>
        </w:tc>
        <w:tc>
          <w:tcPr>
            <w:tcW w:w="1219" w:type="dxa"/>
            <w:tcBorders>
              <w:top w:val="nil"/>
              <w:left w:val="nil"/>
              <w:bottom w:val="nil"/>
              <w:right w:val="nil"/>
            </w:tcBorders>
            <w:shd w:val="clear" w:color="auto" w:fill="auto"/>
            <w:noWrap/>
            <w:vAlign w:val="center"/>
            <w:hideMark/>
          </w:tcPr>
          <w:p w14:paraId="2214D64A" w14:textId="77777777" w:rsidR="00BA16C4" w:rsidRPr="00284508" w:rsidRDefault="00BA16C4" w:rsidP="00B57600">
            <w:pPr>
              <w:spacing w:line="240" w:lineRule="auto"/>
              <w:rPr>
                <w:color w:val="000000"/>
              </w:rPr>
            </w:pPr>
            <w:r w:rsidRPr="00284508">
              <w:rPr>
                <w:color w:val="000000"/>
              </w:rPr>
              <w:t>0.26</w:t>
            </w:r>
          </w:p>
        </w:tc>
      </w:tr>
      <w:tr w:rsidR="00BA16C4" w:rsidRPr="00284508" w14:paraId="253332ED" w14:textId="77777777" w:rsidTr="00B57600">
        <w:trPr>
          <w:trHeight w:val="315"/>
        </w:trPr>
        <w:tc>
          <w:tcPr>
            <w:tcW w:w="1497" w:type="dxa"/>
            <w:tcBorders>
              <w:top w:val="nil"/>
              <w:left w:val="nil"/>
              <w:bottom w:val="nil"/>
              <w:right w:val="nil"/>
            </w:tcBorders>
            <w:shd w:val="clear" w:color="auto" w:fill="auto"/>
            <w:noWrap/>
            <w:vAlign w:val="center"/>
            <w:hideMark/>
          </w:tcPr>
          <w:p w14:paraId="4C53BDB8" w14:textId="77777777" w:rsidR="00BA16C4" w:rsidRPr="00284508" w:rsidRDefault="00BA16C4" w:rsidP="00B57600">
            <w:pPr>
              <w:spacing w:line="240" w:lineRule="auto"/>
              <w:rPr>
                <w:color w:val="000000"/>
              </w:rPr>
            </w:pPr>
            <w:r w:rsidRPr="00284508">
              <w:rPr>
                <w:color w:val="000000"/>
              </w:rPr>
              <w:t>Tottenham</w:t>
            </w:r>
          </w:p>
        </w:tc>
        <w:tc>
          <w:tcPr>
            <w:tcW w:w="1293" w:type="dxa"/>
            <w:tcBorders>
              <w:top w:val="nil"/>
              <w:left w:val="nil"/>
              <w:bottom w:val="nil"/>
              <w:right w:val="nil"/>
            </w:tcBorders>
            <w:shd w:val="clear" w:color="auto" w:fill="auto"/>
            <w:noWrap/>
            <w:vAlign w:val="center"/>
            <w:hideMark/>
          </w:tcPr>
          <w:p w14:paraId="43A21383" w14:textId="77777777" w:rsidR="00BA16C4" w:rsidRPr="00284508" w:rsidRDefault="00BA16C4" w:rsidP="00B57600">
            <w:pPr>
              <w:spacing w:line="240" w:lineRule="auto"/>
              <w:rPr>
                <w:color w:val="000000"/>
              </w:rPr>
            </w:pPr>
            <w:r w:rsidRPr="00284508">
              <w:rPr>
                <w:color w:val="000000"/>
              </w:rPr>
              <w:t>-1.28</w:t>
            </w:r>
          </w:p>
        </w:tc>
        <w:tc>
          <w:tcPr>
            <w:tcW w:w="1110" w:type="dxa"/>
            <w:tcBorders>
              <w:top w:val="nil"/>
              <w:left w:val="nil"/>
              <w:bottom w:val="nil"/>
              <w:right w:val="nil"/>
            </w:tcBorders>
            <w:shd w:val="clear" w:color="auto" w:fill="auto"/>
            <w:noWrap/>
            <w:vAlign w:val="center"/>
            <w:hideMark/>
          </w:tcPr>
          <w:p w14:paraId="3BD34FFF" w14:textId="77777777" w:rsidR="00BA16C4" w:rsidRPr="00284508" w:rsidRDefault="00BA16C4" w:rsidP="00B57600">
            <w:pPr>
              <w:spacing w:line="240" w:lineRule="auto"/>
              <w:rPr>
                <w:color w:val="000000"/>
              </w:rPr>
            </w:pPr>
            <w:r w:rsidRPr="00284508">
              <w:rPr>
                <w:color w:val="000000"/>
              </w:rPr>
              <w:t>-0.57</w:t>
            </w:r>
          </w:p>
        </w:tc>
        <w:tc>
          <w:tcPr>
            <w:tcW w:w="1140" w:type="dxa"/>
            <w:tcBorders>
              <w:top w:val="nil"/>
              <w:left w:val="nil"/>
              <w:bottom w:val="nil"/>
              <w:right w:val="nil"/>
            </w:tcBorders>
            <w:shd w:val="clear" w:color="auto" w:fill="auto"/>
            <w:noWrap/>
            <w:vAlign w:val="center"/>
            <w:hideMark/>
          </w:tcPr>
          <w:p w14:paraId="34B0C773" w14:textId="77777777" w:rsidR="00BA16C4" w:rsidRPr="00284508" w:rsidRDefault="00BA16C4" w:rsidP="00B57600">
            <w:pPr>
              <w:spacing w:line="240" w:lineRule="auto"/>
              <w:rPr>
                <w:color w:val="000000"/>
              </w:rPr>
            </w:pPr>
            <w:r w:rsidRPr="00284508">
              <w:rPr>
                <w:color w:val="000000"/>
              </w:rPr>
              <w:t>0.38</w:t>
            </w:r>
          </w:p>
        </w:tc>
        <w:tc>
          <w:tcPr>
            <w:tcW w:w="1110" w:type="dxa"/>
            <w:tcBorders>
              <w:top w:val="nil"/>
              <w:left w:val="nil"/>
              <w:bottom w:val="nil"/>
              <w:right w:val="nil"/>
            </w:tcBorders>
            <w:shd w:val="clear" w:color="auto" w:fill="auto"/>
            <w:noWrap/>
            <w:vAlign w:val="center"/>
            <w:hideMark/>
          </w:tcPr>
          <w:p w14:paraId="7CE04A22" w14:textId="77777777" w:rsidR="00BA16C4" w:rsidRPr="00284508" w:rsidRDefault="00BA16C4" w:rsidP="00B57600">
            <w:pPr>
              <w:spacing w:line="240" w:lineRule="auto"/>
              <w:rPr>
                <w:color w:val="000000"/>
              </w:rPr>
            </w:pPr>
            <w:r w:rsidRPr="00284508">
              <w:rPr>
                <w:color w:val="000000"/>
              </w:rPr>
              <w:t>0.55</w:t>
            </w:r>
          </w:p>
        </w:tc>
        <w:tc>
          <w:tcPr>
            <w:tcW w:w="963" w:type="dxa"/>
            <w:tcBorders>
              <w:top w:val="nil"/>
              <w:left w:val="nil"/>
              <w:bottom w:val="nil"/>
              <w:right w:val="nil"/>
            </w:tcBorders>
            <w:shd w:val="clear" w:color="auto" w:fill="auto"/>
            <w:noWrap/>
            <w:vAlign w:val="center"/>
            <w:hideMark/>
          </w:tcPr>
          <w:p w14:paraId="438905DE" w14:textId="77777777" w:rsidR="00BA16C4" w:rsidRPr="00284508" w:rsidRDefault="00BA16C4" w:rsidP="00B57600">
            <w:pPr>
              <w:spacing w:line="240" w:lineRule="auto"/>
              <w:rPr>
                <w:color w:val="000000"/>
              </w:rPr>
            </w:pPr>
            <w:r w:rsidRPr="00284508">
              <w:rPr>
                <w:color w:val="000000"/>
              </w:rPr>
              <w:t>-0.20</w:t>
            </w:r>
          </w:p>
        </w:tc>
        <w:tc>
          <w:tcPr>
            <w:tcW w:w="1167" w:type="dxa"/>
            <w:tcBorders>
              <w:top w:val="nil"/>
              <w:left w:val="nil"/>
              <w:bottom w:val="nil"/>
              <w:right w:val="nil"/>
            </w:tcBorders>
            <w:shd w:val="clear" w:color="auto" w:fill="auto"/>
            <w:noWrap/>
            <w:vAlign w:val="center"/>
            <w:hideMark/>
          </w:tcPr>
          <w:p w14:paraId="7AB2F7E0" w14:textId="77777777" w:rsidR="00BA16C4" w:rsidRPr="00284508" w:rsidRDefault="00BA16C4" w:rsidP="00B57600">
            <w:pPr>
              <w:spacing w:line="240" w:lineRule="auto"/>
              <w:rPr>
                <w:color w:val="000000"/>
              </w:rPr>
            </w:pPr>
            <w:r w:rsidRPr="00284508">
              <w:rPr>
                <w:color w:val="000000"/>
              </w:rPr>
              <w:t>0.60</w:t>
            </w:r>
          </w:p>
        </w:tc>
        <w:tc>
          <w:tcPr>
            <w:tcW w:w="1219" w:type="dxa"/>
            <w:tcBorders>
              <w:top w:val="nil"/>
              <w:left w:val="nil"/>
              <w:bottom w:val="nil"/>
              <w:right w:val="nil"/>
            </w:tcBorders>
            <w:shd w:val="clear" w:color="auto" w:fill="auto"/>
            <w:noWrap/>
            <w:vAlign w:val="center"/>
            <w:hideMark/>
          </w:tcPr>
          <w:p w14:paraId="3EDC5199" w14:textId="77777777" w:rsidR="00BA16C4" w:rsidRPr="00284508" w:rsidRDefault="00BA16C4" w:rsidP="00B57600">
            <w:pPr>
              <w:spacing w:line="240" w:lineRule="auto"/>
              <w:rPr>
                <w:color w:val="000000"/>
              </w:rPr>
            </w:pPr>
            <w:r w:rsidRPr="00284508">
              <w:rPr>
                <w:color w:val="000000"/>
              </w:rPr>
              <w:t>-1.03</w:t>
            </w:r>
          </w:p>
        </w:tc>
      </w:tr>
      <w:tr w:rsidR="00BA16C4" w:rsidRPr="00284508" w14:paraId="164FB44F" w14:textId="77777777" w:rsidTr="00B57600">
        <w:trPr>
          <w:trHeight w:val="315"/>
        </w:trPr>
        <w:tc>
          <w:tcPr>
            <w:tcW w:w="1497" w:type="dxa"/>
            <w:tcBorders>
              <w:top w:val="nil"/>
              <w:left w:val="nil"/>
              <w:bottom w:val="nil"/>
              <w:right w:val="nil"/>
            </w:tcBorders>
            <w:shd w:val="clear" w:color="auto" w:fill="auto"/>
            <w:noWrap/>
            <w:vAlign w:val="center"/>
            <w:hideMark/>
          </w:tcPr>
          <w:p w14:paraId="3835677E" w14:textId="77777777" w:rsidR="00BA16C4" w:rsidRPr="00284508" w:rsidRDefault="00BA16C4" w:rsidP="00B57600">
            <w:pPr>
              <w:spacing w:line="240" w:lineRule="auto"/>
              <w:rPr>
                <w:color w:val="000000"/>
              </w:rPr>
            </w:pPr>
            <w:r w:rsidRPr="00284508">
              <w:rPr>
                <w:color w:val="000000"/>
              </w:rPr>
              <w:t>West Bromwich</w:t>
            </w:r>
          </w:p>
        </w:tc>
        <w:tc>
          <w:tcPr>
            <w:tcW w:w="1293" w:type="dxa"/>
            <w:tcBorders>
              <w:top w:val="nil"/>
              <w:left w:val="nil"/>
              <w:bottom w:val="nil"/>
              <w:right w:val="nil"/>
            </w:tcBorders>
            <w:shd w:val="clear" w:color="auto" w:fill="auto"/>
            <w:noWrap/>
            <w:vAlign w:val="center"/>
            <w:hideMark/>
          </w:tcPr>
          <w:p w14:paraId="73D02BDB" w14:textId="77777777" w:rsidR="00BA16C4" w:rsidRPr="00284508" w:rsidRDefault="00BA16C4" w:rsidP="00B57600">
            <w:pPr>
              <w:spacing w:line="240" w:lineRule="auto"/>
              <w:rPr>
                <w:color w:val="000000"/>
              </w:rPr>
            </w:pPr>
            <w:r w:rsidRPr="00284508">
              <w:rPr>
                <w:color w:val="000000"/>
              </w:rPr>
              <w:t>-1.15</w:t>
            </w:r>
          </w:p>
        </w:tc>
        <w:tc>
          <w:tcPr>
            <w:tcW w:w="1110" w:type="dxa"/>
            <w:tcBorders>
              <w:top w:val="nil"/>
              <w:left w:val="nil"/>
              <w:bottom w:val="nil"/>
              <w:right w:val="nil"/>
            </w:tcBorders>
            <w:shd w:val="clear" w:color="auto" w:fill="auto"/>
            <w:noWrap/>
            <w:vAlign w:val="center"/>
            <w:hideMark/>
          </w:tcPr>
          <w:p w14:paraId="142F5DA8" w14:textId="77777777" w:rsidR="00BA16C4" w:rsidRPr="00284508" w:rsidRDefault="00BA16C4" w:rsidP="00B57600">
            <w:pPr>
              <w:spacing w:line="240" w:lineRule="auto"/>
              <w:rPr>
                <w:color w:val="000000"/>
              </w:rPr>
            </w:pPr>
            <w:r w:rsidRPr="00284508">
              <w:rPr>
                <w:color w:val="000000"/>
              </w:rPr>
              <w:t>-0.98</w:t>
            </w:r>
          </w:p>
        </w:tc>
        <w:tc>
          <w:tcPr>
            <w:tcW w:w="1140" w:type="dxa"/>
            <w:tcBorders>
              <w:top w:val="nil"/>
              <w:left w:val="nil"/>
              <w:bottom w:val="nil"/>
              <w:right w:val="nil"/>
            </w:tcBorders>
            <w:shd w:val="clear" w:color="auto" w:fill="auto"/>
            <w:noWrap/>
            <w:vAlign w:val="center"/>
            <w:hideMark/>
          </w:tcPr>
          <w:p w14:paraId="7828BB7D" w14:textId="77777777" w:rsidR="00BA16C4" w:rsidRPr="00284508" w:rsidRDefault="00BA16C4" w:rsidP="00B57600">
            <w:pPr>
              <w:spacing w:line="240" w:lineRule="auto"/>
              <w:rPr>
                <w:color w:val="000000"/>
              </w:rPr>
            </w:pPr>
            <w:r w:rsidRPr="00284508">
              <w:rPr>
                <w:color w:val="000000"/>
              </w:rPr>
              <w:t>-0.67</w:t>
            </w:r>
          </w:p>
        </w:tc>
        <w:tc>
          <w:tcPr>
            <w:tcW w:w="1110" w:type="dxa"/>
            <w:tcBorders>
              <w:top w:val="nil"/>
              <w:left w:val="nil"/>
              <w:bottom w:val="nil"/>
              <w:right w:val="nil"/>
            </w:tcBorders>
            <w:shd w:val="clear" w:color="auto" w:fill="auto"/>
            <w:noWrap/>
            <w:vAlign w:val="center"/>
            <w:hideMark/>
          </w:tcPr>
          <w:p w14:paraId="4DAD92DC" w14:textId="77777777" w:rsidR="00BA16C4" w:rsidRPr="00284508" w:rsidRDefault="00BA16C4" w:rsidP="00B57600">
            <w:pPr>
              <w:spacing w:line="240" w:lineRule="auto"/>
              <w:rPr>
                <w:color w:val="000000"/>
              </w:rPr>
            </w:pPr>
            <w:r w:rsidRPr="00284508">
              <w:rPr>
                <w:color w:val="000000"/>
              </w:rPr>
              <w:t>-0.15</w:t>
            </w:r>
          </w:p>
        </w:tc>
        <w:tc>
          <w:tcPr>
            <w:tcW w:w="963" w:type="dxa"/>
            <w:tcBorders>
              <w:top w:val="nil"/>
              <w:left w:val="nil"/>
              <w:bottom w:val="nil"/>
              <w:right w:val="nil"/>
            </w:tcBorders>
            <w:shd w:val="clear" w:color="auto" w:fill="auto"/>
            <w:noWrap/>
            <w:vAlign w:val="center"/>
            <w:hideMark/>
          </w:tcPr>
          <w:p w14:paraId="16E7E3DB" w14:textId="77777777" w:rsidR="00BA16C4" w:rsidRPr="00284508" w:rsidRDefault="00BA16C4" w:rsidP="00B57600">
            <w:pPr>
              <w:spacing w:line="240" w:lineRule="auto"/>
              <w:rPr>
                <w:color w:val="000000"/>
              </w:rPr>
            </w:pPr>
            <w:r w:rsidRPr="00284508">
              <w:rPr>
                <w:color w:val="000000"/>
              </w:rPr>
              <w:t>0.66</w:t>
            </w:r>
          </w:p>
        </w:tc>
        <w:tc>
          <w:tcPr>
            <w:tcW w:w="1167" w:type="dxa"/>
            <w:tcBorders>
              <w:top w:val="nil"/>
              <w:left w:val="nil"/>
              <w:bottom w:val="nil"/>
              <w:right w:val="nil"/>
            </w:tcBorders>
            <w:shd w:val="clear" w:color="auto" w:fill="auto"/>
            <w:noWrap/>
            <w:vAlign w:val="center"/>
            <w:hideMark/>
          </w:tcPr>
          <w:p w14:paraId="591D0B8B" w14:textId="77777777" w:rsidR="00BA16C4" w:rsidRPr="00284508" w:rsidRDefault="00BA16C4" w:rsidP="00B57600">
            <w:pPr>
              <w:spacing w:line="240" w:lineRule="auto"/>
              <w:rPr>
                <w:color w:val="000000"/>
              </w:rPr>
            </w:pPr>
            <w:r w:rsidRPr="00284508">
              <w:rPr>
                <w:color w:val="000000"/>
              </w:rPr>
              <w:t>-0.44</w:t>
            </w:r>
          </w:p>
        </w:tc>
        <w:tc>
          <w:tcPr>
            <w:tcW w:w="1219" w:type="dxa"/>
            <w:tcBorders>
              <w:top w:val="nil"/>
              <w:left w:val="nil"/>
              <w:bottom w:val="nil"/>
              <w:right w:val="nil"/>
            </w:tcBorders>
            <w:shd w:val="clear" w:color="auto" w:fill="auto"/>
            <w:noWrap/>
            <w:vAlign w:val="center"/>
            <w:hideMark/>
          </w:tcPr>
          <w:p w14:paraId="4A50BC2C" w14:textId="77777777" w:rsidR="00BA16C4" w:rsidRPr="00284508" w:rsidRDefault="00BA16C4" w:rsidP="00B57600">
            <w:pPr>
              <w:spacing w:line="240" w:lineRule="auto"/>
              <w:rPr>
                <w:color w:val="000000"/>
              </w:rPr>
            </w:pPr>
            <w:r w:rsidRPr="00284508">
              <w:rPr>
                <w:color w:val="000000"/>
              </w:rPr>
              <w:t>-0.21</w:t>
            </w:r>
          </w:p>
        </w:tc>
      </w:tr>
      <w:tr w:rsidR="00BA16C4" w:rsidRPr="00284508" w14:paraId="2309DC54" w14:textId="77777777" w:rsidTr="00B57600">
        <w:trPr>
          <w:trHeight w:val="330"/>
        </w:trPr>
        <w:tc>
          <w:tcPr>
            <w:tcW w:w="1497" w:type="dxa"/>
            <w:tcBorders>
              <w:top w:val="nil"/>
              <w:left w:val="nil"/>
              <w:bottom w:val="single" w:sz="8" w:space="0" w:color="auto"/>
              <w:right w:val="nil"/>
            </w:tcBorders>
            <w:shd w:val="clear" w:color="auto" w:fill="auto"/>
            <w:noWrap/>
            <w:vAlign w:val="center"/>
            <w:hideMark/>
          </w:tcPr>
          <w:p w14:paraId="0AC509C1" w14:textId="77777777" w:rsidR="00BA16C4" w:rsidRPr="00284508" w:rsidRDefault="00BA16C4" w:rsidP="00B57600">
            <w:pPr>
              <w:spacing w:line="240" w:lineRule="auto"/>
              <w:rPr>
                <w:color w:val="000000"/>
              </w:rPr>
            </w:pPr>
            <w:r w:rsidRPr="00284508">
              <w:rPr>
                <w:color w:val="000000"/>
              </w:rPr>
              <w:t>West Ham</w:t>
            </w:r>
          </w:p>
        </w:tc>
        <w:tc>
          <w:tcPr>
            <w:tcW w:w="1293" w:type="dxa"/>
            <w:tcBorders>
              <w:top w:val="nil"/>
              <w:left w:val="nil"/>
              <w:bottom w:val="single" w:sz="8" w:space="0" w:color="auto"/>
              <w:right w:val="nil"/>
            </w:tcBorders>
            <w:shd w:val="clear" w:color="auto" w:fill="auto"/>
            <w:noWrap/>
            <w:vAlign w:val="center"/>
            <w:hideMark/>
          </w:tcPr>
          <w:p w14:paraId="4413D66D" w14:textId="77777777" w:rsidR="00BA16C4" w:rsidRPr="00284508" w:rsidRDefault="00BA16C4" w:rsidP="00B57600">
            <w:pPr>
              <w:spacing w:line="240" w:lineRule="auto"/>
              <w:rPr>
                <w:color w:val="000000"/>
              </w:rPr>
            </w:pPr>
            <w:r w:rsidRPr="00284508">
              <w:rPr>
                <w:color w:val="000000"/>
              </w:rPr>
              <w:t>-1.01</w:t>
            </w:r>
          </w:p>
        </w:tc>
        <w:tc>
          <w:tcPr>
            <w:tcW w:w="1110" w:type="dxa"/>
            <w:tcBorders>
              <w:top w:val="nil"/>
              <w:left w:val="nil"/>
              <w:bottom w:val="single" w:sz="8" w:space="0" w:color="auto"/>
              <w:right w:val="nil"/>
            </w:tcBorders>
            <w:shd w:val="clear" w:color="auto" w:fill="auto"/>
            <w:noWrap/>
            <w:vAlign w:val="center"/>
            <w:hideMark/>
          </w:tcPr>
          <w:p w14:paraId="4815FEF8" w14:textId="77777777" w:rsidR="00BA16C4" w:rsidRPr="00284508" w:rsidRDefault="00BA16C4" w:rsidP="00B57600">
            <w:pPr>
              <w:spacing w:line="240" w:lineRule="auto"/>
              <w:rPr>
                <w:color w:val="000000"/>
              </w:rPr>
            </w:pPr>
            <w:r w:rsidRPr="00284508">
              <w:rPr>
                <w:color w:val="000000"/>
              </w:rPr>
              <w:t>-0.40</w:t>
            </w:r>
          </w:p>
        </w:tc>
        <w:tc>
          <w:tcPr>
            <w:tcW w:w="1140" w:type="dxa"/>
            <w:tcBorders>
              <w:top w:val="nil"/>
              <w:left w:val="nil"/>
              <w:bottom w:val="single" w:sz="8" w:space="0" w:color="auto"/>
              <w:right w:val="nil"/>
            </w:tcBorders>
            <w:shd w:val="clear" w:color="auto" w:fill="auto"/>
            <w:noWrap/>
            <w:vAlign w:val="center"/>
            <w:hideMark/>
          </w:tcPr>
          <w:p w14:paraId="0EE3551A" w14:textId="77777777" w:rsidR="00BA16C4" w:rsidRPr="00284508" w:rsidRDefault="00BA16C4" w:rsidP="00B57600">
            <w:pPr>
              <w:spacing w:line="240" w:lineRule="auto"/>
              <w:rPr>
                <w:color w:val="000000"/>
              </w:rPr>
            </w:pPr>
            <w:r w:rsidRPr="00284508">
              <w:rPr>
                <w:color w:val="000000"/>
              </w:rPr>
              <w:t>-2.25</w:t>
            </w:r>
          </w:p>
        </w:tc>
        <w:tc>
          <w:tcPr>
            <w:tcW w:w="1110" w:type="dxa"/>
            <w:tcBorders>
              <w:top w:val="nil"/>
              <w:left w:val="nil"/>
              <w:bottom w:val="single" w:sz="8" w:space="0" w:color="auto"/>
              <w:right w:val="nil"/>
            </w:tcBorders>
            <w:shd w:val="clear" w:color="auto" w:fill="auto"/>
            <w:noWrap/>
            <w:vAlign w:val="center"/>
            <w:hideMark/>
          </w:tcPr>
          <w:p w14:paraId="4244743A" w14:textId="77777777" w:rsidR="00BA16C4" w:rsidRPr="00284508" w:rsidRDefault="00BA16C4" w:rsidP="00B57600">
            <w:pPr>
              <w:spacing w:line="240" w:lineRule="auto"/>
              <w:rPr>
                <w:color w:val="000000"/>
              </w:rPr>
            </w:pPr>
            <w:r w:rsidRPr="00284508">
              <w:rPr>
                <w:color w:val="000000"/>
              </w:rPr>
              <w:t>-0.90</w:t>
            </w:r>
          </w:p>
        </w:tc>
        <w:tc>
          <w:tcPr>
            <w:tcW w:w="963" w:type="dxa"/>
            <w:tcBorders>
              <w:top w:val="nil"/>
              <w:left w:val="nil"/>
              <w:bottom w:val="single" w:sz="8" w:space="0" w:color="auto"/>
              <w:right w:val="nil"/>
            </w:tcBorders>
            <w:shd w:val="clear" w:color="auto" w:fill="auto"/>
            <w:noWrap/>
            <w:vAlign w:val="center"/>
            <w:hideMark/>
          </w:tcPr>
          <w:p w14:paraId="572BAE3C" w14:textId="77777777" w:rsidR="00BA16C4" w:rsidRPr="00284508" w:rsidRDefault="00BA16C4" w:rsidP="00B57600">
            <w:pPr>
              <w:spacing w:line="240" w:lineRule="auto"/>
              <w:rPr>
                <w:color w:val="000000"/>
              </w:rPr>
            </w:pPr>
            <w:r w:rsidRPr="00284508">
              <w:rPr>
                <w:color w:val="000000"/>
              </w:rPr>
              <w:t>0.20</w:t>
            </w:r>
          </w:p>
        </w:tc>
        <w:tc>
          <w:tcPr>
            <w:tcW w:w="1167" w:type="dxa"/>
            <w:tcBorders>
              <w:top w:val="nil"/>
              <w:left w:val="nil"/>
              <w:bottom w:val="single" w:sz="8" w:space="0" w:color="auto"/>
              <w:right w:val="nil"/>
            </w:tcBorders>
            <w:shd w:val="clear" w:color="auto" w:fill="auto"/>
            <w:noWrap/>
            <w:vAlign w:val="center"/>
            <w:hideMark/>
          </w:tcPr>
          <w:p w14:paraId="41C8137B" w14:textId="77777777" w:rsidR="00BA16C4" w:rsidRPr="00284508" w:rsidRDefault="00BA16C4" w:rsidP="00B57600">
            <w:pPr>
              <w:spacing w:line="240" w:lineRule="auto"/>
              <w:rPr>
                <w:color w:val="000000"/>
              </w:rPr>
            </w:pPr>
            <w:r w:rsidRPr="00284508">
              <w:rPr>
                <w:color w:val="000000"/>
              </w:rPr>
              <w:t>-1.54</w:t>
            </w:r>
          </w:p>
        </w:tc>
        <w:tc>
          <w:tcPr>
            <w:tcW w:w="1219" w:type="dxa"/>
            <w:tcBorders>
              <w:top w:val="nil"/>
              <w:left w:val="nil"/>
              <w:bottom w:val="single" w:sz="8" w:space="0" w:color="auto"/>
              <w:right w:val="nil"/>
            </w:tcBorders>
            <w:shd w:val="clear" w:color="auto" w:fill="auto"/>
            <w:noWrap/>
            <w:vAlign w:val="center"/>
            <w:hideMark/>
          </w:tcPr>
          <w:p w14:paraId="33A02DCD" w14:textId="77777777" w:rsidR="00BA16C4" w:rsidRPr="00284508" w:rsidRDefault="00BA16C4" w:rsidP="00B57600">
            <w:pPr>
              <w:spacing w:line="240" w:lineRule="auto"/>
              <w:rPr>
                <w:color w:val="000000"/>
              </w:rPr>
            </w:pPr>
            <w:r w:rsidRPr="00284508">
              <w:rPr>
                <w:color w:val="000000"/>
              </w:rPr>
              <w:t>0.07</w:t>
            </w:r>
          </w:p>
        </w:tc>
      </w:tr>
    </w:tbl>
    <w:p w14:paraId="4C564799" w14:textId="77777777" w:rsidR="00BA16C4" w:rsidRDefault="00BA16C4" w:rsidP="00BA16C4">
      <w:pPr>
        <w:pStyle w:val="Paragraph"/>
        <w:jc w:val="both"/>
      </w:pPr>
      <w:r>
        <w:t>Note. The first six columns are the standardised pass density and precision for each of the three zones of play (defence, midfield, and attack). The last column reports the standardised ability to score with respect to the number of attempts. Pass density is the standardised ratio of passes made per minute of possession. Pass precision is the standardised percentage of correct passes. Efficiency is the standardised percentage of shots that scored a goal.</w:t>
      </w:r>
    </w:p>
    <w:p w14:paraId="2C33FD61" w14:textId="639A3523" w:rsidR="00BA16C4" w:rsidRDefault="00BA16C4" w:rsidP="00BA16C4">
      <w:pPr>
        <w:pStyle w:val="Newparagraph"/>
      </w:pPr>
    </w:p>
    <w:p w14:paraId="2DF578F3" w14:textId="252FD2B6" w:rsidR="00BA16C4" w:rsidRDefault="00BA16C4" w:rsidP="00BA16C4">
      <w:pPr>
        <w:pStyle w:val="Newparagraph"/>
      </w:pPr>
    </w:p>
    <w:p w14:paraId="36B35188" w14:textId="53032652" w:rsidR="00BA16C4" w:rsidRDefault="00BA16C4" w:rsidP="00BA16C4">
      <w:pPr>
        <w:pStyle w:val="Newparagraph"/>
      </w:pPr>
    </w:p>
    <w:p w14:paraId="3AE1F753" w14:textId="2ED49C6C" w:rsidR="00BA16C4" w:rsidRDefault="00BA16C4" w:rsidP="00BA16C4">
      <w:pPr>
        <w:pStyle w:val="Newparagraph"/>
      </w:pPr>
    </w:p>
    <w:p w14:paraId="2D81A557" w14:textId="5AA772B0" w:rsidR="00BA16C4" w:rsidRDefault="00BA16C4" w:rsidP="00BA16C4">
      <w:pPr>
        <w:pStyle w:val="Newparagraph"/>
      </w:pPr>
    </w:p>
    <w:p w14:paraId="5CF12ED8" w14:textId="77777777" w:rsidR="00BA16C4" w:rsidRPr="008F5158" w:rsidRDefault="00BA16C4" w:rsidP="00BA16C4">
      <w:pPr>
        <w:pStyle w:val="Paragraph"/>
        <w:jc w:val="both"/>
      </w:pPr>
      <w:r w:rsidRPr="008F5158">
        <w:rPr>
          <w:b/>
          <w:bCs/>
        </w:rPr>
        <w:lastRenderedPageBreak/>
        <w:t>Table 2.</w:t>
      </w:r>
      <w:r w:rsidRPr="008F5158">
        <w:t xml:space="preserve"> Correlation matrix reporting all correlation coefficients between the six combinations of the two factors: pass (density and precision) per zone of play (defence, midfield, and attack)</w:t>
      </w:r>
    </w:p>
    <w:p w14:paraId="2B9EEFCF" w14:textId="77777777" w:rsidR="00BA16C4" w:rsidRPr="008F5158" w:rsidRDefault="00BA16C4" w:rsidP="00BA16C4"/>
    <w:tbl>
      <w:tblPr>
        <w:tblW w:w="9026" w:type="dxa"/>
        <w:tblLayout w:type="fixed"/>
        <w:tblLook w:val="04A0" w:firstRow="1" w:lastRow="0" w:firstColumn="1" w:lastColumn="0" w:noHBand="0" w:noVBand="1"/>
      </w:tblPr>
      <w:tblGrid>
        <w:gridCol w:w="1679"/>
        <w:gridCol w:w="1085"/>
        <w:gridCol w:w="1032"/>
        <w:gridCol w:w="1085"/>
        <w:gridCol w:w="1033"/>
        <w:gridCol w:w="1106"/>
        <w:gridCol w:w="921"/>
        <w:gridCol w:w="1085"/>
      </w:tblGrid>
      <w:tr w:rsidR="00BA16C4" w:rsidRPr="008F5158" w14:paraId="47CA4010" w14:textId="77777777" w:rsidTr="00B57600">
        <w:trPr>
          <w:trHeight w:val="315"/>
        </w:trPr>
        <w:tc>
          <w:tcPr>
            <w:tcW w:w="2764" w:type="dxa"/>
            <w:gridSpan w:val="2"/>
            <w:tcBorders>
              <w:top w:val="nil"/>
              <w:left w:val="nil"/>
              <w:bottom w:val="nil"/>
              <w:right w:val="single" w:sz="8" w:space="0" w:color="000000"/>
            </w:tcBorders>
            <w:shd w:val="clear" w:color="auto" w:fill="auto"/>
            <w:noWrap/>
            <w:vAlign w:val="bottom"/>
            <w:hideMark/>
          </w:tcPr>
          <w:p w14:paraId="0B629BCA" w14:textId="77777777" w:rsidR="00BA16C4" w:rsidRPr="008F5158" w:rsidRDefault="00BA16C4" w:rsidP="00B57600">
            <w:pPr>
              <w:spacing w:line="240" w:lineRule="auto"/>
              <w:rPr>
                <w:sz w:val="20"/>
                <w:szCs w:val="20"/>
              </w:rPr>
            </w:pPr>
          </w:p>
        </w:tc>
        <w:tc>
          <w:tcPr>
            <w:tcW w:w="1032" w:type="dxa"/>
            <w:tcBorders>
              <w:top w:val="nil"/>
              <w:left w:val="nil"/>
              <w:bottom w:val="nil"/>
              <w:right w:val="nil"/>
            </w:tcBorders>
            <w:shd w:val="clear" w:color="auto" w:fill="auto"/>
            <w:noWrap/>
            <w:vAlign w:val="center"/>
            <w:hideMark/>
          </w:tcPr>
          <w:p w14:paraId="60FF41B6" w14:textId="77777777" w:rsidR="00BA16C4" w:rsidRPr="008F5158" w:rsidRDefault="00BA16C4" w:rsidP="00B57600">
            <w:pPr>
              <w:spacing w:line="240" w:lineRule="auto"/>
              <w:jc w:val="both"/>
            </w:pPr>
            <w:r w:rsidRPr="008F5158">
              <w:t>Defence</w:t>
            </w:r>
          </w:p>
        </w:tc>
        <w:tc>
          <w:tcPr>
            <w:tcW w:w="1085" w:type="dxa"/>
            <w:tcBorders>
              <w:top w:val="nil"/>
              <w:left w:val="nil"/>
              <w:bottom w:val="nil"/>
              <w:right w:val="nil"/>
            </w:tcBorders>
            <w:shd w:val="clear" w:color="auto" w:fill="auto"/>
            <w:noWrap/>
            <w:vAlign w:val="bottom"/>
            <w:hideMark/>
          </w:tcPr>
          <w:p w14:paraId="3B88DF33" w14:textId="77777777" w:rsidR="00BA16C4" w:rsidRPr="008F5158" w:rsidRDefault="00BA16C4" w:rsidP="00B57600">
            <w:pPr>
              <w:spacing w:line="240" w:lineRule="auto"/>
              <w:jc w:val="both"/>
            </w:pPr>
          </w:p>
        </w:tc>
        <w:tc>
          <w:tcPr>
            <w:tcW w:w="1033" w:type="dxa"/>
            <w:tcBorders>
              <w:top w:val="nil"/>
              <w:left w:val="nil"/>
              <w:bottom w:val="nil"/>
              <w:right w:val="nil"/>
            </w:tcBorders>
            <w:shd w:val="clear" w:color="auto" w:fill="auto"/>
            <w:noWrap/>
            <w:vAlign w:val="center"/>
            <w:hideMark/>
          </w:tcPr>
          <w:p w14:paraId="0CE77994" w14:textId="77777777" w:rsidR="00BA16C4" w:rsidRPr="008F5158" w:rsidRDefault="00BA16C4" w:rsidP="00B57600">
            <w:pPr>
              <w:spacing w:line="240" w:lineRule="auto"/>
              <w:jc w:val="both"/>
            </w:pPr>
            <w:r w:rsidRPr="008F5158">
              <w:t>Midfield</w:t>
            </w:r>
          </w:p>
        </w:tc>
        <w:tc>
          <w:tcPr>
            <w:tcW w:w="1106" w:type="dxa"/>
            <w:tcBorders>
              <w:top w:val="nil"/>
              <w:left w:val="nil"/>
              <w:bottom w:val="nil"/>
              <w:right w:val="nil"/>
            </w:tcBorders>
            <w:shd w:val="clear" w:color="auto" w:fill="auto"/>
            <w:noWrap/>
            <w:vAlign w:val="bottom"/>
            <w:hideMark/>
          </w:tcPr>
          <w:p w14:paraId="272FD246" w14:textId="77777777" w:rsidR="00BA16C4" w:rsidRPr="008F5158" w:rsidRDefault="00BA16C4" w:rsidP="00B57600">
            <w:pPr>
              <w:spacing w:line="240" w:lineRule="auto"/>
              <w:jc w:val="both"/>
            </w:pPr>
          </w:p>
        </w:tc>
        <w:tc>
          <w:tcPr>
            <w:tcW w:w="921" w:type="dxa"/>
            <w:tcBorders>
              <w:top w:val="nil"/>
              <w:left w:val="nil"/>
              <w:bottom w:val="nil"/>
              <w:right w:val="nil"/>
            </w:tcBorders>
            <w:shd w:val="clear" w:color="auto" w:fill="auto"/>
            <w:noWrap/>
            <w:vAlign w:val="center"/>
            <w:hideMark/>
          </w:tcPr>
          <w:p w14:paraId="70A2810C" w14:textId="77777777" w:rsidR="00BA16C4" w:rsidRPr="008F5158" w:rsidRDefault="00BA16C4" w:rsidP="00B57600">
            <w:pPr>
              <w:spacing w:line="240" w:lineRule="auto"/>
              <w:jc w:val="both"/>
            </w:pPr>
            <w:r w:rsidRPr="008F5158">
              <w:t>Attack</w:t>
            </w:r>
          </w:p>
        </w:tc>
        <w:tc>
          <w:tcPr>
            <w:tcW w:w="1085" w:type="dxa"/>
            <w:tcBorders>
              <w:top w:val="nil"/>
              <w:left w:val="nil"/>
              <w:bottom w:val="nil"/>
              <w:right w:val="nil"/>
            </w:tcBorders>
            <w:shd w:val="clear" w:color="auto" w:fill="auto"/>
            <w:noWrap/>
            <w:vAlign w:val="bottom"/>
            <w:hideMark/>
          </w:tcPr>
          <w:p w14:paraId="253D9D5A" w14:textId="77777777" w:rsidR="00BA16C4" w:rsidRPr="008F5158" w:rsidRDefault="00BA16C4" w:rsidP="00B57600">
            <w:pPr>
              <w:spacing w:line="240" w:lineRule="auto"/>
              <w:jc w:val="both"/>
            </w:pPr>
          </w:p>
        </w:tc>
      </w:tr>
      <w:tr w:rsidR="00BA16C4" w:rsidRPr="008F5158" w14:paraId="52AFDAE6" w14:textId="77777777" w:rsidTr="00B57600">
        <w:trPr>
          <w:trHeight w:val="330"/>
        </w:trPr>
        <w:tc>
          <w:tcPr>
            <w:tcW w:w="1679" w:type="dxa"/>
            <w:tcBorders>
              <w:top w:val="nil"/>
              <w:left w:val="nil"/>
              <w:bottom w:val="single" w:sz="8" w:space="0" w:color="auto"/>
              <w:right w:val="nil"/>
            </w:tcBorders>
            <w:shd w:val="clear" w:color="auto" w:fill="auto"/>
            <w:noWrap/>
            <w:vAlign w:val="bottom"/>
            <w:hideMark/>
          </w:tcPr>
          <w:p w14:paraId="350892C2" w14:textId="77777777" w:rsidR="00BA16C4" w:rsidRPr="008F5158" w:rsidRDefault="00BA16C4" w:rsidP="00B57600">
            <w:pPr>
              <w:spacing w:line="240" w:lineRule="auto"/>
            </w:pPr>
            <w:r w:rsidRPr="008F5158">
              <w:t> </w:t>
            </w:r>
          </w:p>
        </w:tc>
        <w:tc>
          <w:tcPr>
            <w:tcW w:w="1085" w:type="dxa"/>
            <w:tcBorders>
              <w:top w:val="nil"/>
              <w:left w:val="nil"/>
              <w:bottom w:val="single" w:sz="8" w:space="0" w:color="auto"/>
              <w:right w:val="single" w:sz="8" w:space="0" w:color="auto"/>
            </w:tcBorders>
            <w:shd w:val="clear" w:color="auto" w:fill="auto"/>
            <w:noWrap/>
            <w:vAlign w:val="bottom"/>
            <w:hideMark/>
          </w:tcPr>
          <w:p w14:paraId="24F2FA5D" w14:textId="77777777" w:rsidR="00BA16C4" w:rsidRPr="008F5158" w:rsidRDefault="00BA16C4" w:rsidP="00B57600">
            <w:pPr>
              <w:spacing w:line="240" w:lineRule="auto"/>
            </w:pPr>
            <w:r w:rsidRPr="008F5158">
              <w:t> </w:t>
            </w:r>
          </w:p>
        </w:tc>
        <w:tc>
          <w:tcPr>
            <w:tcW w:w="1032" w:type="dxa"/>
            <w:tcBorders>
              <w:top w:val="nil"/>
              <w:left w:val="nil"/>
              <w:bottom w:val="single" w:sz="8" w:space="0" w:color="auto"/>
              <w:right w:val="nil"/>
            </w:tcBorders>
            <w:shd w:val="clear" w:color="auto" w:fill="auto"/>
            <w:noWrap/>
            <w:vAlign w:val="center"/>
            <w:hideMark/>
          </w:tcPr>
          <w:p w14:paraId="187B8C1E" w14:textId="77777777" w:rsidR="00BA16C4" w:rsidRPr="008F5158" w:rsidRDefault="00BA16C4" w:rsidP="00B57600">
            <w:pPr>
              <w:spacing w:line="240" w:lineRule="auto"/>
              <w:jc w:val="both"/>
            </w:pPr>
            <w:r w:rsidRPr="008F5158">
              <w:t>Density</w:t>
            </w:r>
          </w:p>
        </w:tc>
        <w:tc>
          <w:tcPr>
            <w:tcW w:w="1085" w:type="dxa"/>
            <w:tcBorders>
              <w:top w:val="nil"/>
              <w:left w:val="nil"/>
              <w:bottom w:val="single" w:sz="8" w:space="0" w:color="auto"/>
              <w:right w:val="nil"/>
            </w:tcBorders>
            <w:shd w:val="clear" w:color="auto" w:fill="auto"/>
            <w:noWrap/>
            <w:vAlign w:val="center"/>
            <w:hideMark/>
          </w:tcPr>
          <w:p w14:paraId="56BB1591" w14:textId="77777777" w:rsidR="00BA16C4" w:rsidRPr="008F5158" w:rsidRDefault="00BA16C4" w:rsidP="00B57600">
            <w:pPr>
              <w:spacing w:line="240" w:lineRule="auto"/>
              <w:jc w:val="both"/>
            </w:pPr>
            <w:r w:rsidRPr="008F5158">
              <w:t>Precision</w:t>
            </w:r>
          </w:p>
        </w:tc>
        <w:tc>
          <w:tcPr>
            <w:tcW w:w="1033" w:type="dxa"/>
            <w:tcBorders>
              <w:top w:val="nil"/>
              <w:left w:val="nil"/>
              <w:bottom w:val="single" w:sz="8" w:space="0" w:color="auto"/>
              <w:right w:val="nil"/>
            </w:tcBorders>
            <w:shd w:val="clear" w:color="auto" w:fill="auto"/>
            <w:noWrap/>
            <w:vAlign w:val="center"/>
            <w:hideMark/>
          </w:tcPr>
          <w:p w14:paraId="62373E21" w14:textId="77777777" w:rsidR="00BA16C4" w:rsidRPr="008F5158" w:rsidRDefault="00BA16C4" w:rsidP="00B57600">
            <w:pPr>
              <w:spacing w:line="240" w:lineRule="auto"/>
              <w:jc w:val="both"/>
            </w:pPr>
            <w:r w:rsidRPr="008F5158">
              <w:t>Density</w:t>
            </w:r>
          </w:p>
        </w:tc>
        <w:tc>
          <w:tcPr>
            <w:tcW w:w="1106" w:type="dxa"/>
            <w:tcBorders>
              <w:top w:val="nil"/>
              <w:left w:val="nil"/>
              <w:bottom w:val="single" w:sz="8" w:space="0" w:color="auto"/>
              <w:right w:val="nil"/>
            </w:tcBorders>
            <w:shd w:val="clear" w:color="auto" w:fill="auto"/>
            <w:noWrap/>
            <w:vAlign w:val="center"/>
            <w:hideMark/>
          </w:tcPr>
          <w:p w14:paraId="7C576BC0" w14:textId="77777777" w:rsidR="00BA16C4" w:rsidRPr="008F5158" w:rsidRDefault="00BA16C4" w:rsidP="00B57600">
            <w:pPr>
              <w:spacing w:line="240" w:lineRule="auto"/>
              <w:jc w:val="both"/>
            </w:pPr>
            <w:r w:rsidRPr="008F5158">
              <w:t>Precision</w:t>
            </w:r>
          </w:p>
        </w:tc>
        <w:tc>
          <w:tcPr>
            <w:tcW w:w="921" w:type="dxa"/>
            <w:tcBorders>
              <w:top w:val="nil"/>
              <w:left w:val="nil"/>
              <w:bottom w:val="single" w:sz="8" w:space="0" w:color="auto"/>
              <w:right w:val="nil"/>
            </w:tcBorders>
            <w:shd w:val="clear" w:color="auto" w:fill="auto"/>
            <w:noWrap/>
            <w:vAlign w:val="center"/>
            <w:hideMark/>
          </w:tcPr>
          <w:p w14:paraId="40CD96F1" w14:textId="77777777" w:rsidR="00BA16C4" w:rsidRPr="008F5158" w:rsidRDefault="00BA16C4" w:rsidP="00B57600">
            <w:pPr>
              <w:spacing w:line="240" w:lineRule="auto"/>
              <w:jc w:val="both"/>
            </w:pPr>
            <w:r w:rsidRPr="008F5158">
              <w:t>Density</w:t>
            </w:r>
          </w:p>
        </w:tc>
        <w:tc>
          <w:tcPr>
            <w:tcW w:w="1085" w:type="dxa"/>
            <w:tcBorders>
              <w:top w:val="nil"/>
              <w:left w:val="nil"/>
              <w:bottom w:val="single" w:sz="8" w:space="0" w:color="auto"/>
              <w:right w:val="nil"/>
            </w:tcBorders>
            <w:shd w:val="clear" w:color="auto" w:fill="auto"/>
            <w:noWrap/>
            <w:vAlign w:val="center"/>
            <w:hideMark/>
          </w:tcPr>
          <w:p w14:paraId="2A246E80" w14:textId="77777777" w:rsidR="00BA16C4" w:rsidRPr="008F5158" w:rsidRDefault="00BA16C4" w:rsidP="00B57600">
            <w:pPr>
              <w:spacing w:line="240" w:lineRule="auto"/>
              <w:jc w:val="both"/>
            </w:pPr>
            <w:r w:rsidRPr="008F5158">
              <w:t>Precision</w:t>
            </w:r>
          </w:p>
        </w:tc>
      </w:tr>
      <w:tr w:rsidR="00BA16C4" w:rsidRPr="008F5158" w14:paraId="59F16049" w14:textId="77777777" w:rsidTr="00B57600">
        <w:trPr>
          <w:trHeight w:val="315"/>
        </w:trPr>
        <w:tc>
          <w:tcPr>
            <w:tcW w:w="1679" w:type="dxa"/>
            <w:tcBorders>
              <w:top w:val="nil"/>
              <w:left w:val="nil"/>
              <w:bottom w:val="nil"/>
              <w:right w:val="nil"/>
            </w:tcBorders>
            <w:shd w:val="clear" w:color="auto" w:fill="auto"/>
            <w:noWrap/>
            <w:vAlign w:val="center"/>
            <w:hideMark/>
          </w:tcPr>
          <w:p w14:paraId="3F6D7E73" w14:textId="77777777" w:rsidR="00BA16C4" w:rsidRPr="008F5158" w:rsidRDefault="00BA16C4" w:rsidP="00B57600">
            <w:pPr>
              <w:spacing w:line="240" w:lineRule="auto"/>
              <w:jc w:val="both"/>
            </w:pPr>
            <w:r w:rsidRPr="008F5158">
              <w:t>Defence</w:t>
            </w:r>
          </w:p>
        </w:tc>
        <w:tc>
          <w:tcPr>
            <w:tcW w:w="1085" w:type="dxa"/>
            <w:tcBorders>
              <w:top w:val="nil"/>
              <w:left w:val="nil"/>
              <w:bottom w:val="nil"/>
              <w:right w:val="single" w:sz="8" w:space="0" w:color="auto"/>
            </w:tcBorders>
            <w:shd w:val="clear" w:color="auto" w:fill="auto"/>
            <w:noWrap/>
            <w:vAlign w:val="center"/>
            <w:hideMark/>
          </w:tcPr>
          <w:p w14:paraId="6698D3E6" w14:textId="77777777" w:rsidR="00BA16C4" w:rsidRPr="008F5158" w:rsidRDefault="00BA16C4" w:rsidP="00B57600">
            <w:pPr>
              <w:spacing w:line="240" w:lineRule="auto"/>
              <w:jc w:val="both"/>
            </w:pPr>
            <w:r w:rsidRPr="008F5158">
              <w:t>Density</w:t>
            </w:r>
          </w:p>
        </w:tc>
        <w:tc>
          <w:tcPr>
            <w:tcW w:w="1032" w:type="dxa"/>
            <w:tcBorders>
              <w:top w:val="nil"/>
              <w:left w:val="nil"/>
              <w:bottom w:val="nil"/>
              <w:right w:val="nil"/>
            </w:tcBorders>
            <w:shd w:val="clear" w:color="auto" w:fill="auto"/>
            <w:noWrap/>
            <w:vAlign w:val="center"/>
            <w:hideMark/>
          </w:tcPr>
          <w:p w14:paraId="1005FB65" w14:textId="77777777" w:rsidR="00BA16C4" w:rsidRPr="008F5158" w:rsidRDefault="00BA16C4" w:rsidP="00B57600">
            <w:pPr>
              <w:spacing w:line="240" w:lineRule="auto"/>
              <w:jc w:val="both"/>
            </w:pPr>
            <w:r w:rsidRPr="008F5158">
              <w:t>1</w:t>
            </w:r>
          </w:p>
        </w:tc>
        <w:tc>
          <w:tcPr>
            <w:tcW w:w="1085" w:type="dxa"/>
            <w:tcBorders>
              <w:top w:val="nil"/>
              <w:left w:val="nil"/>
              <w:bottom w:val="nil"/>
              <w:right w:val="nil"/>
            </w:tcBorders>
            <w:shd w:val="clear" w:color="auto" w:fill="auto"/>
            <w:noWrap/>
            <w:vAlign w:val="center"/>
            <w:hideMark/>
          </w:tcPr>
          <w:p w14:paraId="508A0731" w14:textId="77777777" w:rsidR="00BA16C4" w:rsidRPr="008F5158" w:rsidRDefault="00BA16C4" w:rsidP="00B57600">
            <w:pPr>
              <w:spacing w:line="240" w:lineRule="auto"/>
              <w:jc w:val="both"/>
            </w:pPr>
            <w:r w:rsidRPr="008F5158">
              <w:t>0.37</w:t>
            </w:r>
          </w:p>
        </w:tc>
        <w:tc>
          <w:tcPr>
            <w:tcW w:w="1033" w:type="dxa"/>
            <w:tcBorders>
              <w:top w:val="nil"/>
              <w:left w:val="nil"/>
              <w:bottom w:val="nil"/>
              <w:right w:val="nil"/>
            </w:tcBorders>
            <w:shd w:val="clear" w:color="auto" w:fill="auto"/>
            <w:noWrap/>
            <w:vAlign w:val="center"/>
            <w:hideMark/>
          </w:tcPr>
          <w:p w14:paraId="5A42B0CD" w14:textId="77777777" w:rsidR="00BA16C4" w:rsidRPr="008F5158" w:rsidRDefault="00BA16C4" w:rsidP="00B57600">
            <w:pPr>
              <w:spacing w:line="240" w:lineRule="auto"/>
              <w:jc w:val="both"/>
            </w:pPr>
            <w:r w:rsidRPr="008F5158">
              <w:t>0.29</w:t>
            </w:r>
          </w:p>
        </w:tc>
        <w:tc>
          <w:tcPr>
            <w:tcW w:w="1106" w:type="dxa"/>
            <w:tcBorders>
              <w:top w:val="nil"/>
              <w:left w:val="nil"/>
              <w:bottom w:val="nil"/>
              <w:right w:val="nil"/>
            </w:tcBorders>
            <w:shd w:val="clear" w:color="auto" w:fill="auto"/>
            <w:noWrap/>
            <w:vAlign w:val="center"/>
            <w:hideMark/>
          </w:tcPr>
          <w:p w14:paraId="4B8585AF" w14:textId="77777777" w:rsidR="00BA16C4" w:rsidRPr="008F5158" w:rsidRDefault="00BA16C4" w:rsidP="00B57600">
            <w:pPr>
              <w:spacing w:line="240" w:lineRule="auto"/>
              <w:jc w:val="both"/>
            </w:pPr>
            <w:r w:rsidRPr="008F5158">
              <w:t>0.19</w:t>
            </w:r>
          </w:p>
        </w:tc>
        <w:tc>
          <w:tcPr>
            <w:tcW w:w="921" w:type="dxa"/>
            <w:tcBorders>
              <w:top w:val="nil"/>
              <w:left w:val="nil"/>
              <w:bottom w:val="nil"/>
              <w:right w:val="nil"/>
            </w:tcBorders>
            <w:shd w:val="clear" w:color="auto" w:fill="auto"/>
            <w:noWrap/>
            <w:vAlign w:val="center"/>
            <w:hideMark/>
          </w:tcPr>
          <w:p w14:paraId="5C6662EA" w14:textId="77777777" w:rsidR="00BA16C4" w:rsidRPr="008F5158" w:rsidRDefault="00BA16C4" w:rsidP="00B57600">
            <w:pPr>
              <w:spacing w:line="240" w:lineRule="auto"/>
              <w:jc w:val="both"/>
            </w:pPr>
            <w:r w:rsidRPr="008F5158">
              <w:t>-0.45</w:t>
            </w:r>
          </w:p>
        </w:tc>
        <w:tc>
          <w:tcPr>
            <w:tcW w:w="1085" w:type="dxa"/>
            <w:tcBorders>
              <w:top w:val="nil"/>
              <w:left w:val="nil"/>
              <w:bottom w:val="nil"/>
              <w:right w:val="nil"/>
            </w:tcBorders>
            <w:shd w:val="clear" w:color="auto" w:fill="auto"/>
            <w:noWrap/>
            <w:vAlign w:val="center"/>
            <w:hideMark/>
          </w:tcPr>
          <w:p w14:paraId="5EED8AC4" w14:textId="77777777" w:rsidR="00BA16C4" w:rsidRPr="008F5158" w:rsidRDefault="00BA16C4" w:rsidP="00B57600">
            <w:pPr>
              <w:spacing w:line="240" w:lineRule="auto"/>
              <w:jc w:val="both"/>
            </w:pPr>
            <w:r w:rsidRPr="008F5158">
              <w:t>0.13</w:t>
            </w:r>
          </w:p>
        </w:tc>
      </w:tr>
      <w:tr w:rsidR="00BA16C4" w:rsidRPr="008F5158" w14:paraId="6AA5C023" w14:textId="77777777" w:rsidTr="00B57600">
        <w:trPr>
          <w:trHeight w:val="315"/>
        </w:trPr>
        <w:tc>
          <w:tcPr>
            <w:tcW w:w="1679" w:type="dxa"/>
            <w:tcBorders>
              <w:top w:val="nil"/>
              <w:left w:val="nil"/>
              <w:bottom w:val="nil"/>
              <w:right w:val="nil"/>
            </w:tcBorders>
            <w:shd w:val="clear" w:color="auto" w:fill="auto"/>
            <w:noWrap/>
            <w:vAlign w:val="bottom"/>
            <w:hideMark/>
          </w:tcPr>
          <w:p w14:paraId="1C07BD9E" w14:textId="77777777" w:rsidR="00BA16C4" w:rsidRPr="008F5158" w:rsidRDefault="00BA16C4" w:rsidP="00B57600">
            <w:pPr>
              <w:spacing w:line="240" w:lineRule="auto"/>
              <w:jc w:val="both"/>
            </w:pPr>
          </w:p>
        </w:tc>
        <w:tc>
          <w:tcPr>
            <w:tcW w:w="1085" w:type="dxa"/>
            <w:tcBorders>
              <w:top w:val="nil"/>
              <w:left w:val="nil"/>
              <w:bottom w:val="nil"/>
              <w:right w:val="single" w:sz="8" w:space="0" w:color="auto"/>
            </w:tcBorders>
            <w:shd w:val="clear" w:color="auto" w:fill="auto"/>
            <w:noWrap/>
            <w:vAlign w:val="center"/>
            <w:hideMark/>
          </w:tcPr>
          <w:p w14:paraId="70021BDB" w14:textId="77777777" w:rsidR="00BA16C4" w:rsidRPr="008F5158" w:rsidRDefault="00BA16C4" w:rsidP="00B57600">
            <w:pPr>
              <w:spacing w:line="240" w:lineRule="auto"/>
              <w:jc w:val="both"/>
            </w:pPr>
            <w:r w:rsidRPr="008F5158">
              <w:t>Precision</w:t>
            </w:r>
          </w:p>
        </w:tc>
        <w:tc>
          <w:tcPr>
            <w:tcW w:w="1032" w:type="dxa"/>
            <w:tcBorders>
              <w:top w:val="nil"/>
              <w:left w:val="nil"/>
              <w:bottom w:val="nil"/>
              <w:right w:val="nil"/>
            </w:tcBorders>
            <w:shd w:val="clear" w:color="auto" w:fill="auto"/>
            <w:noWrap/>
            <w:vAlign w:val="center"/>
            <w:hideMark/>
          </w:tcPr>
          <w:p w14:paraId="1BF38903" w14:textId="77777777" w:rsidR="00BA16C4" w:rsidRPr="008F5158" w:rsidRDefault="00BA16C4" w:rsidP="00B57600">
            <w:pPr>
              <w:spacing w:line="240" w:lineRule="auto"/>
              <w:jc w:val="both"/>
            </w:pPr>
            <w:r w:rsidRPr="008F5158">
              <w:t>0.37</w:t>
            </w:r>
          </w:p>
        </w:tc>
        <w:tc>
          <w:tcPr>
            <w:tcW w:w="1085" w:type="dxa"/>
            <w:tcBorders>
              <w:top w:val="nil"/>
              <w:left w:val="nil"/>
              <w:bottom w:val="nil"/>
              <w:right w:val="nil"/>
            </w:tcBorders>
            <w:shd w:val="clear" w:color="auto" w:fill="auto"/>
            <w:noWrap/>
            <w:vAlign w:val="center"/>
            <w:hideMark/>
          </w:tcPr>
          <w:p w14:paraId="68DBF3A8" w14:textId="77777777" w:rsidR="00BA16C4" w:rsidRPr="008F5158" w:rsidRDefault="00BA16C4" w:rsidP="00B57600">
            <w:pPr>
              <w:spacing w:line="240" w:lineRule="auto"/>
              <w:jc w:val="both"/>
            </w:pPr>
            <w:r w:rsidRPr="008F5158">
              <w:t>1</w:t>
            </w:r>
          </w:p>
        </w:tc>
        <w:tc>
          <w:tcPr>
            <w:tcW w:w="1033" w:type="dxa"/>
            <w:tcBorders>
              <w:top w:val="nil"/>
              <w:left w:val="nil"/>
              <w:bottom w:val="nil"/>
              <w:right w:val="nil"/>
            </w:tcBorders>
            <w:shd w:val="clear" w:color="auto" w:fill="auto"/>
            <w:noWrap/>
            <w:vAlign w:val="center"/>
            <w:hideMark/>
          </w:tcPr>
          <w:p w14:paraId="591F5D61" w14:textId="77777777" w:rsidR="00BA16C4" w:rsidRPr="008F5158" w:rsidRDefault="00BA16C4" w:rsidP="00B57600">
            <w:pPr>
              <w:spacing w:line="240" w:lineRule="auto"/>
              <w:jc w:val="both"/>
            </w:pPr>
            <w:r w:rsidRPr="008F5158">
              <w:t>0.44</w:t>
            </w:r>
          </w:p>
        </w:tc>
        <w:tc>
          <w:tcPr>
            <w:tcW w:w="1106" w:type="dxa"/>
            <w:tcBorders>
              <w:top w:val="nil"/>
              <w:left w:val="nil"/>
              <w:bottom w:val="nil"/>
              <w:right w:val="nil"/>
            </w:tcBorders>
            <w:shd w:val="clear" w:color="auto" w:fill="auto"/>
            <w:noWrap/>
            <w:vAlign w:val="center"/>
            <w:hideMark/>
          </w:tcPr>
          <w:p w14:paraId="234E3AEA" w14:textId="77777777" w:rsidR="00BA16C4" w:rsidRPr="008F5158" w:rsidRDefault="00BA16C4" w:rsidP="00B57600">
            <w:pPr>
              <w:spacing w:line="240" w:lineRule="auto"/>
              <w:jc w:val="both"/>
            </w:pPr>
            <w:r w:rsidRPr="008F5158">
              <w:t>0.85</w:t>
            </w:r>
          </w:p>
        </w:tc>
        <w:tc>
          <w:tcPr>
            <w:tcW w:w="921" w:type="dxa"/>
            <w:tcBorders>
              <w:top w:val="nil"/>
              <w:left w:val="nil"/>
              <w:bottom w:val="nil"/>
              <w:right w:val="nil"/>
            </w:tcBorders>
            <w:shd w:val="clear" w:color="auto" w:fill="auto"/>
            <w:noWrap/>
            <w:vAlign w:val="center"/>
            <w:hideMark/>
          </w:tcPr>
          <w:p w14:paraId="0B36F356" w14:textId="77777777" w:rsidR="00BA16C4" w:rsidRPr="008F5158" w:rsidRDefault="00BA16C4" w:rsidP="00B57600">
            <w:pPr>
              <w:spacing w:line="240" w:lineRule="auto"/>
              <w:jc w:val="both"/>
            </w:pPr>
            <w:r w:rsidRPr="008F5158">
              <w:t>0.07</w:t>
            </w:r>
          </w:p>
        </w:tc>
        <w:tc>
          <w:tcPr>
            <w:tcW w:w="1085" w:type="dxa"/>
            <w:tcBorders>
              <w:top w:val="nil"/>
              <w:left w:val="nil"/>
              <w:bottom w:val="nil"/>
              <w:right w:val="nil"/>
            </w:tcBorders>
            <w:shd w:val="clear" w:color="auto" w:fill="auto"/>
            <w:noWrap/>
            <w:vAlign w:val="center"/>
            <w:hideMark/>
          </w:tcPr>
          <w:p w14:paraId="5621D2ED" w14:textId="77777777" w:rsidR="00BA16C4" w:rsidRPr="008F5158" w:rsidRDefault="00BA16C4" w:rsidP="00B57600">
            <w:pPr>
              <w:spacing w:line="240" w:lineRule="auto"/>
              <w:jc w:val="both"/>
            </w:pPr>
            <w:r w:rsidRPr="008F5158">
              <w:t>0.73</w:t>
            </w:r>
          </w:p>
        </w:tc>
      </w:tr>
      <w:tr w:rsidR="00BA16C4" w:rsidRPr="008F5158" w14:paraId="3EC11554" w14:textId="77777777" w:rsidTr="00B57600">
        <w:trPr>
          <w:trHeight w:val="315"/>
        </w:trPr>
        <w:tc>
          <w:tcPr>
            <w:tcW w:w="1679" w:type="dxa"/>
            <w:tcBorders>
              <w:top w:val="nil"/>
              <w:left w:val="nil"/>
              <w:bottom w:val="nil"/>
              <w:right w:val="nil"/>
            </w:tcBorders>
            <w:shd w:val="clear" w:color="auto" w:fill="auto"/>
            <w:noWrap/>
            <w:vAlign w:val="center"/>
            <w:hideMark/>
          </w:tcPr>
          <w:p w14:paraId="73C8EA16" w14:textId="77777777" w:rsidR="00BA16C4" w:rsidRPr="008F5158" w:rsidRDefault="00BA16C4" w:rsidP="00B57600">
            <w:pPr>
              <w:spacing w:line="240" w:lineRule="auto"/>
              <w:jc w:val="both"/>
            </w:pPr>
            <w:r w:rsidRPr="008F5158">
              <w:t>Midfield</w:t>
            </w:r>
          </w:p>
        </w:tc>
        <w:tc>
          <w:tcPr>
            <w:tcW w:w="1085" w:type="dxa"/>
            <w:tcBorders>
              <w:top w:val="nil"/>
              <w:left w:val="nil"/>
              <w:bottom w:val="nil"/>
              <w:right w:val="single" w:sz="8" w:space="0" w:color="auto"/>
            </w:tcBorders>
            <w:shd w:val="clear" w:color="auto" w:fill="auto"/>
            <w:noWrap/>
            <w:vAlign w:val="center"/>
            <w:hideMark/>
          </w:tcPr>
          <w:p w14:paraId="7DC932FE" w14:textId="77777777" w:rsidR="00BA16C4" w:rsidRPr="008F5158" w:rsidRDefault="00BA16C4" w:rsidP="00B57600">
            <w:pPr>
              <w:spacing w:line="240" w:lineRule="auto"/>
              <w:jc w:val="both"/>
            </w:pPr>
            <w:r w:rsidRPr="008F5158">
              <w:t>Density</w:t>
            </w:r>
          </w:p>
        </w:tc>
        <w:tc>
          <w:tcPr>
            <w:tcW w:w="1032" w:type="dxa"/>
            <w:tcBorders>
              <w:top w:val="nil"/>
              <w:left w:val="nil"/>
              <w:bottom w:val="nil"/>
              <w:right w:val="nil"/>
            </w:tcBorders>
            <w:shd w:val="clear" w:color="auto" w:fill="auto"/>
            <w:noWrap/>
            <w:vAlign w:val="center"/>
            <w:hideMark/>
          </w:tcPr>
          <w:p w14:paraId="2AB634C8" w14:textId="77777777" w:rsidR="00BA16C4" w:rsidRPr="008F5158" w:rsidRDefault="00BA16C4" w:rsidP="00B57600">
            <w:pPr>
              <w:spacing w:line="240" w:lineRule="auto"/>
              <w:jc w:val="both"/>
            </w:pPr>
            <w:r w:rsidRPr="008F5158">
              <w:t>0.29</w:t>
            </w:r>
          </w:p>
        </w:tc>
        <w:tc>
          <w:tcPr>
            <w:tcW w:w="1085" w:type="dxa"/>
            <w:tcBorders>
              <w:top w:val="nil"/>
              <w:left w:val="nil"/>
              <w:bottom w:val="nil"/>
              <w:right w:val="nil"/>
            </w:tcBorders>
            <w:shd w:val="clear" w:color="auto" w:fill="auto"/>
            <w:noWrap/>
            <w:vAlign w:val="center"/>
            <w:hideMark/>
          </w:tcPr>
          <w:p w14:paraId="2B13B5E6" w14:textId="77777777" w:rsidR="00BA16C4" w:rsidRPr="008F5158" w:rsidRDefault="00BA16C4" w:rsidP="00B57600">
            <w:pPr>
              <w:spacing w:line="240" w:lineRule="auto"/>
              <w:jc w:val="both"/>
            </w:pPr>
            <w:r w:rsidRPr="008F5158">
              <w:t>0.44</w:t>
            </w:r>
          </w:p>
        </w:tc>
        <w:tc>
          <w:tcPr>
            <w:tcW w:w="1033" w:type="dxa"/>
            <w:tcBorders>
              <w:top w:val="nil"/>
              <w:left w:val="nil"/>
              <w:bottom w:val="nil"/>
              <w:right w:val="nil"/>
            </w:tcBorders>
            <w:shd w:val="clear" w:color="auto" w:fill="auto"/>
            <w:noWrap/>
            <w:vAlign w:val="center"/>
            <w:hideMark/>
          </w:tcPr>
          <w:p w14:paraId="2E35F8D8" w14:textId="77777777" w:rsidR="00BA16C4" w:rsidRPr="008F5158" w:rsidRDefault="00BA16C4" w:rsidP="00B57600">
            <w:pPr>
              <w:spacing w:line="240" w:lineRule="auto"/>
              <w:jc w:val="both"/>
            </w:pPr>
            <w:r w:rsidRPr="008F5158">
              <w:t>1</w:t>
            </w:r>
          </w:p>
        </w:tc>
        <w:tc>
          <w:tcPr>
            <w:tcW w:w="1106" w:type="dxa"/>
            <w:tcBorders>
              <w:top w:val="nil"/>
              <w:left w:val="nil"/>
              <w:bottom w:val="nil"/>
              <w:right w:val="nil"/>
            </w:tcBorders>
            <w:shd w:val="clear" w:color="auto" w:fill="auto"/>
            <w:noWrap/>
            <w:vAlign w:val="center"/>
            <w:hideMark/>
          </w:tcPr>
          <w:p w14:paraId="67984A76" w14:textId="77777777" w:rsidR="00BA16C4" w:rsidRPr="008F5158" w:rsidRDefault="00BA16C4" w:rsidP="00B57600">
            <w:pPr>
              <w:spacing w:line="240" w:lineRule="auto"/>
              <w:jc w:val="both"/>
            </w:pPr>
            <w:r w:rsidRPr="008F5158">
              <w:t>0.66</w:t>
            </w:r>
          </w:p>
        </w:tc>
        <w:tc>
          <w:tcPr>
            <w:tcW w:w="921" w:type="dxa"/>
            <w:tcBorders>
              <w:top w:val="nil"/>
              <w:left w:val="nil"/>
              <w:bottom w:val="nil"/>
              <w:right w:val="nil"/>
            </w:tcBorders>
            <w:shd w:val="clear" w:color="auto" w:fill="auto"/>
            <w:noWrap/>
            <w:vAlign w:val="center"/>
            <w:hideMark/>
          </w:tcPr>
          <w:p w14:paraId="586D8275" w14:textId="77777777" w:rsidR="00BA16C4" w:rsidRPr="008F5158" w:rsidRDefault="00BA16C4" w:rsidP="00B57600">
            <w:pPr>
              <w:spacing w:line="240" w:lineRule="auto"/>
              <w:jc w:val="both"/>
            </w:pPr>
            <w:r w:rsidRPr="008F5158">
              <w:t>-0.09</w:t>
            </w:r>
          </w:p>
        </w:tc>
        <w:tc>
          <w:tcPr>
            <w:tcW w:w="1085" w:type="dxa"/>
            <w:tcBorders>
              <w:top w:val="nil"/>
              <w:left w:val="nil"/>
              <w:bottom w:val="nil"/>
              <w:right w:val="nil"/>
            </w:tcBorders>
            <w:shd w:val="clear" w:color="auto" w:fill="auto"/>
            <w:noWrap/>
            <w:vAlign w:val="center"/>
            <w:hideMark/>
          </w:tcPr>
          <w:p w14:paraId="7C32AA6D" w14:textId="77777777" w:rsidR="00BA16C4" w:rsidRPr="008F5158" w:rsidRDefault="00BA16C4" w:rsidP="00B57600">
            <w:pPr>
              <w:spacing w:line="240" w:lineRule="auto"/>
              <w:jc w:val="both"/>
            </w:pPr>
            <w:r w:rsidRPr="008F5158">
              <w:t>0.68</w:t>
            </w:r>
          </w:p>
        </w:tc>
      </w:tr>
      <w:tr w:rsidR="00BA16C4" w:rsidRPr="008F5158" w14:paraId="0E7C1BAF" w14:textId="77777777" w:rsidTr="00B57600">
        <w:trPr>
          <w:trHeight w:val="315"/>
        </w:trPr>
        <w:tc>
          <w:tcPr>
            <w:tcW w:w="1679" w:type="dxa"/>
            <w:tcBorders>
              <w:top w:val="nil"/>
              <w:left w:val="nil"/>
              <w:bottom w:val="nil"/>
              <w:right w:val="nil"/>
            </w:tcBorders>
            <w:shd w:val="clear" w:color="auto" w:fill="auto"/>
            <w:noWrap/>
            <w:vAlign w:val="bottom"/>
            <w:hideMark/>
          </w:tcPr>
          <w:p w14:paraId="105C0991" w14:textId="77777777" w:rsidR="00BA16C4" w:rsidRPr="008F5158" w:rsidRDefault="00BA16C4" w:rsidP="00B57600">
            <w:pPr>
              <w:spacing w:line="240" w:lineRule="auto"/>
              <w:jc w:val="both"/>
            </w:pPr>
          </w:p>
        </w:tc>
        <w:tc>
          <w:tcPr>
            <w:tcW w:w="1085" w:type="dxa"/>
            <w:tcBorders>
              <w:top w:val="nil"/>
              <w:left w:val="nil"/>
              <w:bottom w:val="nil"/>
              <w:right w:val="single" w:sz="8" w:space="0" w:color="auto"/>
            </w:tcBorders>
            <w:shd w:val="clear" w:color="auto" w:fill="auto"/>
            <w:noWrap/>
            <w:vAlign w:val="center"/>
            <w:hideMark/>
          </w:tcPr>
          <w:p w14:paraId="35E7AF2E" w14:textId="77777777" w:rsidR="00BA16C4" w:rsidRPr="008F5158" w:rsidRDefault="00BA16C4" w:rsidP="00B57600">
            <w:pPr>
              <w:spacing w:line="240" w:lineRule="auto"/>
              <w:jc w:val="both"/>
            </w:pPr>
            <w:r w:rsidRPr="008F5158">
              <w:t>Precision</w:t>
            </w:r>
          </w:p>
        </w:tc>
        <w:tc>
          <w:tcPr>
            <w:tcW w:w="1032" w:type="dxa"/>
            <w:tcBorders>
              <w:top w:val="nil"/>
              <w:left w:val="nil"/>
              <w:bottom w:val="nil"/>
              <w:right w:val="nil"/>
            </w:tcBorders>
            <w:shd w:val="clear" w:color="auto" w:fill="auto"/>
            <w:noWrap/>
            <w:vAlign w:val="center"/>
            <w:hideMark/>
          </w:tcPr>
          <w:p w14:paraId="143857B2" w14:textId="77777777" w:rsidR="00BA16C4" w:rsidRPr="008F5158" w:rsidRDefault="00BA16C4" w:rsidP="00B57600">
            <w:pPr>
              <w:spacing w:line="240" w:lineRule="auto"/>
              <w:jc w:val="both"/>
            </w:pPr>
            <w:r w:rsidRPr="008F5158">
              <w:t>0.19</w:t>
            </w:r>
          </w:p>
        </w:tc>
        <w:tc>
          <w:tcPr>
            <w:tcW w:w="1085" w:type="dxa"/>
            <w:tcBorders>
              <w:top w:val="nil"/>
              <w:left w:val="nil"/>
              <w:bottom w:val="nil"/>
              <w:right w:val="nil"/>
            </w:tcBorders>
            <w:shd w:val="clear" w:color="auto" w:fill="auto"/>
            <w:noWrap/>
            <w:vAlign w:val="center"/>
            <w:hideMark/>
          </w:tcPr>
          <w:p w14:paraId="5089154A" w14:textId="77777777" w:rsidR="00BA16C4" w:rsidRPr="008F5158" w:rsidRDefault="00BA16C4" w:rsidP="00B57600">
            <w:pPr>
              <w:spacing w:line="240" w:lineRule="auto"/>
              <w:jc w:val="both"/>
            </w:pPr>
            <w:r w:rsidRPr="008F5158">
              <w:t>0.85</w:t>
            </w:r>
          </w:p>
        </w:tc>
        <w:tc>
          <w:tcPr>
            <w:tcW w:w="1033" w:type="dxa"/>
            <w:tcBorders>
              <w:top w:val="nil"/>
              <w:left w:val="nil"/>
              <w:bottom w:val="nil"/>
              <w:right w:val="nil"/>
            </w:tcBorders>
            <w:shd w:val="clear" w:color="auto" w:fill="auto"/>
            <w:noWrap/>
            <w:vAlign w:val="center"/>
            <w:hideMark/>
          </w:tcPr>
          <w:p w14:paraId="3602989E" w14:textId="77777777" w:rsidR="00BA16C4" w:rsidRPr="008F5158" w:rsidRDefault="00BA16C4" w:rsidP="00B57600">
            <w:pPr>
              <w:spacing w:line="240" w:lineRule="auto"/>
              <w:jc w:val="both"/>
            </w:pPr>
            <w:r w:rsidRPr="008F5158">
              <w:t>0.66</w:t>
            </w:r>
          </w:p>
        </w:tc>
        <w:tc>
          <w:tcPr>
            <w:tcW w:w="1106" w:type="dxa"/>
            <w:tcBorders>
              <w:top w:val="nil"/>
              <w:left w:val="nil"/>
              <w:bottom w:val="nil"/>
              <w:right w:val="nil"/>
            </w:tcBorders>
            <w:shd w:val="clear" w:color="auto" w:fill="auto"/>
            <w:noWrap/>
            <w:vAlign w:val="center"/>
            <w:hideMark/>
          </w:tcPr>
          <w:p w14:paraId="1CA5ABFC" w14:textId="77777777" w:rsidR="00BA16C4" w:rsidRPr="008F5158" w:rsidRDefault="00BA16C4" w:rsidP="00B57600">
            <w:pPr>
              <w:spacing w:line="240" w:lineRule="auto"/>
              <w:jc w:val="both"/>
            </w:pPr>
            <w:r w:rsidRPr="008F5158">
              <w:t>1</w:t>
            </w:r>
          </w:p>
        </w:tc>
        <w:tc>
          <w:tcPr>
            <w:tcW w:w="921" w:type="dxa"/>
            <w:tcBorders>
              <w:top w:val="nil"/>
              <w:left w:val="nil"/>
              <w:bottom w:val="nil"/>
              <w:right w:val="nil"/>
            </w:tcBorders>
            <w:shd w:val="clear" w:color="auto" w:fill="auto"/>
            <w:noWrap/>
            <w:vAlign w:val="center"/>
            <w:hideMark/>
          </w:tcPr>
          <w:p w14:paraId="1AC39A12" w14:textId="77777777" w:rsidR="00BA16C4" w:rsidRPr="008F5158" w:rsidRDefault="00BA16C4" w:rsidP="00B57600">
            <w:pPr>
              <w:spacing w:line="240" w:lineRule="auto"/>
              <w:jc w:val="both"/>
            </w:pPr>
            <w:r w:rsidRPr="008F5158">
              <w:t>0.26</w:t>
            </w:r>
          </w:p>
        </w:tc>
        <w:tc>
          <w:tcPr>
            <w:tcW w:w="1085" w:type="dxa"/>
            <w:tcBorders>
              <w:top w:val="nil"/>
              <w:left w:val="nil"/>
              <w:bottom w:val="nil"/>
              <w:right w:val="nil"/>
            </w:tcBorders>
            <w:shd w:val="clear" w:color="auto" w:fill="auto"/>
            <w:noWrap/>
            <w:vAlign w:val="center"/>
            <w:hideMark/>
          </w:tcPr>
          <w:p w14:paraId="5CFA6EDE" w14:textId="77777777" w:rsidR="00BA16C4" w:rsidRPr="008F5158" w:rsidRDefault="00BA16C4" w:rsidP="00B57600">
            <w:pPr>
              <w:spacing w:line="240" w:lineRule="auto"/>
              <w:jc w:val="both"/>
            </w:pPr>
            <w:r w:rsidRPr="008F5158">
              <w:t>0.93</w:t>
            </w:r>
          </w:p>
        </w:tc>
      </w:tr>
      <w:tr w:rsidR="00BA16C4" w:rsidRPr="008F5158" w14:paraId="736A3B59" w14:textId="77777777" w:rsidTr="00B57600">
        <w:trPr>
          <w:trHeight w:val="315"/>
        </w:trPr>
        <w:tc>
          <w:tcPr>
            <w:tcW w:w="1679" w:type="dxa"/>
            <w:tcBorders>
              <w:top w:val="nil"/>
              <w:left w:val="nil"/>
              <w:bottom w:val="nil"/>
              <w:right w:val="nil"/>
            </w:tcBorders>
            <w:shd w:val="clear" w:color="auto" w:fill="auto"/>
            <w:noWrap/>
            <w:vAlign w:val="center"/>
            <w:hideMark/>
          </w:tcPr>
          <w:p w14:paraId="4A3EC4AB" w14:textId="77777777" w:rsidR="00BA16C4" w:rsidRPr="008F5158" w:rsidRDefault="00BA16C4" w:rsidP="00B57600">
            <w:pPr>
              <w:spacing w:line="240" w:lineRule="auto"/>
              <w:jc w:val="both"/>
            </w:pPr>
            <w:r w:rsidRPr="008F5158">
              <w:t>Attack</w:t>
            </w:r>
          </w:p>
        </w:tc>
        <w:tc>
          <w:tcPr>
            <w:tcW w:w="1085" w:type="dxa"/>
            <w:tcBorders>
              <w:top w:val="nil"/>
              <w:left w:val="nil"/>
              <w:bottom w:val="nil"/>
              <w:right w:val="single" w:sz="8" w:space="0" w:color="auto"/>
            </w:tcBorders>
            <w:shd w:val="clear" w:color="auto" w:fill="auto"/>
            <w:noWrap/>
            <w:vAlign w:val="center"/>
            <w:hideMark/>
          </w:tcPr>
          <w:p w14:paraId="650BA185" w14:textId="77777777" w:rsidR="00BA16C4" w:rsidRPr="008F5158" w:rsidRDefault="00BA16C4" w:rsidP="00B57600">
            <w:pPr>
              <w:spacing w:line="240" w:lineRule="auto"/>
              <w:jc w:val="both"/>
            </w:pPr>
            <w:r w:rsidRPr="008F5158">
              <w:t>Density</w:t>
            </w:r>
          </w:p>
        </w:tc>
        <w:tc>
          <w:tcPr>
            <w:tcW w:w="1032" w:type="dxa"/>
            <w:tcBorders>
              <w:top w:val="nil"/>
              <w:left w:val="nil"/>
              <w:bottom w:val="nil"/>
              <w:right w:val="nil"/>
            </w:tcBorders>
            <w:shd w:val="clear" w:color="auto" w:fill="auto"/>
            <w:noWrap/>
            <w:vAlign w:val="center"/>
            <w:hideMark/>
          </w:tcPr>
          <w:p w14:paraId="0A405D83" w14:textId="77777777" w:rsidR="00BA16C4" w:rsidRPr="008F5158" w:rsidRDefault="00BA16C4" w:rsidP="00B57600">
            <w:pPr>
              <w:spacing w:line="240" w:lineRule="auto"/>
              <w:jc w:val="both"/>
            </w:pPr>
            <w:r w:rsidRPr="008F5158">
              <w:t>-0.45</w:t>
            </w:r>
          </w:p>
        </w:tc>
        <w:tc>
          <w:tcPr>
            <w:tcW w:w="1085" w:type="dxa"/>
            <w:tcBorders>
              <w:top w:val="nil"/>
              <w:left w:val="nil"/>
              <w:bottom w:val="nil"/>
              <w:right w:val="nil"/>
            </w:tcBorders>
            <w:shd w:val="clear" w:color="auto" w:fill="auto"/>
            <w:noWrap/>
            <w:vAlign w:val="center"/>
            <w:hideMark/>
          </w:tcPr>
          <w:p w14:paraId="6250172C" w14:textId="77777777" w:rsidR="00BA16C4" w:rsidRPr="008F5158" w:rsidRDefault="00BA16C4" w:rsidP="00B57600">
            <w:pPr>
              <w:spacing w:line="240" w:lineRule="auto"/>
              <w:jc w:val="both"/>
            </w:pPr>
            <w:r w:rsidRPr="008F5158">
              <w:t>0.07</w:t>
            </w:r>
          </w:p>
        </w:tc>
        <w:tc>
          <w:tcPr>
            <w:tcW w:w="1033" w:type="dxa"/>
            <w:tcBorders>
              <w:top w:val="nil"/>
              <w:left w:val="nil"/>
              <w:bottom w:val="nil"/>
              <w:right w:val="nil"/>
            </w:tcBorders>
            <w:shd w:val="clear" w:color="auto" w:fill="auto"/>
            <w:noWrap/>
            <w:vAlign w:val="center"/>
            <w:hideMark/>
          </w:tcPr>
          <w:p w14:paraId="3595CFBF" w14:textId="77777777" w:rsidR="00BA16C4" w:rsidRPr="008F5158" w:rsidRDefault="00BA16C4" w:rsidP="00B57600">
            <w:pPr>
              <w:spacing w:line="240" w:lineRule="auto"/>
              <w:jc w:val="both"/>
            </w:pPr>
            <w:r w:rsidRPr="008F5158">
              <w:t>-0.09</w:t>
            </w:r>
          </w:p>
        </w:tc>
        <w:tc>
          <w:tcPr>
            <w:tcW w:w="1106" w:type="dxa"/>
            <w:tcBorders>
              <w:top w:val="nil"/>
              <w:left w:val="nil"/>
              <w:bottom w:val="nil"/>
              <w:right w:val="nil"/>
            </w:tcBorders>
            <w:shd w:val="clear" w:color="auto" w:fill="auto"/>
            <w:noWrap/>
            <w:vAlign w:val="center"/>
            <w:hideMark/>
          </w:tcPr>
          <w:p w14:paraId="4F4FA748" w14:textId="77777777" w:rsidR="00BA16C4" w:rsidRPr="008F5158" w:rsidRDefault="00BA16C4" w:rsidP="00B57600">
            <w:pPr>
              <w:spacing w:line="240" w:lineRule="auto"/>
              <w:jc w:val="both"/>
            </w:pPr>
            <w:r w:rsidRPr="008F5158">
              <w:t>0.26</w:t>
            </w:r>
          </w:p>
        </w:tc>
        <w:tc>
          <w:tcPr>
            <w:tcW w:w="921" w:type="dxa"/>
            <w:tcBorders>
              <w:top w:val="nil"/>
              <w:left w:val="nil"/>
              <w:bottom w:val="nil"/>
              <w:right w:val="nil"/>
            </w:tcBorders>
            <w:shd w:val="clear" w:color="auto" w:fill="auto"/>
            <w:noWrap/>
            <w:vAlign w:val="center"/>
            <w:hideMark/>
          </w:tcPr>
          <w:p w14:paraId="3DD14747" w14:textId="77777777" w:rsidR="00BA16C4" w:rsidRPr="008F5158" w:rsidRDefault="00BA16C4" w:rsidP="00B57600">
            <w:pPr>
              <w:spacing w:line="240" w:lineRule="auto"/>
              <w:jc w:val="both"/>
            </w:pPr>
            <w:r w:rsidRPr="008F5158">
              <w:t>1</w:t>
            </w:r>
          </w:p>
        </w:tc>
        <w:tc>
          <w:tcPr>
            <w:tcW w:w="1085" w:type="dxa"/>
            <w:tcBorders>
              <w:top w:val="nil"/>
              <w:left w:val="nil"/>
              <w:bottom w:val="nil"/>
              <w:right w:val="nil"/>
            </w:tcBorders>
            <w:shd w:val="clear" w:color="auto" w:fill="auto"/>
            <w:noWrap/>
            <w:vAlign w:val="center"/>
            <w:hideMark/>
          </w:tcPr>
          <w:p w14:paraId="20A84BA2" w14:textId="77777777" w:rsidR="00BA16C4" w:rsidRPr="008F5158" w:rsidRDefault="00BA16C4" w:rsidP="00B57600">
            <w:pPr>
              <w:spacing w:line="240" w:lineRule="auto"/>
              <w:jc w:val="both"/>
            </w:pPr>
            <w:r w:rsidRPr="008F5158">
              <w:t>0.39</w:t>
            </w:r>
          </w:p>
        </w:tc>
      </w:tr>
      <w:tr w:rsidR="00BA16C4" w:rsidRPr="008F5158" w14:paraId="5E7ED099" w14:textId="77777777" w:rsidTr="00B57600">
        <w:trPr>
          <w:trHeight w:val="315"/>
        </w:trPr>
        <w:tc>
          <w:tcPr>
            <w:tcW w:w="1679" w:type="dxa"/>
            <w:tcBorders>
              <w:top w:val="nil"/>
              <w:left w:val="nil"/>
              <w:bottom w:val="nil"/>
              <w:right w:val="nil"/>
            </w:tcBorders>
            <w:shd w:val="clear" w:color="auto" w:fill="auto"/>
            <w:noWrap/>
            <w:vAlign w:val="bottom"/>
            <w:hideMark/>
          </w:tcPr>
          <w:p w14:paraId="4D73B9B2" w14:textId="77777777" w:rsidR="00BA16C4" w:rsidRPr="008F5158" w:rsidRDefault="00BA16C4" w:rsidP="00B57600">
            <w:pPr>
              <w:spacing w:line="240" w:lineRule="auto"/>
              <w:jc w:val="both"/>
            </w:pPr>
          </w:p>
        </w:tc>
        <w:tc>
          <w:tcPr>
            <w:tcW w:w="1085" w:type="dxa"/>
            <w:tcBorders>
              <w:top w:val="nil"/>
              <w:left w:val="nil"/>
              <w:bottom w:val="nil"/>
              <w:right w:val="single" w:sz="8" w:space="0" w:color="auto"/>
            </w:tcBorders>
            <w:shd w:val="clear" w:color="auto" w:fill="auto"/>
            <w:noWrap/>
            <w:vAlign w:val="center"/>
            <w:hideMark/>
          </w:tcPr>
          <w:p w14:paraId="6BA7BEF3" w14:textId="77777777" w:rsidR="00BA16C4" w:rsidRPr="008F5158" w:rsidRDefault="00BA16C4" w:rsidP="00B57600">
            <w:pPr>
              <w:spacing w:line="240" w:lineRule="auto"/>
              <w:jc w:val="both"/>
            </w:pPr>
            <w:r w:rsidRPr="008F5158">
              <w:t>Precision</w:t>
            </w:r>
          </w:p>
        </w:tc>
        <w:tc>
          <w:tcPr>
            <w:tcW w:w="1032" w:type="dxa"/>
            <w:tcBorders>
              <w:top w:val="nil"/>
              <w:left w:val="nil"/>
              <w:bottom w:val="nil"/>
              <w:right w:val="nil"/>
            </w:tcBorders>
            <w:shd w:val="clear" w:color="auto" w:fill="auto"/>
            <w:noWrap/>
            <w:vAlign w:val="center"/>
            <w:hideMark/>
          </w:tcPr>
          <w:p w14:paraId="1D554F97" w14:textId="77777777" w:rsidR="00BA16C4" w:rsidRPr="008F5158" w:rsidRDefault="00BA16C4" w:rsidP="00B57600">
            <w:pPr>
              <w:spacing w:line="240" w:lineRule="auto"/>
              <w:jc w:val="both"/>
            </w:pPr>
            <w:r w:rsidRPr="008F5158">
              <w:t>0.13</w:t>
            </w:r>
          </w:p>
        </w:tc>
        <w:tc>
          <w:tcPr>
            <w:tcW w:w="1085" w:type="dxa"/>
            <w:tcBorders>
              <w:top w:val="nil"/>
              <w:left w:val="nil"/>
              <w:bottom w:val="nil"/>
              <w:right w:val="nil"/>
            </w:tcBorders>
            <w:shd w:val="clear" w:color="auto" w:fill="auto"/>
            <w:noWrap/>
            <w:vAlign w:val="center"/>
            <w:hideMark/>
          </w:tcPr>
          <w:p w14:paraId="6CDB0921" w14:textId="77777777" w:rsidR="00BA16C4" w:rsidRPr="008F5158" w:rsidRDefault="00BA16C4" w:rsidP="00B57600">
            <w:pPr>
              <w:spacing w:line="240" w:lineRule="auto"/>
              <w:jc w:val="both"/>
            </w:pPr>
            <w:r w:rsidRPr="008F5158">
              <w:t>0.73</w:t>
            </w:r>
          </w:p>
        </w:tc>
        <w:tc>
          <w:tcPr>
            <w:tcW w:w="1033" w:type="dxa"/>
            <w:tcBorders>
              <w:top w:val="nil"/>
              <w:left w:val="nil"/>
              <w:bottom w:val="nil"/>
              <w:right w:val="nil"/>
            </w:tcBorders>
            <w:shd w:val="clear" w:color="auto" w:fill="auto"/>
            <w:noWrap/>
            <w:vAlign w:val="center"/>
            <w:hideMark/>
          </w:tcPr>
          <w:p w14:paraId="29FA1673" w14:textId="77777777" w:rsidR="00BA16C4" w:rsidRPr="008F5158" w:rsidRDefault="00BA16C4" w:rsidP="00B57600">
            <w:pPr>
              <w:spacing w:line="240" w:lineRule="auto"/>
              <w:jc w:val="both"/>
            </w:pPr>
            <w:r w:rsidRPr="008F5158">
              <w:t>0.68</w:t>
            </w:r>
          </w:p>
        </w:tc>
        <w:tc>
          <w:tcPr>
            <w:tcW w:w="1106" w:type="dxa"/>
            <w:tcBorders>
              <w:top w:val="nil"/>
              <w:left w:val="nil"/>
              <w:bottom w:val="nil"/>
              <w:right w:val="nil"/>
            </w:tcBorders>
            <w:shd w:val="clear" w:color="auto" w:fill="auto"/>
            <w:noWrap/>
            <w:vAlign w:val="center"/>
            <w:hideMark/>
          </w:tcPr>
          <w:p w14:paraId="7A3BFD22" w14:textId="77777777" w:rsidR="00BA16C4" w:rsidRPr="008F5158" w:rsidRDefault="00BA16C4" w:rsidP="00B57600">
            <w:pPr>
              <w:spacing w:line="240" w:lineRule="auto"/>
              <w:jc w:val="both"/>
            </w:pPr>
            <w:r w:rsidRPr="008F5158">
              <w:t>0.93</w:t>
            </w:r>
          </w:p>
        </w:tc>
        <w:tc>
          <w:tcPr>
            <w:tcW w:w="921" w:type="dxa"/>
            <w:tcBorders>
              <w:top w:val="nil"/>
              <w:left w:val="nil"/>
              <w:bottom w:val="nil"/>
              <w:right w:val="nil"/>
            </w:tcBorders>
            <w:shd w:val="clear" w:color="auto" w:fill="auto"/>
            <w:noWrap/>
            <w:vAlign w:val="center"/>
            <w:hideMark/>
          </w:tcPr>
          <w:p w14:paraId="6A6B0CDE" w14:textId="77777777" w:rsidR="00BA16C4" w:rsidRPr="008F5158" w:rsidRDefault="00BA16C4" w:rsidP="00B57600">
            <w:pPr>
              <w:spacing w:line="240" w:lineRule="auto"/>
              <w:jc w:val="both"/>
            </w:pPr>
            <w:r w:rsidRPr="008F5158">
              <w:t>0.39</w:t>
            </w:r>
          </w:p>
        </w:tc>
        <w:tc>
          <w:tcPr>
            <w:tcW w:w="1085" w:type="dxa"/>
            <w:tcBorders>
              <w:top w:val="nil"/>
              <w:left w:val="nil"/>
              <w:bottom w:val="nil"/>
              <w:right w:val="nil"/>
            </w:tcBorders>
            <w:shd w:val="clear" w:color="auto" w:fill="auto"/>
            <w:noWrap/>
            <w:vAlign w:val="center"/>
            <w:hideMark/>
          </w:tcPr>
          <w:p w14:paraId="27D982E2" w14:textId="77777777" w:rsidR="00BA16C4" w:rsidRPr="008F5158" w:rsidRDefault="00BA16C4" w:rsidP="00B57600">
            <w:pPr>
              <w:spacing w:line="240" w:lineRule="auto"/>
              <w:jc w:val="both"/>
            </w:pPr>
            <w:r w:rsidRPr="008F5158">
              <w:t>1</w:t>
            </w:r>
          </w:p>
        </w:tc>
      </w:tr>
    </w:tbl>
    <w:p w14:paraId="421555C6" w14:textId="77777777" w:rsidR="00BA16C4" w:rsidRPr="008F5158" w:rsidRDefault="00BA16C4" w:rsidP="00BA16C4"/>
    <w:p w14:paraId="47885EC0" w14:textId="77777777" w:rsidR="00BA16C4" w:rsidRPr="008F5158" w:rsidRDefault="00BA16C4" w:rsidP="00BA16C4">
      <w:r w:rsidRPr="008F5158">
        <w:t>Note. Pass density is the standardised ratio of passes made per minute of possession. Pass precision is the standardised percentage of correct passes. Efficiency is the standardised percentage of shots that scored a goal.</w:t>
      </w:r>
    </w:p>
    <w:p w14:paraId="64E7AF9D" w14:textId="660BD472" w:rsidR="00BA16C4" w:rsidRDefault="00BA16C4" w:rsidP="00BA16C4">
      <w:pPr>
        <w:pStyle w:val="Newparagraph"/>
      </w:pPr>
    </w:p>
    <w:p w14:paraId="6EE201DD" w14:textId="7E18B293" w:rsidR="00BA16C4" w:rsidRDefault="00BA16C4" w:rsidP="00BA16C4">
      <w:pPr>
        <w:pStyle w:val="Newparagraph"/>
      </w:pPr>
    </w:p>
    <w:p w14:paraId="1487BAAD" w14:textId="11A0BAE3" w:rsidR="00BA16C4" w:rsidRDefault="00BA16C4" w:rsidP="00BA16C4">
      <w:pPr>
        <w:pStyle w:val="Newparagraph"/>
      </w:pPr>
    </w:p>
    <w:p w14:paraId="5E2E5627" w14:textId="46ADB8D8" w:rsidR="00BA16C4" w:rsidRDefault="00BA16C4" w:rsidP="00BA16C4">
      <w:pPr>
        <w:pStyle w:val="Newparagraph"/>
      </w:pPr>
    </w:p>
    <w:p w14:paraId="11990DB0" w14:textId="46223E9C" w:rsidR="00BA16C4" w:rsidRDefault="00BA16C4" w:rsidP="00BA16C4">
      <w:pPr>
        <w:pStyle w:val="Newparagraph"/>
      </w:pPr>
    </w:p>
    <w:p w14:paraId="2AC8CD07" w14:textId="08F72EC7" w:rsidR="00BA16C4" w:rsidRDefault="00BA16C4" w:rsidP="00BA16C4">
      <w:pPr>
        <w:pStyle w:val="Newparagraph"/>
      </w:pPr>
    </w:p>
    <w:p w14:paraId="0DCA2F7C" w14:textId="4D635545" w:rsidR="00BA16C4" w:rsidRDefault="00BA16C4" w:rsidP="00BA16C4">
      <w:pPr>
        <w:pStyle w:val="Newparagraph"/>
      </w:pPr>
    </w:p>
    <w:p w14:paraId="76CB0B89" w14:textId="65A62C6E" w:rsidR="00BA16C4" w:rsidRDefault="00BA16C4" w:rsidP="00BA16C4">
      <w:pPr>
        <w:pStyle w:val="Newparagraph"/>
      </w:pPr>
    </w:p>
    <w:p w14:paraId="33036FB3" w14:textId="7571AF76" w:rsidR="00BA16C4" w:rsidRDefault="00BA16C4" w:rsidP="00BA16C4">
      <w:pPr>
        <w:pStyle w:val="Newparagraph"/>
      </w:pPr>
    </w:p>
    <w:p w14:paraId="2565285F" w14:textId="6DDDA099" w:rsidR="00BA16C4" w:rsidRDefault="00BA16C4" w:rsidP="00BA16C4">
      <w:pPr>
        <w:pStyle w:val="Newparagraph"/>
      </w:pPr>
    </w:p>
    <w:p w14:paraId="6A67107B" w14:textId="6E221FCF" w:rsidR="00BA16C4" w:rsidRDefault="00BA16C4" w:rsidP="00BA16C4">
      <w:pPr>
        <w:pStyle w:val="Newparagraph"/>
      </w:pPr>
    </w:p>
    <w:p w14:paraId="54E274AC" w14:textId="77777777" w:rsidR="00BA16C4" w:rsidRPr="00EE23BA" w:rsidRDefault="00BA16C4" w:rsidP="00BA16C4">
      <w:pPr>
        <w:pStyle w:val="Paragraph"/>
        <w:jc w:val="both"/>
      </w:pPr>
      <w:r w:rsidRPr="00EE23BA">
        <w:rPr>
          <w:b/>
          <w:bCs/>
        </w:rPr>
        <w:lastRenderedPageBreak/>
        <w:t>Table 3.</w:t>
      </w:r>
      <w:r w:rsidRPr="00EE23BA">
        <w:t xml:space="preserve"> The relative loadings of each component (density and precision of passes) in each zone (defence, midfield and attack)</w:t>
      </w:r>
    </w:p>
    <w:tbl>
      <w:tblPr>
        <w:tblStyle w:val="PlainTable21"/>
        <w:tblW w:w="5113" w:type="dxa"/>
        <w:jc w:val="center"/>
        <w:tblLook w:val="04A0" w:firstRow="1" w:lastRow="0" w:firstColumn="1" w:lastColumn="0" w:noHBand="0" w:noVBand="1"/>
      </w:tblPr>
      <w:tblGrid>
        <w:gridCol w:w="1123"/>
        <w:gridCol w:w="1110"/>
        <w:gridCol w:w="960"/>
        <w:gridCol w:w="903"/>
        <w:gridCol w:w="1017"/>
      </w:tblGrid>
      <w:tr w:rsidR="00BA16C4" w:rsidRPr="00EE23BA" w14:paraId="077ED914" w14:textId="77777777" w:rsidTr="00B576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33" w:type="dxa"/>
            <w:gridSpan w:val="2"/>
            <w:tcBorders>
              <w:bottom w:val="nil"/>
            </w:tcBorders>
            <w:noWrap/>
            <w:hideMark/>
          </w:tcPr>
          <w:p w14:paraId="0EA2D603" w14:textId="77777777" w:rsidR="00BA16C4" w:rsidRPr="00EE23BA" w:rsidRDefault="00BA16C4" w:rsidP="00B57600">
            <w:pPr>
              <w:spacing w:line="240" w:lineRule="auto"/>
              <w:rPr>
                <w:b w:val="0"/>
              </w:rPr>
            </w:pPr>
            <w:r w:rsidRPr="00EE23BA">
              <w:rPr>
                <w:b w:val="0"/>
              </w:rPr>
              <w:t>Parameters</w:t>
            </w:r>
          </w:p>
        </w:tc>
        <w:tc>
          <w:tcPr>
            <w:tcW w:w="960" w:type="dxa"/>
            <w:tcBorders>
              <w:bottom w:val="nil"/>
            </w:tcBorders>
            <w:noWrap/>
            <w:hideMark/>
          </w:tcPr>
          <w:p w14:paraId="17F8D74E" w14:textId="77777777" w:rsidR="00BA16C4" w:rsidRPr="00EE23BA" w:rsidRDefault="00BA16C4" w:rsidP="00B57600">
            <w:pPr>
              <w:spacing w:line="240" w:lineRule="auto"/>
              <w:cnfStyle w:val="100000000000" w:firstRow="1" w:lastRow="0" w:firstColumn="0" w:lastColumn="0" w:oddVBand="0" w:evenVBand="0" w:oddHBand="0" w:evenHBand="0" w:firstRowFirstColumn="0" w:firstRowLastColumn="0" w:lastRowFirstColumn="0" w:lastRowLastColumn="0"/>
              <w:rPr>
                <w:b w:val="0"/>
              </w:rPr>
            </w:pPr>
          </w:p>
        </w:tc>
        <w:tc>
          <w:tcPr>
            <w:tcW w:w="1920" w:type="dxa"/>
            <w:gridSpan w:val="2"/>
            <w:tcBorders>
              <w:bottom w:val="nil"/>
            </w:tcBorders>
            <w:noWrap/>
            <w:hideMark/>
          </w:tcPr>
          <w:p w14:paraId="4068973D" w14:textId="77777777" w:rsidR="00BA16C4" w:rsidRPr="00EE23BA" w:rsidRDefault="00BA16C4" w:rsidP="00B57600">
            <w:pPr>
              <w:spacing w:line="240" w:lineRule="auto"/>
              <w:cnfStyle w:val="100000000000" w:firstRow="1" w:lastRow="0" w:firstColumn="0" w:lastColumn="0" w:oddVBand="0" w:evenVBand="0" w:oddHBand="0" w:evenHBand="0" w:firstRowFirstColumn="0" w:firstRowLastColumn="0" w:lastRowFirstColumn="0" w:lastRowLastColumn="0"/>
              <w:rPr>
                <w:b w:val="0"/>
              </w:rPr>
            </w:pPr>
            <w:r w:rsidRPr="00EE23BA">
              <w:rPr>
                <w:b w:val="0"/>
              </w:rPr>
              <w:t xml:space="preserve">       Component</w:t>
            </w:r>
          </w:p>
        </w:tc>
      </w:tr>
      <w:tr w:rsidR="00BA16C4" w:rsidRPr="00EE23BA" w14:paraId="2F9AF97A" w14:textId="77777777" w:rsidTr="00B576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bottom w:val="single" w:sz="4" w:space="0" w:color="auto"/>
            </w:tcBorders>
            <w:noWrap/>
            <w:hideMark/>
          </w:tcPr>
          <w:p w14:paraId="285A868B" w14:textId="77777777" w:rsidR="00BA16C4" w:rsidRPr="00EE23BA" w:rsidRDefault="00BA16C4" w:rsidP="00B57600">
            <w:pPr>
              <w:spacing w:line="240" w:lineRule="auto"/>
              <w:rPr>
                <w:b w:val="0"/>
              </w:rPr>
            </w:pPr>
            <w:r w:rsidRPr="00EE23BA">
              <w:rPr>
                <w:b w:val="0"/>
              </w:rPr>
              <w:t>Location</w:t>
            </w:r>
          </w:p>
        </w:tc>
        <w:tc>
          <w:tcPr>
            <w:tcW w:w="1110" w:type="dxa"/>
            <w:tcBorders>
              <w:top w:val="nil"/>
              <w:bottom w:val="single" w:sz="4" w:space="0" w:color="auto"/>
            </w:tcBorders>
            <w:noWrap/>
            <w:hideMark/>
          </w:tcPr>
          <w:p w14:paraId="33E857C4"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Passes</w:t>
            </w:r>
          </w:p>
        </w:tc>
        <w:tc>
          <w:tcPr>
            <w:tcW w:w="960" w:type="dxa"/>
            <w:tcBorders>
              <w:top w:val="nil"/>
              <w:bottom w:val="single" w:sz="4" w:space="0" w:color="auto"/>
            </w:tcBorders>
            <w:noWrap/>
            <w:hideMark/>
          </w:tcPr>
          <w:p w14:paraId="737BC8CD"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Name</w:t>
            </w:r>
          </w:p>
        </w:tc>
        <w:tc>
          <w:tcPr>
            <w:tcW w:w="903" w:type="dxa"/>
            <w:tcBorders>
              <w:top w:val="nil"/>
              <w:bottom w:val="single" w:sz="4" w:space="0" w:color="auto"/>
            </w:tcBorders>
            <w:noWrap/>
            <w:hideMark/>
          </w:tcPr>
          <w:p w14:paraId="6ED34F10" w14:textId="77777777" w:rsidR="00BA16C4" w:rsidRPr="00EE23BA" w:rsidRDefault="00BA16C4" w:rsidP="00B57600">
            <w:pPr>
              <w:spacing w:line="240" w:lineRule="auto"/>
              <w:jc w:val="center"/>
              <w:cnfStyle w:val="000000100000" w:firstRow="0" w:lastRow="0" w:firstColumn="0" w:lastColumn="0" w:oddVBand="0" w:evenVBand="0" w:oddHBand="1" w:evenHBand="0" w:firstRowFirstColumn="0" w:firstRowLastColumn="0" w:lastRowFirstColumn="0" w:lastRowLastColumn="0"/>
            </w:pPr>
            <w:r w:rsidRPr="00EE23BA">
              <w:t xml:space="preserve">    1</w:t>
            </w:r>
          </w:p>
        </w:tc>
        <w:tc>
          <w:tcPr>
            <w:tcW w:w="1017" w:type="dxa"/>
            <w:tcBorders>
              <w:top w:val="nil"/>
              <w:bottom w:val="single" w:sz="4" w:space="0" w:color="auto"/>
            </w:tcBorders>
            <w:noWrap/>
            <w:hideMark/>
          </w:tcPr>
          <w:p w14:paraId="3B8D1CE9" w14:textId="77777777" w:rsidR="00BA16C4" w:rsidRPr="00EE23BA" w:rsidRDefault="00BA16C4" w:rsidP="00B57600">
            <w:pPr>
              <w:spacing w:line="240" w:lineRule="auto"/>
              <w:jc w:val="center"/>
              <w:cnfStyle w:val="000000100000" w:firstRow="0" w:lastRow="0" w:firstColumn="0" w:lastColumn="0" w:oddVBand="0" w:evenVBand="0" w:oddHBand="1" w:evenHBand="0" w:firstRowFirstColumn="0" w:firstRowLastColumn="0" w:lastRowFirstColumn="0" w:lastRowLastColumn="0"/>
            </w:pPr>
            <w:r w:rsidRPr="00EE23BA">
              <w:t xml:space="preserve">      2</w:t>
            </w:r>
          </w:p>
        </w:tc>
      </w:tr>
      <w:tr w:rsidR="00BA16C4" w:rsidRPr="00EE23BA" w14:paraId="277F56E4" w14:textId="77777777" w:rsidTr="00B57600">
        <w:trPr>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nil"/>
            </w:tcBorders>
            <w:noWrap/>
            <w:hideMark/>
          </w:tcPr>
          <w:p w14:paraId="67618733" w14:textId="77777777" w:rsidR="00BA16C4" w:rsidRPr="00EE23BA" w:rsidRDefault="00BA16C4" w:rsidP="00B57600">
            <w:pPr>
              <w:spacing w:line="240" w:lineRule="auto"/>
              <w:rPr>
                <w:b w:val="0"/>
              </w:rPr>
            </w:pPr>
            <w:proofErr w:type="spellStart"/>
            <w:r w:rsidRPr="00EE23BA">
              <w:rPr>
                <w:b w:val="0"/>
              </w:rPr>
              <w:t>Defence</w:t>
            </w:r>
            <w:proofErr w:type="spellEnd"/>
          </w:p>
        </w:tc>
        <w:tc>
          <w:tcPr>
            <w:tcW w:w="1110" w:type="dxa"/>
            <w:tcBorders>
              <w:top w:val="single" w:sz="4" w:space="0" w:color="auto"/>
              <w:bottom w:val="nil"/>
            </w:tcBorders>
            <w:noWrap/>
            <w:hideMark/>
          </w:tcPr>
          <w:p w14:paraId="238C8D1D" w14:textId="77777777" w:rsidR="00BA16C4" w:rsidRPr="00EE23BA" w:rsidRDefault="00BA16C4" w:rsidP="00B57600">
            <w:pPr>
              <w:spacing w:line="240" w:lineRule="auto"/>
              <w:cnfStyle w:val="000000000000" w:firstRow="0" w:lastRow="0" w:firstColumn="0" w:lastColumn="0" w:oddVBand="0" w:evenVBand="0" w:oddHBand="0" w:evenHBand="0" w:firstRowFirstColumn="0" w:firstRowLastColumn="0" w:lastRowFirstColumn="0" w:lastRowLastColumn="0"/>
            </w:pPr>
            <w:r w:rsidRPr="00EE23BA">
              <w:t>Density</w:t>
            </w:r>
          </w:p>
        </w:tc>
        <w:tc>
          <w:tcPr>
            <w:tcW w:w="960" w:type="dxa"/>
            <w:tcBorders>
              <w:top w:val="single" w:sz="4" w:space="0" w:color="auto"/>
              <w:bottom w:val="nil"/>
            </w:tcBorders>
            <w:noWrap/>
            <w:hideMark/>
          </w:tcPr>
          <w:p w14:paraId="620E665A" w14:textId="77777777" w:rsidR="00BA16C4" w:rsidRPr="00EE23BA" w:rsidRDefault="00BA16C4" w:rsidP="00B57600">
            <w:pPr>
              <w:spacing w:line="240" w:lineRule="auto"/>
              <w:cnfStyle w:val="000000000000" w:firstRow="0" w:lastRow="0" w:firstColumn="0" w:lastColumn="0" w:oddVBand="0" w:evenVBand="0" w:oddHBand="0" w:evenHBand="0" w:firstRowFirstColumn="0" w:firstRowLastColumn="0" w:lastRowFirstColumn="0" w:lastRowLastColumn="0"/>
            </w:pPr>
            <w:r w:rsidRPr="00EE23BA">
              <w:t>DD</w:t>
            </w:r>
          </w:p>
        </w:tc>
        <w:tc>
          <w:tcPr>
            <w:tcW w:w="903" w:type="dxa"/>
            <w:tcBorders>
              <w:top w:val="single" w:sz="4" w:space="0" w:color="auto"/>
              <w:bottom w:val="nil"/>
            </w:tcBorders>
            <w:noWrap/>
            <w:hideMark/>
          </w:tcPr>
          <w:p w14:paraId="5D797C36" w14:textId="77777777" w:rsidR="00BA16C4" w:rsidRPr="00EE23BA" w:rsidRDefault="00BA16C4" w:rsidP="00B57600">
            <w:pPr>
              <w:spacing w:line="240" w:lineRule="auto"/>
              <w:jc w:val="right"/>
              <w:cnfStyle w:val="000000000000" w:firstRow="0" w:lastRow="0" w:firstColumn="0" w:lastColumn="0" w:oddVBand="0" w:evenVBand="0" w:oddHBand="0" w:evenHBand="0" w:firstRowFirstColumn="0" w:firstRowLastColumn="0" w:lastRowFirstColumn="0" w:lastRowLastColumn="0"/>
            </w:pPr>
            <w:r w:rsidRPr="00EE23BA">
              <w:t>0.33</w:t>
            </w:r>
          </w:p>
        </w:tc>
        <w:tc>
          <w:tcPr>
            <w:tcW w:w="1017" w:type="dxa"/>
            <w:tcBorders>
              <w:top w:val="single" w:sz="4" w:space="0" w:color="auto"/>
              <w:bottom w:val="nil"/>
            </w:tcBorders>
            <w:noWrap/>
            <w:hideMark/>
          </w:tcPr>
          <w:p w14:paraId="189F0494" w14:textId="77777777" w:rsidR="00BA16C4" w:rsidRPr="00EE23BA" w:rsidRDefault="00BA16C4" w:rsidP="00B57600">
            <w:pPr>
              <w:spacing w:line="240" w:lineRule="auto"/>
              <w:jc w:val="right"/>
              <w:cnfStyle w:val="000000000000" w:firstRow="0" w:lastRow="0" w:firstColumn="0" w:lastColumn="0" w:oddVBand="0" w:evenVBand="0" w:oddHBand="0" w:evenHBand="0" w:firstRowFirstColumn="0" w:firstRowLastColumn="0" w:lastRowFirstColumn="0" w:lastRowLastColumn="0"/>
            </w:pPr>
            <w:r w:rsidRPr="00EE23BA">
              <w:t>-0.80</w:t>
            </w:r>
          </w:p>
        </w:tc>
      </w:tr>
      <w:tr w:rsidR="00BA16C4" w:rsidRPr="00EE23BA" w14:paraId="41833EB3" w14:textId="77777777" w:rsidTr="00B576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bottom w:val="nil"/>
            </w:tcBorders>
            <w:noWrap/>
            <w:hideMark/>
          </w:tcPr>
          <w:p w14:paraId="5B353A59" w14:textId="77777777" w:rsidR="00BA16C4" w:rsidRPr="00EE23BA" w:rsidRDefault="00BA16C4" w:rsidP="00B57600">
            <w:pPr>
              <w:spacing w:line="240" w:lineRule="auto"/>
              <w:jc w:val="right"/>
              <w:rPr>
                <w:b w:val="0"/>
              </w:rPr>
            </w:pPr>
          </w:p>
        </w:tc>
        <w:tc>
          <w:tcPr>
            <w:tcW w:w="1110" w:type="dxa"/>
            <w:tcBorders>
              <w:top w:val="nil"/>
              <w:bottom w:val="nil"/>
            </w:tcBorders>
            <w:noWrap/>
            <w:hideMark/>
          </w:tcPr>
          <w:p w14:paraId="240C5A26"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Precision</w:t>
            </w:r>
          </w:p>
        </w:tc>
        <w:tc>
          <w:tcPr>
            <w:tcW w:w="960" w:type="dxa"/>
            <w:tcBorders>
              <w:top w:val="nil"/>
              <w:bottom w:val="nil"/>
            </w:tcBorders>
            <w:noWrap/>
            <w:hideMark/>
          </w:tcPr>
          <w:p w14:paraId="08EB3A47"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DP</w:t>
            </w:r>
          </w:p>
        </w:tc>
        <w:tc>
          <w:tcPr>
            <w:tcW w:w="903" w:type="dxa"/>
            <w:tcBorders>
              <w:top w:val="nil"/>
              <w:bottom w:val="nil"/>
            </w:tcBorders>
            <w:noWrap/>
            <w:hideMark/>
          </w:tcPr>
          <w:p w14:paraId="43275A6F" w14:textId="77777777" w:rsidR="00BA16C4" w:rsidRPr="00EE23BA" w:rsidRDefault="00BA16C4" w:rsidP="00B57600">
            <w:pPr>
              <w:spacing w:line="240" w:lineRule="auto"/>
              <w:jc w:val="right"/>
              <w:cnfStyle w:val="000000100000" w:firstRow="0" w:lastRow="0" w:firstColumn="0" w:lastColumn="0" w:oddVBand="0" w:evenVBand="0" w:oddHBand="1" w:evenHBand="0" w:firstRowFirstColumn="0" w:firstRowLastColumn="0" w:lastRowFirstColumn="0" w:lastRowLastColumn="0"/>
            </w:pPr>
            <w:r w:rsidRPr="00EE23BA">
              <w:t>0.86</w:t>
            </w:r>
          </w:p>
        </w:tc>
        <w:tc>
          <w:tcPr>
            <w:tcW w:w="1017" w:type="dxa"/>
            <w:tcBorders>
              <w:top w:val="nil"/>
              <w:bottom w:val="nil"/>
            </w:tcBorders>
            <w:noWrap/>
            <w:hideMark/>
          </w:tcPr>
          <w:p w14:paraId="57C52758" w14:textId="77777777" w:rsidR="00BA16C4" w:rsidRPr="00EE23BA" w:rsidRDefault="00BA16C4" w:rsidP="00B57600">
            <w:pPr>
              <w:spacing w:line="240" w:lineRule="auto"/>
              <w:jc w:val="right"/>
              <w:cnfStyle w:val="000000100000" w:firstRow="0" w:lastRow="0" w:firstColumn="0" w:lastColumn="0" w:oddVBand="0" w:evenVBand="0" w:oddHBand="1" w:evenHBand="0" w:firstRowFirstColumn="0" w:firstRowLastColumn="0" w:lastRowFirstColumn="0" w:lastRowLastColumn="0"/>
            </w:pPr>
            <w:r w:rsidRPr="00EE23BA">
              <w:t>-0.11</w:t>
            </w:r>
          </w:p>
        </w:tc>
      </w:tr>
      <w:tr w:rsidR="00BA16C4" w:rsidRPr="00EE23BA" w14:paraId="06C974DA" w14:textId="77777777" w:rsidTr="00B57600">
        <w:trPr>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bottom w:val="nil"/>
            </w:tcBorders>
            <w:noWrap/>
            <w:hideMark/>
          </w:tcPr>
          <w:p w14:paraId="630929CC" w14:textId="77777777" w:rsidR="00BA16C4" w:rsidRPr="00EE23BA" w:rsidRDefault="00BA16C4" w:rsidP="00B57600">
            <w:pPr>
              <w:spacing w:line="240" w:lineRule="auto"/>
              <w:rPr>
                <w:b w:val="0"/>
              </w:rPr>
            </w:pPr>
            <w:r w:rsidRPr="00EE23BA">
              <w:rPr>
                <w:b w:val="0"/>
              </w:rPr>
              <w:t>Midfield</w:t>
            </w:r>
          </w:p>
        </w:tc>
        <w:tc>
          <w:tcPr>
            <w:tcW w:w="1110" w:type="dxa"/>
            <w:tcBorders>
              <w:top w:val="nil"/>
              <w:bottom w:val="nil"/>
            </w:tcBorders>
            <w:noWrap/>
            <w:hideMark/>
          </w:tcPr>
          <w:p w14:paraId="71956FF7" w14:textId="77777777" w:rsidR="00BA16C4" w:rsidRPr="00EE23BA" w:rsidRDefault="00BA16C4" w:rsidP="00B57600">
            <w:pPr>
              <w:spacing w:line="240" w:lineRule="auto"/>
              <w:cnfStyle w:val="000000000000" w:firstRow="0" w:lastRow="0" w:firstColumn="0" w:lastColumn="0" w:oddVBand="0" w:evenVBand="0" w:oddHBand="0" w:evenHBand="0" w:firstRowFirstColumn="0" w:firstRowLastColumn="0" w:lastRowFirstColumn="0" w:lastRowLastColumn="0"/>
            </w:pPr>
            <w:r w:rsidRPr="00EE23BA">
              <w:t>Density</w:t>
            </w:r>
          </w:p>
        </w:tc>
        <w:tc>
          <w:tcPr>
            <w:tcW w:w="960" w:type="dxa"/>
            <w:tcBorders>
              <w:top w:val="nil"/>
              <w:bottom w:val="nil"/>
            </w:tcBorders>
            <w:noWrap/>
            <w:hideMark/>
          </w:tcPr>
          <w:p w14:paraId="0CF55669" w14:textId="77777777" w:rsidR="00BA16C4" w:rsidRPr="00EE23BA" w:rsidRDefault="00BA16C4" w:rsidP="00B57600">
            <w:pPr>
              <w:spacing w:line="240" w:lineRule="auto"/>
              <w:cnfStyle w:val="000000000000" w:firstRow="0" w:lastRow="0" w:firstColumn="0" w:lastColumn="0" w:oddVBand="0" w:evenVBand="0" w:oddHBand="0" w:evenHBand="0" w:firstRowFirstColumn="0" w:firstRowLastColumn="0" w:lastRowFirstColumn="0" w:lastRowLastColumn="0"/>
            </w:pPr>
            <w:r w:rsidRPr="00EE23BA">
              <w:t>MD</w:t>
            </w:r>
          </w:p>
        </w:tc>
        <w:tc>
          <w:tcPr>
            <w:tcW w:w="903" w:type="dxa"/>
            <w:tcBorders>
              <w:top w:val="nil"/>
              <w:bottom w:val="nil"/>
            </w:tcBorders>
            <w:noWrap/>
            <w:hideMark/>
          </w:tcPr>
          <w:p w14:paraId="3B00C167" w14:textId="77777777" w:rsidR="00BA16C4" w:rsidRPr="00EE23BA" w:rsidRDefault="00BA16C4" w:rsidP="00B57600">
            <w:pPr>
              <w:spacing w:line="240" w:lineRule="auto"/>
              <w:jc w:val="right"/>
              <w:cnfStyle w:val="000000000000" w:firstRow="0" w:lastRow="0" w:firstColumn="0" w:lastColumn="0" w:oddVBand="0" w:evenVBand="0" w:oddHBand="0" w:evenHBand="0" w:firstRowFirstColumn="0" w:firstRowLastColumn="0" w:lastRowFirstColumn="0" w:lastRowLastColumn="0"/>
            </w:pPr>
            <w:r w:rsidRPr="00EE23BA">
              <w:t>0.76</w:t>
            </w:r>
          </w:p>
        </w:tc>
        <w:tc>
          <w:tcPr>
            <w:tcW w:w="1017" w:type="dxa"/>
            <w:tcBorders>
              <w:top w:val="nil"/>
              <w:bottom w:val="nil"/>
            </w:tcBorders>
            <w:noWrap/>
            <w:hideMark/>
          </w:tcPr>
          <w:p w14:paraId="27085C4B" w14:textId="77777777" w:rsidR="00BA16C4" w:rsidRPr="00EE23BA" w:rsidRDefault="00BA16C4" w:rsidP="00B57600">
            <w:pPr>
              <w:spacing w:line="240" w:lineRule="auto"/>
              <w:jc w:val="right"/>
              <w:cnfStyle w:val="000000000000" w:firstRow="0" w:lastRow="0" w:firstColumn="0" w:lastColumn="0" w:oddVBand="0" w:evenVBand="0" w:oddHBand="0" w:evenHBand="0" w:firstRowFirstColumn="0" w:firstRowLastColumn="0" w:lastRowFirstColumn="0" w:lastRowLastColumn="0"/>
            </w:pPr>
            <w:r w:rsidRPr="00EE23BA">
              <w:t>-0.21</w:t>
            </w:r>
          </w:p>
        </w:tc>
      </w:tr>
      <w:tr w:rsidR="00BA16C4" w:rsidRPr="00EE23BA" w14:paraId="5C566840" w14:textId="77777777" w:rsidTr="00B576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bottom w:val="nil"/>
            </w:tcBorders>
            <w:noWrap/>
            <w:hideMark/>
          </w:tcPr>
          <w:p w14:paraId="79948D3C" w14:textId="77777777" w:rsidR="00BA16C4" w:rsidRPr="00EE23BA" w:rsidRDefault="00BA16C4" w:rsidP="00B57600">
            <w:pPr>
              <w:spacing w:line="240" w:lineRule="auto"/>
              <w:jc w:val="right"/>
              <w:rPr>
                <w:b w:val="0"/>
              </w:rPr>
            </w:pPr>
          </w:p>
        </w:tc>
        <w:tc>
          <w:tcPr>
            <w:tcW w:w="1110" w:type="dxa"/>
            <w:tcBorders>
              <w:top w:val="nil"/>
              <w:bottom w:val="nil"/>
            </w:tcBorders>
            <w:noWrap/>
            <w:hideMark/>
          </w:tcPr>
          <w:p w14:paraId="52FB1FEC"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Precision</w:t>
            </w:r>
          </w:p>
        </w:tc>
        <w:tc>
          <w:tcPr>
            <w:tcW w:w="960" w:type="dxa"/>
            <w:tcBorders>
              <w:top w:val="nil"/>
              <w:bottom w:val="nil"/>
            </w:tcBorders>
            <w:noWrap/>
            <w:hideMark/>
          </w:tcPr>
          <w:p w14:paraId="07047495"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MP</w:t>
            </w:r>
          </w:p>
        </w:tc>
        <w:tc>
          <w:tcPr>
            <w:tcW w:w="903" w:type="dxa"/>
            <w:tcBorders>
              <w:top w:val="nil"/>
              <w:bottom w:val="nil"/>
            </w:tcBorders>
            <w:noWrap/>
            <w:hideMark/>
          </w:tcPr>
          <w:p w14:paraId="50F9356B" w14:textId="77777777" w:rsidR="00BA16C4" w:rsidRPr="00EE23BA" w:rsidRDefault="00BA16C4" w:rsidP="00B57600">
            <w:pPr>
              <w:spacing w:line="240" w:lineRule="auto"/>
              <w:jc w:val="right"/>
              <w:cnfStyle w:val="000000100000" w:firstRow="0" w:lastRow="0" w:firstColumn="0" w:lastColumn="0" w:oddVBand="0" w:evenVBand="0" w:oddHBand="1" w:evenHBand="0" w:firstRowFirstColumn="0" w:firstRowLastColumn="0" w:lastRowFirstColumn="0" w:lastRowLastColumn="0"/>
            </w:pPr>
            <w:r w:rsidRPr="00EE23BA">
              <w:t>0.97</w:t>
            </w:r>
          </w:p>
        </w:tc>
        <w:tc>
          <w:tcPr>
            <w:tcW w:w="1017" w:type="dxa"/>
            <w:tcBorders>
              <w:top w:val="nil"/>
              <w:bottom w:val="nil"/>
            </w:tcBorders>
            <w:noWrap/>
            <w:hideMark/>
          </w:tcPr>
          <w:p w14:paraId="03833A0B" w14:textId="77777777" w:rsidR="00BA16C4" w:rsidRPr="00EE23BA" w:rsidRDefault="00BA16C4" w:rsidP="00B57600">
            <w:pPr>
              <w:spacing w:line="240" w:lineRule="auto"/>
              <w:jc w:val="right"/>
              <w:cnfStyle w:val="000000100000" w:firstRow="0" w:lastRow="0" w:firstColumn="0" w:lastColumn="0" w:oddVBand="0" w:evenVBand="0" w:oddHBand="1" w:evenHBand="0" w:firstRowFirstColumn="0" w:firstRowLastColumn="0" w:lastRowFirstColumn="0" w:lastRowLastColumn="0"/>
            </w:pPr>
            <w:r w:rsidRPr="00EE23BA">
              <w:t>0.12</w:t>
            </w:r>
          </w:p>
        </w:tc>
      </w:tr>
      <w:tr w:rsidR="00BA16C4" w:rsidRPr="00EE23BA" w14:paraId="038F30D4" w14:textId="77777777" w:rsidTr="00B57600">
        <w:trPr>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bottom w:val="nil"/>
            </w:tcBorders>
            <w:noWrap/>
            <w:hideMark/>
          </w:tcPr>
          <w:p w14:paraId="79EA3830" w14:textId="77777777" w:rsidR="00BA16C4" w:rsidRPr="00EE23BA" w:rsidRDefault="00BA16C4" w:rsidP="00B57600">
            <w:pPr>
              <w:spacing w:line="240" w:lineRule="auto"/>
              <w:rPr>
                <w:b w:val="0"/>
              </w:rPr>
            </w:pPr>
            <w:r w:rsidRPr="00EE23BA">
              <w:rPr>
                <w:b w:val="0"/>
              </w:rPr>
              <w:t>Attack</w:t>
            </w:r>
          </w:p>
        </w:tc>
        <w:tc>
          <w:tcPr>
            <w:tcW w:w="1110" w:type="dxa"/>
            <w:tcBorders>
              <w:top w:val="nil"/>
              <w:bottom w:val="nil"/>
            </w:tcBorders>
            <w:noWrap/>
            <w:hideMark/>
          </w:tcPr>
          <w:p w14:paraId="297A7A95" w14:textId="77777777" w:rsidR="00BA16C4" w:rsidRPr="00EE23BA" w:rsidRDefault="00BA16C4" w:rsidP="00B57600">
            <w:pPr>
              <w:spacing w:line="240" w:lineRule="auto"/>
              <w:cnfStyle w:val="000000000000" w:firstRow="0" w:lastRow="0" w:firstColumn="0" w:lastColumn="0" w:oddVBand="0" w:evenVBand="0" w:oddHBand="0" w:evenHBand="0" w:firstRowFirstColumn="0" w:firstRowLastColumn="0" w:lastRowFirstColumn="0" w:lastRowLastColumn="0"/>
            </w:pPr>
            <w:r w:rsidRPr="00EE23BA">
              <w:t>Density</w:t>
            </w:r>
          </w:p>
        </w:tc>
        <w:tc>
          <w:tcPr>
            <w:tcW w:w="960" w:type="dxa"/>
            <w:tcBorders>
              <w:top w:val="nil"/>
              <w:bottom w:val="nil"/>
            </w:tcBorders>
            <w:noWrap/>
            <w:hideMark/>
          </w:tcPr>
          <w:p w14:paraId="5ABD6465" w14:textId="77777777" w:rsidR="00BA16C4" w:rsidRPr="00EE23BA" w:rsidRDefault="00BA16C4" w:rsidP="00B57600">
            <w:pPr>
              <w:spacing w:line="240" w:lineRule="auto"/>
              <w:cnfStyle w:val="000000000000" w:firstRow="0" w:lastRow="0" w:firstColumn="0" w:lastColumn="0" w:oddVBand="0" w:evenVBand="0" w:oddHBand="0" w:evenHBand="0" w:firstRowFirstColumn="0" w:firstRowLastColumn="0" w:lastRowFirstColumn="0" w:lastRowLastColumn="0"/>
            </w:pPr>
            <w:r w:rsidRPr="00EE23BA">
              <w:t>AD</w:t>
            </w:r>
          </w:p>
        </w:tc>
        <w:tc>
          <w:tcPr>
            <w:tcW w:w="903" w:type="dxa"/>
            <w:tcBorders>
              <w:top w:val="nil"/>
              <w:bottom w:val="nil"/>
            </w:tcBorders>
            <w:noWrap/>
            <w:hideMark/>
          </w:tcPr>
          <w:p w14:paraId="2EC14E5C" w14:textId="77777777" w:rsidR="00BA16C4" w:rsidRPr="00EE23BA" w:rsidRDefault="00BA16C4" w:rsidP="00B57600">
            <w:pPr>
              <w:spacing w:line="240" w:lineRule="auto"/>
              <w:jc w:val="right"/>
              <w:cnfStyle w:val="000000000000" w:firstRow="0" w:lastRow="0" w:firstColumn="0" w:lastColumn="0" w:oddVBand="0" w:evenVBand="0" w:oddHBand="0" w:evenHBand="0" w:firstRowFirstColumn="0" w:firstRowLastColumn="0" w:lastRowFirstColumn="0" w:lastRowLastColumn="0"/>
            </w:pPr>
            <w:r w:rsidRPr="00EE23BA">
              <w:t>0.20</w:t>
            </w:r>
          </w:p>
        </w:tc>
        <w:tc>
          <w:tcPr>
            <w:tcW w:w="1017" w:type="dxa"/>
            <w:tcBorders>
              <w:top w:val="nil"/>
              <w:bottom w:val="nil"/>
            </w:tcBorders>
            <w:noWrap/>
            <w:hideMark/>
          </w:tcPr>
          <w:p w14:paraId="48E7E6D4" w14:textId="77777777" w:rsidR="00BA16C4" w:rsidRPr="00EE23BA" w:rsidRDefault="00BA16C4" w:rsidP="00B57600">
            <w:pPr>
              <w:spacing w:line="240" w:lineRule="auto"/>
              <w:jc w:val="right"/>
              <w:cnfStyle w:val="000000000000" w:firstRow="0" w:lastRow="0" w:firstColumn="0" w:lastColumn="0" w:oddVBand="0" w:evenVBand="0" w:oddHBand="0" w:evenHBand="0" w:firstRowFirstColumn="0" w:firstRowLastColumn="0" w:lastRowFirstColumn="0" w:lastRowLastColumn="0"/>
            </w:pPr>
            <w:r w:rsidRPr="00EE23BA">
              <w:t>0.89</w:t>
            </w:r>
          </w:p>
        </w:tc>
      </w:tr>
      <w:tr w:rsidR="00BA16C4" w:rsidRPr="00EE23BA" w14:paraId="265321D2" w14:textId="77777777" w:rsidTr="00B576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3" w:type="dxa"/>
            <w:tcBorders>
              <w:top w:val="nil"/>
            </w:tcBorders>
            <w:noWrap/>
            <w:hideMark/>
          </w:tcPr>
          <w:p w14:paraId="2750F861" w14:textId="77777777" w:rsidR="00BA16C4" w:rsidRPr="00EE23BA" w:rsidRDefault="00BA16C4" w:rsidP="00B57600">
            <w:pPr>
              <w:spacing w:line="240" w:lineRule="auto"/>
              <w:jc w:val="right"/>
              <w:rPr>
                <w:b w:val="0"/>
              </w:rPr>
            </w:pPr>
          </w:p>
        </w:tc>
        <w:tc>
          <w:tcPr>
            <w:tcW w:w="1110" w:type="dxa"/>
            <w:tcBorders>
              <w:top w:val="nil"/>
            </w:tcBorders>
            <w:noWrap/>
            <w:hideMark/>
          </w:tcPr>
          <w:p w14:paraId="68556007"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Precision</w:t>
            </w:r>
          </w:p>
        </w:tc>
        <w:tc>
          <w:tcPr>
            <w:tcW w:w="960" w:type="dxa"/>
            <w:tcBorders>
              <w:top w:val="nil"/>
            </w:tcBorders>
            <w:noWrap/>
            <w:hideMark/>
          </w:tcPr>
          <w:p w14:paraId="2E51CEA0" w14:textId="77777777" w:rsidR="00BA16C4" w:rsidRPr="00EE23BA" w:rsidRDefault="00BA16C4" w:rsidP="00B57600">
            <w:pPr>
              <w:spacing w:line="240" w:lineRule="auto"/>
              <w:cnfStyle w:val="000000100000" w:firstRow="0" w:lastRow="0" w:firstColumn="0" w:lastColumn="0" w:oddVBand="0" w:evenVBand="0" w:oddHBand="1" w:evenHBand="0" w:firstRowFirstColumn="0" w:firstRowLastColumn="0" w:lastRowFirstColumn="0" w:lastRowLastColumn="0"/>
            </w:pPr>
            <w:r w:rsidRPr="00EE23BA">
              <w:t>AP</w:t>
            </w:r>
          </w:p>
        </w:tc>
        <w:tc>
          <w:tcPr>
            <w:tcW w:w="903" w:type="dxa"/>
            <w:tcBorders>
              <w:top w:val="nil"/>
            </w:tcBorders>
            <w:noWrap/>
            <w:hideMark/>
          </w:tcPr>
          <w:p w14:paraId="1370A10D" w14:textId="77777777" w:rsidR="00BA16C4" w:rsidRPr="00EE23BA" w:rsidRDefault="00BA16C4" w:rsidP="00B57600">
            <w:pPr>
              <w:spacing w:line="240" w:lineRule="auto"/>
              <w:jc w:val="right"/>
              <w:cnfStyle w:val="000000100000" w:firstRow="0" w:lastRow="0" w:firstColumn="0" w:lastColumn="0" w:oddVBand="0" w:evenVBand="0" w:oddHBand="1" w:evenHBand="0" w:firstRowFirstColumn="0" w:firstRowLastColumn="0" w:lastRowFirstColumn="0" w:lastRowLastColumn="0"/>
            </w:pPr>
            <w:r w:rsidRPr="00EE23BA">
              <w:t>0.94</w:t>
            </w:r>
          </w:p>
        </w:tc>
        <w:tc>
          <w:tcPr>
            <w:tcW w:w="1017" w:type="dxa"/>
            <w:tcBorders>
              <w:top w:val="nil"/>
            </w:tcBorders>
            <w:noWrap/>
            <w:hideMark/>
          </w:tcPr>
          <w:p w14:paraId="62DF29CA" w14:textId="77777777" w:rsidR="00BA16C4" w:rsidRPr="00EE23BA" w:rsidRDefault="00BA16C4" w:rsidP="00B57600">
            <w:pPr>
              <w:spacing w:line="240" w:lineRule="auto"/>
              <w:jc w:val="right"/>
              <w:cnfStyle w:val="000000100000" w:firstRow="0" w:lastRow="0" w:firstColumn="0" w:lastColumn="0" w:oddVBand="0" w:evenVBand="0" w:oddHBand="1" w:evenHBand="0" w:firstRowFirstColumn="0" w:firstRowLastColumn="0" w:lastRowFirstColumn="0" w:lastRowLastColumn="0"/>
            </w:pPr>
            <w:r w:rsidRPr="00EE23BA">
              <w:t>0.23</w:t>
            </w:r>
          </w:p>
        </w:tc>
      </w:tr>
    </w:tbl>
    <w:p w14:paraId="5E453D4B" w14:textId="77777777" w:rsidR="00BA16C4" w:rsidRPr="00EE23BA" w:rsidRDefault="00BA16C4" w:rsidP="00BA16C4">
      <w:pPr>
        <w:pStyle w:val="Paragraph"/>
      </w:pPr>
    </w:p>
    <w:p w14:paraId="214D5571" w14:textId="77777777" w:rsidR="00BA16C4" w:rsidRPr="00EE23BA" w:rsidRDefault="00BA16C4" w:rsidP="00BA16C4">
      <w:r w:rsidRPr="00EE23BA">
        <w:t xml:space="preserve"> Note. Pass density is the standardised ratio of passes made per minute of possession. Pass precision is the standardised percentage of correct passes. Efficiency is the standardised percentage of shots that scored a goal.</w:t>
      </w:r>
    </w:p>
    <w:p w14:paraId="2E2B4781" w14:textId="77777777" w:rsidR="00BA16C4" w:rsidRPr="00BA16C4" w:rsidRDefault="00BA16C4" w:rsidP="00BA16C4">
      <w:pPr>
        <w:pStyle w:val="Newparagraph"/>
      </w:pPr>
      <w:bookmarkStart w:id="0" w:name="_GoBack"/>
      <w:bookmarkEnd w:id="0"/>
    </w:p>
    <w:sectPr w:rsidR="00BA16C4" w:rsidRPr="00BA16C4" w:rsidSect="00BA16C4">
      <w:headerReference w:type="default" r:id="rId9"/>
      <w:footerReference w:type="default" r:id="rId10"/>
      <w:pgSz w:w="11901" w:h="16840"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D964" w14:textId="77777777" w:rsidR="00A03C6E" w:rsidRDefault="00A03C6E" w:rsidP="00AF2C92">
      <w:r>
        <w:separator/>
      </w:r>
    </w:p>
  </w:endnote>
  <w:endnote w:type="continuationSeparator" w:id="0">
    <w:p w14:paraId="1F3FC1C8" w14:textId="77777777" w:rsidR="00A03C6E" w:rsidRDefault="00A03C6E" w:rsidP="00AF2C92">
      <w:r>
        <w:continuationSeparator/>
      </w:r>
    </w:p>
  </w:endnote>
  <w:endnote w:type="continuationNotice" w:id="1">
    <w:p w14:paraId="6938886D" w14:textId="77777777" w:rsidR="00A03C6E" w:rsidRDefault="00A03C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264113"/>
      <w:docPartObj>
        <w:docPartGallery w:val="Page Numbers (Bottom of Page)"/>
        <w:docPartUnique/>
      </w:docPartObj>
    </w:sdtPr>
    <w:sdtEndPr>
      <w:rPr>
        <w:noProof/>
      </w:rPr>
    </w:sdtEndPr>
    <w:sdtContent>
      <w:p w14:paraId="622DBFF7" w14:textId="506817A6" w:rsidR="00526142" w:rsidRDefault="00526142">
        <w:pPr>
          <w:pStyle w:val="Footer"/>
          <w:jc w:val="center"/>
        </w:pPr>
        <w:r>
          <w:fldChar w:fldCharType="begin"/>
        </w:r>
        <w:r>
          <w:instrText xml:space="preserve"> PAGE   \* MERGEFORMAT </w:instrText>
        </w:r>
        <w:r>
          <w:fldChar w:fldCharType="separate"/>
        </w:r>
        <w:r w:rsidR="00BA16C4">
          <w:rPr>
            <w:noProof/>
          </w:rPr>
          <w:t>21</w:t>
        </w:r>
        <w:r>
          <w:rPr>
            <w:noProof/>
          </w:rPr>
          <w:fldChar w:fldCharType="end"/>
        </w:r>
      </w:p>
    </w:sdtContent>
  </w:sdt>
  <w:p w14:paraId="102A545B" w14:textId="77777777" w:rsidR="00526142" w:rsidRDefault="0052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D1BE2" w14:textId="77777777" w:rsidR="00A03C6E" w:rsidRDefault="00A03C6E" w:rsidP="00AF2C92">
      <w:r>
        <w:separator/>
      </w:r>
    </w:p>
  </w:footnote>
  <w:footnote w:type="continuationSeparator" w:id="0">
    <w:p w14:paraId="56B0E1AD" w14:textId="77777777" w:rsidR="00A03C6E" w:rsidRDefault="00A03C6E" w:rsidP="00AF2C92">
      <w:r>
        <w:continuationSeparator/>
      </w:r>
    </w:p>
  </w:footnote>
  <w:footnote w:type="continuationNotice" w:id="1">
    <w:p w14:paraId="403FC15E" w14:textId="77777777" w:rsidR="00A03C6E" w:rsidRDefault="00A03C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721A" w14:textId="77777777" w:rsidR="00E33074" w:rsidRDefault="00E33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4E4B16"/>
    <w:multiLevelType w:val="hybridMultilevel"/>
    <w:tmpl w:val="7D186136"/>
    <w:lvl w:ilvl="0" w:tplc="8116B15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1"/>
  </w:num>
  <w:num w:numId="15">
    <w:abstractNumId w:val="14"/>
  </w:num>
  <w:num w:numId="16">
    <w:abstractNumId w:val="16"/>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7"/>
  </w:num>
  <w:num w:numId="25">
    <w:abstractNumId w:val="18"/>
  </w:num>
  <w:num w:numId="26">
    <w:abstractNumId w:val="22"/>
  </w:num>
  <w:num w:numId="27">
    <w:abstractNumId w:val="23"/>
  </w:num>
  <w:num w:numId="28">
    <w:abstractNumId w:val="21"/>
  </w:num>
  <w:num w:numId="29">
    <w:abstractNumId w:val="13"/>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5F"/>
    <w:rsid w:val="00001899"/>
    <w:rsid w:val="000049AD"/>
    <w:rsid w:val="0000681B"/>
    <w:rsid w:val="00007836"/>
    <w:rsid w:val="000133C0"/>
    <w:rsid w:val="00014C4E"/>
    <w:rsid w:val="0001648F"/>
    <w:rsid w:val="00017107"/>
    <w:rsid w:val="000202E2"/>
    <w:rsid w:val="00022441"/>
    <w:rsid w:val="0002261E"/>
    <w:rsid w:val="00024839"/>
    <w:rsid w:val="00026871"/>
    <w:rsid w:val="0003291E"/>
    <w:rsid w:val="00037A98"/>
    <w:rsid w:val="000427FB"/>
    <w:rsid w:val="0004455E"/>
    <w:rsid w:val="00047CB5"/>
    <w:rsid w:val="00051FAA"/>
    <w:rsid w:val="00052CAB"/>
    <w:rsid w:val="000572A9"/>
    <w:rsid w:val="00061325"/>
    <w:rsid w:val="00065672"/>
    <w:rsid w:val="000733AC"/>
    <w:rsid w:val="00074B81"/>
    <w:rsid w:val="00074D22"/>
    <w:rsid w:val="00075081"/>
    <w:rsid w:val="0007528A"/>
    <w:rsid w:val="000811AB"/>
    <w:rsid w:val="00083C5F"/>
    <w:rsid w:val="00083DC8"/>
    <w:rsid w:val="00085CC1"/>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0DA3"/>
    <w:rsid w:val="00114ABE"/>
    <w:rsid w:val="00116023"/>
    <w:rsid w:val="00121C99"/>
    <w:rsid w:val="0013179B"/>
    <w:rsid w:val="00134A51"/>
    <w:rsid w:val="00140727"/>
    <w:rsid w:val="00145878"/>
    <w:rsid w:val="00160628"/>
    <w:rsid w:val="00161344"/>
    <w:rsid w:val="00162195"/>
    <w:rsid w:val="0016322A"/>
    <w:rsid w:val="00163551"/>
    <w:rsid w:val="00165A21"/>
    <w:rsid w:val="00170057"/>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0D"/>
    <w:rsid w:val="001B4B48"/>
    <w:rsid w:val="001B4D1F"/>
    <w:rsid w:val="001B7681"/>
    <w:rsid w:val="001B7CAE"/>
    <w:rsid w:val="001C0772"/>
    <w:rsid w:val="001C0D4F"/>
    <w:rsid w:val="001C1BA3"/>
    <w:rsid w:val="001C1DEC"/>
    <w:rsid w:val="001C5736"/>
    <w:rsid w:val="001D590A"/>
    <w:rsid w:val="001D647F"/>
    <w:rsid w:val="001D6857"/>
    <w:rsid w:val="001E0572"/>
    <w:rsid w:val="001E0A67"/>
    <w:rsid w:val="001E1028"/>
    <w:rsid w:val="001E14E2"/>
    <w:rsid w:val="001E6302"/>
    <w:rsid w:val="001E7DCB"/>
    <w:rsid w:val="001F2961"/>
    <w:rsid w:val="001F3411"/>
    <w:rsid w:val="001F4287"/>
    <w:rsid w:val="001F4DBA"/>
    <w:rsid w:val="001F4DD1"/>
    <w:rsid w:val="0020415E"/>
    <w:rsid w:val="00204FF4"/>
    <w:rsid w:val="0021056E"/>
    <w:rsid w:val="0021075D"/>
    <w:rsid w:val="0021165A"/>
    <w:rsid w:val="00211BC9"/>
    <w:rsid w:val="00212A09"/>
    <w:rsid w:val="0021620C"/>
    <w:rsid w:val="00216E78"/>
    <w:rsid w:val="00217275"/>
    <w:rsid w:val="002211DD"/>
    <w:rsid w:val="00234CFA"/>
    <w:rsid w:val="00236F4B"/>
    <w:rsid w:val="00242B0D"/>
    <w:rsid w:val="002467C6"/>
    <w:rsid w:val="0024692A"/>
    <w:rsid w:val="00252BBA"/>
    <w:rsid w:val="00253123"/>
    <w:rsid w:val="00257C25"/>
    <w:rsid w:val="00264001"/>
    <w:rsid w:val="00266354"/>
    <w:rsid w:val="00267A18"/>
    <w:rsid w:val="00273462"/>
    <w:rsid w:val="0027395B"/>
    <w:rsid w:val="00275854"/>
    <w:rsid w:val="00283B41"/>
    <w:rsid w:val="00284508"/>
    <w:rsid w:val="00285F28"/>
    <w:rsid w:val="00286398"/>
    <w:rsid w:val="002933CD"/>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57E3"/>
    <w:rsid w:val="002F6054"/>
    <w:rsid w:val="00310E13"/>
    <w:rsid w:val="00315713"/>
    <w:rsid w:val="0031686C"/>
    <w:rsid w:val="00316FE0"/>
    <w:rsid w:val="003204D2"/>
    <w:rsid w:val="00323D10"/>
    <w:rsid w:val="0032605E"/>
    <w:rsid w:val="003264A9"/>
    <w:rsid w:val="003275D1"/>
    <w:rsid w:val="00330B2A"/>
    <w:rsid w:val="00330E0C"/>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853A7"/>
    <w:rsid w:val="00391652"/>
    <w:rsid w:val="0039507F"/>
    <w:rsid w:val="00396020"/>
    <w:rsid w:val="003A0855"/>
    <w:rsid w:val="003A1260"/>
    <w:rsid w:val="003A295F"/>
    <w:rsid w:val="003A41DD"/>
    <w:rsid w:val="003A7033"/>
    <w:rsid w:val="003B47FE"/>
    <w:rsid w:val="003B5673"/>
    <w:rsid w:val="003B6287"/>
    <w:rsid w:val="003B62C9"/>
    <w:rsid w:val="003C2FDE"/>
    <w:rsid w:val="003C7176"/>
    <w:rsid w:val="003D0929"/>
    <w:rsid w:val="003D4729"/>
    <w:rsid w:val="003D7DD6"/>
    <w:rsid w:val="003E5AAF"/>
    <w:rsid w:val="003E600D"/>
    <w:rsid w:val="003E64DF"/>
    <w:rsid w:val="003E6A5D"/>
    <w:rsid w:val="003E6F51"/>
    <w:rsid w:val="003F193A"/>
    <w:rsid w:val="003F4207"/>
    <w:rsid w:val="003F5C46"/>
    <w:rsid w:val="003F7CBB"/>
    <w:rsid w:val="003F7D34"/>
    <w:rsid w:val="0041063C"/>
    <w:rsid w:val="00412C8E"/>
    <w:rsid w:val="0041518D"/>
    <w:rsid w:val="004208C3"/>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8A6"/>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114"/>
    <w:rsid w:val="004E4FF3"/>
    <w:rsid w:val="004E56A8"/>
    <w:rsid w:val="004E604F"/>
    <w:rsid w:val="004F3B55"/>
    <w:rsid w:val="004F428E"/>
    <w:rsid w:val="004F4E46"/>
    <w:rsid w:val="004F6B7D"/>
    <w:rsid w:val="005015F6"/>
    <w:rsid w:val="005030C4"/>
    <w:rsid w:val="005031C5"/>
    <w:rsid w:val="00504FDC"/>
    <w:rsid w:val="00506AEB"/>
    <w:rsid w:val="005120CC"/>
    <w:rsid w:val="00512B7B"/>
    <w:rsid w:val="00514EA1"/>
    <w:rsid w:val="0051798B"/>
    <w:rsid w:val="00521F5A"/>
    <w:rsid w:val="00525E06"/>
    <w:rsid w:val="00526142"/>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67833"/>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C1C"/>
    <w:rsid w:val="005B3FBA"/>
    <w:rsid w:val="005B4A1D"/>
    <w:rsid w:val="005B674D"/>
    <w:rsid w:val="005C056D"/>
    <w:rsid w:val="005C0CBE"/>
    <w:rsid w:val="005C1FCF"/>
    <w:rsid w:val="005C3F41"/>
    <w:rsid w:val="005D1885"/>
    <w:rsid w:val="005D4A38"/>
    <w:rsid w:val="005E0EF5"/>
    <w:rsid w:val="005E2EEA"/>
    <w:rsid w:val="005E3708"/>
    <w:rsid w:val="005E3CCD"/>
    <w:rsid w:val="005E3D6B"/>
    <w:rsid w:val="005E4AB9"/>
    <w:rsid w:val="005E5B55"/>
    <w:rsid w:val="005E5E4A"/>
    <w:rsid w:val="005E693D"/>
    <w:rsid w:val="005E75BF"/>
    <w:rsid w:val="005F57BA"/>
    <w:rsid w:val="005F61E6"/>
    <w:rsid w:val="005F684D"/>
    <w:rsid w:val="005F6C45"/>
    <w:rsid w:val="00605631"/>
    <w:rsid w:val="00605A69"/>
    <w:rsid w:val="00606C54"/>
    <w:rsid w:val="00610C93"/>
    <w:rsid w:val="00614375"/>
    <w:rsid w:val="00615B0A"/>
    <w:rsid w:val="006168CF"/>
    <w:rsid w:val="006179B8"/>
    <w:rsid w:val="0062011B"/>
    <w:rsid w:val="00626DE0"/>
    <w:rsid w:val="00630901"/>
    <w:rsid w:val="00631F8E"/>
    <w:rsid w:val="00636EE9"/>
    <w:rsid w:val="00640950"/>
    <w:rsid w:val="00641AE7"/>
    <w:rsid w:val="00642629"/>
    <w:rsid w:val="00644D36"/>
    <w:rsid w:val="0064782B"/>
    <w:rsid w:val="0065293D"/>
    <w:rsid w:val="00653EFC"/>
    <w:rsid w:val="00654021"/>
    <w:rsid w:val="0065786D"/>
    <w:rsid w:val="00661045"/>
    <w:rsid w:val="006615D3"/>
    <w:rsid w:val="00666DA8"/>
    <w:rsid w:val="00671057"/>
    <w:rsid w:val="00675AAF"/>
    <w:rsid w:val="0068031A"/>
    <w:rsid w:val="00681B2F"/>
    <w:rsid w:val="0068335F"/>
    <w:rsid w:val="00687217"/>
    <w:rsid w:val="00691A17"/>
    <w:rsid w:val="00693302"/>
    <w:rsid w:val="0069640B"/>
    <w:rsid w:val="006A1B83"/>
    <w:rsid w:val="006A21CD"/>
    <w:rsid w:val="006A4ACF"/>
    <w:rsid w:val="006A5918"/>
    <w:rsid w:val="006B21B2"/>
    <w:rsid w:val="006B4A4A"/>
    <w:rsid w:val="006B4FFC"/>
    <w:rsid w:val="006C19B2"/>
    <w:rsid w:val="006C4409"/>
    <w:rsid w:val="006C5BB8"/>
    <w:rsid w:val="006C6936"/>
    <w:rsid w:val="006C7B01"/>
    <w:rsid w:val="006D0ED1"/>
    <w:rsid w:val="006D0FE8"/>
    <w:rsid w:val="006D318F"/>
    <w:rsid w:val="006D4B2B"/>
    <w:rsid w:val="006D4F3C"/>
    <w:rsid w:val="006D5C66"/>
    <w:rsid w:val="006D7002"/>
    <w:rsid w:val="006E1B3C"/>
    <w:rsid w:val="006E23FB"/>
    <w:rsid w:val="006E325A"/>
    <w:rsid w:val="006E33EC"/>
    <w:rsid w:val="006E3802"/>
    <w:rsid w:val="006E6C02"/>
    <w:rsid w:val="006F231A"/>
    <w:rsid w:val="006F63D0"/>
    <w:rsid w:val="006F6B55"/>
    <w:rsid w:val="006F788D"/>
    <w:rsid w:val="006F78E1"/>
    <w:rsid w:val="00701072"/>
    <w:rsid w:val="00701DFE"/>
    <w:rsid w:val="00702054"/>
    <w:rsid w:val="007035A4"/>
    <w:rsid w:val="00711799"/>
    <w:rsid w:val="00712B78"/>
    <w:rsid w:val="0071393B"/>
    <w:rsid w:val="00713EE2"/>
    <w:rsid w:val="0071666A"/>
    <w:rsid w:val="007177FC"/>
    <w:rsid w:val="00720C5E"/>
    <w:rsid w:val="00721701"/>
    <w:rsid w:val="00723D5F"/>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4E6"/>
    <w:rsid w:val="007B0DC6"/>
    <w:rsid w:val="007B1094"/>
    <w:rsid w:val="007B1762"/>
    <w:rsid w:val="007B3320"/>
    <w:rsid w:val="007B56D7"/>
    <w:rsid w:val="007C301F"/>
    <w:rsid w:val="007C4540"/>
    <w:rsid w:val="007C65AF"/>
    <w:rsid w:val="007D135D"/>
    <w:rsid w:val="007D730F"/>
    <w:rsid w:val="007D7CD8"/>
    <w:rsid w:val="007E3AA7"/>
    <w:rsid w:val="007E6D2A"/>
    <w:rsid w:val="007F2CA3"/>
    <w:rsid w:val="007F737D"/>
    <w:rsid w:val="00800CBD"/>
    <w:rsid w:val="0080308E"/>
    <w:rsid w:val="00805303"/>
    <w:rsid w:val="00805A8D"/>
    <w:rsid w:val="00806705"/>
    <w:rsid w:val="00806738"/>
    <w:rsid w:val="008216D5"/>
    <w:rsid w:val="008249CE"/>
    <w:rsid w:val="00831A50"/>
    <w:rsid w:val="00831B3C"/>
    <w:rsid w:val="00831C89"/>
    <w:rsid w:val="00832114"/>
    <w:rsid w:val="00834C46"/>
    <w:rsid w:val="0084093E"/>
    <w:rsid w:val="00841CE1"/>
    <w:rsid w:val="008424CE"/>
    <w:rsid w:val="00843F37"/>
    <w:rsid w:val="008473D8"/>
    <w:rsid w:val="008528DC"/>
    <w:rsid w:val="00852B8C"/>
    <w:rsid w:val="00854981"/>
    <w:rsid w:val="00864B2E"/>
    <w:rsid w:val="00865963"/>
    <w:rsid w:val="00871C1D"/>
    <w:rsid w:val="0087450E"/>
    <w:rsid w:val="00875A82"/>
    <w:rsid w:val="00876CA3"/>
    <w:rsid w:val="008772FE"/>
    <w:rsid w:val="008775F1"/>
    <w:rsid w:val="00880EFC"/>
    <w:rsid w:val="008821AE"/>
    <w:rsid w:val="00883D3A"/>
    <w:rsid w:val="008854F7"/>
    <w:rsid w:val="00885A9D"/>
    <w:rsid w:val="00887673"/>
    <w:rsid w:val="008929D2"/>
    <w:rsid w:val="00893636"/>
    <w:rsid w:val="00893B94"/>
    <w:rsid w:val="00896E9D"/>
    <w:rsid w:val="00896F11"/>
    <w:rsid w:val="008A0E6F"/>
    <w:rsid w:val="008A0FD6"/>
    <w:rsid w:val="008A1049"/>
    <w:rsid w:val="008A1AFA"/>
    <w:rsid w:val="008A1C98"/>
    <w:rsid w:val="008A322D"/>
    <w:rsid w:val="008A4D72"/>
    <w:rsid w:val="008A6285"/>
    <w:rsid w:val="008A63B2"/>
    <w:rsid w:val="008A7FE3"/>
    <w:rsid w:val="008B0357"/>
    <w:rsid w:val="008B345D"/>
    <w:rsid w:val="008C1FC2"/>
    <w:rsid w:val="008C2980"/>
    <w:rsid w:val="008C4DD6"/>
    <w:rsid w:val="008C5AFB"/>
    <w:rsid w:val="008D07FB"/>
    <w:rsid w:val="008D0C02"/>
    <w:rsid w:val="008D2986"/>
    <w:rsid w:val="008D357D"/>
    <w:rsid w:val="008D435A"/>
    <w:rsid w:val="008E387B"/>
    <w:rsid w:val="008E6087"/>
    <w:rsid w:val="008E758D"/>
    <w:rsid w:val="008F10A7"/>
    <w:rsid w:val="008F3657"/>
    <w:rsid w:val="008F755D"/>
    <w:rsid w:val="008F7A39"/>
    <w:rsid w:val="009021E8"/>
    <w:rsid w:val="00904677"/>
    <w:rsid w:val="00905EE2"/>
    <w:rsid w:val="00911440"/>
    <w:rsid w:val="00911712"/>
    <w:rsid w:val="00911B27"/>
    <w:rsid w:val="009170BE"/>
    <w:rsid w:val="00920B55"/>
    <w:rsid w:val="0092416C"/>
    <w:rsid w:val="009262C9"/>
    <w:rsid w:val="00930EB9"/>
    <w:rsid w:val="00933DC7"/>
    <w:rsid w:val="009418F4"/>
    <w:rsid w:val="00942231"/>
    <w:rsid w:val="00942BBC"/>
    <w:rsid w:val="00944180"/>
    <w:rsid w:val="00944AA0"/>
    <w:rsid w:val="00947DA2"/>
    <w:rsid w:val="00951177"/>
    <w:rsid w:val="009512E7"/>
    <w:rsid w:val="009630A0"/>
    <w:rsid w:val="00963772"/>
    <w:rsid w:val="0096527B"/>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32FE"/>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3C6E"/>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375E9"/>
    <w:rsid w:val="00A4088C"/>
    <w:rsid w:val="00A4456B"/>
    <w:rsid w:val="00A448D4"/>
    <w:rsid w:val="00A452E0"/>
    <w:rsid w:val="00A506DF"/>
    <w:rsid w:val="00A51EA5"/>
    <w:rsid w:val="00A531EF"/>
    <w:rsid w:val="00A53742"/>
    <w:rsid w:val="00A53C11"/>
    <w:rsid w:val="00A557A1"/>
    <w:rsid w:val="00A63059"/>
    <w:rsid w:val="00A63AE3"/>
    <w:rsid w:val="00A651A4"/>
    <w:rsid w:val="00A71361"/>
    <w:rsid w:val="00A72CAC"/>
    <w:rsid w:val="00A746E2"/>
    <w:rsid w:val="00A81FF2"/>
    <w:rsid w:val="00A83904"/>
    <w:rsid w:val="00A90A79"/>
    <w:rsid w:val="00A96B30"/>
    <w:rsid w:val="00AA442D"/>
    <w:rsid w:val="00AA59B5"/>
    <w:rsid w:val="00AA6B30"/>
    <w:rsid w:val="00AA7777"/>
    <w:rsid w:val="00AA7B84"/>
    <w:rsid w:val="00AB339A"/>
    <w:rsid w:val="00AC0B4C"/>
    <w:rsid w:val="00AC1164"/>
    <w:rsid w:val="00AC2296"/>
    <w:rsid w:val="00AC2754"/>
    <w:rsid w:val="00AC48B0"/>
    <w:rsid w:val="00AC4ACD"/>
    <w:rsid w:val="00AC5DFB"/>
    <w:rsid w:val="00AC68EB"/>
    <w:rsid w:val="00AD13DC"/>
    <w:rsid w:val="00AD6DE2"/>
    <w:rsid w:val="00AE0A40"/>
    <w:rsid w:val="00AE1ED4"/>
    <w:rsid w:val="00AE21E1"/>
    <w:rsid w:val="00AE2F8D"/>
    <w:rsid w:val="00AE3BAE"/>
    <w:rsid w:val="00AE6A21"/>
    <w:rsid w:val="00AE712C"/>
    <w:rsid w:val="00AF1C8F"/>
    <w:rsid w:val="00AF2B68"/>
    <w:rsid w:val="00AF2C92"/>
    <w:rsid w:val="00AF3EC1"/>
    <w:rsid w:val="00AF5025"/>
    <w:rsid w:val="00AF519F"/>
    <w:rsid w:val="00AF5387"/>
    <w:rsid w:val="00AF55F5"/>
    <w:rsid w:val="00AF6973"/>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12E5"/>
    <w:rsid w:val="00B53170"/>
    <w:rsid w:val="00B548B9"/>
    <w:rsid w:val="00B562DE"/>
    <w:rsid w:val="00B56DBE"/>
    <w:rsid w:val="00B60B67"/>
    <w:rsid w:val="00B62999"/>
    <w:rsid w:val="00B63BE3"/>
    <w:rsid w:val="00B64885"/>
    <w:rsid w:val="00B64FA3"/>
    <w:rsid w:val="00B65AC0"/>
    <w:rsid w:val="00B66810"/>
    <w:rsid w:val="00B72BE3"/>
    <w:rsid w:val="00B73B80"/>
    <w:rsid w:val="00B770C7"/>
    <w:rsid w:val="00B80F26"/>
    <w:rsid w:val="00B822BD"/>
    <w:rsid w:val="00B842F4"/>
    <w:rsid w:val="00B852B2"/>
    <w:rsid w:val="00B91A7B"/>
    <w:rsid w:val="00B929DD"/>
    <w:rsid w:val="00B93AF6"/>
    <w:rsid w:val="00B95405"/>
    <w:rsid w:val="00B963F1"/>
    <w:rsid w:val="00BA020A"/>
    <w:rsid w:val="00BA16C4"/>
    <w:rsid w:val="00BA320F"/>
    <w:rsid w:val="00BA3687"/>
    <w:rsid w:val="00BB025A"/>
    <w:rsid w:val="00BB02A4"/>
    <w:rsid w:val="00BB1270"/>
    <w:rsid w:val="00BB1E44"/>
    <w:rsid w:val="00BB5267"/>
    <w:rsid w:val="00BB52B8"/>
    <w:rsid w:val="00BB59D8"/>
    <w:rsid w:val="00BB7E69"/>
    <w:rsid w:val="00BC0E51"/>
    <w:rsid w:val="00BC3C1F"/>
    <w:rsid w:val="00BC7CE7"/>
    <w:rsid w:val="00BD1C54"/>
    <w:rsid w:val="00BD295E"/>
    <w:rsid w:val="00BD4664"/>
    <w:rsid w:val="00BE1193"/>
    <w:rsid w:val="00BE49E4"/>
    <w:rsid w:val="00BF4849"/>
    <w:rsid w:val="00BF4EA7"/>
    <w:rsid w:val="00BF6525"/>
    <w:rsid w:val="00C00EDB"/>
    <w:rsid w:val="00C02863"/>
    <w:rsid w:val="00C02962"/>
    <w:rsid w:val="00C032E3"/>
    <w:rsid w:val="00C0383A"/>
    <w:rsid w:val="00C067FF"/>
    <w:rsid w:val="00C12862"/>
    <w:rsid w:val="00C13D28"/>
    <w:rsid w:val="00C14585"/>
    <w:rsid w:val="00C165A0"/>
    <w:rsid w:val="00C216CE"/>
    <w:rsid w:val="00C2184F"/>
    <w:rsid w:val="00C22A78"/>
    <w:rsid w:val="00C23C7E"/>
    <w:rsid w:val="00C246C5"/>
    <w:rsid w:val="00C25A82"/>
    <w:rsid w:val="00C30A2A"/>
    <w:rsid w:val="00C30BF6"/>
    <w:rsid w:val="00C32F5D"/>
    <w:rsid w:val="00C33993"/>
    <w:rsid w:val="00C35C17"/>
    <w:rsid w:val="00C4069E"/>
    <w:rsid w:val="00C41ADC"/>
    <w:rsid w:val="00C44149"/>
    <w:rsid w:val="00C44410"/>
    <w:rsid w:val="00C44A15"/>
    <w:rsid w:val="00C4630A"/>
    <w:rsid w:val="00C5060A"/>
    <w:rsid w:val="00C523F0"/>
    <w:rsid w:val="00C526D2"/>
    <w:rsid w:val="00C53A91"/>
    <w:rsid w:val="00C5794E"/>
    <w:rsid w:val="00C60968"/>
    <w:rsid w:val="00C60B04"/>
    <w:rsid w:val="00C63D39"/>
    <w:rsid w:val="00C63EDD"/>
    <w:rsid w:val="00C65670"/>
    <w:rsid w:val="00C65B36"/>
    <w:rsid w:val="00C7292E"/>
    <w:rsid w:val="00C73C61"/>
    <w:rsid w:val="00C74E88"/>
    <w:rsid w:val="00C80924"/>
    <w:rsid w:val="00C8286B"/>
    <w:rsid w:val="00C87B42"/>
    <w:rsid w:val="00C947F8"/>
    <w:rsid w:val="00C9515F"/>
    <w:rsid w:val="00C963C5"/>
    <w:rsid w:val="00CA030C"/>
    <w:rsid w:val="00CA1F41"/>
    <w:rsid w:val="00CA32EE"/>
    <w:rsid w:val="00CA5771"/>
    <w:rsid w:val="00CA6A1A"/>
    <w:rsid w:val="00CB6260"/>
    <w:rsid w:val="00CC02BF"/>
    <w:rsid w:val="00CC1E75"/>
    <w:rsid w:val="00CC2E0E"/>
    <w:rsid w:val="00CC361C"/>
    <w:rsid w:val="00CC474B"/>
    <w:rsid w:val="00CC658C"/>
    <w:rsid w:val="00CC67BF"/>
    <w:rsid w:val="00CD0843"/>
    <w:rsid w:val="00CD4E31"/>
    <w:rsid w:val="00CD5A78"/>
    <w:rsid w:val="00CD7345"/>
    <w:rsid w:val="00CE372E"/>
    <w:rsid w:val="00CF0664"/>
    <w:rsid w:val="00CF0A1B"/>
    <w:rsid w:val="00CF19F6"/>
    <w:rsid w:val="00CF2F4F"/>
    <w:rsid w:val="00CF536D"/>
    <w:rsid w:val="00D02E9D"/>
    <w:rsid w:val="00D05221"/>
    <w:rsid w:val="00D10CB8"/>
    <w:rsid w:val="00D12806"/>
    <w:rsid w:val="00D12D44"/>
    <w:rsid w:val="00D15018"/>
    <w:rsid w:val="00D158AC"/>
    <w:rsid w:val="00D1694C"/>
    <w:rsid w:val="00D20F5E"/>
    <w:rsid w:val="00D23B76"/>
    <w:rsid w:val="00D24B4A"/>
    <w:rsid w:val="00D329C7"/>
    <w:rsid w:val="00D368A7"/>
    <w:rsid w:val="00D379A3"/>
    <w:rsid w:val="00D45FF3"/>
    <w:rsid w:val="00D512CF"/>
    <w:rsid w:val="00D528B9"/>
    <w:rsid w:val="00D53186"/>
    <w:rsid w:val="00D5487D"/>
    <w:rsid w:val="00D60140"/>
    <w:rsid w:val="00D6024A"/>
    <w:rsid w:val="00D608B5"/>
    <w:rsid w:val="00D61BFB"/>
    <w:rsid w:val="00D64739"/>
    <w:rsid w:val="00D70E4C"/>
    <w:rsid w:val="00D71F99"/>
    <w:rsid w:val="00D73CA4"/>
    <w:rsid w:val="00D73D71"/>
    <w:rsid w:val="00D74396"/>
    <w:rsid w:val="00D80284"/>
    <w:rsid w:val="00D81F71"/>
    <w:rsid w:val="00D8380B"/>
    <w:rsid w:val="00D8642D"/>
    <w:rsid w:val="00D90A5E"/>
    <w:rsid w:val="00D916BF"/>
    <w:rsid w:val="00D91A68"/>
    <w:rsid w:val="00D95A68"/>
    <w:rsid w:val="00D962C9"/>
    <w:rsid w:val="00DA17C7"/>
    <w:rsid w:val="00DA5B77"/>
    <w:rsid w:val="00DA6A9A"/>
    <w:rsid w:val="00DB1D5F"/>
    <w:rsid w:val="00DB1EFD"/>
    <w:rsid w:val="00DB3EAF"/>
    <w:rsid w:val="00DB46C6"/>
    <w:rsid w:val="00DC3203"/>
    <w:rsid w:val="00DC3C99"/>
    <w:rsid w:val="00DC4161"/>
    <w:rsid w:val="00DC46DB"/>
    <w:rsid w:val="00DC52F5"/>
    <w:rsid w:val="00DC5FD0"/>
    <w:rsid w:val="00DD0354"/>
    <w:rsid w:val="00DD27D7"/>
    <w:rsid w:val="00DD443D"/>
    <w:rsid w:val="00DD458C"/>
    <w:rsid w:val="00DD58AD"/>
    <w:rsid w:val="00DD5A1B"/>
    <w:rsid w:val="00DD72E9"/>
    <w:rsid w:val="00DD7605"/>
    <w:rsid w:val="00DE2020"/>
    <w:rsid w:val="00DE2915"/>
    <w:rsid w:val="00DE3476"/>
    <w:rsid w:val="00DE7BEA"/>
    <w:rsid w:val="00DF5B84"/>
    <w:rsid w:val="00DF6D5B"/>
    <w:rsid w:val="00DF771B"/>
    <w:rsid w:val="00DF7EE2"/>
    <w:rsid w:val="00E017CF"/>
    <w:rsid w:val="00E01BAA"/>
    <w:rsid w:val="00E02249"/>
    <w:rsid w:val="00E0282A"/>
    <w:rsid w:val="00E02F9B"/>
    <w:rsid w:val="00E07E14"/>
    <w:rsid w:val="00E11895"/>
    <w:rsid w:val="00E14F94"/>
    <w:rsid w:val="00E17336"/>
    <w:rsid w:val="00E17D15"/>
    <w:rsid w:val="00E21D67"/>
    <w:rsid w:val="00E22B95"/>
    <w:rsid w:val="00E30331"/>
    <w:rsid w:val="00E30BB8"/>
    <w:rsid w:val="00E31F9C"/>
    <w:rsid w:val="00E33074"/>
    <w:rsid w:val="00E40488"/>
    <w:rsid w:val="00E47788"/>
    <w:rsid w:val="00E50367"/>
    <w:rsid w:val="00E51ABA"/>
    <w:rsid w:val="00E524CB"/>
    <w:rsid w:val="00E65456"/>
    <w:rsid w:val="00E65A91"/>
    <w:rsid w:val="00E66188"/>
    <w:rsid w:val="00E664FB"/>
    <w:rsid w:val="00E672F0"/>
    <w:rsid w:val="00E67711"/>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1C"/>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2D6A"/>
    <w:rsid w:val="00F93D8C"/>
    <w:rsid w:val="00FA3102"/>
    <w:rsid w:val="00FA48D4"/>
    <w:rsid w:val="00FA54FA"/>
    <w:rsid w:val="00FA6D39"/>
    <w:rsid w:val="00FB227E"/>
    <w:rsid w:val="00FB3D61"/>
    <w:rsid w:val="00FB44CE"/>
    <w:rsid w:val="00FB5009"/>
    <w:rsid w:val="00FB76AB"/>
    <w:rsid w:val="00FC4702"/>
    <w:rsid w:val="00FD03FE"/>
    <w:rsid w:val="00FD126E"/>
    <w:rsid w:val="00FD35A6"/>
    <w:rsid w:val="00FD3C36"/>
    <w:rsid w:val="00FD4D81"/>
    <w:rsid w:val="00FD7498"/>
    <w:rsid w:val="00FD7FB3"/>
    <w:rsid w:val="00FE4713"/>
    <w:rsid w:val="00FE7214"/>
    <w:rsid w:val="00FF1C06"/>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6ABD"/>
  <w14:defaultImageDpi w14:val="330"/>
  <w15:docId w15:val="{028E9B8E-4103-4A39-816E-A84CB6A0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DD5A1B"/>
    <w:rPr>
      <w:color w:val="0000FF" w:themeColor="hyperlink"/>
      <w:u w:val="single"/>
    </w:rPr>
  </w:style>
  <w:style w:type="table" w:customStyle="1" w:styleId="PlainTable21">
    <w:name w:val="Plain Table 21"/>
    <w:basedOn w:val="TableNormal"/>
    <w:uiPriority w:val="42"/>
    <w:rsid w:val="00C30BF6"/>
    <w:rPr>
      <w:rFonts w:asciiTheme="minorHAnsi" w:eastAsiaTheme="minorEastAsia" w:hAnsiTheme="minorHAnsi" w:cstheme="minorBidi"/>
      <w:sz w:val="24"/>
      <w:szCs w:val="24"/>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semiHidden/>
    <w:unhideWhenUsed/>
    <w:rsid w:val="002F57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F57E3"/>
    <w:rPr>
      <w:rFonts w:ascii="Segoe UI" w:hAnsi="Segoe UI" w:cs="Segoe UI"/>
      <w:sz w:val="18"/>
      <w:szCs w:val="18"/>
    </w:rPr>
  </w:style>
  <w:style w:type="character" w:styleId="LineNumber">
    <w:name w:val="line number"/>
    <w:basedOn w:val="DefaultParagraphFont"/>
    <w:semiHidden/>
    <w:unhideWhenUsed/>
    <w:rsid w:val="00AF6973"/>
  </w:style>
  <w:style w:type="character" w:styleId="CommentReference">
    <w:name w:val="annotation reference"/>
    <w:basedOn w:val="DefaultParagraphFont"/>
    <w:semiHidden/>
    <w:unhideWhenUsed/>
    <w:rsid w:val="00145878"/>
    <w:rPr>
      <w:sz w:val="18"/>
      <w:szCs w:val="18"/>
    </w:rPr>
  </w:style>
  <w:style w:type="paragraph" w:styleId="CommentText">
    <w:name w:val="annotation text"/>
    <w:basedOn w:val="Normal"/>
    <w:link w:val="CommentTextChar"/>
    <w:semiHidden/>
    <w:unhideWhenUsed/>
    <w:rsid w:val="00145878"/>
    <w:pPr>
      <w:spacing w:line="240" w:lineRule="auto"/>
    </w:pPr>
  </w:style>
  <w:style w:type="character" w:customStyle="1" w:styleId="CommentTextChar">
    <w:name w:val="Comment Text Char"/>
    <w:basedOn w:val="DefaultParagraphFont"/>
    <w:link w:val="CommentText"/>
    <w:semiHidden/>
    <w:rsid w:val="00145878"/>
    <w:rPr>
      <w:sz w:val="24"/>
      <w:szCs w:val="24"/>
    </w:rPr>
  </w:style>
  <w:style w:type="paragraph" w:styleId="CommentSubject">
    <w:name w:val="annotation subject"/>
    <w:basedOn w:val="CommentText"/>
    <w:next w:val="CommentText"/>
    <w:link w:val="CommentSubjectChar"/>
    <w:semiHidden/>
    <w:unhideWhenUsed/>
    <w:rsid w:val="00145878"/>
    <w:rPr>
      <w:b/>
      <w:bCs/>
      <w:sz w:val="20"/>
      <w:szCs w:val="20"/>
    </w:rPr>
  </w:style>
  <w:style w:type="character" w:customStyle="1" w:styleId="CommentSubjectChar">
    <w:name w:val="Comment Subject Char"/>
    <w:basedOn w:val="CommentTextChar"/>
    <w:link w:val="CommentSubject"/>
    <w:semiHidden/>
    <w:rsid w:val="00145878"/>
    <w:rPr>
      <w:b/>
      <w:bCs/>
      <w:sz w:val="24"/>
      <w:szCs w:val="24"/>
    </w:rPr>
  </w:style>
  <w:style w:type="paragraph" w:styleId="Revision">
    <w:name w:val="Revision"/>
    <w:hidden/>
    <w:semiHidden/>
    <w:rsid w:val="00E3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975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32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Chassy@liverpoo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y\Downloads\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D044-32A9-4EF8-9400-778599DC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12</TotalTime>
  <Pages>26</Pages>
  <Words>6165</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Chassy, Philippe</dc:creator>
  <cp:lastModifiedBy>Dan Clark</cp:lastModifiedBy>
  <cp:revision>4</cp:revision>
  <cp:lastPrinted>2011-07-22T14:54:00Z</cp:lastPrinted>
  <dcterms:created xsi:type="dcterms:W3CDTF">2018-03-19T14:26:00Z</dcterms:created>
  <dcterms:modified xsi:type="dcterms:W3CDTF">2018-04-16T12:10:00Z</dcterms:modified>
</cp:coreProperties>
</file>