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8E58C" w14:textId="7A598785" w:rsidR="00FE7D45" w:rsidRPr="00057B72" w:rsidRDefault="00FE7D45" w:rsidP="00CA4E40">
      <w:pPr>
        <w:spacing w:line="360" w:lineRule="auto"/>
        <w:jc w:val="center"/>
        <w:rPr>
          <w:b/>
          <w:sz w:val="28"/>
          <w:szCs w:val="28"/>
        </w:rPr>
      </w:pPr>
      <w:r w:rsidRPr="00057B72">
        <w:rPr>
          <w:b/>
          <w:sz w:val="28"/>
          <w:szCs w:val="28"/>
        </w:rPr>
        <w:t>New directions in the histo</w:t>
      </w:r>
      <w:bookmarkStart w:id="0" w:name="_GoBack"/>
      <w:bookmarkEnd w:id="0"/>
      <w:r w:rsidRPr="00057B72">
        <w:rPr>
          <w:b/>
          <w:sz w:val="28"/>
          <w:szCs w:val="28"/>
        </w:rPr>
        <w:t xml:space="preserve">riography of </w:t>
      </w:r>
      <w:r w:rsidR="004B13C1" w:rsidRPr="00057B72">
        <w:rPr>
          <w:b/>
          <w:sz w:val="28"/>
          <w:szCs w:val="28"/>
        </w:rPr>
        <w:t xml:space="preserve">the administration </w:t>
      </w:r>
      <w:r w:rsidRPr="00057B72">
        <w:rPr>
          <w:b/>
          <w:sz w:val="28"/>
          <w:szCs w:val="28"/>
        </w:rPr>
        <w:t>the Bloody Code</w:t>
      </w:r>
    </w:p>
    <w:p w14:paraId="1FEE5278" w14:textId="4223C955" w:rsidR="00FE7D45" w:rsidRPr="00057B72" w:rsidRDefault="00FE7D45" w:rsidP="00C319B9">
      <w:pPr>
        <w:spacing w:line="360" w:lineRule="auto"/>
      </w:pPr>
    </w:p>
    <w:p w14:paraId="19B4E08C" w14:textId="77777777" w:rsidR="00035669" w:rsidRPr="00057B72" w:rsidRDefault="00035669" w:rsidP="00C319B9">
      <w:pPr>
        <w:spacing w:line="360" w:lineRule="auto"/>
      </w:pPr>
    </w:p>
    <w:p w14:paraId="71EF8B3B" w14:textId="68916EAF" w:rsidR="00CA4E40" w:rsidRPr="00057B72" w:rsidRDefault="00CA4E40" w:rsidP="00C319B9">
      <w:pPr>
        <w:spacing w:line="360" w:lineRule="auto"/>
        <w:rPr>
          <w:b/>
        </w:rPr>
      </w:pPr>
      <w:r w:rsidRPr="00057B72">
        <w:rPr>
          <w:b/>
        </w:rPr>
        <w:t>John Walliss</w:t>
      </w:r>
    </w:p>
    <w:p w14:paraId="4205F893" w14:textId="2E5013FB" w:rsidR="00C319B9" w:rsidRPr="00057B72" w:rsidRDefault="00C319B9" w:rsidP="00C319B9">
      <w:pPr>
        <w:spacing w:line="360" w:lineRule="auto"/>
        <w:jc w:val="both"/>
      </w:pPr>
    </w:p>
    <w:p w14:paraId="511B46F2" w14:textId="1E7D85B0" w:rsidR="00CA4E40" w:rsidRPr="00057B72" w:rsidRDefault="00CA4E40" w:rsidP="00C319B9">
      <w:pPr>
        <w:spacing w:line="360" w:lineRule="auto"/>
        <w:jc w:val="both"/>
      </w:pPr>
    </w:p>
    <w:p w14:paraId="507E6743" w14:textId="5CDD66E1" w:rsidR="00CA4E40" w:rsidRPr="00057B72" w:rsidRDefault="00CA4E40" w:rsidP="00C319B9">
      <w:pPr>
        <w:spacing w:line="360" w:lineRule="auto"/>
        <w:jc w:val="both"/>
        <w:rPr>
          <w:b/>
        </w:rPr>
      </w:pPr>
      <w:r w:rsidRPr="00057B72">
        <w:rPr>
          <w:b/>
        </w:rPr>
        <w:t>Introduction</w:t>
      </w:r>
    </w:p>
    <w:p w14:paraId="3FDD2E38" w14:textId="77777777" w:rsidR="00CA4E40" w:rsidRPr="00057B72" w:rsidRDefault="00CA4E40" w:rsidP="00C319B9">
      <w:pPr>
        <w:spacing w:line="360" w:lineRule="auto"/>
        <w:jc w:val="both"/>
      </w:pPr>
    </w:p>
    <w:p w14:paraId="7460FF7B" w14:textId="445A579F" w:rsidR="00C33198" w:rsidRPr="00057B72" w:rsidRDefault="00C319B9" w:rsidP="00D21369">
      <w:pPr>
        <w:spacing w:line="360" w:lineRule="auto"/>
        <w:jc w:val="both"/>
      </w:pPr>
      <w:r w:rsidRPr="00057B72">
        <w:t xml:space="preserve">Between 1688 and 1820, the number of capital crimes in England and Wales increased exponentially from fifty to over two hundred and twenty. Men and women found themselves facing the gallows having being convicted of crimes ranging from murder, through burglary and housebreaking </w:t>
      </w:r>
      <w:r w:rsidR="00025AB3" w:rsidRPr="00057B72">
        <w:t>to</w:t>
      </w:r>
      <w:r w:rsidRPr="00057B72">
        <w:t xml:space="preserve"> horse, cattle and sheep theft. As the great opponent of capital punishment, Sir Samuel </w:t>
      </w:r>
      <w:proofErr w:type="spellStart"/>
      <w:r w:rsidRPr="00057B72">
        <w:t>Romilly</w:t>
      </w:r>
      <w:proofErr w:type="spellEnd"/>
      <w:r w:rsidRPr="00057B72">
        <w:t xml:space="preserve"> </w:t>
      </w:r>
      <w:r w:rsidR="00B36A5D" w:rsidRPr="00057B72">
        <w:t xml:space="preserve">(1820, p. 108) </w:t>
      </w:r>
      <w:r w:rsidRPr="00057B72">
        <w:t>told the House of Commons in 1810, “there is probably no other country in the world in which so many and so great a variety of human actions are punishable with loss of life as in England”.</w:t>
      </w:r>
      <w:r w:rsidRPr="00057B72">
        <w:rPr>
          <w:rStyle w:val="EndnoteReference"/>
        </w:rPr>
        <w:endnoteReference w:id="1"/>
      </w:r>
      <w:r w:rsidRPr="00057B72">
        <w:t xml:space="preserve"> </w:t>
      </w:r>
      <w:r w:rsidR="00C33198" w:rsidRPr="00057B72">
        <w:t>Almost h</w:t>
      </w:r>
      <w:r w:rsidRPr="00057B72">
        <w:t xml:space="preserve">alf a century later, </w:t>
      </w:r>
      <w:r w:rsidR="00C33198" w:rsidRPr="00057B72">
        <w:t>another opponent of capital punishment, Charles Phillips</w:t>
      </w:r>
      <w:r w:rsidR="00B36A5D" w:rsidRPr="00057B72">
        <w:t xml:space="preserve"> (1857, pp. 3,4)</w:t>
      </w:r>
      <w:r w:rsidR="00C33198" w:rsidRPr="00057B72">
        <w:t>, described with horror how it was “…frightful to look back on the penal code of England, as it stood even in our own day. Every page of ou</w:t>
      </w:r>
      <w:r w:rsidR="00D21369" w:rsidRPr="00057B72">
        <w:t>r statute-book smelt of blood”</w:t>
      </w:r>
      <w:r w:rsidR="00B36A5D" w:rsidRPr="00057B72">
        <w:t xml:space="preserve">. </w:t>
      </w:r>
      <w:r w:rsidR="00C33198" w:rsidRPr="00057B72">
        <w:t xml:space="preserve">In practice however, the Bloody Code, as it subsequently came to be known, was significantly less brutal in practice than Phillips implied. While those convicted of murder more often than not expiated for their crime on the gallows, the majority of those convicted of lesser offences were often pardoned, receiving instead a sentence of transportation or even imprisonment. Indeed, it was estimated in the 1820s that </w:t>
      </w:r>
      <w:r w:rsidR="009418A4" w:rsidRPr="00057B72">
        <w:t>in order to hang all those condemned to death, four persons would have to be dispatched on the gallows every day of the year with the exception of Sundays</w:t>
      </w:r>
      <w:r w:rsidR="00B36A5D" w:rsidRPr="00057B72">
        <w:t xml:space="preserve"> (</w:t>
      </w:r>
      <w:proofErr w:type="spellStart"/>
      <w:r w:rsidR="00B36A5D" w:rsidRPr="00057B72">
        <w:t>Cottu</w:t>
      </w:r>
      <w:proofErr w:type="spellEnd"/>
      <w:r w:rsidR="00B36A5D" w:rsidRPr="00057B72">
        <w:t>, 1822)</w:t>
      </w:r>
      <w:r w:rsidR="009418A4" w:rsidRPr="00057B72">
        <w:t>.</w:t>
      </w:r>
    </w:p>
    <w:p w14:paraId="4CA17E90" w14:textId="6A81301A" w:rsidR="002410D3" w:rsidRPr="00057B72" w:rsidRDefault="002410D3" w:rsidP="00C33198">
      <w:pPr>
        <w:spacing w:line="360" w:lineRule="auto"/>
        <w:jc w:val="both"/>
      </w:pPr>
    </w:p>
    <w:p w14:paraId="1842CB92" w14:textId="20369D86" w:rsidR="00C500C1" w:rsidRPr="00057B72" w:rsidRDefault="002410D3" w:rsidP="002410D3">
      <w:pPr>
        <w:spacing w:line="360" w:lineRule="auto"/>
        <w:jc w:val="both"/>
      </w:pPr>
      <w:r w:rsidRPr="00057B72">
        <w:tab/>
        <w:t xml:space="preserve">The 1970s and 1980s witnessed a debate among Marxist historians and others over the extent to which the Bloody Code operated as a tool of the ruling elite to protect property interests. In his 1975 essay ‘Property, authority and the criminal law’, Douglas Hay </w:t>
      </w:r>
      <w:r w:rsidR="00B36A5D" w:rsidRPr="00057B72">
        <w:t>(1975</w:t>
      </w:r>
      <w:r w:rsidR="00DC50FD" w:rsidRPr="00057B72">
        <w:t xml:space="preserve"> [2011c]</w:t>
      </w:r>
      <w:r w:rsidR="00B36A5D" w:rsidRPr="00057B72">
        <w:t xml:space="preserve">) </w:t>
      </w:r>
      <w:r w:rsidRPr="00057B72">
        <w:t xml:space="preserve">argued that the Bloody Code played a </w:t>
      </w:r>
      <w:r w:rsidRPr="00057B72">
        <w:lastRenderedPageBreak/>
        <w:t xml:space="preserve">crucial ideological role during the period, by, on the one hand, </w:t>
      </w:r>
      <w:proofErr w:type="spellStart"/>
      <w:r w:rsidRPr="00057B72">
        <w:t>legitimising</w:t>
      </w:r>
      <w:proofErr w:type="spellEnd"/>
      <w:r w:rsidRPr="00057B72">
        <w:t xml:space="preserve"> the status quo and maintaining bonds of obedience and deference, and, on the other, protecting private property in the absence of a police force.</w:t>
      </w:r>
      <w:r w:rsidR="00B36A5D" w:rsidRPr="00057B72">
        <w:t xml:space="preserve"> </w:t>
      </w:r>
      <w:r w:rsidRPr="00057B72">
        <w:t>Other historians, most notably Peter King</w:t>
      </w:r>
      <w:r w:rsidR="00B36A5D" w:rsidRPr="00057B72">
        <w:t xml:space="preserve"> (1984)</w:t>
      </w:r>
      <w:r w:rsidRPr="00057B72">
        <w:t xml:space="preserve">, however argued that the variety of actors within the criminal justice process, many of whom were not members of elite groups, undermined the potential that the law could have been used as the exclusive tool of elites. King also showed how the decision over which felons left to hang </w:t>
      </w:r>
      <w:r w:rsidR="0008753A" w:rsidRPr="00057B72">
        <w:t>were actually executed</w:t>
      </w:r>
      <w:r w:rsidRPr="00057B72">
        <w:t xml:space="preserve"> was influenced by a variety of factors – such as the youth of the offender, their previous conduct or whether or not an example needed to be made to deter others - rather than exclusively dominant class interests.</w:t>
      </w:r>
      <w:r w:rsidR="00B36A5D" w:rsidRPr="00057B72">
        <w:t xml:space="preserve"> </w:t>
      </w:r>
      <w:r w:rsidR="00C500C1" w:rsidRPr="00057B72">
        <w:t xml:space="preserve">Nevertheless, in a more recent rejoinder to his critics, Hay </w:t>
      </w:r>
      <w:r w:rsidR="00DC50FD" w:rsidRPr="00057B72">
        <w:t xml:space="preserve">(2006) </w:t>
      </w:r>
      <w:r w:rsidR="00C500C1" w:rsidRPr="00057B72">
        <w:t>insisted that he had never denied that factors such as age influenced judicial decision making, only that the respectability of a felon’s background was mentioned more often in petitions for mercy than claims of poverty or distress. Indeed, he went on, a close reading of King’s own analysis showed that support from members of higher social classes was crucial to the success of a petition for pardon.</w:t>
      </w:r>
      <w:r w:rsidR="00AC0E8E" w:rsidRPr="00057B72">
        <w:rPr>
          <w:rStyle w:val="EndnoteReference"/>
        </w:rPr>
        <w:endnoteReference w:id="2"/>
      </w:r>
      <w:r w:rsidR="00C500C1" w:rsidRPr="00057B72">
        <w:t xml:space="preserve">  </w:t>
      </w:r>
    </w:p>
    <w:p w14:paraId="67A4915E" w14:textId="77777777" w:rsidR="002410D3" w:rsidRPr="00057B72" w:rsidRDefault="002410D3" w:rsidP="002410D3">
      <w:pPr>
        <w:spacing w:line="360" w:lineRule="auto"/>
        <w:jc w:val="both"/>
      </w:pPr>
    </w:p>
    <w:p w14:paraId="1C279D2A" w14:textId="7139AE2E" w:rsidR="00D7011D" w:rsidRPr="00057B72" w:rsidRDefault="002410D3" w:rsidP="002410D3">
      <w:pPr>
        <w:spacing w:line="360" w:lineRule="auto"/>
        <w:jc w:val="both"/>
      </w:pPr>
      <w:r w:rsidRPr="00057B72">
        <w:tab/>
        <w:t xml:space="preserve">In recent years, </w:t>
      </w:r>
      <w:r w:rsidR="00FA411E" w:rsidRPr="00057B72">
        <w:t xml:space="preserve">however, </w:t>
      </w:r>
      <w:r w:rsidR="00244BD6" w:rsidRPr="00057B72">
        <w:t>several</w:t>
      </w:r>
      <w:r w:rsidRPr="00057B72">
        <w:t xml:space="preserve"> of historians </w:t>
      </w:r>
      <w:r w:rsidR="00FA411E" w:rsidRPr="00057B72">
        <w:t xml:space="preserve">have </w:t>
      </w:r>
      <w:r w:rsidR="00244BD6" w:rsidRPr="00057B72">
        <w:t xml:space="preserve">begun to explore a different series of questions in regard to </w:t>
      </w:r>
      <w:r w:rsidR="009E2C12" w:rsidRPr="00057B72">
        <w:t xml:space="preserve">the administration of </w:t>
      </w:r>
      <w:r w:rsidR="00244BD6" w:rsidRPr="00057B72">
        <w:t xml:space="preserve">the Bloody Code. One theme that unites the current work is an emphasis on the variability of the Bloody Code. This is by no means a new approach to the topic: one of the key criticisms made of the capital code by contemporaries </w:t>
      </w:r>
      <w:r w:rsidR="00863241" w:rsidRPr="00057B72">
        <w:t xml:space="preserve">was that it </w:t>
      </w:r>
      <w:r w:rsidR="008D7C1E" w:rsidRPr="00057B72">
        <w:t>was highly variable in practice</w:t>
      </w:r>
      <w:r w:rsidR="00B36A5D" w:rsidRPr="00057B72">
        <w:t xml:space="preserve"> (see, for example, </w:t>
      </w:r>
      <w:proofErr w:type="spellStart"/>
      <w:r w:rsidR="00B36A5D" w:rsidRPr="00057B72">
        <w:t>McGowen</w:t>
      </w:r>
      <w:proofErr w:type="spellEnd"/>
      <w:r w:rsidR="00B36A5D" w:rsidRPr="00057B72">
        <w:t>, 1983)</w:t>
      </w:r>
      <w:r w:rsidR="00863241" w:rsidRPr="00057B72">
        <w:t>.</w:t>
      </w:r>
      <w:r w:rsidR="00B36A5D" w:rsidRPr="00057B72">
        <w:t xml:space="preserve"> </w:t>
      </w:r>
      <w:r w:rsidR="00AE5C9A" w:rsidRPr="00057B72">
        <w:t>S</w:t>
      </w:r>
      <w:r w:rsidR="00FD02ED" w:rsidRPr="00057B72">
        <w:t xml:space="preserve">ome capital property offences were taken more seriously than others (highway robbery and burglary compared with sheep stealing, for example), and were thus more likely to lead </w:t>
      </w:r>
      <w:r w:rsidR="00AE5C9A" w:rsidRPr="00057B72">
        <w:t xml:space="preserve">to the gallows than others. Moreover, </w:t>
      </w:r>
      <w:r w:rsidR="006B0163" w:rsidRPr="00057B72">
        <w:t>a felon could go to the gallows after being convicted of a property offence, while others convicted of the same offence at the same assize would receive a pardon</w:t>
      </w:r>
      <w:r w:rsidR="00B36A5D" w:rsidRPr="00057B72">
        <w:t xml:space="preserve"> (Beattie, 1986; King, 2000)</w:t>
      </w:r>
      <w:r w:rsidR="008D7C1E" w:rsidRPr="00057B72">
        <w:t>.</w:t>
      </w:r>
      <w:r w:rsidR="00B36A5D" w:rsidRPr="00057B72">
        <w:t xml:space="preserve"> </w:t>
      </w:r>
      <w:r w:rsidR="00A91E4A" w:rsidRPr="00057B72">
        <w:t xml:space="preserve">This new scholarship on the Bloody Code takes this inherent variability as </w:t>
      </w:r>
      <w:proofErr w:type="gramStart"/>
      <w:r w:rsidR="00A91E4A" w:rsidRPr="00057B72">
        <w:t>its</w:t>
      </w:r>
      <w:proofErr w:type="gramEnd"/>
      <w:r w:rsidR="00A91E4A" w:rsidRPr="00057B72">
        <w:t xml:space="preserve"> starting point and </w:t>
      </w:r>
      <w:r w:rsidR="00D13FC0" w:rsidRPr="00057B72">
        <w:t xml:space="preserve">explores its patterns </w:t>
      </w:r>
      <w:r w:rsidR="00A91E4A" w:rsidRPr="00057B72">
        <w:t xml:space="preserve">across three dimensions: </w:t>
      </w:r>
      <w:r w:rsidR="00A91E4A" w:rsidRPr="00057B72">
        <w:rPr>
          <w:i/>
        </w:rPr>
        <w:t>time</w:t>
      </w:r>
      <w:r w:rsidR="00A91E4A" w:rsidRPr="00057B72">
        <w:t xml:space="preserve">, </w:t>
      </w:r>
      <w:r w:rsidR="00A91E4A" w:rsidRPr="00057B72">
        <w:rPr>
          <w:i/>
        </w:rPr>
        <w:t>geography</w:t>
      </w:r>
      <w:r w:rsidR="00A91E4A" w:rsidRPr="00057B72">
        <w:t xml:space="preserve">, and, </w:t>
      </w:r>
      <w:r w:rsidR="00356784" w:rsidRPr="00057B72">
        <w:rPr>
          <w:i/>
        </w:rPr>
        <w:t>judicial decision-making</w:t>
      </w:r>
      <w:r w:rsidR="00A91E4A" w:rsidRPr="00057B72">
        <w:t>.</w:t>
      </w:r>
    </w:p>
    <w:p w14:paraId="68C89053" w14:textId="1261E925" w:rsidR="00E048F6" w:rsidRPr="00057B72" w:rsidRDefault="00E048F6" w:rsidP="002410D3">
      <w:pPr>
        <w:spacing w:line="360" w:lineRule="auto"/>
        <w:jc w:val="both"/>
      </w:pPr>
    </w:p>
    <w:p w14:paraId="5139F081" w14:textId="77777777" w:rsidR="00E048F6" w:rsidRPr="00057B72" w:rsidRDefault="00E048F6" w:rsidP="002410D3">
      <w:pPr>
        <w:spacing w:line="360" w:lineRule="auto"/>
        <w:jc w:val="both"/>
      </w:pPr>
    </w:p>
    <w:p w14:paraId="7EEFB530" w14:textId="395881F0" w:rsidR="00E048F6" w:rsidRPr="00057B72" w:rsidRDefault="00E048F6" w:rsidP="002410D3">
      <w:pPr>
        <w:spacing w:line="360" w:lineRule="auto"/>
        <w:jc w:val="both"/>
        <w:rPr>
          <w:b/>
          <w:sz w:val="28"/>
          <w:szCs w:val="28"/>
        </w:rPr>
      </w:pPr>
      <w:r w:rsidRPr="00057B72">
        <w:rPr>
          <w:b/>
          <w:sz w:val="28"/>
          <w:szCs w:val="28"/>
        </w:rPr>
        <w:lastRenderedPageBreak/>
        <w:t>Time</w:t>
      </w:r>
    </w:p>
    <w:p w14:paraId="137D9873" w14:textId="544E3976" w:rsidR="00E048F6" w:rsidRPr="00057B72" w:rsidRDefault="00E048F6" w:rsidP="002410D3">
      <w:pPr>
        <w:spacing w:line="360" w:lineRule="auto"/>
        <w:jc w:val="both"/>
      </w:pPr>
    </w:p>
    <w:p w14:paraId="57FF3ADC" w14:textId="507FA5BA" w:rsidR="00E048F6" w:rsidRPr="00057B72" w:rsidRDefault="004D2559" w:rsidP="002410D3">
      <w:pPr>
        <w:spacing w:line="360" w:lineRule="auto"/>
        <w:jc w:val="both"/>
      </w:pPr>
      <w:r w:rsidRPr="00057B72">
        <w:t xml:space="preserve">Both the number and percentage of capitally convicted felons who </w:t>
      </w:r>
      <w:r w:rsidR="0008753A" w:rsidRPr="00057B72">
        <w:t>were executed</w:t>
      </w:r>
      <w:r w:rsidRPr="00057B72">
        <w:t xml:space="preserve"> </w:t>
      </w:r>
      <w:r w:rsidR="00060BDD" w:rsidRPr="00057B72">
        <w:t>fluctuated</w:t>
      </w:r>
      <w:r w:rsidRPr="00057B72">
        <w:t xml:space="preserve"> over the course of the long eighteenth century. This can be seen clearly in figure 1:</w:t>
      </w:r>
    </w:p>
    <w:p w14:paraId="14831319" w14:textId="0380549E" w:rsidR="004D2559" w:rsidRPr="00057B72" w:rsidRDefault="004D2559" w:rsidP="002410D3">
      <w:pPr>
        <w:spacing w:line="360" w:lineRule="auto"/>
        <w:jc w:val="both"/>
      </w:pPr>
    </w:p>
    <w:p w14:paraId="6D3ADD27" w14:textId="58D70616" w:rsidR="004D2559" w:rsidRPr="00057B72" w:rsidRDefault="004D2559" w:rsidP="002410D3">
      <w:pPr>
        <w:spacing w:line="360" w:lineRule="auto"/>
        <w:jc w:val="both"/>
      </w:pPr>
      <w:r w:rsidRPr="00057B72">
        <w:rPr>
          <w:noProof/>
        </w:rPr>
        <w:drawing>
          <wp:inline distT="0" distB="0" distL="0" distR="0" wp14:anchorId="4C114EF6" wp14:editId="46CF2C02">
            <wp:extent cx="5270500" cy="3074670"/>
            <wp:effectExtent l="0" t="0" r="635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755E8D" w14:textId="300F5569" w:rsidR="00D7011D" w:rsidRPr="00057B72" w:rsidRDefault="00C51230" w:rsidP="002410D3">
      <w:pPr>
        <w:spacing w:line="360" w:lineRule="auto"/>
        <w:jc w:val="both"/>
      </w:pPr>
      <w:r w:rsidRPr="00057B72">
        <w:rPr>
          <w:b/>
        </w:rPr>
        <w:t>Figure 1:</w:t>
      </w:r>
      <w:r w:rsidRPr="00057B72">
        <w:t xml:space="preserve"> the number of persons executed in England, 1760-1830</w:t>
      </w:r>
    </w:p>
    <w:p w14:paraId="471FE1B3" w14:textId="574C5A82" w:rsidR="008D7C1E" w:rsidRPr="00057B72" w:rsidRDefault="008D7C1E" w:rsidP="002410D3">
      <w:pPr>
        <w:spacing w:line="360" w:lineRule="auto"/>
        <w:jc w:val="both"/>
      </w:pPr>
    </w:p>
    <w:p w14:paraId="47CF0768" w14:textId="375674A9" w:rsidR="00350786" w:rsidRPr="00057B72" w:rsidRDefault="00C51230" w:rsidP="002410D3">
      <w:pPr>
        <w:spacing w:line="360" w:lineRule="auto"/>
        <w:jc w:val="both"/>
      </w:pPr>
      <w:r w:rsidRPr="00057B72">
        <w:t>Between 1760</w:t>
      </w:r>
      <w:r w:rsidR="00060BDD" w:rsidRPr="00057B72">
        <w:t>-4</w:t>
      </w:r>
      <w:r w:rsidRPr="00057B72">
        <w:t xml:space="preserve"> and </w:t>
      </w:r>
      <w:r w:rsidR="00060BDD" w:rsidRPr="00057B72">
        <w:t>1785-9</w:t>
      </w:r>
      <w:r w:rsidRPr="00057B72">
        <w:t xml:space="preserve">, the number of persons dying on the gallows in England </w:t>
      </w:r>
      <w:r w:rsidR="00060BDD" w:rsidRPr="00057B72">
        <w:t>increased exponentially, from just over three hundred persons to just under a thousand. This growth reflected both an increase in the number of persons indicted and, crucially, the end of transportation as a secondary punishment during and after the American War of Independence</w:t>
      </w:r>
      <w:r w:rsidR="00D56F45" w:rsidRPr="00057B72">
        <w:t xml:space="preserve">. </w:t>
      </w:r>
      <w:r w:rsidR="002339B9" w:rsidRPr="00057B72">
        <w:t>While many felons</w:t>
      </w:r>
      <w:r w:rsidR="00D56F45" w:rsidRPr="00057B72">
        <w:t>, unable to be sent overseas,</w:t>
      </w:r>
      <w:r w:rsidR="002339B9" w:rsidRPr="00057B72">
        <w:t xml:space="preserve"> languished on hulks or in county </w:t>
      </w:r>
      <w:proofErr w:type="spellStart"/>
      <w:r w:rsidR="002339B9" w:rsidRPr="00057B72">
        <w:t>gaols</w:t>
      </w:r>
      <w:proofErr w:type="spellEnd"/>
      <w:r w:rsidR="00D56F45" w:rsidRPr="00057B72">
        <w:t xml:space="preserve">, in the absence of transportation as a sentencing option, an increasing number and percentage of </w:t>
      </w:r>
      <w:proofErr w:type="gramStart"/>
      <w:r w:rsidR="00D56F45" w:rsidRPr="00057B72">
        <w:t>capitally-convicted</w:t>
      </w:r>
      <w:proofErr w:type="gramEnd"/>
      <w:r w:rsidR="00D56F45" w:rsidRPr="00057B72">
        <w:t xml:space="preserve"> felons met their end on the gallows. </w:t>
      </w:r>
      <w:r w:rsidR="00060BDD" w:rsidRPr="00057B72">
        <w:t xml:space="preserve">The number of executions then fell for the remainder of the period, albeit with slight peaks between 1800-4 and 1815. By 1820-4, the number of executions was only slightly higher than at the beginning of the period (311 compared with 302). </w:t>
      </w:r>
      <w:r w:rsidR="00350786" w:rsidRPr="00057B72">
        <w:t xml:space="preserve">Put another way, between 1760-9 one person was executed across England per 100,000 population, this then rose to 2.2 persons per 100,000 between 1780-9 </w:t>
      </w:r>
      <w:r w:rsidR="00350786" w:rsidRPr="00057B72">
        <w:lastRenderedPageBreak/>
        <w:t>before falling to 0.9 and then finally 0.7 between 1800-9 and 1820-9 respectively.</w:t>
      </w:r>
      <w:r w:rsidR="00C55B0A" w:rsidRPr="00057B72">
        <w:rPr>
          <w:rStyle w:val="EndnoteReference"/>
        </w:rPr>
        <w:endnoteReference w:id="3"/>
      </w:r>
    </w:p>
    <w:p w14:paraId="76709282" w14:textId="57B1867A" w:rsidR="00350786" w:rsidRPr="00057B72" w:rsidRDefault="00350786" w:rsidP="002410D3">
      <w:pPr>
        <w:spacing w:line="360" w:lineRule="auto"/>
        <w:jc w:val="both"/>
      </w:pPr>
    </w:p>
    <w:p w14:paraId="28404E1C" w14:textId="4CDBFC1E" w:rsidR="00D85897" w:rsidRPr="00057B72" w:rsidRDefault="00D10B52" w:rsidP="002410D3">
      <w:pPr>
        <w:spacing w:line="360" w:lineRule="auto"/>
        <w:jc w:val="both"/>
      </w:pPr>
      <w:r w:rsidRPr="00057B72">
        <w:tab/>
        <w:t>Focusing on the numbers of persons executed, however, only reveals part of the picture of the administration of the Bloody Code. Those who died on the gallows, after</w:t>
      </w:r>
      <w:r w:rsidR="00D50420" w:rsidRPr="00057B72">
        <w:t xml:space="preserve"> </w:t>
      </w:r>
      <w:r w:rsidRPr="00057B72">
        <w:t xml:space="preserve">all, only represented a small percentage of all those who were sentenced to death. It is thus, equally important to explore </w:t>
      </w:r>
      <w:r w:rsidR="00AA07AC" w:rsidRPr="00057B72">
        <w:t xml:space="preserve">the patterns </w:t>
      </w:r>
      <w:r w:rsidR="0008753A" w:rsidRPr="00057B72">
        <w:t>of</w:t>
      </w:r>
      <w:r w:rsidR="00AA07AC" w:rsidRPr="00057B72">
        <w:t xml:space="preserve"> changing proportions of capitally convicted offenders going to their deaths over the period. </w:t>
      </w:r>
      <w:r w:rsidR="0036203C" w:rsidRPr="00057B72">
        <w:t xml:space="preserve">In a recent analysis of the Old Bailey, Simon Devereaux </w:t>
      </w:r>
      <w:r w:rsidR="00B36A5D" w:rsidRPr="00057B72">
        <w:t xml:space="preserve">(2013) </w:t>
      </w:r>
      <w:r w:rsidR="0036203C" w:rsidRPr="00057B72">
        <w:t>has shown how the number of executions and percentage of capitally convicted felons going to their deaths in the capital between 1760 and 18</w:t>
      </w:r>
      <w:r w:rsidR="00A53EEB" w:rsidRPr="00057B72">
        <w:t>37</w:t>
      </w:r>
      <w:r w:rsidR="0036203C" w:rsidRPr="00057B72">
        <w:t xml:space="preserve"> pro</w:t>
      </w:r>
      <w:r w:rsidR="00D85897" w:rsidRPr="00057B72">
        <w:t>gressed through four key stages:</w:t>
      </w:r>
    </w:p>
    <w:p w14:paraId="75F374D7" w14:textId="6907064B" w:rsidR="00F63E33" w:rsidRPr="00057B72" w:rsidRDefault="0036203C" w:rsidP="00F63E33">
      <w:pPr>
        <w:spacing w:line="360" w:lineRule="auto"/>
        <w:jc w:val="both"/>
      </w:pPr>
      <w:r w:rsidRPr="00057B72">
        <w:t xml:space="preserve"> </w:t>
      </w:r>
    </w:p>
    <w:p w14:paraId="17D65CE9" w14:textId="77777777" w:rsidR="00F63E33" w:rsidRPr="00057B72" w:rsidRDefault="00F63E33" w:rsidP="00F63E33">
      <w:pPr>
        <w:jc w:val="both"/>
      </w:pPr>
      <w:r w:rsidRPr="00057B72">
        <w:rPr>
          <w:noProof/>
        </w:rPr>
        <w:drawing>
          <wp:inline distT="0" distB="0" distL="0" distR="0" wp14:anchorId="2B7088E6" wp14:editId="251D56C0">
            <wp:extent cx="5270500" cy="3055719"/>
            <wp:effectExtent l="0" t="0" r="635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B7136A" w14:textId="023A45F6" w:rsidR="00F63E33" w:rsidRPr="00057B72" w:rsidRDefault="00F63E33" w:rsidP="00F63E33">
      <w:pPr>
        <w:jc w:val="both"/>
      </w:pPr>
      <w:r w:rsidRPr="00057B72">
        <w:rPr>
          <w:b/>
        </w:rPr>
        <w:t xml:space="preserve">Figure 2: </w:t>
      </w:r>
      <w:r w:rsidRPr="00057B72">
        <w:t>The number and percentage of persons executed at the Old Bailey, 1760-1830 (</w:t>
      </w:r>
      <w:r w:rsidR="00512AF9" w:rsidRPr="00057B72">
        <w:t xml:space="preserve">adapted </w:t>
      </w:r>
      <w:r w:rsidRPr="00057B72">
        <w:t xml:space="preserve">from </w:t>
      </w:r>
      <w:proofErr w:type="spellStart"/>
      <w:r w:rsidRPr="00057B72">
        <w:t>Deveraux</w:t>
      </w:r>
      <w:proofErr w:type="spellEnd"/>
      <w:r w:rsidRPr="00057B72">
        <w:t>, ‘England’s “Bloody Code” in Crisis and Transition’)</w:t>
      </w:r>
    </w:p>
    <w:p w14:paraId="6D3A704F" w14:textId="77777777" w:rsidR="00F63E33" w:rsidRPr="00057B72" w:rsidRDefault="00F63E33" w:rsidP="002410D3">
      <w:pPr>
        <w:spacing w:line="360" w:lineRule="auto"/>
        <w:jc w:val="both"/>
      </w:pPr>
    </w:p>
    <w:p w14:paraId="0F93F161" w14:textId="2E63E9D5" w:rsidR="00C55B0A" w:rsidRPr="00057B72" w:rsidRDefault="0036203C" w:rsidP="002410D3">
      <w:pPr>
        <w:spacing w:line="360" w:lineRule="auto"/>
        <w:jc w:val="both"/>
      </w:pPr>
      <w:r w:rsidRPr="00057B72">
        <w:t xml:space="preserve">In the ‘opening phase’ (1760-83), the percentage of capitally convicted felons who were executed declined from above 60% to around 40%, although in absolute numbers, an increasing number of felons met their end on the gallows. Between 1783 and 1787 there was then a </w:t>
      </w:r>
      <w:r w:rsidR="00D50420" w:rsidRPr="00057B72">
        <w:t>‘</w:t>
      </w:r>
      <w:r w:rsidRPr="00057B72">
        <w:t>boom</w:t>
      </w:r>
      <w:r w:rsidR="00D50420" w:rsidRPr="00057B72">
        <w:t>’</w:t>
      </w:r>
      <w:r w:rsidRPr="00057B72">
        <w:t xml:space="preserve"> in executions in the capital in terms of both actual numbers and the percentage of felons executed. There was </w:t>
      </w:r>
      <w:r w:rsidRPr="00057B72">
        <w:lastRenderedPageBreak/>
        <w:t xml:space="preserve">then a decline in both the number and percentage of felons executed between 1788 and 1808 as transportation to Australia commenced and a series of reform-minded Lord Chancellors were appointed.  Consequently, by 1808, executions in the capital were </w:t>
      </w:r>
      <w:r w:rsidR="00D85897" w:rsidRPr="00057B72">
        <w:t>“</w:t>
      </w:r>
      <w:r w:rsidRPr="00057B72">
        <w:t>approaching extinction levels</w:t>
      </w:r>
      <w:r w:rsidR="00D85897" w:rsidRPr="00057B72">
        <w:t>”</w:t>
      </w:r>
      <w:r w:rsidRPr="00057B72">
        <w:t xml:space="preserve">, with some capital crimes, such as returning from transportation or larceny from the person, effectively becoming dead letters. Finally, an increase in indictments coupled with official concerns about the rise of various forms of radicalism led to an increase in both the number and percentage of felons executed from 1809 until the end of the period. </w:t>
      </w:r>
    </w:p>
    <w:p w14:paraId="783B30B4" w14:textId="3DD2D760" w:rsidR="00CB6F34" w:rsidRPr="00057B72" w:rsidRDefault="00CB6F34" w:rsidP="003538C2">
      <w:pPr>
        <w:spacing w:line="360" w:lineRule="auto"/>
        <w:jc w:val="both"/>
      </w:pPr>
    </w:p>
    <w:p w14:paraId="19360E2F" w14:textId="21C34D18" w:rsidR="00193CE7" w:rsidRPr="00057B72" w:rsidRDefault="00CB6F34" w:rsidP="003538C2">
      <w:pPr>
        <w:spacing w:line="360" w:lineRule="auto"/>
        <w:jc w:val="both"/>
      </w:pPr>
      <w:r w:rsidRPr="00057B72">
        <w:tab/>
      </w:r>
      <w:r w:rsidR="00F47551" w:rsidRPr="00057B72">
        <w:t>More recently, Devereaux</w:t>
      </w:r>
      <w:r w:rsidRPr="00057B72">
        <w:t xml:space="preserve"> </w:t>
      </w:r>
      <w:r w:rsidR="00B36A5D" w:rsidRPr="00057B72">
        <w:t xml:space="preserve">(2017) </w:t>
      </w:r>
      <w:r w:rsidR="00F47551" w:rsidRPr="00057B72">
        <w:t xml:space="preserve">has </w:t>
      </w:r>
      <w:r w:rsidR="00A53EEB" w:rsidRPr="00057B72">
        <w:t xml:space="preserve">revisited and </w:t>
      </w:r>
      <w:r w:rsidR="00F47551" w:rsidRPr="00057B72">
        <w:t>extended his analysis by exploring patterns of executions and pardons at the Old Bailey for different types of offence</w:t>
      </w:r>
      <w:r w:rsidR="00A53EEB" w:rsidRPr="00057B72">
        <w:t xml:space="preserve"> between 1730 and 1837</w:t>
      </w:r>
      <w:r w:rsidR="00F47551" w:rsidRPr="00057B72">
        <w:t>.</w:t>
      </w:r>
      <w:r w:rsidR="00B36A5D" w:rsidRPr="00057B72">
        <w:t xml:space="preserve"> </w:t>
      </w:r>
      <w:r w:rsidR="008C390A" w:rsidRPr="00057B72">
        <w:t xml:space="preserve">In doing so, he </w:t>
      </w:r>
      <w:r w:rsidR="0008753A" w:rsidRPr="00057B72">
        <w:t xml:space="preserve">has </w:t>
      </w:r>
      <w:r w:rsidR="008C390A" w:rsidRPr="00057B72">
        <w:t>highlight</w:t>
      </w:r>
      <w:r w:rsidR="0008753A" w:rsidRPr="00057B72">
        <w:t>ed</w:t>
      </w:r>
      <w:r w:rsidR="008C390A" w:rsidRPr="00057B72">
        <w:t xml:space="preserve"> four different phases in the administration of the Bloody Code in the capital, with each phase being characterized by not only differing numbers of executed felons (and different ratios of executions and pardons), but also by the predominance of different types of criminals among the condemned and executed. Th</w:t>
      </w:r>
      <w:r w:rsidR="0008753A" w:rsidRPr="00057B72">
        <w:t xml:space="preserve">e period between 1730 and 1760 </w:t>
      </w:r>
      <w:r w:rsidR="008C390A" w:rsidRPr="00057B72">
        <w:t>was characterized by infrequent executions of large numbers of felons on each execution day</w:t>
      </w:r>
      <w:r w:rsidR="00A02021" w:rsidRPr="00057B72">
        <w:t xml:space="preserve">; </w:t>
      </w:r>
      <w:r w:rsidR="008C390A" w:rsidRPr="00057B72">
        <w:t xml:space="preserve">upwards of </w:t>
      </w:r>
      <w:r w:rsidR="00DF58FD" w:rsidRPr="00057B72">
        <w:t>six to a dozen felons at once was not an uncommon state of affairs, with twenty-one felons expiating for their crime</w:t>
      </w:r>
      <w:r w:rsidR="00193CE7" w:rsidRPr="00057B72">
        <w:t xml:space="preserve">s at </w:t>
      </w:r>
      <w:proofErr w:type="spellStart"/>
      <w:r w:rsidR="00193CE7" w:rsidRPr="00057B72">
        <w:t>Tyburn</w:t>
      </w:r>
      <w:proofErr w:type="spellEnd"/>
      <w:r w:rsidR="00193CE7" w:rsidRPr="00057B72">
        <w:t xml:space="preserve"> on one day in 1741. During this period, those persons convicted of robbery also constituted the majority of capitally convicted felons at the Old Bailey and, consequently, were executed in greater proportion than other </w:t>
      </w:r>
      <w:r w:rsidR="00A02021" w:rsidRPr="00057B72">
        <w:t xml:space="preserve">similarly convicted felons. </w:t>
      </w:r>
    </w:p>
    <w:p w14:paraId="0B8A8893" w14:textId="443EAF93" w:rsidR="00A02021" w:rsidRPr="00057B72" w:rsidRDefault="00A02021" w:rsidP="003538C2">
      <w:pPr>
        <w:spacing w:line="360" w:lineRule="auto"/>
        <w:jc w:val="both"/>
      </w:pPr>
    </w:p>
    <w:p w14:paraId="466A14F0" w14:textId="1A180CF8" w:rsidR="00B60F46" w:rsidRPr="00057B72" w:rsidRDefault="00A02021" w:rsidP="003538C2">
      <w:pPr>
        <w:spacing w:line="360" w:lineRule="auto"/>
        <w:jc w:val="both"/>
      </w:pPr>
      <w:r w:rsidRPr="00057B72">
        <w:tab/>
      </w:r>
      <w:r w:rsidR="00EB0B88" w:rsidRPr="00057B72">
        <w:t xml:space="preserve">The period 1761-1787, in contrast, was characterized, by an increase in the number of execution days per year from four to eight </w:t>
      </w:r>
      <w:r w:rsidR="00496F34" w:rsidRPr="00057B72">
        <w:t xml:space="preserve">or more </w:t>
      </w:r>
      <w:r w:rsidR="00EB0B88" w:rsidRPr="00057B72">
        <w:t xml:space="preserve">and, concomitantly, smaller numbers of felons meeting their fate on each occasion. This state of affairs, he suggests, stemmed from changes in the process of pardoning </w:t>
      </w:r>
      <w:r w:rsidR="00B60F46" w:rsidRPr="00057B72">
        <w:t xml:space="preserve">capitally convicted felons. During the reign of George II (1727-60), the meetings at which pardons were considered, known as Recorder’s Reports, were typically held infrequently, meaning that there was invariably a backlog </w:t>
      </w:r>
      <w:r w:rsidR="00C84362" w:rsidRPr="00057B72">
        <w:t xml:space="preserve">in pardons to be considered and, concomitantly, executions. In contrast, following </w:t>
      </w:r>
      <w:r w:rsidR="00C84362" w:rsidRPr="00057B72">
        <w:lastRenderedPageBreak/>
        <w:t xml:space="preserve">the accession of George III in 1760, Recorder’s Reports began to be held after each Old Bailey Session. The result was that fewer capitally convicted felons were executed on each </w:t>
      </w:r>
      <w:r w:rsidR="00851EFB" w:rsidRPr="00057B72">
        <w:t xml:space="preserve">execution day, although such occasions occurred </w:t>
      </w:r>
      <w:r w:rsidR="00496F34" w:rsidRPr="00057B72">
        <w:t xml:space="preserve">often more than </w:t>
      </w:r>
      <w:r w:rsidR="00851EFB" w:rsidRPr="00057B72">
        <w:t xml:space="preserve">twice as frequently. </w:t>
      </w:r>
      <w:r w:rsidR="00496F34" w:rsidRPr="00057B72">
        <w:t xml:space="preserve">That said, </w:t>
      </w:r>
      <w:r w:rsidR="002B4663" w:rsidRPr="00057B72">
        <w:t>during the 1780s there was an increase in the number of felons executed for the reasons discussed. A second major change during this period concerned the composition of those executed. During the 1770s and 1780s there was increasing concern about robbery</w:t>
      </w:r>
      <w:r w:rsidR="00631160" w:rsidRPr="00057B72">
        <w:t>, housebreaking</w:t>
      </w:r>
      <w:r w:rsidR="002B4663" w:rsidRPr="00057B72">
        <w:t xml:space="preserve"> and burglary, evidenced by a five-fold increase in convictions for the latter crime between 1780 and 1785. Consequently, </w:t>
      </w:r>
      <w:r w:rsidR="00E42B03" w:rsidRPr="00057B72">
        <w:t>convicted burglars, and to a lesser extent robbers, constituted the majority of those who were executed during these decades.</w:t>
      </w:r>
    </w:p>
    <w:p w14:paraId="27B63B12" w14:textId="3A391A79" w:rsidR="00591689" w:rsidRPr="00057B72" w:rsidRDefault="00591689" w:rsidP="003538C2">
      <w:pPr>
        <w:spacing w:line="360" w:lineRule="auto"/>
        <w:jc w:val="both"/>
      </w:pPr>
    </w:p>
    <w:p w14:paraId="72C30252" w14:textId="212A7F02" w:rsidR="00591689" w:rsidRPr="00057B72" w:rsidRDefault="00591689" w:rsidP="00591689">
      <w:pPr>
        <w:spacing w:line="360" w:lineRule="auto"/>
        <w:ind w:firstLine="720"/>
        <w:jc w:val="both"/>
      </w:pPr>
      <w:r w:rsidRPr="00057B72">
        <w:t>Between 1788 and 1817, both the number and proportion of capitally convicted felons going to the gallows in the capital declined. This partly stemmed from the establishment of a penal colony in New South Wales in 1789, and the renewal of transportation as a secondary punishment.</w:t>
      </w:r>
      <w:r w:rsidR="0066265C" w:rsidRPr="00057B72">
        <w:t xml:space="preserve"> However, there was also a growing appreciation by the Government of public concerns </w:t>
      </w:r>
      <w:r w:rsidR="0008753A" w:rsidRPr="00057B72">
        <w:t>with</w:t>
      </w:r>
      <w:r w:rsidR="0066265C" w:rsidRPr="00057B72">
        <w:t xml:space="preserve"> both the frequency and scale of executions in the capital. Consequently, between the 1780s and the turn of the nineteenth century, the likelihood of a felon being executed for robbery and burglary and housebreaking fell from almost one-in-two to one-in-five and three-in-five to one-in-ten respectively. </w:t>
      </w:r>
      <w:r w:rsidR="00B82316" w:rsidRPr="00057B72">
        <w:t>In their place, there was a surge during the latter part of the period in convictions and executions for stealing in a dwelling.</w:t>
      </w:r>
    </w:p>
    <w:p w14:paraId="061078F6" w14:textId="12638D1F" w:rsidR="00B82316" w:rsidRPr="00057B72" w:rsidRDefault="00B82316" w:rsidP="00591689">
      <w:pPr>
        <w:spacing w:line="360" w:lineRule="auto"/>
        <w:ind w:firstLine="720"/>
        <w:jc w:val="both"/>
      </w:pPr>
    </w:p>
    <w:p w14:paraId="4F93ADDD" w14:textId="0E7011AA" w:rsidR="009D2E04" w:rsidRPr="00057B72" w:rsidRDefault="00B82316" w:rsidP="001D77D5">
      <w:pPr>
        <w:spacing w:line="360" w:lineRule="auto"/>
        <w:ind w:firstLine="720"/>
        <w:jc w:val="both"/>
      </w:pPr>
      <w:r w:rsidRPr="00057B72">
        <w:t xml:space="preserve">Finally, 1818-1837 witnessed </w:t>
      </w:r>
      <w:r w:rsidR="00D52D47" w:rsidRPr="00057B72">
        <w:t>the last resurgence of capital punishment in the capital prior to the collapse of th</w:t>
      </w:r>
      <w:r w:rsidR="004E469B" w:rsidRPr="00057B72">
        <w:t xml:space="preserve">e Bloody Code in the late 1830s. In large part, this was a reaction to the rapid increase in indictments and capital convictions for property offences in the aftermath of the end of the revolutionary and Napoleonic wars. </w:t>
      </w:r>
      <w:r w:rsidR="00D52D47" w:rsidRPr="00057B72">
        <w:t xml:space="preserve">During these two decades, </w:t>
      </w:r>
      <w:r w:rsidR="004E469B" w:rsidRPr="00057B72">
        <w:t xml:space="preserve">the number and proportion of those convicted of property offences – notably again robbery and burglary – increased in the capital, as did executions for </w:t>
      </w:r>
      <w:r w:rsidR="00576133" w:rsidRPr="00057B72">
        <w:t>forgery</w:t>
      </w:r>
      <w:r w:rsidR="001D77D5" w:rsidRPr="00057B72">
        <w:t xml:space="preserve">. In general, however, </w:t>
      </w:r>
      <w:proofErr w:type="spellStart"/>
      <w:r w:rsidR="001D77D5" w:rsidRPr="00057B72">
        <w:t>Deveraux</w:t>
      </w:r>
      <w:proofErr w:type="spellEnd"/>
      <w:r w:rsidR="001D77D5" w:rsidRPr="00057B72">
        <w:t xml:space="preserve"> argues, </w:t>
      </w:r>
      <w:r w:rsidR="004C6FFB" w:rsidRPr="00057B72">
        <w:t xml:space="preserve">after 1822 there was a growing reluctance by the Government to execute large numbers of felons on any single occasion. Thus, while the scale </w:t>
      </w:r>
      <w:r w:rsidR="004C6FFB" w:rsidRPr="00057B72">
        <w:lastRenderedPageBreak/>
        <w:t xml:space="preserve">of capital punishment in the capital during the 1820s represented a revival of patterns seen during the eighteenth century, this revival was tempered with an element of restraint; the Government </w:t>
      </w:r>
      <w:r w:rsidR="0022468D" w:rsidRPr="00057B72">
        <w:t xml:space="preserve">was </w:t>
      </w:r>
      <w:r w:rsidR="004C6FFB" w:rsidRPr="00057B72">
        <w:t>increasingly mindful of what public opinion would tolerate.</w:t>
      </w:r>
    </w:p>
    <w:p w14:paraId="285BB53D" w14:textId="77777777" w:rsidR="00D96D2E" w:rsidRPr="00057B72" w:rsidRDefault="00D96D2E" w:rsidP="00D96D2E">
      <w:pPr>
        <w:spacing w:line="360" w:lineRule="auto"/>
        <w:jc w:val="both"/>
      </w:pPr>
    </w:p>
    <w:p w14:paraId="6144A61F" w14:textId="5C71499D" w:rsidR="00D96D2E" w:rsidRPr="00057B72" w:rsidRDefault="00D96D2E" w:rsidP="00D96D2E">
      <w:pPr>
        <w:spacing w:line="360" w:lineRule="auto"/>
        <w:jc w:val="both"/>
      </w:pPr>
      <w:r w:rsidRPr="00057B72">
        <w:tab/>
        <w:t xml:space="preserve">These patterns, however, cannot be generalized to the rest of England and Wales. In my own analysis </w:t>
      </w:r>
      <w:r w:rsidR="00B36A5D" w:rsidRPr="00057B72">
        <w:t xml:space="preserve">(Walliss, 2018) </w:t>
      </w:r>
      <w:r w:rsidRPr="00057B72">
        <w:t>of the administration of justice in four English and three counties I found differing patterns of executions and pardons to the capital. Due to constraints of space, I will discuss only two English counties and Wales as a whole here:</w:t>
      </w:r>
    </w:p>
    <w:p w14:paraId="21A5DF9C" w14:textId="77777777" w:rsidR="00D96D2E" w:rsidRPr="00057B72" w:rsidRDefault="00D96D2E" w:rsidP="00D96D2E">
      <w:pPr>
        <w:spacing w:line="360" w:lineRule="auto"/>
        <w:jc w:val="both"/>
      </w:pPr>
    </w:p>
    <w:p w14:paraId="7380302C" w14:textId="77777777" w:rsidR="00D96D2E" w:rsidRPr="00057B72" w:rsidRDefault="00D96D2E" w:rsidP="00D96D2E">
      <w:pPr>
        <w:spacing w:line="360" w:lineRule="auto"/>
        <w:jc w:val="both"/>
      </w:pPr>
    </w:p>
    <w:p w14:paraId="17C4F349" w14:textId="77777777" w:rsidR="00D96D2E" w:rsidRPr="00057B72" w:rsidRDefault="00D96D2E" w:rsidP="00D96D2E">
      <w:pPr>
        <w:jc w:val="both"/>
      </w:pPr>
      <w:r w:rsidRPr="00057B72">
        <w:rPr>
          <w:noProof/>
        </w:rPr>
        <w:drawing>
          <wp:inline distT="0" distB="0" distL="0" distR="0" wp14:anchorId="21CCE28A" wp14:editId="21F698CB">
            <wp:extent cx="5210175" cy="2676525"/>
            <wp:effectExtent l="0" t="0" r="2222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57B72">
        <w:t xml:space="preserve"> </w:t>
      </w:r>
      <w:r w:rsidRPr="00057B72">
        <w:rPr>
          <w:b/>
        </w:rPr>
        <w:t>Figure 3a:</w:t>
      </w:r>
      <w:r w:rsidRPr="00057B72">
        <w:t xml:space="preserve"> The number and percentage of persons executed at the Kent county assizes, 1760-1830. </w:t>
      </w:r>
    </w:p>
    <w:p w14:paraId="79B5EF30" w14:textId="77777777" w:rsidR="00D96D2E" w:rsidRPr="00057B72" w:rsidRDefault="00D96D2E" w:rsidP="00D96D2E">
      <w:pPr>
        <w:spacing w:line="360" w:lineRule="auto"/>
        <w:jc w:val="both"/>
      </w:pPr>
    </w:p>
    <w:p w14:paraId="53A60311" w14:textId="77777777" w:rsidR="00D96D2E" w:rsidRPr="00057B72" w:rsidRDefault="00D96D2E" w:rsidP="00D96D2E">
      <w:pPr>
        <w:jc w:val="both"/>
      </w:pPr>
      <w:r w:rsidRPr="00057B72">
        <w:rPr>
          <w:noProof/>
        </w:rPr>
        <w:lastRenderedPageBreak/>
        <w:drawing>
          <wp:inline distT="0" distB="0" distL="0" distR="0" wp14:anchorId="55E05BA7" wp14:editId="1B28F98D">
            <wp:extent cx="5243513" cy="3252788"/>
            <wp:effectExtent l="0" t="0" r="14605"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57B72">
        <w:rPr>
          <w:b/>
        </w:rPr>
        <w:t>Figure 3b:</w:t>
      </w:r>
      <w:r w:rsidRPr="00057B72">
        <w:t xml:space="preserve"> The number and percentage of persons executed at the Lancashire county assizes, 1760-1830. </w:t>
      </w:r>
    </w:p>
    <w:p w14:paraId="22D07C1E" w14:textId="77777777" w:rsidR="00D96D2E" w:rsidRPr="00057B72" w:rsidRDefault="00D96D2E" w:rsidP="00D96D2E">
      <w:pPr>
        <w:spacing w:after="160"/>
        <w:rPr>
          <w:rFonts w:eastAsiaTheme="minorHAnsi"/>
          <w:sz w:val="22"/>
          <w:szCs w:val="22"/>
          <w:lang w:val="en-GB"/>
        </w:rPr>
      </w:pPr>
    </w:p>
    <w:p w14:paraId="333655AE" w14:textId="77777777" w:rsidR="00D96D2E" w:rsidRPr="00057B72" w:rsidRDefault="00D96D2E" w:rsidP="00D96D2E">
      <w:pPr>
        <w:spacing w:after="160"/>
        <w:jc w:val="both"/>
        <w:rPr>
          <w:rFonts w:eastAsiaTheme="minorHAnsi"/>
          <w:sz w:val="22"/>
          <w:szCs w:val="22"/>
          <w:lang w:val="en-GB"/>
        </w:rPr>
      </w:pPr>
      <w:r w:rsidRPr="00057B72">
        <w:rPr>
          <w:rFonts w:eastAsiaTheme="minorHAnsi"/>
          <w:noProof/>
          <w:sz w:val="22"/>
          <w:szCs w:val="22"/>
        </w:rPr>
        <w:drawing>
          <wp:inline distT="0" distB="0" distL="0" distR="0" wp14:anchorId="0DFA4E92" wp14:editId="56A5014B">
            <wp:extent cx="5257800" cy="300093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57B72">
        <w:rPr>
          <w:rFonts w:eastAsiaTheme="minorHAnsi"/>
          <w:b/>
          <w:lang w:val="en-GB"/>
        </w:rPr>
        <w:t>Figure 3c:</w:t>
      </w:r>
      <w:r w:rsidRPr="00057B72">
        <w:rPr>
          <w:rFonts w:eastAsiaTheme="minorHAnsi"/>
          <w:lang w:val="en-GB"/>
        </w:rPr>
        <w:t xml:space="preserve"> The number and percentage of persons sentenced to death and executed at the Wales Courts of Great Sessions, 1760-1830</w:t>
      </w:r>
    </w:p>
    <w:p w14:paraId="4681B254" w14:textId="77777777" w:rsidR="00D96D2E" w:rsidRPr="00057B72" w:rsidRDefault="00D96D2E" w:rsidP="00D96D2E">
      <w:pPr>
        <w:spacing w:line="360" w:lineRule="auto"/>
        <w:jc w:val="both"/>
      </w:pPr>
    </w:p>
    <w:p w14:paraId="78A30A3E" w14:textId="4E510526" w:rsidR="00D96D2E" w:rsidRPr="00057B72" w:rsidRDefault="00D96D2E" w:rsidP="00D96D2E">
      <w:pPr>
        <w:spacing w:line="360" w:lineRule="auto"/>
        <w:jc w:val="both"/>
      </w:pPr>
      <w:r w:rsidRPr="00057B72">
        <w:t xml:space="preserve">In Kent the percentage of felons executed almost halved between 1760-4 and 1770-4 from 33% to 18%, while the number of executions declined by a third (from 28 to 9). As occurred in the capital, there was then a sustained increase in </w:t>
      </w:r>
      <w:proofErr w:type="gramStart"/>
      <w:r w:rsidRPr="00057B72">
        <w:t>both</w:t>
      </w:r>
      <w:proofErr w:type="gramEnd"/>
      <w:r w:rsidRPr="00057B72">
        <w:t xml:space="preserve"> until the late 1780s, reaching 51 executions (37% of those capitally </w:t>
      </w:r>
      <w:r w:rsidRPr="00057B72">
        <w:lastRenderedPageBreak/>
        <w:t xml:space="preserve">convicted) between 1785-9. The percentage of felons executed then declined for the remainder of the period, albeit, again, with temporary increases in the number executed between 1800-4 and 1820-4. In Lancashire, in contrast, both the number and percentage of felons increased from 1760 until the turn of the nineteenth century, reaching 43 executions (47% of capital convictions) between 1800-4. From 1800 until the end of the period, the percentage of felons executed declined markedly, while the number of executions declined at a slower rate. The second decade of the nineteenth century saw an increase in the number of executions (from 29 to 44), before rapidly falling for the remainder of the period. </w:t>
      </w:r>
      <w:proofErr w:type="gramStart"/>
      <w:r w:rsidRPr="00057B72">
        <w:t>Between 1760 and 1780, both the number and percentage of felons executed in Wales increased, albeit with a dip in the latter between 1765-9 and 1775-9.</w:t>
      </w:r>
      <w:proofErr w:type="gramEnd"/>
      <w:r w:rsidRPr="00057B72">
        <w:t xml:space="preserve"> As was the case in England, during the 1780s both the number and percentage then increased rapidly, reaching a peak of twenty-four executions (or 32% of those sentenced to death) between 1785-9. Both then fell until 1810, although there was another peak in the percentage executed between 1795-9. Between 1810 and the end of the period, there were then two increases in the number and percentage executed between 1810-4 and 1820-4, until both fell (reaching 3 executions/3% between 1825-9).</w:t>
      </w:r>
    </w:p>
    <w:p w14:paraId="14FC2673" w14:textId="77777777" w:rsidR="00D96D2E" w:rsidRPr="00057B72" w:rsidRDefault="00D96D2E" w:rsidP="001D77D5">
      <w:pPr>
        <w:spacing w:line="360" w:lineRule="auto"/>
        <w:ind w:firstLine="720"/>
        <w:jc w:val="both"/>
      </w:pPr>
    </w:p>
    <w:p w14:paraId="3BB6940F" w14:textId="220E3F62" w:rsidR="004C6FFB" w:rsidRPr="00057B72" w:rsidRDefault="004C6FFB" w:rsidP="00C33198">
      <w:pPr>
        <w:spacing w:line="360" w:lineRule="auto"/>
        <w:jc w:val="both"/>
      </w:pPr>
      <w:r w:rsidRPr="00057B72">
        <w:t xml:space="preserve"> </w:t>
      </w:r>
    </w:p>
    <w:p w14:paraId="19E04A07" w14:textId="065A11CA" w:rsidR="007619CD" w:rsidRPr="00057B72" w:rsidRDefault="007619CD" w:rsidP="00C33198">
      <w:pPr>
        <w:spacing w:line="360" w:lineRule="auto"/>
        <w:jc w:val="both"/>
        <w:rPr>
          <w:b/>
          <w:sz w:val="28"/>
          <w:szCs w:val="28"/>
        </w:rPr>
      </w:pPr>
      <w:r w:rsidRPr="00057B72">
        <w:rPr>
          <w:b/>
          <w:sz w:val="28"/>
          <w:szCs w:val="28"/>
        </w:rPr>
        <w:t>Place</w:t>
      </w:r>
    </w:p>
    <w:p w14:paraId="4869246F" w14:textId="6BB3B3C0" w:rsidR="007619CD" w:rsidRPr="00057B72" w:rsidRDefault="007619CD" w:rsidP="00C33198">
      <w:pPr>
        <w:spacing w:line="360" w:lineRule="auto"/>
        <w:jc w:val="both"/>
      </w:pPr>
    </w:p>
    <w:p w14:paraId="6803C828" w14:textId="4EB20112" w:rsidR="007619CD" w:rsidRPr="00057B72" w:rsidRDefault="003C6AEA" w:rsidP="00C33198">
      <w:pPr>
        <w:spacing w:line="360" w:lineRule="auto"/>
        <w:jc w:val="both"/>
      </w:pPr>
      <w:r w:rsidRPr="00057B72">
        <w:t>The second dimension of variability in the ad</w:t>
      </w:r>
      <w:r w:rsidR="00500314" w:rsidRPr="00057B72">
        <w:t xml:space="preserve">ministration of the Bloody Code </w:t>
      </w:r>
      <w:r w:rsidRPr="00057B72">
        <w:t xml:space="preserve">was space or geography. </w:t>
      </w:r>
      <w:r w:rsidR="008B5796" w:rsidRPr="00057B72">
        <w:t xml:space="preserve">To date, the bulk of the historiography of the administration of justice during the long eighteenth century has focused on London and the </w:t>
      </w:r>
      <w:proofErr w:type="gramStart"/>
      <w:r w:rsidR="008B5796" w:rsidRPr="00057B72">
        <w:t>south-east</w:t>
      </w:r>
      <w:proofErr w:type="gramEnd"/>
      <w:r w:rsidR="00500314" w:rsidRPr="00057B72">
        <w:t xml:space="preserve"> (see, for example, Beattie, 1974, 1977, 1986, 2001; King, 2000; </w:t>
      </w:r>
      <w:proofErr w:type="spellStart"/>
      <w:r w:rsidR="00500314" w:rsidRPr="00057B72">
        <w:t>Linebaugh</w:t>
      </w:r>
      <w:proofErr w:type="spellEnd"/>
      <w:r w:rsidR="00500314" w:rsidRPr="00057B72">
        <w:t xml:space="preserve">, 2006; Hitchcock &amp; Shoemaker, 2015). </w:t>
      </w:r>
      <w:r w:rsidR="008B5796" w:rsidRPr="00057B72">
        <w:t xml:space="preserve">On one level, this state of affairs is perfectly understandable. Not did the Old Bailey possess the largest criminal jurisdiction of any court in Europe, but its records (as well as those of the Home Circuit) are remarkably </w:t>
      </w:r>
      <w:proofErr w:type="gramStart"/>
      <w:r w:rsidR="008B5796" w:rsidRPr="00057B72">
        <w:t>well-preserved</w:t>
      </w:r>
      <w:proofErr w:type="gramEnd"/>
      <w:r w:rsidR="008B5796" w:rsidRPr="00057B72">
        <w:t xml:space="preserve"> compared with many provincial assize circuits. Moreover, it was the experience of London and the Old Bailey that informed both the views of elites and public debate on capital punishment during the period. This state of affairs has, nevertheless, resulted in </w:t>
      </w:r>
      <w:r w:rsidR="008B5796" w:rsidRPr="00057B72">
        <w:lastRenderedPageBreak/>
        <w:t>a marked skew within the historiography towards the southeast, the metropolis and the Old Bailey</w:t>
      </w:r>
      <w:r w:rsidR="00500314" w:rsidRPr="00057B72">
        <w:t xml:space="preserve"> (Devereaux), 2013)</w:t>
      </w:r>
      <w:r w:rsidR="008B5796" w:rsidRPr="00057B72">
        <w:t>.</w:t>
      </w:r>
    </w:p>
    <w:p w14:paraId="523E5257" w14:textId="3BB3267F" w:rsidR="00372121" w:rsidRPr="00057B72" w:rsidRDefault="00372121" w:rsidP="00C33198">
      <w:pPr>
        <w:spacing w:line="360" w:lineRule="auto"/>
        <w:jc w:val="both"/>
      </w:pPr>
    </w:p>
    <w:p w14:paraId="15226F74" w14:textId="246A7E46" w:rsidR="00105E50" w:rsidRPr="00057B72" w:rsidRDefault="00372121" w:rsidP="00C33198">
      <w:pPr>
        <w:spacing w:line="360" w:lineRule="auto"/>
        <w:jc w:val="both"/>
      </w:pPr>
      <w:r w:rsidRPr="00057B72">
        <w:tab/>
      </w:r>
      <w:r w:rsidRPr="00057B72">
        <w:rPr>
          <w:rFonts w:cs="Arial"/>
        </w:rPr>
        <w:t xml:space="preserve">In a recent article, however, Peter King and Richard Ward </w:t>
      </w:r>
      <w:r w:rsidR="00AA6491" w:rsidRPr="00057B72">
        <w:rPr>
          <w:rFonts w:cs="Arial"/>
        </w:rPr>
        <w:t xml:space="preserve">(2015) </w:t>
      </w:r>
      <w:r w:rsidRPr="00057B72">
        <w:rPr>
          <w:rFonts w:cs="Arial"/>
        </w:rPr>
        <w:t xml:space="preserve">have drawn our attention to what they term the geography of the Bloody Code; that is the often-stark differences between how the capital code was administered between the </w:t>
      </w:r>
      <w:proofErr w:type="spellStart"/>
      <w:r w:rsidRPr="00057B72">
        <w:rPr>
          <w:rFonts w:cs="Arial"/>
        </w:rPr>
        <w:t>centre</w:t>
      </w:r>
      <w:proofErr w:type="spellEnd"/>
      <w:r w:rsidRPr="00057B72">
        <w:rPr>
          <w:rFonts w:cs="Arial"/>
        </w:rPr>
        <w:t xml:space="preserve"> and the periphery.</w:t>
      </w:r>
      <w:r w:rsidR="00AA6491" w:rsidRPr="00057B72">
        <w:rPr>
          <w:rFonts w:cs="Arial"/>
        </w:rPr>
        <w:t xml:space="preserve"> </w:t>
      </w:r>
      <w:r w:rsidRPr="00057B72">
        <w:rPr>
          <w:rFonts w:cs="Arial"/>
        </w:rPr>
        <w:t xml:space="preserve">This is by no means a new argument: </w:t>
      </w:r>
      <w:r w:rsidR="0008753A" w:rsidRPr="00057B72">
        <w:rPr>
          <w:rFonts w:cs="Arial"/>
        </w:rPr>
        <w:t>s</w:t>
      </w:r>
      <w:r w:rsidRPr="00057B72">
        <w:rPr>
          <w:rFonts w:cs="Arial"/>
        </w:rPr>
        <w:t xml:space="preserve">everal other studies of the administration of justice across both English provinces and Welsh counties have highlighted how the </w:t>
      </w:r>
      <w:r w:rsidR="0008753A" w:rsidRPr="00057B72">
        <w:rPr>
          <w:rFonts w:cs="Arial"/>
        </w:rPr>
        <w:t>capital code</w:t>
      </w:r>
      <w:r w:rsidRPr="00057B72">
        <w:rPr>
          <w:rFonts w:cs="Arial"/>
        </w:rPr>
        <w:t xml:space="preserve"> was administered differently in these places than in the capital. While an average year during this period would have seen dozens of felons go to the gallows in the capital, in the provinces – and particularly in Wales – the gallows were utilized much more sparingly</w:t>
      </w:r>
      <w:r w:rsidR="00500314" w:rsidRPr="00057B72">
        <w:rPr>
          <w:rFonts w:cs="Arial"/>
        </w:rPr>
        <w:t xml:space="preserve"> (for discussions, see Morgan &amp; Rushton, 1998; Walliss, 2015)</w:t>
      </w:r>
      <w:r w:rsidRPr="00057B72">
        <w:rPr>
          <w:rFonts w:cs="Arial"/>
        </w:rPr>
        <w:t>.</w:t>
      </w:r>
      <w:r w:rsidR="00500314" w:rsidRPr="00057B72">
        <w:rPr>
          <w:rFonts w:cs="Arial"/>
        </w:rPr>
        <w:t xml:space="preserve"> </w:t>
      </w:r>
      <w:r w:rsidRPr="00057B72">
        <w:rPr>
          <w:rFonts w:cs="Arial"/>
        </w:rPr>
        <w:t xml:space="preserve">Indeed, one historian of crime in Wales has argued </w:t>
      </w:r>
      <w:r w:rsidRPr="00057B72">
        <w:t xml:space="preserve">“that those found guilty of a serious crime in eighteenth-century Wales might well have received more </w:t>
      </w:r>
      <w:proofErr w:type="spellStart"/>
      <w:r w:rsidRPr="00057B72">
        <w:t>favourable</w:t>
      </w:r>
      <w:proofErr w:type="spellEnd"/>
      <w:r w:rsidRPr="00057B72">
        <w:t xml:space="preserve"> treatment than their counterparts across the border”, and that by the turn of the nineteenth century “the authorities [in Wales] did not need the death penalty or ceased in practice to regard many property offences as capital offences”</w:t>
      </w:r>
      <w:r w:rsidR="00500314" w:rsidRPr="00057B72">
        <w:t xml:space="preserve"> (Jones, 1981, pp. 538, 545). </w:t>
      </w:r>
    </w:p>
    <w:p w14:paraId="36438DCE" w14:textId="0D602D21" w:rsidR="00372121" w:rsidRPr="00057B72" w:rsidRDefault="00372121" w:rsidP="00C33198">
      <w:pPr>
        <w:spacing w:line="360" w:lineRule="auto"/>
        <w:jc w:val="both"/>
      </w:pPr>
    </w:p>
    <w:p w14:paraId="3E7873CD" w14:textId="5563110B" w:rsidR="002A4161" w:rsidRPr="00057B72" w:rsidRDefault="00372121" w:rsidP="00372121">
      <w:pPr>
        <w:spacing w:line="360" w:lineRule="auto"/>
        <w:jc w:val="both"/>
      </w:pPr>
      <w:r w:rsidRPr="00057B72">
        <w:tab/>
        <w:t xml:space="preserve">In their analysis of the administration of the Bloody Code across England and Wales between 1750 and 1775, King and Ward showed how the execution rate for property offenders per head of population decreased the further that one moved away from the capital. While the annual execution rate per 100,000 </w:t>
      </w:r>
      <w:proofErr w:type="gramStart"/>
      <w:r w:rsidRPr="00057B72">
        <w:t>population</w:t>
      </w:r>
      <w:proofErr w:type="gramEnd"/>
      <w:r w:rsidRPr="00057B72">
        <w:t xml:space="preserve"> for property offences was 2.01-3.85 in London and Middlesex, in Leicestershire it was 0.15-0.34, while in Westmorland, Durham and Northumberland and much of Wales it was 0.00-0.14.</w:t>
      </w:r>
      <w:r w:rsidR="008413F6" w:rsidRPr="00057B72">
        <w:t xml:space="preserve"> King and Ward dr</w:t>
      </w:r>
      <w:r w:rsidR="0008753A" w:rsidRPr="00057B72">
        <w:t>e</w:t>
      </w:r>
      <w:r w:rsidR="008413F6" w:rsidRPr="00057B72">
        <w:t xml:space="preserve">w on the work of the political scientist anthropologist James C. Scott </w:t>
      </w:r>
      <w:r w:rsidR="00AA6491" w:rsidRPr="00057B72">
        <w:t xml:space="preserve">(2009) </w:t>
      </w:r>
      <w:r w:rsidR="008413F6" w:rsidRPr="00057B72">
        <w:t xml:space="preserve">on </w:t>
      </w:r>
      <w:proofErr w:type="gramStart"/>
      <w:r w:rsidR="008413F6" w:rsidRPr="00057B72">
        <w:t>southeast</w:t>
      </w:r>
      <w:proofErr w:type="gramEnd"/>
      <w:r w:rsidR="008413F6" w:rsidRPr="00057B72">
        <w:t xml:space="preserve"> Asia as a lens to understand this </w:t>
      </w:r>
      <w:proofErr w:type="spellStart"/>
      <w:r w:rsidR="008413F6" w:rsidRPr="00057B72">
        <w:t>centre</w:t>
      </w:r>
      <w:proofErr w:type="spellEnd"/>
      <w:r w:rsidR="008413F6" w:rsidRPr="00057B72">
        <w:t xml:space="preserve">-periphery dynamic. In his </w:t>
      </w:r>
      <w:r w:rsidR="008413F6" w:rsidRPr="00057B72">
        <w:rPr>
          <w:i/>
        </w:rPr>
        <w:t>The art of not being governed</w:t>
      </w:r>
      <w:r w:rsidR="008413F6" w:rsidRPr="00057B72">
        <w:t>, Scott describe</w:t>
      </w:r>
      <w:r w:rsidR="0008753A" w:rsidRPr="00057B72">
        <w:t>d</w:t>
      </w:r>
      <w:r w:rsidR="008413F6" w:rsidRPr="00057B72">
        <w:t xml:space="preserve"> how the power of the state concentrated in lowland areas dwindles with the increasing ‘friction of terrain’ as one moves into upland, sparsely populated areas. Indeed, for Scott, the culture of these upland regions should be interpreted as ‘barbarism by design’; that is a </w:t>
      </w:r>
      <w:r w:rsidR="008413F6" w:rsidRPr="00057B72">
        <w:lastRenderedPageBreak/>
        <w:t>means of escaping lowland state authority through its antithesis.</w:t>
      </w:r>
      <w:r w:rsidR="0086534F" w:rsidRPr="00057B72">
        <w:t xml:space="preserve"> </w:t>
      </w:r>
      <w:r w:rsidR="008413F6" w:rsidRPr="00057B72">
        <w:t>Applying Scott’s thesis to eighteenth century England and Wales, King and Ward suggest</w:t>
      </w:r>
      <w:r w:rsidR="0008753A" w:rsidRPr="00057B72">
        <w:t>ed</w:t>
      </w:r>
      <w:r w:rsidR="008413F6" w:rsidRPr="00057B72">
        <w:t xml:space="preserve"> that it is possible that the mountainous nature of the periphery coupled with an inadequate transport infrastructure could have created similar ‘friction of terrain’ or ‘resistance of distance’, which in turn could have limited the cultural and political power of the state in these regions. Developing King’s earlier work on the role of decision makers within the eighteenth century criminal process, King and Ward argue</w:t>
      </w:r>
      <w:r w:rsidR="0008753A" w:rsidRPr="00057B72">
        <w:t>d</w:t>
      </w:r>
      <w:r w:rsidR="008413F6" w:rsidRPr="00057B72">
        <w:t xml:space="preserve"> that the combined actions of prosecutors, grand juries and petty juries on the periphery created “a particularly potent set of mutually reinforcing mechanisms for mercy” that limited the number of felons going to the gallows. Primarily, within contexts that </w:t>
      </w:r>
      <w:proofErr w:type="spellStart"/>
      <w:r w:rsidR="008413F6" w:rsidRPr="00057B72">
        <w:t>emphasised</w:t>
      </w:r>
      <w:proofErr w:type="spellEnd"/>
      <w:r w:rsidR="008413F6" w:rsidRPr="00057B72">
        <w:t xml:space="preserve"> informal processes of restitution and where the</w:t>
      </w:r>
      <w:r w:rsidR="00B8565A" w:rsidRPr="00057B72">
        <w:t>re</w:t>
      </w:r>
      <w:r w:rsidR="008413F6" w:rsidRPr="00057B72">
        <w:t xml:space="preserve"> was an aversion to capital punishment, fewer victims would have been willing to pursue offenders through the courts, particularly for capital property offences. This would have reduced the size of the assize calendar that met the visiting assize judge</w:t>
      </w:r>
      <w:proofErr w:type="gramStart"/>
      <w:r w:rsidR="008413F6" w:rsidRPr="00057B72">
        <w:t>;</w:t>
      </w:r>
      <w:proofErr w:type="gramEnd"/>
      <w:r w:rsidR="008413F6" w:rsidRPr="00057B72">
        <w:t xml:space="preserve"> one of the key indicators for them of both the level of crime in the county and the number of exemplary executions that were required. Grand juries in their turn could reduce the </w:t>
      </w:r>
      <w:proofErr w:type="gramStart"/>
      <w:r w:rsidR="008413F6" w:rsidRPr="00057B72">
        <w:t>calendar</w:t>
      </w:r>
      <w:proofErr w:type="gramEnd"/>
      <w:r w:rsidR="008413F6" w:rsidRPr="00057B72">
        <w:t xml:space="preserve"> further by returning large numbers of bills as ignoramus, while petty juries could return partial verdicts to limit the number of offenders sentenced to death. Combined, these three actions would, King and Ward </w:t>
      </w:r>
      <w:r w:rsidR="009D0FF0" w:rsidRPr="00057B72">
        <w:t xml:space="preserve">(2016, p. 186) </w:t>
      </w:r>
      <w:r w:rsidR="008413F6" w:rsidRPr="00057B72">
        <w:t>argue</w:t>
      </w:r>
      <w:r w:rsidR="0008753A" w:rsidRPr="00057B72">
        <w:t>d</w:t>
      </w:r>
      <w:r w:rsidR="008413F6" w:rsidRPr="00057B72">
        <w:t>, have “</w:t>
      </w:r>
      <w:proofErr w:type="gramStart"/>
      <w:r w:rsidR="008413F6" w:rsidRPr="00057B72">
        <w:t>generate[</w:t>
      </w:r>
      <w:proofErr w:type="gramEnd"/>
      <w:r w:rsidR="008413F6" w:rsidRPr="00057B72">
        <w:t xml:space="preserve">d] very powerful arguments against the need to hang the few offenders who were capitally convicted”. Conversely, the combination of large assize calendars and the capital conviction of large numbers of felons for serious property offenders at the </w:t>
      </w:r>
      <w:proofErr w:type="spellStart"/>
      <w:r w:rsidR="008413F6" w:rsidRPr="00057B72">
        <w:t>centre</w:t>
      </w:r>
      <w:proofErr w:type="spellEnd"/>
      <w:r w:rsidR="008413F6" w:rsidRPr="00057B72">
        <w:t xml:space="preserve"> would have confirmed in the minds of judges that equally large numbers of exemplary executions were required to deter others.</w:t>
      </w:r>
      <w:r w:rsidR="009D0FF0" w:rsidRPr="00057B72">
        <w:t xml:space="preserve"> </w:t>
      </w:r>
      <w:r w:rsidR="008413F6" w:rsidRPr="00057B72">
        <w:t xml:space="preserve"> </w:t>
      </w:r>
    </w:p>
    <w:p w14:paraId="57C18710" w14:textId="77777777" w:rsidR="002A4161" w:rsidRPr="00057B72" w:rsidRDefault="002A4161" w:rsidP="00372121">
      <w:pPr>
        <w:spacing w:line="360" w:lineRule="auto"/>
        <w:jc w:val="both"/>
      </w:pPr>
    </w:p>
    <w:p w14:paraId="3668B453" w14:textId="622E220E" w:rsidR="00870292" w:rsidRPr="00057B72" w:rsidRDefault="002A4161" w:rsidP="00607424">
      <w:pPr>
        <w:spacing w:line="360" w:lineRule="auto"/>
        <w:jc w:val="both"/>
      </w:pPr>
      <w:r w:rsidRPr="00057B72">
        <w:tab/>
        <w:t xml:space="preserve">Although King and Ward’s analysis was focused on the narrow quarter-century period </w:t>
      </w:r>
      <w:r w:rsidR="008C3AA4" w:rsidRPr="00057B72">
        <w:t xml:space="preserve">between </w:t>
      </w:r>
      <w:r w:rsidRPr="00057B72">
        <w:t xml:space="preserve">1750-75, subsequent work has confirmed </w:t>
      </w:r>
      <w:r w:rsidR="00AB1764" w:rsidRPr="00057B72">
        <w:t xml:space="preserve">that </w:t>
      </w:r>
      <w:r w:rsidRPr="00057B72">
        <w:t xml:space="preserve">their findings </w:t>
      </w:r>
      <w:r w:rsidR="008C3AA4" w:rsidRPr="00057B72">
        <w:t xml:space="preserve">hold true </w:t>
      </w:r>
      <w:r w:rsidRPr="00057B72">
        <w:t xml:space="preserve">in the longer </w:t>
      </w:r>
      <w:r w:rsidR="008C3AA4" w:rsidRPr="00057B72">
        <w:t>period</w:t>
      </w:r>
      <w:r w:rsidR="00794110" w:rsidRPr="00057B72">
        <w:t xml:space="preserve">. </w:t>
      </w:r>
      <w:r w:rsidR="00AD452A" w:rsidRPr="00057B72">
        <w:t>In my own work</w:t>
      </w:r>
      <w:r w:rsidR="009D0FF0" w:rsidRPr="00057B72">
        <w:t xml:space="preserve"> (Walliss, 2018)</w:t>
      </w:r>
      <w:r w:rsidR="00AD452A" w:rsidRPr="00057B72">
        <w:t>, I found that</w:t>
      </w:r>
      <w:r w:rsidR="00255841" w:rsidRPr="00057B72">
        <w:t xml:space="preserve">, with the sole exception of Oxfordshire in 1800-9, </w:t>
      </w:r>
      <w:r w:rsidR="00F2312E" w:rsidRPr="00057B72">
        <w:t xml:space="preserve">the execution rate for property offenders per 100,000 population declined between 1760 and 1830 the further than one moved away from the south-east. </w:t>
      </w:r>
      <w:r w:rsidR="00255841" w:rsidRPr="00057B72">
        <w:t xml:space="preserve">For example, between 1760 </w:t>
      </w:r>
      <w:r w:rsidR="00255841" w:rsidRPr="00057B72">
        <w:lastRenderedPageBreak/>
        <w:t>and 1769, the mean annual number of property offenders executed was 63% lower in Oxfordshire (0.52) than in Kent (1.44), while the number executed in Lancashire was 86% lower than that in Oxfordshire (0.07, or 95% lower than Kent). Meanwhile, the mean annual number executed in Cornwall was 69% lower than the number executed in Oxfordshire and 88% lower than that in Kent (0.16).</w:t>
      </w:r>
      <w:r w:rsidR="00870292" w:rsidRPr="00057B72">
        <w:t xml:space="preserve"> Similarly, between 1820-9, the mean annual number of property offenders executed was 25% and 54% lower in Oxfordshire (0.36) and Lancashire (0.22) respectively than in Kent (0.48). In Co</w:t>
      </w:r>
      <w:r w:rsidR="00607424" w:rsidRPr="00057B72">
        <w:t xml:space="preserve">rnwall it was 83% lower (0.08). </w:t>
      </w:r>
      <w:r w:rsidR="00674547" w:rsidRPr="00057B72">
        <w:t xml:space="preserve">These patterns continued into Wales. </w:t>
      </w:r>
      <w:r w:rsidR="00607424" w:rsidRPr="00057B72">
        <w:t xml:space="preserve">Between 1800-9 and 1820-9, the mean annual number of property offenders executed across the principality declined from 0.08 per 100,000 </w:t>
      </w:r>
      <w:proofErr w:type="gramStart"/>
      <w:r w:rsidR="00607424" w:rsidRPr="00057B72">
        <w:t>population</w:t>
      </w:r>
      <w:proofErr w:type="gramEnd"/>
      <w:r w:rsidR="00607424" w:rsidRPr="00057B72">
        <w:t xml:space="preserve"> to 0.06. No property offenders were executed on the Carmarthen Circuit over the period, while on the Chester Circuit (minus Chester) the mean annual number of property offenders executed declined from 0.14 to 0.11 per 100,000 </w:t>
      </w:r>
      <w:proofErr w:type="gramStart"/>
      <w:r w:rsidR="00607424" w:rsidRPr="00057B72">
        <w:t>population</w:t>
      </w:r>
      <w:proofErr w:type="gramEnd"/>
      <w:r w:rsidR="00607424" w:rsidRPr="00057B72">
        <w:t xml:space="preserve"> over the period. In contrast, the North Wales Circuit saw a slight increase: from 0 t</w:t>
      </w:r>
      <w:r w:rsidR="00AB1764" w:rsidRPr="00057B72">
        <w:t>o 0.07</w:t>
      </w:r>
      <w:r w:rsidR="00607424" w:rsidRPr="00057B72">
        <w:t>.</w:t>
      </w:r>
    </w:p>
    <w:p w14:paraId="7A1D27C3" w14:textId="23EC7889" w:rsidR="00607424" w:rsidRPr="00057B72" w:rsidRDefault="00607424" w:rsidP="00607424">
      <w:pPr>
        <w:spacing w:line="360" w:lineRule="auto"/>
        <w:jc w:val="both"/>
      </w:pPr>
    </w:p>
    <w:p w14:paraId="41D8D6B1" w14:textId="55BBA5C0" w:rsidR="00607424" w:rsidRPr="00057B72" w:rsidRDefault="00607424" w:rsidP="00607424">
      <w:pPr>
        <w:spacing w:line="360" w:lineRule="auto"/>
        <w:jc w:val="both"/>
      </w:pPr>
      <w:r w:rsidRPr="00057B72">
        <w:tab/>
      </w:r>
      <w:r w:rsidR="00D124CF" w:rsidRPr="00057B72">
        <w:t>Figures 4a-</w:t>
      </w:r>
      <w:r w:rsidR="00500104" w:rsidRPr="00057B72">
        <w:t>d</w:t>
      </w:r>
      <w:r w:rsidR="00D124CF" w:rsidRPr="00057B72">
        <w:t xml:space="preserve"> extend this analysis further, showing the mean annual number of property offenders executed across each English county between 1760 and 1830:</w:t>
      </w:r>
    </w:p>
    <w:p w14:paraId="72165A60" w14:textId="3DF45A43" w:rsidR="00D124CF" w:rsidRPr="00057B72" w:rsidRDefault="00D124CF" w:rsidP="00607424">
      <w:pPr>
        <w:spacing w:line="360" w:lineRule="auto"/>
        <w:jc w:val="both"/>
      </w:pPr>
    </w:p>
    <w:p w14:paraId="44E26C11" w14:textId="77777777" w:rsidR="00AC5C73" w:rsidRPr="00057B72" w:rsidRDefault="00D124CF" w:rsidP="00AC5C73">
      <w:pPr>
        <w:spacing w:line="360" w:lineRule="auto"/>
        <w:jc w:val="center"/>
        <w:rPr>
          <w:b/>
        </w:rPr>
      </w:pPr>
      <w:r w:rsidRPr="00057B72">
        <w:rPr>
          <w:b/>
        </w:rPr>
        <w:t>Please inser</w:t>
      </w:r>
      <w:r w:rsidR="00500104" w:rsidRPr="00057B72">
        <w:rPr>
          <w:b/>
        </w:rPr>
        <w:t xml:space="preserve">t </w:t>
      </w:r>
    </w:p>
    <w:p w14:paraId="4A62A308" w14:textId="77777777" w:rsidR="00AC5C73" w:rsidRPr="00057B72" w:rsidRDefault="00500104" w:rsidP="00AC5C73">
      <w:pPr>
        <w:spacing w:line="360" w:lineRule="auto"/>
        <w:jc w:val="center"/>
        <w:rPr>
          <w:b/>
        </w:rPr>
      </w:pPr>
      <w:proofErr w:type="gramStart"/>
      <w:r w:rsidRPr="00057B72">
        <w:rPr>
          <w:b/>
        </w:rPr>
        <w:t>figures</w:t>
      </w:r>
      <w:proofErr w:type="gramEnd"/>
      <w:r w:rsidRPr="00057B72">
        <w:rPr>
          <w:b/>
        </w:rPr>
        <w:t xml:space="preserve"> 4a</w:t>
      </w:r>
      <w:r w:rsidR="00AC5C73" w:rsidRPr="00057B72">
        <w:rPr>
          <w:b/>
        </w:rPr>
        <w:t xml:space="preserve"> (1760-9)</w:t>
      </w:r>
      <w:r w:rsidRPr="00057B72">
        <w:rPr>
          <w:b/>
        </w:rPr>
        <w:t>, 4b</w:t>
      </w:r>
      <w:r w:rsidR="00AC5C73" w:rsidRPr="00057B72">
        <w:rPr>
          <w:b/>
        </w:rPr>
        <w:t xml:space="preserve"> (1780-9)</w:t>
      </w:r>
      <w:r w:rsidRPr="00057B72">
        <w:rPr>
          <w:b/>
        </w:rPr>
        <w:t>, 4c</w:t>
      </w:r>
      <w:r w:rsidR="00AC5C73" w:rsidRPr="00057B72">
        <w:rPr>
          <w:b/>
        </w:rPr>
        <w:t xml:space="preserve"> (1800-9)</w:t>
      </w:r>
      <w:r w:rsidRPr="00057B72">
        <w:rPr>
          <w:b/>
        </w:rPr>
        <w:t xml:space="preserve">, 4d </w:t>
      </w:r>
      <w:r w:rsidR="00AC5C73" w:rsidRPr="00057B72">
        <w:rPr>
          <w:b/>
        </w:rPr>
        <w:t xml:space="preserve">(1820-9) </w:t>
      </w:r>
    </w:p>
    <w:p w14:paraId="62379188" w14:textId="647A7EE2" w:rsidR="00D124CF" w:rsidRPr="00057B72" w:rsidRDefault="00D124CF" w:rsidP="00AC5C73">
      <w:pPr>
        <w:spacing w:line="360" w:lineRule="auto"/>
        <w:jc w:val="center"/>
        <w:rPr>
          <w:b/>
        </w:rPr>
      </w:pPr>
      <w:proofErr w:type="gramStart"/>
      <w:r w:rsidRPr="00057B72">
        <w:rPr>
          <w:b/>
        </w:rPr>
        <w:t>here</w:t>
      </w:r>
      <w:proofErr w:type="gramEnd"/>
    </w:p>
    <w:p w14:paraId="5DFF679B" w14:textId="552ACAE6" w:rsidR="00D124CF" w:rsidRPr="00057B72" w:rsidRDefault="00D124CF" w:rsidP="00607424">
      <w:pPr>
        <w:spacing w:line="360" w:lineRule="auto"/>
        <w:jc w:val="both"/>
      </w:pPr>
    </w:p>
    <w:p w14:paraId="5504CE88" w14:textId="4653E7D4" w:rsidR="00AB0B9F" w:rsidRPr="00057B72" w:rsidRDefault="00044A5E" w:rsidP="003F3466">
      <w:pPr>
        <w:spacing w:line="360" w:lineRule="auto"/>
        <w:jc w:val="both"/>
      </w:pPr>
      <w:r w:rsidRPr="00057B72">
        <w:t xml:space="preserve">With </w:t>
      </w:r>
      <w:r w:rsidR="00AB0B9F" w:rsidRPr="00057B72">
        <w:t>some</w:t>
      </w:r>
      <w:r w:rsidRPr="00057B72">
        <w:t xml:space="preserve"> exceptions, the mean annual number of property offenders going to the gallows between 1760 and 1830 </w:t>
      </w:r>
      <w:r w:rsidR="00445331" w:rsidRPr="00057B72">
        <w:t xml:space="preserve">broadly </w:t>
      </w:r>
      <w:r w:rsidRPr="00057B72">
        <w:t xml:space="preserve">declined the further that one moved away from the capital and the </w:t>
      </w:r>
      <w:proofErr w:type="gramStart"/>
      <w:r w:rsidRPr="00057B72">
        <w:t>south east</w:t>
      </w:r>
      <w:proofErr w:type="gramEnd"/>
      <w:r w:rsidRPr="00057B72">
        <w:t xml:space="preserve">. </w:t>
      </w:r>
      <w:r w:rsidR="00AB0B9F" w:rsidRPr="00057B72">
        <w:t xml:space="preserve">Between 1760 and 1769, for example, the mean annual number of executions declined from 2.1 in London and Middlesex to less than 0.14 in Lancashire and the far northern counties (with no executions at all in Cumberland and Westmorland). </w:t>
      </w:r>
      <w:r w:rsidR="00445331" w:rsidRPr="00057B72">
        <w:t xml:space="preserve">Linking back to the previous section, the figures also reveal </w:t>
      </w:r>
      <w:r w:rsidR="002D5991" w:rsidRPr="00057B72">
        <w:t xml:space="preserve">how the mean </w:t>
      </w:r>
      <w:r w:rsidR="00AB1764" w:rsidRPr="00057B72">
        <w:t xml:space="preserve">annual </w:t>
      </w:r>
      <w:r w:rsidR="002D5991" w:rsidRPr="00057B72">
        <w:t xml:space="preserve">number of executions for property offenders changed </w:t>
      </w:r>
      <w:r w:rsidR="00B8565A" w:rsidRPr="00057B72">
        <w:t>in each county over the seventy-</w:t>
      </w:r>
      <w:r w:rsidR="002D5991" w:rsidRPr="00057B72">
        <w:t xml:space="preserve">year period. Again, in some counties, there was little or no change over the period: in Westmorland, </w:t>
      </w:r>
      <w:r w:rsidR="002D5991" w:rsidRPr="00057B72">
        <w:lastRenderedPageBreak/>
        <w:t xml:space="preserve">Cheshire, </w:t>
      </w:r>
      <w:proofErr w:type="gramStart"/>
      <w:r w:rsidR="002D5991" w:rsidRPr="00057B72">
        <w:t>Yorkshire</w:t>
      </w:r>
      <w:proofErr w:type="gramEnd"/>
      <w:r w:rsidR="002D5991" w:rsidRPr="00057B72">
        <w:t xml:space="preserve">, for example. However, others saw growth and contraction over the period. In Herefordshire, for example, the mean annual number of property offenders going to the gallows increased rapidly from 0.12 to 2.57 between 1760-9 and 1880-9, before declining to 0.27 and 0 between 1800-9 and 1820-9. A similar pattern was seen in Devon, where the mean annual number of executions increased from 0.65 </w:t>
      </w:r>
      <w:proofErr w:type="gramStart"/>
      <w:r w:rsidR="002D5991" w:rsidRPr="00057B72">
        <w:t>between 1760-9 to 1.05 between 1880-9, before declining for the remainder of the period</w:t>
      </w:r>
      <w:proofErr w:type="gramEnd"/>
      <w:r w:rsidR="002D5991" w:rsidRPr="00057B72">
        <w:t>.</w:t>
      </w:r>
      <w:r w:rsidR="00235E3A" w:rsidRPr="00057B72">
        <w:t xml:space="preserve"> In </w:t>
      </w:r>
      <w:r w:rsidR="00AB1764" w:rsidRPr="00057B72">
        <w:t>contrast, London and Middlesex</w:t>
      </w:r>
      <w:r w:rsidR="00235E3A" w:rsidRPr="00057B72">
        <w:t xml:space="preserve"> grew and contracted over the period: from 2.1 to 6.2 between 1760-9 and 1880-9, down to 0.85 between 1800-9 before increasing again to 1.28 between 1820-9.</w:t>
      </w:r>
    </w:p>
    <w:p w14:paraId="0AC2987E" w14:textId="77777777" w:rsidR="00850F8B" w:rsidRPr="00057B72" w:rsidRDefault="00850F8B" w:rsidP="003F3466">
      <w:pPr>
        <w:spacing w:line="360" w:lineRule="auto"/>
        <w:jc w:val="both"/>
      </w:pPr>
    </w:p>
    <w:p w14:paraId="29AB6185" w14:textId="1362B6EF" w:rsidR="00584802" w:rsidRPr="00057B72" w:rsidRDefault="00850F8B" w:rsidP="003F3466">
      <w:pPr>
        <w:spacing w:line="360" w:lineRule="auto"/>
        <w:jc w:val="both"/>
      </w:pPr>
      <w:r w:rsidRPr="00057B72">
        <w:tab/>
      </w:r>
      <w:r w:rsidR="00F50A7F" w:rsidRPr="00057B72">
        <w:t xml:space="preserve">This quantitative work on the geography of the Bloody Code </w:t>
      </w:r>
      <w:r w:rsidR="00080402" w:rsidRPr="00057B72">
        <w:t xml:space="preserve">suggests several new questions or avenues for future work for qualitative historians of the topic. Primarily, is there any evidence of an aversion to capital punishment </w:t>
      </w:r>
      <w:r w:rsidR="00A75361" w:rsidRPr="00057B72">
        <w:t>on the periphery? Were, for example, local sensitivities to seeing property offenders go to the gallows on the periphery communicated in petitions for mercy?</w:t>
      </w:r>
      <w:r w:rsidR="00B8565A" w:rsidRPr="00057B72">
        <w:t xml:space="preserve"> </w:t>
      </w:r>
      <w:r w:rsidR="006862F4" w:rsidRPr="00057B72">
        <w:t xml:space="preserve">King and Ward </w:t>
      </w:r>
      <w:r w:rsidR="009D0FF0" w:rsidRPr="00057B72">
        <w:t xml:space="preserve">(2015, pp. 187-93) </w:t>
      </w:r>
      <w:r w:rsidR="006862F4" w:rsidRPr="00057B72">
        <w:t xml:space="preserve">cite several examples </w:t>
      </w:r>
      <w:r w:rsidR="00584802" w:rsidRPr="00057B72">
        <w:t xml:space="preserve">on the periphery </w:t>
      </w:r>
      <w:r w:rsidR="006862F4" w:rsidRPr="00057B72">
        <w:t xml:space="preserve">of </w:t>
      </w:r>
      <w:r w:rsidR="00584802" w:rsidRPr="00057B72">
        <w:t>local authorities being unable to appoint an executioner or even find workmen willing to construct gallows; was this state of affairs widespread across the periphery?</w:t>
      </w:r>
      <w:r w:rsidR="009D0FF0" w:rsidRPr="00057B72">
        <w:rPr>
          <w:rStyle w:val="EndnoteReference"/>
        </w:rPr>
        <w:t xml:space="preserve"> </w:t>
      </w:r>
      <w:r w:rsidR="00584802" w:rsidRPr="00057B72">
        <w:t>It may also be possible to discern evidence of attitudes on the periphery towards capital punishment in newspaper execution reportage</w:t>
      </w:r>
      <w:r w:rsidR="009D0FF0" w:rsidRPr="00057B72">
        <w:t xml:space="preserve"> (see </w:t>
      </w:r>
      <w:proofErr w:type="spellStart"/>
      <w:r w:rsidR="009D0FF0" w:rsidRPr="00057B72">
        <w:t>Dyndor</w:t>
      </w:r>
      <w:proofErr w:type="spellEnd"/>
      <w:r w:rsidR="009D0FF0" w:rsidRPr="00057B72">
        <w:t>, 2008)</w:t>
      </w:r>
      <w:r w:rsidR="00584802" w:rsidRPr="00057B72">
        <w:t>.</w:t>
      </w:r>
      <w:r w:rsidR="00584802" w:rsidRPr="00057B72">
        <w:rPr>
          <w:rStyle w:val="EndnoteReference"/>
        </w:rPr>
        <w:endnoteReference w:id="4"/>
      </w:r>
      <w:r w:rsidR="00584802" w:rsidRPr="00057B72">
        <w:t xml:space="preserve"> </w:t>
      </w:r>
    </w:p>
    <w:p w14:paraId="6CA77170" w14:textId="77777777" w:rsidR="00584802" w:rsidRPr="00057B72" w:rsidRDefault="00584802" w:rsidP="003F3466">
      <w:pPr>
        <w:spacing w:line="360" w:lineRule="auto"/>
        <w:jc w:val="both"/>
      </w:pPr>
    </w:p>
    <w:p w14:paraId="027BB4A1" w14:textId="6E125294" w:rsidR="00C0320F" w:rsidRPr="00057B72" w:rsidRDefault="00C0320F" w:rsidP="003F3466">
      <w:pPr>
        <w:spacing w:line="360" w:lineRule="auto"/>
      </w:pPr>
    </w:p>
    <w:p w14:paraId="0C692D57" w14:textId="5023EA2A" w:rsidR="00F354F4" w:rsidRPr="00057B72" w:rsidRDefault="00356784" w:rsidP="003F3466">
      <w:pPr>
        <w:spacing w:line="360" w:lineRule="auto"/>
        <w:rPr>
          <w:b/>
          <w:sz w:val="28"/>
          <w:szCs w:val="28"/>
        </w:rPr>
      </w:pPr>
      <w:r w:rsidRPr="00057B72">
        <w:rPr>
          <w:b/>
          <w:sz w:val="28"/>
          <w:szCs w:val="28"/>
        </w:rPr>
        <w:t>Judicial Decision-making</w:t>
      </w:r>
    </w:p>
    <w:p w14:paraId="70C2645F" w14:textId="19A05CE8" w:rsidR="00356784" w:rsidRPr="00057B72" w:rsidRDefault="00356784" w:rsidP="003F3466">
      <w:pPr>
        <w:spacing w:line="360" w:lineRule="auto"/>
      </w:pPr>
    </w:p>
    <w:p w14:paraId="7E6BC6D9" w14:textId="6A45E349" w:rsidR="00BD70BC" w:rsidRPr="00057B72" w:rsidRDefault="003F3466" w:rsidP="00BD70BC">
      <w:pPr>
        <w:spacing w:line="360" w:lineRule="auto"/>
        <w:jc w:val="both"/>
      </w:pPr>
      <w:r w:rsidRPr="00057B72">
        <w:t xml:space="preserve">At its core, the Bloody Code was a system built on a significant amount of discretion. The decisions of a number of different actors could propel an offender further into (or out of) the criminal justice process towards potential punishment. Victims, for example, could choose not to prosecute, and opt instead for a private settlement of community mediation/penalties. Grand juries, in their turn, could return ignoramus bills, thus declaring that there was insufficient evidence for a trial to go ahead. Petty juries then determined innocence and level of guilt, sometimes returning partial verdicts in order to save the offender from a </w:t>
      </w:r>
      <w:r w:rsidRPr="00057B72">
        <w:lastRenderedPageBreak/>
        <w:t>capital charge.</w:t>
      </w:r>
      <w:r w:rsidR="003F61F8" w:rsidRPr="00057B72">
        <w:t xml:space="preserve"> </w:t>
      </w:r>
      <w:r w:rsidR="00BD70BC" w:rsidRPr="00057B72">
        <w:t xml:space="preserve">However, without doubt the most important decision maker for capitally convicted felons was the judge himself. In contrast to the Recorder’s Reports in the capital, the decision of whether or not an offender ‘left for execution’ after an assize </w:t>
      </w:r>
      <w:r w:rsidR="00AB1764" w:rsidRPr="00057B72">
        <w:t>was executed</w:t>
      </w:r>
      <w:r w:rsidR="00BD70BC" w:rsidRPr="00057B72">
        <w:t xml:space="preserve"> or received a lesser sentence lay in this man’s hands. This occurred in two main ways. Primarily, at the end of the assize, a judge could give an administrative pardon by leaving a list of those that he wished to pardon in a circuit letter. Later he could amend his decision in response to petitions from the family and supporters of the condemned, or if new evidence came to light. However, any such petition had to </w:t>
      </w:r>
      <w:proofErr w:type="gramStart"/>
      <w:r w:rsidR="00BD70BC" w:rsidRPr="00057B72">
        <w:t>submitted</w:t>
      </w:r>
      <w:proofErr w:type="gramEnd"/>
      <w:r w:rsidR="00BD70BC" w:rsidRPr="00057B72">
        <w:t xml:space="preserve"> quickly as it was often the case than capitally convicted felons were executed within days of the close of an assize</w:t>
      </w:r>
      <w:r w:rsidR="003F61F8" w:rsidRPr="00057B72">
        <w:t xml:space="preserve"> (Hay, 2011</w:t>
      </w:r>
      <w:r w:rsidR="00DC50FD" w:rsidRPr="00057B72">
        <w:t>a</w:t>
      </w:r>
      <w:r w:rsidR="003F61F8" w:rsidRPr="00057B72">
        <w:t>)</w:t>
      </w:r>
      <w:r w:rsidR="00BD70BC" w:rsidRPr="00057B72">
        <w:t xml:space="preserve">. </w:t>
      </w:r>
    </w:p>
    <w:p w14:paraId="39928578" w14:textId="3B08F072" w:rsidR="0022468D" w:rsidRPr="00057B72" w:rsidRDefault="00BD70BC" w:rsidP="00BD70BC">
      <w:pPr>
        <w:spacing w:line="360" w:lineRule="auto"/>
        <w:jc w:val="both"/>
      </w:pPr>
      <w:r w:rsidRPr="00057B72">
        <w:tab/>
      </w:r>
    </w:p>
    <w:p w14:paraId="49A097E9" w14:textId="162D5DE9" w:rsidR="00BD70BC" w:rsidRPr="00057B72" w:rsidRDefault="0022468D" w:rsidP="009A488D">
      <w:pPr>
        <w:spacing w:line="360" w:lineRule="auto"/>
        <w:ind w:firstLine="567"/>
        <w:jc w:val="both"/>
      </w:pPr>
      <w:r w:rsidRPr="00057B72">
        <w:t>The ‘hanging judge’ was very much part of the popular imagination and literature of the long eighteenth century, but he was also a reality</w:t>
      </w:r>
      <w:r w:rsidR="003F61F8" w:rsidRPr="00057B72">
        <w:t xml:space="preserve"> (</w:t>
      </w:r>
      <w:proofErr w:type="spellStart"/>
      <w:r w:rsidR="003F61F8" w:rsidRPr="00057B72">
        <w:t>Duman</w:t>
      </w:r>
      <w:proofErr w:type="spellEnd"/>
      <w:r w:rsidR="003F61F8" w:rsidRPr="00057B72">
        <w:t xml:space="preserve">, 1982. </w:t>
      </w:r>
      <w:r w:rsidR="00BD70BC" w:rsidRPr="00057B72">
        <w:t xml:space="preserve">This was particularly the case during the previously discussed transportation crisis of the 1780s, when judges were instructed by the Lord Chancellor to grant administrative pardons only in exceptional cases. </w:t>
      </w:r>
      <w:r w:rsidR="009A488D" w:rsidRPr="00057B72">
        <w:t xml:space="preserve">Increases in the amount or severity of crime in both the county and a particular locale, would lead individual judges to recalibrate the severity of their decision making at each assize. </w:t>
      </w:r>
      <w:r w:rsidR="00BD70BC" w:rsidRPr="00057B72">
        <w:t xml:space="preserve">Individual judges also gained reputations for being ‘hanging judges’. Sir Francis Page was known among his contemporaries as ‘the hanging judge’, while </w:t>
      </w:r>
      <w:proofErr w:type="spellStart"/>
      <w:r w:rsidR="00BD70BC" w:rsidRPr="00057B72">
        <w:t>Mr</w:t>
      </w:r>
      <w:proofErr w:type="spellEnd"/>
      <w:r w:rsidR="00BD70BC" w:rsidRPr="00057B72">
        <w:t xml:space="preserve"> Justice </w:t>
      </w:r>
      <w:proofErr w:type="spellStart"/>
      <w:r w:rsidR="00BD70BC" w:rsidRPr="00057B72">
        <w:t>Buller</w:t>
      </w:r>
      <w:proofErr w:type="spellEnd"/>
      <w:r w:rsidR="00BD70BC" w:rsidRPr="00057B72">
        <w:t xml:space="preserve"> gained a similar reputation after his death: “people remembering his charges in the 1780s to the effect that mercy too often ‘induced offenders to speculate upon the chances of life and death, like the gamester reckoning upon the chances of the die’”</w:t>
      </w:r>
      <w:r w:rsidR="003F61F8" w:rsidRPr="00057B72">
        <w:t xml:space="preserve"> (Thompson, 1990, p. 211; Hay, 2011</w:t>
      </w:r>
      <w:r w:rsidR="00DC50FD" w:rsidRPr="00057B72">
        <w:t>a</w:t>
      </w:r>
      <w:r w:rsidR="003F61F8" w:rsidRPr="00057B72">
        <w:t>, p. 137)</w:t>
      </w:r>
      <w:r w:rsidR="00BD70BC" w:rsidRPr="00057B72">
        <w:t>.</w:t>
      </w:r>
      <w:r w:rsidR="003F61F8" w:rsidRPr="00057B72">
        <w:t xml:space="preserve"> </w:t>
      </w:r>
      <w:r w:rsidR="00BD70BC" w:rsidRPr="00057B72">
        <w:t xml:space="preserve">Likewise a contemporary recalled that </w:t>
      </w:r>
      <w:proofErr w:type="spellStart"/>
      <w:r w:rsidR="00BD70BC" w:rsidRPr="00057B72">
        <w:t>Mr</w:t>
      </w:r>
      <w:proofErr w:type="spellEnd"/>
      <w:r w:rsidR="00BD70BC" w:rsidRPr="00057B72">
        <w:t xml:space="preserve"> Justice Eyre told one Grand Jury </w:t>
      </w:r>
    </w:p>
    <w:p w14:paraId="30F0A69A" w14:textId="77777777" w:rsidR="00BD70BC" w:rsidRPr="00057B72" w:rsidRDefault="00BD70BC" w:rsidP="00BD70BC">
      <w:pPr>
        <w:spacing w:line="360" w:lineRule="auto"/>
        <w:jc w:val="both"/>
      </w:pPr>
    </w:p>
    <w:p w14:paraId="1B343D6F" w14:textId="1AF6DDD9" w:rsidR="00BD70BC" w:rsidRPr="00057B72" w:rsidRDefault="00BD70BC" w:rsidP="00BD70BC">
      <w:pPr>
        <w:spacing w:line="360" w:lineRule="auto"/>
        <w:ind w:left="567"/>
        <w:jc w:val="both"/>
      </w:pPr>
      <w:r w:rsidRPr="00057B72">
        <w:t>Now, gentlemen of the jury, you have heard my opinion as to the enormity of the offences committed; be careful what bills you find, for whatever bills you find, if the parties are convicted before me, if they are convicted for a capital offence, I have made up my mind, as I go through the circuit, to execute every one</w:t>
      </w:r>
      <w:r w:rsidR="003F61F8" w:rsidRPr="00057B72">
        <w:t xml:space="preserve"> (Committee on the state of the police of the Metropolis, 1816, p. 267)</w:t>
      </w:r>
      <w:r w:rsidRPr="00057B72">
        <w:t>.</w:t>
      </w:r>
    </w:p>
    <w:p w14:paraId="3E259CD9" w14:textId="77777777" w:rsidR="00BD70BC" w:rsidRPr="00057B72" w:rsidRDefault="00BD70BC" w:rsidP="00BD70BC">
      <w:pPr>
        <w:spacing w:line="360" w:lineRule="auto"/>
        <w:jc w:val="both"/>
      </w:pPr>
    </w:p>
    <w:p w14:paraId="28B69ACD" w14:textId="5448E4E9" w:rsidR="005036AB" w:rsidRPr="00057B72" w:rsidRDefault="00BD70BC" w:rsidP="00BD70BC">
      <w:pPr>
        <w:spacing w:line="360" w:lineRule="auto"/>
        <w:jc w:val="both"/>
      </w:pPr>
      <w:r w:rsidRPr="00057B72">
        <w:t xml:space="preserve">V.A.C. </w:t>
      </w:r>
      <w:proofErr w:type="spellStart"/>
      <w:r w:rsidRPr="00057B72">
        <w:t>Gatrell</w:t>
      </w:r>
      <w:proofErr w:type="spellEnd"/>
      <w:r w:rsidRPr="00057B72">
        <w:t xml:space="preserve"> </w:t>
      </w:r>
      <w:r w:rsidR="003F61F8" w:rsidRPr="00057B72">
        <w:t xml:space="preserve">(1996, p 499). </w:t>
      </w:r>
      <w:proofErr w:type="gramStart"/>
      <w:r w:rsidRPr="00057B72">
        <w:t>is</w:t>
      </w:r>
      <w:proofErr w:type="gramEnd"/>
      <w:r w:rsidRPr="00057B72">
        <w:t xml:space="preserve"> particularly critical of judges, referring to them in his </w:t>
      </w:r>
      <w:r w:rsidRPr="00057B72">
        <w:rPr>
          <w:i/>
        </w:rPr>
        <w:t>Hanging Tree</w:t>
      </w:r>
      <w:r w:rsidRPr="00057B72">
        <w:t xml:space="preserve"> as ‘these dislikable beings’ and as “furred homicides, sable bigots”. In his account, judges were “…crippled as much as elevated by their power and standing in the world”; wholly negative beings </w:t>
      </w:r>
      <w:proofErr w:type="gramStart"/>
      <w:r w:rsidRPr="00057B72">
        <w:t>who</w:t>
      </w:r>
      <w:proofErr w:type="gramEnd"/>
      <w:r w:rsidRPr="00057B72">
        <w:t xml:space="preserve"> “…confront us with a peculiar and diminished species of being in whom benevolence, sympathy, love, and the imaginative faculties were denied”. This thesis, however, is arguably overblown, particularly when it is considered in the light of those judges who had reputations for being merciful. Lloyd Baron Kenyon, for example, had a reputation, according to </w:t>
      </w:r>
      <w:r w:rsidR="003F61F8" w:rsidRPr="00057B72">
        <w:t>(2011</w:t>
      </w:r>
      <w:r w:rsidR="00DC50FD" w:rsidRPr="00057B72">
        <w:t>a</w:t>
      </w:r>
      <w:r w:rsidR="003F61F8" w:rsidRPr="00057B72">
        <w:t>, p. 138)</w:t>
      </w:r>
      <w:r w:rsidRPr="00057B72">
        <w:t xml:space="preserve">, of being “a humane man eager to reprieve, and especially not to cause distress to those whom he </w:t>
      </w:r>
      <w:r w:rsidRPr="00057B72">
        <w:rPr>
          <w:i/>
        </w:rPr>
        <w:t>intended</w:t>
      </w:r>
      <w:r w:rsidRPr="00057B72">
        <w:t xml:space="preserve"> to reprieve”.</w:t>
      </w:r>
    </w:p>
    <w:p w14:paraId="29A1926E" w14:textId="31455BB3" w:rsidR="008910EA" w:rsidRPr="00057B72" w:rsidRDefault="008910EA" w:rsidP="00BD70BC">
      <w:pPr>
        <w:spacing w:line="360" w:lineRule="auto"/>
        <w:jc w:val="both"/>
      </w:pPr>
    </w:p>
    <w:p w14:paraId="0B1B03BA" w14:textId="6DDBC4C4" w:rsidR="0099415C" w:rsidRPr="00057B72" w:rsidRDefault="00C22C02" w:rsidP="00265537">
      <w:pPr>
        <w:spacing w:line="360" w:lineRule="auto"/>
        <w:ind w:firstLine="720"/>
        <w:jc w:val="both"/>
      </w:pPr>
      <w:r w:rsidRPr="00057B72">
        <w:t xml:space="preserve">Determining whether or not </w:t>
      </w:r>
      <w:r w:rsidR="008910EA" w:rsidRPr="00057B72">
        <w:t xml:space="preserve">some judges were ‘furred homicides’ as </w:t>
      </w:r>
      <w:proofErr w:type="spellStart"/>
      <w:r w:rsidR="008910EA" w:rsidRPr="00057B72">
        <w:t>Gatrell</w:t>
      </w:r>
      <w:proofErr w:type="spellEnd"/>
      <w:r w:rsidR="008910EA" w:rsidRPr="00057B72">
        <w:t xml:space="preserve"> suggests is fraught with difficulties and, consequently, remains a relatively neglected topic within the historiography of the Bloody Code. </w:t>
      </w:r>
      <w:r w:rsidRPr="00057B72">
        <w:t xml:space="preserve">The </w:t>
      </w:r>
      <w:r w:rsidR="00D661C5" w:rsidRPr="00057B72">
        <w:t>length of their careers, when they served, and which circuits they visited, influences the crude measure of how many felons each man sent to their death significantly</w:t>
      </w:r>
      <w:r w:rsidRPr="00057B72">
        <w:t xml:space="preserve">. A judge who visited the Home Circuit during the 1780s, for example, would, all things being equal, execute more felons than one who visited the Northern Circuit during the 1820s, or, for that matter, a Justice in Wales. </w:t>
      </w:r>
      <w:r w:rsidR="00C6463D" w:rsidRPr="00057B72">
        <w:t xml:space="preserve">Judicial decision-making was also affected by governmental pardoning decisions, such as occurred during the 1780s. </w:t>
      </w:r>
      <w:r w:rsidR="00D661C5" w:rsidRPr="00057B72">
        <w:t xml:space="preserve">Clearly geography, time and judicial decision-making interacted in ways that is difficult to disentangle. </w:t>
      </w:r>
      <w:r w:rsidR="00265537" w:rsidRPr="00057B72">
        <w:t xml:space="preserve">Moreover, as noted in the introduction, the pressure that could be brought to bear through the petitioning process by elite groups could also significantly influence pardoning decisions. </w:t>
      </w:r>
      <w:r w:rsidR="000E3D28" w:rsidRPr="00057B72">
        <w:t>To date, the only attempt to study the impact of individual judge’s decision making on the administratio</w:t>
      </w:r>
      <w:r w:rsidR="0054313E" w:rsidRPr="00057B72">
        <w:t xml:space="preserve">n of the Bloody code is a brief, tantalizing </w:t>
      </w:r>
      <w:r w:rsidR="000E3D28" w:rsidRPr="00057B72">
        <w:t xml:space="preserve">analysis by Douglas </w:t>
      </w:r>
      <w:r w:rsidR="003F61F8" w:rsidRPr="00057B72">
        <w:t>(2011</w:t>
      </w:r>
      <w:r w:rsidR="00DC50FD" w:rsidRPr="00057B72">
        <w:t>a</w:t>
      </w:r>
      <w:r w:rsidR="003F61F8" w:rsidRPr="00057B72">
        <w:t xml:space="preserve">) </w:t>
      </w:r>
      <w:r w:rsidR="000E3D28" w:rsidRPr="00057B72">
        <w:t xml:space="preserve">as part of a longer discussion on the attitudes of English judges towards capital punishment between the eighteenth and the twentieth centuries. </w:t>
      </w:r>
      <w:r w:rsidR="00C6463D" w:rsidRPr="00057B72">
        <w:t xml:space="preserve">By utilizing a statistical analysis that controlled for fixed effects (such as circuit, crime levels and government policy), he produced predicted scores for each English judge between 1718 and 1818 </w:t>
      </w:r>
      <w:r w:rsidR="00C96517" w:rsidRPr="00057B72">
        <w:t>for each crime</w:t>
      </w:r>
      <w:r w:rsidR="00935952" w:rsidRPr="00057B72">
        <w:t xml:space="preserve">, </w:t>
      </w:r>
      <w:r w:rsidR="00935952" w:rsidRPr="00057B72">
        <w:lastRenderedPageBreak/>
        <w:t xml:space="preserve">which he then compared with each judge’s </w:t>
      </w:r>
      <w:r w:rsidR="00C96517" w:rsidRPr="00057B72">
        <w:t>actual decision-making.</w:t>
      </w:r>
      <w:r w:rsidR="00935952" w:rsidRPr="00057B72">
        <w:t xml:space="preserve"> His analysis confirmed the views of contemporaries: that judges such as </w:t>
      </w:r>
      <w:proofErr w:type="spellStart"/>
      <w:r w:rsidR="00935952" w:rsidRPr="00057B72">
        <w:t>Buller</w:t>
      </w:r>
      <w:proofErr w:type="spellEnd"/>
      <w:r w:rsidR="00935952" w:rsidRPr="00057B72">
        <w:t xml:space="preserve"> and Eyre were more punitive than men such as Kenyon. </w:t>
      </w:r>
    </w:p>
    <w:p w14:paraId="28D4CA6F" w14:textId="77777777" w:rsidR="0099415C" w:rsidRPr="00057B72" w:rsidRDefault="0099415C" w:rsidP="003060CE">
      <w:pPr>
        <w:spacing w:line="360" w:lineRule="auto"/>
        <w:ind w:firstLine="720"/>
        <w:jc w:val="both"/>
      </w:pPr>
    </w:p>
    <w:p w14:paraId="50958CBD" w14:textId="77777777" w:rsidR="00C14762" w:rsidRPr="00057B72" w:rsidRDefault="00C14762" w:rsidP="003060CE">
      <w:pPr>
        <w:spacing w:line="360" w:lineRule="auto"/>
      </w:pPr>
    </w:p>
    <w:p w14:paraId="5066D793" w14:textId="60A25F39" w:rsidR="00C14762" w:rsidRPr="00057B72" w:rsidRDefault="00D15882" w:rsidP="003060CE">
      <w:pPr>
        <w:spacing w:line="360" w:lineRule="auto"/>
        <w:rPr>
          <w:b/>
          <w:sz w:val="28"/>
          <w:szCs w:val="28"/>
        </w:rPr>
      </w:pPr>
      <w:r w:rsidRPr="00057B72">
        <w:rPr>
          <w:b/>
          <w:sz w:val="28"/>
          <w:szCs w:val="28"/>
        </w:rPr>
        <w:t>Conclusion</w:t>
      </w:r>
    </w:p>
    <w:p w14:paraId="1C2A3125" w14:textId="0CAE250D" w:rsidR="00C14762" w:rsidRPr="00057B72" w:rsidRDefault="00C14762" w:rsidP="003060CE">
      <w:pPr>
        <w:spacing w:line="360" w:lineRule="auto"/>
      </w:pPr>
    </w:p>
    <w:p w14:paraId="0FD01507" w14:textId="2B147942" w:rsidR="0033392D" w:rsidRPr="00057B72" w:rsidRDefault="0022662F" w:rsidP="003060CE">
      <w:pPr>
        <w:spacing w:line="360" w:lineRule="auto"/>
      </w:pPr>
      <w:r w:rsidRPr="00057B72">
        <w:tab/>
      </w:r>
    </w:p>
    <w:p w14:paraId="30E42AE7" w14:textId="2F8E2970" w:rsidR="00BE7469" w:rsidRPr="00057B72" w:rsidRDefault="0022662F" w:rsidP="00AC5C73">
      <w:pPr>
        <w:spacing w:line="360" w:lineRule="auto"/>
        <w:jc w:val="both"/>
      </w:pPr>
      <w:r w:rsidRPr="00057B72">
        <w:tab/>
        <w:t xml:space="preserve">The recent historiography </w:t>
      </w:r>
      <w:r w:rsidR="003060CE" w:rsidRPr="00057B72">
        <w:t xml:space="preserve">of the </w:t>
      </w:r>
      <w:r w:rsidR="009E2C12" w:rsidRPr="00057B72">
        <w:t xml:space="preserve">administration of the </w:t>
      </w:r>
      <w:r w:rsidR="003060CE" w:rsidRPr="00057B72">
        <w:t xml:space="preserve">Bloody Code </w:t>
      </w:r>
      <w:r w:rsidR="00E278B4" w:rsidRPr="00057B72">
        <w:t xml:space="preserve">has </w:t>
      </w:r>
      <w:r w:rsidR="00AC5C73" w:rsidRPr="00057B72">
        <w:t xml:space="preserve">explored the impact of time, space, and judicial decision-making on the administration of justice during the long eighteenth century. In doing so, it has further highlighted the discretion and variability that was at the heart of the criminal justice process during this period. In many ways, the question of whether or not an offender expiated for their crime on the gallows was influenced significantly by when and where they were convicted and, it would appear, by which Judge. </w:t>
      </w:r>
      <w:r w:rsidR="00BE7469" w:rsidRPr="00057B72">
        <w:t>In some times and places and before some judges, a capitally convicted felon could expect little mercy, whereas in other times, places and before others, they stood a strong likelihood of being pardoned.</w:t>
      </w:r>
      <w:r w:rsidR="00AB1764" w:rsidRPr="00057B72">
        <w:rPr>
          <w:rStyle w:val="EndnoteReference"/>
        </w:rPr>
        <w:endnoteReference w:id="5"/>
      </w:r>
      <w:r w:rsidR="00BE7469" w:rsidRPr="00057B72">
        <w:t xml:space="preserve"> </w:t>
      </w:r>
    </w:p>
    <w:p w14:paraId="1DA2003C" w14:textId="3E1D9CA6" w:rsidR="00554C08" w:rsidRPr="00057B72" w:rsidRDefault="00554C08" w:rsidP="00AC5C73">
      <w:pPr>
        <w:spacing w:line="360" w:lineRule="auto"/>
        <w:jc w:val="both"/>
      </w:pPr>
    </w:p>
    <w:p w14:paraId="6BE9DB79" w14:textId="64C20E3D" w:rsidR="00554C08" w:rsidRPr="00057B72" w:rsidRDefault="00554C08" w:rsidP="00840CC7">
      <w:pPr>
        <w:spacing w:line="360" w:lineRule="auto"/>
        <w:jc w:val="both"/>
      </w:pPr>
      <w:r w:rsidRPr="00057B72">
        <w:tab/>
        <w:t xml:space="preserve">The new research discussed in this article has been exclusively </w:t>
      </w:r>
      <w:r w:rsidR="008E2B23" w:rsidRPr="00057B72">
        <w:t>quantitative in nature – exploring broad trends and patterns across the</w:t>
      </w:r>
      <w:r w:rsidR="00732CF8" w:rsidRPr="00057B72">
        <w:t xml:space="preserve"> whole of England and Wales. </w:t>
      </w:r>
      <w:r w:rsidRPr="00057B72">
        <w:t>One avenue for future work on this topic would therefore be more qualitative, archival research on individual counties or assize circuits. Such research would refocus the discussion from what may be termed a ‘satellite-eyed perspective’</w:t>
      </w:r>
      <w:r w:rsidR="00C3265E" w:rsidRPr="00057B72">
        <w:t xml:space="preserve"> and allow for the detailed examination of criminal justice </w:t>
      </w:r>
      <w:proofErr w:type="gramStart"/>
      <w:r w:rsidR="00C3265E" w:rsidRPr="00057B72">
        <w:t>decision making</w:t>
      </w:r>
      <w:proofErr w:type="gramEnd"/>
      <w:r w:rsidR="00C3265E" w:rsidRPr="00057B72">
        <w:t xml:space="preserve"> ‘on the ground’. In particular, there is a need for more research on the administration of justice outside of the capital and the </w:t>
      </w:r>
      <w:proofErr w:type="gramStart"/>
      <w:r w:rsidR="00C3265E" w:rsidRPr="00057B72">
        <w:t>south-east</w:t>
      </w:r>
      <w:proofErr w:type="gramEnd"/>
      <w:r w:rsidR="00C3265E" w:rsidRPr="00057B72">
        <w:t xml:space="preserve"> of England. As noted above, to date the historiography of the Bloody Code has been dominated by accounts of the Old Bailey and the Home Circuit. While this is understandable, it has resulted in a skewing of the historiography towards one particular image of the administration of the Bloody Code that, while similar to that found in the rest of England and Wales, was in many ways singular. While judges and justices may have left comparable types of felons to hang on the periphery as they did at </w:t>
      </w:r>
      <w:r w:rsidR="00C3265E" w:rsidRPr="00057B72">
        <w:lastRenderedPageBreak/>
        <w:t xml:space="preserve">the </w:t>
      </w:r>
      <w:proofErr w:type="spellStart"/>
      <w:r w:rsidR="00C3265E" w:rsidRPr="00057B72">
        <w:t>centre</w:t>
      </w:r>
      <w:proofErr w:type="spellEnd"/>
      <w:r w:rsidR="00C3265E" w:rsidRPr="00057B72">
        <w:t xml:space="preserve">, the experience, common to a Londoner, of frequent executions (in some cases of a dozen or more property offenders at a time) during this period would have been unrecognizable to a contemporary in Wales, Cornwall and some northern counties. Further research on the administration of justice outside of London and the </w:t>
      </w:r>
      <w:proofErr w:type="gramStart"/>
      <w:r w:rsidR="00C3265E" w:rsidRPr="00057B72">
        <w:t>south-east</w:t>
      </w:r>
      <w:proofErr w:type="gramEnd"/>
      <w:r w:rsidR="00C3265E" w:rsidRPr="00057B72">
        <w:t xml:space="preserve"> can only enrich our understanding of the role played by the rhetoric and reality of the gallows in Georgian England and Wales. Another area meriting further analysis is</w:t>
      </w:r>
      <w:r w:rsidR="004321DF" w:rsidRPr="00057B72">
        <w:t>, again as noted previously,</w:t>
      </w:r>
      <w:r w:rsidR="00C3265E" w:rsidRPr="00057B72">
        <w:t xml:space="preserve"> judicial decision-making. </w:t>
      </w:r>
      <w:r w:rsidR="004321DF" w:rsidRPr="00057B72">
        <w:t xml:space="preserve">Hay’s recent work provides a tantalizingly brief analysis of how individual judges differed in their pardoning decisions, with some judges appearing to be much less likely to extend mercy to </w:t>
      </w:r>
      <w:proofErr w:type="gramStart"/>
      <w:r w:rsidR="004321DF" w:rsidRPr="00057B72">
        <w:t>capitally-convicted</w:t>
      </w:r>
      <w:proofErr w:type="gramEnd"/>
      <w:r w:rsidR="004321DF" w:rsidRPr="00057B72">
        <w:t xml:space="preserve"> felons than others. Further work is needed here, tracing patterns of judicial decision-making up until the decline of the Bloody Code in the 1830s. </w:t>
      </w:r>
    </w:p>
    <w:p w14:paraId="2BC12534" w14:textId="77777777" w:rsidR="0088431B" w:rsidRPr="00057B72" w:rsidRDefault="0088431B" w:rsidP="00840CC7">
      <w:pPr>
        <w:spacing w:line="360" w:lineRule="auto"/>
        <w:jc w:val="both"/>
      </w:pPr>
    </w:p>
    <w:p w14:paraId="2BBD137C" w14:textId="0FA13C7D" w:rsidR="0088431B" w:rsidRPr="00057B72" w:rsidRDefault="0088431B">
      <w:r w:rsidRPr="00057B72">
        <w:br w:type="page"/>
      </w:r>
    </w:p>
    <w:p w14:paraId="34085A2C" w14:textId="77777777" w:rsidR="0088431B" w:rsidRPr="00057B72" w:rsidRDefault="0088431B" w:rsidP="0088431B">
      <w:pPr>
        <w:jc w:val="both"/>
        <w:rPr>
          <w:b/>
          <w:sz w:val="28"/>
          <w:szCs w:val="28"/>
        </w:rPr>
      </w:pPr>
      <w:r w:rsidRPr="00057B72">
        <w:rPr>
          <w:b/>
          <w:sz w:val="28"/>
          <w:szCs w:val="28"/>
        </w:rPr>
        <w:lastRenderedPageBreak/>
        <w:t>Bibliography</w:t>
      </w:r>
    </w:p>
    <w:p w14:paraId="3F780C4C" w14:textId="77777777" w:rsidR="0088431B" w:rsidRPr="00057B72" w:rsidRDefault="0088431B" w:rsidP="0088431B">
      <w:pPr>
        <w:jc w:val="both"/>
      </w:pPr>
    </w:p>
    <w:p w14:paraId="7B7C8FEE" w14:textId="4DF57F76" w:rsidR="0088431B" w:rsidRPr="00057B72" w:rsidRDefault="0088431B" w:rsidP="0088431B">
      <w:pPr>
        <w:jc w:val="both"/>
      </w:pPr>
      <w:r w:rsidRPr="00057B72">
        <w:t xml:space="preserve">Beattie, </w:t>
      </w:r>
      <w:r w:rsidR="001648BB" w:rsidRPr="00057B72">
        <w:t xml:space="preserve">J.M. (1974). </w:t>
      </w:r>
      <w:proofErr w:type="gramStart"/>
      <w:r w:rsidRPr="00057B72">
        <w:t>The patter</w:t>
      </w:r>
      <w:r w:rsidR="00553876" w:rsidRPr="00057B72">
        <w:t>n of crime in England 1660-1800.</w:t>
      </w:r>
      <w:proofErr w:type="gramEnd"/>
      <w:r w:rsidR="00553876" w:rsidRPr="00057B72">
        <w:t xml:space="preserve"> </w:t>
      </w:r>
      <w:proofErr w:type="gramStart"/>
      <w:r w:rsidRPr="00057B72">
        <w:rPr>
          <w:i/>
        </w:rPr>
        <w:t>Past &amp; Present</w:t>
      </w:r>
      <w:r w:rsidRPr="00057B72">
        <w:t xml:space="preserve">, </w:t>
      </w:r>
      <w:r w:rsidR="00553876" w:rsidRPr="00057B72">
        <w:t xml:space="preserve">62, </w:t>
      </w:r>
      <w:r w:rsidRPr="00057B72">
        <w:t>47-95</w:t>
      </w:r>
      <w:r w:rsidR="001648BB" w:rsidRPr="00057B72">
        <w:t>.</w:t>
      </w:r>
      <w:proofErr w:type="gramEnd"/>
    </w:p>
    <w:p w14:paraId="74AA92DF" w14:textId="77777777" w:rsidR="0088431B" w:rsidRPr="00057B72" w:rsidRDefault="0088431B" w:rsidP="0088431B">
      <w:pPr>
        <w:jc w:val="both"/>
      </w:pPr>
    </w:p>
    <w:p w14:paraId="4ED16720" w14:textId="7A91FF21" w:rsidR="0088431B" w:rsidRPr="00057B72" w:rsidRDefault="0088431B" w:rsidP="0088431B">
      <w:pPr>
        <w:jc w:val="both"/>
        <w:rPr>
          <w:lang w:val="en-GB"/>
        </w:rPr>
      </w:pPr>
      <w:proofErr w:type="gramStart"/>
      <w:r w:rsidRPr="00057B72">
        <w:t xml:space="preserve">_____ </w:t>
      </w:r>
      <w:r w:rsidR="001648BB" w:rsidRPr="00057B72">
        <w:t>(1975).</w:t>
      </w:r>
      <w:proofErr w:type="gramEnd"/>
      <w:r w:rsidR="001648BB" w:rsidRPr="00057B72">
        <w:t xml:space="preserve"> </w:t>
      </w:r>
      <w:proofErr w:type="gramStart"/>
      <w:r w:rsidRPr="00057B72">
        <w:rPr>
          <w:lang w:val="en-GB"/>
        </w:rPr>
        <w:t>The criminality of women</w:t>
      </w:r>
      <w:r w:rsidR="001648BB" w:rsidRPr="00057B72">
        <w:rPr>
          <w:lang w:val="en-GB"/>
        </w:rPr>
        <w:t xml:space="preserve"> in eighteenth-century England.</w:t>
      </w:r>
      <w:proofErr w:type="gramEnd"/>
      <w:r w:rsidR="001648BB" w:rsidRPr="00057B72">
        <w:rPr>
          <w:lang w:val="en-GB"/>
        </w:rPr>
        <w:t xml:space="preserve"> </w:t>
      </w:r>
      <w:proofErr w:type="gramStart"/>
      <w:r w:rsidRPr="00057B72">
        <w:rPr>
          <w:i/>
          <w:lang w:val="en-GB"/>
        </w:rPr>
        <w:t>Journal of Social History</w:t>
      </w:r>
      <w:r w:rsidRPr="00057B72">
        <w:rPr>
          <w:lang w:val="en-GB"/>
        </w:rPr>
        <w:t xml:space="preserve">, </w:t>
      </w:r>
      <w:r w:rsidR="001648BB" w:rsidRPr="00057B72">
        <w:rPr>
          <w:lang w:val="en-GB"/>
        </w:rPr>
        <w:t xml:space="preserve">8(4), </w:t>
      </w:r>
      <w:r w:rsidRPr="00057B72">
        <w:rPr>
          <w:lang w:val="en-GB"/>
        </w:rPr>
        <w:t>80-116</w:t>
      </w:r>
      <w:r w:rsidR="001648BB" w:rsidRPr="00057B72">
        <w:rPr>
          <w:lang w:val="en-GB"/>
        </w:rPr>
        <w:t>.</w:t>
      </w:r>
      <w:proofErr w:type="gramEnd"/>
    </w:p>
    <w:p w14:paraId="526E290A" w14:textId="77777777" w:rsidR="0088431B" w:rsidRPr="00057B72" w:rsidRDefault="0088431B" w:rsidP="0088431B">
      <w:pPr>
        <w:jc w:val="both"/>
      </w:pPr>
    </w:p>
    <w:p w14:paraId="67294C7B" w14:textId="2915385B" w:rsidR="0088431B" w:rsidRPr="00057B72" w:rsidRDefault="001648BB" w:rsidP="0088431B">
      <w:pPr>
        <w:jc w:val="both"/>
      </w:pPr>
      <w:proofErr w:type="gramStart"/>
      <w:r w:rsidRPr="00057B72">
        <w:t xml:space="preserve">_____ </w:t>
      </w:r>
      <w:r w:rsidR="002C200E" w:rsidRPr="00057B72">
        <w:t>(1977).</w:t>
      </w:r>
      <w:proofErr w:type="gramEnd"/>
      <w:r w:rsidR="002C200E" w:rsidRPr="00057B72">
        <w:t xml:space="preserve"> </w:t>
      </w:r>
      <w:proofErr w:type="gramStart"/>
      <w:r w:rsidR="0088431B" w:rsidRPr="00057B72">
        <w:t>Crime and t</w:t>
      </w:r>
      <w:r w:rsidRPr="00057B72">
        <w:t>he courts in Surrey 1736-1753.</w:t>
      </w:r>
      <w:proofErr w:type="gramEnd"/>
      <w:r w:rsidRPr="00057B72">
        <w:t xml:space="preserve"> I</w:t>
      </w:r>
      <w:r w:rsidR="0088431B" w:rsidRPr="00057B72">
        <w:t>n J.S. Cockburn (</w:t>
      </w:r>
      <w:r w:rsidRPr="00057B72">
        <w:t>E</w:t>
      </w:r>
      <w:r w:rsidR="0088431B" w:rsidRPr="00057B72">
        <w:t>d.</w:t>
      </w:r>
      <w:r w:rsidRPr="00057B72">
        <w:t xml:space="preserve">), </w:t>
      </w:r>
      <w:r w:rsidR="0088431B" w:rsidRPr="00057B72">
        <w:rPr>
          <w:i/>
        </w:rPr>
        <w:t>Crime in England 1550-1800</w:t>
      </w:r>
      <w:r w:rsidR="0088431B" w:rsidRPr="00057B72">
        <w:t xml:space="preserve"> (</w:t>
      </w:r>
      <w:r w:rsidRPr="00057B72">
        <w:t xml:space="preserve">pp. 155-86). </w:t>
      </w:r>
      <w:r w:rsidR="002C200E" w:rsidRPr="00057B72">
        <w:t xml:space="preserve">London: </w:t>
      </w:r>
      <w:r w:rsidR="0088431B" w:rsidRPr="00057B72">
        <w:t>Methuen &amp; Co Ltd</w:t>
      </w:r>
      <w:r w:rsidR="002C200E" w:rsidRPr="00057B72">
        <w:t>.</w:t>
      </w:r>
    </w:p>
    <w:p w14:paraId="36680172" w14:textId="77777777" w:rsidR="0088431B" w:rsidRPr="00057B72" w:rsidRDefault="0088431B" w:rsidP="0088431B">
      <w:pPr>
        <w:jc w:val="both"/>
      </w:pPr>
    </w:p>
    <w:p w14:paraId="4F0C486E" w14:textId="68C09F93" w:rsidR="0088431B" w:rsidRPr="00057B72" w:rsidRDefault="0088431B" w:rsidP="0088431B">
      <w:pPr>
        <w:jc w:val="both"/>
      </w:pPr>
      <w:proofErr w:type="gramStart"/>
      <w:r w:rsidRPr="00057B72">
        <w:t xml:space="preserve">_____ </w:t>
      </w:r>
      <w:r w:rsidR="00D65441" w:rsidRPr="00057B72">
        <w:t>(1986).</w:t>
      </w:r>
      <w:proofErr w:type="gramEnd"/>
      <w:r w:rsidR="00D65441" w:rsidRPr="00057B72">
        <w:t xml:space="preserve"> </w:t>
      </w:r>
      <w:proofErr w:type="gramStart"/>
      <w:r w:rsidRPr="00057B72">
        <w:rPr>
          <w:i/>
        </w:rPr>
        <w:t>Crime and the courts in England 1660-1800</w:t>
      </w:r>
      <w:r w:rsidR="00553876" w:rsidRPr="00057B72">
        <w:rPr>
          <w:i/>
        </w:rPr>
        <w:t>.</w:t>
      </w:r>
      <w:proofErr w:type="gramEnd"/>
      <w:r w:rsidR="00553876" w:rsidRPr="00057B72">
        <w:rPr>
          <w:i/>
        </w:rPr>
        <w:t xml:space="preserve"> </w:t>
      </w:r>
      <w:r w:rsidR="00553876" w:rsidRPr="00057B72">
        <w:t>Oxford: Clarendon Press.</w:t>
      </w:r>
    </w:p>
    <w:p w14:paraId="254391E2" w14:textId="77777777" w:rsidR="0088431B" w:rsidRPr="00057B72" w:rsidRDefault="0088431B" w:rsidP="0088431B">
      <w:pPr>
        <w:jc w:val="both"/>
      </w:pPr>
    </w:p>
    <w:p w14:paraId="2C40507D" w14:textId="3FC0EB65" w:rsidR="0088431B" w:rsidRPr="00057B72" w:rsidRDefault="0088431B" w:rsidP="0088431B">
      <w:pPr>
        <w:jc w:val="both"/>
      </w:pPr>
      <w:proofErr w:type="gramStart"/>
      <w:r w:rsidRPr="00057B72">
        <w:t xml:space="preserve">_____ </w:t>
      </w:r>
      <w:r w:rsidR="00D65441" w:rsidRPr="00057B72">
        <w:t>(2001).</w:t>
      </w:r>
      <w:proofErr w:type="gramEnd"/>
      <w:r w:rsidR="00D65441" w:rsidRPr="00057B72">
        <w:t xml:space="preserve"> </w:t>
      </w:r>
      <w:r w:rsidRPr="00057B72">
        <w:rPr>
          <w:i/>
        </w:rPr>
        <w:t>Policing and Punishment in London 1660-1750: Urban Crime and the Limits of Terror</w:t>
      </w:r>
      <w:r w:rsidR="00553876" w:rsidRPr="00057B72">
        <w:t xml:space="preserve">. Oxford: </w:t>
      </w:r>
      <w:r w:rsidRPr="00057B72">
        <w:t>Oxford University Press</w:t>
      </w:r>
      <w:r w:rsidR="00553876" w:rsidRPr="00057B72">
        <w:t>.</w:t>
      </w:r>
    </w:p>
    <w:p w14:paraId="3A5C8687" w14:textId="77777777" w:rsidR="0088431B" w:rsidRPr="00057B72" w:rsidRDefault="0088431B" w:rsidP="0088431B">
      <w:pPr>
        <w:jc w:val="both"/>
      </w:pPr>
    </w:p>
    <w:p w14:paraId="6E85E5CA" w14:textId="6BBF8CAE" w:rsidR="00EF38CC" w:rsidRPr="00057B72" w:rsidRDefault="00EF38CC" w:rsidP="0088431B">
      <w:pPr>
        <w:jc w:val="both"/>
      </w:pPr>
      <w:r w:rsidRPr="00057B72">
        <w:t xml:space="preserve">Bennett, </w:t>
      </w:r>
      <w:r w:rsidR="00D65441" w:rsidRPr="00057B72">
        <w:t xml:space="preserve">R.E. (2017). </w:t>
      </w:r>
      <w:proofErr w:type="gramStart"/>
      <w:r w:rsidRPr="00057B72">
        <w:rPr>
          <w:i/>
        </w:rPr>
        <w:t>Capital punishment and the criminal corpse in Scotland, 1740-1834</w:t>
      </w:r>
      <w:r w:rsidR="00553876" w:rsidRPr="00057B72">
        <w:t>.</w:t>
      </w:r>
      <w:proofErr w:type="gramEnd"/>
      <w:r w:rsidR="00553876" w:rsidRPr="00057B72">
        <w:t xml:space="preserve"> Basingstoke: </w:t>
      </w:r>
      <w:r w:rsidRPr="00057B72">
        <w:t>Palgrave Macmillan</w:t>
      </w:r>
      <w:r w:rsidR="00553876" w:rsidRPr="00057B72">
        <w:t>.</w:t>
      </w:r>
    </w:p>
    <w:p w14:paraId="7102FB35" w14:textId="77777777" w:rsidR="00EF38CC" w:rsidRPr="00057B72" w:rsidRDefault="00EF38CC" w:rsidP="0088431B">
      <w:pPr>
        <w:jc w:val="both"/>
      </w:pPr>
    </w:p>
    <w:p w14:paraId="0AA1CEF3" w14:textId="3BB694B4" w:rsidR="0088431B" w:rsidRPr="00057B72" w:rsidRDefault="0088431B" w:rsidP="0088431B">
      <w:pPr>
        <w:jc w:val="both"/>
      </w:pPr>
      <w:proofErr w:type="gramStart"/>
      <w:r w:rsidRPr="00057B72">
        <w:t>Committee on the state o</w:t>
      </w:r>
      <w:r w:rsidR="00553876" w:rsidRPr="00057B72">
        <w:t xml:space="preserve">f the </w:t>
      </w:r>
      <w:r w:rsidR="00D65441" w:rsidRPr="00057B72">
        <w:t>police of the Metropolis (1816).</w:t>
      </w:r>
      <w:proofErr w:type="gramEnd"/>
      <w:r w:rsidR="00D65441" w:rsidRPr="00057B72">
        <w:t xml:space="preserve"> </w:t>
      </w:r>
      <w:r w:rsidRPr="00057B72">
        <w:rPr>
          <w:i/>
        </w:rPr>
        <w:t>Minutes of Evidence taken before a Select Committee appointed by the House of Commons to inquire into the state of the police of the Metro</w:t>
      </w:r>
      <w:r w:rsidR="00553876" w:rsidRPr="00057B72">
        <w:rPr>
          <w:i/>
        </w:rPr>
        <w:t>polis with minutes of evidence</w:t>
      </w:r>
      <w:r w:rsidR="00553876" w:rsidRPr="00057B72">
        <w:t xml:space="preserve">. London: </w:t>
      </w:r>
      <w:r w:rsidRPr="00057B72">
        <w:t>Sherwood, Neely and Jones</w:t>
      </w:r>
      <w:r w:rsidR="00553876" w:rsidRPr="00057B72">
        <w:t>.</w:t>
      </w:r>
    </w:p>
    <w:p w14:paraId="7C8CF4F3" w14:textId="77777777" w:rsidR="0088431B" w:rsidRPr="00057B72" w:rsidRDefault="0088431B" w:rsidP="0088431B">
      <w:pPr>
        <w:jc w:val="both"/>
      </w:pPr>
    </w:p>
    <w:p w14:paraId="04D7C6D1" w14:textId="34B805A5" w:rsidR="007A063A" w:rsidRPr="00057B72" w:rsidRDefault="0088431B" w:rsidP="0088431B">
      <w:pPr>
        <w:jc w:val="both"/>
      </w:pPr>
      <w:r w:rsidRPr="00057B72">
        <w:t xml:space="preserve">Connolly, S.J. </w:t>
      </w:r>
      <w:r w:rsidR="002C200E" w:rsidRPr="00057B72">
        <w:t xml:space="preserve">(1988). </w:t>
      </w:r>
      <w:r w:rsidR="007A063A" w:rsidRPr="00057B72">
        <w:t xml:space="preserve">Albion’s fatal twigs: justice and </w:t>
      </w:r>
      <w:r w:rsidR="002C200E" w:rsidRPr="00057B72">
        <w:t xml:space="preserve">law in the eighteenth century’. </w:t>
      </w:r>
      <w:proofErr w:type="gramStart"/>
      <w:r w:rsidR="002C200E" w:rsidRPr="00057B72">
        <w:t>I</w:t>
      </w:r>
      <w:r w:rsidR="007A063A" w:rsidRPr="00057B72">
        <w:t xml:space="preserve">n R. </w:t>
      </w:r>
      <w:proofErr w:type="spellStart"/>
      <w:r w:rsidR="007A063A" w:rsidRPr="00057B72">
        <w:t>Mitchison</w:t>
      </w:r>
      <w:proofErr w:type="spellEnd"/>
      <w:r w:rsidR="007A063A" w:rsidRPr="00057B72">
        <w:t xml:space="preserve"> &amp; P. Roebuck (</w:t>
      </w:r>
      <w:r w:rsidR="002C200E" w:rsidRPr="00057B72">
        <w:t>E</w:t>
      </w:r>
      <w:r w:rsidR="007A063A" w:rsidRPr="00057B72">
        <w:t>ds.)</w:t>
      </w:r>
      <w:r w:rsidR="002C200E" w:rsidRPr="00057B72">
        <w:t xml:space="preserve">, </w:t>
      </w:r>
      <w:r w:rsidR="007A063A" w:rsidRPr="00057B72">
        <w:rPr>
          <w:i/>
        </w:rPr>
        <w:t>Economy and society in Ireland and Scotland</w:t>
      </w:r>
      <w:r w:rsidR="007A063A" w:rsidRPr="00057B72">
        <w:t xml:space="preserve"> (</w:t>
      </w:r>
      <w:r w:rsidR="002C200E" w:rsidRPr="00057B72">
        <w:t>pp. 117-25).</w:t>
      </w:r>
      <w:proofErr w:type="gramEnd"/>
      <w:r w:rsidR="002C200E" w:rsidRPr="00057B72">
        <w:t xml:space="preserve"> Edinburgh: </w:t>
      </w:r>
      <w:r w:rsidR="007A063A" w:rsidRPr="00057B72">
        <w:t>John Donald</w:t>
      </w:r>
      <w:r w:rsidR="002C200E" w:rsidRPr="00057B72">
        <w:t>.</w:t>
      </w:r>
    </w:p>
    <w:p w14:paraId="55290258" w14:textId="77777777" w:rsidR="007A063A" w:rsidRPr="00057B72" w:rsidRDefault="007A063A" w:rsidP="0088431B">
      <w:pPr>
        <w:jc w:val="both"/>
      </w:pPr>
    </w:p>
    <w:p w14:paraId="469E02B7" w14:textId="300A92F8" w:rsidR="0088431B" w:rsidRPr="00057B72" w:rsidRDefault="007A063A" w:rsidP="0088431B">
      <w:pPr>
        <w:jc w:val="both"/>
        <w:rPr>
          <w:lang w:val="en-GB"/>
        </w:rPr>
      </w:pPr>
      <w:proofErr w:type="gramStart"/>
      <w:r w:rsidRPr="00057B72">
        <w:t xml:space="preserve">_____ </w:t>
      </w:r>
      <w:r w:rsidR="002C200E" w:rsidRPr="00057B72">
        <w:t>(1999).</w:t>
      </w:r>
      <w:proofErr w:type="gramEnd"/>
      <w:r w:rsidR="002C200E" w:rsidRPr="00057B72">
        <w:t xml:space="preserve"> </w:t>
      </w:r>
      <w:r w:rsidR="0088431B" w:rsidRPr="00057B72">
        <w:t>Unnatural death in four natio</w:t>
      </w:r>
      <w:r w:rsidR="002C200E" w:rsidRPr="00057B72">
        <w:t>ns: contrasts and comparisons. I</w:t>
      </w:r>
      <w:r w:rsidR="0088431B" w:rsidRPr="00057B72">
        <w:t xml:space="preserve">n </w:t>
      </w:r>
      <w:r w:rsidR="002C200E" w:rsidRPr="00057B72">
        <w:t xml:space="preserve">S.J. Connolly </w:t>
      </w:r>
      <w:r w:rsidR="0088431B" w:rsidRPr="00057B72">
        <w:t>(</w:t>
      </w:r>
      <w:r w:rsidR="002C200E" w:rsidRPr="00057B72">
        <w:t>E</w:t>
      </w:r>
      <w:r w:rsidR="0088431B" w:rsidRPr="00057B72">
        <w:t>d.)</w:t>
      </w:r>
      <w:r w:rsidR="002C200E" w:rsidRPr="00057B72">
        <w:t xml:space="preserve">, </w:t>
      </w:r>
      <w:r w:rsidR="0088431B" w:rsidRPr="00057B72">
        <w:rPr>
          <w:i/>
        </w:rPr>
        <w:t>Kingdoms United? Great Britain and Ireland since 1500: Integration and Diversity</w:t>
      </w:r>
      <w:r w:rsidR="0088431B" w:rsidRPr="00057B72">
        <w:t xml:space="preserve"> (</w:t>
      </w:r>
      <w:r w:rsidR="002C200E" w:rsidRPr="00057B72">
        <w:t xml:space="preserve">pp. 200-14). Dublin: </w:t>
      </w:r>
      <w:r w:rsidR="0088431B" w:rsidRPr="00057B72">
        <w:t>Four Courts Press</w:t>
      </w:r>
      <w:r w:rsidR="002C200E" w:rsidRPr="00057B72">
        <w:t>.</w:t>
      </w:r>
    </w:p>
    <w:p w14:paraId="36DB0ACF" w14:textId="77777777" w:rsidR="0088431B" w:rsidRPr="00057B72" w:rsidRDefault="0088431B" w:rsidP="0088431B">
      <w:pPr>
        <w:jc w:val="both"/>
      </w:pPr>
    </w:p>
    <w:p w14:paraId="0C3A895C" w14:textId="7D748D78" w:rsidR="0088431B" w:rsidRPr="00057B72" w:rsidRDefault="0088431B" w:rsidP="0088431B">
      <w:pPr>
        <w:jc w:val="both"/>
        <w:rPr>
          <w:lang w:val="en-GB"/>
        </w:rPr>
      </w:pPr>
      <w:proofErr w:type="spellStart"/>
      <w:r w:rsidRPr="00057B72">
        <w:rPr>
          <w:lang w:val="en-GB"/>
        </w:rPr>
        <w:t>Cottu</w:t>
      </w:r>
      <w:proofErr w:type="spellEnd"/>
      <w:r w:rsidRPr="00057B72">
        <w:rPr>
          <w:lang w:val="en-GB"/>
        </w:rPr>
        <w:t xml:space="preserve">, C.M. </w:t>
      </w:r>
      <w:r w:rsidR="00D65441" w:rsidRPr="00057B72">
        <w:rPr>
          <w:lang w:val="en-GB"/>
        </w:rPr>
        <w:t xml:space="preserve">(1822). </w:t>
      </w:r>
      <w:proofErr w:type="gramStart"/>
      <w:r w:rsidRPr="00057B72">
        <w:rPr>
          <w:i/>
          <w:lang w:val="en-GB"/>
        </w:rPr>
        <w:t>On the Administration of the Criminal Code in England, and Spirit of the English Government</w:t>
      </w:r>
      <w:r w:rsidR="00553876" w:rsidRPr="00057B72">
        <w:rPr>
          <w:lang w:val="en-GB"/>
        </w:rPr>
        <w:t>.</w:t>
      </w:r>
      <w:proofErr w:type="gramEnd"/>
      <w:r w:rsidR="00553876" w:rsidRPr="00057B72">
        <w:rPr>
          <w:lang w:val="en-GB"/>
        </w:rPr>
        <w:t xml:space="preserve"> London: </w:t>
      </w:r>
      <w:r w:rsidRPr="00057B72">
        <w:rPr>
          <w:lang w:val="en-GB"/>
        </w:rPr>
        <w:t>Richard Stevens</w:t>
      </w:r>
      <w:r w:rsidR="00553876" w:rsidRPr="00057B72">
        <w:rPr>
          <w:lang w:val="en-GB"/>
        </w:rPr>
        <w:t>.</w:t>
      </w:r>
    </w:p>
    <w:p w14:paraId="3CB43FF3" w14:textId="77777777" w:rsidR="0088431B" w:rsidRPr="00057B72" w:rsidRDefault="0088431B" w:rsidP="0088431B">
      <w:pPr>
        <w:jc w:val="both"/>
      </w:pPr>
    </w:p>
    <w:p w14:paraId="7C9CD782" w14:textId="4F611B3C" w:rsidR="00E13B31" w:rsidRPr="00057B72" w:rsidRDefault="0088431B" w:rsidP="00E13B31">
      <w:pPr>
        <w:jc w:val="both"/>
        <w:rPr>
          <w:lang w:val="en-GB"/>
        </w:rPr>
      </w:pPr>
      <w:proofErr w:type="spellStart"/>
      <w:r w:rsidRPr="00057B72">
        <w:t>Crowther</w:t>
      </w:r>
      <w:proofErr w:type="spellEnd"/>
      <w:r w:rsidRPr="00057B72">
        <w:t xml:space="preserve">, M.A. </w:t>
      </w:r>
      <w:r w:rsidR="00D65441" w:rsidRPr="00057B72">
        <w:t xml:space="preserve">(1999). </w:t>
      </w:r>
      <w:r w:rsidRPr="00057B72">
        <w:t>Crime, prosecution and mercy: English influence and Scottish practice in</w:t>
      </w:r>
      <w:r w:rsidR="002C200E" w:rsidRPr="00057B72">
        <w:t xml:space="preserve"> the early </w:t>
      </w:r>
      <w:r w:rsidR="00E13B31" w:rsidRPr="00057B72">
        <w:t xml:space="preserve">nineteenth century. In S.J. Connolly (Ed.), </w:t>
      </w:r>
      <w:r w:rsidR="00E13B31" w:rsidRPr="00057B72">
        <w:rPr>
          <w:i/>
        </w:rPr>
        <w:t>Kingdoms United? Great Britain and Ireland since 1500: Integration and Diversity</w:t>
      </w:r>
      <w:r w:rsidR="00E13B31" w:rsidRPr="00057B72">
        <w:t xml:space="preserve"> (pp. 225-38). Dublin: Four Courts Press.</w:t>
      </w:r>
    </w:p>
    <w:p w14:paraId="0976574E" w14:textId="77777777" w:rsidR="0088431B" w:rsidRPr="00057B72" w:rsidRDefault="0088431B" w:rsidP="0088431B">
      <w:pPr>
        <w:jc w:val="both"/>
      </w:pPr>
    </w:p>
    <w:p w14:paraId="1C000FD3" w14:textId="5C72E71F" w:rsidR="0088431B" w:rsidRPr="00057B72" w:rsidRDefault="0088431B" w:rsidP="0088431B">
      <w:pPr>
        <w:jc w:val="both"/>
        <w:rPr>
          <w:lang w:val="en-GB"/>
        </w:rPr>
      </w:pPr>
      <w:proofErr w:type="spellStart"/>
      <w:proofErr w:type="gramStart"/>
      <w:r w:rsidRPr="00057B72">
        <w:rPr>
          <w:lang w:val="en-GB"/>
        </w:rPr>
        <w:t>d</w:t>
      </w:r>
      <w:proofErr w:type="gramEnd"/>
      <w:r w:rsidRPr="00057B72">
        <w:rPr>
          <w:lang w:val="en-GB"/>
        </w:rPr>
        <w:t>’Cruze</w:t>
      </w:r>
      <w:proofErr w:type="spellEnd"/>
      <w:r w:rsidRPr="00057B72">
        <w:rPr>
          <w:lang w:val="en-GB"/>
        </w:rPr>
        <w:t xml:space="preserve">, S. &amp; Jackson, L.A. </w:t>
      </w:r>
      <w:r w:rsidR="00D65441" w:rsidRPr="00057B72">
        <w:rPr>
          <w:lang w:val="en-GB"/>
        </w:rPr>
        <w:t xml:space="preserve">(2009). </w:t>
      </w:r>
      <w:proofErr w:type="gramStart"/>
      <w:r w:rsidRPr="00057B72">
        <w:rPr>
          <w:i/>
          <w:lang w:val="en-GB"/>
        </w:rPr>
        <w:t>Women, crime and justice in England since 160</w:t>
      </w:r>
      <w:r w:rsidR="00553876" w:rsidRPr="00057B72">
        <w:rPr>
          <w:i/>
          <w:lang w:val="en-GB"/>
        </w:rPr>
        <w:t>0</w:t>
      </w:r>
      <w:r w:rsidR="00553876" w:rsidRPr="00057B72">
        <w:rPr>
          <w:lang w:val="en-GB"/>
        </w:rPr>
        <w:t>.</w:t>
      </w:r>
      <w:proofErr w:type="gramEnd"/>
      <w:r w:rsidR="00553876" w:rsidRPr="00057B72">
        <w:rPr>
          <w:lang w:val="en-GB"/>
        </w:rPr>
        <w:t xml:space="preserve"> Basingstoke:</w:t>
      </w:r>
      <w:r w:rsidRPr="00057B72">
        <w:rPr>
          <w:lang w:val="en-GB"/>
        </w:rPr>
        <w:t xml:space="preserve"> Palgrave</w:t>
      </w:r>
      <w:r w:rsidR="00553876" w:rsidRPr="00057B72">
        <w:rPr>
          <w:lang w:val="en-GB"/>
        </w:rPr>
        <w:t>.</w:t>
      </w:r>
    </w:p>
    <w:p w14:paraId="496BC5E1" w14:textId="77777777" w:rsidR="0088431B" w:rsidRPr="00057B72" w:rsidRDefault="0088431B" w:rsidP="0088431B">
      <w:pPr>
        <w:jc w:val="both"/>
      </w:pPr>
    </w:p>
    <w:p w14:paraId="4693135E" w14:textId="16E216D1" w:rsidR="0088431B" w:rsidRPr="00057B72" w:rsidRDefault="0088431B" w:rsidP="0088431B">
      <w:pPr>
        <w:jc w:val="both"/>
      </w:pPr>
      <w:proofErr w:type="gramStart"/>
      <w:r w:rsidRPr="00057B72">
        <w:t xml:space="preserve">Devereaux, S. </w:t>
      </w:r>
      <w:r w:rsidR="001648BB" w:rsidRPr="00057B72">
        <w:t>(2013).</w:t>
      </w:r>
      <w:proofErr w:type="gramEnd"/>
      <w:r w:rsidR="001648BB" w:rsidRPr="00057B72">
        <w:t xml:space="preserve"> </w:t>
      </w:r>
      <w:r w:rsidRPr="00057B72">
        <w:t>England’s “Bloody Code” in crisis and transition: Execution</w:t>
      </w:r>
      <w:r w:rsidR="001648BB" w:rsidRPr="00057B72">
        <w:t xml:space="preserve">s at the Old Bailey, 1760-1837. </w:t>
      </w:r>
      <w:proofErr w:type="gramStart"/>
      <w:r w:rsidRPr="00057B72">
        <w:rPr>
          <w:i/>
        </w:rPr>
        <w:t>Journal of the Canadian Historical Association</w:t>
      </w:r>
      <w:r w:rsidRPr="00057B72">
        <w:t xml:space="preserve">, </w:t>
      </w:r>
      <w:r w:rsidR="001648BB" w:rsidRPr="00057B72">
        <w:t xml:space="preserve">24(2), </w:t>
      </w:r>
      <w:r w:rsidRPr="00057B72">
        <w:t>71-113</w:t>
      </w:r>
      <w:r w:rsidR="001648BB" w:rsidRPr="00057B72">
        <w:t>.</w:t>
      </w:r>
      <w:proofErr w:type="gramEnd"/>
    </w:p>
    <w:p w14:paraId="135AD3B2" w14:textId="77777777" w:rsidR="0088431B" w:rsidRPr="00057B72" w:rsidRDefault="0088431B" w:rsidP="0088431B">
      <w:pPr>
        <w:jc w:val="both"/>
      </w:pPr>
    </w:p>
    <w:p w14:paraId="315DADC4" w14:textId="4323D9CF" w:rsidR="00EA4692" w:rsidRPr="00057B72" w:rsidRDefault="00EA4692" w:rsidP="0088431B">
      <w:pPr>
        <w:jc w:val="both"/>
        <w:rPr>
          <w:bCs/>
          <w:lang w:val="en-GB"/>
        </w:rPr>
      </w:pPr>
      <w:proofErr w:type="gramStart"/>
      <w:r w:rsidRPr="00057B72">
        <w:lastRenderedPageBreak/>
        <w:t xml:space="preserve">_____ </w:t>
      </w:r>
      <w:r w:rsidR="001648BB" w:rsidRPr="00057B72">
        <w:t>(2017).</w:t>
      </w:r>
      <w:proofErr w:type="gramEnd"/>
      <w:r w:rsidR="001648BB" w:rsidRPr="00057B72">
        <w:t xml:space="preserve"> </w:t>
      </w:r>
      <w:r w:rsidRPr="00057B72">
        <w:rPr>
          <w:bCs/>
          <w:lang w:val="en-GB"/>
        </w:rPr>
        <w:t>Execution and Pardon at t</w:t>
      </w:r>
      <w:r w:rsidR="001648BB" w:rsidRPr="00057B72">
        <w:rPr>
          <w:bCs/>
          <w:lang w:val="en-GB"/>
        </w:rPr>
        <w:t xml:space="preserve">he Old Bailey 1730-1837. </w:t>
      </w:r>
      <w:r w:rsidRPr="00057B72">
        <w:rPr>
          <w:bCs/>
          <w:i/>
          <w:iCs/>
          <w:lang w:val="en-GB"/>
        </w:rPr>
        <w:t>American Journal of Legal History</w:t>
      </w:r>
      <w:r w:rsidRPr="00057B72">
        <w:rPr>
          <w:bCs/>
          <w:lang w:val="en-GB"/>
        </w:rPr>
        <w:t xml:space="preserve">, </w:t>
      </w:r>
      <w:r w:rsidR="001648BB" w:rsidRPr="00057B72">
        <w:rPr>
          <w:bCs/>
          <w:lang w:val="en-GB"/>
        </w:rPr>
        <w:t xml:space="preserve">57(4), </w:t>
      </w:r>
      <w:r w:rsidRPr="00057B72">
        <w:rPr>
          <w:bCs/>
          <w:lang w:val="en-GB"/>
        </w:rPr>
        <w:t>447–494.</w:t>
      </w:r>
    </w:p>
    <w:p w14:paraId="7F730181" w14:textId="77777777" w:rsidR="00EA4692" w:rsidRPr="00057B72" w:rsidRDefault="00EA4692" w:rsidP="0088431B">
      <w:pPr>
        <w:jc w:val="both"/>
      </w:pPr>
    </w:p>
    <w:p w14:paraId="1E77FF46" w14:textId="509A4FFE" w:rsidR="0088431B" w:rsidRPr="00057B72" w:rsidRDefault="00553876" w:rsidP="0088431B">
      <w:pPr>
        <w:jc w:val="both"/>
      </w:pPr>
      <w:proofErr w:type="spellStart"/>
      <w:proofErr w:type="gramStart"/>
      <w:r w:rsidRPr="00057B72">
        <w:t>Duman</w:t>
      </w:r>
      <w:proofErr w:type="spellEnd"/>
      <w:r w:rsidRPr="00057B72">
        <w:t xml:space="preserve">, </w:t>
      </w:r>
      <w:r w:rsidR="0088431B" w:rsidRPr="00057B72">
        <w:t>D.</w:t>
      </w:r>
      <w:r w:rsidR="00D65441" w:rsidRPr="00057B72">
        <w:t xml:space="preserve"> (1982).</w:t>
      </w:r>
      <w:proofErr w:type="gramEnd"/>
      <w:r w:rsidR="00D65441" w:rsidRPr="00057B72">
        <w:t xml:space="preserve"> </w:t>
      </w:r>
      <w:r w:rsidR="0088431B" w:rsidRPr="00057B72">
        <w:rPr>
          <w:i/>
        </w:rPr>
        <w:t>The Judicial Bench in England 1727-1875: the reshaping of a professional elite</w:t>
      </w:r>
      <w:r w:rsidRPr="00057B72">
        <w:t xml:space="preserve">. London: </w:t>
      </w:r>
      <w:r w:rsidR="0088431B" w:rsidRPr="00057B72">
        <w:t>Royal Historical Society</w:t>
      </w:r>
      <w:r w:rsidRPr="00057B72">
        <w:t>.</w:t>
      </w:r>
    </w:p>
    <w:p w14:paraId="7C88EF53" w14:textId="77777777" w:rsidR="0088431B" w:rsidRPr="00057B72" w:rsidRDefault="0088431B" w:rsidP="0088431B">
      <w:pPr>
        <w:jc w:val="both"/>
      </w:pPr>
    </w:p>
    <w:p w14:paraId="05553D17" w14:textId="4AE1E88E" w:rsidR="005C3D51" w:rsidRPr="00057B72" w:rsidRDefault="005C3D51" w:rsidP="0088431B">
      <w:pPr>
        <w:jc w:val="both"/>
        <w:rPr>
          <w:lang w:val="en-GB"/>
        </w:rPr>
      </w:pPr>
      <w:proofErr w:type="spellStart"/>
      <w:r w:rsidRPr="00057B72">
        <w:t>Dyndor</w:t>
      </w:r>
      <w:proofErr w:type="spellEnd"/>
      <w:r w:rsidRPr="00057B72">
        <w:t xml:space="preserve">, Z. </w:t>
      </w:r>
      <w:r w:rsidR="001648BB" w:rsidRPr="00057B72">
        <w:t xml:space="preserve">(2008). </w:t>
      </w:r>
      <w:r w:rsidRPr="00057B72">
        <w:rPr>
          <w:lang w:val="en-GB"/>
        </w:rPr>
        <w:t>Death Recorded: Capital Punishment and the P</w:t>
      </w:r>
      <w:r w:rsidR="001648BB" w:rsidRPr="00057B72">
        <w:rPr>
          <w:lang w:val="en-GB"/>
        </w:rPr>
        <w:t xml:space="preserve">ress in Northampton, 1780–1834. </w:t>
      </w:r>
      <w:proofErr w:type="gramStart"/>
      <w:r w:rsidRPr="00057B72">
        <w:rPr>
          <w:i/>
          <w:lang w:val="en-GB"/>
        </w:rPr>
        <w:t>Midland History</w:t>
      </w:r>
      <w:r w:rsidRPr="00057B72">
        <w:rPr>
          <w:lang w:val="en-GB"/>
        </w:rPr>
        <w:t xml:space="preserve">, </w:t>
      </w:r>
      <w:r w:rsidR="001648BB" w:rsidRPr="00057B72">
        <w:rPr>
          <w:lang w:val="en-GB"/>
        </w:rPr>
        <w:t xml:space="preserve">33(2), </w:t>
      </w:r>
      <w:r w:rsidRPr="00057B72">
        <w:rPr>
          <w:lang w:val="en-GB"/>
        </w:rPr>
        <w:t>179-95.</w:t>
      </w:r>
      <w:proofErr w:type="gramEnd"/>
    </w:p>
    <w:p w14:paraId="156BDBC1" w14:textId="77777777" w:rsidR="005C3D51" w:rsidRPr="00057B72" w:rsidRDefault="005C3D51" w:rsidP="0088431B">
      <w:pPr>
        <w:jc w:val="both"/>
      </w:pPr>
    </w:p>
    <w:p w14:paraId="2C524D9F" w14:textId="30CA3E97" w:rsidR="0088431B" w:rsidRPr="00057B72" w:rsidRDefault="0088431B" w:rsidP="0088431B">
      <w:pPr>
        <w:jc w:val="both"/>
        <w:rPr>
          <w:i/>
          <w:lang w:val="en-GB"/>
        </w:rPr>
      </w:pPr>
      <w:proofErr w:type="spellStart"/>
      <w:r w:rsidRPr="00057B72">
        <w:t>Gatrell</w:t>
      </w:r>
      <w:proofErr w:type="spellEnd"/>
      <w:r w:rsidRPr="00057B72">
        <w:t xml:space="preserve">, </w:t>
      </w:r>
      <w:r w:rsidR="00D65441" w:rsidRPr="00057B72">
        <w:t xml:space="preserve">V.A.C (1996). </w:t>
      </w:r>
      <w:r w:rsidRPr="00057B72">
        <w:rPr>
          <w:i/>
        </w:rPr>
        <w:t xml:space="preserve">The Hanging Tree: </w:t>
      </w:r>
      <w:r w:rsidRPr="00057B72">
        <w:rPr>
          <w:i/>
          <w:lang w:val="en-GB"/>
        </w:rPr>
        <w:t>Execution and the English People 1770-1868</w:t>
      </w:r>
      <w:r w:rsidR="00553876" w:rsidRPr="00057B72">
        <w:rPr>
          <w:i/>
          <w:lang w:val="en-GB"/>
        </w:rPr>
        <w:t xml:space="preserve">. </w:t>
      </w:r>
      <w:r w:rsidR="00553876" w:rsidRPr="00057B72">
        <w:t xml:space="preserve">Oxford: </w:t>
      </w:r>
      <w:r w:rsidRPr="00057B72">
        <w:t>Oxford University Press</w:t>
      </w:r>
      <w:r w:rsidR="00553876" w:rsidRPr="00057B72">
        <w:t>.</w:t>
      </w:r>
    </w:p>
    <w:p w14:paraId="589E0213" w14:textId="77777777" w:rsidR="0088431B" w:rsidRPr="00057B72" w:rsidRDefault="0088431B" w:rsidP="0088431B">
      <w:pPr>
        <w:jc w:val="both"/>
      </w:pPr>
    </w:p>
    <w:p w14:paraId="40C268C5" w14:textId="16FB9075" w:rsidR="0088431B" w:rsidRPr="00057B72" w:rsidRDefault="00A14E0A" w:rsidP="0088431B">
      <w:pPr>
        <w:jc w:val="both"/>
      </w:pPr>
      <w:r w:rsidRPr="00057B72">
        <w:t xml:space="preserve">Hay, D. </w:t>
      </w:r>
      <w:r w:rsidR="001648BB" w:rsidRPr="00057B72">
        <w:t xml:space="preserve">(2006). </w:t>
      </w:r>
      <w:r w:rsidR="0088431B" w:rsidRPr="00057B72">
        <w:t>W</w:t>
      </w:r>
      <w:r w:rsidR="001648BB" w:rsidRPr="00057B72">
        <w:t xml:space="preserve">riting about the death penalty. </w:t>
      </w:r>
      <w:proofErr w:type="gramStart"/>
      <w:r w:rsidR="0088431B" w:rsidRPr="00057B72">
        <w:rPr>
          <w:i/>
        </w:rPr>
        <w:t>Legal History</w:t>
      </w:r>
      <w:r w:rsidR="0088431B" w:rsidRPr="00057B72">
        <w:t xml:space="preserve">, </w:t>
      </w:r>
      <w:r w:rsidR="001648BB" w:rsidRPr="00057B72">
        <w:t xml:space="preserve">10(1-2), </w:t>
      </w:r>
      <w:r w:rsidR="0088431B" w:rsidRPr="00057B72">
        <w:t>35-52</w:t>
      </w:r>
      <w:r w:rsidR="001648BB" w:rsidRPr="00057B72">
        <w:t>.</w:t>
      </w:r>
      <w:proofErr w:type="gramEnd"/>
    </w:p>
    <w:p w14:paraId="7D3A2D8C" w14:textId="77777777" w:rsidR="0088431B" w:rsidRPr="00057B72" w:rsidRDefault="0088431B" w:rsidP="0088431B">
      <w:pPr>
        <w:jc w:val="both"/>
      </w:pPr>
    </w:p>
    <w:p w14:paraId="3BF247D9" w14:textId="74065CF5" w:rsidR="0088431B" w:rsidRPr="00057B72" w:rsidRDefault="0088431B" w:rsidP="0088431B">
      <w:pPr>
        <w:jc w:val="both"/>
      </w:pPr>
      <w:proofErr w:type="gramStart"/>
      <w:r w:rsidRPr="00057B72">
        <w:t xml:space="preserve">_____ </w:t>
      </w:r>
      <w:r w:rsidR="00E13B31" w:rsidRPr="00057B72">
        <w:t>(2011a).</w:t>
      </w:r>
      <w:proofErr w:type="gramEnd"/>
      <w:r w:rsidR="00E13B31" w:rsidRPr="00057B72">
        <w:t xml:space="preserve"> </w:t>
      </w:r>
      <w:r w:rsidRPr="00057B72">
        <w:t>Hanging and the English judges: the judicial politi</w:t>
      </w:r>
      <w:r w:rsidR="00E13B31" w:rsidRPr="00057B72">
        <w:t>cs of retention and abolition. I</w:t>
      </w:r>
      <w:r w:rsidRPr="00057B72">
        <w:t xml:space="preserve">n </w:t>
      </w:r>
      <w:r w:rsidR="00E13B31" w:rsidRPr="00057B72">
        <w:t xml:space="preserve">D. Garland, R. </w:t>
      </w:r>
      <w:proofErr w:type="spellStart"/>
      <w:r w:rsidRPr="00057B72">
        <w:t>McGowen</w:t>
      </w:r>
      <w:proofErr w:type="spellEnd"/>
      <w:r w:rsidRPr="00057B72">
        <w:t xml:space="preserve"> </w:t>
      </w:r>
      <w:r w:rsidR="00E13B31" w:rsidRPr="00057B72">
        <w:t xml:space="preserve">&amp; M. </w:t>
      </w:r>
      <w:proofErr w:type="spellStart"/>
      <w:r w:rsidRPr="00057B72">
        <w:t>Meranze</w:t>
      </w:r>
      <w:proofErr w:type="spellEnd"/>
      <w:r w:rsidRPr="00057B72">
        <w:t>, M. (</w:t>
      </w:r>
      <w:r w:rsidR="00E13B31" w:rsidRPr="00057B72">
        <w:t>E</w:t>
      </w:r>
      <w:r w:rsidRPr="00057B72">
        <w:t>ds</w:t>
      </w:r>
      <w:r w:rsidR="00E13B31" w:rsidRPr="00057B72">
        <w:t>.</w:t>
      </w:r>
      <w:r w:rsidRPr="00057B72">
        <w:t>)</w:t>
      </w:r>
      <w:r w:rsidR="00E13B31" w:rsidRPr="00057B72">
        <w:t xml:space="preserve">, </w:t>
      </w:r>
      <w:r w:rsidRPr="00057B72">
        <w:rPr>
          <w:i/>
        </w:rPr>
        <w:t>America's Death Penalty: Between Past and Present</w:t>
      </w:r>
      <w:r w:rsidRPr="00057B72">
        <w:t xml:space="preserve"> (</w:t>
      </w:r>
      <w:r w:rsidR="00E13B31" w:rsidRPr="00057B72">
        <w:t xml:space="preserve">pp. 129-65). New York: </w:t>
      </w:r>
      <w:r w:rsidRPr="00057B72">
        <w:t>New York University Press</w:t>
      </w:r>
      <w:r w:rsidR="00E13B31" w:rsidRPr="00057B72">
        <w:t>.</w:t>
      </w:r>
    </w:p>
    <w:p w14:paraId="39381786" w14:textId="77777777" w:rsidR="00D65441" w:rsidRPr="00057B72" w:rsidRDefault="00D65441" w:rsidP="0088431B">
      <w:pPr>
        <w:jc w:val="both"/>
      </w:pPr>
    </w:p>
    <w:p w14:paraId="58DD8013" w14:textId="18816353" w:rsidR="00D65441" w:rsidRPr="00057B72" w:rsidRDefault="00D65441" w:rsidP="00D65441">
      <w:pPr>
        <w:jc w:val="both"/>
      </w:pPr>
      <w:proofErr w:type="gramStart"/>
      <w:r w:rsidRPr="00057B72">
        <w:t>_____ (2011b).</w:t>
      </w:r>
      <w:proofErr w:type="gramEnd"/>
      <w:r w:rsidRPr="00057B72">
        <w:t xml:space="preserve"> </w:t>
      </w:r>
      <w:proofErr w:type="gramStart"/>
      <w:r w:rsidRPr="00057B72">
        <w:t>Introduction to the second edition.</w:t>
      </w:r>
      <w:proofErr w:type="gramEnd"/>
      <w:r w:rsidRPr="00057B72">
        <w:t xml:space="preserve"> In D. Hay, P. </w:t>
      </w:r>
      <w:proofErr w:type="spellStart"/>
      <w:r w:rsidRPr="00057B72">
        <w:t>Linebaugh</w:t>
      </w:r>
      <w:proofErr w:type="spellEnd"/>
      <w:r w:rsidRPr="00057B72">
        <w:t xml:space="preserve">, J.G. Rule, E.P. Thompson &amp; C. Winslow, </w:t>
      </w:r>
      <w:r w:rsidRPr="00057B72">
        <w:rPr>
          <w:i/>
        </w:rPr>
        <w:t>Albion’s Fatal Tree</w:t>
      </w:r>
      <w:r w:rsidRPr="00057B72">
        <w:t xml:space="preserve"> (pp. xxxi-xli). London: Verso.</w:t>
      </w:r>
    </w:p>
    <w:p w14:paraId="44872F25" w14:textId="77777777" w:rsidR="00D65441" w:rsidRPr="00057B72" w:rsidRDefault="00D65441" w:rsidP="00D65441">
      <w:pPr>
        <w:jc w:val="both"/>
      </w:pPr>
    </w:p>
    <w:p w14:paraId="11287AE8" w14:textId="77777777" w:rsidR="00D65441" w:rsidRPr="00057B72" w:rsidRDefault="00D65441" w:rsidP="00D65441">
      <w:pPr>
        <w:jc w:val="both"/>
      </w:pPr>
      <w:r w:rsidRPr="00057B72">
        <w:t xml:space="preserve">_____ (2011c [1975]. </w:t>
      </w:r>
      <w:proofErr w:type="gramStart"/>
      <w:r w:rsidRPr="00057B72">
        <w:t>Property, Authority and the Criminal Law.</w:t>
      </w:r>
      <w:proofErr w:type="gramEnd"/>
      <w:r w:rsidRPr="00057B72">
        <w:t xml:space="preserve"> In D. Hay, P. </w:t>
      </w:r>
      <w:proofErr w:type="spellStart"/>
      <w:r w:rsidRPr="00057B72">
        <w:t>Linebaugh</w:t>
      </w:r>
      <w:proofErr w:type="spellEnd"/>
      <w:r w:rsidRPr="00057B72">
        <w:t xml:space="preserve">, J.G. Rule, E.P. Thompson &amp; C. Winslow, </w:t>
      </w:r>
      <w:r w:rsidRPr="00057B72">
        <w:rPr>
          <w:i/>
        </w:rPr>
        <w:t>Albion’s Fatal Tree</w:t>
      </w:r>
      <w:r w:rsidRPr="00057B72">
        <w:t xml:space="preserve"> (pp. 17-63). London: Verso.</w:t>
      </w:r>
    </w:p>
    <w:p w14:paraId="58BB3090" w14:textId="77777777" w:rsidR="0088431B" w:rsidRPr="00057B72" w:rsidRDefault="0088431B" w:rsidP="0088431B">
      <w:pPr>
        <w:jc w:val="both"/>
      </w:pPr>
    </w:p>
    <w:p w14:paraId="2042F143" w14:textId="533CB516" w:rsidR="0088431B" w:rsidRPr="00057B72" w:rsidRDefault="0088431B" w:rsidP="0088431B">
      <w:pPr>
        <w:jc w:val="both"/>
      </w:pPr>
      <w:r w:rsidRPr="00057B72">
        <w:t>Hitchcock T. &amp; Shoemaker, R.</w:t>
      </w:r>
      <w:r w:rsidR="00553876" w:rsidRPr="00057B72">
        <w:t xml:space="preserve"> (2015)</w:t>
      </w:r>
      <w:r w:rsidR="00D65441" w:rsidRPr="00057B72">
        <w:rPr>
          <w:i/>
        </w:rPr>
        <w:t xml:space="preserve">. </w:t>
      </w:r>
      <w:r w:rsidRPr="00057B72">
        <w:rPr>
          <w:i/>
        </w:rPr>
        <w:t>London lives: poverty, crime and the making of a modern city</w:t>
      </w:r>
      <w:r w:rsidR="00553876" w:rsidRPr="00057B72">
        <w:t xml:space="preserve">. </w:t>
      </w:r>
      <w:r w:rsidRPr="00057B72">
        <w:t>Cambrid</w:t>
      </w:r>
      <w:r w:rsidR="00553876" w:rsidRPr="00057B72">
        <w:t xml:space="preserve">ge: </w:t>
      </w:r>
      <w:r w:rsidRPr="00057B72">
        <w:t>Cambridge University Press</w:t>
      </w:r>
      <w:r w:rsidR="00553876" w:rsidRPr="00057B72">
        <w:t>.</w:t>
      </w:r>
    </w:p>
    <w:p w14:paraId="432E4EDD" w14:textId="77777777" w:rsidR="0088431B" w:rsidRPr="00057B72" w:rsidRDefault="0088431B" w:rsidP="0088431B">
      <w:pPr>
        <w:jc w:val="both"/>
      </w:pPr>
    </w:p>
    <w:p w14:paraId="62943E9D" w14:textId="45DE5514" w:rsidR="0088431B" w:rsidRPr="00057B72" w:rsidRDefault="0088431B" w:rsidP="0088431B">
      <w:pPr>
        <w:jc w:val="both"/>
      </w:pPr>
      <w:r w:rsidRPr="00057B72">
        <w:t xml:space="preserve">Jones, D.J.V. </w:t>
      </w:r>
      <w:r w:rsidR="001648BB" w:rsidRPr="00057B72">
        <w:t xml:space="preserve">(1981). </w:t>
      </w:r>
      <w:proofErr w:type="gramStart"/>
      <w:r w:rsidRPr="00057B72">
        <w:t>Life and dea</w:t>
      </w:r>
      <w:r w:rsidR="001648BB" w:rsidRPr="00057B72">
        <w:t>th in eighteenth-century Wales.</w:t>
      </w:r>
      <w:proofErr w:type="gramEnd"/>
      <w:r w:rsidR="001648BB" w:rsidRPr="00057B72">
        <w:t xml:space="preserve"> </w:t>
      </w:r>
      <w:r w:rsidRPr="00057B72">
        <w:rPr>
          <w:i/>
        </w:rPr>
        <w:t>Welsh History Review</w:t>
      </w:r>
      <w:r w:rsidRPr="00057B72">
        <w:t xml:space="preserve">, </w:t>
      </w:r>
      <w:r w:rsidR="001648BB" w:rsidRPr="00057B72">
        <w:t xml:space="preserve">10(4), </w:t>
      </w:r>
      <w:proofErr w:type="gramStart"/>
      <w:r w:rsidRPr="00057B72">
        <w:t>536</w:t>
      </w:r>
      <w:proofErr w:type="gramEnd"/>
      <w:r w:rsidRPr="00057B72">
        <w:t>-548</w:t>
      </w:r>
      <w:r w:rsidR="001648BB" w:rsidRPr="00057B72">
        <w:t>.</w:t>
      </w:r>
    </w:p>
    <w:p w14:paraId="6C32EE11" w14:textId="77777777" w:rsidR="0088431B" w:rsidRPr="00057B72" w:rsidRDefault="0088431B" w:rsidP="0088431B">
      <w:pPr>
        <w:jc w:val="both"/>
      </w:pPr>
    </w:p>
    <w:p w14:paraId="78E3E4A1" w14:textId="710A0526" w:rsidR="0088431B" w:rsidRPr="00057B72" w:rsidRDefault="0088431B" w:rsidP="0088431B">
      <w:pPr>
        <w:jc w:val="both"/>
      </w:pPr>
      <w:r w:rsidRPr="00057B72">
        <w:t xml:space="preserve">King, P. </w:t>
      </w:r>
      <w:r w:rsidR="001648BB" w:rsidRPr="00057B72">
        <w:t xml:space="preserve">(1984). </w:t>
      </w:r>
      <w:proofErr w:type="gramStart"/>
      <w:r w:rsidRPr="00057B72">
        <w:t xml:space="preserve">Decision-makers and decision-making in the </w:t>
      </w:r>
      <w:r w:rsidR="001648BB" w:rsidRPr="00057B72">
        <w:t>English criminal law, 1750-1800.</w:t>
      </w:r>
      <w:proofErr w:type="gramEnd"/>
      <w:r w:rsidR="001648BB" w:rsidRPr="00057B72">
        <w:t xml:space="preserve"> </w:t>
      </w:r>
      <w:proofErr w:type="gramStart"/>
      <w:r w:rsidRPr="00057B72">
        <w:rPr>
          <w:i/>
        </w:rPr>
        <w:t>The Historical Journal</w:t>
      </w:r>
      <w:r w:rsidR="001648BB" w:rsidRPr="00057B72">
        <w:t>, 27(</w:t>
      </w:r>
      <w:r w:rsidRPr="00057B72">
        <w:t>1</w:t>
      </w:r>
      <w:r w:rsidR="001648BB" w:rsidRPr="00057B72">
        <w:t xml:space="preserve">), </w:t>
      </w:r>
      <w:r w:rsidRPr="00057B72">
        <w:t>25-58</w:t>
      </w:r>
      <w:r w:rsidR="001648BB" w:rsidRPr="00057B72">
        <w:t>.</w:t>
      </w:r>
      <w:proofErr w:type="gramEnd"/>
    </w:p>
    <w:p w14:paraId="59C6E867" w14:textId="77777777" w:rsidR="0088431B" w:rsidRPr="00057B72" w:rsidRDefault="0088431B" w:rsidP="0088431B">
      <w:pPr>
        <w:jc w:val="both"/>
      </w:pPr>
    </w:p>
    <w:p w14:paraId="3ECE9142" w14:textId="63CD8C31" w:rsidR="0088431B" w:rsidRPr="00057B72" w:rsidRDefault="0088431B" w:rsidP="0088431B">
      <w:pPr>
        <w:jc w:val="both"/>
        <w:rPr>
          <w:lang w:val="en-GB"/>
        </w:rPr>
      </w:pPr>
      <w:proofErr w:type="gramStart"/>
      <w:r w:rsidRPr="00057B72">
        <w:rPr>
          <w:lang w:val="en-GB"/>
        </w:rPr>
        <w:t xml:space="preserve">_____ </w:t>
      </w:r>
      <w:r w:rsidR="001648BB" w:rsidRPr="00057B72">
        <w:rPr>
          <w:lang w:val="en-GB"/>
        </w:rPr>
        <w:t>(1996).</w:t>
      </w:r>
      <w:proofErr w:type="gramEnd"/>
      <w:r w:rsidR="001648BB" w:rsidRPr="00057B72">
        <w:rPr>
          <w:lang w:val="en-GB"/>
        </w:rPr>
        <w:t xml:space="preserve"> </w:t>
      </w:r>
      <w:r w:rsidRPr="00057B72">
        <w:rPr>
          <w:lang w:val="en-GB"/>
        </w:rPr>
        <w:t xml:space="preserve">Female offenders, work and </w:t>
      </w:r>
      <w:proofErr w:type="gramStart"/>
      <w:r w:rsidRPr="00057B72">
        <w:rPr>
          <w:lang w:val="en-GB"/>
        </w:rPr>
        <w:t>life-cycle</w:t>
      </w:r>
      <w:proofErr w:type="gramEnd"/>
      <w:r w:rsidRPr="00057B72">
        <w:rPr>
          <w:lang w:val="en-GB"/>
        </w:rPr>
        <w:t xml:space="preserve"> change in </w:t>
      </w:r>
      <w:r w:rsidR="001648BB" w:rsidRPr="00057B72">
        <w:rPr>
          <w:lang w:val="en-GB"/>
        </w:rPr>
        <w:t xml:space="preserve">late-eighteenth-century London. </w:t>
      </w:r>
      <w:r w:rsidRPr="00057B72">
        <w:rPr>
          <w:i/>
          <w:lang w:val="en-GB"/>
        </w:rPr>
        <w:t>Continuity and Change</w:t>
      </w:r>
      <w:r w:rsidRPr="00057B72">
        <w:rPr>
          <w:lang w:val="en-GB"/>
        </w:rPr>
        <w:t xml:space="preserve">, </w:t>
      </w:r>
      <w:r w:rsidR="001648BB" w:rsidRPr="00057B72">
        <w:rPr>
          <w:lang w:val="en-GB"/>
        </w:rPr>
        <w:t xml:space="preserve">11(1), </w:t>
      </w:r>
      <w:r w:rsidRPr="00057B72">
        <w:rPr>
          <w:lang w:val="en-GB"/>
        </w:rPr>
        <w:t>61-90</w:t>
      </w:r>
    </w:p>
    <w:p w14:paraId="15A762A7" w14:textId="77777777" w:rsidR="0088431B" w:rsidRPr="00057B72" w:rsidRDefault="0088431B" w:rsidP="0088431B">
      <w:pPr>
        <w:jc w:val="both"/>
      </w:pPr>
    </w:p>
    <w:p w14:paraId="518053B2" w14:textId="0C2C928E" w:rsidR="0088431B" w:rsidRPr="00057B72" w:rsidRDefault="0088431B" w:rsidP="0088431B">
      <w:pPr>
        <w:jc w:val="both"/>
      </w:pPr>
      <w:proofErr w:type="gramStart"/>
      <w:r w:rsidRPr="00057B72">
        <w:t xml:space="preserve">_____ </w:t>
      </w:r>
      <w:r w:rsidR="00553876" w:rsidRPr="00057B72">
        <w:t>(2000)</w:t>
      </w:r>
      <w:r w:rsidR="00D65441" w:rsidRPr="00057B72">
        <w:t>.</w:t>
      </w:r>
      <w:proofErr w:type="gramEnd"/>
      <w:r w:rsidR="00D65441" w:rsidRPr="00057B72">
        <w:t xml:space="preserve"> </w:t>
      </w:r>
      <w:proofErr w:type="gramStart"/>
      <w:r w:rsidRPr="00057B72">
        <w:rPr>
          <w:i/>
        </w:rPr>
        <w:t>Crime, Justice, and Discretion in England 1740-1820</w:t>
      </w:r>
      <w:r w:rsidR="00553876" w:rsidRPr="00057B72">
        <w:t>.</w:t>
      </w:r>
      <w:proofErr w:type="gramEnd"/>
      <w:r w:rsidR="00553876" w:rsidRPr="00057B72">
        <w:t xml:space="preserve"> Oxford: </w:t>
      </w:r>
      <w:r w:rsidRPr="00057B72">
        <w:t>Oxford University Press</w:t>
      </w:r>
      <w:r w:rsidR="00553876" w:rsidRPr="00057B72">
        <w:t>.</w:t>
      </w:r>
    </w:p>
    <w:p w14:paraId="4317A1E4" w14:textId="77777777" w:rsidR="0088431B" w:rsidRPr="00057B72" w:rsidRDefault="0088431B" w:rsidP="0088431B">
      <w:pPr>
        <w:jc w:val="both"/>
      </w:pPr>
    </w:p>
    <w:p w14:paraId="55E5FDF7" w14:textId="77777777" w:rsidR="00E13B31" w:rsidRPr="00057B72" w:rsidRDefault="00E13B31" w:rsidP="00E13B31">
      <w:pPr>
        <w:jc w:val="both"/>
        <w:rPr>
          <w:lang w:val="en-GB"/>
        </w:rPr>
      </w:pPr>
      <w:proofErr w:type="gramStart"/>
      <w:r w:rsidRPr="00057B72">
        <w:rPr>
          <w:lang w:val="en-GB"/>
        </w:rPr>
        <w:t>_____ (2009a).</w:t>
      </w:r>
      <w:proofErr w:type="gramEnd"/>
      <w:r w:rsidRPr="00057B72">
        <w:rPr>
          <w:lang w:val="en-GB"/>
        </w:rPr>
        <w:t xml:space="preserve"> </w:t>
      </w:r>
      <w:proofErr w:type="gramStart"/>
      <w:r w:rsidRPr="00057B72">
        <w:rPr>
          <w:lang w:val="en-GB"/>
        </w:rPr>
        <w:t>Gender and recorded crime.</w:t>
      </w:r>
      <w:proofErr w:type="gramEnd"/>
      <w:r w:rsidRPr="00057B72">
        <w:rPr>
          <w:lang w:val="en-GB"/>
        </w:rPr>
        <w:t xml:space="preserve"> The long-term impact of female offenders on prosecution rates across England and Wales 1750-1850’. In P. King, </w:t>
      </w:r>
      <w:r w:rsidRPr="00057B72">
        <w:rPr>
          <w:i/>
          <w:lang w:val="en-GB"/>
        </w:rPr>
        <w:t>Crime and law in England, 1750-1850: remaking justice from the margins</w:t>
      </w:r>
      <w:r w:rsidRPr="00057B72">
        <w:rPr>
          <w:lang w:val="en-GB"/>
        </w:rPr>
        <w:t xml:space="preserve"> (pp. 196-220). Cambridge: Cambridge University Press.</w:t>
      </w:r>
    </w:p>
    <w:p w14:paraId="4438E640" w14:textId="77777777" w:rsidR="00E13B31" w:rsidRPr="00057B72" w:rsidRDefault="00E13B31" w:rsidP="0088431B">
      <w:pPr>
        <w:jc w:val="both"/>
      </w:pPr>
    </w:p>
    <w:p w14:paraId="64E37DD6" w14:textId="734CC8F7" w:rsidR="00E13B31" w:rsidRPr="00057B72" w:rsidRDefault="0088431B" w:rsidP="0088431B">
      <w:pPr>
        <w:jc w:val="both"/>
        <w:rPr>
          <w:lang w:val="en-GB"/>
        </w:rPr>
      </w:pPr>
      <w:proofErr w:type="gramStart"/>
      <w:r w:rsidRPr="00057B72">
        <w:rPr>
          <w:lang w:val="en-GB"/>
        </w:rPr>
        <w:lastRenderedPageBreak/>
        <w:t xml:space="preserve">_____ </w:t>
      </w:r>
      <w:r w:rsidR="00E13B31" w:rsidRPr="00057B72">
        <w:rPr>
          <w:lang w:val="en-GB"/>
        </w:rPr>
        <w:t>(2009b).</w:t>
      </w:r>
      <w:proofErr w:type="gramEnd"/>
      <w:r w:rsidR="00E13B31" w:rsidRPr="00057B72">
        <w:rPr>
          <w:lang w:val="en-GB"/>
        </w:rPr>
        <w:t xml:space="preserve"> </w:t>
      </w:r>
      <w:proofErr w:type="gramStart"/>
      <w:r w:rsidRPr="00057B72">
        <w:rPr>
          <w:lang w:val="en-GB"/>
        </w:rPr>
        <w:t>Gender, crime and justice in late eighteenth- and ear</w:t>
      </w:r>
      <w:r w:rsidR="00E13B31" w:rsidRPr="00057B72">
        <w:rPr>
          <w:lang w:val="en-GB"/>
        </w:rPr>
        <w:t>ly-nineteenth-century England.</w:t>
      </w:r>
      <w:proofErr w:type="gramEnd"/>
      <w:r w:rsidR="00E13B31" w:rsidRPr="00057B72">
        <w:rPr>
          <w:lang w:val="en-GB"/>
        </w:rPr>
        <w:t xml:space="preserve"> I</w:t>
      </w:r>
      <w:r w:rsidRPr="00057B72">
        <w:rPr>
          <w:lang w:val="en-GB"/>
        </w:rPr>
        <w:t xml:space="preserve">n </w:t>
      </w:r>
      <w:r w:rsidR="00E13B31" w:rsidRPr="00057B72">
        <w:rPr>
          <w:lang w:val="en-GB"/>
        </w:rPr>
        <w:t xml:space="preserve">P. King, </w:t>
      </w:r>
      <w:r w:rsidRPr="00057B72">
        <w:rPr>
          <w:i/>
          <w:lang w:val="en-GB"/>
        </w:rPr>
        <w:t>Crime and law in England, 1750-1850: remaking justice from the margins</w:t>
      </w:r>
      <w:r w:rsidRPr="00057B72">
        <w:rPr>
          <w:lang w:val="en-GB"/>
        </w:rPr>
        <w:t xml:space="preserve"> (</w:t>
      </w:r>
      <w:r w:rsidR="00E13B31" w:rsidRPr="00057B72">
        <w:rPr>
          <w:lang w:val="en-GB"/>
        </w:rPr>
        <w:t>pp. 165-95). Cambridge: Cambridge University Press.</w:t>
      </w:r>
    </w:p>
    <w:p w14:paraId="72BB358F" w14:textId="77777777" w:rsidR="0088431B" w:rsidRPr="00057B72" w:rsidRDefault="0088431B" w:rsidP="0088431B">
      <w:pPr>
        <w:jc w:val="both"/>
      </w:pPr>
    </w:p>
    <w:p w14:paraId="1302A2B7" w14:textId="2EA45B41" w:rsidR="0088431B" w:rsidRPr="00057B72" w:rsidRDefault="0088431B" w:rsidP="0088431B">
      <w:pPr>
        <w:jc w:val="both"/>
        <w:rPr>
          <w:lang w:val="en-GB"/>
        </w:rPr>
      </w:pPr>
      <w:r w:rsidRPr="00057B72">
        <w:t xml:space="preserve">King, P. </w:t>
      </w:r>
      <w:r w:rsidR="001648BB" w:rsidRPr="00057B72">
        <w:t>&amp;</w:t>
      </w:r>
      <w:r w:rsidRPr="00057B72">
        <w:t xml:space="preserve"> Ward, R. </w:t>
      </w:r>
      <w:r w:rsidR="001648BB" w:rsidRPr="00057B72">
        <w:t xml:space="preserve">(2015). </w:t>
      </w:r>
      <w:r w:rsidRPr="00057B72">
        <w:t xml:space="preserve">Rethinking the Bloody Code in eighteenth century Britain: capital punishment at the </w:t>
      </w:r>
      <w:proofErr w:type="spellStart"/>
      <w:r w:rsidRPr="00057B72">
        <w:t>centre</w:t>
      </w:r>
      <w:proofErr w:type="spellEnd"/>
      <w:r w:rsidRPr="00057B72">
        <w:t xml:space="preserve"> and on the periphery</w:t>
      </w:r>
      <w:r w:rsidR="001648BB" w:rsidRPr="00057B72">
        <w:t xml:space="preserve">. </w:t>
      </w:r>
      <w:proofErr w:type="gramStart"/>
      <w:r w:rsidRPr="00057B72">
        <w:rPr>
          <w:i/>
        </w:rPr>
        <w:t>Past and Present</w:t>
      </w:r>
      <w:r w:rsidR="001648BB" w:rsidRPr="00057B72">
        <w:t xml:space="preserve">, 228, </w:t>
      </w:r>
      <w:r w:rsidRPr="00057B72">
        <w:t>159-205.</w:t>
      </w:r>
      <w:proofErr w:type="gramEnd"/>
    </w:p>
    <w:p w14:paraId="67291261" w14:textId="77777777" w:rsidR="0088431B" w:rsidRPr="00057B72" w:rsidRDefault="0088431B" w:rsidP="0088431B">
      <w:pPr>
        <w:jc w:val="both"/>
      </w:pPr>
    </w:p>
    <w:p w14:paraId="2DB31384" w14:textId="79902D22" w:rsidR="0088431B" w:rsidRPr="00057B72" w:rsidRDefault="0088431B" w:rsidP="0088431B">
      <w:pPr>
        <w:jc w:val="both"/>
      </w:pPr>
      <w:proofErr w:type="spellStart"/>
      <w:r w:rsidRPr="00057B72">
        <w:t>Linebaugh</w:t>
      </w:r>
      <w:proofErr w:type="spellEnd"/>
      <w:r w:rsidRPr="00057B72">
        <w:t xml:space="preserve">, P. </w:t>
      </w:r>
      <w:r w:rsidR="00553876" w:rsidRPr="00057B72">
        <w:t xml:space="preserve">(2006) </w:t>
      </w:r>
      <w:r w:rsidRPr="00057B72">
        <w:rPr>
          <w:i/>
        </w:rPr>
        <w:t>The London hanged: crime and civil society in the eighteenth century</w:t>
      </w:r>
      <w:r w:rsidR="00553876" w:rsidRPr="00057B72">
        <w:t xml:space="preserve">. London: </w:t>
      </w:r>
      <w:r w:rsidRPr="00057B72">
        <w:t>Verso</w:t>
      </w:r>
      <w:r w:rsidR="00553876" w:rsidRPr="00057B72">
        <w:t>.</w:t>
      </w:r>
      <w:r w:rsidRPr="00057B72">
        <w:t xml:space="preserve"> </w:t>
      </w:r>
    </w:p>
    <w:p w14:paraId="4A008798" w14:textId="77777777" w:rsidR="0088431B" w:rsidRPr="00057B72" w:rsidRDefault="0088431B" w:rsidP="0088431B">
      <w:pPr>
        <w:jc w:val="both"/>
      </w:pPr>
    </w:p>
    <w:p w14:paraId="115EA77E" w14:textId="7F5B495A" w:rsidR="0088431B" w:rsidRPr="00057B72" w:rsidRDefault="0088431B" w:rsidP="0088431B">
      <w:pPr>
        <w:jc w:val="both"/>
      </w:pPr>
      <w:proofErr w:type="spellStart"/>
      <w:r w:rsidRPr="00057B72">
        <w:t>McGowen</w:t>
      </w:r>
      <w:proofErr w:type="spellEnd"/>
      <w:r w:rsidRPr="00057B72">
        <w:t xml:space="preserve">, R. </w:t>
      </w:r>
      <w:r w:rsidR="001648BB" w:rsidRPr="00057B72">
        <w:t xml:space="preserve">(1983). </w:t>
      </w:r>
      <w:proofErr w:type="gramStart"/>
      <w:r w:rsidRPr="00057B72">
        <w:t>The image of justice and reform of the criminal law in early nineteenth-century England</w:t>
      </w:r>
      <w:r w:rsidR="001648BB" w:rsidRPr="00057B72">
        <w:t>.</w:t>
      </w:r>
      <w:proofErr w:type="gramEnd"/>
      <w:r w:rsidR="001648BB" w:rsidRPr="00057B72">
        <w:t xml:space="preserve"> </w:t>
      </w:r>
      <w:r w:rsidRPr="00057B72">
        <w:rPr>
          <w:i/>
        </w:rPr>
        <w:t>Buffalo Law Review</w:t>
      </w:r>
      <w:r w:rsidRPr="00057B72">
        <w:t xml:space="preserve">, </w:t>
      </w:r>
      <w:r w:rsidR="001648BB" w:rsidRPr="00057B72">
        <w:t xml:space="preserve">32(1), </w:t>
      </w:r>
      <w:proofErr w:type="gramStart"/>
      <w:r w:rsidRPr="00057B72">
        <w:t>89</w:t>
      </w:r>
      <w:proofErr w:type="gramEnd"/>
      <w:r w:rsidRPr="00057B72">
        <w:t>-125.</w:t>
      </w:r>
    </w:p>
    <w:p w14:paraId="774C3502" w14:textId="77777777" w:rsidR="0088431B" w:rsidRPr="00057B72" w:rsidRDefault="0088431B" w:rsidP="0088431B">
      <w:pPr>
        <w:jc w:val="both"/>
      </w:pPr>
    </w:p>
    <w:p w14:paraId="419A7C52" w14:textId="67B3F9FF" w:rsidR="0088431B" w:rsidRPr="00057B72" w:rsidRDefault="0088431B" w:rsidP="0088431B">
      <w:pPr>
        <w:jc w:val="both"/>
      </w:pPr>
      <w:r w:rsidRPr="00057B72">
        <w:t xml:space="preserve">Morgan, G. &amp; Rushton, P. </w:t>
      </w:r>
      <w:r w:rsidR="00D65441" w:rsidRPr="00057B72">
        <w:t xml:space="preserve">(1998). </w:t>
      </w:r>
      <w:r w:rsidRPr="00057B72">
        <w:rPr>
          <w:i/>
        </w:rPr>
        <w:t xml:space="preserve">Rogues, thieves and the rule of law: the problem of law enforcement in </w:t>
      </w:r>
      <w:proofErr w:type="gramStart"/>
      <w:r w:rsidRPr="00057B72">
        <w:rPr>
          <w:i/>
        </w:rPr>
        <w:t>north-east</w:t>
      </w:r>
      <w:proofErr w:type="gramEnd"/>
      <w:r w:rsidRPr="00057B72">
        <w:rPr>
          <w:i/>
        </w:rPr>
        <w:t xml:space="preserve"> England</w:t>
      </w:r>
      <w:r w:rsidR="00553876" w:rsidRPr="00057B72">
        <w:t xml:space="preserve">. London: </w:t>
      </w:r>
      <w:proofErr w:type="spellStart"/>
      <w:r w:rsidRPr="00057B72">
        <w:t>Routledge</w:t>
      </w:r>
      <w:proofErr w:type="spellEnd"/>
      <w:r w:rsidR="00553876" w:rsidRPr="00057B72">
        <w:t>.</w:t>
      </w:r>
    </w:p>
    <w:p w14:paraId="5EA03386" w14:textId="77777777" w:rsidR="0088431B" w:rsidRPr="00057B72" w:rsidRDefault="0088431B" w:rsidP="0088431B">
      <w:pPr>
        <w:jc w:val="both"/>
      </w:pPr>
    </w:p>
    <w:p w14:paraId="42E57E6F" w14:textId="28AFEBA0" w:rsidR="0088431B" w:rsidRPr="00057B72" w:rsidRDefault="0088431B" w:rsidP="0088431B">
      <w:pPr>
        <w:jc w:val="both"/>
      </w:pPr>
      <w:r w:rsidRPr="00057B72">
        <w:t xml:space="preserve">Phillips, C. </w:t>
      </w:r>
      <w:r w:rsidR="00D65441" w:rsidRPr="00057B72">
        <w:t xml:space="preserve">(1857). </w:t>
      </w:r>
      <w:proofErr w:type="gramStart"/>
      <w:r w:rsidRPr="00057B72">
        <w:rPr>
          <w:i/>
        </w:rPr>
        <w:t>Vacation Thoughts on Capital Punishments</w:t>
      </w:r>
      <w:r w:rsidR="00553876" w:rsidRPr="00057B72">
        <w:rPr>
          <w:i/>
        </w:rPr>
        <w:t>.</w:t>
      </w:r>
      <w:proofErr w:type="gramEnd"/>
      <w:r w:rsidR="00553876" w:rsidRPr="00057B72">
        <w:rPr>
          <w:i/>
        </w:rPr>
        <w:t xml:space="preserve"> </w:t>
      </w:r>
      <w:r w:rsidR="00553876" w:rsidRPr="00057B72">
        <w:t xml:space="preserve">London: </w:t>
      </w:r>
      <w:r w:rsidRPr="00057B72">
        <w:t>W. &amp; F.G. Cash</w:t>
      </w:r>
      <w:r w:rsidR="00553876" w:rsidRPr="00057B72">
        <w:t>.</w:t>
      </w:r>
    </w:p>
    <w:p w14:paraId="79305198" w14:textId="77777777" w:rsidR="0088431B" w:rsidRPr="00057B72" w:rsidRDefault="0088431B" w:rsidP="0088431B">
      <w:pPr>
        <w:jc w:val="both"/>
      </w:pPr>
    </w:p>
    <w:p w14:paraId="4DB73C4A" w14:textId="12C8AA57" w:rsidR="0088431B" w:rsidRPr="00057B72" w:rsidRDefault="0088431B" w:rsidP="0088431B">
      <w:pPr>
        <w:jc w:val="both"/>
      </w:pPr>
      <w:proofErr w:type="spellStart"/>
      <w:r w:rsidRPr="00057B72">
        <w:t>Radzinowicz</w:t>
      </w:r>
      <w:proofErr w:type="spellEnd"/>
      <w:r w:rsidRPr="00057B72">
        <w:t xml:space="preserve">, L. </w:t>
      </w:r>
      <w:r w:rsidR="00553876" w:rsidRPr="00057B72">
        <w:t>(194</w:t>
      </w:r>
      <w:r w:rsidR="00D65441" w:rsidRPr="00057B72">
        <w:t xml:space="preserve">8). </w:t>
      </w:r>
      <w:r w:rsidRPr="00057B72">
        <w:rPr>
          <w:i/>
        </w:rPr>
        <w:t>A history of English criminal law and its administration from 1750, vol. 1: the movement for reform</w:t>
      </w:r>
      <w:r w:rsidR="00553876" w:rsidRPr="00057B72">
        <w:t xml:space="preserve">. </w:t>
      </w:r>
      <w:r w:rsidRPr="00057B72">
        <w:t>Lo</w:t>
      </w:r>
      <w:r w:rsidR="00553876" w:rsidRPr="00057B72">
        <w:t xml:space="preserve">ndon: </w:t>
      </w:r>
      <w:r w:rsidRPr="00057B72">
        <w:t>Stevens &amp; Sons Ltd</w:t>
      </w:r>
      <w:r w:rsidR="00553876" w:rsidRPr="00057B72">
        <w:t>.</w:t>
      </w:r>
    </w:p>
    <w:p w14:paraId="0990B755" w14:textId="77777777" w:rsidR="0088431B" w:rsidRPr="00057B72" w:rsidRDefault="0088431B" w:rsidP="0088431B">
      <w:pPr>
        <w:jc w:val="both"/>
      </w:pPr>
    </w:p>
    <w:p w14:paraId="0FD5E032" w14:textId="114E9850" w:rsidR="0088431B" w:rsidRPr="00057B72" w:rsidRDefault="0088431B" w:rsidP="0088431B">
      <w:pPr>
        <w:jc w:val="both"/>
      </w:pPr>
      <w:r w:rsidRPr="00057B72">
        <w:t xml:space="preserve">Riggs, P.T. </w:t>
      </w:r>
      <w:r w:rsidR="001648BB" w:rsidRPr="00057B72">
        <w:t xml:space="preserve">(2012). </w:t>
      </w:r>
      <w:proofErr w:type="gramStart"/>
      <w:r w:rsidRPr="00057B72">
        <w:t>Prosecutions, juries, judges and punishment in ear</w:t>
      </w:r>
      <w:r w:rsidR="001648BB" w:rsidRPr="00057B72">
        <w:t>ly nineteenth-century Scotland.</w:t>
      </w:r>
      <w:proofErr w:type="gramEnd"/>
      <w:r w:rsidR="001648BB" w:rsidRPr="00057B72">
        <w:t xml:space="preserve"> </w:t>
      </w:r>
      <w:proofErr w:type="gramStart"/>
      <w:r w:rsidRPr="00057B72">
        <w:rPr>
          <w:i/>
        </w:rPr>
        <w:t>Journal of Scottish Historical Studies</w:t>
      </w:r>
      <w:r w:rsidR="001648BB" w:rsidRPr="00057B72">
        <w:t>, 32(</w:t>
      </w:r>
      <w:r w:rsidRPr="00057B72">
        <w:t>2</w:t>
      </w:r>
      <w:r w:rsidR="001648BB" w:rsidRPr="00057B72">
        <w:t xml:space="preserve">), </w:t>
      </w:r>
      <w:r w:rsidRPr="00057B72">
        <w:t>166-89</w:t>
      </w:r>
      <w:r w:rsidR="001648BB" w:rsidRPr="00057B72">
        <w:t>.</w:t>
      </w:r>
      <w:proofErr w:type="gramEnd"/>
    </w:p>
    <w:p w14:paraId="1B068701" w14:textId="77777777" w:rsidR="0088431B" w:rsidRPr="00057B72" w:rsidRDefault="0088431B" w:rsidP="0088431B">
      <w:pPr>
        <w:jc w:val="both"/>
      </w:pPr>
    </w:p>
    <w:p w14:paraId="6475E49D" w14:textId="044CEEDA" w:rsidR="0088431B" w:rsidRPr="00057B72" w:rsidRDefault="0088431B" w:rsidP="0088431B">
      <w:pPr>
        <w:jc w:val="both"/>
      </w:pPr>
      <w:proofErr w:type="spellStart"/>
      <w:proofErr w:type="gramStart"/>
      <w:r w:rsidRPr="00057B72">
        <w:t>Romilly</w:t>
      </w:r>
      <w:proofErr w:type="spellEnd"/>
      <w:r w:rsidRPr="00057B72">
        <w:t xml:space="preserve">, S. </w:t>
      </w:r>
      <w:r w:rsidR="00D65441" w:rsidRPr="00057B72">
        <w:t>(1820).</w:t>
      </w:r>
      <w:proofErr w:type="gramEnd"/>
      <w:r w:rsidR="00D65441" w:rsidRPr="00057B72">
        <w:t xml:space="preserve"> </w:t>
      </w:r>
      <w:r w:rsidRPr="00057B72">
        <w:rPr>
          <w:i/>
        </w:rPr>
        <w:t xml:space="preserve">The speeches of Sir Samuel </w:t>
      </w:r>
      <w:proofErr w:type="spellStart"/>
      <w:r w:rsidRPr="00057B72">
        <w:rPr>
          <w:i/>
        </w:rPr>
        <w:t>Romilly</w:t>
      </w:r>
      <w:proofErr w:type="spellEnd"/>
      <w:r w:rsidRPr="00057B72">
        <w:rPr>
          <w:i/>
        </w:rPr>
        <w:t xml:space="preserve"> in the House of Commons, in two volumes: Vol. I.</w:t>
      </w:r>
      <w:r w:rsidR="00553876" w:rsidRPr="00057B72">
        <w:t xml:space="preserve"> London: </w:t>
      </w:r>
      <w:r w:rsidRPr="00057B72">
        <w:t>James Ridgway and Sons</w:t>
      </w:r>
      <w:r w:rsidR="00553876" w:rsidRPr="00057B72">
        <w:t xml:space="preserve">. </w:t>
      </w:r>
    </w:p>
    <w:p w14:paraId="19D03E2B" w14:textId="77777777" w:rsidR="0088431B" w:rsidRPr="00057B72" w:rsidRDefault="0088431B" w:rsidP="0088431B">
      <w:pPr>
        <w:jc w:val="both"/>
      </w:pPr>
    </w:p>
    <w:p w14:paraId="64EDB702" w14:textId="74176323" w:rsidR="0088431B" w:rsidRPr="00057B72" w:rsidRDefault="0088431B" w:rsidP="0088431B">
      <w:pPr>
        <w:jc w:val="both"/>
        <w:rPr>
          <w:lang w:val="en-GB"/>
        </w:rPr>
      </w:pPr>
      <w:r w:rsidRPr="00057B72">
        <w:t xml:space="preserve">Scott, J.C. </w:t>
      </w:r>
      <w:r w:rsidR="00D65441" w:rsidRPr="00057B72">
        <w:t xml:space="preserve">(2009). </w:t>
      </w:r>
      <w:r w:rsidRPr="00057B72">
        <w:rPr>
          <w:i/>
        </w:rPr>
        <w:t>The art of not being governed: an anarchist history of upland southeast Asia</w:t>
      </w:r>
      <w:r w:rsidR="00553876" w:rsidRPr="00057B72">
        <w:t xml:space="preserve">. New Haven, CT: </w:t>
      </w:r>
      <w:r w:rsidRPr="00057B72">
        <w:t>Yale University Press</w:t>
      </w:r>
      <w:r w:rsidR="00553876" w:rsidRPr="00057B72">
        <w:t>.</w:t>
      </w:r>
    </w:p>
    <w:p w14:paraId="0E92BB32" w14:textId="77777777" w:rsidR="0088431B" w:rsidRPr="00057B72" w:rsidRDefault="0088431B" w:rsidP="0088431B">
      <w:pPr>
        <w:jc w:val="both"/>
      </w:pPr>
    </w:p>
    <w:p w14:paraId="2E241D1F" w14:textId="6C41D815" w:rsidR="0088431B" w:rsidRPr="00057B72" w:rsidRDefault="0088431B" w:rsidP="0088431B">
      <w:pPr>
        <w:jc w:val="both"/>
      </w:pPr>
      <w:r w:rsidRPr="00057B72">
        <w:t xml:space="preserve">Thompson, E.P. </w:t>
      </w:r>
      <w:r w:rsidR="00D65441" w:rsidRPr="00057B72">
        <w:t xml:space="preserve">(1990). </w:t>
      </w:r>
      <w:r w:rsidRPr="00057B72">
        <w:rPr>
          <w:i/>
        </w:rPr>
        <w:t>Whigs and Hunters: the origin of the Black Act</w:t>
      </w:r>
      <w:r w:rsidR="00553876" w:rsidRPr="00057B72">
        <w:t xml:space="preserve">. London: </w:t>
      </w:r>
      <w:r w:rsidRPr="00057B72">
        <w:t>Penguin Books</w:t>
      </w:r>
      <w:r w:rsidR="00553876" w:rsidRPr="00057B72">
        <w:t>.</w:t>
      </w:r>
    </w:p>
    <w:p w14:paraId="3A7DEB54" w14:textId="77777777" w:rsidR="0088431B" w:rsidRPr="00057B72" w:rsidRDefault="0088431B" w:rsidP="0088431B">
      <w:pPr>
        <w:jc w:val="both"/>
      </w:pPr>
    </w:p>
    <w:p w14:paraId="0BB9D0C8" w14:textId="1F7A33C9" w:rsidR="0088431B" w:rsidRPr="00057B72" w:rsidRDefault="0088431B" w:rsidP="0088431B">
      <w:pPr>
        <w:jc w:val="both"/>
      </w:pPr>
      <w:r w:rsidRPr="00057B72">
        <w:rPr>
          <w:lang w:val="en-GB"/>
        </w:rPr>
        <w:t xml:space="preserve">Walliss, J. </w:t>
      </w:r>
      <w:r w:rsidR="001648BB" w:rsidRPr="00057B72">
        <w:rPr>
          <w:lang w:val="en-GB"/>
        </w:rPr>
        <w:t xml:space="preserve">(2015). </w:t>
      </w:r>
      <w:r w:rsidRPr="00057B72">
        <w:t>Crime and Justice in Georgian Cheshire: The Chester Cou</w:t>
      </w:r>
      <w:r w:rsidR="001648BB" w:rsidRPr="00057B72">
        <w:t xml:space="preserve">rt of Great Sessions 1760-1830. </w:t>
      </w:r>
      <w:proofErr w:type="gramStart"/>
      <w:r w:rsidRPr="00057B72">
        <w:rPr>
          <w:i/>
        </w:rPr>
        <w:t>Journal on European History of Law</w:t>
      </w:r>
      <w:r w:rsidRPr="00057B72">
        <w:t xml:space="preserve">, </w:t>
      </w:r>
      <w:r w:rsidR="001648BB" w:rsidRPr="00057B72">
        <w:t xml:space="preserve">6(1), </w:t>
      </w:r>
      <w:r w:rsidRPr="00057B72">
        <w:t>38-55</w:t>
      </w:r>
      <w:r w:rsidR="001648BB" w:rsidRPr="00057B72">
        <w:t>.</w:t>
      </w:r>
      <w:proofErr w:type="gramEnd"/>
    </w:p>
    <w:p w14:paraId="728B4545" w14:textId="77777777" w:rsidR="0088431B" w:rsidRPr="00057B72" w:rsidRDefault="0088431B" w:rsidP="0088431B">
      <w:pPr>
        <w:jc w:val="both"/>
        <w:rPr>
          <w:lang w:val="en-GB"/>
        </w:rPr>
      </w:pPr>
    </w:p>
    <w:p w14:paraId="63ED663E" w14:textId="18627556" w:rsidR="0088431B" w:rsidRPr="00057B72" w:rsidRDefault="0088431B" w:rsidP="0088431B">
      <w:pPr>
        <w:jc w:val="both"/>
        <w:rPr>
          <w:lang w:val="en-GB"/>
        </w:rPr>
      </w:pPr>
      <w:proofErr w:type="gramStart"/>
      <w:r w:rsidRPr="00057B72">
        <w:rPr>
          <w:lang w:val="en-GB"/>
        </w:rPr>
        <w:t xml:space="preserve">_____ </w:t>
      </w:r>
      <w:r w:rsidR="00D65441" w:rsidRPr="00057B72">
        <w:rPr>
          <w:lang w:val="en-GB"/>
        </w:rPr>
        <w:t>(2018).</w:t>
      </w:r>
      <w:proofErr w:type="gramEnd"/>
      <w:r w:rsidR="00D65441" w:rsidRPr="00057B72">
        <w:rPr>
          <w:lang w:val="en-GB"/>
        </w:rPr>
        <w:t xml:space="preserve"> </w:t>
      </w:r>
      <w:proofErr w:type="gramStart"/>
      <w:r w:rsidRPr="00057B72">
        <w:rPr>
          <w:i/>
          <w:lang w:val="en-GB"/>
        </w:rPr>
        <w:t>The Bloody Code in England and Wales, 1760-1830</w:t>
      </w:r>
      <w:r w:rsidR="00553876" w:rsidRPr="00057B72">
        <w:rPr>
          <w:lang w:val="en-GB"/>
        </w:rPr>
        <w:t>.</w:t>
      </w:r>
      <w:proofErr w:type="gramEnd"/>
      <w:r w:rsidR="00553876" w:rsidRPr="00057B72">
        <w:rPr>
          <w:lang w:val="en-GB"/>
        </w:rPr>
        <w:t xml:space="preserve"> Basingstoke: </w:t>
      </w:r>
      <w:r w:rsidRPr="00057B72">
        <w:rPr>
          <w:lang w:val="en-GB"/>
        </w:rPr>
        <w:t>Palgrave</w:t>
      </w:r>
      <w:r w:rsidR="00553876" w:rsidRPr="00057B72">
        <w:rPr>
          <w:lang w:val="en-GB"/>
        </w:rPr>
        <w:t>.</w:t>
      </w:r>
    </w:p>
    <w:p w14:paraId="2578543B" w14:textId="77777777" w:rsidR="0088431B" w:rsidRPr="00057B72" w:rsidRDefault="0088431B" w:rsidP="0088431B">
      <w:pPr>
        <w:jc w:val="both"/>
      </w:pPr>
    </w:p>
    <w:p w14:paraId="43B2DC24" w14:textId="62582395" w:rsidR="00EF38CC" w:rsidRPr="00057B72" w:rsidRDefault="001648BB" w:rsidP="0088431B">
      <w:pPr>
        <w:jc w:val="both"/>
        <w:rPr>
          <w:bCs/>
          <w:lang w:val="en-GB"/>
        </w:rPr>
      </w:pPr>
      <w:r w:rsidRPr="00057B72">
        <w:t xml:space="preserve">Ward, R. &amp; Williams, L. (2016). </w:t>
      </w:r>
      <w:r w:rsidR="00EF38CC" w:rsidRPr="00057B72">
        <w:rPr>
          <w:bCs/>
          <w:lang w:val="en-GB"/>
        </w:rPr>
        <w:t>Initial views from the </w:t>
      </w:r>
      <w:r w:rsidR="00EF38CC" w:rsidRPr="00057B72">
        <w:rPr>
          <w:bCs/>
          <w:i/>
          <w:iCs/>
          <w:lang w:val="en-GB"/>
        </w:rPr>
        <w:t xml:space="preserve">Digital </w:t>
      </w:r>
      <w:proofErr w:type="spellStart"/>
      <w:r w:rsidR="00EF38CC" w:rsidRPr="00057B72">
        <w:rPr>
          <w:bCs/>
          <w:i/>
          <w:iCs/>
          <w:lang w:val="en-GB"/>
        </w:rPr>
        <w:t>Panopticon</w:t>
      </w:r>
      <w:proofErr w:type="spellEnd"/>
      <w:r w:rsidR="00EF38CC" w:rsidRPr="00057B72">
        <w:rPr>
          <w:bCs/>
          <w:lang w:val="en-GB"/>
        </w:rPr>
        <w:t>: Reconstructi</w:t>
      </w:r>
      <w:r w:rsidRPr="00057B72">
        <w:rPr>
          <w:bCs/>
          <w:lang w:val="en-GB"/>
        </w:rPr>
        <w:t xml:space="preserve">ng Penal Outcomes in the 1790s. </w:t>
      </w:r>
      <w:r w:rsidR="00EF38CC" w:rsidRPr="00057B72">
        <w:rPr>
          <w:bCs/>
          <w:i/>
          <w:lang w:val="en-GB"/>
        </w:rPr>
        <w:t>Law and History Review</w:t>
      </w:r>
      <w:r w:rsidRPr="00057B72">
        <w:rPr>
          <w:bCs/>
          <w:lang w:val="en-GB"/>
        </w:rPr>
        <w:t xml:space="preserve">, </w:t>
      </w:r>
      <w:r w:rsidR="00EF38CC" w:rsidRPr="00057B72">
        <w:rPr>
          <w:bCs/>
          <w:lang w:val="en-GB"/>
        </w:rPr>
        <w:t>34</w:t>
      </w:r>
      <w:r w:rsidRPr="00057B72">
        <w:rPr>
          <w:bCs/>
          <w:lang w:val="en-GB"/>
        </w:rPr>
        <w:t xml:space="preserve">(4), </w:t>
      </w:r>
      <w:r w:rsidR="00EF38CC" w:rsidRPr="00057B72">
        <w:rPr>
          <w:bCs/>
          <w:lang w:val="en-GB"/>
        </w:rPr>
        <w:t>893-928.</w:t>
      </w:r>
    </w:p>
    <w:p w14:paraId="42BB09F8" w14:textId="77777777" w:rsidR="00EF38CC" w:rsidRPr="00057B72" w:rsidRDefault="00EF38CC" w:rsidP="0088431B">
      <w:pPr>
        <w:jc w:val="both"/>
      </w:pPr>
    </w:p>
    <w:p w14:paraId="14443101" w14:textId="5FCCE1E8" w:rsidR="0088431B" w:rsidRPr="00057B72" w:rsidRDefault="0088431B" w:rsidP="0088431B">
      <w:pPr>
        <w:jc w:val="both"/>
      </w:pPr>
      <w:r w:rsidRPr="00057B72">
        <w:t xml:space="preserve">Wrigley, T. </w:t>
      </w:r>
      <w:r w:rsidR="001648BB" w:rsidRPr="00057B72">
        <w:t xml:space="preserve">(2007). </w:t>
      </w:r>
      <w:proofErr w:type="gramStart"/>
      <w:r w:rsidRPr="00057B72">
        <w:t>English county populations in the later eighteenth century</w:t>
      </w:r>
      <w:r w:rsidR="001648BB" w:rsidRPr="00057B72">
        <w:t>.</w:t>
      </w:r>
      <w:proofErr w:type="gramEnd"/>
      <w:r w:rsidR="001648BB" w:rsidRPr="00057B72">
        <w:t xml:space="preserve"> </w:t>
      </w:r>
      <w:proofErr w:type="gramStart"/>
      <w:r w:rsidRPr="00057B72">
        <w:rPr>
          <w:i/>
        </w:rPr>
        <w:t>The Economic History Review</w:t>
      </w:r>
      <w:r w:rsidRPr="00057B72">
        <w:t xml:space="preserve">, </w:t>
      </w:r>
      <w:r w:rsidR="001648BB" w:rsidRPr="00057B72">
        <w:t xml:space="preserve">60(1), </w:t>
      </w:r>
      <w:r w:rsidRPr="00057B72">
        <w:t>35-69</w:t>
      </w:r>
      <w:r w:rsidR="001648BB" w:rsidRPr="00057B72">
        <w:t>.</w:t>
      </w:r>
      <w:proofErr w:type="gramEnd"/>
    </w:p>
    <w:p w14:paraId="379A42FB" w14:textId="77777777" w:rsidR="0088431B" w:rsidRPr="00057B72" w:rsidRDefault="0088431B" w:rsidP="00840CC7">
      <w:pPr>
        <w:spacing w:line="360" w:lineRule="auto"/>
        <w:jc w:val="both"/>
      </w:pPr>
    </w:p>
    <w:p w14:paraId="39FD0C31" w14:textId="7E8C6FED" w:rsidR="00F354F4" w:rsidRPr="00057B72" w:rsidRDefault="00F354F4"/>
    <w:p w14:paraId="6F78D660" w14:textId="14CC370C" w:rsidR="00CB6F34" w:rsidRPr="00057B72" w:rsidRDefault="00CB6F34"/>
    <w:p w14:paraId="79687D9B" w14:textId="6014977C" w:rsidR="00CB6F34" w:rsidRPr="00057B72" w:rsidRDefault="00CB6F34"/>
    <w:p w14:paraId="6A59E591" w14:textId="77777777" w:rsidR="001648BB" w:rsidRPr="00057B72" w:rsidRDefault="001648BB">
      <w:pPr>
        <w:rPr>
          <w:b/>
          <w:sz w:val="28"/>
          <w:szCs w:val="28"/>
        </w:rPr>
      </w:pPr>
    </w:p>
    <w:p w14:paraId="459D2434" w14:textId="2627AC3E" w:rsidR="00CB6F34" w:rsidRPr="00057B72" w:rsidRDefault="00CB6F34">
      <w:pPr>
        <w:rPr>
          <w:b/>
          <w:sz w:val="28"/>
          <w:szCs w:val="28"/>
        </w:rPr>
      </w:pPr>
      <w:r w:rsidRPr="00057B72">
        <w:rPr>
          <w:b/>
          <w:sz w:val="28"/>
          <w:szCs w:val="28"/>
        </w:rPr>
        <w:t>Notes</w:t>
      </w:r>
    </w:p>
    <w:sectPr w:rsidR="00CB6F34" w:rsidRPr="00057B72" w:rsidSect="00A07A5B">
      <w:footerReference w:type="default" r:id="rId13"/>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3ADD" w14:textId="77777777" w:rsidR="00A14E0A" w:rsidRDefault="00A14E0A" w:rsidP="00C319B9">
      <w:r>
        <w:separator/>
      </w:r>
    </w:p>
  </w:endnote>
  <w:endnote w:type="continuationSeparator" w:id="0">
    <w:p w14:paraId="7C555708" w14:textId="77777777" w:rsidR="00A14E0A" w:rsidRDefault="00A14E0A" w:rsidP="00C319B9">
      <w:r>
        <w:continuationSeparator/>
      </w:r>
    </w:p>
  </w:endnote>
  <w:endnote w:id="1">
    <w:p w14:paraId="59F34F8E" w14:textId="0EE802CF" w:rsidR="00A14E0A" w:rsidRPr="00C319B9" w:rsidRDefault="00A14E0A" w:rsidP="00C319B9">
      <w:pPr>
        <w:pStyle w:val="EndnoteText"/>
        <w:jc w:val="both"/>
        <w:rPr>
          <w:lang w:val="en-GB"/>
        </w:rPr>
      </w:pPr>
      <w:r>
        <w:rPr>
          <w:rStyle w:val="EndnoteReference"/>
        </w:rPr>
        <w:endnoteRef/>
      </w:r>
      <w:r>
        <w:t xml:space="preserve"> </w:t>
      </w:r>
      <w:r w:rsidRPr="00C319B9">
        <w:t>For a list</w:t>
      </w:r>
      <w:r>
        <w:t xml:space="preserve"> of the capital statutes that comprised the Bloody Code</w:t>
      </w:r>
      <w:r w:rsidRPr="00C319B9">
        <w:t xml:space="preserve">, see </w:t>
      </w:r>
      <w:proofErr w:type="spellStart"/>
      <w:r w:rsidRPr="00C319B9">
        <w:t>Radzinowicz</w:t>
      </w:r>
      <w:proofErr w:type="spellEnd"/>
      <w:r w:rsidR="0086534F">
        <w:t xml:space="preserve"> (1948), </w:t>
      </w:r>
      <w:r w:rsidRPr="00C319B9">
        <w:t>Appendix 1</w:t>
      </w:r>
      <w:r>
        <w:t xml:space="preserve"> </w:t>
      </w:r>
    </w:p>
  </w:endnote>
  <w:endnote w:id="2">
    <w:p w14:paraId="4A39F38E" w14:textId="0246CE4A" w:rsidR="00A14E0A" w:rsidRPr="00260622" w:rsidRDefault="00A14E0A" w:rsidP="00260622">
      <w:pPr>
        <w:pStyle w:val="EndnoteText"/>
        <w:jc w:val="both"/>
        <w:rPr>
          <w:b/>
          <w:bCs/>
          <w:color w:val="FF0000"/>
          <w:lang w:val="en-GB"/>
        </w:rPr>
      </w:pPr>
      <w:r>
        <w:rPr>
          <w:rStyle w:val="EndnoteReference"/>
        </w:rPr>
        <w:endnoteRef/>
      </w:r>
      <w:r>
        <w:t xml:space="preserve"> </w:t>
      </w:r>
      <w:r>
        <w:rPr>
          <w:color w:val="FF0000"/>
        </w:rPr>
        <w:t xml:space="preserve">See also </w:t>
      </w:r>
      <w:r w:rsidR="0086534F">
        <w:rPr>
          <w:color w:val="FF0000"/>
        </w:rPr>
        <w:t xml:space="preserve">Hay (2011b). </w:t>
      </w:r>
      <w:r w:rsidRPr="00260622">
        <w:rPr>
          <w:color w:val="FF0000"/>
        </w:rPr>
        <w:t>For a more recent discussion of the factors that influenced the pardoning process in the late eighteenth century Old Bailey, see</w:t>
      </w:r>
      <w:r>
        <w:rPr>
          <w:color w:val="FF0000"/>
        </w:rPr>
        <w:t xml:space="preserve"> Ward </w:t>
      </w:r>
      <w:r w:rsidR="0086534F">
        <w:rPr>
          <w:color w:val="FF0000"/>
        </w:rPr>
        <w:t xml:space="preserve">&amp; </w:t>
      </w:r>
      <w:r>
        <w:rPr>
          <w:color w:val="FF0000"/>
        </w:rPr>
        <w:t>Williams</w:t>
      </w:r>
      <w:r w:rsidR="0086534F">
        <w:rPr>
          <w:color w:val="FF0000"/>
        </w:rPr>
        <w:t xml:space="preserve"> (2016).</w:t>
      </w:r>
    </w:p>
  </w:endnote>
  <w:endnote w:id="3">
    <w:p w14:paraId="0AC64DF1" w14:textId="57E1F867" w:rsidR="00A14E0A" w:rsidRPr="00C55B0A" w:rsidRDefault="00A14E0A" w:rsidP="00C55B0A">
      <w:pPr>
        <w:pStyle w:val="EndnoteText"/>
        <w:jc w:val="both"/>
        <w:rPr>
          <w:lang w:val="en-GB"/>
        </w:rPr>
      </w:pPr>
      <w:r>
        <w:rPr>
          <w:rStyle w:val="EndnoteReference"/>
        </w:rPr>
        <w:endnoteRef/>
      </w:r>
      <w:r>
        <w:t xml:space="preserve"> </w:t>
      </w:r>
      <w:r w:rsidRPr="00C55B0A">
        <w:t>The 1761 and 1781 population estimates are taken from Wrigley</w:t>
      </w:r>
      <w:r w:rsidR="0086534F">
        <w:t xml:space="preserve"> (2007).</w:t>
      </w:r>
    </w:p>
  </w:endnote>
  <w:endnote w:id="4">
    <w:p w14:paraId="79727ECD" w14:textId="4D10B688" w:rsidR="00A14E0A" w:rsidRPr="00584802" w:rsidRDefault="00A14E0A" w:rsidP="00584802">
      <w:pPr>
        <w:pStyle w:val="EndnoteText"/>
        <w:jc w:val="both"/>
        <w:rPr>
          <w:color w:val="FF0000"/>
          <w:lang w:val="en-GB"/>
        </w:rPr>
      </w:pPr>
      <w:r>
        <w:rPr>
          <w:rStyle w:val="EndnoteReference"/>
        </w:rPr>
        <w:endnoteRef/>
      </w:r>
      <w:r>
        <w:t xml:space="preserve"> </w:t>
      </w:r>
      <w:r w:rsidRPr="00584802">
        <w:rPr>
          <w:color w:val="FF0000"/>
          <w:lang w:val="en-GB"/>
        </w:rPr>
        <w:t xml:space="preserve">However, </w:t>
      </w:r>
      <w:proofErr w:type="spellStart"/>
      <w:r w:rsidRPr="00584802">
        <w:rPr>
          <w:color w:val="FF0000"/>
          <w:lang w:val="en-GB"/>
        </w:rPr>
        <w:t>Dyndor</w:t>
      </w:r>
      <w:proofErr w:type="spellEnd"/>
      <w:r w:rsidRPr="00584802">
        <w:rPr>
          <w:color w:val="FF0000"/>
          <w:lang w:val="en-GB"/>
        </w:rPr>
        <w:t xml:space="preserve"> notes that the majority of the execution reportage in the </w:t>
      </w:r>
      <w:r w:rsidRPr="00584802">
        <w:rPr>
          <w:i/>
          <w:color w:val="FF0000"/>
          <w:lang w:val="en-GB"/>
        </w:rPr>
        <w:t>Northampton Mercury</w:t>
      </w:r>
      <w:r w:rsidRPr="00584802">
        <w:rPr>
          <w:color w:val="FF0000"/>
          <w:lang w:val="en-GB"/>
        </w:rPr>
        <w:t xml:space="preserve"> during this period tended to be brief and formulaic. </w:t>
      </w:r>
    </w:p>
  </w:endnote>
  <w:endnote w:id="5">
    <w:p w14:paraId="1E8EA241" w14:textId="77777777" w:rsidR="0086534F" w:rsidRDefault="00A14E0A" w:rsidP="00AB1764">
      <w:pPr>
        <w:pStyle w:val="EndnoteText"/>
        <w:jc w:val="both"/>
        <w:rPr>
          <w:lang w:val="en-GB"/>
        </w:rPr>
      </w:pPr>
      <w:r>
        <w:rPr>
          <w:rStyle w:val="EndnoteReference"/>
        </w:rPr>
        <w:endnoteRef/>
      </w:r>
      <w:r>
        <w:t xml:space="preserve"> </w:t>
      </w:r>
      <w:r>
        <w:rPr>
          <w:lang w:val="en-GB"/>
        </w:rPr>
        <w:t>Another important factor in how the individual was treated within the contemporary criminal justice process was, of course, the sex of the alleged offender. The more recent historiography of the Bloody Code compliments and adds to the existing historiography in the area of sex differences in the administration of justice during this period – see, for example</w:t>
      </w:r>
      <w:r w:rsidRPr="00367E6E">
        <w:rPr>
          <w:lang w:val="en-GB"/>
        </w:rPr>
        <w:t xml:space="preserve">, </w:t>
      </w:r>
      <w:r w:rsidR="0086534F">
        <w:rPr>
          <w:lang w:val="en-GB"/>
        </w:rPr>
        <w:t xml:space="preserve">Beattie (1975); King (1996, 2009a, 2009b); </w:t>
      </w:r>
      <w:proofErr w:type="spellStart"/>
      <w:r w:rsidRPr="00367E6E">
        <w:rPr>
          <w:lang w:val="en-GB"/>
        </w:rPr>
        <w:t>d’Cruze</w:t>
      </w:r>
      <w:proofErr w:type="spellEnd"/>
      <w:r w:rsidRPr="00367E6E">
        <w:rPr>
          <w:lang w:val="en-GB"/>
        </w:rPr>
        <w:t xml:space="preserve"> &amp; </w:t>
      </w:r>
      <w:r w:rsidR="0086534F">
        <w:rPr>
          <w:lang w:val="en-GB"/>
        </w:rPr>
        <w:t>Jackson (2009).</w:t>
      </w:r>
    </w:p>
    <w:p w14:paraId="76D332FA" w14:textId="7146BB02" w:rsidR="00A14E0A" w:rsidRPr="00367E6E" w:rsidRDefault="00A14E0A" w:rsidP="00AB1764">
      <w:pPr>
        <w:pStyle w:val="EndnoteText"/>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74213"/>
      <w:docPartObj>
        <w:docPartGallery w:val="Page Numbers (Bottom of Page)"/>
        <w:docPartUnique/>
      </w:docPartObj>
    </w:sdtPr>
    <w:sdtEndPr>
      <w:rPr>
        <w:noProof/>
      </w:rPr>
    </w:sdtEndPr>
    <w:sdtContent>
      <w:p w14:paraId="71E78C66" w14:textId="4117DA1D" w:rsidR="00A14E0A" w:rsidRDefault="00A14E0A">
        <w:pPr>
          <w:pStyle w:val="Footer"/>
          <w:jc w:val="right"/>
        </w:pPr>
        <w:r>
          <w:fldChar w:fldCharType="begin"/>
        </w:r>
        <w:r>
          <w:instrText xml:space="preserve"> PAGE   \* MERGEFORMAT </w:instrText>
        </w:r>
        <w:r>
          <w:fldChar w:fldCharType="separate"/>
        </w:r>
        <w:r w:rsidR="00057B72">
          <w:rPr>
            <w:noProof/>
          </w:rPr>
          <w:t>21</w:t>
        </w:r>
        <w:r>
          <w:rPr>
            <w:noProof/>
          </w:rPr>
          <w:fldChar w:fldCharType="end"/>
        </w:r>
      </w:p>
    </w:sdtContent>
  </w:sdt>
  <w:p w14:paraId="7BDD69D4" w14:textId="77777777" w:rsidR="00A14E0A" w:rsidRDefault="00A14E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C525" w14:textId="77777777" w:rsidR="00A14E0A" w:rsidRDefault="00A14E0A" w:rsidP="00C319B9">
      <w:r>
        <w:separator/>
      </w:r>
    </w:p>
  </w:footnote>
  <w:footnote w:type="continuationSeparator" w:id="0">
    <w:p w14:paraId="7256042C" w14:textId="77777777" w:rsidR="00A14E0A" w:rsidRDefault="00A14E0A" w:rsidP="00C3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7"/>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F4"/>
    <w:rsid w:val="000223D7"/>
    <w:rsid w:val="00025AB3"/>
    <w:rsid w:val="00035669"/>
    <w:rsid w:val="00044A5E"/>
    <w:rsid w:val="00057407"/>
    <w:rsid w:val="00057B72"/>
    <w:rsid w:val="00060BDD"/>
    <w:rsid w:val="00064B07"/>
    <w:rsid w:val="00080402"/>
    <w:rsid w:val="0008753A"/>
    <w:rsid w:val="000A5A05"/>
    <w:rsid w:val="000E2DC4"/>
    <w:rsid w:val="000E3D28"/>
    <w:rsid w:val="0010013C"/>
    <w:rsid w:val="00105E50"/>
    <w:rsid w:val="001421CC"/>
    <w:rsid w:val="001648BB"/>
    <w:rsid w:val="0018108E"/>
    <w:rsid w:val="00193CE7"/>
    <w:rsid w:val="001D2BC3"/>
    <w:rsid w:val="001D77D5"/>
    <w:rsid w:val="00203B19"/>
    <w:rsid w:val="0022468D"/>
    <w:rsid w:val="0022662F"/>
    <w:rsid w:val="002339B9"/>
    <w:rsid w:val="00235E3A"/>
    <w:rsid w:val="002410D3"/>
    <w:rsid w:val="00244BD6"/>
    <w:rsid w:val="00255841"/>
    <w:rsid w:val="00260622"/>
    <w:rsid w:val="00260717"/>
    <w:rsid w:val="00265537"/>
    <w:rsid w:val="002A4161"/>
    <w:rsid w:val="002B4663"/>
    <w:rsid w:val="002B7DF1"/>
    <w:rsid w:val="002C200E"/>
    <w:rsid w:val="002D5991"/>
    <w:rsid w:val="003060CE"/>
    <w:rsid w:val="00314D7E"/>
    <w:rsid w:val="0033392D"/>
    <w:rsid w:val="00350786"/>
    <w:rsid w:val="003538C2"/>
    <w:rsid w:val="00356784"/>
    <w:rsid w:val="003574CD"/>
    <w:rsid w:val="0036203C"/>
    <w:rsid w:val="00367E6E"/>
    <w:rsid w:val="00372121"/>
    <w:rsid w:val="00377341"/>
    <w:rsid w:val="003834BE"/>
    <w:rsid w:val="003B7031"/>
    <w:rsid w:val="003C6AEA"/>
    <w:rsid w:val="003D1DED"/>
    <w:rsid w:val="003F3466"/>
    <w:rsid w:val="003F61F8"/>
    <w:rsid w:val="00406372"/>
    <w:rsid w:val="0042702B"/>
    <w:rsid w:val="004314B8"/>
    <w:rsid w:val="004321DF"/>
    <w:rsid w:val="00436AFB"/>
    <w:rsid w:val="00445331"/>
    <w:rsid w:val="0046264C"/>
    <w:rsid w:val="00467EFF"/>
    <w:rsid w:val="00496F34"/>
    <w:rsid w:val="004B13C1"/>
    <w:rsid w:val="004C6FFB"/>
    <w:rsid w:val="004C7E5F"/>
    <w:rsid w:val="004C7F0A"/>
    <w:rsid w:val="004D09B0"/>
    <w:rsid w:val="004D2559"/>
    <w:rsid w:val="004E469B"/>
    <w:rsid w:val="004F016A"/>
    <w:rsid w:val="00500104"/>
    <w:rsid w:val="00500314"/>
    <w:rsid w:val="005036AB"/>
    <w:rsid w:val="00504509"/>
    <w:rsid w:val="00512AF9"/>
    <w:rsid w:val="0053330F"/>
    <w:rsid w:val="0054313E"/>
    <w:rsid w:val="00545CA2"/>
    <w:rsid w:val="00553876"/>
    <w:rsid w:val="00554C08"/>
    <w:rsid w:val="00565243"/>
    <w:rsid w:val="005741AD"/>
    <w:rsid w:val="00576133"/>
    <w:rsid w:val="00584802"/>
    <w:rsid w:val="0058678B"/>
    <w:rsid w:val="00591689"/>
    <w:rsid w:val="005B6727"/>
    <w:rsid w:val="005C3D51"/>
    <w:rsid w:val="005E049D"/>
    <w:rsid w:val="00604FED"/>
    <w:rsid w:val="00607424"/>
    <w:rsid w:val="00610063"/>
    <w:rsid w:val="00631160"/>
    <w:rsid w:val="00631433"/>
    <w:rsid w:val="0063455D"/>
    <w:rsid w:val="0066265C"/>
    <w:rsid w:val="00674547"/>
    <w:rsid w:val="006862F4"/>
    <w:rsid w:val="006912B4"/>
    <w:rsid w:val="006B0163"/>
    <w:rsid w:val="006E3C41"/>
    <w:rsid w:val="006F2353"/>
    <w:rsid w:val="006F79D6"/>
    <w:rsid w:val="00730993"/>
    <w:rsid w:val="00732CF8"/>
    <w:rsid w:val="00734609"/>
    <w:rsid w:val="0074064F"/>
    <w:rsid w:val="0075468B"/>
    <w:rsid w:val="00754D9A"/>
    <w:rsid w:val="007619CD"/>
    <w:rsid w:val="00771678"/>
    <w:rsid w:val="00792365"/>
    <w:rsid w:val="00794110"/>
    <w:rsid w:val="007A063A"/>
    <w:rsid w:val="007A2329"/>
    <w:rsid w:val="007A6D06"/>
    <w:rsid w:val="007B1FAB"/>
    <w:rsid w:val="007B2529"/>
    <w:rsid w:val="007B5070"/>
    <w:rsid w:val="008023A8"/>
    <w:rsid w:val="00807477"/>
    <w:rsid w:val="00812169"/>
    <w:rsid w:val="00813743"/>
    <w:rsid w:val="008213C5"/>
    <w:rsid w:val="00822000"/>
    <w:rsid w:val="00840CC7"/>
    <w:rsid w:val="008413F6"/>
    <w:rsid w:val="00850F8B"/>
    <w:rsid w:val="00851EFB"/>
    <w:rsid w:val="00863241"/>
    <w:rsid w:val="0086534F"/>
    <w:rsid w:val="00865A19"/>
    <w:rsid w:val="00870292"/>
    <w:rsid w:val="00873718"/>
    <w:rsid w:val="0088431B"/>
    <w:rsid w:val="008910EA"/>
    <w:rsid w:val="008A38C3"/>
    <w:rsid w:val="008B5796"/>
    <w:rsid w:val="008C390A"/>
    <w:rsid w:val="008C3AA4"/>
    <w:rsid w:val="008D0C90"/>
    <w:rsid w:val="008D7C1E"/>
    <w:rsid w:val="008E2B23"/>
    <w:rsid w:val="008F3983"/>
    <w:rsid w:val="00903D68"/>
    <w:rsid w:val="0092780E"/>
    <w:rsid w:val="00935952"/>
    <w:rsid w:val="009418A4"/>
    <w:rsid w:val="009457CE"/>
    <w:rsid w:val="00947E73"/>
    <w:rsid w:val="0099415C"/>
    <w:rsid w:val="0099561D"/>
    <w:rsid w:val="009A488D"/>
    <w:rsid w:val="009D0FF0"/>
    <w:rsid w:val="009D2E04"/>
    <w:rsid w:val="009D31F1"/>
    <w:rsid w:val="009E2C12"/>
    <w:rsid w:val="00A02021"/>
    <w:rsid w:val="00A07A5B"/>
    <w:rsid w:val="00A14E0A"/>
    <w:rsid w:val="00A20043"/>
    <w:rsid w:val="00A32560"/>
    <w:rsid w:val="00A37F7B"/>
    <w:rsid w:val="00A53EEB"/>
    <w:rsid w:val="00A64B0A"/>
    <w:rsid w:val="00A75361"/>
    <w:rsid w:val="00A91E4A"/>
    <w:rsid w:val="00A96B8A"/>
    <w:rsid w:val="00AA07AC"/>
    <w:rsid w:val="00AA6491"/>
    <w:rsid w:val="00AA6FB0"/>
    <w:rsid w:val="00AB0B9F"/>
    <w:rsid w:val="00AB1764"/>
    <w:rsid w:val="00AC0E8E"/>
    <w:rsid w:val="00AC5C73"/>
    <w:rsid w:val="00AD3457"/>
    <w:rsid w:val="00AD452A"/>
    <w:rsid w:val="00AE5C9A"/>
    <w:rsid w:val="00B0687B"/>
    <w:rsid w:val="00B257C5"/>
    <w:rsid w:val="00B363E5"/>
    <w:rsid w:val="00B36A5D"/>
    <w:rsid w:val="00B60F46"/>
    <w:rsid w:val="00B63F3D"/>
    <w:rsid w:val="00B7119C"/>
    <w:rsid w:val="00B82316"/>
    <w:rsid w:val="00B8565A"/>
    <w:rsid w:val="00BD70BC"/>
    <w:rsid w:val="00BE7469"/>
    <w:rsid w:val="00BF131D"/>
    <w:rsid w:val="00C0320F"/>
    <w:rsid w:val="00C14762"/>
    <w:rsid w:val="00C22C02"/>
    <w:rsid w:val="00C319B9"/>
    <w:rsid w:val="00C3265E"/>
    <w:rsid w:val="00C33198"/>
    <w:rsid w:val="00C500C1"/>
    <w:rsid w:val="00C51230"/>
    <w:rsid w:val="00C540AB"/>
    <w:rsid w:val="00C55B0A"/>
    <w:rsid w:val="00C6463D"/>
    <w:rsid w:val="00C84362"/>
    <w:rsid w:val="00C96517"/>
    <w:rsid w:val="00CA4E40"/>
    <w:rsid w:val="00CB6F34"/>
    <w:rsid w:val="00D07F13"/>
    <w:rsid w:val="00D10B52"/>
    <w:rsid w:val="00D124CF"/>
    <w:rsid w:val="00D13FC0"/>
    <w:rsid w:val="00D15882"/>
    <w:rsid w:val="00D21369"/>
    <w:rsid w:val="00D35E4B"/>
    <w:rsid w:val="00D41A74"/>
    <w:rsid w:val="00D50420"/>
    <w:rsid w:val="00D52D47"/>
    <w:rsid w:val="00D56F45"/>
    <w:rsid w:val="00D628B0"/>
    <w:rsid w:val="00D65441"/>
    <w:rsid w:val="00D661C5"/>
    <w:rsid w:val="00D67708"/>
    <w:rsid w:val="00D7011D"/>
    <w:rsid w:val="00D72BA9"/>
    <w:rsid w:val="00D74006"/>
    <w:rsid w:val="00D83319"/>
    <w:rsid w:val="00D85897"/>
    <w:rsid w:val="00D86978"/>
    <w:rsid w:val="00D96D2E"/>
    <w:rsid w:val="00DB151F"/>
    <w:rsid w:val="00DC4B96"/>
    <w:rsid w:val="00DC50FD"/>
    <w:rsid w:val="00DE326A"/>
    <w:rsid w:val="00DF58FD"/>
    <w:rsid w:val="00E048F6"/>
    <w:rsid w:val="00E06E1F"/>
    <w:rsid w:val="00E13B31"/>
    <w:rsid w:val="00E13C19"/>
    <w:rsid w:val="00E278B4"/>
    <w:rsid w:val="00E42B03"/>
    <w:rsid w:val="00E70B90"/>
    <w:rsid w:val="00EA3485"/>
    <w:rsid w:val="00EA4692"/>
    <w:rsid w:val="00EB0B88"/>
    <w:rsid w:val="00EB69D4"/>
    <w:rsid w:val="00EF38CC"/>
    <w:rsid w:val="00EF4138"/>
    <w:rsid w:val="00EF5286"/>
    <w:rsid w:val="00EF5A82"/>
    <w:rsid w:val="00F07596"/>
    <w:rsid w:val="00F2312E"/>
    <w:rsid w:val="00F24355"/>
    <w:rsid w:val="00F354F4"/>
    <w:rsid w:val="00F365E1"/>
    <w:rsid w:val="00F47551"/>
    <w:rsid w:val="00F50A7F"/>
    <w:rsid w:val="00F63E33"/>
    <w:rsid w:val="00F64595"/>
    <w:rsid w:val="00F67233"/>
    <w:rsid w:val="00FA411E"/>
    <w:rsid w:val="00FB5905"/>
    <w:rsid w:val="00FC4DF5"/>
    <w:rsid w:val="00FC7B18"/>
    <w:rsid w:val="00FD02ED"/>
    <w:rsid w:val="00FD15A3"/>
    <w:rsid w:val="00FE7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11B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3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24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4F4"/>
    <w:rPr>
      <w:rFonts w:ascii="Lucida Grande" w:hAnsi="Lucida Grande" w:cs="Lucida Grande"/>
      <w:sz w:val="18"/>
      <w:szCs w:val="18"/>
    </w:rPr>
  </w:style>
  <w:style w:type="table" w:styleId="TableGrid">
    <w:name w:val="Table Grid"/>
    <w:basedOn w:val="TableNormal"/>
    <w:uiPriority w:val="59"/>
    <w:rsid w:val="00740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C319B9"/>
    <w:rPr>
      <w:sz w:val="20"/>
      <w:szCs w:val="20"/>
    </w:rPr>
  </w:style>
  <w:style w:type="character" w:customStyle="1" w:styleId="EndnoteTextChar">
    <w:name w:val="Endnote Text Char"/>
    <w:basedOn w:val="DefaultParagraphFont"/>
    <w:link w:val="EndnoteText"/>
    <w:uiPriority w:val="99"/>
    <w:rsid w:val="00C319B9"/>
    <w:rPr>
      <w:sz w:val="20"/>
      <w:szCs w:val="20"/>
    </w:rPr>
  </w:style>
  <w:style w:type="character" w:styleId="EndnoteReference">
    <w:name w:val="endnote reference"/>
    <w:basedOn w:val="DefaultParagraphFont"/>
    <w:uiPriority w:val="99"/>
    <w:unhideWhenUsed/>
    <w:rsid w:val="00C319B9"/>
    <w:rPr>
      <w:vertAlign w:val="superscript"/>
    </w:rPr>
  </w:style>
  <w:style w:type="paragraph" w:styleId="FootnoteText">
    <w:name w:val="footnote text"/>
    <w:basedOn w:val="Normal"/>
    <w:link w:val="FootnoteTextChar"/>
    <w:uiPriority w:val="99"/>
    <w:unhideWhenUsed/>
    <w:rsid w:val="007A6D06"/>
  </w:style>
  <w:style w:type="character" w:customStyle="1" w:styleId="FootnoteTextChar">
    <w:name w:val="Footnote Text Char"/>
    <w:basedOn w:val="DefaultParagraphFont"/>
    <w:link w:val="FootnoteText"/>
    <w:uiPriority w:val="99"/>
    <w:rsid w:val="007A6D06"/>
  </w:style>
  <w:style w:type="character" w:styleId="FootnoteReference">
    <w:name w:val="footnote reference"/>
    <w:basedOn w:val="DefaultParagraphFont"/>
    <w:uiPriority w:val="99"/>
    <w:unhideWhenUsed/>
    <w:rsid w:val="007A6D06"/>
    <w:rPr>
      <w:vertAlign w:val="superscript"/>
    </w:rPr>
  </w:style>
  <w:style w:type="paragraph" w:styleId="Header">
    <w:name w:val="header"/>
    <w:basedOn w:val="Normal"/>
    <w:link w:val="HeaderChar"/>
    <w:uiPriority w:val="99"/>
    <w:unhideWhenUsed/>
    <w:rsid w:val="00730993"/>
    <w:pPr>
      <w:tabs>
        <w:tab w:val="center" w:pos="4513"/>
        <w:tab w:val="right" w:pos="9026"/>
      </w:tabs>
    </w:pPr>
  </w:style>
  <w:style w:type="character" w:customStyle="1" w:styleId="HeaderChar">
    <w:name w:val="Header Char"/>
    <w:basedOn w:val="DefaultParagraphFont"/>
    <w:link w:val="Header"/>
    <w:uiPriority w:val="99"/>
    <w:rsid w:val="00730993"/>
  </w:style>
  <w:style w:type="paragraph" w:styleId="Footer">
    <w:name w:val="footer"/>
    <w:basedOn w:val="Normal"/>
    <w:link w:val="FooterChar"/>
    <w:uiPriority w:val="99"/>
    <w:unhideWhenUsed/>
    <w:rsid w:val="00730993"/>
    <w:pPr>
      <w:tabs>
        <w:tab w:val="center" w:pos="4513"/>
        <w:tab w:val="right" w:pos="9026"/>
      </w:tabs>
    </w:pPr>
  </w:style>
  <w:style w:type="character" w:customStyle="1" w:styleId="FooterChar">
    <w:name w:val="Footer Char"/>
    <w:basedOn w:val="DefaultParagraphFont"/>
    <w:link w:val="Footer"/>
    <w:uiPriority w:val="99"/>
    <w:rsid w:val="00730993"/>
  </w:style>
  <w:style w:type="character" w:styleId="Hyperlink">
    <w:name w:val="Hyperlink"/>
    <w:basedOn w:val="DefaultParagraphFont"/>
    <w:uiPriority w:val="99"/>
    <w:unhideWhenUsed/>
    <w:rsid w:val="00EA3485"/>
    <w:rPr>
      <w:color w:val="0000FF" w:themeColor="hyperlink"/>
      <w:u w:val="single"/>
    </w:rPr>
  </w:style>
  <w:style w:type="character" w:customStyle="1" w:styleId="Heading1Char">
    <w:name w:val="Heading 1 Char"/>
    <w:basedOn w:val="DefaultParagraphFont"/>
    <w:link w:val="Heading1"/>
    <w:uiPriority w:val="9"/>
    <w:rsid w:val="008843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2468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2468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431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224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4F4"/>
    <w:rPr>
      <w:rFonts w:ascii="Lucida Grande" w:hAnsi="Lucida Grande" w:cs="Lucida Grande"/>
      <w:sz w:val="18"/>
      <w:szCs w:val="18"/>
    </w:rPr>
  </w:style>
  <w:style w:type="table" w:styleId="TableGrid">
    <w:name w:val="Table Grid"/>
    <w:basedOn w:val="TableNormal"/>
    <w:uiPriority w:val="59"/>
    <w:rsid w:val="00740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C319B9"/>
    <w:rPr>
      <w:sz w:val="20"/>
      <w:szCs w:val="20"/>
    </w:rPr>
  </w:style>
  <w:style w:type="character" w:customStyle="1" w:styleId="EndnoteTextChar">
    <w:name w:val="Endnote Text Char"/>
    <w:basedOn w:val="DefaultParagraphFont"/>
    <w:link w:val="EndnoteText"/>
    <w:uiPriority w:val="99"/>
    <w:rsid w:val="00C319B9"/>
    <w:rPr>
      <w:sz w:val="20"/>
      <w:szCs w:val="20"/>
    </w:rPr>
  </w:style>
  <w:style w:type="character" w:styleId="EndnoteReference">
    <w:name w:val="endnote reference"/>
    <w:basedOn w:val="DefaultParagraphFont"/>
    <w:uiPriority w:val="99"/>
    <w:unhideWhenUsed/>
    <w:rsid w:val="00C319B9"/>
    <w:rPr>
      <w:vertAlign w:val="superscript"/>
    </w:rPr>
  </w:style>
  <w:style w:type="paragraph" w:styleId="FootnoteText">
    <w:name w:val="footnote text"/>
    <w:basedOn w:val="Normal"/>
    <w:link w:val="FootnoteTextChar"/>
    <w:uiPriority w:val="99"/>
    <w:unhideWhenUsed/>
    <w:rsid w:val="007A6D06"/>
  </w:style>
  <w:style w:type="character" w:customStyle="1" w:styleId="FootnoteTextChar">
    <w:name w:val="Footnote Text Char"/>
    <w:basedOn w:val="DefaultParagraphFont"/>
    <w:link w:val="FootnoteText"/>
    <w:uiPriority w:val="99"/>
    <w:rsid w:val="007A6D06"/>
  </w:style>
  <w:style w:type="character" w:styleId="FootnoteReference">
    <w:name w:val="footnote reference"/>
    <w:basedOn w:val="DefaultParagraphFont"/>
    <w:uiPriority w:val="99"/>
    <w:unhideWhenUsed/>
    <w:rsid w:val="007A6D06"/>
    <w:rPr>
      <w:vertAlign w:val="superscript"/>
    </w:rPr>
  </w:style>
  <w:style w:type="paragraph" w:styleId="Header">
    <w:name w:val="header"/>
    <w:basedOn w:val="Normal"/>
    <w:link w:val="HeaderChar"/>
    <w:uiPriority w:val="99"/>
    <w:unhideWhenUsed/>
    <w:rsid w:val="00730993"/>
    <w:pPr>
      <w:tabs>
        <w:tab w:val="center" w:pos="4513"/>
        <w:tab w:val="right" w:pos="9026"/>
      </w:tabs>
    </w:pPr>
  </w:style>
  <w:style w:type="character" w:customStyle="1" w:styleId="HeaderChar">
    <w:name w:val="Header Char"/>
    <w:basedOn w:val="DefaultParagraphFont"/>
    <w:link w:val="Header"/>
    <w:uiPriority w:val="99"/>
    <w:rsid w:val="00730993"/>
  </w:style>
  <w:style w:type="paragraph" w:styleId="Footer">
    <w:name w:val="footer"/>
    <w:basedOn w:val="Normal"/>
    <w:link w:val="FooterChar"/>
    <w:uiPriority w:val="99"/>
    <w:unhideWhenUsed/>
    <w:rsid w:val="00730993"/>
    <w:pPr>
      <w:tabs>
        <w:tab w:val="center" w:pos="4513"/>
        <w:tab w:val="right" w:pos="9026"/>
      </w:tabs>
    </w:pPr>
  </w:style>
  <w:style w:type="character" w:customStyle="1" w:styleId="FooterChar">
    <w:name w:val="Footer Char"/>
    <w:basedOn w:val="DefaultParagraphFont"/>
    <w:link w:val="Footer"/>
    <w:uiPriority w:val="99"/>
    <w:rsid w:val="00730993"/>
  </w:style>
  <w:style w:type="character" w:styleId="Hyperlink">
    <w:name w:val="Hyperlink"/>
    <w:basedOn w:val="DefaultParagraphFont"/>
    <w:uiPriority w:val="99"/>
    <w:unhideWhenUsed/>
    <w:rsid w:val="00EA3485"/>
    <w:rPr>
      <w:color w:val="0000FF" w:themeColor="hyperlink"/>
      <w:u w:val="single"/>
    </w:rPr>
  </w:style>
  <w:style w:type="character" w:customStyle="1" w:styleId="Heading1Char">
    <w:name w:val="Heading 1 Char"/>
    <w:basedOn w:val="DefaultParagraphFont"/>
    <w:link w:val="Heading1"/>
    <w:uiPriority w:val="9"/>
    <w:rsid w:val="0088431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22468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24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5508">
      <w:bodyDiv w:val="1"/>
      <w:marLeft w:val="0"/>
      <w:marRight w:val="0"/>
      <w:marTop w:val="0"/>
      <w:marBottom w:val="0"/>
      <w:divBdr>
        <w:top w:val="none" w:sz="0" w:space="0" w:color="auto"/>
        <w:left w:val="none" w:sz="0" w:space="0" w:color="auto"/>
        <w:bottom w:val="none" w:sz="0" w:space="0" w:color="auto"/>
        <w:right w:val="none" w:sz="0" w:space="0" w:color="auto"/>
      </w:divBdr>
    </w:div>
    <w:div w:id="142358056">
      <w:bodyDiv w:val="1"/>
      <w:marLeft w:val="0"/>
      <w:marRight w:val="0"/>
      <w:marTop w:val="0"/>
      <w:marBottom w:val="0"/>
      <w:divBdr>
        <w:top w:val="none" w:sz="0" w:space="0" w:color="auto"/>
        <w:left w:val="none" w:sz="0" w:space="0" w:color="auto"/>
        <w:bottom w:val="none" w:sz="0" w:space="0" w:color="auto"/>
        <w:right w:val="none" w:sz="0" w:space="0" w:color="auto"/>
      </w:divBdr>
    </w:div>
    <w:div w:id="1080906788">
      <w:bodyDiv w:val="1"/>
      <w:marLeft w:val="0"/>
      <w:marRight w:val="0"/>
      <w:marTop w:val="0"/>
      <w:marBottom w:val="0"/>
      <w:divBdr>
        <w:top w:val="none" w:sz="0" w:space="0" w:color="auto"/>
        <w:left w:val="none" w:sz="0" w:space="0" w:color="auto"/>
        <w:bottom w:val="none" w:sz="0" w:space="0" w:color="auto"/>
        <w:right w:val="none" w:sz="0" w:space="0" w:color="auto"/>
      </w:divBdr>
    </w:div>
    <w:div w:id="1249541095">
      <w:bodyDiv w:val="1"/>
      <w:marLeft w:val="0"/>
      <w:marRight w:val="0"/>
      <w:marTop w:val="0"/>
      <w:marBottom w:val="0"/>
      <w:divBdr>
        <w:top w:val="none" w:sz="0" w:space="0" w:color="auto"/>
        <w:left w:val="none" w:sz="0" w:space="0" w:color="auto"/>
        <w:bottom w:val="none" w:sz="0" w:space="0" w:color="auto"/>
        <w:right w:val="none" w:sz="0" w:space="0" w:color="auto"/>
      </w:divBdr>
    </w:div>
    <w:div w:id="1483305548">
      <w:bodyDiv w:val="1"/>
      <w:marLeft w:val="0"/>
      <w:marRight w:val="0"/>
      <w:marTop w:val="0"/>
      <w:marBottom w:val="0"/>
      <w:divBdr>
        <w:top w:val="none" w:sz="0" w:space="0" w:color="auto"/>
        <w:left w:val="none" w:sz="0" w:space="0" w:color="auto"/>
        <w:bottom w:val="none" w:sz="0" w:space="0" w:color="auto"/>
        <w:right w:val="none" w:sz="0" w:space="0" w:color="auto"/>
      </w:divBdr>
    </w:div>
    <w:div w:id="1500541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Sheet1!$B$2:$B$15</c:f>
              <c:numCache>
                <c:formatCode>General</c:formatCode>
                <c:ptCount val="14"/>
                <c:pt idx="0">
                  <c:v>302.0</c:v>
                </c:pt>
                <c:pt idx="1">
                  <c:v>329.0</c:v>
                </c:pt>
                <c:pt idx="2">
                  <c:v>412.0</c:v>
                </c:pt>
                <c:pt idx="3">
                  <c:v>390.0</c:v>
                </c:pt>
                <c:pt idx="4">
                  <c:v>654.0</c:v>
                </c:pt>
                <c:pt idx="5">
                  <c:v>993.0</c:v>
                </c:pt>
                <c:pt idx="6">
                  <c:v>454.0</c:v>
                </c:pt>
                <c:pt idx="7">
                  <c:v>397.0</c:v>
                </c:pt>
                <c:pt idx="8">
                  <c:v>572.0</c:v>
                </c:pt>
                <c:pt idx="9">
                  <c:v>284.0</c:v>
                </c:pt>
                <c:pt idx="10">
                  <c:v>379.0</c:v>
                </c:pt>
                <c:pt idx="11">
                  <c:v>466.0</c:v>
                </c:pt>
                <c:pt idx="12">
                  <c:v>423.0</c:v>
                </c:pt>
                <c:pt idx="13">
                  <c:v>311.0</c:v>
                </c:pt>
              </c:numCache>
            </c:numRef>
          </c:val>
          <c:smooth val="0"/>
          <c:extLst xmlns:c16r2="http://schemas.microsoft.com/office/drawing/2015/06/chart">
            <c:ext xmlns:c16="http://schemas.microsoft.com/office/drawing/2014/chart" uri="{C3380CC4-5D6E-409C-BE32-E72D297353CC}">
              <c16:uniqueId val="{00000000-C5DD-473D-B48D-5D9D1F9B92DC}"/>
            </c:ext>
          </c:extLst>
        </c:ser>
        <c:dLbls>
          <c:showLegendKey val="0"/>
          <c:showVal val="0"/>
          <c:showCatName val="0"/>
          <c:showSerName val="0"/>
          <c:showPercent val="0"/>
          <c:showBubbleSize val="0"/>
        </c:dLbls>
        <c:marker val="1"/>
        <c:smooth val="0"/>
        <c:axId val="-2132735352"/>
        <c:axId val="-2134769928"/>
      </c:lineChart>
      <c:catAx>
        <c:axId val="-2132735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4769928"/>
        <c:crosses val="autoZero"/>
        <c:auto val="1"/>
        <c:lblAlgn val="ctr"/>
        <c:lblOffset val="100"/>
        <c:noMultiLvlLbl val="0"/>
      </c:catAx>
      <c:valAx>
        <c:axId val="-2134769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735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c:v>
                </c:pt>
              </c:strCache>
            </c:strRef>
          </c:tx>
          <c:spPr>
            <a:ln w="31750">
              <a:prstDash val="sysDash"/>
            </a:ln>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Sheet1!$B$2:$B$15</c:f>
              <c:numCache>
                <c:formatCode>General</c:formatCode>
                <c:ptCount val="14"/>
                <c:pt idx="0">
                  <c:v>60.0</c:v>
                </c:pt>
                <c:pt idx="1">
                  <c:v>46.0</c:v>
                </c:pt>
                <c:pt idx="2">
                  <c:v>44.0</c:v>
                </c:pt>
                <c:pt idx="3">
                  <c:v>44.0</c:v>
                </c:pt>
                <c:pt idx="4">
                  <c:v>41.0</c:v>
                </c:pt>
                <c:pt idx="5">
                  <c:v>44.0</c:v>
                </c:pt>
                <c:pt idx="6">
                  <c:v>26.0</c:v>
                </c:pt>
                <c:pt idx="7">
                  <c:v>25.0</c:v>
                </c:pt>
                <c:pt idx="8">
                  <c:v>13.0</c:v>
                </c:pt>
                <c:pt idx="9">
                  <c:v>13.0</c:v>
                </c:pt>
                <c:pt idx="10">
                  <c:v>12.0</c:v>
                </c:pt>
                <c:pt idx="11">
                  <c:v>9.0</c:v>
                </c:pt>
                <c:pt idx="12">
                  <c:v>15.0</c:v>
                </c:pt>
                <c:pt idx="13">
                  <c:v>11.0</c:v>
                </c:pt>
              </c:numCache>
            </c:numRef>
          </c:val>
          <c:smooth val="0"/>
          <c:extLst xmlns:c16r2="http://schemas.microsoft.com/office/drawing/2015/06/chart">
            <c:ext xmlns:c16="http://schemas.microsoft.com/office/drawing/2014/chart" uri="{C3380CC4-5D6E-409C-BE32-E72D297353CC}">
              <c16:uniqueId val="{00000000-2E74-4BDD-8EC5-6B46F624D3C3}"/>
            </c:ext>
          </c:extLst>
        </c:ser>
        <c:ser>
          <c:idx val="1"/>
          <c:order val="1"/>
          <c:tx>
            <c:strRef>
              <c:f>Sheet1!$C$1</c:f>
              <c:strCache>
                <c:ptCount val="1"/>
                <c:pt idx="0">
                  <c:v>No</c:v>
                </c:pt>
              </c:strCache>
            </c:strRef>
          </c:tx>
          <c:spPr>
            <a:ln w="31750"/>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Sheet1!$C$2:$C$15</c:f>
              <c:numCache>
                <c:formatCode>General</c:formatCode>
                <c:ptCount val="14"/>
                <c:pt idx="0">
                  <c:v>90.0</c:v>
                </c:pt>
                <c:pt idx="1">
                  <c:v>104.0</c:v>
                </c:pt>
                <c:pt idx="2">
                  <c:v>175.0</c:v>
                </c:pt>
                <c:pt idx="3">
                  <c:v>165.0</c:v>
                </c:pt>
                <c:pt idx="4">
                  <c:v>217.0</c:v>
                </c:pt>
                <c:pt idx="5">
                  <c:v>278.0</c:v>
                </c:pt>
                <c:pt idx="6">
                  <c:v>104.0</c:v>
                </c:pt>
                <c:pt idx="7">
                  <c:v>87.0</c:v>
                </c:pt>
                <c:pt idx="8">
                  <c:v>57.0</c:v>
                </c:pt>
                <c:pt idx="9">
                  <c:v>45.0</c:v>
                </c:pt>
                <c:pt idx="10">
                  <c:v>70.0</c:v>
                </c:pt>
                <c:pt idx="11">
                  <c:v>82.0</c:v>
                </c:pt>
                <c:pt idx="12">
                  <c:v>135.0</c:v>
                </c:pt>
                <c:pt idx="13">
                  <c:v>94.0</c:v>
                </c:pt>
              </c:numCache>
            </c:numRef>
          </c:val>
          <c:smooth val="0"/>
          <c:extLst xmlns:c16r2="http://schemas.microsoft.com/office/drawing/2015/06/chart">
            <c:ext xmlns:c16="http://schemas.microsoft.com/office/drawing/2014/chart" uri="{C3380CC4-5D6E-409C-BE32-E72D297353CC}">
              <c16:uniqueId val="{00000001-2E74-4BDD-8EC5-6B46F624D3C3}"/>
            </c:ext>
          </c:extLst>
        </c:ser>
        <c:dLbls>
          <c:showLegendKey val="0"/>
          <c:showVal val="0"/>
          <c:showCatName val="0"/>
          <c:showSerName val="0"/>
          <c:showPercent val="0"/>
          <c:showBubbleSize val="0"/>
        </c:dLbls>
        <c:marker val="1"/>
        <c:smooth val="0"/>
        <c:axId val="-2132021800"/>
        <c:axId val="-2132111672"/>
      </c:lineChart>
      <c:catAx>
        <c:axId val="-2132021800"/>
        <c:scaling>
          <c:orientation val="minMax"/>
        </c:scaling>
        <c:delete val="0"/>
        <c:axPos val="b"/>
        <c:numFmt formatCode="General" sourceLinked="1"/>
        <c:majorTickMark val="out"/>
        <c:minorTickMark val="none"/>
        <c:tickLblPos val="nextTo"/>
        <c:txPr>
          <a:bodyPr rot="-5400000" vert="horz" anchor="ctr" anchorCtr="1"/>
          <a:lstStyle/>
          <a:p>
            <a:pPr>
              <a:defRPr/>
            </a:pPr>
            <a:endParaRPr lang="en-US"/>
          </a:p>
        </c:txPr>
        <c:crossAx val="-2132111672"/>
        <c:crosses val="autoZero"/>
        <c:auto val="1"/>
        <c:lblAlgn val="ctr"/>
        <c:lblOffset val="100"/>
        <c:noMultiLvlLbl val="0"/>
      </c:catAx>
      <c:valAx>
        <c:axId val="-2132111672"/>
        <c:scaling>
          <c:orientation val="minMax"/>
        </c:scaling>
        <c:delete val="0"/>
        <c:axPos val="l"/>
        <c:majorGridlines/>
        <c:numFmt formatCode="General" sourceLinked="1"/>
        <c:majorTickMark val="out"/>
        <c:minorTickMark val="none"/>
        <c:tickLblPos val="nextTo"/>
        <c:crossAx val="-213202180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660592014663615"/>
          <c:y val="0.0616844602609727"/>
          <c:w val="0.902252803408715"/>
          <c:h val="0.59695500695865"/>
        </c:manualLayout>
      </c:layout>
      <c:lineChart>
        <c:grouping val="standard"/>
        <c:varyColors val="0"/>
        <c:ser>
          <c:idx val="0"/>
          <c:order val="0"/>
          <c:tx>
            <c:strRef>
              <c:f>Sheet1!$B$1</c:f>
              <c:strCache>
                <c:ptCount val="1"/>
                <c:pt idx="0">
                  <c:v>%</c:v>
                </c:pt>
              </c:strCache>
            </c:strRef>
          </c:tx>
          <c:spPr>
            <a:ln w="31750">
              <a:prstDash val="sysDash"/>
            </a:ln>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Sheet1!$B$2:$B$15</c:f>
              <c:numCache>
                <c:formatCode>General</c:formatCode>
                <c:ptCount val="14"/>
                <c:pt idx="0">
                  <c:v>35.0</c:v>
                </c:pt>
                <c:pt idx="1">
                  <c:v>33.0</c:v>
                </c:pt>
                <c:pt idx="2">
                  <c:v>18.0</c:v>
                </c:pt>
                <c:pt idx="3">
                  <c:v>27.0</c:v>
                </c:pt>
                <c:pt idx="4">
                  <c:v>34.0</c:v>
                </c:pt>
                <c:pt idx="5">
                  <c:v>37.0</c:v>
                </c:pt>
                <c:pt idx="6">
                  <c:v>30.0</c:v>
                </c:pt>
                <c:pt idx="7">
                  <c:v>29.0</c:v>
                </c:pt>
                <c:pt idx="8">
                  <c:v>30.0</c:v>
                </c:pt>
                <c:pt idx="9">
                  <c:v>29.0</c:v>
                </c:pt>
                <c:pt idx="10">
                  <c:v>23.0</c:v>
                </c:pt>
                <c:pt idx="11">
                  <c:v>9.0</c:v>
                </c:pt>
                <c:pt idx="12">
                  <c:v>8.0</c:v>
                </c:pt>
                <c:pt idx="13">
                  <c:v>2.0</c:v>
                </c:pt>
              </c:numCache>
            </c:numRef>
          </c:val>
          <c:smooth val="0"/>
          <c:extLst xmlns:c16r2="http://schemas.microsoft.com/office/drawing/2015/06/chart">
            <c:ext xmlns:c16="http://schemas.microsoft.com/office/drawing/2014/chart" uri="{C3380CC4-5D6E-409C-BE32-E72D297353CC}">
              <c16:uniqueId val="{00000000-BBEA-44B7-A27A-B040CFC5E314}"/>
            </c:ext>
          </c:extLst>
        </c:ser>
        <c:ser>
          <c:idx val="1"/>
          <c:order val="1"/>
          <c:tx>
            <c:strRef>
              <c:f>Sheet1!$C$1</c:f>
              <c:strCache>
                <c:ptCount val="1"/>
                <c:pt idx="0">
                  <c:v>No.</c:v>
                </c:pt>
              </c:strCache>
            </c:strRef>
          </c:tx>
          <c:spPr>
            <a:ln w="31750"/>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Sheet1!$C$2:$C$15</c:f>
              <c:numCache>
                <c:formatCode>General</c:formatCode>
                <c:ptCount val="14"/>
                <c:pt idx="0">
                  <c:v>18.0</c:v>
                </c:pt>
                <c:pt idx="1">
                  <c:v>28.0</c:v>
                </c:pt>
                <c:pt idx="2">
                  <c:v>9.0</c:v>
                </c:pt>
                <c:pt idx="3">
                  <c:v>15.0</c:v>
                </c:pt>
                <c:pt idx="4">
                  <c:v>35.0</c:v>
                </c:pt>
                <c:pt idx="5">
                  <c:v>51.0</c:v>
                </c:pt>
                <c:pt idx="6">
                  <c:v>22.0</c:v>
                </c:pt>
                <c:pt idx="7">
                  <c:v>22.0</c:v>
                </c:pt>
                <c:pt idx="8">
                  <c:v>44.0</c:v>
                </c:pt>
                <c:pt idx="9">
                  <c:v>30.0</c:v>
                </c:pt>
                <c:pt idx="10">
                  <c:v>26.0</c:v>
                </c:pt>
                <c:pt idx="11">
                  <c:v>18.0</c:v>
                </c:pt>
                <c:pt idx="12">
                  <c:v>25.0</c:v>
                </c:pt>
                <c:pt idx="13">
                  <c:v>5.0</c:v>
                </c:pt>
              </c:numCache>
            </c:numRef>
          </c:val>
          <c:smooth val="0"/>
          <c:extLst xmlns:c16r2="http://schemas.microsoft.com/office/drawing/2015/06/chart">
            <c:ext xmlns:c16="http://schemas.microsoft.com/office/drawing/2014/chart" uri="{C3380CC4-5D6E-409C-BE32-E72D297353CC}">
              <c16:uniqueId val="{00000001-BBEA-44B7-A27A-B040CFC5E314}"/>
            </c:ext>
          </c:extLst>
        </c:ser>
        <c:dLbls>
          <c:showLegendKey val="0"/>
          <c:showVal val="0"/>
          <c:showCatName val="0"/>
          <c:showSerName val="0"/>
          <c:showPercent val="0"/>
          <c:showBubbleSize val="0"/>
        </c:dLbls>
        <c:marker val="1"/>
        <c:smooth val="0"/>
        <c:axId val="-2131440792"/>
        <c:axId val="-2131452280"/>
      </c:lineChart>
      <c:catAx>
        <c:axId val="-2131440792"/>
        <c:scaling>
          <c:orientation val="minMax"/>
        </c:scaling>
        <c:delete val="0"/>
        <c:axPos val="b"/>
        <c:numFmt formatCode="General" sourceLinked="0"/>
        <c:majorTickMark val="out"/>
        <c:minorTickMark val="none"/>
        <c:tickLblPos val="nextTo"/>
        <c:txPr>
          <a:bodyPr rot="-5400000" vert="horz" anchor="ctr" anchorCtr="1"/>
          <a:lstStyle/>
          <a:p>
            <a:pPr>
              <a:defRPr/>
            </a:pPr>
            <a:endParaRPr lang="en-US"/>
          </a:p>
        </c:txPr>
        <c:crossAx val="-2131452280"/>
        <c:crosses val="autoZero"/>
        <c:auto val="1"/>
        <c:lblAlgn val="ctr"/>
        <c:lblOffset val="100"/>
        <c:noMultiLvlLbl val="0"/>
      </c:catAx>
      <c:valAx>
        <c:axId val="-2131452280"/>
        <c:scaling>
          <c:orientation val="minMax"/>
        </c:scaling>
        <c:delete val="0"/>
        <c:axPos val="l"/>
        <c:majorGridlines/>
        <c:numFmt formatCode="General" sourceLinked="1"/>
        <c:majorTickMark val="out"/>
        <c:minorTickMark val="none"/>
        <c:tickLblPos val="nextTo"/>
        <c:crossAx val="-213144079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Sheet1!$B$1</c:f>
              <c:strCache>
                <c:ptCount val="1"/>
                <c:pt idx="0">
                  <c:v>%</c:v>
                </c:pt>
              </c:strCache>
            </c:strRef>
          </c:tx>
          <c:spPr>
            <a:ln w="31750">
              <a:prstDash val="sysDash"/>
            </a:ln>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Sheet1!$B$2:$B$15</c:f>
              <c:numCache>
                <c:formatCode>General</c:formatCode>
                <c:ptCount val="14"/>
                <c:pt idx="0">
                  <c:v>25.0</c:v>
                </c:pt>
                <c:pt idx="1">
                  <c:v>13.0</c:v>
                </c:pt>
                <c:pt idx="2">
                  <c:v>19.0</c:v>
                </c:pt>
                <c:pt idx="3">
                  <c:v>17.0</c:v>
                </c:pt>
                <c:pt idx="4">
                  <c:v>25.0</c:v>
                </c:pt>
                <c:pt idx="5">
                  <c:v>40.0</c:v>
                </c:pt>
                <c:pt idx="6">
                  <c:v>40.0</c:v>
                </c:pt>
                <c:pt idx="7">
                  <c:v>41.0</c:v>
                </c:pt>
                <c:pt idx="8">
                  <c:v>47.0</c:v>
                </c:pt>
                <c:pt idx="9">
                  <c:v>43.0</c:v>
                </c:pt>
                <c:pt idx="10">
                  <c:v>26.0</c:v>
                </c:pt>
                <c:pt idx="11">
                  <c:v>15.0</c:v>
                </c:pt>
                <c:pt idx="12">
                  <c:v>7.0</c:v>
                </c:pt>
                <c:pt idx="13">
                  <c:v>5.0</c:v>
                </c:pt>
              </c:numCache>
            </c:numRef>
          </c:val>
          <c:smooth val="0"/>
          <c:extLst xmlns:c16r2="http://schemas.microsoft.com/office/drawing/2015/06/chart">
            <c:ext xmlns:c16="http://schemas.microsoft.com/office/drawing/2014/chart" uri="{C3380CC4-5D6E-409C-BE32-E72D297353CC}">
              <c16:uniqueId val="{00000000-A2D0-48DD-B41D-3BA0A9FBB976}"/>
            </c:ext>
          </c:extLst>
        </c:ser>
        <c:ser>
          <c:idx val="1"/>
          <c:order val="1"/>
          <c:tx>
            <c:strRef>
              <c:f>Sheet1!$C$1</c:f>
              <c:strCache>
                <c:ptCount val="1"/>
                <c:pt idx="0">
                  <c:v>No.</c:v>
                </c:pt>
              </c:strCache>
            </c:strRef>
          </c:tx>
          <c:spPr>
            <a:ln w="31750"/>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Sheet1!$C$2:$C$15</c:f>
              <c:numCache>
                <c:formatCode>General</c:formatCode>
                <c:ptCount val="14"/>
                <c:pt idx="0">
                  <c:v>3.0</c:v>
                </c:pt>
                <c:pt idx="1">
                  <c:v>3.0</c:v>
                </c:pt>
                <c:pt idx="2">
                  <c:v>5.0</c:v>
                </c:pt>
                <c:pt idx="3">
                  <c:v>1.0</c:v>
                </c:pt>
                <c:pt idx="4">
                  <c:v>4.0</c:v>
                </c:pt>
                <c:pt idx="5">
                  <c:v>17.0</c:v>
                </c:pt>
                <c:pt idx="6">
                  <c:v>14.0</c:v>
                </c:pt>
                <c:pt idx="7">
                  <c:v>12.0</c:v>
                </c:pt>
                <c:pt idx="8">
                  <c:v>43.0</c:v>
                </c:pt>
                <c:pt idx="9">
                  <c:v>30.0</c:v>
                </c:pt>
                <c:pt idx="10">
                  <c:v>29.0</c:v>
                </c:pt>
                <c:pt idx="11">
                  <c:v>44.0</c:v>
                </c:pt>
                <c:pt idx="12">
                  <c:v>19.0</c:v>
                </c:pt>
                <c:pt idx="13">
                  <c:v>16.0</c:v>
                </c:pt>
              </c:numCache>
            </c:numRef>
          </c:val>
          <c:smooth val="0"/>
          <c:extLst xmlns:c16r2="http://schemas.microsoft.com/office/drawing/2015/06/chart">
            <c:ext xmlns:c16="http://schemas.microsoft.com/office/drawing/2014/chart" uri="{C3380CC4-5D6E-409C-BE32-E72D297353CC}">
              <c16:uniqueId val="{00000001-A2D0-48DD-B41D-3BA0A9FBB976}"/>
            </c:ext>
          </c:extLst>
        </c:ser>
        <c:dLbls>
          <c:showLegendKey val="0"/>
          <c:showVal val="0"/>
          <c:showCatName val="0"/>
          <c:showSerName val="0"/>
          <c:showPercent val="0"/>
          <c:showBubbleSize val="0"/>
        </c:dLbls>
        <c:marker val="1"/>
        <c:smooth val="0"/>
        <c:axId val="-2137126392"/>
        <c:axId val="-2137949080"/>
      </c:lineChart>
      <c:catAx>
        <c:axId val="-2137126392"/>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2137949080"/>
        <c:crosses val="autoZero"/>
        <c:auto val="1"/>
        <c:lblAlgn val="ctr"/>
        <c:lblOffset val="100"/>
        <c:noMultiLvlLbl val="0"/>
      </c:catAx>
      <c:valAx>
        <c:axId val="-2137949080"/>
        <c:scaling>
          <c:orientation val="minMax"/>
        </c:scaling>
        <c:delete val="0"/>
        <c:axPos val="l"/>
        <c:majorGridlines/>
        <c:numFmt formatCode="General" sourceLinked="1"/>
        <c:majorTickMark val="out"/>
        <c:minorTickMark val="none"/>
        <c:tickLblPos val="nextTo"/>
        <c:crossAx val="-213712639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37983567271482"/>
          <c:y val="0.0507936507936508"/>
          <c:w val="0.904800677089277"/>
          <c:h val="0.649357163687872"/>
        </c:manualLayout>
      </c:layout>
      <c:lineChart>
        <c:grouping val="standard"/>
        <c:varyColors val="0"/>
        <c:ser>
          <c:idx val="0"/>
          <c:order val="0"/>
          <c:tx>
            <c:strRef>
              <c:f>Sheet1!$B$1</c:f>
              <c:strCache>
                <c:ptCount val="1"/>
                <c:pt idx="0">
                  <c:v>%</c:v>
                </c:pt>
              </c:strCache>
            </c:strRef>
          </c:tx>
          <c:spPr>
            <a:ln w="31750">
              <a:prstDash val="dash"/>
            </a:ln>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Sheet1!$B$2:$B$15</c:f>
              <c:numCache>
                <c:formatCode>General</c:formatCode>
                <c:ptCount val="14"/>
                <c:pt idx="0">
                  <c:v>15.0</c:v>
                </c:pt>
                <c:pt idx="1">
                  <c:v>22.0</c:v>
                </c:pt>
                <c:pt idx="2">
                  <c:v>8.0</c:v>
                </c:pt>
                <c:pt idx="3">
                  <c:v>32.0</c:v>
                </c:pt>
                <c:pt idx="4">
                  <c:v>21.0</c:v>
                </c:pt>
                <c:pt idx="5">
                  <c:v>32.0</c:v>
                </c:pt>
                <c:pt idx="6">
                  <c:v>20.0</c:v>
                </c:pt>
                <c:pt idx="7">
                  <c:v>28.0</c:v>
                </c:pt>
                <c:pt idx="8">
                  <c:v>10.0</c:v>
                </c:pt>
                <c:pt idx="9">
                  <c:v>12.0</c:v>
                </c:pt>
                <c:pt idx="10">
                  <c:v>13.0</c:v>
                </c:pt>
                <c:pt idx="11">
                  <c:v>4.0</c:v>
                </c:pt>
                <c:pt idx="12">
                  <c:v>9.0</c:v>
                </c:pt>
                <c:pt idx="13">
                  <c:v>3.0</c:v>
                </c:pt>
              </c:numCache>
            </c:numRef>
          </c:val>
          <c:smooth val="0"/>
          <c:extLst xmlns:c16r2="http://schemas.microsoft.com/office/drawing/2015/06/chart">
            <c:ext xmlns:c16="http://schemas.microsoft.com/office/drawing/2014/chart" uri="{C3380CC4-5D6E-409C-BE32-E72D297353CC}">
              <c16:uniqueId val="{00000000-443A-44FD-AF6D-04AD05A30AC3}"/>
            </c:ext>
          </c:extLst>
        </c:ser>
        <c:ser>
          <c:idx val="1"/>
          <c:order val="1"/>
          <c:tx>
            <c:strRef>
              <c:f>Sheet1!$C$1</c:f>
              <c:strCache>
                <c:ptCount val="1"/>
                <c:pt idx="0">
                  <c:v>No.</c:v>
                </c:pt>
              </c:strCache>
            </c:strRef>
          </c:tx>
          <c:spPr>
            <a:ln w="31750"/>
          </c:spPr>
          <c:marker>
            <c:symbol val="none"/>
          </c:marker>
          <c:cat>
            <c:strRef>
              <c:f>Sheet1!$A$2:$A$15</c:f>
              <c:strCache>
                <c:ptCount val="14"/>
                <c:pt idx="0">
                  <c:v>1760-4</c:v>
                </c:pt>
                <c:pt idx="1">
                  <c:v>1765-9</c:v>
                </c:pt>
                <c:pt idx="2">
                  <c:v>1770-4</c:v>
                </c:pt>
                <c:pt idx="3">
                  <c:v>1775-9</c:v>
                </c:pt>
                <c:pt idx="4">
                  <c:v>1780-4</c:v>
                </c:pt>
                <c:pt idx="5">
                  <c:v>1785-9</c:v>
                </c:pt>
                <c:pt idx="6">
                  <c:v>1790-4</c:v>
                </c:pt>
                <c:pt idx="7">
                  <c:v>1795-9</c:v>
                </c:pt>
                <c:pt idx="8">
                  <c:v>1800-4</c:v>
                </c:pt>
                <c:pt idx="9">
                  <c:v>1805-9</c:v>
                </c:pt>
                <c:pt idx="10">
                  <c:v>1810-4</c:v>
                </c:pt>
                <c:pt idx="11">
                  <c:v>1815-9</c:v>
                </c:pt>
                <c:pt idx="12">
                  <c:v>1820-4</c:v>
                </c:pt>
                <c:pt idx="13">
                  <c:v>1825-9</c:v>
                </c:pt>
              </c:strCache>
            </c:strRef>
          </c:cat>
          <c:val>
            <c:numRef>
              <c:f>Sheet1!$C$2:$C$15</c:f>
              <c:numCache>
                <c:formatCode>General</c:formatCode>
                <c:ptCount val="14"/>
                <c:pt idx="0">
                  <c:v>3.0</c:v>
                </c:pt>
                <c:pt idx="1">
                  <c:v>4.0</c:v>
                </c:pt>
                <c:pt idx="2">
                  <c:v>7.0</c:v>
                </c:pt>
                <c:pt idx="3">
                  <c:v>8.0</c:v>
                </c:pt>
                <c:pt idx="4">
                  <c:v>5.0</c:v>
                </c:pt>
                <c:pt idx="5">
                  <c:v>24.0</c:v>
                </c:pt>
                <c:pt idx="6">
                  <c:v>8.0</c:v>
                </c:pt>
                <c:pt idx="7">
                  <c:v>7.0</c:v>
                </c:pt>
                <c:pt idx="8">
                  <c:v>7.0</c:v>
                </c:pt>
                <c:pt idx="9">
                  <c:v>3.0</c:v>
                </c:pt>
                <c:pt idx="10">
                  <c:v>7.0</c:v>
                </c:pt>
                <c:pt idx="11">
                  <c:v>5.0</c:v>
                </c:pt>
                <c:pt idx="12">
                  <c:v>10.0</c:v>
                </c:pt>
                <c:pt idx="13">
                  <c:v>3.0</c:v>
                </c:pt>
              </c:numCache>
            </c:numRef>
          </c:val>
          <c:smooth val="0"/>
          <c:extLst xmlns:c16r2="http://schemas.microsoft.com/office/drawing/2015/06/chart">
            <c:ext xmlns:c16="http://schemas.microsoft.com/office/drawing/2014/chart" uri="{C3380CC4-5D6E-409C-BE32-E72D297353CC}">
              <c16:uniqueId val="{00000001-443A-44FD-AF6D-04AD05A30AC3}"/>
            </c:ext>
          </c:extLst>
        </c:ser>
        <c:dLbls>
          <c:showLegendKey val="0"/>
          <c:showVal val="0"/>
          <c:showCatName val="0"/>
          <c:showSerName val="0"/>
          <c:showPercent val="0"/>
          <c:showBubbleSize val="0"/>
        </c:dLbls>
        <c:marker val="1"/>
        <c:smooth val="0"/>
        <c:axId val="-2132775320"/>
        <c:axId val="-2137142232"/>
      </c:lineChart>
      <c:catAx>
        <c:axId val="-2132775320"/>
        <c:scaling>
          <c:orientation val="minMax"/>
        </c:scaling>
        <c:delete val="0"/>
        <c:axPos val="b"/>
        <c:numFmt formatCode="General" sourceLinked="1"/>
        <c:majorTickMark val="out"/>
        <c:minorTickMark val="none"/>
        <c:tickLblPos val="nextTo"/>
        <c:txPr>
          <a:bodyPr rot="-5400000" vert="horz" anchor="ctr" anchorCtr="1"/>
          <a:lstStyle/>
          <a:p>
            <a:pPr>
              <a:defRPr>
                <a:latin typeface="Cambria" panose="02040503050406030204" pitchFamily="18" charset="0"/>
                <a:cs typeface="Calibri"/>
              </a:defRPr>
            </a:pPr>
            <a:endParaRPr lang="en-US"/>
          </a:p>
        </c:txPr>
        <c:crossAx val="-2137142232"/>
        <c:crosses val="autoZero"/>
        <c:auto val="1"/>
        <c:lblAlgn val="ctr"/>
        <c:lblOffset val="100"/>
        <c:noMultiLvlLbl val="0"/>
      </c:catAx>
      <c:valAx>
        <c:axId val="-2137142232"/>
        <c:scaling>
          <c:orientation val="minMax"/>
        </c:scaling>
        <c:delete val="0"/>
        <c:axPos val="l"/>
        <c:majorGridlines/>
        <c:numFmt formatCode="General" sourceLinked="1"/>
        <c:majorTickMark val="out"/>
        <c:minorTickMark val="none"/>
        <c:tickLblPos val="nextTo"/>
        <c:txPr>
          <a:bodyPr/>
          <a:lstStyle/>
          <a:p>
            <a:pPr>
              <a:defRPr>
                <a:latin typeface="Cambria" panose="02040503050406030204" pitchFamily="18" charset="0"/>
                <a:cs typeface="Calibri"/>
              </a:defRPr>
            </a:pPr>
            <a:endParaRPr lang="en-US"/>
          </a:p>
        </c:txPr>
        <c:crossAx val="-2132775320"/>
        <c:crosses val="autoZero"/>
        <c:crossBetween val="between"/>
      </c:valAx>
    </c:plotArea>
    <c:legend>
      <c:legendPos val="b"/>
      <c:layout/>
      <c:overlay val="0"/>
      <c:txPr>
        <a:bodyPr/>
        <a:lstStyle/>
        <a:p>
          <a:pPr>
            <a:defRPr>
              <a:latin typeface="Cambria" panose="02040503050406030204" pitchFamily="18" charset="0"/>
              <a:cs typeface="Calibri"/>
            </a:defRPr>
          </a:pPr>
          <a:endParaRPr lang="en-US"/>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6415-1D5B-C249-BA4B-71A5CCDB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5618</Words>
  <Characters>32026</Characters>
  <Application>Microsoft Macintosh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Walliss</dc:creator>
  <cp:keywords/>
  <dc:description/>
  <cp:lastModifiedBy>John Walliss</cp:lastModifiedBy>
  <cp:revision>2</cp:revision>
  <cp:lastPrinted>2018-02-07T09:53:00Z</cp:lastPrinted>
  <dcterms:created xsi:type="dcterms:W3CDTF">2018-04-06T09:47:00Z</dcterms:created>
  <dcterms:modified xsi:type="dcterms:W3CDTF">2018-04-06T09:47:00Z</dcterms:modified>
</cp:coreProperties>
</file>