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2E352" w14:textId="4AE8859E" w:rsidR="009122D7" w:rsidRPr="00DD6763" w:rsidRDefault="009122D7" w:rsidP="006D4F76">
      <w:pPr>
        <w:spacing w:after="0" w:line="276" w:lineRule="auto"/>
        <w:jc w:val="both"/>
        <w:rPr>
          <w:rFonts w:ascii="Times New Roman" w:hAnsi="Times New Roman" w:cs="Times New Roman"/>
          <w:b/>
          <w:sz w:val="32"/>
          <w:szCs w:val="32"/>
        </w:rPr>
      </w:pPr>
      <w:r w:rsidRPr="00DD6763">
        <w:rPr>
          <w:rFonts w:ascii="Times New Roman" w:hAnsi="Times New Roman" w:cs="Times New Roman"/>
          <w:b/>
          <w:sz w:val="32"/>
          <w:szCs w:val="32"/>
        </w:rPr>
        <w:t>Free</w:t>
      </w:r>
      <w:r w:rsidR="00AF2C38" w:rsidRPr="00DD6763">
        <w:rPr>
          <w:rFonts w:ascii="Times New Roman" w:hAnsi="Times New Roman" w:cs="Times New Roman"/>
          <w:b/>
          <w:sz w:val="32"/>
          <w:szCs w:val="32"/>
        </w:rPr>
        <w:t>, Prior and Informed Consent (</w:t>
      </w:r>
      <w:r w:rsidRPr="00DD6763">
        <w:rPr>
          <w:rFonts w:ascii="Times New Roman" w:hAnsi="Times New Roman" w:cs="Times New Roman"/>
          <w:b/>
          <w:sz w:val="32"/>
          <w:szCs w:val="32"/>
        </w:rPr>
        <w:t>FPIC</w:t>
      </w:r>
      <w:r w:rsidR="00AF2C38" w:rsidRPr="00DD6763">
        <w:rPr>
          <w:rFonts w:ascii="Times New Roman" w:hAnsi="Times New Roman" w:cs="Times New Roman"/>
          <w:b/>
          <w:sz w:val="32"/>
          <w:szCs w:val="32"/>
        </w:rPr>
        <w:t>) of Indigenous Peoples before Human Rights Courts a</w:t>
      </w:r>
      <w:r w:rsidR="006D4F76" w:rsidRPr="00DD6763">
        <w:rPr>
          <w:rFonts w:ascii="Times New Roman" w:hAnsi="Times New Roman" w:cs="Times New Roman"/>
          <w:b/>
          <w:sz w:val="32"/>
          <w:szCs w:val="32"/>
        </w:rPr>
        <w:t xml:space="preserve">nd International Investment </w:t>
      </w:r>
      <w:r w:rsidR="00AF2C38" w:rsidRPr="00DD6763">
        <w:rPr>
          <w:rFonts w:ascii="Times New Roman" w:hAnsi="Times New Roman" w:cs="Times New Roman"/>
          <w:b/>
          <w:sz w:val="32"/>
          <w:szCs w:val="32"/>
        </w:rPr>
        <w:t xml:space="preserve">Tribunals: </w:t>
      </w:r>
      <w:r w:rsidRPr="00DD6763">
        <w:rPr>
          <w:rFonts w:ascii="Times New Roman" w:hAnsi="Times New Roman" w:cs="Times New Roman"/>
          <w:b/>
          <w:sz w:val="32"/>
          <w:szCs w:val="32"/>
        </w:rPr>
        <w:t xml:space="preserve">Two </w:t>
      </w:r>
      <w:r w:rsidR="00AF2C38" w:rsidRPr="00DD6763">
        <w:rPr>
          <w:rFonts w:ascii="Times New Roman" w:hAnsi="Times New Roman" w:cs="Times New Roman"/>
          <w:b/>
          <w:sz w:val="32"/>
          <w:szCs w:val="32"/>
        </w:rPr>
        <w:t>Sides of the Same Coin?</w:t>
      </w:r>
    </w:p>
    <w:p w14:paraId="35620AAE" w14:textId="77777777" w:rsidR="00AF2C38" w:rsidRPr="00DD6763" w:rsidRDefault="00AF2C38" w:rsidP="00AF2C38">
      <w:pPr>
        <w:spacing w:after="0" w:line="276" w:lineRule="auto"/>
        <w:rPr>
          <w:rFonts w:ascii="Times New Roman" w:hAnsi="Times New Roman" w:cs="Times New Roman"/>
          <w:b/>
          <w:sz w:val="24"/>
          <w:szCs w:val="24"/>
        </w:rPr>
      </w:pPr>
    </w:p>
    <w:p w14:paraId="0D801013" w14:textId="77777777" w:rsidR="00AF2C38" w:rsidRPr="00DD6763" w:rsidRDefault="00AF2C38" w:rsidP="00AF2C38">
      <w:pPr>
        <w:spacing w:after="0" w:line="276" w:lineRule="auto"/>
        <w:rPr>
          <w:rFonts w:ascii="Times New Roman" w:hAnsi="Times New Roman" w:cs="Times New Roman"/>
          <w:b/>
          <w:sz w:val="24"/>
          <w:szCs w:val="24"/>
        </w:rPr>
      </w:pPr>
    </w:p>
    <w:p w14:paraId="1C577FA8" w14:textId="4F335E1E" w:rsidR="005C75CA" w:rsidRPr="00DD6763" w:rsidRDefault="00AF2C38" w:rsidP="004362B0">
      <w:pPr>
        <w:spacing w:after="0" w:line="276" w:lineRule="auto"/>
        <w:outlineLvl w:val="0"/>
        <w:rPr>
          <w:rFonts w:ascii="Times New Roman" w:hAnsi="Times New Roman" w:cs="Times New Roman"/>
          <w:b/>
          <w:sz w:val="24"/>
          <w:szCs w:val="24"/>
        </w:rPr>
      </w:pPr>
      <w:r w:rsidRPr="00DD6763">
        <w:rPr>
          <w:rFonts w:ascii="Times New Roman" w:hAnsi="Times New Roman" w:cs="Times New Roman"/>
          <w:b/>
          <w:sz w:val="24"/>
          <w:szCs w:val="24"/>
        </w:rPr>
        <w:tab/>
      </w:r>
      <w:r w:rsidR="00C3064A" w:rsidRPr="00DD6763">
        <w:rPr>
          <w:rFonts w:ascii="Times New Roman" w:hAnsi="Times New Roman" w:cs="Times New Roman"/>
          <w:b/>
          <w:sz w:val="24"/>
          <w:szCs w:val="24"/>
        </w:rPr>
        <w:t>Abstract</w:t>
      </w:r>
      <w:r w:rsidR="00F61F18" w:rsidRPr="00DD6763">
        <w:rPr>
          <w:rFonts w:ascii="Times New Roman" w:hAnsi="Times New Roman" w:cs="Times New Roman"/>
          <w:b/>
          <w:sz w:val="24"/>
          <w:szCs w:val="24"/>
        </w:rPr>
        <w:t xml:space="preserve"> </w:t>
      </w:r>
    </w:p>
    <w:p w14:paraId="1A527385" w14:textId="77777777" w:rsidR="00AF2C38" w:rsidRPr="00DD6763" w:rsidRDefault="00AF2C38" w:rsidP="00AF2C38">
      <w:pPr>
        <w:spacing w:after="0" w:line="276" w:lineRule="auto"/>
        <w:rPr>
          <w:rFonts w:ascii="Times New Roman" w:hAnsi="Times New Roman" w:cs="Times New Roman"/>
          <w:sz w:val="24"/>
          <w:szCs w:val="24"/>
        </w:rPr>
      </w:pPr>
    </w:p>
    <w:p w14:paraId="75152DB5" w14:textId="08114A0C" w:rsidR="00CC3BB7" w:rsidRPr="00DD6763" w:rsidRDefault="00CC3BB7" w:rsidP="00BC6146">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 xml:space="preserve">This article highlights </w:t>
      </w:r>
      <w:r w:rsidR="009F44D8" w:rsidRPr="00DD6763">
        <w:rPr>
          <w:rFonts w:ascii="Times New Roman" w:hAnsi="Times New Roman" w:cs="Times New Roman"/>
          <w:sz w:val="24"/>
          <w:szCs w:val="24"/>
        </w:rPr>
        <w:t xml:space="preserve">the </w:t>
      </w:r>
      <w:r w:rsidRPr="00DD6763">
        <w:rPr>
          <w:rFonts w:ascii="Times New Roman" w:hAnsi="Times New Roman" w:cs="Times New Roman"/>
          <w:sz w:val="24"/>
          <w:szCs w:val="24"/>
        </w:rPr>
        <w:t xml:space="preserve">advances and drawbacks in the recognition and implementation of the right to free, prior and informed consent (FPIC) of indigenous peoples in light of international litigation. Although a certain amount of progress has been achieved, this article demonstrates that a normative gap subsists between the international norms applicable and states’ practice. In exploring the topic, the article brings together diverse legal and theoretical components from several areas of law, some of which are not usually regarded as associated with FPIC. In particular, the article considers the interpretation of case law decided by international human rights bodies, regional human rights courts and investment tribunals, critically examining the constraints on their interpretation. The article concludes by analysing the various strategies followed to implement FPIC, and argues for an understanding of FPIC that reaches beyond the human rights arena. </w:t>
      </w:r>
    </w:p>
    <w:p w14:paraId="749594AC" w14:textId="77777777" w:rsidR="00AF2C38" w:rsidRPr="00DD6763" w:rsidRDefault="00AF2C38" w:rsidP="00BC6146">
      <w:pPr>
        <w:spacing w:after="0" w:line="276" w:lineRule="auto"/>
        <w:jc w:val="both"/>
        <w:rPr>
          <w:rFonts w:ascii="Times New Roman" w:hAnsi="Times New Roman" w:cs="Times New Roman"/>
          <w:b/>
          <w:sz w:val="24"/>
          <w:szCs w:val="24"/>
        </w:rPr>
      </w:pPr>
    </w:p>
    <w:p w14:paraId="5A229AC0" w14:textId="77777777" w:rsidR="00AF2C38" w:rsidRPr="00DD6763" w:rsidRDefault="00AF2C38" w:rsidP="00BC6146">
      <w:pPr>
        <w:spacing w:after="0" w:line="276" w:lineRule="auto"/>
        <w:jc w:val="both"/>
        <w:rPr>
          <w:rFonts w:ascii="Times New Roman" w:hAnsi="Times New Roman" w:cs="Times New Roman"/>
          <w:b/>
          <w:sz w:val="24"/>
          <w:szCs w:val="24"/>
        </w:rPr>
      </w:pPr>
    </w:p>
    <w:p w14:paraId="552AA531" w14:textId="64BD0480" w:rsidR="00AF2C38" w:rsidRPr="00DD6763" w:rsidRDefault="00AF2C38" w:rsidP="004362B0">
      <w:pPr>
        <w:spacing w:after="0" w:line="276" w:lineRule="auto"/>
        <w:jc w:val="both"/>
        <w:outlineLvl w:val="0"/>
        <w:rPr>
          <w:rFonts w:ascii="Times New Roman" w:hAnsi="Times New Roman" w:cs="Times New Roman"/>
          <w:b/>
          <w:sz w:val="24"/>
          <w:szCs w:val="24"/>
        </w:rPr>
      </w:pPr>
      <w:r w:rsidRPr="00DD6763">
        <w:rPr>
          <w:rFonts w:ascii="Times New Roman" w:hAnsi="Times New Roman" w:cs="Times New Roman"/>
          <w:b/>
          <w:sz w:val="24"/>
          <w:szCs w:val="24"/>
        </w:rPr>
        <w:tab/>
        <w:t>Keywords</w:t>
      </w:r>
    </w:p>
    <w:p w14:paraId="09051EED" w14:textId="77777777" w:rsidR="00AF2C38" w:rsidRPr="00DD6763" w:rsidRDefault="00AF2C38" w:rsidP="00BC6146">
      <w:pPr>
        <w:spacing w:after="0" w:line="276" w:lineRule="auto"/>
        <w:jc w:val="both"/>
        <w:rPr>
          <w:rFonts w:ascii="Times New Roman" w:hAnsi="Times New Roman" w:cs="Times New Roman"/>
          <w:sz w:val="24"/>
          <w:szCs w:val="24"/>
        </w:rPr>
      </w:pPr>
    </w:p>
    <w:p w14:paraId="3607D0D1" w14:textId="0EC07996" w:rsidR="00C3064A" w:rsidRPr="00DD6763" w:rsidRDefault="00C3064A" w:rsidP="00BC6146">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Free, prior and informed consent (FPIC);</w:t>
      </w:r>
      <w:r w:rsidR="00E70EC1" w:rsidRPr="00DD6763">
        <w:rPr>
          <w:rFonts w:ascii="Times New Roman" w:hAnsi="Times New Roman" w:cs="Times New Roman"/>
          <w:sz w:val="24"/>
          <w:szCs w:val="24"/>
        </w:rPr>
        <w:t xml:space="preserve"> </w:t>
      </w:r>
      <w:r w:rsidR="00370372" w:rsidRPr="00DD6763">
        <w:rPr>
          <w:rFonts w:ascii="Times New Roman" w:hAnsi="Times New Roman" w:cs="Times New Roman"/>
          <w:sz w:val="24"/>
          <w:szCs w:val="24"/>
        </w:rPr>
        <w:t>Indigenous peoples’</w:t>
      </w:r>
      <w:r w:rsidRPr="00DD6763">
        <w:rPr>
          <w:rFonts w:ascii="Times New Roman" w:hAnsi="Times New Roman" w:cs="Times New Roman"/>
          <w:sz w:val="24"/>
          <w:szCs w:val="24"/>
        </w:rPr>
        <w:t xml:space="preserve"> rights; right to consultation; ILO Convention 169;</w:t>
      </w:r>
      <w:r w:rsidR="00D310BB" w:rsidRPr="00DD6763">
        <w:rPr>
          <w:rFonts w:ascii="Times New Roman" w:hAnsi="Times New Roman" w:cs="Times New Roman"/>
          <w:sz w:val="24"/>
          <w:szCs w:val="24"/>
        </w:rPr>
        <w:t xml:space="preserve"> </w:t>
      </w:r>
      <w:r w:rsidRPr="00DD6763">
        <w:rPr>
          <w:rFonts w:ascii="Times New Roman" w:hAnsi="Times New Roman" w:cs="Times New Roman"/>
          <w:sz w:val="24"/>
          <w:szCs w:val="24"/>
        </w:rPr>
        <w:t>Inter-American Court of Human Rights; African Human Rights System; International investment tribunals</w:t>
      </w:r>
    </w:p>
    <w:p w14:paraId="3A5DD0DD" w14:textId="77777777" w:rsidR="00DE6C93" w:rsidRPr="00DE6C93" w:rsidRDefault="00DE6C93" w:rsidP="00DE6C93">
      <w:pPr>
        <w:spacing w:after="0" w:line="276" w:lineRule="auto"/>
        <w:rPr>
          <w:rFonts w:ascii="Times New Roman" w:hAnsi="Times New Roman" w:cs="Times New Roman"/>
          <w:b/>
          <w:sz w:val="24"/>
          <w:szCs w:val="24"/>
        </w:rPr>
      </w:pPr>
    </w:p>
    <w:p w14:paraId="54E97C58" w14:textId="77777777" w:rsidR="00AF2C38" w:rsidRPr="00DD6763" w:rsidRDefault="00AF2C38" w:rsidP="00AF2C38">
      <w:pPr>
        <w:spacing w:after="0" w:line="276" w:lineRule="auto"/>
        <w:rPr>
          <w:rFonts w:ascii="Times New Roman" w:hAnsi="Times New Roman" w:cs="Times New Roman"/>
          <w:b/>
          <w:sz w:val="24"/>
          <w:szCs w:val="24"/>
        </w:rPr>
      </w:pPr>
    </w:p>
    <w:p w14:paraId="66BD9D3B" w14:textId="77777777" w:rsidR="009122D7" w:rsidRPr="00DD6763" w:rsidRDefault="009122D7" w:rsidP="00AF2C38">
      <w:pPr>
        <w:pStyle w:val="ListParagraph"/>
        <w:numPr>
          <w:ilvl w:val="0"/>
          <w:numId w:val="4"/>
        </w:numPr>
        <w:spacing w:after="0" w:line="276" w:lineRule="auto"/>
        <w:ind w:hanging="720"/>
        <w:rPr>
          <w:rFonts w:ascii="Times New Roman" w:hAnsi="Times New Roman" w:cs="Times New Roman"/>
          <w:b/>
          <w:sz w:val="24"/>
          <w:szCs w:val="24"/>
        </w:rPr>
      </w:pPr>
      <w:r w:rsidRPr="00DD6763">
        <w:rPr>
          <w:rFonts w:ascii="Times New Roman" w:hAnsi="Times New Roman" w:cs="Times New Roman"/>
          <w:b/>
          <w:sz w:val="24"/>
          <w:szCs w:val="24"/>
        </w:rPr>
        <w:t>Introduction</w:t>
      </w:r>
    </w:p>
    <w:p w14:paraId="1345C896" w14:textId="77777777" w:rsidR="009122D7" w:rsidRPr="00DD6763" w:rsidRDefault="009122D7" w:rsidP="00AF2C38">
      <w:pPr>
        <w:spacing w:after="0" w:line="276" w:lineRule="auto"/>
        <w:rPr>
          <w:rFonts w:ascii="Times New Roman" w:hAnsi="Times New Roman" w:cs="Times New Roman"/>
          <w:sz w:val="24"/>
          <w:szCs w:val="24"/>
        </w:rPr>
      </w:pPr>
    </w:p>
    <w:p w14:paraId="326734EC" w14:textId="35CB2CC7" w:rsidR="00A656C9" w:rsidRPr="00DD6763" w:rsidRDefault="009122D7" w:rsidP="00C41A9F">
      <w:pPr>
        <w:spacing w:after="0" w:line="276" w:lineRule="auto"/>
        <w:ind w:firstLine="720"/>
        <w:jc w:val="both"/>
        <w:rPr>
          <w:rFonts w:ascii="Times New Roman" w:hAnsi="Times New Roman" w:cs="Times New Roman"/>
          <w:bCs/>
          <w:sz w:val="24"/>
          <w:szCs w:val="24"/>
        </w:rPr>
      </w:pPr>
      <w:r w:rsidRPr="00DD6763">
        <w:rPr>
          <w:rFonts w:ascii="Times New Roman" w:hAnsi="Times New Roman" w:cs="Times New Roman"/>
          <w:bCs/>
          <w:sz w:val="24"/>
          <w:szCs w:val="24"/>
        </w:rPr>
        <w:t xml:space="preserve">The free, prior and informed consent (FPIC) </w:t>
      </w:r>
      <w:r w:rsidR="007D76DC" w:rsidRPr="00DD6763">
        <w:rPr>
          <w:rFonts w:ascii="Times New Roman" w:hAnsi="Times New Roman" w:cs="Times New Roman"/>
          <w:bCs/>
          <w:sz w:val="24"/>
          <w:szCs w:val="24"/>
        </w:rPr>
        <w:t>of</w:t>
      </w:r>
      <w:r w:rsidRPr="00DD6763">
        <w:rPr>
          <w:rFonts w:ascii="Times New Roman" w:hAnsi="Times New Roman" w:cs="Times New Roman"/>
          <w:bCs/>
          <w:sz w:val="24"/>
          <w:szCs w:val="24"/>
        </w:rPr>
        <w:t xml:space="preserve"> </w:t>
      </w:r>
      <w:r w:rsidR="001F1D76" w:rsidRPr="00DD6763">
        <w:rPr>
          <w:rFonts w:ascii="Times New Roman" w:hAnsi="Times New Roman" w:cs="Times New Roman"/>
          <w:bCs/>
          <w:sz w:val="24"/>
          <w:szCs w:val="24"/>
        </w:rPr>
        <w:t>indigenous peoples</w:t>
      </w:r>
      <w:r w:rsidR="00E227F3" w:rsidRPr="00DD6763">
        <w:rPr>
          <w:rFonts w:ascii="Times New Roman" w:hAnsi="Times New Roman" w:cs="Times New Roman"/>
          <w:bCs/>
          <w:sz w:val="24"/>
          <w:szCs w:val="24"/>
        </w:rPr>
        <w:t xml:space="preserve"> has come under</w:t>
      </w:r>
      <w:r w:rsidRPr="00DD6763">
        <w:rPr>
          <w:rFonts w:ascii="Times New Roman" w:hAnsi="Times New Roman" w:cs="Times New Roman"/>
          <w:bCs/>
          <w:sz w:val="24"/>
          <w:szCs w:val="24"/>
        </w:rPr>
        <w:t xml:space="preserve"> the spotlight </w:t>
      </w:r>
      <w:r w:rsidR="00F74658" w:rsidRPr="00DD6763">
        <w:rPr>
          <w:rFonts w:ascii="Times New Roman" w:hAnsi="Times New Roman" w:cs="Times New Roman"/>
          <w:bCs/>
          <w:sz w:val="24"/>
          <w:szCs w:val="24"/>
        </w:rPr>
        <w:t xml:space="preserve">after </w:t>
      </w:r>
      <w:r w:rsidRPr="00DD6763">
        <w:rPr>
          <w:rFonts w:ascii="Times New Roman" w:hAnsi="Times New Roman" w:cs="Times New Roman"/>
          <w:bCs/>
          <w:sz w:val="24"/>
          <w:szCs w:val="24"/>
        </w:rPr>
        <w:t xml:space="preserve">being at the centre of controversy in several cases </w:t>
      </w:r>
      <w:r w:rsidR="00044EB4" w:rsidRPr="00DD6763">
        <w:rPr>
          <w:rFonts w:ascii="Times New Roman" w:hAnsi="Times New Roman" w:cs="Times New Roman"/>
          <w:bCs/>
          <w:sz w:val="24"/>
          <w:szCs w:val="24"/>
        </w:rPr>
        <w:t xml:space="preserve">brought before </w:t>
      </w:r>
      <w:r w:rsidRPr="00DD6763">
        <w:rPr>
          <w:rFonts w:ascii="Times New Roman" w:hAnsi="Times New Roman" w:cs="Times New Roman"/>
          <w:bCs/>
          <w:sz w:val="24"/>
          <w:szCs w:val="24"/>
        </w:rPr>
        <w:t>international human rights bodies</w:t>
      </w:r>
      <w:r w:rsidR="003E35E4" w:rsidRPr="00DD6763">
        <w:rPr>
          <w:rFonts w:ascii="Times New Roman" w:hAnsi="Times New Roman" w:cs="Times New Roman"/>
          <w:bCs/>
          <w:sz w:val="24"/>
          <w:szCs w:val="24"/>
        </w:rPr>
        <w:t>, regional human rights courts</w:t>
      </w:r>
      <w:r w:rsidRPr="00DD6763">
        <w:rPr>
          <w:rFonts w:ascii="Times New Roman" w:hAnsi="Times New Roman" w:cs="Times New Roman"/>
          <w:bCs/>
          <w:sz w:val="24"/>
          <w:szCs w:val="24"/>
        </w:rPr>
        <w:t xml:space="preserve"> and international investment tribunals.</w:t>
      </w:r>
      <w:r w:rsidR="00E06346" w:rsidRPr="00DD6763">
        <w:rPr>
          <w:rStyle w:val="FootnoteReference"/>
          <w:rFonts w:ascii="Times New Roman" w:hAnsi="Times New Roman" w:cs="Times New Roman"/>
          <w:bCs/>
          <w:sz w:val="24"/>
          <w:szCs w:val="24"/>
        </w:rPr>
        <w:footnoteReference w:id="1"/>
      </w:r>
      <w:r w:rsidRPr="00DD6763">
        <w:rPr>
          <w:rFonts w:ascii="Times New Roman" w:hAnsi="Times New Roman" w:cs="Times New Roman"/>
          <w:bCs/>
          <w:sz w:val="24"/>
          <w:szCs w:val="24"/>
        </w:rPr>
        <w:t xml:space="preserve"> </w:t>
      </w:r>
      <w:r w:rsidR="003E35E4" w:rsidRPr="00DD6763">
        <w:rPr>
          <w:rFonts w:ascii="Times New Roman" w:hAnsi="Times New Roman" w:cs="Times New Roman"/>
          <w:bCs/>
          <w:sz w:val="24"/>
          <w:szCs w:val="24"/>
        </w:rPr>
        <w:t xml:space="preserve">In the realm of environmental protection, most of the FPIC cases have dealt with allegations of breach of FPIC concerning the protection of and access to natural resources in </w:t>
      </w:r>
      <w:r w:rsidR="00F20436" w:rsidRPr="00DD6763">
        <w:rPr>
          <w:rFonts w:ascii="Times New Roman" w:hAnsi="Times New Roman" w:cs="Times New Roman"/>
          <w:bCs/>
          <w:sz w:val="24"/>
          <w:szCs w:val="24"/>
        </w:rPr>
        <w:t>indigenous lands</w:t>
      </w:r>
      <w:r w:rsidR="003E35E4" w:rsidRPr="00DD6763">
        <w:rPr>
          <w:rFonts w:ascii="Times New Roman" w:hAnsi="Times New Roman" w:cs="Times New Roman"/>
          <w:bCs/>
          <w:sz w:val="24"/>
          <w:szCs w:val="24"/>
        </w:rPr>
        <w:t xml:space="preserve">.  </w:t>
      </w:r>
    </w:p>
    <w:p w14:paraId="15C2E87C" w14:textId="0562F72E" w:rsidR="00FA76F5" w:rsidRPr="00BF6D3B" w:rsidRDefault="00AF2C38" w:rsidP="00C41A9F">
      <w:pPr>
        <w:spacing w:after="0" w:line="276" w:lineRule="auto"/>
        <w:jc w:val="both"/>
        <w:rPr>
          <w:rFonts w:ascii="Times New Roman" w:hAnsi="Times New Roman" w:cs="Times New Roman"/>
          <w:bCs/>
          <w:sz w:val="24"/>
          <w:szCs w:val="24"/>
        </w:rPr>
      </w:pPr>
      <w:r w:rsidRPr="00DD6763">
        <w:rPr>
          <w:rFonts w:ascii="Times New Roman" w:hAnsi="Times New Roman" w:cs="Times New Roman"/>
          <w:bCs/>
          <w:sz w:val="24"/>
          <w:szCs w:val="24"/>
        </w:rPr>
        <w:tab/>
      </w:r>
      <w:r w:rsidR="006A3BD8" w:rsidRPr="00DD6763">
        <w:rPr>
          <w:rFonts w:ascii="Times New Roman" w:hAnsi="Times New Roman" w:cs="Times New Roman"/>
          <w:bCs/>
          <w:sz w:val="24"/>
          <w:szCs w:val="24"/>
        </w:rPr>
        <w:t xml:space="preserve">The article looks into the nature of </w:t>
      </w:r>
      <w:r w:rsidR="00ED198D" w:rsidRPr="00DD6763">
        <w:rPr>
          <w:rFonts w:ascii="Times New Roman" w:hAnsi="Times New Roman" w:cs="Times New Roman"/>
          <w:bCs/>
          <w:sz w:val="24"/>
          <w:szCs w:val="24"/>
        </w:rPr>
        <w:t>FPIC</w:t>
      </w:r>
      <w:r w:rsidR="002E731F" w:rsidRPr="00DD6763">
        <w:rPr>
          <w:rFonts w:ascii="Times New Roman" w:hAnsi="Times New Roman" w:cs="Times New Roman"/>
          <w:bCs/>
          <w:sz w:val="24"/>
          <w:szCs w:val="24"/>
        </w:rPr>
        <w:t xml:space="preserve"> under international law.</w:t>
      </w:r>
      <w:r w:rsidR="006A3BD8" w:rsidRPr="00DD6763">
        <w:rPr>
          <w:rFonts w:ascii="Times New Roman" w:hAnsi="Times New Roman" w:cs="Times New Roman"/>
          <w:bCs/>
          <w:sz w:val="24"/>
          <w:szCs w:val="24"/>
        </w:rPr>
        <w:t xml:space="preserve"> Presently, there </w:t>
      </w:r>
      <w:r w:rsidR="00ED198D" w:rsidRPr="00DD6763">
        <w:rPr>
          <w:rFonts w:ascii="Times New Roman" w:hAnsi="Times New Roman" w:cs="Times New Roman"/>
          <w:bCs/>
          <w:sz w:val="24"/>
          <w:szCs w:val="24"/>
        </w:rPr>
        <w:t>are different interpretations of FPIC</w:t>
      </w:r>
      <w:r w:rsidR="003B40CF" w:rsidRPr="00DD6763">
        <w:rPr>
          <w:rFonts w:ascii="Times New Roman" w:hAnsi="Times New Roman" w:cs="Times New Roman"/>
          <w:bCs/>
          <w:sz w:val="24"/>
          <w:szCs w:val="24"/>
        </w:rPr>
        <w:t xml:space="preserve">. </w:t>
      </w:r>
      <w:r w:rsidR="001D465E" w:rsidRPr="00DD6763">
        <w:rPr>
          <w:rFonts w:ascii="Times New Roman" w:hAnsi="Times New Roman" w:cs="Times New Roman"/>
          <w:bCs/>
          <w:sz w:val="24"/>
          <w:szCs w:val="24"/>
        </w:rPr>
        <w:t>Although there is no internationally agreed definition or understanding of the principle or mechanism for implementation, different efforts have been made to reach consensus on a definition.</w:t>
      </w:r>
      <w:r w:rsidR="001D465E" w:rsidRPr="00DD6763">
        <w:rPr>
          <w:rStyle w:val="FootnoteReference"/>
          <w:rFonts w:ascii="Times New Roman" w:hAnsi="Times New Roman" w:cs="Times New Roman"/>
          <w:b/>
        </w:rPr>
        <w:footnoteRef/>
      </w:r>
      <w:r w:rsidR="001D465E" w:rsidRPr="00DD6763">
        <w:rPr>
          <w:rFonts w:ascii="Times New Roman" w:hAnsi="Times New Roman" w:cs="Times New Roman"/>
          <w:bCs/>
          <w:sz w:val="24"/>
          <w:szCs w:val="24"/>
        </w:rPr>
        <w:t xml:space="preserve"> </w:t>
      </w:r>
      <w:r w:rsidR="003B40CF" w:rsidRPr="00DD6763">
        <w:rPr>
          <w:rFonts w:ascii="Times New Roman" w:hAnsi="Times New Roman" w:cs="Times New Roman"/>
          <w:bCs/>
          <w:sz w:val="24"/>
          <w:szCs w:val="24"/>
        </w:rPr>
        <w:t>Scholars have long discussed its natu</w:t>
      </w:r>
      <w:r w:rsidR="0026450F" w:rsidRPr="00DD6763">
        <w:rPr>
          <w:rFonts w:ascii="Times New Roman" w:hAnsi="Times New Roman" w:cs="Times New Roman"/>
          <w:bCs/>
          <w:sz w:val="24"/>
          <w:szCs w:val="24"/>
        </w:rPr>
        <w:t xml:space="preserve">re asserting that </w:t>
      </w:r>
      <w:r w:rsidR="0026450F" w:rsidRPr="00DD6763">
        <w:rPr>
          <w:rFonts w:ascii="Times New Roman" w:hAnsi="Times New Roman" w:cs="Times New Roman"/>
          <w:bCs/>
          <w:sz w:val="24"/>
          <w:szCs w:val="24"/>
        </w:rPr>
        <w:lastRenderedPageBreak/>
        <w:t xml:space="preserve">it is a right. </w:t>
      </w:r>
      <w:r w:rsidR="002264D6" w:rsidRPr="00DD6763">
        <w:rPr>
          <w:rFonts w:ascii="Times New Roman" w:hAnsi="Times New Roman" w:cs="Times New Roman"/>
          <w:bCs/>
          <w:sz w:val="24"/>
          <w:szCs w:val="24"/>
        </w:rPr>
        <w:t>Typically</w:t>
      </w:r>
      <w:r w:rsidR="00C14241" w:rsidRPr="00DD6763">
        <w:rPr>
          <w:rFonts w:ascii="Times New Roman" w:hAnsi="Times New Roman" w:cs="Times New Roman"/>
          <w:bCs/>
          <w:sz w:val="24"/>
          <w:szCs w:val="24"/>
        </w:rPr>
        <w:t>,</w:t>
      </w:r>
      <w:r w:rsidR="002264D6" w:rsidRPr="00DD6763">
        <w:rPr>
          <w:rFonts w:ascii="Times New Roman" w:hAnsi="Times New Roman" w:cs="Times New Roman"/>
          <w:bCs/>
          <w:sz w:val="24"/>
          <w:szCs w:val="24"/>
        </w:rPr>
        <w:t xml:space="preserve"> these assertions are predicated </w:t>
      </w:r>
      <w:r w:rsidR="00C14241" w:rsidRPr="00DD6763">
        <w:rPr>
          <w:rFonts w:ascii="Times New Roman" w:hAnsi="Times New Roman" w:cs="Times New Roman"/>
          <w:bCs/>
          <w:sz w:val="24"/>
          <w:szCs w:val="24"/>
        </w:rPr>
        <w:t>up</w:t>
      </w:r>
      <w:r w:rsidR="002264D6" w:rsidRPr="00DD6763">
        <w:rPr>
          <w:rFonts w:ascii="Times New Roman" w:hAnsi="Times New Roman" w:cs="Times New Roman"/>
          <w:bCs/>
          <w:sz w:val="24"/>
          <w:szCs w:val="24"/>
        </w:rPr>
        <w:t>on an underlying right</w:t>
      </w:r>
      <w:r w:rsidR="00C14241" w:rsidRPr="00DD6763">
        <w:rPr>
          <w:rFonts w:ascii="Times New Roman" w:hAnsi="Times New Roman" w:cs="Times New Roman"/>
          <w:bCs/>
          <w:sz w:val="24"/>
          <w:szCs w:val="24"/>
        </w:rPr>
        <w:t>, such as the right to property or the right to culture</w:t>
      </w:r>
      <w:r w:rsidR="002264D6" w:rsidRPr="00DD6763">
        <w:rPr>
          <w:rFonts w:ascii="Times New Roman" w:hAnsi="Times New Roman" w:cs="Times New Roman"/>
          <w:bCs/>
          <w:sz w:val="24"/>
          <w:szCs w:val="24"/>
        </w:rPr>
        <w:t xml:space="preserve">. </w:t>
      </w:r>
      <w:r w:rsidR="0026450F" w:rsidRPr="00DD6763">
        <w:rPr>
          <w:rFonts w:ascii="Times New Roman" w:hAnsi="Times New Roman" w:cs="Times New Roman"/>
          <w:bCs/>
          <w:sz w:val="24"/>
          <w:szCs w:val="24"/>
        </w:rPr>
        <w:t xml:space="preserve">However, the recognition </w:t>
      </w:r>
      <w:r w:rsidR="00710180" w:rsidRPr="00DD6763">
        <w:rPr>
          <w:rFonts w:ascii="Times New Roman" w:hAnsi="Times New Roman" w:cs="Times New Roman"/>
          <w:bCs/>
          <w:sz w:val="24"/>
          <w:szCs w:val="24"/>
        </w:rPr>
        <w:t xml:space="preserve">in </w:t>
      </w:r>
      <w:r w:rsidR="003E35E4" w:rsidRPr="00DD6763">
        <w:rPr>
          <w:rFonts w:ascii="Times New Roman" w:hAnsi="Times New Roman" w:cs="Times New Roman"/>
          <w:bCs/>
          <w:sz w:val="24"/>
          <w:szCs w:val="24"/>
        </w:rPr>
        <w:t xml:space="preserve">international </w:t>
      </w:r>
      <w:r w:rsidR="00710180" w:rsidRPr="00DD6763">
        <w:rPr>
          <w:rFonts w:ascii="Times New Roman" w:hAnsi="Times New Roman" w:cs="Times New Roman"/>
          <w:bCs/>
          <w:sz w:val="24"/>
          <w:szCs w:val="24"/>
        </w:rPr>
        <w:t xml:space="preserve">law </w:t>
      </w:r>
      <w:r w:rsidR="0026450F" w:rsidRPr="00DD6763">
        <w:rPr>
          <w:rFonts w:ascii="Times New Roman" w:hAnsi="Times New Roman" w:cs="Times New Roman"/>
          <w:bCs/>
          <w:sz w:val="24"/>
          <w:szCs w:val="24"/>
        </w:rPr>
        <w:t>of</w:t>
      </w:r>
      <w:r w:rsidR="003A12C6" w:rsidRPr="00DD6763">
        <w:rPr>
          <w:rFonts w:ascii="Times New Roman" w:hAnsi="Times New Roman" w:cs="Times New Roman"/>
          <w:bCs/>
          <w:sz w:val="24"/>
          <w:szCs w:val="24"/>
        </w:rPr>
        <w:t xml:space="preserve"> </w:t>
      </w:r>
      <w:r w:rsidR="00C14241" w:rsidRPr="00DD6763">
        <w:rPr>
          <w:rFonts w:ascii="Times New Roman" w:hAnsi="Times New Roman" w:cs="Times New Roman"/>
          <w:bCs/>
          <w:sz w:val="24"/>
          <w:szCs w:val="24"/>
        </w:rPr>
        <w:t xml:space="preserve">FPIC as </w:t>
      </w:r>
      <w:r w:rsidR="00380994" w:rsidRPr="00DD6763">
        <w:rPr>
          <w:rFonts w:ascii="Times New Roman" w:hAnsi="Times New Roman" w:cs="Times New Roman"/>
          <w:bCs/>
          <w:sz w:val="24"/>
          <w:szCs w:val="24"/>
        </w:rPr>
        <w:t xml:space="preserve">either an overarching legal principle or </w:t>
      </w:r>
      <w:r w:rsidR="00C14241" w:rsidRPr="00DD6763">
        <w:rPr>
          <w:rFonts w:ascii="Times New Roman" w:hAnsi="Times New Roman" w:cs="Times New Roman"/>
          <w:bCs/>
          <w:sz w:val="24"/>
          <w:szCs w:val="24"/>
        </w:rPr>
        <w:t xml:space="preserve">a </w:t>
      </w:r>
      <w:r w:rsidR="00710180" w:rsidRPr="00DD6763">
        <w:rPr>
          <w:rFonts w:ascii="Times New Roman" w:hAnsi="Times New Roman" w:cs="Times New Roman"/>
          <w:bCs/>
          <w:sz w:val="24"/>
          <w:szCs w:val="24"/>
        </w:rPr>
        <w:t>fully-realised</w:t>
      </w:r>
      <w:r w:rsidR="00C14241" w:rsidRPr="00DD6763">
        <w:rPr>
          <w:rFonts w:ascii="Times New Roman" w:hAnsi="Times New Roman" w:cs="Times New Roman"/>
          <w:bCs/>
          <w:sz w:val="24"/>
          <w:szCs w:val="24"/>
        </w:rPr>
        <w:t xml:space="preserve"> second-order </w:t>
      </w:r>
      <w:r w:rsidR="006A3BD8" w:rsidRPr="00DD6763">
        <w:rPr>
          <w:rFonts w:ascii="Times New Roman" w:hAnsi="Times New Roman" w:cs="Times New Roman"/>
          <w:bCs/>
          <w:sz w:val="24"/>
          <w:szCs w:val="24"/>
        </w:rPr>
        <w:t>right</w:t>
      </w:r>
      <w:r w:rsidR="00380994" w:rsidRPr="00DD6763">
        <w:rPr>
          <w:rFonts w:ascii="Times New Roman" w:hAnsi="Times New Roman" w:cs="Times New Roman"/>
          <w:bCs/>
          <w:sz w:val="24"/>
          <w:szCs w:val="24"/>
        </w:rPr>
        <w:t>,</w:t>
      </w:r>
      <w:r w:rsidR="00710180" w:rsidRPr="00DD6763">
        <w:rPr>
          <w:rFonts w:ascii="Times New Roman" w:hAnsi="Times New Roman" w:cs="Times New Roman"/>
          <w:bCs/>
          <w:sz w:val="24"/>
          <w:szCs w:val="24"/>
        </w:rPr>
        <w:t xml:space="preserve"> -</w:t>
      </w:r>
      <w:r w:rsidR="00C14241" w:rsidRPr="00DD6763">
        <w:rPr>
          <w:rFonts w:ascii="Times New Roman" w:hAnsi="Times New Roman" w:cs="Times New Roman"/>
          <w:bCs/>
          <w:sz w:val="24"/>
          <w:szCs w:val="24"/>
        </w:rPr>
        <w:t xml:space="preserve"> rather than merely a concomitant set of entitlements to enforce a bundle of </w:t>
      </w:r>
      <w:r w:rsidR="00710180" w:rsidRPr="00DD6763">
        <w:rPr>
          <w:rFonts w:ascii="Times New Roman" w:hAnsi="Times New Roman" w:cs="Times New Roman"/>
          <w:bCs/>
          <w:sz w:val="24"/>
          <w:szCs w:val="24"/>
        </w:rPr>
        <w:t>statutory</w:t>
      </w:r>
      <w:r w:rsidR="00F31E47" w:rsidRPr="00DD6763">
        <w:rPr>
          <w:rFonts w:ascii="Times New Roman" w:hAnsi="Times New Roman" w:cs="Times New Roman"/>
          <w:bCs/>
          <w:sz w:val="24"/>
          <w:szCs w:val="24"/>
        </w:rPr>
        <w:t xml:space="preserve"> </w:t>
      </w:r>
      <w:r w:rsidR="00C14241" w:rsidRPr="00DD6763">
        <w:rPr>
          <w:rFonts w:ascii="Times New Roman" w:hAnsi="Times New Roman" w:cs="Times New Roman"/>
          <w:bCs/>
          <w:sz w:val="24"/>
          <w:szCs w:val="24"/>
        </w:rPr>
        <w:t>duties</w:t>
      </w:r>
      <w:r w:rsidR="00710180" w:rsidRPr="00DD6763">
        <w:rPr>
          <w:rFonts w:ascii="Times New Roman" w:hAnsi="Times New Roman" w:cs="Times New Roman"/>
          <w:bCs/>
          <w:sz w:val="24"/>
          <w:szCs w:val="24"/>
        </w:rPr>
        <w:t xml:space="preserve"> -</w:t>
      </w:r>
      <w:r w:rsidR="0026450F" w:rsidRPr="00DD6763">
        <w:rPr>
          <w:rFonts w:ascii="Times New Roman" w:hAnsi="Times New Roman" w:cs="Times New Roman"/>
          <w:bCs/>
          <w:sz w:val="24"/>
          <w:szCs w:val="24"/>
        </w:rPr>
        <w:t xml:space="preserve"> has become more controversial</w:t>
      </w:r>
      <w:r w:rsidR="006A3BD8" w:rsidRPr="00DD6763">
        <w:rPr>
          <w:rFonts w:ascii="Times New Roman" w:hAnsi="Times New Roman" w:cs="Times New Roman"/>
          <w:bCs/>
          <w:sz w:val="24"/>
          <w:szCs w:val="24"/>
        </w:rPr>
        <w:t>.</w:t>
      </w:r>
      <w:r w:rsidR="001D465E">
        <w:rPr>
          <w:rFonts w:ascii="Times New Roman" w:hAnsi="Times New Roman" w:cs="Times New Roman"/>
          <w:bCs/>
          <w:sz w:val="24"/>
          <w:szCs w:val="24"/>
        </w:rPr>
        <w:t xml:space="preserve"> </w:t>
      </w:r>
      <w:r w:rsidR="00BF6D3B">
        <w:rPr>
          <w:rFonts w:ascii="Times New Roman" w:hAnsi="Times New Roman" w:cs="Times New Roman"/>
          <w:bCs/>
          <w:sz w:val="24"/>
          <w:szCs w:val="24"/>
        </w:rPr>
        <w:t>As discussed below</w:t>
      </w:r>
      <w:r w:rsidR="00FA76F5" w:rsidRPr="00DD6763">
        <w:rPr>
          <w:rFonts w:ascii="Times New Roman" w:hAnsi="Times New Roman" w:cs="Times New Roman"/>
          <w:bCs/>
          <w:sz w:val="24"/>
          <w:szCs w:val="24"/>
        </w:rPr>
        <w:t xml:space="preserve">, </w:t>
      </w:r>
      <w:r w:rsidR="00FF57AD">
        <w:rPr>
          <w:rFonts w:ascii="Times New Roman" w:hAnsi="Times New Roman" w:cs="Times New Roman"/>
          <w:bCs/>
          <w:sz w:val="24"/>
          <w:szCs w:val="24"/>
        </w:rPr>
        <w:t xml:space="preserve">FPIC has been </w:t>
      </w:r>
      <w:r w:rsidR="007A3683">
        <w:rPr>
          <w:rFonts w:ascii="Times New Roman" w:hAnsi="Times New Roman" w:cs="Times New Roman"/>
          <w:bCs/>
          <w:sz w:val="24"/>
          <w:szCs w:val="24"/>
        </w:rPr>
        <w:t>defined</w:t>
      </w:r>
      <w:r w:rsidR="00FF57AD">
        <w:rPr>
          <w:rFonts w:ascii="Times New Roman" w:hAnsi="Times New Roman" w:cs="Times New Roman"/>
          <w:bCs/>
          <w:sz w:val="24"/>
          <w:szCs w:val="24"/>
        </w:rPr>
        <w:t xml:space="preserve"> </w:t>
      </w:r>
      <w:r w:rsidR="00BF6D3B">
        <w:rPr>
          <w:rFonts w:ascii="Times New Roman" w:hAnsi="Times New Roman" w:cs="Times New Roman"/>
          <w:bCs/>
          <w:sz w:val="24"/>
          <w:szCs w:val="24"/>
        </w:rPr>
        <w:t xml:space="preserve">either </w:t>
      </w:r>
      <w:r w:rsidR="00BF6D3B" w:rsidRPr="00BF6D3B">
        <w:rPr>
          <w:rFonts w:ascii="Times New Roman" w:hAnsi="Times New Roman" w:cs="Times New Roman"/>
          <w:bCs/>
          <w:sz w:val="24"/>
          <w:szCs w:val="24"/>
        </w:rPr>
        <w:t>as</w:t>
      </w:r>
      <w:r w:rsidR="00FF57AD" w:rsidRPr="00C41A9F">
        <w:rPr>
          <w:rFonts w:ascii="Times New Roman" w:hAnsi="Times New Roman" w:cs="Times New Roman"/>
          <w:bCs/>
          <w:sz w:val="24"/>
          <w:szCs w:val="24"/>
        </w:rPr>
        <w:t xml:space="preserve"> a </w:t>
      </w:r>
      <w:r w:rsidR="008A62E2" w:rsidRPr="00C41A9F">
        <w:rPr>
          <w:rFonts w:ascii="Times New Roman" w:hAnsi="Times New Roman" w:cs="Times New Roman"/>
          <w:bCs/>
          <w:sz w:val="24"/>
          <w:szCs w:val="24"/>
        </w:rPr>
        <w:t xml:space="preserve">right of indigenous peoples </w:t>
      </w:r>
      <w:r w:rsidR="00FA76F5" w:rsidRPr="00C41A9F">
        <w:rPr>
          <w:rFonts w:ascii="Times New Roman" w:hAnsi="Times New Roman" w:cs="Times New Roman"/>
          <w:bCs/>
          <w:sz w:val="24"/>
          <w:szCs w:val="24"/>
        </w:rPr>
        <w:t xml:space="preserve">to say </w:t>
      </w:r>
      <w:r w:rsidR="00BF6D3B" w:rsidRPr="00C41A9F">
        <w:rPr>
          <w:rFonts w:ascii="Times New Roman" w:hAnsi="Times New Roman" w:cs="Times New Roman"/>
          <w:bCs/>
          <w:sz w:val="24"/>
          <w:szCs w:val="24"/>
        </w:rPr>
        <w:t>“</w:t>
      </w:r>
      <w:r w:rsidR="00FA76F5" w:rsidRPr="00C41A9F">
        <w:rPr>
          <w:rFonts w:ascii="Times New Roman" w:hAnsi="Times New Roman" w:cs="Times New Roman"/>
          <w:bCs/>
          <w:sz w:val="24"/>
          <w:szCs w:val="24"/>
        </w:rPr>
        <w:t>no</w:t>
      </w:r>
      <w:r w:rsidR="00BF6D3B" w:rsidRPr="00C41A9F">
        <w:rPr>
          <w:rFonts w:ascii="Times New Roman" w:hAnsi="Times New Roman" w:cs="Times New Roman"/>
          <w:bCs/>
          <w:sz w:val="24"/>
          <w:szCs w:val="24"/>
        </w:rPr>
        <w:t xml:space="preserve">” </w:t>
      </w:r>
      <w:r w:rsidR="00FA76F5" w:rsidRPr="00C41A9F">
        <w:rPr>
          <w:rFonts w:ascii="Times New Roman" w:hAnsi="Times New Roman" w:cs="Times New Roman"/>
          <w:bCs/>
          <w:sz w:val="24"/>
          <w:szCs w:val="24"/>
        </w:rPr>
        <w:t>to proposed development projects that have a considerable impact on their territories</w:t>
      </w:r>
      <w:r w:rsidR="008A62E2" w:rsidRPr="00C41A9F">
        <w:rPr>
          <w:rFonts w:ascii="Times New Roman" w:hAnsi="Times New Roman" w:cs="Times New Roman"/>
          <w:bCs/>
          <w:sz w:val="24"/>
          <w:szCs w:val="24"/>
        </w:rPr>
        <w:t xml:space="preserve">, </w:t>
      </w:r>
      <w:r w:rsidR="00565A92" w:rsidRPr="00C41A9F">
        <w:rPr>
          <w:rFonts w:ascii="Times New Roman" w:hAnsi="Times New Roman" w:cs="Times New Roman"/>
          <w:bCs/>
          <w:sz w:val="24"/>
          <w:szCs w:val="24"/>
        </w:rPr>
        <w:t xml:space="preserve">a </w:t>
      </w:r>
      <w:r w:rsidR="008A7F28" w:rsidRPr="00C41A9F">
        <w:rPr>
          <w:rFonts w:ascii="Times New Roman" w:hAnsi="Times New Roman" w:cs="Times New Roman"/>
          <w:bCs/>
          <w:sz w:val="24"/>
          <w:szCs w:val="24"/>
        </w:rPr>
        <w:t>“</w:t>
      </w:r>
      <w:r w:rsidR="00565A92" w:rsidRPr="00C41A9F">
        <w:rPr>
          <w:rFonts w:ascii="Times New Roman" w:hAnsi="Times New Roman" w:cs="Times New Roman"/>
          <w:bCs/>
          <w:sz w:val="24"/>
          <w:szCs w:val="24"/>
        </w:rPr>
        <w:t>de</w:t>
      </w:r>
      <w:r w:rsidR="008A7F28" w:rsidRPr="00C41A9F">
        <w:rPr>
          <w:rFonts w:ascii="Times New Roman" w:hAnsi="Times New Roman" w:cs="Times New Roman"/>
          <w:bCs/>
          <w:sz w:val="24"/>
          <w:szCs w:val="24"/>
        </w:rPr>
        <w:t xml:space="preserve">rivative right” </w:t>
      </w:r>
      <w:r w:rsidR="00565A92" w:rsidRPr="00C41A9F">
        <w:rPr>
          <w:rFonts w:ascii="Times New Roman" w:hAnsi="Times New Roman" w:cs="Times New Roman"/>
          <w:bCs/>
          <w:sz w:val="24"/>
          <w:szCs w:val="24"/>
        </w:rPr>
        <w:t xml:space="preserve">arising out of underlying rights or </w:t>
      </w:r>
      <w:r w:rsidR="008A7F28" w:rsidRPr="00C41A9F">
        <w:rPr>
          <w:rFonts w:ascii="Times New Roman" w:hAnsi="Times New Roman" w:cs="Times New Roman"/>
          <w:bCs/>
          <w:sz w:val="24"/>
          <w:szCs w:val="24"/>
        </w:rPr>
        <w:t>a “principle”</w:t>
      </w:r>
      <w:r w:rsidR="00FA76F5" w:rsidRPr="00BF6D3B">
        <w:rPr>
          <w:rFonts w:ascii="Times New Roman" w:hAnsi="Times New Roman" w:cs="Times New Roman"/>
          <w:bCs/>
          <w:sz w:val="24"/>
          <w:szCs w:val="24"/>
        </w:rPr>
        <w:t>.</w:t>
      </w:r>
      <w:r w:rsidR="00FA76F5" w:rsidRPr="00BF6D3B">
        <w:rPr>
          <w:rStyle w:val="FootnoteReference"/>
          <w:rFonts w:ascii="Times New Roman" w:hAnsi="Times New Roman" w:cs="Times New Roman"/>
          <w:bCs/>
          <w:sz w:val="24"/>
          <w:szCs w:val="24"/>
        </w:rPr>
        <w:footnoteReference w:id="2"/>
      </w:r>
    </w:p>
    <w:p w14:paraId="75B265B1" w14:textId="220788E4" w:rsidR="002F31AD" w:rsidRPr="00DD6763" w:rsidRDefault="00AF2C38" w:rsidP="00341A5B">
      <w:pPr>
        <w:spacing w:after="0" w:line="276" w:lineRule="auto"/>
        <w:jc w:val="both"/>
        <w:rPr>
          <w:rFonts w:ascii="Times New Roman" w:hAnsi="Times New Roman" w:cs="Times New Roman"/>
          <w:bCs/>
          <w:sz w:val="24"/>
          <w:szCs w:val="24"/>
        </w:rPr>
      </w:pPr>
      <w:r w:rsidRPr="00DD6763">
        <w:rPr>
          <w:rFonts w:ascii="Times New Roman" w:hAnsi="Times New Roman" w:cs="Times New Roman"/>
          <w:bCs/>
          <w:sz w:val="24"/>
          <w:szCs w:val="24"/>
        </w:rPr>
        <w:tab/>
      </w:r>
      <w:r w:rsidR="00D6568D" w:rsidRPr="00DD6763">
        <w:rPr>
          <w:rFonts w:ascii="Times New Roman" w:hAnsi="Times New Roman" w:cs="Times New Roman"/>
          <w:bCs/>
          <w:sz w:val="24"/>
          <w:szCs w:val="24"/>
        </w:rPr>
        <w:t>At present</w:t>
      </w:r>
      <w:r w:rsidR="009122D7" w:rsidRPr="00DD6763">
        <w:rPr>
          <w:rFonts w:ascii="Times New Roman" w:hAnsi="Times New Roman" w:cs="Times New Roman"/>
          <w:bCs/>
          <w:sz w:val="24"/>
          <w:szCs w:val="24"/>
        </w:rPr>
        <w:t>, the ILO Convention</w:t>
      </w:r>
      <w:r w:rsidR="006F6909" w:rsidRPr="00DD6763">
        <w:rPr>
          <w:rFonts w:ascii="Times New Roman" w:hAnsi="Times New Roman" w:cs="Times New Roman"/>
          <w:bCs/>
          <w:sz w:val="24"/>
          <w:szCs w:val="24"/>
        </w:rPr>
        <w:t xml:space="preserve"> 169</w:t>
      </w:r>
      <w:r w:rsidR="00335998" w:rsidRPr="00DD6763">
        <w:rPr>
          <w:rFonts w:ascii="Times New Roman" w:hAnsi="Times New Roman" w:cs="Times New Roman"/>
          <w:bCs/>
          <w:sz w:val="24"/>
          <w:szCs w:val="24"/>
        </w:rPr>
        <w:t xml:space="preserve"> concerning Indigenous and Tribal Peoples in Independent Countries</w:t>
      </w:r>
      <w:r w:rsidR="000570FF" w:rsidRPr="00DD6763">
        <w:rPr>
          <w:rFonts w:ascii="Times New Roman" w:hAnsi="Times New Roman" w:cs="Times New Roman"/>
          <w:bCs/>
          <w:sz w:val="24"/>
          <w:szCs w:val="24"/>
        </w:rPr>
        <w:t xml:space="preserve"> (hereinafter C169)</w:t>
      </w:r>
      <w:r w:rsidR="009122D7" w:rsidRPr="00DD6763">
        <w:rPr>
          <w:rFonts w:ascii="Times New Roman" w:hAnsi="Times New Roman" w:cs="Times New Roman"/>
          <w:bCs/>
          <w:sz w:val="24"/>
          <w:szCs w:val="24"/>
        </w:rPr>
        <w:t xml:space="preserve"> </w:t>
      </w:r>
      <w:r w:rsidR="00270C5A" w:rsidRPr="00DD6763">
        <w:rPr>
          <w:rFonts w:ascii="Times New Roman" w:hAnsi="Times New Roman" w:cs="Times New Roman"/>
          <w:bCs/>
          <w:sz w:val="24"/>
          <w:szCs w:val="24"/>
        </w:rPr>
        <w:t>continues to be</w:t>
      </w:r>
      <w:r w:rsidR="009122D7" w:rsidRPr="00DD6763">
        <w:rPr>
          <w:rFonts w:ascii="Times New Roman" w:hAnsi="Times New Roman" w:cs="Times New Roman"/>
          <w:bCs/>
          <w:sz w:val="24"/>
          <w:szCs w:val="24"/>
        </w:rPr>
        <w:t xml:space="preserve"> the only</w:t>
      </w:r>
      <w:r w:rsidR="00B269F1" w:rsidRPr="00DD6763">
        <w:rPr>
          <w:rFonts w:ascii="Times New Roman" w:hAnsi="Times New Roman" w:cs="Times New Roman"/>
          <w:bCs/>
          <w:sz w:val="24"/>
          <w:szCs w:val="24"/>
        </w:rPr>
        <w:t xml:space="preserve"> formally</w:t>
      </w:r>
      <w:r w:rsidR="009122D7" w:rsidRPr="00DD6763">
        <w:rPr>
          <w:rFonts w:ascii="Times New Roman" w:hAnsi="Times New Roman" w:cs="Times New Roman"/>
          <w:bCs/>
          <w:sz w:val="24"/>
          <w:szCs w:val="24"/>
        </w:rPr>
        <w:t xml:space="preserve"> international binding instrument </w:t>
      </w:r>
      <w:r w:rsidR="00B40E85" w:rsidRPr="00DD6763">
        <w:rPr>
          <w:rFonts w:ascii="Times New Roman" w:hAnsi="Times New Roman" w:cs="Times New Roman"/>
          <w:bCs/>
          <w:sz w:val="24"/>
          <w:szCs w:val="24"/>
        </w:rPr>
        <w:t xml:space="preserve">that specifically refers to </w:t>
      </w:r>
      <w:r w:rsidR="009122D7" w:rsidRPr="00DD6763">
        <w:rPr>
          <w:rFonts w:ascii="Times New Roman" w:hAnsi="Times New Roman" w:cs="Times New Roman"/>
          <w:bCs/>
          <w:sz w:val="24"/>
          <w:szCs w:val="24"/>
        </w:rPr>
        <w:t>FPIC</w:t>
      </w:r>
      <w:r w:rsidR="00B269F1" w:rsidRPr="00DD6763">
        <w:rPr>
          <w:rFonts w:ascii="Times New Roman" w:hAnsi="Times New Roman" w:cs="Times New Roman"/>
          <w:bCs/>
          <w:sz w:val="24"/>
          <w:szCs w:val="24"/>
        </w:rPr>
        <w:t xml:space="preserve"> in the context of for</w:t>
      </w:r>
      <w:r w:rsidR="009F7F3D">
        <w:rPr>
          <w:rFonts w:ascii="Times New Roman" w:hAnsi="Times New Roman" w:cs="Times New Roman"/>
          <w:bCs/>
          <w:sz w:val="24"/>
          <w:szCs w:val="24"/>
        </w:rPr>
        <w:t>ceful reallocation pursuant to A</w:t>
      </w:r>
      <w:r w:rsidR="00B269F1" w:rsidRPr="00DD6763">
        <w:rPr>
          <w:rFonts w:ascii="Times New Roman" w:hAnsi="Times New Roman" w:cs="Times New Roman"/>
          <w:bCs/>
          <w:sz w:val="24"/>
          <w:szCs w:val="24"/>
        </w:rPr>
        <w:t>rticle</w:t>
      </w:r>
      <w:r w:rsidR="00C26765" w:rsidRPr="00DD6763">
        <w:rPr>
          <w:rFonts w:ascii="Times New Roman" w:hAnsi="Times New Roman" w:cs="Times New Roman"/>
          <w:bCs/>
          <w:sz w:val="24"/>
          <w:szCs w:val="24"/>
        </w:rPr>
        <w:t xml:space="preserve"> 16</w:t>
      </w:r>
      <w:r w:rsidR="00F74658" w:rsidRPr="00DD6763">
        <w:rPr>
          <w:rFonts w:ascii="Times New Roman" w:hAnsi="Times New Roman" w:cs="Times New Roman"/>
          <w:bCs/>
          <w:sz w:val="24"/>
          <w:szCs w:val="24"/>
        </w:rPr>
        <w:t>.</w:t>
      </w:r>
      <w:r w:rsidR="00FA76F5" w:rsidRPr="00DD6763">
        <w:rPr>
          <w:rStyle w:val="FootnoteReference"/>
          <w:rFonts w:ascii="Times New Roman" w:hAnsi="Times New Roman" w:cs="Times New Roman"/>
          <w:bCs/>
          <w:sz w:val="24"/>
          <w:szCs w:val="24"/>
        </w:rPr>
        <w:footnoteReference w:id="3"/>
      </w:r>
      <w:r w:rsidR="00F74658" w:rsidRPr="00DD6763">
        <w:rPr>
          <w:rFonts w:ascii="Times New Roman" w:hAnsi="Times New Roman" w:cs="Times New Roman"/>
          <w:bCs/>
          <w:sz w:val="24"/>
          <w:szCs w:val="24"/>
        </w:rPr>
        <w:t xml:space="preserve"> </w:t>
      </w:r>
      <w:r w:rsidR="00182A2E" w:rsidRPr="00DD6763">
        <w:rPr>
          <w:rFonts w:ascii="Times New Roman" w:hAnsi="Times New Roman" w:cs="Times New Roman"/>
          <w:bCs/>
          <w:sz w:val="24"/>
          <w:szCs w:val="24"/>
        </w:rPr>
        <w:t>The</w:t>
      </w:r>
      <w:r w:rsidR="004C3A27" w:rsidRPr="00DD6763">
        <w:rPr>
          <w:rFonts w:ascii="Times New Roman" w:hAnsi="Times New Roman" w:cs="Times New Roman"/>
          <w:bCs/>
          <w:sz w:val="24"/>
          <w:szCs w:val="24"/>
        </w:rPr>
        <w:t xml:space="preserve"> Convention</w:t>
      </w:r>
      <w:r w:rsidR="00B648B3" w:rsidRPr="00DD6763">
        <w:rPr>
          <w:rStyle w:val="FootnoteReference"/>
          <w:rFonts w:ascii="Times New Roman" w:hAnsi="Times New Roman" w:cs="Times New Roman"/>
          <w:bCs/>
          <w:sz w:val="24"/>
          <w:szCs w:val="24"/>
        </w:rPr>
        <w:footnoteReference w:id="4"/>
      </w:r>
      <w:r w:rsidR="009122D7" w:rsidRPr="00DD6763">
        <w:rPr>
          <w:rFonts w:ascii="Times New Roman" w:hAnsi="Times New Roman" w:cs="Times New Roman"/>
          <w:bCs/>
          <w:sz w:val="24"/>
          <w:szCs w:val="24"/>
        </w:rPr>
        <w:t xml:space="preserve"> </w:t>
      </w:r>
      <w:r w:rsidR="00D54EA3" w:rsidRPr="00DD6763">
        <w:rPr>
          <w:rFonts w:ascii="Times New Roman" w:hAnsi="Times New Roman" w:cs="Times New Roman"/>
          <w:bCs/>
          <w:sz w:val="24"/>
          <w:szCs w:val="24"/>
        </w:rPr>
        <w:t>enshrines indigenous lan</w:t>
      </w:r>
      <w:r w:rsidR="00CD5A27" w:rsidRPr="00DD6763">
        <w:rPr>
          <w:rFonts w:ascii="Times New Roman" w:hAnsi="Times New Roman" w:cs="Times New Roman"/>
          <w:bCs/>
          <w:sz w:val="24"/>
          <w:szCs w:val="24"/>
        </w:rPr>
        <w:t xml:space="preserve">d rights, the right to culture </w:t>
      </w:r>
      <w:r w:rsidR="00D54EA3" w:rsidRPr="00DD6763">
        <w:rPr>
          <w:rFonts w:ascii="Times New Roman" w:hAnsi="Times New Roman" w:cs="Times New Roman"/>
          <w:bCs/>
          <w:sz w:val="24"/>
          <w:szCs w:val="24"/>
        </w:rPr>
        <w:t xml:space="preserve">and the right to consultation thus </w:t>
      </w:r>
      <w:r w:rsidR="0071350B" w:rsidRPr="00DD6763">
        <w:rPr>
          <w:rFonts w:ascii="Times New Roman" w:hAnsi="Times New Roman" w:cs="Times New Roman"/>
          <w:bCs/>
          <w:sz w:val="24"/>
          <w:szCs w:val="24"/>
        </w:rPr>
        <w:t xml:space="preserve">regional human rights monitoring bodies and domestic courts rely upon </w:t>
      </w:r>
      <w:r w:rsidR="00787A87" w:rsidRPr="00DD6763">
        <w:rPr>
          <w:rFonts w:ascii="Times New Roman" w:hAnsi="Times New Roman" w:cs="Times New Roman"/>
          <w:bCs/>
          <w:sz w:val="24"/>
          <w:szCs w:val="24"/>
        </w:rPr>
        <w:t xml:space="preserve">C169 </w:t>
      </w:r>
      <w:r w:rsidR="0071350B" w:rsidRPr="00DD6763">
        <w:rPr>
          <w:rFonts w:ascii="Times New Roman" w:hAnsi="Times New Roman" w:cs="Times New Roman"/>
          <w:bCs/>
          <w:sz w:val="24"/>
          <w:szCs w:val="24"/>
        </w:rPr>
        <w:t>as the main interpretative tool</w:t>
      </w:r>
      <w:r w:rsidR="002D7C03" w:rsidRPr="00DD6763">
        <w:rPr>
          <w:rFonts w:ascii="Times New Roman" w:hAnsi="Times New Roman" w:cs="Times New Roman"/>
          <w:bCs/>
          <w:sz w:val="24"/>
          <w:szCs w:val="24"/>
        </w:rPr>
        <w:t xml:space="preserve"> </w:t>
      </w:r>
      <w:r w:rsidR="003A054C" w:rsidRPr="00DD6763">
        <w:rPr>
          <w:rFonts w:ascii="Times New Roman" w:hAnsi="Times New Roman" w:cs="Times New Roman"/>
          <w:bCs/>
          <w:sz w:val="24"/>
          <w:szCs w:val="24"/>
        </w:rPr>
        <w:t>to determine</w:t>
      </w:r>
      <w:r w:rsidR="002D7C03" w:rsidRPr="00DD6763">
        <w:rPr>
          <w:rFonts w:ascii="Times New Roman" w:hAnsi="Times New Roman" w:cs="Times New Roman"/>
          <w:bCs/>
          <w:sz w:val="24"/>
          <w:szCs w:val="24"/>
        </w:rPr>
        <w:t xml:space="preserve"> the scope of the protection</w:t>
      </w:r>
      <w:r w:rsidR="0071350B" w:rsidRPr="00DD6763">
        <w:rPr>
          <w:rFonts w:ascii="Times New Roman" w:hAnsi="Times New Roman" w:cs="Times New Roman"/>
          <w:bCs/>
          <w:sz w:val="24"/>
          <w:szCs w:val="24"/>
        </w:rPr>
        <w:t>.</w:t>
      </w:r>
      <w:r w:rsidR="00CA048F" w:rsidRPr="00DD6763">
        <w:rPr>
          <w:rStyle w:val="FootnoteReference"/>
          <w:rFonts w:ascii="Times New Roman" w:hAnsi="Times New Roman" w:cs="Times New Roman"/>
          <w:bCs/>
          <w:sz w:val="24"/>
          <w:szCs w:val="24"/>
        </w:rPr>
        <w:footnoteReference w:id="5"/>
      </w:r>
      <w:r w:rsidR="0071350B" w:rsidRPr="00DD6763">
        <w:rPr>
          <w:rFonts w:ascii="Times New Roman" w:hAnsi="Times New Roman" w:cs="Times New Roman"/>
          <w:bCs/>
          <w:sz w:val="24"/>
          <w:szCs w:val="24"/>
        </w:rPr>
        <w:t xml:space="preserve"> </w:t>
      </w:r>
      <w:r w:rsidR="00327C69" w:rsidRPr="00DD6763">
        <w:rPr>
          <w:rFonts w:ascii="Times New Roman" w:hAnsi="Times New Roman" w:cs="Times New Roman"/>
          <w:bCs/>
          <w:sz w:val="24"/>
          <w:szCs w:val="24"/>
        </w:rPr>
        <w:t>As the ILO</w:t>
      </w:r>
      <w:r w:rsidR="00D54EA3" w:rsidRPr="00DD6763">
        <w:rPr>
          <w:rFonts w:ascii="Times New Roman" w:hAnsi="Times New Roman" w:cs="Times New Roman"/>
          <w:bCs/>
          <w:sz w:val="24"/>
          <w:szCs w:val="24"/>
        </w:rPr>
        <w:t xml:space="preserve"> proclaims</w:t>
      </w:r>
      <w:r w:rsidR="002C2DC8" w:rsidRPr="00DD6763">
        <w:rPr>
          <w:rFonts w:ascii="Times New Roman" w:hAnsi="Times New Roman" w:cs="Times New Roman"/>
          <w:bCs/>
          <w:sz w:val="24"/>
          <w:szCs w:val="24"/>
        </w:rPr>
        <w:t>, “</w:t>
      </w:r>
      <w:r w:rsidR="00C27FBF" w:rsidRPr="00DD6763">
        <w:rPr>
          <w:rFonts w:ascii="Times New Roman" w:hAnsi="Times New Roman" w:cs="Times New Roman"/>
          <w:bCs/>
          <w:sz w:val="24"/>
          <w:szCs w:val="24"/>
        </w:rPr>
        <w:t>the C169 brings into focus the right of indigenous and tribal peoples to be consulted</w:t>
      </w:r>
      <w:r w:rsidR="002C2DC8" w:rsidRPr="00DD6763">
        <w:rPr>
          <w:rFonts w:ascii="Times New Roman" w:hAnsi="Times New Roman" w:cs="Times New Roman"/>
          <w:bCs/>
          <w:sz w:val="24"/>
          <w:szCs w:val="24"/>
        </w:rPr>
        <w:t>”</w:t>
      </w:r>
      <w:r w:rsidR="00C27FBF" w:rsidRPr="00DD6763">
        <w:rPr>
          <w:rFonts w:ascii="Times New Roman" w:hAnsi="Times New Roman" w:cs="Times New Roman"/>
          <w:bCs/>
          <w:sz w:val="24"/>
          <w:szCs w:val="24"/>
        </w:rPr>
        <w:t>.</w:t>
      </w:r>
      <w:r w:rsidR="00C27FBF" w:rsidRPr="00DD6763">
        <w:rPr>
          <w:rStyle w:val="FootnoteReference"/>
          <w:rFonts w:ascii="Times New Roman" w:hAnsi="Times New Roman" w:cs="Times New Roman"/>
          <w:bCs/>
          <w:sz w:val="24"/>
          <w:szCs w:val="24"/>
        </w:rPr>
        <w:footnoteReference w:id="6"/>
      </w:r>
      <w:r w:rsidR="00C27FBF" w:rsidRPr="00DD6763">
        <w:rPr>
          <w:rFonts w:ascii="Times New Roman" w:hAnsi="Times New Roman" w:cs="Times New Roman"/>
          <w:bCs/>
          <w:sz w:val="24"/>
          <w:szCs w:val="24"/>
        </w:rPr>
        <w:t xml:space="preserve"> </w:t>
      </w:r>
      <w:r w:rsidR="002F31AD" w:rsidRPr="00DD6763">
        <w:rPr>
          <w:rFonts w:ascii="Times New Roman" w:hAnsi="Times New Roman" w:cs="Times New Roman"/>
          <w:bCs/>
          <w:sz w:val="24"/>
          <w:szCs w:val="24"/>
        </w:rPr>
        <w:t xml:space="preserve">The </w:t>
      </w:r>
      <w:r w:rsidR="00F02A3D" w:rsidRPr="00DD6763">
        <w:rPr>
          <w:rFonts w:ascii="Times New Roman" w:hAnsi="Times New Roman" w:cs="Times New Roman"/>
          <w:bCs/>
          <w:sz w:val="24"/>
          <w:szCs w:val="24"/>
        </w:rPr>
        <w:t>analysis that follows here</w:t>
      </w:r>
      <w:r w:rsidR="004C4234" w:rsidRPr="00DD6763">
        <w:rPr>
          <w:rFonts w:ascii="Times New Roman" w:hAnsi="Times New Roman" w:cs="Times New Roman"/>
          <w:bCs/>
          <w:sz w:val="24"/>
          <w:szCs w:val="24"/>
        </w:rPr>
        <w:t xml:space="preserve"> will </w:t>
      </w:r>
      <w:r w:rsidR="00D54EA3" w:rsidRPr="00DD6763">
        <w:rPr>
          <w:rFonts w:ascii="Times New Roman" w:hAnsi="Times New Roman" w:cs="Times New Roman"/>
          <w:bCs/>
          <w:sz w:val="24"/>
          <w:szCs w:val="24"/>
        </w:rPr>
        <w:t>try</w:t>
      </w:r>
      <w:r w:rsidR="009122D7" w:rsidRPr="00DD6763">
        <w:rPr>
          <w:rFonts w:ascii="Times New Roman" w:hAnsi="Times New Roman" w:cs="Times New Roman"/>
          <w:bCs/>
          <w:sz w:val="24"/>
          <w:szCs w:val="24"/>
        </w:rPr>
        <w:t xml:space="preserve"> to unravel the different strategies put in place by indigenous comm</w:t>
      </w:r>
      <w:r w:rsidR="00D54EA3" w:rsidRPr="00DD6763">
        <w:rPr>
          <w:rFonts w:ascii="Times New Roman" w:hAnsi="Times New Roman" w:cs="Times New Roman"/>
          <w:bCs/>
          <w:sz w:val="24"/>
          <w:szCs w:val="24"/>
        </w:rPr>
        <w:t xml:space="preserve">unities in the quest to protect </w:t>
      </w:r>
      <w:r w:rsidR="003E35E4" w:rsidRPr="00DD6763">
        <w:rPr>
          <w:rFonts w:ascii="Times New Roman" w:hAnsi="Times New Roman" w:cs="Times New Roman"/>
          <w:bCs/>
          <w:sz w:val="24"/>
          <w:szCs w:val="24"/>
        </w:rPr>
        <w:t>their right to FPIC</w:t>
      </w:r>
      <w:r w:rsidR="009122D7" w:rsidRPr="00DD6763">
        <w:rPr>
          <w:rFonts w:ascii="Times New Roman" w:hAnsi="Times New Roman" w:cs="Times New Roman"/>
          <w:bCs/>
          <w:sz w:val="24"/>
          <w:szCs w:val="24"/>
        </w:rPr>
        <w:t>.</w:t>
      </w:r>
      <w:r w:rsidR="00E227F3" w:rsidRPr="00DD6763">
        <w:rPr>
          <w:rFonts w:ascii="Times New Roman" w:hAnsi="Times New Roman" w:cs="Times New Roman"/>
          <w:bCs/>
          <w:sz w:val="24"/>
          <w:szCs w:val="24"/>
        </w:rPr>
        <w:t xml:space="preserve"> </w:t>
      </w:r>
    </w:p>
    <w:p w14:paraId="172401E8" w14:textId="7733FD58" w:rsidR="00C27FBF" w:rsidRPr="00DD6763" w:rsidRDefault="00AF2C38" w:rsidP="00341A5B">
      <w:pPr>
        <w:spacing w:after="0" w:line="276" w:lineRule="auto"/>
        <w:jc w:val="both"/>
        <w:rPr>
          <w:rFonts w:ascii="Times New Roman" w:hAnsi="Times New Roman" w:cs="Times New Roman"/>
          <w:bCs/>
          <w:sz w:val="24"/>
          <w:szCs w:val="24"/>
        </w:rPr>
      </w:pPr>
      <w:r w:rsidRPr="00DD6763">
        <w:rPr>
          <w:rFonts w:ascii="Times New Roman" w:hAnsi="Times New Roman" w:cs="Times New Roman"/>
          <w:bCs/>
          <w:sz w:val="24"/>
          <w:szCs w:val="24"/>
        </w:rPr>
        <w:tab/>
      </w:r>
      <w:r w:rsidR="00B40E85" w:rsidRPr="00DD6763">
        <w:rPr>
          <w:rFonts w:ascii="Times New Roman" w:hAnsi="Times New Roman" w:cs="Times New Roman"/>
          <w:bCs/>
          <w:sz w:val="24"/>
          <w:szCs w:val="24"/>
        </w:rPr>
        <w:t xml:space="preserve">Conflicts between </w:t>
      </w:r>
      <w:r w:rsidR="00122569" w:rsidRPr="00DD6763">
        <w:rPr>
          <w:rFonts w:ascii="Times New Roman" w:hAnsi="Times New Roman" w:cs="Times New Roman"/>
          <w:bCs/>
          <w:sz w:val="24"/>
          <w:szCs w:val="24"/>
        </w:rPr>
        <w:t>different rights at stak</w:t>
      </w:r>
      <w:r w:rsidR="00451628" w:rsidRPr="00DD6763">
        <w:rPr>
          <w:rFonts w:ascii="Times New Roman" w:hAnsi="Times New Roman" w:cs="Times New Roman"/>
          <w:bCs/>
          <w:sz w:val="24"/>
          <w:szCs w:val="24"/>
        </w:rPr>
        <w:t>e abound</w:t>
      </w:r>
      <w:r w:rsidR="00B40E85" w:rsidRPr="00DD6763">
        <w:rPr>
          <w:rFonts w:ascii="Times New Roman" w:hAnsi="Times New Roman" w:cs="Times New Roman"/>
          <w:bCs/>
          <w:sz w:val="24"/>
          <w:szCs w:val="24"/>
        </w:rPr>
        <w:t xml:space="preserve"> in recent international litigation</w:t>
      </w:r>
      <w:r w:rsidR="00451628" w:rsidRPr="00DD6763">
        <w:rPr>
          <w:rFonts w:ascii="Times New Roman" w:hAnsi="Times New Roman" w:cs="Times New Roman"/>
          <w:bCs/>
          <w:sz w:val="24"/>
          <w:szCs w:val="24"/>
        </w:rPr>
        <w:t xml:space="preserve">, </w:t>
      </w:r>
      <w:r w:rsidR="004C4234" w:rsidRPr="00DD6763">
        <w:rPr>
          <w:rFonts w:ascii="Times New Roman" w:hAnsi="Times New Roman" w:cs="Times New Roman"/>
          <w:bCs/>
          <w:sz w:val="24"/>
          <w:szCs w:val="24"/>
        </w:rPr>
        <w:t xml:space="preserve">and </w:t>
      </w:r>
      <w:r w:rsidR="00451628" w:rsidRPr="00DD6763">
        <w:rPr>
          <w:rFonts w:ascii="Times New Roman" w:hAnsi="Times New Roman" w:cs="Times New Roman"/>
          <w:bCs/>
          <w:sz w:val="24"/>
          <w:szCs w:val="24"/>
        </w:rPr>
        <w:t>s</w:t>
      </w:r>
      <w:r w:rsidR="002F31AD" w:rsidRPr="00DD6763">
        <w:rPr>
          <w:rFonts w:ascii="Times New Roman" w:hAnsi="Times New Roman" w:cs="Times New Roman"/>
          <w:bCs/>
          <w:sz w:val="24"/>
          <w:szCs w:val="24"/>
        </w:rPr>
        <w:t xml:space="preserve">pecifically </w:t>
      </w:r>
      <w:r w:rsidR="00A26780" w:rsidRPr="00DD6763">
        <w:rPr>
          <w:rFonts w:ascii="Times New Roman" w:hAnsi="Times New Roman" w:cs="Times New Roman"/>
          <w:bCs/>
          <w:sz w:val="24"/>
          <w:szCs w:val="24"/>
        </w:rPr>
        <w:t>in the case law</w:t>
      </w:r>
      <w:r w:rsidR="00E227F3" w:rsidRPr="00DD6763">
        <w:rPr>
          <w:rFonts w:ascii="Times New Roman" w:hAnsi="Times New Roman" w:cs="Times New Roman"/>
          <w:bCs/>
          <w:sz w:val="24"/>
          <w:szCs w:val="24"/>
        </w:rPr>
        <w:t xml:space="preserve"> </w:t>
      </w:r>
      <w:r w:rsidR="00A26780" w:rsidRPr="00DD6763">
        <w:rPr>
          <w:rFonts w:ascii="Times New Roman" w:hAnsi="Times New Roman" w:cs="Times New Roman"/>
          <w:bCs/>
          <w:sz w:val="24"/>
          <w:szCs w:val="24"/>
        </w:rPr>
        <w:t>of regional human rights courts and investment tribunals</w:t>
      </w:r>
      <w:r w:rsidR="002F31AD" w:rsidRPr="00DD6763">
        <w:rPr>
          <w:rFonts w:ascii="Times New Roman" w:hAnsi="Times New Roman" w:cs="Times New Roman"/>
          <w:bCs/>
          <w:sz w:val="24"/>
          <w:szCs w:val="24"/>
        </w:rPr>
        <w:t>.</w:t>
      </w:r>
      <w:r w:rsidR="002A1AB4" w:rsidRPr="00DD6763">
        <w:rPr>
          <w:rStyle w:val="FootnoteReference"/>
          <w:rFonts w:ascii="Times New Roman" w:hAnsi="Times New Roman" w:cs="Times New Roman"/>
          <w:bCs/>
          <w:sz w:val="24"/>
          <w:szCs w:val="24"/>
        </w:rPr>
        <w:footnoteReference w:id="7"/>
      </w:r>
      <w:r w:rsidR="002F31AD" w:rsidRPr="00DD6763">
        <w:rPr>
          <w:rFonts w:ascii="Times New Roman" w:hAnsi="Times New Roman" w:cs="Times New Roman"/>
          <w:bCs/>
          <w:sz w:val="24"/>
          <w:szCs w:val="24"/>
        </w:rPr>
        <w:t xml:space="preserve"> </w:t>
      </w:r>
      <w:r w:rsidR="009122D7" w:rsidRPr="00DD6763">
        <w:rPr>
          <w:rFonts w:ascii="Times New Roman" w:hAnsi="Times New Roman" w:cs="Times New Roman"/>
          <w:bCs/>
          <w:sz w:val="24"/>
          <w:szCs w:val="24"/>
        </w:rPr>
        <w:t>Most of the cases revolve around land claim</w:t>
      </w:r>
      <w:r w:rsidR="00A26780" w:rsidRPr="00DD6763">
        <w:rPr>
          <w:rFonts w:ascii="Times New Roman" w:hAnsi="Times New Roman" w:cs="Times New Roman"/>
          <w:bCs/>
          <w:sz w:val="24"/>
          <w:szCs w:val="24"/>
        </w:rPr>
        <w:t>s and natural resources disputes, where l</w:t>
      </w:r>
      <w:r w:rsidR="009122D7" w:rsidRPr="00DD6763">
        <w:rPr>
          <w:rFonts w:ascii="Times New Roman" w:hAnsi="Times New Roman" w:cs="Times New Roman"/>
          <w:bCs/>
          <w:sz w:val="24"/>
          <w:szCs w:val="24"/>
        </w:rPr>
        <w:t>and rights are entrenched with environmental and cultural rights.</w:t>
      </w:r>
      <w:r w:rsidR="0086732A" w:rsidRPr="00DD6763">
        <w:rPr>
          <w:rStyle w:val="FootnoteReference"/>
          <w:rFonts w:ascii="Times New Roman" w:hAnsi="Times New Roman" w:cs="Times New Roman"/>
          <w:bCs/>
          <w:sz w:val="24"/>
          <w:szCs w:val="24"/>
        </w:rPr>
        <w:footnoteReference w:id="8"/>
      </w:r>
      <w:r w:rsidR="009122D7" w:rsidRPr="00DD6763">
        <w:rPr>
          <w:rFonts w:ascii="Times New Roman" w:hAnsi="Times New Roman" w:cs="Times New Roman"/>
          <w:bCs/>
          <w:sz w:val="24"/>
          <w:szCs w:val="24"/>
        </w:rPr>
        <w:t xml:space="preserve"> </w:t>
      </w:r>
      <w:r w:rsidR="00DE319F" w:rsidRPr="00DD6763">
        <w:rPr>
          <w:rFonts w:ascii="Times New Roman" w:hAnsi="Times New Roman" w:cs="Times New Roman"/>
          <w:bCs/>
          <w:sz w:val="24"/>
          <w:szCs w:val="24"/>
        </w:rPr>
        <w:t xml:space="preserve">As </w:t>
      </w:r>
      <w:proofErr w:type="spellStart"/>
      <w:r w:rsidR="00DE319F" w:rsidRPr="00DD6763">
        <w:rPr>
          <w:rFonts w:ascii="Times New Roman" w:hAnsi="Times New Roman" w:cs="Times New Roman"/>
          <w:bCs/>
          <w:sz w:val="24"/>
          <w:szCs w:val="24"/>
        </w:rPr>
        <w:t>Birnie</w:t>
      </w:r>
      <w:proofErr w:type="spellEnd"/>
      <w:r w:rsidR="00DE319F" w:rsidRPr="00DD6763">
        <w:rPr>
          <w:rFonts w:ascii="Times New Roman" w:hAnsi="Times New Roman" w:cs="Times New Roman"/>
          <w:bCs/>
          <w:sz w:val="24"/>
          <w:szCs w:val="24"/>
        </w:rPr>
        <w:t xml:space="preserve">, Boyle and </w:t>
      </w:r>
      <w:proofErr w:type="spellStart"/>
      <w:r w:rsidR="00DE319F" w:rsidRPr="00DD6763">
        <w:rPr>
          <w:rFonts w:ascii="Times New Roman" w:hAnsi="Times New Roman" w:cs="Times New Roman"/>
          <w:bCs/>
          <w:sz w:val="24"/>
          <w:szCs w:val="24"/>
        </w:rPr>
        <w:t>Redgwell</w:t>
      </w:r>
      <w:proofErr w:type="spellEnd"/>
      <w:r w:rsidR="00DE319F" w:rsidRPr="00DD6763">
        <w:rPr>
          <w:rFonts w:ascii="Times New Roman" w:hAnsi="Times New Roman" w:cs="Times New Roman"/>
          <w:bCs/>
          <w:sz w:val="24"/>
          <w:szCs w:val="24"/>
        </w:rPr>
        <w:t xml:space="preserve"> submit environmental rights involve a dimension of solidarity</w:t>
      </w:r>
      <w:r w:rsidR="00FA76F5" w:rsidRPr="00DD6763">
        <w:rPr>
          <w:rFonts w:ascii="Times New Roman" w:hAnsi="Times New Roman" w:cs="Times New Roman"/>
          <w:bCs/>
          <w:sz w:val="24"/>
          <w:szCs w:val="24"/>
        </w:rPr>
        <w:t xml:space="preserve"> </w:t>
      </w:r>
      <w:r w:rsidR="00DE319F" w:rsidRPr="00DD6763">
        <w:rPr>
          <w:rFonts w:ascii="Times New Roman" w:hAnsi="Times New Roman" w:cs="Times New Roman"/>
          <w:bCs/>
          <w:sz w:val="24"/>
          <w:szCs w:val="24"/>
        </w:rPr>
        <w:t xml:space="preserve">giving communities (‘peoples’) </w:t>
      </w:r>
      <w:r w:rsidR="00D22A95" w:rsidRPr="00DD6763">
        <w:rPr>
          <w:rFonts w:ascii="Times New Roman" w:hAnsi="Times New Roman" w:cs="Times New Roman"/>
          <w:bCs/>
          <w:sz w:val="24"/>
          <w:szCs w:val="24"/>
        </w:rPr>
        <w:t>(</w:t>
      </w:r>
      <w:r w:rsidR="00DE319F" w:rsidRPr="00DD6763">
        <w:rPr>
          <w:rFonts w:ascii="Times New Roman" w:hAnsi="Times New Roman" w:cs="Times New Roman"/>
          <w:bCs/>
          <w:sz w:val="24"/>
          <w:szCs w:val="24"/>
        </w:rPr>
        <w:t>…</w:t>
      </w:r>
      <w:r w:rsidR="00D22A95" w:rsidRPr="00DD6763">
        <w:rPr>
          <w:rFonts w:ascii="Times New Roman" w:hAnsi="Times New Roman" w:cs="Times New Roman"/>
          <w:bCs/>
          <w:sz w:val="24"/>
          <w:szCs w:val="24"/>
        </w:rPr>
        <w:t xml:space="preserve">) </w:t>
      </w:r>
      <w:r w:rsidR="00DE319F" w:rsidRPr="00DD6763">
        <w:rPr>
          <w:rFonts w:ascii="Times New Roman" w:hAnsi="Times New Roman" w:cs="Times New Roman"/>
          <w:bCs/>
          <w:sz w:val="24"/>
          <w:szCs w:val="24"/>
        </w:rPr>
        <w:t>a right to determine how their environment and natural resources should be protected and managed”.</w:t>
      </w:r>
      <w:r w:rsidR="00BA3D39" w:rsidRPr="00DD6763">
        <w:rPr>
          <w:rStyle w:val="FootnoteReference"/>
          <w:rFonts w:ascii="Times New Roman" w:hAnsi="Times New Roman" w:cs="Times New Roman"/>
          <w:bCs/>
          <w:sz w:val="24"/>
          <w:szCs w:val="24"/>
        </w:rPr>
        <w:footnoteReference w:id="9"/>
      </w:r>
    </w:p>
    <w:p w14:paraId="57F43B53" w14:textId="2679BF63" w:rsidR="00A77BD7" w:rsidRPr="00DD6763" w:rsidRDefault="00AF2C38" w:rsidP="00341A5B">
      <w:pPr>
        <w:spacing w:after="0" w:line="276" w:lineRule="auto"/>
        <w:jc w:val="both"/>
        <w:rPr>
          <w:rFonts w:ascii="Times New Roman" w:hAnsi="Times New Roman" w:cs="Times New Roman"/>
          <w:bCs/>
          <w:sz w:val="24"/>
          <w:szCs w:val="24"/>
        </w:rPr>
      </w:pPr>
      <w:r w:rsidRPr="00DD6763">
        <w:rPr>
          <w:rFonts w:ascii="Times New Roman" w:hAnsi="Times New Roman" w:cs="Times New Roman"/>
          <w:bCs/>
          <w:sz w:val="24"/>
          <w:szCs w:val="24"/>
        </w:rPr>
        <w:tab/>
      </w:r>
      <w:r w:rsidR="009122D7" w:rsidRPr="00DD6763">
        <w:rPr>
          <w:rFonts w:ascii="Times New Roman" w:hAnsi="Times New Roman" w:cs="Times New Roman"/>
          <w:bCs/>
          <w:sz w:val="24"/>
          <w:szCs w:val="24"/>
        </w:rPr>
        <w:t xml:space="preserve">A particularly controversial aspect </w:t>
      </w:r>
      <w:r w:rsidR="00CD5A27" w:rsidRPr="00DD6763">
        <w:rPr>
          <w:rFonts w:ascii="Times New Roman" w:hAnsi="Times New Roman" w:cs="Times New Roman"/>
          <w:bCs/>
          <w:sz w:val="24"/>
          <w:szCs w:val="24"/>
        </w:rPr>
        <w:t>regards</w:t>
      </w:r>
      <w:r w:rsidR="004C4234" w:rsidRPr="00DD6763">
        <w:rPr>
          <w:rFonts w:ascii="Times New Roman" w:hAnsi="Times New Roman" w:cs="Times New Roman"/>
          <w:bCs/>
          <w:sz w:val="24"/>
          <w:szCs w:val="24"/>
        </w:rPr>
        <w:t xml:space="preserve"> </w:t>
      </w:r>
      <w:r w:rsidR="009122D7" w:rsidRPr="00DD6763">
        <w:rPr>
          <w:rFonts w:ascii="Times New Roman" w:hAnsi="Times New Roman" w:cs="Times New Roman"/>
          <w:bCs/>
          <w:sz w:val="24"/>
          <w:szCs w:val="24"/>
        </w:rPr>
        <w:t>the relations</w:t>
      </w:r>
      <w:r w:rsidR="00412D90" w:rsidRPr="00DD6763">
        <w:rPr>
          <w:rFonts w:ascii="Times New Roman" w:hAnsi="Times New Roman" w:cs="Times New Roman"/>
          <w:bCs/>
          <w:sz w:val="24"/>
          <w:szCs w:val="24"/>
        </w:rPr>
        <w:t>hip</w:t>
      </w:r>
      <w:r w:rsidR="00C27FBF" w:rsidRPr="00DD6763">
        <w:rPr>
          <w:rFonts w:ascii="Times New Roman" w:hAnsi="Times New Roman" w:cs="Times New Roman"/>
          <w:bCs/>
          <w:sz w:val="24"/>
          <w:szCs w:val="24"/>
        </w:rPr>
        <w:t xml:space="preserve"> </w:t>
      </w:r>
      <w:r w:rsidR="009122D7" w:rsidRPr="00DD6763">
        <w:rPr>
          <w:rFonts w:ascii="Times New Roman" w:hAnsi="Times New Roman" w:cs="Times New Roman"/>
          <w:bCs/>
          <w:sz w:val="24"/>
          <w:szCs w:val="24"/>
        </w:rPr>
        <w:t>between Environmental Impact Assessment (EIA)</w:t>
      </w:r>
      <w:r w:rsidR="00DB273F" w:rsidRPr="00DD6763">
        <w:rPr>
          <w:rFonts w:ascii="Times New Roman" w:hAnsi="Times New Roman" w:cs="Times New Roman"/>
          <w:bCs/>
          <w:sz w:val="24"/>
          <w:szCs w:val="24"/>
        </w:rPr>
        <w:t xml:space="preserve"> and</w:t>
      </w:r>
      <w:r w:rsidR="00C27FBF" w:rsidRPr="00DD6763">
        <w:rPr>
          <w:rFonts w:ascii="Times New Roman" w:hAnsi="Times New Roman" w:cs="Times New Roman"/>
          <w:bCs/>
          <w:sz w:val="24"/>
          <w:szCs w:val="24"/>
        </w:rPr>
        <w:t xml:space="preserve"> the process of consultation leading to</w:t>
      </w:r>
      <w:r w:rsidR="00DB273F" w:rsidRPr="00DD6763">
        <w:rPr>
          <w:rFonts w:ascii="Times New Roman" w:hAnsi="Times New Roman" w:cs="Times New Roman"/>
          <w:bCs/>
          <w:sz w:val="24"/>
          <w:szCs w:val="24"/>
        </w:rPr>
        <w:t xml:space="preserve"> FPIC</w:t>
      </w:r>
      <w:r w:rsidR="009122D7" w:rsidRPr="00DD6763">
        <w:rPr>
          <w:rFonts w:ascii="Times New Roman" w:hAnsi="Times New Roman" w:cs="Times New Roman"/>
          <w:bCs/>
          <w:sz w:val="24"/>
          <w:szCs w:val="24"/>
        </w:rPr>
        <w:t xml:space="preserve"> </w:t>
      </w:r>
      <w:r w:rsidR="004C4234" w:rsidRPr="00DD6763">
        <w:rPr>
          <w:rFonts w:ascii="Times New Roman" w:hAnsi="Times New Roman" w:cs="Times New Roman"/>
          <w:bCs/>
          <w:sz w:val="24"/>
          <w:szCs w:val="24"/>
        </w:rPr>
        <w:t xml:space="preserve">because </w:t>
      </w:r>
      <w:r w:rsidR="00626500" w:rsidRPr="00DD6763">
        <w:rPr>
          <w:rFonts w:ascii="Times New Roman" w:hAnsi="Times New Roman" w:cs="Times New Roman"/>
          <w:bCs/>
          <w:sz w:val="24"/>
          <w:szCs w:val="24"/>
        </w:rPr>
        <w:t xml:space="preserve">these </w:t>
      </w:r>
      <w:r w:rsidR="009122D7" w:rsidRPr="00DD6763">
        <w:rPr>
          <w:rFonts w:ascii="Times New Roman" w:hAnsi="Times New Roman" w:cs="Times New Roman"/>
          <w:bCs/>
          <w:sz w:val="24"/>
          <w:szCs w:val="24"/>
        </w:rPr>
        <w:t>procedures</w:t>
      </w:r>
      <w:r w:rsidR="00831E12" w:rsidRPr="00DD6763">
        <w:rPr>
          <w:rFonts w:ascii="Times New Roman" w:hAnsi="Times New Roman" w:cs="Times New Roman"/>
          <w:bCs/>
          <w:sz w:val="24"/>
          <w:szCs w:val="24"/>
        </w:rPr>
        <w:t xml:space="preserve"> get often confused</w:t>
      </w:r>
      <w:r w:rsidR="003E35E4" w:rsidRPr="00DD6763">
        <w:rPr>
          <w:rFonts w:ascii="Times New Roman" w:hAnsi="Times New Roman" w:cs="Times New Roman"/>
          <w:bCs/>
          <w:sz w:val="24"/>
          <w:szCs w:val="24"/>
        </w:rPr>
        <w:t xml:space="preserve"> in state practice</w:t>
      </w:r>
      <w:r w:rsidR="00A26780" w:rsidRPr="00DD6763">
        <w:rPr>
          <w:rFonts w:ascii="Times New Roman" w:hAnsi="Times New Roman" w:cs="Times New Roman"/>
          <w:bCs/>
          <w:sz w:val="24"/>
          <w:szCs w:val="24"/>
        </w:rPr>
        <w:t xml:space="preserve">. </w:t>
      </w:r>
      <w:r w:rsidR="006C52BE" w:rsidRPr="00DD6763">
        <w:rPr>
          <w:rFonts w:ascii="Times New Roman" w:hAnsi="Times New Roman" w:cs="Times New Roman"/>
          <w:bCs/>
          <w:sz w:val="24"/>
          <w:szCs w:val="24"/>
        </w:rPr>
        <w:t>Th</w:t>
      </w:r>
      <w:r w:rsidR="004C4234" w:rsidRPr="00DD6763">
        <w:rPr>
          <w:rFonts w:ascii="Times New Roman" w:hAnsi="Times New Roman" w:cs="Times New Roman"/>
          <w:bCs/>
          <w:sz w:val="24"/>
          <w:szCs w:val="24"/>
        </w:rPr>
        <w:t>is</w:t>
      </w:r>
      <w:r w:rsidR="006C52BE" w:rsidRPr="00DD6763">
        <w:rPr>
          <w:rFonts w:ascii="Times New Roman" w:hAnsi="Times New Roman" w:cs="Times New Roman"/>
          <w:bCs/>
          <w:sz w:val="24"/>
          <w:szCs w:val="24"/>
        </w:rPr>
        <w:t xml:space="preserve"> article examines how FPIC is construed, drawing on international human rights law</w:t>
      </w:r>
      <w:r w:rsidR="00136B76" w:rsidRPr="00DD6763">
        <w:rPr>
          <w:rFonts w:ascii="Times New Roman" w:hAnsi="Times New Roman" w:cs="Times New Roman"/>
          <w:bCs/>
          <w:sz w:val="24"/>
          <w:szCs w:val="24"/>
        </w:rPr>
        <w:t xml:space="preserve"> (IHRL)</w:t>
      </w:r>
      <w:r w:rsidR="006C52BE" w:rsidRPr="00DD6763">
        <w:rPr>
          <w:rFonts w:ascii="Times New Roman" w:hAnsi="Times New Roman" w:cs="Times New Roman"/>
          <w:bCs/>
          <w:sz w:val="24"/>
          <w:szCs w:val="24"/>
        </w:rPr>
        <w:t xml:space="preserve"> and international environmental law</w:t>
      </w:r>
      <w:r w:rsidR="00D15C40" w:rsidRPr="00DD6763">
        <w:rPr>
          <w:rFonts w:ascii="Times New Roman" w:hAnsi="Times New Roman" w:cs="Times New Roman"/>
          <w:bCs/>
          <w:sz w:val="24"/>
          <w:szCs w:val="24"/>
        </w:rPr>
        <w:t xml:space="preserve"> </w:t>
      </w:r>
      <w:r w:rsidR="00136B76" w:rsidRPr="00DD6763">
        <w:rPr>
          <w:rFonts w:ascii="Times New Roman" w:hAnsi="Times New Roman" w:cs="Times New Roman"/>
          <w:bCs/>
          <w:sz w:val="24"/>
          <w:szCs w:val="24"/>
        </w:rPr>
        <w:t>(IEL)</w:t>
      </w:r>
      <w:r w:rsidR="006C52BE" w:rsidRPr="00DD6763">
        <w:rPr>
          <w:rFonts w:ascii="Times New Roman" w:hAnsi="Times New Roman" w:cs="Times New Roman"/>
          <w:bCs/>
          <w:sz w:val="24"/>
          <w:szCs w:val="24"/>
        </w:rPr>
        <w:t xml:space="preserve"> considerations. </w:t>
      </w:r>
      <w:r w:rsidR="00A26780" w:rsidRPr="00DD6763">
        <w:rPr>
          <w:rFonts w:ascii="Times New Roman" w:hAnsi="Times New Roman" w:cs="Times New Roman"/>
          <w:bCs/>
          <w:sz w:val="24"/>
          <w:szCs w:val="24"/>
        </w:rPr>
        <w:t xml:space="preserve">The article further explores the different </w:t>
      </w:r>
      <w:r w:rsidR="009B20B8" w:rsidRPr="00DD6763">
        <w:rPr>
          <w:rFonts w:ascii="Times New Roman" w:hAnsi="Times New Roman" w:cs="Times New Roman"/>
          <w:bCs/>
          <w:sz w:val="24"/>
          <w:szCs w:val="24"/>
        </w:rPr>
        <w:t>approaches</w:t>
      </w:r>
      <w:r w:rsidR="00A26780" w:rsidRPr="00DD6763">
        <w:rPr>
          <w:rFonts w:ascii="Times New Roman" w:hAnsi="Times New Roman" w:cs="Times New Roman"/>
          <w:bCs/>
          <w:sz w:val="24"/>
          <w:szCs w:val="24"/>
        </w:rPr>
        <w:t xml:space="preserve"> adopted </w:t>
      </w:r>
      <w:r w:rsidR="003C6808" w:rsidRPr="00DD6763">
        <w:rPr>
          <w:rFonts w:ascii="Times New Roman" w:hAnsi="Times New Roman" w:cs="Times New Roman"/>
          <w:bCs/>
          <w:sz w:val="24"/>
          <w:szCs w:val="24"/>
        </w:rPr>
        <w:t xml:space="preserve">by international </w:t>
      </w:r>
      <w:r w:rsidR="003C6808" w:rsidRPr="00DD6763">
        <w:rPr>
          <w:rFonts w:ascii="Times New Roman" w:hAnsi="Times New Roman" w:cs="Times New Roman"/>
          <w:bCs/>
          <w:sz w:val="24"/>
          <w:szCs w:val="24"/>
        </w:rPr>
        <w:lastRenderedPageBreak/>
        <w:t xml:space="preserve">tribunals </w:t>
      </w:r>
      <w:r w:rsidR="004C4234" w:rsidRPr="00DD6763">
        <w:rPr>
          <w:rFonts w:ascii="Times New Roman" w:hAnsi="Times New Roman" w:cs="Times New Roman"/>
          <w:bCs/>
          <w:sz w:val="24"/>
          <w:szCs w:val="24"/>
        </w:rPr>
        <w:t>vis-à-vis</w:t>
      </w:r>
      <w:r w:rsidR="004C4234" w:rsidRPr="00DD6763" w:rsidDel="004C4234">
        <w:rPr>
          <w:rFonts w:ascii="Times New Roman" w:hAnsi="Times New Roman" w:cs="Times New Roman"/>
          <w:bCs/>
          <w:sz w:val="24"/>
          <w:szCs w:val="24"/>
        </w:rPr>
        <w:t xml:space="preserve"> </w:t>
      </w:r>
      <w:r w:rsidR="00A26780" w:rsidRPr="00DD6763">
        <w:rPr>
          <w:rFonts w:ascii="Times New Roman" w:hAnsi="Times New Roman" w:cs="Times New Roman"/>
          <w:bCs/>
          <w:sz w:val="24"/>
          <w:szCs w:val="24"/>
        </w:rPr>
        <w:t xml:space="preserve">FPIC </w:t>
      </w:r>
      <w:r w:rsidR="004C4234" w:rsidRPr="00DD6763">
        <w:rPr>
          <w:rFonts w:ascii="Times New Roman" w:hAnsi="Times New Roman" w:cs="Times New Roman"/>
          <w:bCs/>
          <w:sz w:val="24"/>
          <w:szCs w:val="24"/>
        </w:rPr>
        <w:t xml:space="preserve">where this concerns </w:t>
      </w:r>
      <w:r w:rsidR="00A26780" w:rsidRPr="00DD6763">
        <w:rPr>
          <w:rFonts w:ascii="Times New Roman" w:hAnsi="Times New Roman" w:cs="Times New Roman"/>
          <w:bCs/>
          <w:sz w:val="24"/>
          <w:szCs w:val="24"/>
        </w:rPr>
        <w:t>environment</w:t>
      </w:r>
      <w:r w:rsidR="00B25919" w:rsidRPr="00DD6763">
        <w:rPr>
          <w:rFonts w:ascii="Times New Roman" w:hAnsi="Times New Roman" w:cs="Times New Roman"/>
          <w:bCs/>
          <w:sz w:val="24"/>
          <w:szCs w:val="24"/>
        </w:rPr>
        <w:t>al protection in the application of</w:t>
      </w:r>
      <w:r w:rsidR="00A26780" w:rsidRPr="00DD6763">
        <w:rPr>
          <w:rFonts w:ascii="Times New Roman" w:hAnsi="Times New Roman" w:cs="Times New Roman"/>
          <w:bCs/>
          <w:sz w:val="24"/>
          <w:szCs w:val="24"/>
        </w:rPr>
        <w:t xml:space="preserve"> </w:t>
      </w:r>
      <w:r w:rsidR="004D513B" w:rsidRPr="00DD6763">
        <w:rPr>
          <w:rFonts w:ascii="Times New Roman" w:hAnsi="Times New Roman" w:cs="Times New Roman"/>
          <w:bCs/>
          <w:sz w:val="24"/>
          <w:szCs w:val="24"/>
        </w:rPr>
        <w:t xml:space="preserve">IHRL </w:t>
      </w:r>
      <w:r w:rsidR="00A26780" w:rsidRPr="00DD6763">
        <w:rPr>
          <w:rFonts w:ascii="Times New Roman" w:hAnsi="Times New Roman" w:cs="Times New Roman"/>
          <w:bCs/>
          <w:sz w:val="24"/>
          <w:szCs w:val="24"/>
        </w:rPr>
        <w:t>and intern</w:t>
      </w:r>
      <w:r w:rsidR="00B25919" w:rsidRPr="00DD6763">
        <w:rPr>
          <w:rFonts w:ascii="Times New Roman" w:hAnsi="Times New Roman" w:cs="Times New Roman"/>
          <w:bCs/>
          <w:sz w:val="24"/>
          <w:szCs w:val="24"/>
        </w:rPr>
        <w:t>ational investment law</w:t>
      </w:r>
      <w:r w:rsidR="00DA775D" w:rsidRPr="00DD6763">
        <w:rPr>
          <w:rFonts w:ascii="Times New Roman" w:hAnsi="Times New Roman" w:cs="Times New Roman"/>
          <w:bCs/>
          <w:sz w:val="24"/>
          <w:szCs w:val="24"/>
        </w:rPr>
        <w:t xml:space="preserve"> (IIL)</w:t>
      </w:r>
      <w:r w:rsidR="00A26780" w:rsidRPr="00DD6763">
        <w:rPr>
          <w:rFonts w:ascii="Times New Roman" w:hAnsi="Times New Roman" w:cs="Times New Roman"/>
          <w:bCs/>
          <w:sz w:val="24"/>
          <w:szCs w:val="24"/>
        </w:rPr>
        <w:t xml:space="preserve">. </w:t>
      </w:r>
    </w:p>
    <w:p w14:paraId="17DA3654" w14:textId="3D5A420C" w:rsidR="001A145E" w:rsidRPr="00DD6763" w:rsidRDefault="00AF2C38" w:rsidP="00341A5B">
      <w:pPr>
        <w:spacing w:after="0" w:line="276" w:lineRule="auto"/>
        <w:jc w:val="both"/>
        <w:rPr>
          <w:rFonts w:ascii="Times New Roman" w:hAnsi="Times New Roman" w:cs="Times New Roman"/>
          <w:bCs/>
          <w:sz w:val="24"/>
          <w:szCs w:val="24"/>
        </w:rPr>
      </w:pPr>
      <w:r w:rsidRPr="00DD6763">
        <w:rPr>
          <w:rFonts w:ascii="Times New Roman" w:hAnsi="Times New Roman" w:cs="Times New Roman"/>
          <w:bCs/>
          <w:sz w:val="24"/>
          <w:szCs w:val="24"/>
        </w:rPr>
        <w:tab/>
      </w:r>
      <w:r w:rsidR="00BF59BE" w:rsidRPr="00DD6763">
        <w:rPr>
          <w:rFonts w:ascii="Times New Roman" w:hAnsi="Times New Roman" w:cs="Times New Roman"/>
          <w:bCs/>
          <w:sz w:val="24"/>
          <w:szCs w:val="24"/>
        </w:rPr>
        <w:t>Against this background</w:t>
      </w:r>
      <w:r w:rsidR="00451628" w:rsidRPr="00DD6763">
        <w:rPr>
          <w:rFonts w:ascii="Times New Roman" w:hAnsi="Times New Roman" w:cs="Times New Roman"/>
          <w:bCs/>
          <w:sz w:val="24"/>
          <w:szCs w:val="24"/>
        </w:rPr>
        <w:t>, t</w:t>
      </w:r>
      <w:r w:rsidR="00B40E85" w:rsidRPr="00DD6763">
        <w:rPr>
          <w:rFonts w:ascii="Times New Roman" w:hAnsi="Times New Roman" w:cs="Times New Roman"/>
          <w:bCs/>
          <w:sz w:val="24"/>
          <w:szCs w:val="24"/>
        </w:rPr>
        <w:t>his article</w:t>
      </w:r>
      <w:r w:rsidR="009122D7" w:rsidRPr="00DD6763">
        <w:rPr>
          <w:rFonts w:ascii="Times New Roman" w:hAnsi="Times New Roman" w:cs="Times New Roman"/>
          <w:bCs/>
          <w:sz w:val="24"/>
          <w:szCs w:val="24"/>
        </w:rPr>
        <w:t xml:space="preserve"> scrutinizes how international law </w:t>
      </w:r>
      <w:r w:rsidR="0072452F" w:rsidRPr="00DD6763">
        <w:rPr>
          <w:rFonts w:ascii="Times New Roman" w:hAnsi="Times New Roman" w:cs="Times New Roman"/>
          <w:bCs/>
          <w:sz w:val="24"/>
          <w:szCs w:val="24"/>
        </w:rPr>
        <w:t>addresses</w:t>
      </w:r>
      <w:r w:rsidR="007775CA" w:rsidRPr="00DD6763">
        <w:rPr>
          <w:rFonts w:ascii="Times New Roman" w:hAnsi="Times New Roman" w:cs="Times New Roman"/>
          <w:bCs/>
          <w:sz w:val="24"/>
          <w:szCs w:val="24"/>
        </w:rPr>
        <w:t xml:space="preserve"> the protection of FP</w:t>
      </w:r>
      <w:r w:rsidR="009122D7" w:rsidRPr="00DD6763">
        <w:rPr>
          <w:rFonts w:ascii="Times New Roman" w:hAnsi="Times New Roman" w:cs="Times New Roman"/>
          <w:bCs/>
          <w:sz w:val="24"/>
          <w:szCs w:val="24"/>
        </w:rPr>
        <w:t>I</w:t>
      </w:r>
      <w:r w:rsidR="007775CA" w:rsidRPr="00DD6763">
        <w:rPr>
          <w:rFonts w:ascii="Times New Roman" w:hAnsi="Times New Roman" w:cs="Times New Roman"/>
          <w:bCs/>
          <w:sz w:val="24"/>
          <w:szCs w:val="24"/>
        </w:rPr>
        <w:t>C</w:t>
      </w:r>
      <w:r w:rsidR="009122D7" w:rsidRPr="00DD6763">
        <w:rPr>
          <w:rFonts w:ascii="Times New Roman" w:hAnsi="Times New Roman" w:cs="Times New Roman"/>
          <w:bCs/>
          <w:sz w:val="24"/>
          <w:szCs w:val="24"/>
        </w:rPr>
        <w:t>, in a preventative or reactive manner, focusing on</w:t>
      </w:r>
      <w:r w:rsidR="00B40E85" w:rsidRPr="00DD6763">
        <w:rPr>
          <w:rFonts w:ascii="Times New Roman" w:hAnsi="Times New Roman" w:cs="Times New Roman"/>
          <w:bCs/>
          <w:sz w:val="24"/>
          <w:szCs w:val="24"/>
        </w:rPr>
        <w:t xml:space="preserve"> </w:t>
      </w:r>
      <w:r w:rsidR="009122D7" w:rsidRPr="00DD6763">
        <w:rPr>
          <w:rFonts w:ascii="Times New Roman" w:hAnsi="Times New Roman" w:cs="Times New Roman"/>
          <w:bCs/>
          <w:sz w:val="24"/>
          <w:szCs w:val="24"/>
        </w:rPr>
        <w:t>international litigation that stem</w:t>
      </w:r>
      <w:r w:rsidR="004C4234" w:rsidRPr="00DD6763">
        <w:rPr>
          <w:rFonts w:ascii="Times New Roman" w:hAnsi="Times New Roman" w:cs="Times New Roman"/>
          <w:bCs/>
          <w:sz w:val="24"/>
          <w:szCs w:val="24"/>
        </w:rPr>
        <w:t>s</w:t>
      </w:r>
      <w:r w:rsidR="009122D7" w:rsidRPr="00DD6763">
        <w:rPr>
          <w:rFonts w:ascii="Times New Roman" w:hAnsi="Times New Roman" w:cs="Times New Roman"/>
          <w:bCs/>
          <w:sz w:val="24"/>
          <w:szCs w:val="24"/>
        </w:rPr>
        <w:t xml:space="preserve"> from cases that involve indigenous </w:t>
      </w:r>
      <w:r w:rsidR="00626500" w:rsidRPr="00DD6763">
        <w:rPr>
          <w:rFonts w:ascii="Times New Roman" w:hAnsi="Times New Roman" w:cs="Times New Roman"/>
          <w:bCs/>
          <w:sz w:val="24"/>
          <w:szCs w:val="24"/>
        </w:rPr>
        <w:t xml:space="preserve">peoples’ </w:t>
      </w:r>
      <w:r w:rsidR="00536A6F" w:rsidRPr="00DD6763">
        <w:rPr>
          <w:rFonts w:ascii="Times New Roman" w:hAnsi="Times New Roman" w:cs="Times New Roman"/>
          <w:bCs/>
          <w:sz w:val="24"/>
          <w:szCs w:val="24"/>
        </w:rPr>
        <w:t>rights. The</w:t>
      </w:r>
      <w:r w:rsidR="002C3676" w:rsidRPr="00DD6763">
        <w:rPr>
          <w:rFonts w:ascii="Times New Roman" w:hAnsi="Times New Roman" w:cs="Times New Roman"/>
          <w:bCs/>
          <w:sz w:val="24"/>
          <w:szCs w:val="24"/>
        </w:rPr>
        <w:t xml:space="preserve"> main con</w:t>
      </w:r>
      <w:r w:rsidR="001B79EB" w:rsidRPr="00DD6763">
        <w:rPr>
          <w:rFonts w:ascii="Times New Roman" w:hAnsi="Times New Roman" w:cs="Times New Roman"/>
          <w:bCs/>
          <w:sz w:val="24"/>
          <w:szCs w:val="24"/>
        </w:rPr>
        <w:t xml:space="preserve">tribution to the current debate </w:t>
      </w:r>
      <w:r w:rsidR="002C3676" w:rsidRPr="00DD6763">
        <w:rPr>
          <w:rFonts w:ascii="Times New Roman" w:hAnsi="Times New Roman" w:cs="Times New Roman"/>
          <w:bCs/>
          <w:sz w:val="24"/>
          <w:szCs w:val="24"/>
        </w:rPr>
        <w:t xml:space="preserve">consists </w:t>
      </w:r>
      <w:r w:rsidR="00710180" w:rsidRPr="00DD6763">
        <w:rPr>
          <w:rFonts w:ascii="Times New Roman" w:hAnsi="Times New Roman" w:cs="Times New Roman"/>
          <w:bCs/>
          <w:sz w:val="24"/>
          <w:szCs w:val="24"/>
        </w:rPr>
        <w:t xml:space="preserve">of </w:t>
      </w:r>
      <w:r w:rsidR="009B2F4A" w:rsidRPr="00DD6763">
        <w:rPr>
          <w:rFonts w:ascii="Times New Roman" w:hAnsi="Times New Roman" w:cs="Times New Roman"/>
          <w:bCs/>
          <w:sz w:val="24"/>
          <w:szCs w:val="24"/>
        </w:rPr>
        <w:t xml:space="preserve">shedding light </w:t>
      </w:r>
      <w:r w:rsidR="00710180" w:rsidRPr="00DD6763">
        <w:rPr>
          <w:rFonts w:ascii="Times New Roman" w:hAnsi="Times New Roman" w:cs="Times New Roman"/>
          <w:bCs/>
          <w:sz w:val="24"/>
          <w:szCs w:val="24"/>
        </w:rPr>
        <w:t xml:space="preserve">on </w:t>
      </w:r>
      <w:r w:rsidR="009B2F4A" w:rsidRPr="00DD6763">
        <w:rPr>
          <w:rFonts w:ascii="Times New Roman" w:hAnsi="Times New Roman" w:cs="Times New Roman"/>
          <w:bCs/>
          <w:sz w:val="24"/>
          <w:szCs w:val="24"/>
        </w:rPr>
        <w:t xml:space="preserve">the discussion about the legal nature of FPIC in international law by examining the evolution of </w:t>
      </w:r>
      <w:r w:rsidR="003E35E4" w:rsidRPr="00DD6763">
        <w:rPr>
          <w:rFonts w:ascii="Times New Roman" w:hAnsi="Times New Roman" w:cs="Times New Roman"/>
          <w:bCs/>
          <w:sz w:val="24"/>
          <w:szCs w:val="24"/>
        </w:rPr>
        <w:t>case law</w:t>
      </w:r>
      <w:r w:rsidR="009B2F4A" w:rsidRPr="00DD6763">
        <w:rPr>
          <w:rFonts w:ascii="Times New Roman" w:hAnsi="Times New Roman" w:cs="Times New Roman"/>
          <w:bCs/>
          <w:sz w:val="24"/>
          <w:szCs w:val="24"/>
        </w:rPr>
        <w:t xml:space="preserve">. </w:t>
      </w:r>
      <w:r w:rsidR="003E35E4" w:rsidRPr="00DD6763">
        <w:rPr>
          <w:rFonts w:ascii="Times New Roman" w:hAnsi="Times New Roman" w:cs="Times New Roman"/>
          <w:bCs/>
          <w:sz w:val="24"/>
          <w:szCs w:val="24"/>
        </w:rPr>
        <w:t xml:space="preserve">The article discusses if </w:t>
      </w:r>
      <w:r w:rsidR="00DB273F" w:rsidRPr="00DD6763">
        <w:rPr>
          <w:rFonts w:ascii="Times New Roman" w:hAnsi="Times New Roman" w:cs="Times New Roman"/>
          <w:bCs/>
          <w:sz w:val="24"/>
          <w:szCs w:val="24"/>
        </w:rPr>
        <w:t>FPIC s</w:t>
      </w:r>
      <w:r w:rsidR="009122D7" w:rsidRPr="00DD6763">
        <w:rPr>
          <w:rFonts w:ascii="Times New Roman" w:hAnsi="Times New Roman" w:cs="Times New Roman"/>
          <w:bCs/>
          <w:sz w:val="24"/>
          <w:szCs w:val="24"/>
        </w:rPr>
        <w:t>hould be considered</w:t>
      </w:r>
      <w:r w:rsidR="00DB273F" w:rsidRPr="00DD6763">
        <w:rPr>
          <w:rFonts w:ascii="Times New Roman" w:hAnsi="Times New Roman" w:cs="Times New Roman"/>
          <w:bCs/>
          <w:sz w:val="24"/>
          <w:szCs w:val="24"/>
        </w:rPr>
        <w:t xml:space="preserve"> as a</w:t>
      </w:r>
      <w:r w:rsidR="009B2F4A" w:rsidRPr="00DD6763">
        <w:rPr>
          <w:rFonts w:ascii="Times New Roman" w:hAnsi="Times New Roman" w:cs="Times New Roman"/>
          <w:bCs/>
          <w:sz w:val="24"/>
          <w:szCs w:val="24"/>
        </w:rPr>
        <w:t>n incipient</w:t>
      </w:r>
      <w:r w:rsidR="00DB273F" w:rsidRPr="00DD6763">
        <w:rPr>
          <w:rFonts w:ascii="Times New Roman" w:hAnsi="Times New Roman" w:cs="Times New Roman"/>
          <w:bCs/>
          <w:sz w:val="24"/>
          <w:szCs w:val="24"/>
        </w:rPr>
        <w:t xml:space="preserve"> </w:t>
      </w:r>
      <w:r w:rsidR="009B2F4A" w:rsidRPr="00DD6763">
        <w:rPr>
          <w:rFonts w:ascii="Times New Roman" w:hAnsi="Times New Roman" w:cs="Times New Roman"/>
          <w:bCs/>
          <w:sz w:val="24"/>
          <w:szCs w:val="24"/>
        </w:rPr>
        <w:t xml:space="preserve">principle or </w:t>
      </w:r>
      <w:r w:rsidR="003E35E4" w:rsidRPr="00DD6763">
        <w:rPr>
          <w:rFonts w:ascii="Times New Roman" w:hAnsi="Times New Roman" w:cs="Times New Roman"/>
          <w:bCs/>
          <w:sz w:val="24"/>
          <w:szCs w:val="24"/>
        </w:rPr>
        <w:t xml:space="preserve">a </w:t>
      </w:r>
      <w:r w:rsidR="001640F3" w:rsidRPr="00DD6763">
        <w:rPr>
          <w:rFonts w:ascii="Times New Roman" w:hAnsi="Times New Roman" w:cs="Times New Roman"/>
          <w:bCs/>
          <w:sz w:val="24"/>
          <w:szCs w:val="24"/>
        </w:rPr>
        <w:t xml:space="preserve">collateral </w:t>
      </w:r>
      <w:r w:rsidR="009B2F4A" w:rsidRPr="00DD6763">
        <w:rPr>
          <w:rFonts w:ascii="Times New Roman" w:hAnsi="Times New Roman" w:cs="Times New Roman"/>
          <w:bCs/>
          <w:sz w:val="24"/>
          <w:szCs w:val="24"/>
        </w:rPr>
        <w:t xml:space="preserve">right </w:t>
      </w:r>
      <w:r w:rsidR="00710180" w:rsidRPr="00DD6763">
        <w:rPr>
          <w:rFonts w:ascii="Times New Roman" w:hAnsi="Times New Roman" w:cs="Times New Roman"/>
          <w:bCs/>
          <w:sz w:val="24"/>
          <w:szCs w:val="24"/>
        </w:rPr>
        <w:t xml:space="preserve">with </w:t>
      </w:r>
      <w:r w:rsidR="00261317" w:rsidRPr="00DD6763">
        <w:rPr>
          <w:rFonts w:ascii="Times New Roman" w:hAnsi="Times New Roman" w:cs="Times New Roman"/>
          <w:bCs/>
          <w:sz w:val="24"/>
          <w:szCs w:val="24"/>
        </w:rPr>
        <w:t>its own</w:t>
      </w:r>
      <w:r w:rsidR="00710180" w:rsidRPr="00DD6763">
        <w:rPr>
          <w:rFonts w:ascii="Times New Roman" w:hAnsi="Times New Roman" w:cs="Times New Roman"/>
          <w:bCs/>
          <w:sz w:val="24"/>
          <w:szCs w:val="24"/>
        </w:rPr>
        <w:t xml:space="preserve"> distinct </w:t>
      </w:r>
      <w:r w:rsidR="00261317" w:rsidRPr="00DD6763">
        <w:rPr>
          <w:rFonts w:ascii="Times New Roman" w:hAnsi="Times New Roman" w:cs="Times New Roman"/>
          <w:bCs/>
          <w:sz w:val="24"/>
          <w:szCs w:val="24"/>
        </w:rPr>
        <w:t>core</w:t>
      </w:r>
      <w:r w:rsidR="00710180" w:rsidRPr="00DD6763">
        <w:rPr>
          <w:rFonts w:ascii="Times New Roman" w:hAnsi="Times New Roman" w:cs="Times New Roman"/>
          <w:bCs/>
          <w:sz w:val="24"/>
          <w:szCs w:val="24"/>
        </w:rPr>
        <w:t xml:space="preserve"> of elements </w:t>
      </w:r>
      <w:r w:rsidR="00261317" w:rsidRPr="00DD6763">
        <w:rPr>
          <w:rFonts w:ascii="Times New Roman" w:hAnsi="Times New Roman" w:cs="Times New Roman"/>
          <w:bCs/>
          <w:sz w:val="24"/>
          <w:szCs w:val="24"/>
        </w:rPr>
        <w:t>deriving from</w:t>
      </w:r>
      <w:r w:rsidR="00710180" w:rsidRPr="00DD6763">
        <w:rPr>
          <w:rFonts w:ascii="Times New Roman" w:hAnsi="Times New Roman" w:cs="Times New Roman"/>
          <w:bCs/>
          <w:sz w:val="24"/>
          <w:szCs w:val="24"/>
        </w:rPr>
        <w:t xml:space="preserve"> the various first-order rights upon which it is predicated. </w:t>
      </w:r>
      <w:r w:rsidR="001640F3" w:rsidRPr="00DD6763">
        <w:rPr>
          <w:rFonts w:ascii="Times New Roman" w:hAnsi="Times New Roman" w:cs="Times New Roman"/>
          <w:bCs/>
          <w:sz w:val="24"/>
          <w:szCs w:val="24"/>
        </w:rPr>
        <w:t xml:space="preserve">Particularised </w:t>
      </w:r>
      <w:r w:rsidR="00261317" w:rsidRPr="00DD6763">
        <w:rPr>
          <w:rFonts w:ascii="Times New Roman" w:hAnsi="Times New Roman" w:cs="Times New Roman"/>
          <w:bCs/>
          <w:sz w:val="24"/>
          <w:szCs w:val="24"/>
        </w:rPr>
        <w:t xml:space="preserve">manifestations of FPIC in specific areas of law </w:t>
      </w:r>
      <w:r w:rsidR="001640F3" w:rsidRPr="00DD6763">
        <w:rPr>
          <w:rFonts w:ascii="Times New Roman" w:hAnsi="Times New Roman" w:cs="Times New Roman"/>
          <w:bCs/>
          <w:sz w:val="24"/>
          <w:szCs w:val="24"/>
        </w:rPr>
        <w:t>could be delineated more clearly as emanations of the</w:t>
      </w:r>
      <w:r w:rsidR="00261317" w:rsidRPr="00DD6763">
        <w:rPr>
          <w:rFonts w:ascii="Times New Roman" w:hAnsi="Times New Roman" w:cs="Times New Roman"/>
          <w:bCs/>
          <w:sz w:val="24"/>
          <w:szCs w:val="24"/>
        </w:rPr>
        <w:t xml:space="preserve"> core </w:t>
      </w:r>
      <w:r w:rsidR="001640F3" w:rsidRPr="00DD6763">
        <w:rPr>
          <w:rFonts w:ascii="Times New Roman" w:hAnsi="Times New Roman" w:cs="Times New Roman"/>
          <w:bCs/>
          <w:sz w:val="24"/>
          <w:szCs w:val="24"/>
        </w:rPr>
        <w:t xml:space="preserve">elements of this </w:t>
      </w:r>
      <w:r w:rsidR="00261317" w:rsidRPr="00DD6763">
        <w:rPr>
          <w:rFonts w:ascii="Times New Roman" w:hAnsi="Times New Roman" w:cs="Times New Roman"/>
          <w:bCs/>
          <w:sz w:val="24"/>
          <w:szCs w:val="24"/>
        </w:rPr>
        <w:t xml:space="preserve">right. </w:t>
      </w:r>
      <w:r w:rsidR="00710180" w:rsidRPr="00DD6763">
        <w:rPr>
          <w:rFonts w:ascii="Times New Roman" w:hAnsi="Times New Roman" w:cs="Times New Roman"/>
          <w:bCs/>
          <w:sz w:val="24"/>
          <w:szCs w:val="24"/>
        </w:rPr>
        <w:t xml:space="preserve">This would be </w:t>
      </w:r>
      <w:r w:rsidR="009B2F4A" w:rsidRPr="00DD6763">
        <w:rPr>
          <w:rFonts w:ascii="Times New Roman" w:hAnsi="Times New Roman" w:cs="Times New Roman"/>
          <w:bCs/>
          <w:sz w:val="24"/>
          <w:szCs w:val="24"/>
        </w:rPr>
        <w:t xml:space="preserve">regulated </w:t>
      </w:r>
      <w:r w:rsidR="00710180" w:rsidRPr="00DD6763">
        <w:rPr>
          <w:rFonts w:ascii="Times New Roman" w:hAnsi="Times New Roman" w:cs="Times New Roman"/>
          <w:bCs/>
          <w:sz w:val="24"/>
          <w:szCs w:val="24"/>
        </w:rPr>
        <w:t>with</w:t>
      </w:r>
      <w:r w:rsidR="009B2F4A" w:rsidRPr="00DD6763">
        <w:rPr>
          <w:rFonts w:ascii="Times New Roman" w:hAnsi="Times New Roman" w:cs="Times New Roman"/>
          <w:bCs/>
          <w:sz w:val="24"/>
          <w:szCs w:val="24"/>
        </w:rPr>
        <w:t>in customary international law</w:t>
      </w:r>
      <w:r w:rsidR="009122D7" w:rsidRPr="00DD6763">
        <w:rPr>
          <w:rFonts w:ascii="Times New Roman" w:hAnsi="Times New Roman" w:cs="Times New Roman"/>
          <w:bCs/>
          <w:sz w:val="24"/>
          <w:szCs w:val="24"/>
        </w:rPr>
        <w:t>.</w:t>
      </w:r>
      <w:r w:rsidR="002C3676" w:rsidRPr="00DD6763">
        <w:rPr>
          <w:rFonts w:ascii="Times New Roman" w:hAnsi="Times New Roman" w:cs="Times New Roman"/>
          <w:bCs/>
          <w:i/>
          <w:sz w:val="24"/>
          <w:szCs w:val="24"/>
        </w:rPr>
        <w:t xml:space="preserve"> </w:t>
      </w:r>
      <w:r w:rsidR="009122D7" w:rsidRPr="00DD6763">
        <w:rPr>
          <w:rFonts w:ascii="Times New Roman" w:hAnsi="Times New Roman" w:cs="Times New Roman"/>
          <w:bCs/>
          <w:sz w:val="24"/>
          <w:szCs w:val="24"/>
        </w:rPr>
        <w:t xml:space="preserve">The </w:t>
      </w:r>
      <w:r w:rsidR="00626500" w:rsidRPr="00DD6763">
        <w:rPr>
          <w:rFonts w:ascii="Times New Roman" w:hAnsi="Times New Roman" w:cs="Times New Roman"/>
          <w:bCs/>
          <w:sz w:val="24"/>
          <w:szCs w:val="24"/>
        </w:rPr>
        <w:t>main reason behind this</w:t>
      </w:r>
      <w:r w:rsidR="009122D7" w:rsidRPr="00DD6763">
        <w:rPr>
          <w:rFonts w:ascii="Times New Roman" w:hAnsi="Times New Roman" w:cs="Times New Roman"/>
          <w:bCs/>
          <w:sz w:val="24"/>
          <w:szCs w:val="24"/>
        </w:rPr>
        <w:t xml:space="preserve"> argument is the necessity to observe it in </w:t>
      </w:r>
      <w:r w:rsidR="005832AC" w:rsidRPr="00DD6763">
        <w:rPr>
          <w:rFonts w:ascii="Times New Roman" w:hAnsi="Times New Roman" w:cs="Times New Roman"/>
          <w:bCs/>
          <w:sz w:val="24"/>
          <w:szCs w:val="24"/>
        </w:rPr>
        <w:t xml:space="preserve">the context of </w:t>
      </w:r>
      <w:r w:rsidR="00DA775D" w:rsidRPr="00DD6763">
        <w:rPr>
          <w:rFonts w:ascii="Times New Roman" w:hAnsi="Times New Roman" w:cs="Times New Roman"/>
          <w:bCs/>
          <w:sz w:val="24"/>
          <w:szCs w:val="24"/>
        </w:rPr>
        <w:t>IIL</w:t>
      </w:r>
      <w:r w:rsidR="009122D7" w:rsidRPr="00DD6763">
        <w:rPr>
          <w:rFonts w:ascii="Times New Roman" w:hAnsi="Times New Roman" w:cs="Times New Roman"/>
          <w:bCs/>
          <w:sz w:val="24"/>
          <w:szCs w:val="24"/>
        </w:rPr>
        <w:t xml:space="preserve"> and other specialized fields of international law. </w:t>
      </w:r>
      <w:r w:rsidR="005832AC" w:rsidRPr="00DD6763">
        <w:rPr>
          <w:rFonts w:ascii="Times New Roman" w:hAnsi="Times New Roman" w:cs="Times New Roman"/>
          <w:bCs/>
          <w:sz w:val="24"/>
          <w:szCs w:val="24"/>
        </w:rPr>
        <w:t>This approach to understanding FPIC</w:t>
      </w:r>
      <w:r w:rsidR="009122D7" w:rsidRPr="00DD6763">
        <w:rPr>
          <w:rFonts w:ascii="Times New Roman" w:hAnsi="Times New Roman" w:cs="Times New Roman"/>
          <w:bCs/>
          <w:sz w:val="24"/>
          <w:szCs w:val="24"/>
        </w:rPr>
        <w:t xml:space="preserve"> </w:t>
      </w:r>
      <w:r w:rsidR="005832AC" w:rsidRPr="00DD6763">
        <w:rPr>
          <w:rFonts w:ascii="Times New Roman" w:hAnsi="Times New Roman" w:cs="Times New Roman"/>
          <w:bCs/>
          <w:sz w:val="24"/>
          <w:szCs w:val="24"/>
        </w:rPr>
        <w:t xml:space="preserve">also creates space for </w:t>
      </w:r>
      <w:r w:rsidR="009122D7" w:rsidRPr="00DD6763">
        <w:rPr>
          <w:rFonts w:ascii="Times New Roman" w:hAnsi="Times New Roman" w:cs="Times New Roman"/>
          <w:bCs/>
          <w:sz w:val="24"/>
          <w:szCs w:val="24"/>
        </w:rPr>
        <w:t>new perspectives on sustainable development as a legal princi</w:t>
      </w:r>
      <w:r w:rsidR="009B2F4A" w:rsidRPr="00DD6763">
        <w:rPr>
          <w:rFonts w:ascii="Times New Roman" w:hAnsi="Times New Roman" w:cs="Times New Roman"/>
          <w:bCs/>
          <w:sz w:val="24"/>
          <w:szCs w:val="24"/>
        </w:rPr>
        <w:t xml:space="preserve">ple intrinsically linked to FPIC since consultation and consent are necessary to undertake major projects </w:t>
      </w:r>
      <w:r w:rsidR="004A479F" w:rsidRPr="00DD6763">
        <w:rPr>
          <w:rFonts w:ascii="Times New Roman" w:hAnsi="Times New Roman" w:cs="Times New Roman"/>
          <w:bCs/>
          <w:sz w:val="24"/>
          <w:szCs w:val="24"/>
        </w:rPr>
        <w:t xml:space="preserve">affecting </w:t>
      </w:r>
      <w:r w:rsidR="009B2F4A" w:rsidRPr="00DD6763">
        <w:rPr>
          <w:rFonts w:ascii="Times New Roman" w:hAnsi="Times New Roman" w:cs="Times New Roman"/>
          <w:bCs/>
          <w:sz w:val="24"/>
          <w:szCs w:val="24"/>
        </w:rPr>
        <w:t>indigenous peoples</w:t>
      </w:r>
      <w:r w:rsidR="004A479F" w:rsidRPr="00DD6763">
        <w:rPr>
          <w:rFonts w:ascii="Times New Roman" w:hAnsi="Times New Roman" w:cs="Times New Roman"/>
          <w:bCs/>
          <w:sz w:val="24"/>
          <w:szCs w:val="24"/>
        </w:rPr>
        <w:t>’ lands</w:t>
      </w:r>
      <w:r w:rsidR="009122D7" w:rsidRPr="00DD6763">
        <w:rPr>
          <w:rFonts w:ascii="Times New Roman" w:hAnsi="Times New Roman" w:cs="Times New Roman"/>
          <w:bCs/>
          <w:sz w:val="24"/>
          <w:szCs w:val="24"/>
        </w:rPr>
        <w:t>.</w:t>
      </w:r>
      <w:r w:rsidR="00167C93" w:rsidRPr="00DD6763">
        <w:rPr>
          <w:rFonts w:ascii="Times New Roman" w:hAnsi="Times New Roman" w:cs="Times New Roman"/>
          <w:bCs/>
          <w:sz w:val="24"/>
          <w:szCs w:val="24"/>
        </w:rPr>
        <w:t xml:space="preserve"> </w:t>
      </w:r>
      <w:r w:rsidR="001640F3" w:rsidRPr="00DD6763">
        <w:rPr>
          <w:rFonts w:ascii="Times New Roman" w:hAnsi="Times New Roman" w:cs="Times New Roman"/>
          <w:bCs/>
          <w:sz w:val="24"/>
          <w:szCs w:val="24"/>
        </w:rPr>
        <w:t xml:space="preserve">This article therefore provides a new and original insight into the way FPIC is understood in the human rights realm and by investment tribunals in international litigation. </w:t>
      </w:r>
      <w:r w:rsidR="00A21BA2" w:rsidRPr="00DD6763">
        <w:rPr>
          <w:rFonts w:ascii="Times New Roman" w:hAnsi="Times New Roman" w:cs="Times New Roman"/>
          <w:bCs/>
          <w:sz w:val="24"/>
          <w:szCs w:val="24"/>
        </w:rPr>
        <w:t xml:space="preserve">It argues </w:t>
      </w:r>
      <w:r w:rsidR="008B74CD" w:rsidRPr="00DD6763">
        <w:rPr>
          <w:rFonts w:ascii="Times New Roman" w:hAnsi="Times New Roman" w:cs="Times New Roman"/>
          <w:bCs/>
          <w:sz w:val="24"/>
          <w:szCs w:val="24"/>
        </w:rPr>
        <w:t>that the current legal framework</w:t>
      </w:r>
      <w:r w:rsidR="00204DC0" w:rsidRPr="00DD6763">
        <w:rPr>
          <w:rFonts w:ascii="Times New Roman" w:hAnsi="Times New Roman" w:cs="Times New Roman"/>
          <w:bCs/>
          <w:sz w:val="24"/>
          <w:szCs w:val="24"/>
        </w:rPr>
        <w:t xml:space="preserve"> presents a considerable fragmentation and</w:t>
      </w:r>
      <w:r w:rsidR="008B74CD" w:rsidRPr="00DD6763">
        <w:rPr>
          <w:rFonts w:ascii="Times New Roman" w:hAnsi="Times New Roman" w:cs="Times New Roman"/>
          <w:bCs/>
          <w:sz w:val="24"/>
          <w:szCs w:val="24"/>
        </w:rPr>
        <w:t xml:space="preserve"> should be revisited in order to </w:t>
      </w:r>
      <w:r w:rsidR="00204DC0" w:rsidRPr="00DD6763">
        <w:rPr>
          <w:rFonts w:ascii="Times New Roman" w:hAnsi="Times New Roman" w:cs="Times New Roman"/>
          <w:bCs/>
          <w:sz w:val="24"/>
          <w:szCs w:val="24"/>
        </w:rPr>
        <w:t>provide a more coherent approach to FPIC.</w:t>
      </w:r>
      <w:r w:rsidR="008B74CD" w:rsidRPr="00DD6763">
        <w:rPr>
          <w:rFonts w:ascii="Times New Roman" w:hAnsi="Times New Roman" w:cs="Times New Roman"/>
          <w:bCs/>
          <w:sz w:val="24"/>
          <w:szCs w:val="24"/>
        </w:rPr>
        <w:t xml:space="preserve"> </w:t>
      </w:r>
    </w:p>
    <w:p w14:paraId="2962E73E" w14:textId="400D2B48" w:rsidR="00F30C45" w:rsidRPr="00DD6763" w:rsidRDefault="00AF2C38" w:rsidP="00341A5B">
      <w:pPr>
        <w:spacing w:after="0" w:line="276" w:lineRule="auto"/>
        <w:jc w:val="both"/>
        <w:rPr>
          <w:rFonts w:ascii="Times New Roman" w:hAnsi="Times New Roman" w:cs="Times New Roman"/>
          <w:bCs/>
          <w:sz w:val="24"/>
          <w:szCs w:val="24"/>
        </w:rPr>
      </w:pPr>
      <w:r w:rsidRPr="00DD6763">
        <w:rPr>
          <w:rFonts w:ascii="Times New Roman" w:hAnsi="Times New Roman" w:cs="Times New Roman"/>
          <w:bCs/>
          <w:sz w:val="24"/>
          <w:szCs w:val="24"/>
        </w:rPr>
        <w:tab/>
      </w:r>
      <w:r w:rsidR="005832AC" w:rsidRPr="00DD6763">
        <w:rPr>
          <w:rFonts w:ascii="Times New Roman" w:hAnsi="Times New Roman" w:cs="Times New Roman"/>
          <w:bCs/>
          <w:sz w:val="24"/>
          <w:szCs w:val="24"/>
        </w:rPr>
        <w:t xml:space="preserve">Through </w:t>
      </w:r>
      <w:r w:rsidR="00B25919" w:rsidRPr="00DD6763">
        <w:rPr>
          <w:rFonts w:ascii="Times New Roman" w:hAnsi="Times New Roman" w:cs="Times New Roman"/>
          <w:bCs/>
          <w:sz w:val="24"/>
          <w:szCs w:val="24"/>
        </w:rPr>
        <w:t xml:space="preserve">analysing these different cases, legal principles applicable to solve the conflicts </w:t>
      </w:r>
      <w:r w:rsidR="001D704D" w:rsidRPr="00DD6763">
        <w:rPr>
          <w:rFonts w:ascii="Times New Roman" w:hAnsi="Times New Roman" w:cs="Times New Roman"/>
          <w:bCs/>
          <w:sz w:val="24"/>
          <w:szCs w:val="24"/>
        </w:rPr>
        <w:t xml:space="preserve">that </w:t>
      </w:r>
      <w:r w:rsidR="002045E2" w:rsidRPr="00DD6763">
        <w:rPr>
          <w:rFonts w:ascii="Times New Roman" w:hAnsi="Times New Roman" w:cs="Times New Roman"/>
          <w:bCs/>
          <w:sz w:val="24"/>
          <w:szCs w:val="24"/>
        </w:rPr>
        <w:t xml:space="preserve">FPIC and </w:t>
      </w:r>
      <w:r w:rsidR="001640F3" w:rsidRPr="00DD6763">
        <w:rPr>
          <w:rFonts w:ascii="Times New Roman" w:hAnsi="Times New Roman" w:cs="Times New Roman"/>
          <w:bCs/>
          <w:sz w:val="24"/>
          <w:szCs w:val="24"/>
        </w:rPr>
        <w:t xml:space="preserve">its parent rights </w:t>
      </w:r>
      <w:r w:rsidR="001D704D" w:rsidRPr="00DD6763">
        <w:rPr>
          <w:rFonts w:ascii="Times New Roman" w:hAnsi="Times New Roman" w:cs="Times New Roman"/>
          <w:bCs/>
          <w:sz w:val="24"/>
          <w:szCs w:val="24"/>
        </w:rPr>
        <w:t xml:space="preserve">have </w:t>
      </w:r>
      <w:r w:rsidR="001640F3" w:rsidRPr="00DD6763">
        <w:rPr>
          <w:rFonts w:ascii="Times New Roman" w:hAnsi="Times New Roman" w:cs="Times New Roman"/>
          <w:bCs/>
          <w:sz w:val="24"/>
          <w:szCs w:val="24"/>
        </w:rPr>
        <w:t xml:space="preserve">with </w:t>
      </w:r>
      <w:r w:rsidR="002045E2" w:rsidRPr="00DD6763">
        <w:rPr>
          <w:rFonts w:ascii="Times New Roman" w:hAnsi="Times New Roman" w:cs="Times New Roman"/>
          <w:bCs/>
          <w:sz w:val="24"/>
          <w:szCs w:val="24"/>
        </w:rPr>
        <w:t>other rights at stake</w:t>
      </w:r>
      <w:r w:rsidR="00CE51E6" w:rsidRPr="00DD6763">
        <w:rPr>
          <w:rFonts w:ascii="Times New Roman" w:hAnsi="Times New Roman" w:cs="Times New Roman"/>
          <w:bCs/>
          <w:sz w:val="24"/>
          <w:szCs w:val="24"/>
        </w:rPr>
        <w:t xml:space="preserve"> (namely the rights of foreign investors)</w:t>
      </w:r>
      <w:r w:rsidR="002045E2" w:rsidRPr="00DD6763">
        <w:rPr>
          <w:rFonts w:ascii="Times New Roman" w:hAnsi="Times New Roman" w:cs="Times New Roman"/>
          <w:bCs/>
          <w:sz w:val="24"/>
          <w:szCs w:val="24"/>
        </w:rPr>
        <w:t xml:space="preserve"> </w:t>
      </w:r>
      <w:r w:rsidR="00B25919" w:rsidRPr="00DD6763">
        <w:rPr>
          <w:rFonts w:ascii="Times New Roman" w:hAnsi="Times New Roman" w:cs="Times New Roman"/>
          <w:bCs/>
          <w:sz w:val="24"/>
          <w:szCs w:val="24"/>
        </w:rPr>
        <w:t xml:space="preserve">are identified. Undoubtedly, international investment tribunals and regional human rights courts present distinctive </w:t>
      </w:r>
      <w:r w:rsidR="003B607F" w:rsidRPr="00DD6763">
        <w:rPr>
          <w:rFonts w:ascii="Times New Roman" w:hAnsi="Times New Roman" w:cs="Times New Roman"/>
          <w:bCs/>
          <w:sz w:val="24"/>
          <w:szCs w:val="24"/>
        </w:rPr>
        <w:t xml:space="preserve">legal </w:t>
      </w:r>
      <w:r w:rsidR="00B25919" w:rsidRPr="00DD6763">
        <w:rPr>
          <w:rFonts w:ascii="Times New Roman" w:hAnsi="Times New Roman" w:cs="Times New Roman"/>
          <w:bCs/>
          <w:sz w:val="24"/>
          <w:szCs w:val="24"/>
        </w:rPr>
        <w:t xml:space="preserve">features </w:t>
      </w:r>
      <w:r w:rsidR="003B607F" w:rsidRPr="00DD6763">
        <w:rPr>
          <w:rFonts w:ascii="Times New Roman" w:hAnsi="Times New Roman" w:cs="Times New Roman"/>
          <w:bCs/>
          <w:sz w:val="24"/>
          <w:szCs w:val="24"/>
        </w:rPr>
        <w:t>in terms of the scope of their respective jurisdiction</w:t>
      </w:r>
      <w:r w:rsidR="0017589D" w:rsidRPr="00DD6763">
        <w:rPr>
          <w:rFonts w:ascii="Times New Roman" w:hAnsi="Times New Roman" w:cs="Times New Roman"/>
          <w:bCs/>
          <w:sz w:val="24"/>
          <w:szCs w:val="24"/>
        </w:rPr>
        <w:t xml:space="preserve">s, </w:t>
      </w:r>
      <w:r w:rsidR="00B25919" w:rsidRPr="00DD6763">
        <w:rPr>
          <w:rFonts w:ascii="Times New Roman" w:hAnsi="Times New Roman" w:cs="Times New Roman"/>
          <w:bCs/>
          <w:sz w:val="24"/>
          <w:szCs w:val="24"/>
        </w:rPr>
        <w:t xml:space="preserve">which are then reflected in the approaches taken to FPIC. </w:t>
      </w:r>
      <w:r w:rsidR="00412D90" w:rsidRPr="00DD6763">
        <w:rPr>
          <w:rFonts w:ascii="Times New Roman" w:hAnsi="Times New Roman" w:cs="Times New Roman"/>
          <w:bCs/>
          <w:sz w:val="24"/>
          <w:szCs w:val="24"/>
        </w:rPr>
        <w:t xml:space="preserve">In the context of </w:t>
      </w:r>
      <w:r w:rsidR="00B25919" w:rsidRPr="00DD6763">
        <w:rPr>
          <w:rFonts w:ascii="Times New Roman" w:hAnsi="Times New Roman" w:cs="Times New Roman"/>
          <w:bCs/>
          <w:sz w:val="24"/>
          <w:szCs w:val="24"/>
        </w:rPr>
        <w:t>int</w:t>
      </w:r>
      <w:r w:rsidR="00CD5A27" w:rsidRPr="00DD6763">
        <w:rPr>
          <w:rFonts w:ascii="Times New Roman" w:hAnsi="Times New Roman" w:cs="Times New Roman"/>
          <w:bCs/>
          <w:sz w:val="24"/>
          <w:szCs w:val="24"/>
        </w:rPr>
        <w:t>ernational human rights courts</w:t>
      </w:r>
      <w:r w:rsidR="00CE51E6" w:rsidRPr="00DD6763">
        <w:rPr>
          <w:rFonts w:ascii="Times New Roman" w:hAnsi="Times New Roman" w:cs="Times New Roman"/>
          <w:bCs/>
          <w:sz w:val="24"/>
          <w:szCs w:val="24"/>
        </w:rPr>
        <w:t xml:space="preserve"> and UN treaty bodies jurisprudence</w:t>
      </w:r>
      <w:r w:rsidR="00B25919" w:rsidRPr="00DD6763">
        <w:rPr>
          <w:rFonts w:ascii="Times New Roman" w:hAnsi="Times New Roman" w:cs="Times New Roman"/>
          <w:bCs/>
          <w:sz w:val="24"/>
          <w:szCs w:val="24"/>
        </w:rPr>
        <w:t xml:space="preserve">, human rights and environmental protection are considered the cornerstones </w:t>
      </w:r>
      <w:r w:rsidR="0017589D" w:rsidRPr="00DD6763">
        <w:rPr>
          <w:rFonts w:ascii="Times New Roman" w:hAnsi="Times New Roman" w:cs="Times New Roman"/>
          <w:bCs/>
          <w:sz w:val="24"/>
          <w:szCs w:val="24"/>
        </w:rPr>
        <w:t>for the safeguard</w:t>
      </w:r>
      <w:r w:rsidR="00B25919" w:rsidRPr="00DD6763">
        <w:rPr>
          <w:rFonts w:ascii="Times New Roman" w:hAnsi="Times New Roman" w:cs="Times New Roman"/>
          <w:bCs/>
          <w:sz w:val="24"/>
          <w:szCs w:val="24"/>
        </w:rPr>
        <w:t xml:space="preserve"> of FPIC. In </w:t>
      </w:r>
      <w:r w:rsidR="00412D90" w:rsidRPr="00DD6763">
        <w:rPr>
          <w:rFonts w:ascii="Times New Roman" w:hAnsi="Times New Roman" w:cs="Times New Roman"/>
          <w:bCs/>
          <w:sz w:val="24"/>
          <w:szCs w:val="24"/>
        </w:rPr>
        <w:t xml:space="preserve">the context of </w:t>
      </w:r>
      <w:r w:rsidR="00136B76" w:rsidRPr="00DD6763">
        <w:rPr>
          <w:rFonts w:ascii="Times New Roman" w:hAnsi="Times New Roman" w:cs="Times New Roman"/>
          <w:bCs/>
          <w:sz w:val="24"/>
          <w:szCs w:val="24"/>
        </w:rPr>
        <w:t>IEL</w:t>
      </w:r>
      <w:r w:rsidR="00B25919" w:rsidRPr="00DD6763">
        <w:rPr>
          <w:rFonts w:ascii="Times New Roman" w:hAnsi="Times New Roman" w:cs="Times New Roman"/>
          <w:bCs/>
          <w:sz w:val="24"/>
          <w:szCs w:val="24"/>
        </w:rPr>
        <w:t>, sustainable development conceived as an overarching environmental law principle has harnessed the progress in the field</w:t>
      </w:r>
      <w:r w:rsidR="00CE51E6" w:rsidRPr="00DD6763">
        <w:rPr>
          <w:rFonts w:ascii="Times New Roman" w:hAnsi="Times New Roman" w:cs="Times New Roman"/>
          <w:bCs/>
          <w:sz w:val="24"/>
          <w:szCs w:val="24"/>
        </w:rPr>
        <w:t xml:space="preserve"> of </w:t>
      </w:r>
      <w:r w:rsidR="00D310BB" w:rsidRPr="00DD6763">
        <w:rPr>
          <w:rFonts w:ascii="Times New Roman" w:hAnsi="Times New Roman" w:cs="Times New Roman"/>
          <w:bCs/>
          <w:sz w:val="24"/>
          <w:szCs w:val="24"/>
        </w:rPr>
        <w:t>indigenous peoples’ rights</w:t>
      </w:r>
      <w:r w:rsidR="00B25919" w:rsidRPr="00DD6763">
        <w:rPr>
          <w:rFonts w:ascii="Times New Roman" w:hAnsi="Times New Roman" w:cs="Times New Roman"/>
          <w:bCs/>
          <w:sz w:val="24"/>
          <w:szCs w:val="24"/>
        </w:rPr>
        <w:t>.</w:t>
      </w:r>
      <w:r w:rsidR="009A5ED7" w:rsidRPr="00DD6763">
        <w:rPr>
          <w:rStyle w:val="FootnoteReference"/>
          <w:rFonts w:ascii="Times New Roman" w:hAnsi="Times New Roman" w:cs="Times New Roman"/>
          <w:bCs/>
          <w:sz w:val="24"/>
          <w:szCs w:val="24"/>
        </w:rPr>
        <w:footnoteReference w:id="10"/>
      </w:r>
      <w:r w:rsidR="00B25919" w:rsidRPr="00DD6763">
        <w:rPr>
          <w:rFonts w:ascii="Times New Roman" w:hAnsi="Times New Roman" w:cs="Times New Roman"/>
          <w:bCs/>
          <w:sz w:val="24"/>
          <w:szCs w:val="24"/>
        </w:rPr>
        <w:t xml:space="preserve"> </w:t>
      </w:r>
    </w:p>
    <w:p w14:paraId="524E0E3D" w14:textId="0E6117ED" w:rsidR="00B25919" w:rsidRPr="00DD6763" w:rsidRDefault="00AF2C38" w:rsidP="00341A5B">
      <w:pPr>
        <w:spacing w:after="0" w:line="276" w:lineRule="auto"/>
        <w:jc w:val="both"/>
        <w:rPr>
          <w:rFonts w:ascii="Times New Roman" w:hAnsi="Times New Roman" w:cs="Times New Roman"/>
          <w:bCs/>
          <w:sz w:val="24"/>
          <w:szCs w:val="24"/>
        </w:rPr>
      </w:pPr>
      <w:r w:rsidRPr="00DD6763">
        <w:rPr>
          <w:rFonts w:ascii="Times New Roman" w:hAnsi="Times New Roman" w:cs="Times New Roman"/>
          <w:bCs/>
          <w:sz w:val="24"/>
          <w:szCs w:val="24"/>
        </w:rPr>
        <w:tab/>
      </w:r>
      <w:r w:rsidR="00412D90" w:rsidRPr="00DD6763">
        <w:rPr>
          <w:rFonts w:ascii="Times New Roman" w:hAnsi="Times New Roman" w:cs="Times New Roman"/>
          <w:bCs/>
          <w:sz w:val="24"/>
          <w:szCs w:val="24"/>
        </w:rPr>
        <w:t>The</w:t>
      </w:r>
      <w:r w:rsidR="005832AC" w:rsidRPr="00DD6763">
        <w:rPr>
          <w:rFonts w:ascii="Times New Roman" w:hAnsi="Times New Roman" w:cs="Times New Roman"/>
          <w:bCs/>
          <w:sz w:val="24"/>
          <w:szCs w:val="24"/>
        </w:rPr>
        <w:t xml:space="preserve"> article </w:t>
      </w:r>
      <w:r w:rsidR="00412D90" w:rsidRPr="00DD6763">
        <w:rPr>
          <w:rFonts w:ascii="Times New Roman" w:hAnsi="Times New Roman" w:cs="Times New Roman"/>
          <w:bCs/>
          <w:sz w:val="24"/>
          <w:szCs w:val="24"/>
        </w:rPr>
        <w:t xml:space="preserve">also </w:t>
      </w:r>
      <w:r w:rsidR="005832AC" w:rsidRPr="00DD6763">
        <w:rPr>
          <w:rFonts w:ascii="Times New Roman" w:hAnsi="Times New Roman" w:cs="Times New Roman"/>
          <w:bCs/>
          <w:sz w:val="24"/>
          <w:szCs w:val="24"/>
        </w:rPr>
        <w:t xml:space="preserve">considers </w:t>
      </w:r>
      <w:r w:rsidR="00903473" w:rsidRPr="00DD6763">
        <w:rPr>
          <w:rFonts w:ascii="Times New Roman" w:hAnsi="Times New Roman" w:cs="Times New Roman"/>
          <w:bCs/>
          <w:sz w:val="24"/>
          <w:szCs w:val="24"/>
        </w:rPr>
        <w:t xml:space="preserve">how </w:t>
      </w:r>
      <w:r w:rsidR="00B25919" w:rsidRPr="00DD6763">
        <w:rPr>
          <w:rFonts w:ascii="Times New Roman" w:hAnsi="Times New Roman" w:cs="Times New Roman"/>
          <w:bCs/>
          <w:sz w:val="24"/>
          <w:szCs w:val="24"/>
        </w:rPr>
        <w:t xml:space="preserve">FPIC is </w:t>
      </w:r>
      <w:r w:rsidR="00322FA4" w:rsidRPr="00DD6763">
        <w:rPr>
          <w:rFonts w:ascii="Times New Roman" w:hAnsi="Times New Roman" w:cs="Times New Roman"/>
          <w:bCs/>
          <w:sz w:val="24"/>
          <w:szCs w:val="24"/>
        </w:rPr>
        <w:t>perceived</w:t>
      </w:r>
      <w:r w:rsidR="003A34F6" w:rsidRPr="00DD6763">
        <w:rPr>
          <w:rFonts w:ascii="Times New Roman" w:hAnsi="Times New Roman" w:cs="Times New Roman"/>
          <w:bCs/>
          <w:sz w:val="24"/>
          <w:szCs w:val="24"/>
        </w:rPr>
        <w:t xml:space="preserve"> </w:t>
      </w:r>
      <w:r w:rsidR="005832AC" w:rsidRPr="00DD6763">
        <w:rPr>
          <w:rFonts w:ascii="Times New Roman" w:hAnsi="Times New Roman" w:cs="Times New Roman"/>
          <w:bCs/>
          <w:sz w:val="24"/>
          <w:szCs w:val="24"/>
        </w:rPr>
        <w:t>with</w:t>
      </w:r>
      <w:r w:rsidR="00B25919" w:rsidRPr="00DD6763">
        <w:rPr>
          <w:rFonts w:ascii="Times New Roman" w:hAnsi="Times New Roman" w:cs="Times New Roman"/>
          <w:bCs/>
          <w:sz w:val="24"/>
          <w:szCs w:val="24"/>
        </w:rPr>
        <w:t xml:space="preserve">in the framework of </w:t>
      </w:r>
      <w:r w:rsidR="00DA775D" w:rsidRPr="00DD6763">
        <w:rPr>
          <w:rFonts w:ascii="Times New Roman" w:hAnsi="Times New Roman" w:cs="Times New Roman"/>
          <w:bCs/>
          <w:sz w:val="24"/>
          <w:szCs w:val="24"/>
        </w:rPr>
        <w:t>IIL</w:t>
      </w:r>
      <w:r w:rsidR="00B25919" w:rsidRPr="00DD6763">
        <w:rPr>
          <w:rFonts w:ascii="Times New Roman" w:hAnsi="Times New Roman" w:cs="Times New Roman"/>
          <w:bCs/>
          <w:sz w:val="24"/>
          <w:szCs w:val="24"/>
        </w:rPr>
        <w:t xml:space="preserve">. Even if investment tribunals often deal with </w:t>
      </w:r>
      <w:r w:rsidR="005832AC" w:rsidRPr="00DD6763">
        <w:rPr>
          <w:rFonts w:ascii="Times New Roman" w:hAnsi="Times New Roman" w:cs="Times New Roman"/>
          <w:bCs/>
          <w:sz w:val="24"/>
          <w:szCs w:val="24"/>
        </w:rPr>
        <w:t xml:space="preserve">aspects related to </w:t>
      </w:r>
      <w:r w:rsidR="00B25919" w:rsidRPr="00DD6763">
        <w:rPr>
          <w:rFonts w:ascii="Times New Roman" w:hAnsi="Times New Roman" w:cs="Times New Roman"/>
          <w:bCs/>
          <w:sz w:val="24"/>
          <w:szCs w:val="24"/>
        </w:rPr>
        <w:t xml:space="preserve">sustainable </w:t>
      </w:r>
      <w:r w:rsidR="00497B3F" w:rsidRPr="00DD6763">
        <w:rPr>
          <w:rFonts w:ascii="Times New Roman" w:hAnsi="Times New Roman" w:cs="Times New Roman"/>
          <w:bCs/>
          <w:sz w:val="24"/>
          <w:szCs w:val="24"/>
        </w:rPr>
        <w:t>development, which</w:t>
      </w:r>
      <w:r w:rsidR="005832AC" w:rsidRPr="00DD6763">
        <w:rPr>
          <w:rFonts w:ascii="Times New Roman" w:hAnsi="Times New Roman" w:cs="Times New Roman"/>
          <w:bCs/>
          <w:sz w:val="24"/>
          <w:szCs w:val="24"/>
        </w:rPr>
        <w:t xml:space="preserve"> concern</w:t>
      </w:r>
      <w:r w:rsidR="00B25919" w:rsidRPr="00DD6763">
        <w:rPr>
          <w:rFonts w:ascii="Times New Roman" w:hAnsi="Times New Roman" w:cs="Times New Roman"/>
          <w:bCs/>
          <w:sz w:val="24"/>
          <w:szCs w:val="24"/>
        </w:rPr>
        <w:t xml:space="preserve"> the exploitation of </w:t>
      </w:r>
      <w:r w:rsidR="00A10550" w:rsidRPr="00DD6763">
        <w:rPr>
          <w:rFonts w:ascii="Times New Roman" w:hAnsi="Times New Roman" w:cs="Times New Roman"/>
          <w:bCs/>
          <w:sz w:val="24"/>
          <w:szCs w:val="24"/>
        </w:rPr>
        <w:t xml:space="preserve">indigenous lands and </w:t>
      </w:r>
      <w:r w:rsidR="00B25919" w:rsidRPr="00DD6763">
        <w:rPr>
          <w:rFonts w:ascii="Times New Roman" w:hAnsi="Times New Roman" w:cs="Times New Roman"/>
          <w:bCs/>
          <w:sz w:val="24"/>
          <w:szCs w:val="24"/>
        </w:rPr>
        <w:t>natural resources, they do not operate as international human rights</w:t>
      </w:r>
      <w:r w:rsidR="001D704D" w:rsidRPr="00DD6763">
        <w:rPr>
          <w:rFonts w:ascii="Times New Roman" w:hAnsi="Times New Roman" w:cs="Times New Roman"/>
          <w:bCs/>
          <w:sz w:val="24"/>
          <w:szCs w:val="24"/>
        </w:rPr>
        <w:t xml:space="preserve"> </w:t>
      </w:r>
      <w:r w:rsidR="00322FA4" w:rsidRPr="00DD6763">
        <w:rPr>
          <w:rFonts w:ascii="Times New Roman" w:hAnsi="Times New Roman" w:cs="Times New Roman"/>
          <w:bCs/>
          <w:sz w:val="24"/>
          <w:szCs w:val="24"/>
        </w:rPr>
        <w:t>bodies</w:t>
      </w:r>
      <w:r w:rsidR="00B25919" w:rsidRPr="00DD6763">
        <w:rPr>
          <w:rFonts w:ascii="Times New Roman" w:hAnsi="Times New Roman" w:cs="Times New Roman"/>
          <w:bCs/>
          <w:sz w:val="24"/>
          <w:szCs w:val="24"/>
        </w:rPr>
        <w:t xml:space="preserve"> or </w:t>
      </w:r>
      <w:r w:rsidR="001D704D" w:rsidRPr="00DD6763">
        <w:rPr>
          <w:rFonts w:ascii="Times New Roman" w:hAnsi="Times New Roman" w:cs="Times New Roman"/>
          <w:bCs/>
          <w:sz w:val="24"/>
          <w:szCs w:val="24"/>
        </w:rPr>
        <w:t xml:space="preserve">as </w:t>
      </w:r>
      <w:r w:rsidR="00B25919" w:rsidRPr="00DD6763">
        <w:rPr>
          <w:rFonts w:ascii="Times New Roman" w:hAnsi="Times New Roman" w:cs="Times New Roman"/>
          <w:bCs/>
          <w:sz w:val="24"/>
          <w:szCs w:val="24"/>
        </w:rPr>
        <w:t>environmental courts. Clearly, th</w:t>
      </w:r>
      <w:r w:rsidR="002045E2" w:rsidRPr="00DD6763">
        <w:rPr>
          <w:rFonts w:ascii="Times New Roman" w:hAnsi="Times New Roman" w:cs="Times New Roman"/>
          <w:bCs/>
          <w:sz w:val="24"/>
          <w:szCs w:val="24"/>
        </w:rPr>
        <w:t xml:space="preserve">is leads to </w:t>
      </w:r>
      <w:r w:rsidR="005832AC" w:rsidRPr="00DD6763">
        <w:rPr>
          <w:rFonts w:ascii="Times New Roman" w:hAnsi="Times New Roman" w:cs="Times New Roman"/>
          <w:bCs/>
          <w:sz w:val="24"/>
          <w:szCs w:val="24"/>
        </w:rPr>
        <w:t xml:space="preserve">fundamentally </w:t>
      </w:r>
      <w:r w:rsidR="00B25919" w:rsidRPr="00DD6763">
        <w:rPr>
          <w:rFonts w:ascii="Times New Roman" w:hAnsi="Times New Roman" w:cs="Times New Roman"/>
          <w:bCs/>
          <w:sz w:val="24"/>
          <w:szCs w:val="24"/>
        </w:rPr>
        <w:t>different standpoints. Whereas for international human rights bodies</w:t>
      </w:r>
      <w:r w:rsidR="00B60961" w:rsidRPr="00DD6763">
        <w:rPr>
          <w:rFonts w:ascii="Times New Roman" w:hAnsi="Times New Roman" w:cs="Times New Roman"/>
          <w:bCs/>
          <w:sz w:val="24"/>
          <w:szCs w:val="24"/>
        </w:rPr>
        <w:t xml:space="preserve"> and regional courts</w:t>
      </w:r>
      <w:r w:rsidR="00B25919" w:rsidRPr="00DD6763">
        <w:rPr>
          <w:rFonts w:ascii="Times New Roman" w:hAnsi="Times New Roman" w:cs="Times New Roman"/>
          <w:bCs/>
          <w:sz w:val="24"/>
          <w:szCs w:val="24"/>
        </w:rPr>
        <w:t xml:space="preserve"> the right to consultation is deep-rooted in the protection of human rights, investment tribunals look at FPIC as a possible interference with investors’ rights. What is common to </w:t>
      </w:r>
      <w:r w:rsidR="009F5B0C" w:rsidRPr="00DD6763">
        <w:rPr>
          <w:rFonts w:ascii="Times New Roman" w:hAnsi="Times New Roman" w:cs="Times New Roman"/>
          <w:bCs/>
          <w:sz w:val="24"/>
          <w:szCs w:val="24"/>
        </w:rPr>
        <w:t>these</w:t>
      </w:r>
      <w:r w:rsidR="00B25919" w:rsidRPr="00DD6763">
        <w:rPr>
          <w:rFonts w:ascii="Times New Roman" w:hAnsi="Times New Roman" w:cs="Times New Roman"/>
          <w:bCs/>
          <w:sz w:val="24"/>
          <w:szCs w:val="24"/>
        </w:rPr>
        <w:t xml:space="preserve"> analys</w:t>
      </w:r>
      <w:r w:rsidR="005832AC" w:rsidRPr="00DD6763">
        <w:rPr>
          <w:rFonts w:ascii="Times New Roman" w:hAnsi="Times New Roman" w:cs="Times New Roman"/>
          <w:bCs/>
          <w:sz w:val="24"/>
          <w:szCs w:val="24"/>
        </w:rPr>
        <w:t>e</w:t>
      </w:r>
      <w:r w:rsidR="00B25919" w:rsidRPr="00DD6763">
        <w:rPr>
          <w:rFonts w:ascii="Times New Roman" w:hAnsi="Times New Roman" w:cs="Times New Roman"/>
          <w:bCs/>
          <w:sz w:val="24"/>
          <w:szCs w:val="24"/>
        </w:rPr>
        <w:t>s is the ex</w:t>
      </w:r>
      <w:r w:rsidR="00DB1F21" w:rsidRPr="00DD6763">
        <w:rPr>
          <w:rFonts w:ascii="Times New Roman" w:hAnsi="Times New Roman" w:cs="Times New Roman"/>
          <w:bCs/>
          <w:sz w:val="24"/>
          <w:szCs w:val="24"/>
        </w:rPr>
        <w:t>istence of a conflict of rights and the balancing exercise that must be performed by the tribunal or court in question.</w:t>
      </w:r>
    </w:p>
    <w:p w14:paraId="17851666" w14:textId="33E72FDA" w:rsidR="001A145E" w:rsidRPr="00DD6763" w:rsidRDefault="00AF2C38" w:rsidP="00341A5B">
      <w:pPr>
        <w:spacing w:after="0" w:line="276" w:lineRule="auto"/>
        <w:jc w:val="both"/>
        <w:rPr>
          <w:rFonts w:ascii="Times New Roman" w:hAnsi="Times New Roman" w:cs="Times New Roman"/>
          <w:bCs/>
          <w:sz w:val="24"/>
          <w:szCs w:val="24"/>
        </w:rPr>
      </w:pPr>
      <w:r w:rsidRPr="00DD6763">
        <w:rPr>
          <w:rFonts w:ascii="Times New Roman" w:hAnsi="Times New Roman" w:cs="Times New Roman"/>
          <w:bCs/>
          <w:sz w:val="24"/>
          <w:szCs w:val="24"/>
        </w:rPr>
        <w:tab/>
      </w:r>
      <w:r w:rsidR="003F3FDB" w:rsidRPr="00DD6763">
        <w:rPr>
          <w:rFonts w:ascii="Times New Roman" w:hAnsi="Times New Roman" w:cs="Times New Roman"/>
          <w:bCs/>
          <w:sz w:val="24"/>
          <w:szCs w:val="24"/>
        </w:rPr>
        <w:t>The</w:t>
      </w:r>
      <w:r w:rsidR="001A145E" w:rsidRPr="00DD6763">
        <w:rPr>
          <w:rFonts w:ascii="Times New Roman" w:hAnsi="Times New Roman" w:cs="Times New Roman"/>
          <w:bCs/>
          <w:sz w:val="24"/>
          <w:szCs w:val="24"/>
        </w:rPr>
        <w:t xml:space="preserve"> </w:t>
      </w:r>
      <w:r w:rsidR="00ED3AF2" w:rsidRPr="00DD6763">
        <w:rPr>
          <w:rFonts w:ascii="Times New Roman" w:hAnsi="Times New Roman" w:cs="Times New Roman"/>
          <w:bCs/>
          <w:sz w:val="24"/>
          <w:szCs w:val="24"/>
        </w:rPr>
        <w:t>article</w:t>
      </w:r>
      <w:r w:rsidR="001A145E" w:rsidRPr="00DD6763">
        <w:rPr>
          <w:rFonts w:ascii="Times New Roman" w:hAnsi="Times New Roman" w:cs="Times New Roman"/>
          <w:bCs/>
          <w:sz w:val="24"/>
          <w:szCs w:val="24"/>
        </w:rPr>
        <w:t xml:space="preserve"> draws on </w:t>
      </w:r>
      <w:r w:rsidR="004D513B" w:rsidRPr="00DD6763">
        <w:rPr>
          <w:rFonts w:ascii="Times New Roman" w:hAnsi="Times New Roman" w:cs="Times New Roman"/>
          <w:bCs/>
          <w:sz w:val="24"/>
          <w:szCs w:val="24"/>
        </w:rPr>
        <w:t xml:space="preserve">IHRL </w:t>
      </w:r>
      <w:r w:rsidR="001A145E" w:rsidRPr="00DD6763">
        <w:rPr>
          <w:rFonts w:ascii="Times New Roman" w:hAnsi="Times New Roman" w:cs="Times New Roman"/>
          <w:bCs/>
          <w:sz w:val="24"/>
          <w:szCs w:val="24"/>
        </w:rPr>
        <w:t xml:space="preserve">and data relating to prior consultations in cases </w:t>
      </w:r>
      <w:r w:rsidR="005832AC" w:rsidRPr="00DD6763">
        <w:rPr>
          <w:rFonts w:ascii="Times New Roman" w:hAnsi="Times New Roman" w:cs="Times New Roman"/>
          <w:bCs/>
          <w:sz w:val="24"/>
          <w:szCs w:val="24"/>
        </w:rPr>
        <w:t xml:space="preserve">decided </w:t>
      </w:r>
      <w:r w:rsidR="001A145E" w:rsidRPr="00DD6763">
        <w:rPr>
          <w:rFonts w:ascii="Times New Roman" w:hAnsi="Times New Roman" w:cs="Times New Roman"/>
          <w:bCs/>
          <w:sz w:val="24"/>
          <w:szCs w:val="24"/>
        </w:rPr>
        <w:t>by international human rights monitoring bodie</w:t>
      </w:r>
      <w:r w:rsidR="00DB1F21" w:rsidRPr="00DD6763">
        <w:rPr>
          <w:rFonts w:ascii="Times New Roman" w:hAnsi="Times New Roman" w:cs="Times New Roman"/>
          <w:bCs/>
          <w:sz w:val="24"/>
          <w:szCs w:val="24"/>
        </w:rPr>
        <w:t>s</w:t>
      </w:r>
      <w:r w:rsidR="00A10550" w:rsidRPr="00DD6763">
        <w:rPr>
          <w:rFonts w:ascii="Times New Roman" w:hAnsi="Times New Roman" w:cs="Times New Roman"/>
          <w:bCs/>
          <w:sz w:val="24"/>
          <w:szCs w:val="24"/>
        </w:rPr>
        <w:t>, human rights regional courts</w:t>
      </w:r>
      <w:r w:rsidR="00DB1F21" w:rsidRPr="00DD6763">
        <w:rPr>
          <w:rFonts w:ascii="Times New Roman" w:hAnsi="Times New Roman" w:cs="Times New Roman"/>
          <w:bCs/>
          <w:sz w:val="24"/>
          <w:szCs w:val="24"/>
        </w:rPr>
        <w:t xml:space="preserve"> and investment tribunals </w:t>
      </w:r>
      <w:r w:rsidR="00A97848" w:rsidRPr="00DD6763">
        <w:rPr>
          <w:rFonts w:ascii="Times New Roman" w:hAnsi="Times New Roman" w:cs="Times New Roman"/>
          <w:bCs/>
          <w:sz w:val="24"/>
          <w:szCs w:val="24"/>
        </w:rPr>
        <w:t>regarding</w:t>
      </w:r>
      <w:r w:rsidR="001A145E" w:rsidRPr="00DD6763">
        <w:rPr>
          <w:rFonts w:ascii="Times New Roman" w:hAnsi="Times New Roman" w:cs="Times New Roman"/>
          <w:bCs/>
          <w:sz w:val="24"/>
          <w:szCs w:val="24"/>
        </w:rPr>
        <w:t xml:space="preserve"> indigenous lands and natural resources. </w:t>
      </w:r>
      <w:r w:rsidR="00412D90" w:rsidRPr="00DD6763">
        <w:rPr>
          <w:rFonts w:ascii="Times New Roman" w:hAnsi="Times New Roman" w:cs="Times New Roman"/>
          <w:bCs/>
          <w:sz w:val="24"/>
          <w:szCs w:val="24"/>
        </w:rPr>
        <w:t xml:space="preserve">By </w:t>
      </w:r>
      <w:r w:rsidR="001D704D" w:rsidRPr="00DD6763">
        <w:rPr>
          <w:rFonts w:ascii="Times New Roman" w:hAnsi="Times New Roman" w:cs="Times New Roman"/>
          <w:bCs/>
          <w:sz w:val="24"/>
          <w:szCs w:val="24"/>
        </w:rPr>
        <w:t>elucidating the common elements that are shared among these very different legal settings</w:t>
      </w:r>
      <w:r w:rsidR="003A34F6" w:rsidRPr="00DD6763">
        <w:rPr>
          <w:rFonts w:ascii="Times New Roman" w:hAnsi="Times New Roman" w:cs="Times New Roman"/>
          <w:bCs/>
          <w:sz w:val="24"/>
          <w:szCs w:val="24"/>
        </w:rPr>
        <w:t>,</w:t>
      </w:r>
      <w:r w:rsidR="003F3FDB" w:rsidRPr="00DD6763">
        <w:rPr>
          <w:rFonts w:ascii="Times New Roman" w:hAnsi="Times New Roman" w:cs="Times New Roman"/>
          <w:bCs/>
          <w:sz w:val="24"/>
          <w:szCs w:val="24"/>
        </w:rPr>
        <w:t xml:space="preserve"> </w:t>
      </w:r>
      <w:r w:rsidR="00B36152" w:rsidRPr="00DD6763">
        <w:rPr>
          <w:rFonts w:ascii="Times New Roman" w:hAnsi="Times New Roman" w:cs="Times New Roman"/>
          <w:bCs/>
          <w:sz w:val="24"/>
          <w:szCs w:val="24"/>
        </w:rPr>
        <w:t>it</w:t>
      </w:r>
      <w:r w:rsidR="003F3FDB" w:rsidRPr="00DD6763">
        <w:rPr>
          <w:rFonts w:ascii="Times New Roman" w:hAnsi="Times New Roman" w:cs="Times New Roman"/>
          <w:bCs/>
          <w:sz w:val="24"/>
          <w:szCs w:val="24"/>
        </w:rPr>
        <w:t xml:space="preserve"> offers a comprehensive </w:t>
      </w:r>
      <w:r w:rsidR="003F3FDB" w:rsidRPr="00DD6763">
        <w:rPr>
          <w:rFonts w:ascii="Times New Roman" w:hAnsi="Times New Roman" w:cs="Times New Roman"/>
          <w:bCs/>
          <w:sz w:val="24"/>
          <w:szCs w:val="24"/>
        </w:rPr>
        <w:lastRenderedPageBreak/>
        <w:t xml:space="preserve">examination of FPIC from a </w:t>
      </w:r>
      <w:r w:rsidR="000409C8" w:rsidRPr="00DD6763">
        <w:rPr>
          <w:rFonts w:ascii="Times New Roman" w:hAnsi="Times New Roman" w:cs="Times New Roman"/>
          <w:bCs/>
          <w:sz w:val="24"/>
          <w:szCs w:val="24"/>
        </w:rPr>
        <w:t>different</w:t>
      </w:r>
      <w:r w:rsidR="003F3FDB" w:rsidRPr="00DD6763">
        <w:rPr>
          <w:rFonts w:ascii="Times New Roman" w:hAnsi="Times New Roman" w:cs="Times New Roman"/>
          <w:bCs/>
          <w:sz w:val="24"/>
          <w:szCs w:val="24"/>
        </w:rPr>
        <w:t xml:space="preserve"> perspective, contributing to filling a gap in the literature. </w:t>
      </w:r>
      <w:r w:rsidR="001A145E" w:rsidRPr="00DD6763">
        <w:rPr>
          <w:rFonts w:ascii="Times New Roman" w:hAnsi="Times New Roman" w:cs="Times New Roman"/>
          <w:bCs/>
          <w:sz w:val="24"/>
          <w:szCs w:val="24"/>
        </w:rPr>
        <w:t xml:space="preserve">The analysis provides a </w:t>
      </w:r>
      <w:r w:rsidR="005832AC" w:rsidRPr="00DD6763">
        <w:rPr>
          <w:rFonts w:ascii="Times New Roman" w:hAnsi="Times New Roman" w:cs="Times New Roman"/>
          <w:bCs/>
          <w:sz w:val="24"/>
          <w:szCs w:val="24"/>
        </w:rPr>
        <w:t>route toward</w:t>
      </w:r>
      <w:r w:rsidR="001A145E" w:rsidRPr="00DD6763">
        <w:rPr>
          <w:rFonts w:ascii="Times New Roman" w:hAnsi="Times New Roman" w:cs="Times New Roman"/>
          <w:bCs/>
          <w:sz w:val="24"/>
          <w:szCs w:val="24"/>
        </w:rPr>
        <w:t xml:space="preserve"> the development of a new theoretical approach to FPIC </w:t>
      </w:r>
      <w:r w:rsidR="00893A36" w:rsidRPr="00DD6763">
        <w:rPr>
          <w:rFonts w:ascii="Times New Roman" w:hAnsi="Times New Roman" w:cs="Times New Roman"/>
          <w:bCs/>
          <w:sz w:val="24"/>
          <w:szCs w:val="24"/>
        </w:rPr>
        <w:t>withi</w:t>
      </w:r>
      <w:r w:rsidR="001A145E" w:rsidRPr="00DD6763">
        <w:rPr>
          <w:rFonts w:ascii="Times New Roman" w:hAnsi="Times New Roman" w:cs="Times New Roman"/>
          <w:bCs/>
          <w:sz w:val="24"/>
          <w:szCs w:val="24"/>
        </w:rPr>
        <w:t>n the framework of sustainable development</w:t>
      </w:r>
      <w:r w:rsidR="00E3392E" w:rsidRPr="00DD6763">
        <w:rPr>
          <w:rFonts w:ascii="Times New Roman" w:hAnsi="Times New Roman" w:cs="Times New Roman"/>
          <w:bCs/>
          <w:sz w:val="24"/>
          <w:szCs w:val="24"/>
        </w:rPr>
        <w:t xml:space="preserve"> </w:t>
      </w:r>
      <w:r w:rsidR="00987465" w:rsidRPr="00DD6763">
        <w:rPr>
          <w:rFonts w:ascii="Times New Roman" w:hAnsi="Times New Roman" w:cs="Times New Roman"/>
          <w:bCs/>
          <w:sz w:val="24"/>
          <w:szCs w:val="24"/>
        </w:rPr>
        <w:t>to reinf</w:t>
      </w:r>
      <w:r w:rsidR="00D310BB" w:rsidRPr="00DD6763">
        <w:rPr>
          <w:rFonts w:ascii="Times New Roman" w:hAnsi="Times New Roman" w:cs="Times New Roman"/>
          <w:bCs/>
          <w:sz w:val="24"/>
          <w:szCs w:val="24"/>
        </w:rPr>
        <w:t>orce the protection in practice</w:t>
      </w:r>
      <w:r w:rsidR="001A145E" w:rsidRPr="00DD6763">
        <w:rPr>
          <w:rFonts w:ascii="Times New Roman" w:hAnsi="Times New Roman" w:cs="Times New Roman"/>
          <w:bCs/>
          <w:sz w:val="24"/>
          <w:szCs w:val="24"/>
        </w:rPr>
        <w:t>.</w:t>
      </w:r>
      <w:r w:rsidR="00B90E83" w:rsidRPr="00DD6763">
        <w:rPr>
          <w:rStyle w:val="FootnoteReference"/>
          <w:rFonts w:ascii="Times New Roman" w:hAnsi="Times New Roman" w:cs="Times New Roman"/>
          <w:bCs/>
          <w:sz w:val="24"/>
          <w:szCs w:val="24"/>
        </w:rPr>
        <w:footnoteReference w:id="11"/>
      </w:r>
      <w:r w:rsidR="001A145E" w:rsidRPr="00DD6763">
        <w:rPr>
          <w:rFonts w:ascii="Times New Roman" w:hAnsi="Times New Roman" w:cs="Times New Roman"/>
          <w:bCs/>
          <w:sz w:val="24"/>
          <w:szCs w:val="24"/>
        </w:rPr>
        <w:t xml:space="preserve"> </w:t>
      </w:r>
      <w:r w:rsidRPr="00DD6763">
        <w:rPr>
          <w:rFonts w:ascii="Times New Roman" w:hAnsi="Times New Roman" w:cs="Times New Roman"/>
          <w:bCs/>
          <w:sz w:val="24"/>
          <w:szCs w:val="24"/>
        </w:rPr>
        <w:tab/>
      </w:r>
      <w:r w:rsidR="001A145E" w:rsidRPr="00DD6763">
        <w:rPr>
          <w:rFonts w:ascii="Times New Roman" w:hAnsi="Times New Roman" w:cs="Times New Roman"/>
          <w:bCs/>
          <w:sz w:val="24"/>
          <w:szCs w:val="24"/>
        </w:rPr>
        <w:t xml:space="preserve">Essentially, the study unveils two different approaches to </w:t>
      </w:r>
      <w:r w:rsidR="00537F15" w:rsidRPr="00DD6763">
        <w:rPr>
          <w:rFonts w:ascii="Times New Roman" w:hAnsi="Times New Roman" w:cs="Times New Roman"/>
          <w:bCs/>
          <w:sz w:val="24"/>
          <w:szCs w:val="24"/>
        </w:rPr>
        <w:t xml:space="preserve">FPIC </w:t>
      </w:r>
      <w:r w:rsidR="001A145E" w:rsidRPr="00DD6763">
        <w:rPr>
          <w:rFonts w:ascii="Times New Roman" w:hAnsi="Times New Roman" w:cs="Times New Roman"/>
          <w:bCs/>
          <w:sz w:val="24"/>
          <w:szCs w:val="24"/>
        </w:rPr>
        <w:t xml:space="preserve">depending on the </w:t>
      </w:r>
      <w:r w:rsidR="00893A36" w:rsidRPr="00DD6763">
        <w:rPr>
          <w:rFonts w:ascii="Times New Roman" w:hAnsi="Times New Roman" w:cs="Times New Roman"/>
          <w:bCs/>
          <w:sz w:val="24"/>
          <w:szCs w:val="24"/>
        </w:rPr>
        <w:t>theoretical background chos</w:t>
      </w:r>
      <w:r w:rsidR="005D2BB1" w:rsidRPr="00DD6763">
        <w:rPr>
          <w:rFonts w:ascii="Times New Roman" w:hAnsi="Times New Roman" w:cs="Times New Roman"/>
          <w:bCs/>
          <w:sz w:val="24"/>
          <w:szCs w:val="24"/>
        </w:rPr>
        <w:t xml:space="preserve">en and </w:t>
      </w:r>
      <w:r w:rsidR="001A145E" w:rsidRPr="00DD6763">
        <w:rPr>
          <w:rFonts w:ascii="Times New Roman" w:hAnsi="Times New Roman" w:cs="Times New Roman"/>
          <w:bCs/>
          <w:sz w:val="24"/>
          <w:szCs w:val="24"/>
        </w:rPr>
        <w:t>legal framework relied upon</w:t>
      </w:r>
      <w:r w:rsidR="00FC4DFB" w:rsidRPr="00DD6763">
        <w:rPr>
          <w:rFonts w:ascii="Times New Roman" w:hAnsi="Times New Roman" w:cs="Times New Roman"/>
          <w:bCs/>
          <w:sz w:val="24"/>
          <w:szCs w:val="24"/>
        </w:rPr>
        <w:t xml:space="preserve">, taking </w:t>
      </w:r>
      <w:r w:rsidR="003F3FDB" w:rsidRPr="00DD6763">
        <w:rPr>
          <w:rFonts w:ascii="Times New Roman" w:hAnsi="Times New Roman" w:cs="Times New Roman"/>
          <w:bCs/>
          <w:sz w:val="24"/>
          <w:szCs w:val="24"/>
        </w:rPr>
        <w:t xml:space="preserve">into </w:t>
      </w:r>
      <w:r w:rsidR="00DB1F21" w:rsidRPr="00DD6763">
        <w:rPr>
          <w:rFonts w:ascii="Times New Roman" w:hAnsi="Times New Roman" w:cs="Times New Roman"/>
          <w:bCs/>
          <w:sz w:val="24"/>
          <w:szCs w:val="24"/>
        </w:rPr>
        <w:t xml:space="preserve">consideration the </w:t>
      </w:r>
      <w:r w:rsidR="00B648B3" w:rsidRPr="00DD6763">
        <w:rPr>
          <w:rFonts w:ascii="Times New Roman" w:hAnsi="Times New Roman" w:cs="Times New Roman"/>
          <w:bCs/>
          <w:sz w:val="24"/>
          <w:szCs w:val="24"/>
        </w:rPr>
        <w:t>extrapolated interpretation</w:t>
      </w:r>
      <w:r w:rsidR="001A145E" w:rsidRPr="00DD6763">
        <w:rPr>
          <w:rFonts w:ascii="Times New Roman" w:hAnsi="Times New Roman" w:cs="Times New Roman"/>
          <w:bCs/>
          <w:sz w:val="24"/>
          <w:szCs w:val="24"/>
        </w:rPr>
        <w:t xml:space="preserve"> of </w:t>
      </w:r>
      <w:r w:rsidR="00787A87" w:rsidRPr="00DD6763">
        <w:rPr>
          <w:rFonts w:ascii="Times New Roman" w:hAnsi="Times New Roman" w:cs="Times New Roman"/>
          <w:bCs/>
          <w:sz w:val="24"/>
          <w:szCs w:val="24"/>
        </w:rPr>
        <w:t>C169</w:t>
      </w:r>
      <w:r w:rsidR="00E3392E" w:rsidRPr="00DD6763">
        <w:rPr>
          <w:rFonts w:ascii="Times New Roman" w:hAnsi="Times New Roman" w:cs="Times New Roman"/>
          <w:bCs/>
          <w:sz w:val="24"/>
          <w:szCs w:val="24"/>
        </w:rPr>
        <w:t xml:space="preserve"> (i.e. although not formally being a human rights instrument it is relied upon </w:t>
      </w:r>
      <w:r w:rsidR="00987465" w:rsidRPr="00DD6763">
        <w:rPr>
          <w:rFonts w:ascii="Times New Roman" w:hAnsi="Times New Roman" w:cs="Times New Roman"/>
          <w:bCs/>
          <w:sz w:val="24"/>
          <w:szCs w:val="24"/>
        </w:rPr>
        <w:t xml:space="preserve">by international tribunals and bodies </w:t>
      </w:r>
      <w:r w:rsidR="00E3392E" w:rsidRPr="00DD6763">
        <w:rPr>
          <w:rFonts w:ascii="Times New Roman" w:hAnsi="Times New Roman" w:cs="Times New Roman"/>
          <w:bCs/>
          <w:sz w:val="24"/>
          <w:szCs w:val="24"/>
        </w:rPr>
        <w:t xml:space="preserve">to uphold </w:t>
      </w:r>
      <w:r w:rsidR="00B20CC7" w:rsidRPr="00DD6763">
        <w:rPr>
          <w:rFonts w:ascii="Times New Roman" w:hAnsi="Times New Roman" w:cs="Times New Roman"/>
          <w:bCs/>
          <w:sz w:val="24"/>
          <w:szCs w:val="24"/>
        </w:rPr>
        <w:t xml:space="preserve">human </w:t>
      </w:r>
      <w:r w:rsidR="00E3392E" w:rsidRPr="00DD6763">
        <w:rPr>
          <w:rFonts w:ascii="Times New Roman" w:hAnsi="Times New Roman" w:cs="Times New Roman"/>
          <w:bCs/>
          <w:sz w:val="24"/>
          <w:szCs w:val="24"/>
        </w:rPr>
        <w:t>rights)</w:t>
      </w:r>
      <w:r w:rsidR="001A145E" w:rsidRPr="00DD6763">
        <w:rPr>
          <w:rFonts w:ascii="Times New Roman" w:hAnsi="Times New Roman" w:cs="Times New Roman"/>
          <w:bCs/>
          <w:sz w:val="24"/>
          <w:szCs w:val="24"/>
        </w:rPr>
        <w:t xml:space="preserve"> in order to unravel the different strategies used. </w:t>
      </w:r>
      <w:r w:rsidR="00B36152" w:rsidRPr="00DD6763">
        <w:rPr>
          <w:rFonts w:ascii="Times New Roman" w:hAnsi="Times New Roman" w:cs="Times New Roman"/>
          <w:bCs/>
          <w:sz w:val="24"/>
          <w:szCs w:val="24"/>
        </w:rPr>
        <w:t>Furthermore, t</w:t>
      </w:r>
      <w:r w:rsidR="001A145E" w:rsidRPr="00DD6763">
        <w:rPr>
          <w:rFonts w:ascii="Times New Roman" w:hAnsi="Times New Roman" w:cs="Times New Roman"/>
          <w:bCs/>
          <w:sz w:val="24"/>
          <w:szCs w:val="24"/>
        </w:rPr>
        <w:t xml:space="preserve">he article </w:t>
      </w:r>
      <w:r w:rsidR="00B648B3" w:rsidRPr="00DD6763">
        <w:rPr>
          <w:rFonts w:ascii="Times New Roman" w:hAnsi="Times New Roman" w:cs="Times New Roman"/>
          <w:bCs/>
          <w:sz w:val="24"/>
          <w:szCs w:val="24"/>
        </w:rPr>
        <w:t xml:space="preserve">highlights </w:t>
      </w:r>
      <w:r w:rsidR="001A145E" w:rsidRPr="00DD6763">
        <w:rPr>
          <w:rFonts w:ascii="Times New Roman" w:hAnsi="Times New Roman" w:cs="Times New Roman"/>
          <w:bCs/>
          <w:sz w:val="24"/>
          <w:szCs w:val="24"/>
        </w:rPr>
        <w:t xml:space="preserve">the gains, shortcomings and </w:t>
      </w:r>
      <w:r w:rsidR="00A97848" w:rsidRPr="00DD6763">
        <w:rPr>
          <w:rFonts w:ascii="Times New Roman" w:hAnsi="Times New Roman" w:cs="Times New Roman"/>
          <w:bCs/>
          <w:sz w:val="24"/>
          <w:szCs w:val="24"/>
        </w:rPr>
        <w:t>disparities</w:t>
      </w:r>
      <w:r w:rsidR="001A145E" w:rsidRPr="00DD6763">
        <w:rPr>
          <w:rFonts w:ascii="Times New Roman" w:hAnsi="Times New Roman" w:cs="Times New Roman"/>
          <w:bCs/>
          <w:sz w:val="24"/>
          <w:szCs w:val="24"/>
        </w:rPr>
        <w:t xml:space="preserve"> between the t</w:t>
      </w:r>
      <w:r w:rsidR="00DB1F21" w:rsidRPr="00DD6763">
        <w:rPr>
          <w:rFonts w:ascii="Times New Roman" w:hAnsi="Times New Roman" w:cs="Times New Roman"/>
          <w:bCs/>
          <w:sz w:val="24"/>
          <w:szCs w:val="24"/>
        </w:rPr>
        <w:t xml:space="preserve">wo different approaches and discusses a </w:t>
      </w:r>
      <w:r w:rsidR="005832AC" w:rsidRPr="00DD6763">
        <w:rPr>
          <w:rFonts w:ascii="Times New Roman" w:hAnsi="Times New Roman" w:cs="Times New Roman"/>
          <w:bCs/>
          <w:sz w:val="24"/>
          <w:szCs w:val="24"/>
        </w:rPr>
        <w:t xml:space="preserve">solution </w:t>
      </w:r>
      <w:r w:rsidR="001A145E" w:rsidRPr="00DD6763">
        <w:rPr>
          <w:rFonts w:ascii="Times New Roman" w:hAnsi="Times New Roman" w:cs="Times New Roman"/>
          <w:bCs/>
          <w:sz w:val="24"/>
          <w:szCs w:val="24"/>
        </w:rPr>
        <w:t xml:space="preserve">to bridge them. Finally, the article </w:t>
      </w:r>
      <w:r w:rsidR="005832AC" w:rsidRPr="00DD6763">
        <w:rPr>
          <w:rFonts w:ascii="Times New Roman" w:hAnsi="Times New Roman" w:cs="Times New Roman"/>
          <w:bCs/>
          <w:sz w:val="24"/>
          <w:szCs w:val="24"/>
        </w:rPr>
        <w:t xml:space="preserve">concludes </w:t>
      </w:r>
      <w:r w:rsidR="001A145E" w:rsidRPr="00DD6763">
        <w:rPr>
          <w:rFonts w:ascii="Times New Roman" w:hAnsi="Times New Roman" w:cs="Times New Roman"/>
          <w:bCs/>
          <w:sz w:val="24"/>
          <w:szCs w:val="24"/>
        </w:rPr>
        <w:t xml:space="preserve">that </w:t>
      </w:r>
      <w:r w:rsidR="00E57D09" w:rsidRPr="00DD6763">
        <w:rPr>
          <w:rFonts w:ascii="Times New Roman" w:hAnsi="Times New Roman" w:cs="Times New Roman"/>
          <w:bCs/>
          <w:sz w:val="24"/>
          <w:szCs w:val="24"/>
        </w:rPr>
        <w:t xml:space="preserve">a distinctive </w:t>
      </w:r>
      <w:r w:rsidR="00A10550" w:rsidRPr="00DD6763">
        <w:rPr>
          <w:rFonts w:ascii="Times New Roman" w:hAnsi="Times New Roman" w:cs="Times New Roman"/>
          <w:bCs/>
          <w:sz w:val="24"/>
          <w:szCs w:val="24"/>
        </w:rPr>
        <w:t xml:space="preserve">stance on </w:t>
      </w:r>
      <w:r w:rsidR="001A145E" w:rsidRPr="00DD6763">
        <w:rPr>
          <w:rFonts w:ascii="Times New Roman" w:hAnsi="Times New Roman" w:cs="Times New Roman"/>
          <w:bCs/>
          <w:sz w:val="24"/>
          <w:szCs w:val="24"/>
        </w:rPr>
        <w:t>FPIC</w:t>
      </w:r>
      <w:r w:rsidR="00864AAB" w:rsidRPr="00DD6763">
        <w:rPr>
          <w:rFonts w:ascii="Times New Roman" w:hAnsi="Times New Roman" w:cs="Times New Roman"/>
          <w:bCs/>
          <w:sz w:val="24"/>
          <w:szCs w:val="24"/>
        </w:rPr>
        <w:t xml:space="preserve"> </w:t>
      </w:r>
      <w:r w:rsidR="00994515" w:rsidRPr="00DD6763">
        <w:rPr>
          <w:rFonts w:ascii="Times New Roman" w:hAnsi="Times New Roman" w:cs="Times New Roman"/>
          <w:bCs/>
          <w:sz w:val="24"/>
          <w:szCs w:val="24"/>
        </w:rPr>
        <w:t xml:space="preserve">arguing in favour of a separate consideration </w:t>
      </w:r>
      <w:r w:rsidR="00537F15" w:rsidRPr="00DD6763">
        <w:rPr>
          <w:rFonts w:ascii="Times New Roman" w:hAnsi="Times New Roman" w:cs="Times New Roman"/>
          <w:bCs/>
          <w:sz w:val="24"/>
          <w:szCs w:val="24"/>
        </w:rPr>
        <w:t xml:space="preserve">that </w:t>
      </w:r>
      <w:r w:rsidR="00B648B3" w:rsidRPr="00DD6763">
        <w:rPr>
          <w:rFonts w:ascii="Times New Roman" w:hAnsi="Times New Roman" w:cs="Times New Roman"/>
          <w:bCs/>
          <w:sz w:val="24"/>
          <w:szCs w:val="24"/>
        </w:rPr>
        <w:t xml:space="preserve">would </w:t>
      </w:r>
      <w:r w:rsidR="00E57D09" w:rsidRPr="00DD6763">
        <w:rPr>
          <w:rFonts w:ascii="Times New Roman" w:hAnsi="Times New Roman" w:cs="Times New Roman"/>
          <w:bCs/>
          <w:sz w:val="24"/>
          <w:szCs w:val="24"/>
        </w:rPr>
        <w:t xml:space="preserve">avoid </w:t>
      </w:r>
      <w:r w:rsidR="00864AAB" w:rsidRPr="00DD6763">
        <w:rPr>
          <w:rFonts w:ascii="Times New Roman" w:hAnsi="Times New Roman" w:cs="Times New Roman"/>
          <w:bCs/>
          <w:sz w:val="24"/>
          <w:szCs w:val="24"/>
        </w:rPr>
        <w:t>confus</w:t>
      </w:r>
      <w:r w:rsidR="00E57D09" w:rsidRPr="00DD6763">
        <w:rPr>
          <w:rFonts w:ascii="Times New Roman" w:hAnsi="Times New Roman" w:cs="Times New Roman"/>
          <w:bCs/>
          <w:sz w:val="24"/>
          <w:szCs w:val="24"/>
        </w:rPr>
        <w:t xml:space="preserve">ion </w:t>
      </w:r>
      <w:r w:rsidR="00DD5E4D" w:rsidRPr="00DD6763">
        <w:rPr>
          <w:rFonts w:ascii="Times New Roman" w:hAnsi="Times New Roman" w:cs="Times New Roman"/>
          <w:bCs/>
          <w:sz w:val="24"/>
          <w:szCs w:val="24"/>
        </w:rPr>
        <w:t>with other procedures</w:t>
      </w:r>
      <w:r w:rsidR="00864AAB" w:rsidRPr="00DD6763">
        <w:rPr>
          <w:rFonts w:ascii="Times New Roman" w:hAnsi="Times New Roman" w:cs="Times New Roman"/>
          <w:bCs/>
          <w:sz w:val="24"/>
          <w:szCs w:val="24"/>
        </w:rPr>
        <w:t xml:space="preserve"> </w:t>
      </w:r>
      <w:r w:rsidR="00B648B3" w:rsidRPr="00DD6763">
        <w:rPr>
          <w:rFonts w:ascii="Times New Roman" w:hAnsi="Times New Roman" w:cs="Times New Roman"/>
          <w:bCs/>
          <w:sz w:val="24"/>
          <w:szCs w:val="24"/>
        </w:rPr>
        <w:t xml:space="preserve">and </w:t>
      </w:r>
      <w:r w:rsidR="001A145E" w:rsidRPr="00DD6763">
        <w:rPr>
          <w:rFonts w:ascii="Times New Roman" w:hAnsi="Times New Roman" w:cs="Times New Roman"/>
          <w:bCs/>
          <w:sz w:val="24"/>
          <w:szCs w:val="24"/>
        </w:rPr>
        <w:t>would be beneficial to obtain</w:t>
      </w:r>
      <w:r w:rsidR="00B648B3" w:rsidRPr="00DD6763">
        <w:rPr>
          <w:rFonts w:ascii="Times New Roman" w:hAnsi="Times New Roman" w:cs="Times New Roman"/>
          <w:bCs/>
          <w:sz w:val="24"/>
          <w:szCs w:val="24"/>
        </w:rPr>
        <w:t>ing</w:t>
      </w:r>
      <w:r w:rsidR="001A145E" w:rsidRPr="00DD6763">
        <w:rPr>
          <w:rFonts w:ascii="Times New Roman" w:hAnsi="Times New Roman" w:cs="Times New Roman"/>
          <w:bCs/>
          <w:sz w:val="24"/>
          <w:szCs w:val="24"/>
        </w:rPr>
        <w:t xml:space="preserve"> a fully-fledge</w:t>
      </w:r>
      <w:r w:rsidR="00D628E3" w:rsidRPr="00DD6763">
        <w:rPr>
          <w:rFonts w:ascii="Times New Roman" w:hAnsi="Times New Roman" w:cs="Times New Roman"/>
          <w:bCs/>
          <w:sz w:val="24"/>
          <w:szCs w:val="24"/>
        </w:rPr>
        <w:t>d</w:t>
      </w:r>
      <w:r w:rsidR="001A145E" w:rsidRPr="00DD6763">
        <w:rPr>
          <w:rFonts w:ascii="Times New Roman" w:hAnsi="Times New Roman" w:cs="Times New Roman"/>
          <w:bCs/>
          <w:sz w:val="24"/>
          <w:szCs w:val="24"/>
        </w:rPr>
        <w:t xml:space="preserve"> protection of FPIC.</w:t>
      </w:r>
    </w:p>
    <w:p w14:paraId="67B91188" w14:textId="7567EE01" w:rsidR="009122D7" w:rsidRPr="00DD6763" w:rsidRDefault="00AF2C38"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bCs/>
          <w:sz w:val="24"/>
          <w:szCs w:val="24"/>
        </w:rPr>
        <w:tab/>
      </w:r>
      <w:r w:rsidR="00FC4DFB" w:rsidRPr="00DD6763">
        <w:rPr>
          <w:rFonts w:ascii="Times New Roman" w:hAnsi="Times New Roman" w:cs="Times New Roman"/>
          <w:bCs/>
          <w:sz w:val="24"/>
          <w:szCs w:val="24"/>
        </w:rPr>
        <w:t>In sum</w:t>
      </w:r>
      <w:r w:rsidR="009122D7" w:rsidRPr="00DD6763">
        <w:rPr>
          <w:rFonts w:ascii="Times New Roman" w:hAnsi="Times New Roman" w:cs="Times New Roman"/>
          <w:bCs/>
          <w:sz w:val="24"/>
          <w:szCs w:val="24"/>
        </w:rPr>
        <w:t xml:space="preserve">, the article casts new light on the issue by </w:t>
      </w:r>
      <w:r w:rsidR="00FC63D2" w:rsidRPr="00DD6763">
        <w:rPr>
          <w:rFonts w:ascii="Times New Roman" w:hAnsi="Times New Roman" w:cs="Times New Roman"/>
          <w:bCs/>
          <w:sz w:val="24"/>
          <w:szCs w:val="24"/>
        </w:rPr>
        <w:t>considering</w:t>
      </w:r>
      <w:r w:rsidR="009122D7" w:rsidRPr="00DD6763">
        <w:rPr>
          <w:rFonts w:ascii="Times New Roman" w:hAnsi="Times New Roman" w:cs="Times New Roman"/>
          <w:bCs/>
          <w:sz w:val="24"/>
          <w:szCs w:val="24"/>
        </w:rPr>
        <w:t xml:space="preserve"> </w:t>
      </w:r>
      <w:r w:rsidR="00E57D09" w:rsidRPr="00DD6763">
        <w:rPr>
          <w:rFonts w:ascii="Times New Roman" w:hAnsi="Times New Roman" w:cs="Times New Roman"/>
          <w:bCs/>
          <w:sz w:val="24"/>
          <w:szCs w:val="24"/>
        </w:rPr>
        <w:t>the nature of</w:t>
      </w:r>
      <w:r w:rsidR="009122D7" w:rsidRPr="00DD6763">
        <w:rPr>
          <w:rFonts w:ascii="Times New Roman" w:hAnsi="Times New Roman" w:cs="Times New Roman"/>
          <w:bCs/>
          <w:sz w:val="24"/>
          <w:szCs w:val="24"/>
        </w:rPr>
        <w:t xml:space="preserve"> </w:t>
      </w:r>
      <w:r w:rsidR="00412D90" w:rsidRPr="00DD6763">
        <w:rPr>
          <w:rFonts w:ascii="Times New Roman" w:hAnsi="Times New Roman" w:cs="Times New Roman"/>
          <w:bCs/>
          <w:sz w:val="24"/>
          <w:szCs w:val="24"/>
        </w:rPr>
        <w:t>FPIC</w:t>
      </w:r>
      <w:r w:rsidR="00CA1D47" w:rsidRPr="00DD6763">
        <w:rPr>
          <w:rFonts w:ascii="Times New Roman" w:hAnsi="Times New Roman" w:cs="Times New Roman"/>
          <w:bCs/>
          <w:sz w:val="24"/>
          <w:szCs w:val="24"/>
        </w:rPr>
        <w:t xml:space="preserve">, </w:t>
      </w:r>
      <w:r w:rsidR="00864AAB" w:rsidRPr="00DD6763">
        <w:rPr>
          <w:rFonts w:ascii="Times New Roman" w:hAnsi="Times New Roman" w:cs="Times New Roman"/>
          <w:bCs/>
          <w:sz w:val="24"/>
          <w:szCs w:val="24"/>
        </w:rPr>
        <w:t>clarify</w:t>
      </w:r>
      <w:r w:rsidR="00E57D09" w:rsidRPr="00DD6763">
        <w:rPr>
          <w:rFonts w:ascii="Times New Roman" w:hAnsi="Times New Roman" w:cs="Times New Roman"/>
          <w:bCs/>
          <w:sz w:val="24"/>
          <w:szCs w:val="24"/>
        </w:rPr>
        <w:t>ing</w:t>
      </w:r>
      <w:r w:rsidR="00864AAB" w:rsidRPr="00DD6763">
        <w:rPr>
          <w:rFonts w:ascii="Times New Roman" w:hAnsi="Times New Roman" w:cs="Times New Roman"/>
          <w:bCs/>
          <w:sz w:val="24"/>
          <w:szCs w:val="24"/>
        </w:rPr>
        <w:t xml:space="preserve"> the distinctions between consultation and consent</w:t>
      </w:r>
      <w:r w:rsidR="009122D7" w:rsidRPr="00DD6763">
        <w:rPr>
          <w:rFonts w:ascii="Times New Roman" w:hAnsi="Times New Roman" w:cs="Times New Roman"/>
          <w:bCs/>
          <w:sz w:val="24"/>
          <w:szCs w:val="24"/>
        </w:rPr>
        <w:t xml:space="preserve">, </w:t>
      </w:r>
      <w:r w:rsidR="00B648B3" w:rsidRPr="00DD6763">
        <w:rPr>
          <w:rFonts w:ascii="Times New Roman" w:hAnsi="Times New Roman" w:cs="Times New Roman"/>
          <w:bCs/>
          <w:sz w:val="24"/>
          <w:szCs w:val="24"/>
        </w:rPr>
        <w:t xml:space="preserve">and </w:t>
      </w:r>
      <w:r w:rsidR="009122D7" w:rsidRPr="00DD6763">
        <w:rPr>
          <w:rFonts w:ascii="Times New Roman" w:hAnsi="Times New Roman" w:cs="Times New Roman"/>
          <w:bCs/>
          <w:sz w:val="24"/>
          <w:szCs w:val="24"/>
        </w:rPr>
        <w:t xml:space="preserve">underscoring the inevitable </w:t>
      </w:r>
      <w:r w:rsidR="00B36152" w:rsidRPr="00DD6763">
        <w:rPr>
          <w:rFonts w:ascii="Times New Roman" w:hAnsi="Times New Roman" w:cs="Times New Roman"/>
          <w:bCs/>
          <w:sz w:val="24"/>
          <w:szCs w:val="24"/>
        </w:rPr>
        <w:t>limitations</w:t>
      </w:r>
      <w:r w:rsidR="009122D7" w:rsidRPr="00DD6763">
        <w:rPr>
          <w:rFonts w:ascii="Times New Roman" w:hAnsi="Times New Roman" w:cs="Times New Roman"/>
          <w:bCs/>
          <w:sz w:val="24"/>
          <w:szCs w:val="24"/>
        </w:rPr>
        <w:t xml:space="preserve"> perceived in the investment arbitral tribunals’ approaches to the question</w:t>
      </w:r>
      <w:r w:rsidR="009122D7" w:rsidRPr="00DD6763">
        <w:rPr>
          <w:rFonts w:ascii="Times New Roman" w:hAnsi="Times New Roman" w:cs="Times New Roman"/>
          <w:sz w:val="24"/>
          <w:szCs w:val="24"/>
        </w:rPr>
        <w:t xml:space="preserve">. </w:t>
      </w:r>
    </w:p>
    <w:p w14:paraId="28F0A617" w14:textId="1F18A10A" w:rsidR="00704E12" w:rsidRPr="00DD6763" w:rsidRDefault="00ED3AF2" w:rsidP="00B20CC7">
      <w:pPr>
        <w:spacing w:after="0" w:line="276" w:lineRule="auto"/>
        <w:ind w:firstLine="360"/>
        <w:jc w:val="both"/>
        <w:rPr>
          <w:rFonts w:ascii="Times New Roman" w:hAnsi="Times New Roman" w:cs="Times New Roman"/>
          <w:sz w:val="24"/>
          <w:szCs w:val="24"/>
        </w:rPr>
      </w:pPr>
      <w:r w:rsidRPr="00DD6763">
        <w:rPr>
          <w:rFonts w:ascii="Times New Roman" w:hAnsi="Times New Roman" w:cs="Times New Roman"/>
          <w:sz w:val="24"/>
          <w:szCs w:val="24"/>
        </w:rPr>
        <w:t xml:space="preserve">The </w:t>
      </w:r>
      <w:r w:rsidR="00DB273F" w:rsidRPr="00DD6763">
        <w:rPr>
          <w:rFonts w:ascii="Times New Roman" w:hAnsi="Times New Roman" w:cs="Times New Roman"/>
          <w:sz w:val="24"/>
          <w:szCs w:val="24"/>
        </w:rPr>
        <w:t xml:space="preserve">article is set out </w:t>
      </w:r>
      <w:r w:rsidR="003A34F6" w:rsidRPr="00DD6763">
        <w:rPr>
          <w:rFonts w:ascii="Times New Roman" w:hAnsi="Times New Roman" w:cs="Times New Roman"/>
          <w:sz w:val="24"/>
          <w:szCs w:val="24"/>
        </w:rPr>
        <w:t>in four</w:t>
      </w:r>
      <w:r w:rsidR="00DB1F21" w:rsidRPr="00DD6763">
        <w:rPr>
          <w:rFonts w:ascii="Times New Roman" w:hAnsi="Times New Roman" w:cs="Times New Roman"/>
          <w:sz w:val="24"/>
          <w:szCs w:val="24"/>
        </w:rPr>
        <w:t xml:space="preserve"> parts. </w:t>
      </w:r>
      <w:r w:rsidR="00820003" w:rsidRPr="00DD6763">
        <w:rPr>
          <w:rFonts w:ascii="Times New Roman" w:hAnsi="Times New Roman" w:cs="Times New Roman"/>
          <w:sz w:val="24"/>
          <w:szCs w:val="24"/>
        </w:rPr>
        <w:t>First, it</w:t>
      </w:r>
      <w:r w:rsidR="009122D7" w:rsidRPr="00DD6763">
        <w:rPr>
          <w:rFonts w:ascii="Times New Roman" w:hAnsi="Times New Roman" w:cs="Times New Roman"/>
          <w:sz w:val="24"/>
          <w:szCs w:val="24"/>
        </w:rPr>
        <w:t xml:space="preserve"> provides an account of the general framework </w:t>
      </w:r>
      <w:r w:rsidR="00B36152" w:rsidRPr="00DD6763">
        <w:rPr>
          <w:rFonts w:ascii="Times New Roman" w:hAnsi="Times New Roman" w:cs="Times New Roman"/>
          <w:sz w:val="24"/>
          <w:szCs w:val="24"/>
        </w:rPr>
        <w:t xml:space="preserve">concerning indigenous peoples and </w:t>
      </w:r>
      <w:r w:rsidR="003A34F6" w:rsidRPr="00DD6763">
        <w:rPr>
          <w:rFonts w:ascii="Times New Roman" w:hAnsi="Times New Roman" w:cs="Times New Roman"/>
          <w:sz w:val="24"/>
          <w:szCs w:val="24"/>
        </w:rPr>
        <w:t>sustainable development</w:t>
      </w:r>
      <w:r w:rsidR="009122D7" w:rsidRPr="00DD6763">
        <w:rPr>
          <w:rFonts w:ascii="Times New Roman" w:hAnsi="Times New Roman" w:cs="Times New Roman"/>
          <w:sz w:val="24"/>
          <w:szCs w:val="24"/>
        </w:rPr>
        <w:t xml:space="preserve">, </w:t>
      </w:r>
      <w:r w:rsidR="003A34F6" w:rsidRPr="00DD6763">
        <w:rPr>
          <w:rFonts w:ascii="Times New Roman" w:hAnsi="Times New Roman" w:cs="Times New Roman"/>
          <w:sz w:val="24"/>
          <w:szCs w:val="24"/>
        </w:rPr>
        <w:t>discussing then</w:t>
      </w:r>
      <w:r w:rsidR="00DB273F" w:rsidRPr="00DD6763">
        <w:rPr>
          <w:rFonts w:ascii="Times New Roman" w:hAnsi="Times New Roman" w:cs="Times New Roman"/>
          <w:sz w:val="24"/>
          <w:szCs w:val="24"/>
        </w:rPr>
        <w:t xml:space="preserve"> </w:t>
      </w:r>
      <w:r w:rsidR="005832AC" w:rsidRPr="00DD6763">
        <w:rPr>
          <w:rFonts w:ascii="Times New Roman" w:hAnsi="Times New Roman" w:cs="Times New Roman"/>
          <w:sz w:val="24"/>
          <w:szCs w:val="24"/>
        </w:rPr>
        <w:t xml:space="preserve">the current nature of </w:t>
      </w:r>
      <w:r w:rsidR="009122D7" w:rsidRPr="00DD6763">
        <w:rPr>
          <w:rFonts w:ascii="Times New Roman" w:hAnsi="Times New Roman" w:cs="Times New Roman"/>
          <w:sz w:val="24"/>
          <w:szCs w:val="24"/>
        </w:rPr>
        <w:t xml:space="preserve">FPIC under international law. In </w:t>
      </w:r>
      <w:r w:rsidR="0017589D" w:rsidRPr="00DD6763">
        <w:rPr>
          <w:rFonts w:ascii="Times New Roman" w:hAnsi="Times New Roman" w:cs="Times New Roman"/>
          <w:sz w:val="24"/>
          <w:szCs w:val="24"/>
        </w:rPr>
        <w:t xml:space="preserve">the </w:t>
      </w:r>
      <w:r w:rsidR="003A34F6" w:rsidRPr="00DD6763">
        <w:rPr>
          <w:rFonts w:ascii="Times New Roman" w:hAnsi="Times New Roman" w:cs="Times New Roman"/>
          <w:sz w:val="24"/>
          <w:szCs w:val="24"/>
        </w:rPr>
        <w:t>second</w:t>
      </w:r>
      <w:r w:rsidR="0017589D" w:rsidRPr="00DD6763">
        <w:rPr>
          <w:rFonts w:ascii="Times New Roman" w:hAnsi="Times New Roman" w:cs="Times New Roman"/>
          <w:sz w:val="24"/>
          <w:szCs w:val="24"/>
        </w:rPr>
        <w:t xml:space="preserve"> </w:t>
      </w:r>
      <w:r w:rsidR="009122D7" w:rsidRPr="00DD6763">
        <w:rPr>
          <w:rFonts w:ascii="Times New Roman" w:hAnsi="Times New Roman" w:cs="Times New Roman"/>
          <w:sz w:val="24"/>
          <w:szCs w:val="24"/>
        </w:rPr>
        <w:t xml:space="preserve">section, selected cases </w:t>
      </w:r>
      <w:r w:rsidR="005832AC" w:rsidRPr="00DD6763">
        <w:rPr>
          <w:rFonts w:ascii="Times New Roman" w:hAnsi="Times New Roman" w:cs="Times New Roman"/>
          <w:sz w:val="24"/>
          <w:szCs w:val="24"/>
        </w:rPr>
        <w:t xml:space="preserve">decided </w:t>
      </w:r>
      <w:r w:rsidR="009122D7" w:rsidRPr="00DD6763">
        <w:rPr>
          <w:rFonts w:ascii="Times New Roman" w:hAnsi="Times New Roman" w:cs="Times New Roman"/>
          <w:sz w:val="24"/>
          <w:szCs w:val="24"/>
        </w:rPr>
        <w:t xml:space="preserve">by human rights monitoring bodies and investment tribunal are presented and analysed. Section </w:t>
      </w:r>
      <w:r w:rsidR="003A34F6" w:rsidRPr="00DD6763">
        <w:rPr>
          <w:rFonts w:ascii="Times New Roman" w:hAnsi="Times New Roman" w:cs="Times New Roman"/>
          <w:sz w:val="24"/>
          <w:szCs w:val="24"/>
        </w:rPr>
        <w:t>three</w:t>
      </w:r>
      <w:r w:rsidR="009122D7" w:rsidRPr="00DD6763">
        <w:rPr>
          <w:rFonts w:ascii="Times New Roman" w:hAnsi="Times New Roman" w:cs="Times New Roman"/>
          <w:sz w:val="24"/>
          <w:szCs w:val="24"/>
        </w:rPr>
        <w:t xml:space="preserve"> offers an in-depth discussion of the main issues arising</w:t>
      </w:r>
      <w:r w:rsidR="007D3504" w:rsidRPr="00DD6763">
        <w:rPr>
          <w:rFonts w:ascii="Times New Roman" w:hAnsi="Times New Roman" w:cs="Times New Roman"/>
          <w:sz w:val="24"/>
          <w:szCs w:val="24"/>
        </w:rPr>
        <w:t xml:space="preserve"> out of the various FPIC-related disputes</w:t>
      </w:r>
      <w:r w:rsidR="009122D7" w:rsidRPr="00DD6763">
        <w:rPr>
          <w:rFonts w:ascii="Times New Roman" w:hAnsi="Times New Roman" w:cs="Times New Roman"/>
          <w:sz w:val="24"/>
          <w:szCs w:val="24"/>
        </w:rPr>
        <w:t>. The article concludes with some recommendations for the future as a way of moving forward.</w:t>
      </w:r>
    </w:p>
    <w:p w14:paraId="0EE6CA6A" w14:textId="156B7FC1" w:rsidR="00AF2C38" w:rsidRPr="00DD6763" w:rsidRDefault="00AF2C38" w:rsidP="00341A5B">
      <w:pPr>
        <w:spacing w:after="0" w:line="276" w:lineRule="auto"/>
        <w:jc w:val="both"/>
        <w:rPr>
          <w:rFonts w:ascii="Times New Roman" w:hAnsi="Times New Roman" w:cs="Times New Roman"/>
          <w:sz w:val="24"/>
          <w:szCs w:val="24"/>
        </w:rPr>
      </w:pPr>
    </w:p>
    <w:p w14:paraId="5810D279" w14:textId="77777777" w:rsidR="00AF2C38" w:rsidRPr="00DD6763" w:rsidRDefault="00AF2C38" w:rsidP="00AF2C38">
      <w:pPr>
        <w:spacing w:after="0" w:line="276" w:lineRule="auto"/>
        <w:rPr>
          <w:rFonts w:ascii="Times New Roman" w:hAnsi="Times New Roman" w:cs="Times New Roman"/>
          <w:sz w:val="24"/>
          <w:szCs w:val="24"/>
        </w:rPr>
      </w:pPr>
    </w:p>
    <w:p w14:paraId="33208E82" w14:textId="71E1DEAC" w:rsidR="009122D7" w:rsidRPr="00DD6763" w:rsidRDefault="004A132D" w:rsidP="00A13BE2">
      <w:pPr>
        <w:pStyle w:val="ListParagraph"/>
        <w:numPr>
          <w:ilvl w:val="0"/>
          <w:numId w:val="4"/>
        </w:numPr>
        <w:spacing w:after="0" w:line="276" w:lineRule="auto"/>
        <w:ind w:left="426" w:hanging="426"/>
        <w:rPr>
          <w:rFonts w:ascii="Times New Roman" w:hAnsi="Times New Roman" w:cs="Times New Roman"/>
          <w:b/>
          <w:sz w:val="24"/>
          <w:szCs w:val="24"/>
        </w:rPr>
      </w:pPr>
      <w:r w:rsidRPr="00DD6763">
        <w:rPr>
          <w:rFonts w:ascii="Times New Roman" w:hAnsi="Times New Roman" w:cs="Times New Roman"/>
          <w:b/>
          <w:sz w:val="24"/>
          <w:szCs w:val="24"/>
        </w:rPr>
        <w:t xml:space="preserve">Assessing the </w:t>
      </w:r>
      <w:r w:rsidR="00AF2C38" w:rsidRPr="00DD6763">
        <w:rPr>
          <w:rFonts w:ascii="Times New Roman" w:hAnsi="Times New Roman" w:cs="Times New Roman"/>
          <w:b/>
          <w:sz w:val="24"/>
          <w:szCs w:val="24"/>
        </w:rPr>
        <w:t xml:space="preserve">Current Legal and Theoretical Framework through which </w:t>
      </w:r>
      <w:r w:rsidR="00CD19A5" w:rsidRPr="00DD6763">
        <w:rPr>
          <w:rFonts w:ascii="Times New Roman" w:hAnsi="Times New Roman" w:cs="Times New Roman"/>
          <w:b/>
          <w:sz w:val="24"/>
          <w:szCs w:val="24"/>
        </w:rPr>
        <w:t xml:space="preserve">FPIC </w:t>
      </w:r>
      <w:r w:rsidR="00AF2C38" w:rsidRPr="00DD6763">
        <w:rPr>
          <w:rFonts w:ascii="Times New Roman" w:hAnsi="Times New Roman" w:cs="Times New Roman"/>
          <w:b/>
          <w:sz w:val="24"/>
          <w:szCs w:val="24"/>
        </w:rPr>
        <w:tab/>
        <w:t>Is Litigated</w:t>
      </w:r>
    </w:p>
    <w:p w14:paraId="2292B977" w14:textId="77777777" w:rsidR="00810584" w:rsidRPr="00DD6763" w:rsidRDefault="00810584" w:rsidP="00810584">
      <w:pPr>
        <w:pStyle w:val="ListParagraph"/>
        <w:spacing w:after="0" w:line="276" w:lineRule="auto"/>
        <w:rPr>
          <w:rFonts w:ascii="Times New Roman" w:hAnsi="Times New Roman" w:cs="Times New Roman"/>
          <w:b/>
          <w:sz w:val="24"/>
          <w:szCs w:val="24"/>
        </w:rPr>
      </w:pPr>
    </w:p>
    <w:p w14:paraId="151CDBB1" w14:textId="51AE6D85" w:rsidR="008D0B8D" w:rsidRPr="00DD6763" w:rsidRDefault="008D0B8D"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From the outset, it is worth clarifying that three different concepts lie at the heart of the discussion: “consultation”, “consent”, and “free, prior and informed consent”. In exercise of the right to consultation and participation, indigenous peoples are entitled to negotiate and participate in decision making in all matters of their concern including land rights. Some scholars submit that this is related to the internal aspect of the right to self-determination.</w:t>
      </w:r>
      <w:r w:rsidR="00B20CC7" w:rsidRPr="00DD6763">
        <w:rPr>
          <w:rStyle w:val="FootnoteReference"/>
          <w:rFonts w:ascii="Times New Roman" w:hAnsi="Times New Roman" w:cs="Times New Roman"/>
          <w:sz w:val="24"/>
          <w:szCs w:val="24"/>
        </w:rPr>
        <w:footnoteReference w:id="12"/>
      </w:r>
      <w:r w:rsidRPr="00DD6763">
        <w:rPr>
          <w:rFonts w:ascii="Times New Roman" w:hAnsi="Times New Roman" w:cs="Times New Roman"/>
          <w:sz w:val="24"/>
          <w:szCs w:val="24"/>
        </w:rPr>
        <w:t xml:space="preserve"> In turn, the issue of consent arises in particular with regard to land rights. The discussion here revolves around the necessity to</w:t>
      </w:r>
      <w:r w:rsidR="00AD6DCC" w:rsidRPr="00DD6763">
        <w:rPr>
          <w:rFonts w:ascii="Times New Roman" w:hAnsi="Times New Roman" w:cs="Times New Roman"/>
          <w:sz w:val="24"/>
          <w:szCs w:val="24"/>
        </w:rPr>
        <w:t xml:space="preserve"> consult indigenous peoples and</w:t>
      </w:r>
      <w:r w:rsidRPr="00DD6763">
        <w:rPr>
          <w:rFonts w:ascii="Times New Roman" w:hAnsi="Times New Roman" w:cs="Times New Roman"/>
          <w:sz w:val="24"/>
          <w:szCs w:val="24"/>
        </w:rPr>
        <w:t xml:space="preserve"> obtain consent in </w:t>
      </w:r>
      <w:r w:rsidR="00B20CC7" w:rsidRPr="00DD6763">
        <w:rPr>
          <w:rFonts w:ascii="Times New Roman" w:hAnsi="Times New Roman" w:cs="Times New Roman"/>
          <w:sz w:val="24"/>
          <w:szCs w:val="24"/>
        </w:rPr>
        <w:t xml:space="preserve">all </w:t>
      </w:r>
      <w:r w:rsidRPr="00DD6763">
        <w:rPr>
          <w:rFonts w:ascii="Times New Roman" w:hAnsi="Times New Roman" w:cs="Times New Roman"/>
          <w:sz w:val="24"/>
          <w:szCs w:val="24"/>
        </w:rPr>
        <w:t xml:space="preserve">matters related to the lands </w:t>
      </w:r>
      <w:r w:rsidR="009208F4">
        <w:rPr>
          <w:rFonts w:ascii="Times New Roman" w:hAnsi="Times New Roman" w:cs="Times New Roman"/>
          <w:sz w:val="24"/>
          <w:szCs w:val="24"/>
        </w:rPr>
        <w:t xml:space="preserve">in which </w:t>
      </w:r>
      <w:r w:rsidRPr="00DD6763">
        <w:rPr>
          <w:rFonts w:ascii="Times New Roman" w:hAnsi="Times New Roman" w:cs="Times New Roman"/>
          <w:sz w:val="24"/>
          <w:szCs w:val="24"/>
        </w:rPr>
        <w:t xml:space="preserve">they live.  </w:t>
      </w:r>
      <w:r w:rsidR="00B20CC7" w:rsidRPr="00DD6763">
        <w:rPr>
          <w:rFonts w:ascii="Times New Roman" w:hAnsi="Times New Roman" w:cs="Times New Roman"/>
          <w:sz w:val="24"/>
          <w:szCs w:val="24"/>
        </w:rPr>
        <w:t xml:space="preserve">In </w:t>
      </w:r>
      <w:proofErr w:type="spellStart"/>
      <w:r w:rsidR="00B20CC7" w:rsidRPr="00DD6763">
        <w:rPr>
          <w:rFonts w:ascii="Times New Roman" w:hAnsi="Times New Roman" w:cs="Times New Roman"/>
          <w:sz w:val="24"/>
          <w:szCs w:val="24"/>
        </w:rPr>
        <w:t>Xanthaki’s</w:t>
      </w:r>
      <w:proofErr w:type="spellEnd"/>
      <w:r w:rsidR="00B20CC7" w:rsidRPr="00DD6763">
        <w:rPr>
          <w:rFonts w:ascii="Times New Roman" w:hAnsi="Times New Roman" w:cs="Times New Roman"/>
          <w:sz w:val="24"/>
          <w:szCs w:val="24"/>
        </w:rPr>
        <w:t xml:space="preserve"> view </w:t>
      </w:r>
      <w:r w:rsidRPr="00DD6763">
        <w:rPr>
          <w:rFonts w:ascii="Times New Roman" w:hAnsi="Times New Roman" w:cs="Times New Roman"/>
          <w:sz w:val="24"/>
          <w:szCs w:val="24"/>
        </w:rPr>
        <w:t>“it may be too far-reaching to suggest that prior and informed consent is required in all matters affecting indigenous land rights</w:t>
      </w:r>
      <w:r w:rsidR="00AD6DCC" w:rsidRPr="00DD6763">
        <w:rPr>
          <w:rFonts w:ascii="Times New Roman" w:hAnsi="Times New Roman" w:cs="Times New Roman"/>
          <w:sz w:val="24"/>
          <w:szCs w:val="24"/>
        </w:rPr>
        <w:t>” at present</w:t>
      </w:r>
      <w:r w:rsidRPr="00DD6763">
        <w:rPr>
          <w:rFonts w:ascii="Times New Roman" w:hAnsi="Times New Roman" w:cs="Times New Roman"/>
          <w:sz w:val="24"/>
          <w:szCs w:val="24"/>
        </w:rPr>
        <w:t>.</w:t>
      </w:r>
      <w:r w:rsidR="00D834E0" w:rsidRPr="00DD6763">
        <w:rPr>
          <w:rStyle w:val="FootnoteReference"/>
          <w:rFonts w:ascii="Times New Roman" w:hAnsi="Times New Roman" w:cs="Times New Roman"/>
          <w:sz w:val="24"/>
          <w:szCs w:val="24"/>
        </w:rPr>
        <w:footnoteReference w:id="13"/>
      </w:r>
      <w:r w:rsidRPr="00DD6763">
        <w:rPr>
          <w:rFonts w:ascii="Times New Roman" w:hAnsi="Times New Roman" w:cs="Times New Roman"/>
          <w:sz w:val="24"/>
          <w:szCs w:val="24"/>
        </w:rPr>
        <w:t xml:space="preserve">  FPIC emerges </w:t>
      </w:r>
      <w:r w:rsidR="00AD6DCC" w:rsidRPr="00DD6763">
        <w:rPr>
          <w:rFonts w:ascii="Times New Roman" w:hAnsi="Times New Roman" w:cs="Times New Roman"/>
          <w:sz w:val="24"/>
          <w:szCs w:val="24"/>
        </w:rPr>
        <w:t xml:space="preserve">thus </w:t>
      </w:r>
      <w:r w:rsidRPr="00DD6763">
        <w:rPr>
          <w:rFonts w:ascii="Times New Roman" w:hAnsi="Times New Roman" w:cs="Times New Roman"/>
          <w:sz w:val="24"/>
          <w:szCs w:val="24"/>
        </w:rPr>
        <w:t xml:space="preserve">as a right in the context of the execution of large development projects that affect the territory of indigenous peoples and involve relocation. This is the specific meaning attributed to FPIC in international legislation and </w:t>
      </w:r>
      <w:r w:rsidR="00641EA2" w:rsidRPr="00DD6763">
        <w:rPr>
          <w:rFonts w:ascii="Times New Roman" w:hAnsi="Times New Roman" w:cs="Times New Roman"/>
          <w:sz w:val="24"/>
          <w:szCs w:val="24"/>
        </w:rPr>
        <w:t xml:space="preserve">the </w:t>
      </w:r>
      <w:r w:rsidRPr="00DD6763">
        <w:rPr>
          <w:rFonts w:ascii="Times New Roman" w:hAnsi="Times New Roman" w:cs="Times New Roman"/>
          <w:sz w:val="24"/>
          <w:szCs w:val="24"/>
        </w:rPr>
        <w:t>jurisprudence</w:t>
      </w:r>
      <w:r w:rsidR="00641EA2" w:rsidRPr="00DD6763">
        <w:rPr>
          <w:rFonts w:ascii="Times New Roman" w:hAnsi="Times New Roman" w:cs="Times New Roman"/>
          <w:sz w:val="24"/>
          <w:szCs w:val="24"/>
        </w:rPr>
        <w:t xml:space="preserve"> </w:t>
      </w:r>
      <w:r w:rsidR="00641EA2" w:rsidRPr="00DD6763">
        <w:rPr>
          <w:rFonts w:ascii="Times New Roman" w:hAnsi="Times New Roman" w:cs="Times New Roman"/>
          <w:sz w:val="24"/>
          <w:szCs w:val="24"/>
        </w:rPr>
        <w:lastRenderedPageBreak/>
        <w:t>of international bodies</w:t>
      </w:r>
      <w:r w:rsidRPr="00DD6763">
        <w:rPr>
          <w:rFonts w:ascii="Times New Roman" w:hAnsi="Times New Roman" w:cs="Times New Roman"/>
          <w:sz w:val="24"/>
          <w:szCs w:val="24"/>
        </w:rPr>
        <w:t>.</w:t>
      </w:r>
      <w:r w:rsidR="00641EA2" w:rsidRPr="00DD6763">
        <w:rPr>
          <w:rStyle w:val="FootnoteReference"/>
          <w:rFonts w:ascii="Times New Roman" w:hAnsi="Times New Roman" w:cs="Times New Roman"/>
          <w:sz w:val="24"/>
          <w:szCs w:val="24"/>
        </w:rPr>
        <w:footnoteReference w:id="14"/>
      </w:r>
      <w:r w:rsidRPr="00DD6763">
        <w:rPr>
          <w:rFonts w:ascii="Times New Roman" w:hAnsi="Times New Roman" w:cs="Times New Roman"/>
          <w:sz w:val="24"/>
          <w:szCs w:val="24"/>
        </w:rPr>
        <w:t xml:space="preserve"> </w:t>
      </w:r>
      <w:r w:rsidR="00641EA2" w:rsidRPr="00DD6763">
        <w:rPr>
          <w:rFonts w:ascii="Times New Roman" w:hAnsi="Times New Roman" w:cs="Times New Roman"/>
          <w:sz w:val="24"/>
          <w:szCs w:val="24"/>
        </w:rPr>
        <w:t>To illustrate</w:t>
      </w:r>
      <w:r w:rsidRPr="00DD6763">
        <w:rPr>
          <w:rFonts w:ascii="Times New Roman" w:hAnsi="Times New Roman" w:cs="Times New Roman"/>
          <w:sz w:val="24"/>
          <w:szCs w:val="24"/>
        </w:rPr>
        <w:t xml:space="preserve">, the </w:t>
      </w:r>
      <w:proofErr w:type="spellStart"/>
      <w:r w:rsidRPr="00DD6763">
        <w:rPr>
          <w:rFonts w:ascii="Times New Roman" w:hAnsi="Times New Roman" w:cs="Times New Roman"/>
          <w:sz w:val="24"/>
          <w:szCs w:val="24"/>
        </w:rPr>
        <w:t>IACtHR</w:t>
      </w:r>
      <w:proofErr w:type="spellEnd"/>
      <w:r w:rsidRPr="00DD6763">
        <w:rPr>
          <w:rFonts w:ascii="Times New Roman" w:hAnsi="Times New Roman" w:cs="Times New Roman"/>
          <w:sz w:val="24"/>
          <w:szCs w:val="24"/>
        </w:rPr>
        <w:t xml:space="preserve"> has clearly differentiated “consultation” and “consent” in </w:t>
      </w:r>
      <w:proofErr w:type="spellStart"/>
      <w:r w:rsidRPr="00DD6763">
        <w:rPr>
          <w:rFonts w:ascii="Times New Roman" w:hAnsi="Times New Roman" w:cs="Times New Roman"/>
          <w:sz w:val="24"/>
          <w:szCs w:val="24"/>
        </w:rPr>
        <w:t>Saramaka</w:t>
      </w:r>
      <w:proofErr w:type="spellEnd"/>
      <w:r w:rsidRPr="00DD6763">
        <w:rPr>
          <w:rFonts w:ascii="Times New Roman" w:hAnsi="Times New Roman" w:cs="Times New Roman"/>
          <w:sz w:val="24"/>
          <w:szCs w:val="24"/>
        </w:rPr>
        <w:t xml:space="preserve"> stating that “regarding large-scale development or investment projects that would have a major impact within </w:t>
      </w:r>
      <w:proofErr w:type="spellStart"/>
      <w:r w:rsidRPr="00DD6763">
        <w:rPr>
          <w:rFonts w:ascii="Times New Roman" w:hAnsi="Times New Roman" w:cs="Times New Roman"/>
          <w:sz w:val="24"/>
          <w:szCs w:val="24"/>
        </w:rPr>
        <w:t>Saramaka</w:t>
      </w:r>
      <w:proofErr w:type="spellEnd"/>
      <w:r w:rsidRPr="00DD6763">
        <w:rPr>
          <w:rFonts w:ascii="Times New Roman" w:hAnsi="Times New Roman" w:cs="Times New Roman"/>
          <w:sz w:val="24"/>
          <w:szCs w:val="24"/>
        </w:rPr>
        <w:t xml:space="preserve"> territory, the State has a duty, not only to consult with the </w:t>
      </w:r>
      <w:proofErr w:type="spellStart"/>
      <w:r w:rsidRPr="00DD6763">
        <w:rPr>
          <w:rFonts w:ascii="Times New Roman" w:hAnsi="Times New Roman" w:cs="Times New Roman"/>
          <w:sz w:val="24"/>
          <w:szCs w:val="24"/>
        </w:rPr>
        <w:t>Saramakas</w:t>
      </w:r>
      <w:proofErr w:type="spellEnd"/>
      <w:r w:rsidRPr="00DD6763">
        <w:rPr>
          <w:rFonts w:ascii="Times New Roman" w:hAnsi="Times New Roman" w:cs="Times New Roman"/>
          <w:sz w:val="24"/>
          <w:szCs w:val="24"/>
        </w:rPr>
        <w:t>, but also to obtain their free, prior, and informed consent, according to their customs and traditions”.</w:t>
      </w:r>
      <w:r w:rsidR="00D834E0" w:rsidRPr="00DD6763">
        <w:rPr>
          <w:rStyle w:val="FootnoteReference"/>
          <w:rFonts w:ascii="Times New Roman" w:hAnsi="Times New Roman" w:cs="Times New Roman"/>
          <w:sz w:val="24"/>
          <w:szCs w:val="24"/>
        </w:rPr>
        <w:footnoteReference w:id="15"/>
      </w:r>
    </w:p>
    <w:p w14:paraId="1B741AF6" w14:textId="24AE349A" w:rsidR="00017557" w:rsidRPr="00DD6763" w:rsidRDefault="00017557" w:rsidP="007F6B8A">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Bearing this distinction in mind, the next sub-sections are devoted to analysing the international legal framework and </w:t>
      </w:r>
      <w:r w:rsidR="009740F1" w:rsidRPr="00DD6763">
        <w:rPr>
          <w:rFonts w:ascii="Times New Roman" w:hAnsi="Times New Roman" w:cs="Times New Roman"/>
          <w:sz w:val="24"/>
          <w:szCs w:val="24"/>
        </w:rPr>
        <w:t>the current theoretical discussions surrounding the nature and implementation of FPIC, respectively.</w:t>
      </w:r>
    </w:p>
    <w:p w14:paraId="3B689755" w14:textId="77777777" w:rsidR="00727E4C" w:rsidRPr="00DD6763" w:rsidRDefault="00727E4C" w:rsidP="00341A5B">
      <w:pPr>
        <w:spacing w:after="0" w:line="276" w:lineRule="auto"/>
        <w:jc w:val="both"/>
        <w:rPr>
          <w:rFonts w:ascii="Times New Roman" w:hAnsi="Times New Roman" w:cs="Times New Roman"/>
          <w:sz w:val="24"/>
          <w:szCs w:val="24"/>
        </w:rPr>
      </w:pPr>
    </w:p>
    <w:p w14:paraId="10121929" w14:textId="06151767" w:rsidR="008D0B8D" w:rsidRPr="00DD6763" w:rsidRDefault="00727E4C" w:rsidP="004362B0">
      <w:pPr>
        <w:spacing w:after="0" w:line="276" w:lineRule="auto"/>
        <w:jc w:val="both"/>
        <w:outlineLvl w:val="0"/>
        <w:rPr>
          <w:rFonts w:ascii="Times New Roman" w:hAnsi="Times New Roman" w:cs="Times New Roman"/>
          <w:sz w:val="24"/>
          <w:szCs w:val="24"/>
        </w:rPr>
      </w:pPr>
      <w:r w:rsidRPr="00DD6763">
        <w:rPr>
          <w:rFonts w:ascii="Times New Roman" w:hAnsi="Times New Roman" w:cs="Times New Roman"/>
          <w:b/>
          <w:iCs/>
          <w:sz w:val="24"/>
          <w:szCs w:val="24"/>
        </w:rPr>
        <w:t>2.1</w:t>
      </w:r>
      <w:r w:rsidRPr="00DD6763">
        <w:rPr>
          <w:rFonts w:ascii="Times New Roman" w:hAnsi="Times New Roman" w:cs="Times New Roman"/>
          <w:b/>
          <w:i/>
          <w:sz w:val="24"/>
          <w:szCs w:val="24"/>
        </w:rPr>
        <w:t xml:space="preserve"> Defining the </w:t>
      </w:r>
      <w:r w:rsidR="00A13BE2" w:rsidRPr="00DD6763">
        <w:rPr>
          <w:rFonts w:ascii="Times New Roman" w:hAnsi="Times New Roman" w:cs="Times New Roman"/>
          <w:b/>
          <w:i/>
          <w:sz w:val="24"/>
          <w:szCs w:val="24"/>
        </w:rPr>
        <w:t xml:space="preserve">International Legal Framework Applicable </w:t>
      </w:r>
      <w:r w:rsidRPr="00DD6763">
        <w:rPr>
          <w:rFonts w:ascii="Times New Roman" w:hAnsi="Times New Roman" w:cs="Times New Roman"/>
          <w:b/>
          <w:i/>
          <w:sz w:val="24"/>
          <w:szCs w:val="24"/>
        </w:rPr>
        <w:t>to FPIC</w:t>
      </w:r>
    </w:p>
    <w:p w14:paraId="0EDBF035" w14:textId="0F24C123" w:rsidR="00CB797B" w:rsidRPr="00DD6763" w:rsidRDefault="00930B6C"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 xml:space="preserve">Essentially, FPIC is regulated </w:t>
      </w:r>
      <w:r w:rsidR="00995C38" w:rsidRPr="00DD6763">
        <w:rPr>
          <w:rFonts w:ascii="Times New Roman" w:hAnsi="Times New Roman" w:cs="Times New Roman"/>
          <w:sz w:val="24"/>
          <w:szCs w:val="24"/>
        </w:rPr>
        <w:t>through C169</w:t>
      </w:r>
      <w:r w:rsidR="00667EE1" w:rsidRPr="00DD6763">
        <w:rPr>
          <w:rFonts w:ascii="Times New Roman" w:hAnsi="Times New Roman" w:cs="Times New Roman"/>
          <w:sz w:val="24"/>
          <w:szCs w:val="24"/>
        </w:rPr>
        <w:t xml:space="preserve"> </w:t>
      </w:r>
      <w:r w:rsidR="00B44D02" w:rsidRPr="00DD6763">
        <w:rPr>
          <w:rFonts w:ascii="Times New Roman" w:hAnsi="Times New Roman" w:cs="Times New Roman"/>
          <w:sz w:val="24"/>
          <w:szCs w:val="24"/>
        </w:rPr>
        <w:t>that</w:t>
      </w:r>
      <w:r w:rsidR="00667EE1" w:rsidRPr="00DD6763">
        <w:rPr>
          <w:rFonts w:ascii="Times New Roman" w:hAnsi="Times New Roman" w:cs="Times New Roman"/>
          <w:sz w:val="24"/>
          <w:szCs w:val="24"/>
        </w:rPr>
        <w:t xml:space="preserve"> provides a specific set of norms</w:t>
      </w:r>
      <w:r w:rsidR="00995C38" w:rsidRPr="00DD6763">
        <w:rPr>
          <w:rFonts w:ascii="Times New Roman" w:hAnsi="Times New Roman" w:cs="Times New Roman"/>
          <w:sz w:val="24"/>
          <w:szCs w:val="24"/>
        </w:rPr>
        <w:t xml:space="preserve"> </w:t>
      </w:r>
      <w:r w:rsidR="00722E4C" w:rsidRPr="00DD6763">
        <w:rPr>
          <w:rFonts w:ascii="Times New Roman" w:hAnsi="Times New Roman" w:cs="Times New Roman"/>
          <w:sz w:val="24"/>
          <w:szCs w:val="24"/>
        </w:rPr>
        <w:t xml:space="preserve">and </w:t>
      </w:r>
      <w:r w:rsidR="00FC63D2" w:rsidRPr="00DD6763">
        <w:rPr>
          <w:rFonts w:ascii="Times New Roman" w:hAnsi="Times New Roman" w:cs="Times New Roman"/>
          <w:sz w:val="24"/>
          <w:szCs w:val="24"/>
        </w:rPr>
        <w:t xml:space="preserve">through </w:t>
      </w:r>
      <w:r w:rsidR="00995C38" w:rsidRPr="00DD6763">
        <w:rPr>
          <w:rFonts w:ascii="Times New Roman" w:hAnsi="Times New Roman" w:cs="Times New Roman"/>
          <w:sz w:val="24"/>
          <w:szCs w:val="24"/>
        </w:rPr>
        <w:t>the UN and the American Declaration</w:t>
      </w:r>
      <w:r w:rsidR="00667EE1" w:rsidRPr="00DD6763">
        <w:rPr>
          <w:rFonts w:ascii="Times New Roman" w:hAnsi="Times New Roman" w:cs="Times New Roman"/>
          <w:sz w:val="24"/>
          <w:szCs w:val="24"/>
        </w:rPr>
        <w:t>s</w:t>
      </w:r>
      <w:r w:rsidR="00995C38" w:rsidRPr="00DD6763">
        <w:rPr>
          <w:rFonts w:ascii="Times New Roman" w:hAnsi="Times New Roman" w:cs="Times New Roman"/>
          <w:sz w:val="24"/>
          <w:szCs w:val="24"/>
        </w:rPr>
        <w:t xml:space="preserve">, </w:t>
      </w:r>
      <w:r w:rsidRPr="00DD6763">
        <w:rPr>
          <w:rFonts w:ascii="Times New Roman" w:hAnsi="Times New Roman" w:cs="Times New Roman"/>
          <w:sz w:val="24"/>
          <w:szCs w:val="24"/>
        </w:rPr>
        <w:t>although there is a growing body of case law and state practice that may support the thesis that it ha</w:t>
      </w:r>
      <w:r w:rsidR="00995C38" w:rsidRPr="00DD6763">
        <w:rPr>
          <w:rFonts w:ascii="Times New Roman" w:hAnsi="Times New Roman" w:cs="Times New Roman"/>
          <w:sz w:val="24"/>
          <w:szCs w:val="24"/>
        </w:rPr>
        <w:t>s achieved customary law status</w:t>
      </w:r>
      <w:r w:rsidR="00B44D02" w:rsidRPr="00DD6763">
        <w:rPr>
          <w:rFonts w:ascii="Times New Roman" w:hAnsi="Times New Roman" w:cs="Times New Roman"/>
          <w:sz w:val="24"/>
          <w:szCs w:val="24"/>
        </w:rPr>
        <w:t xml:space="preserve"> as </w:t>
      </w:r>
      <w:r w:rsidR="00FC63D2" w:rsidRPr="00DD6763">
        <w:rPr>
          <w:rFonts w:ascii="Times New Roman" w:hAnsi="Times New Roman" w:cs="Times New Roman"/>
          <w:sz w:val="24"/>
          <w:szCs w:val="24"/>
        </w:rPr>
        <w:t xml:space="preserve">argued </w:t>
      </w:r>
      <w:r w:rsidR="00B44D02" w:rsidRPr="00DD6763">
        <w:rPr>
          <w:rFonts w:ascii="Times New Roman" w:hAnsi="Times New Roman" w:cs="Times New Roman"/>
          <w:sz w:val="24"/>
          <w:szCs w:val="24"/>
        </w:rPr>
        <w:t>below</w:t>
      </w:r>
      <w:r w:rsidRPr="00DD6763">
        <w:rPr>
          <w:rFonts w:ascii="Times New Roman" w:hAnsi="Times New Roman" w:cs="Times New Roman"/>
          <w:sz w:val="24"/>
          <w:szCs w:val="24"/>
        </w:rPr>
        <w:t xml:space="preserve">. </w:t>
      </w:r>
      <w:r w:rsidR="00CB797B" w:rsidRPr="00DD6763">
        <w:rPr>
          <w:rFonts w:ascii="Times New Roman" w:hAnsi="Times New Roman" w:cs="Times New Roman"/>
          <w:sz w:val="24"/>
          <w:szCs w:val="24"/>
        </w:rPr>
        <w:t xml:space="preserve"> </w:t>
      </w:r>
    </w:p>
    <w:p w14:paraId="416E1741" w14:textId="29314FA7" w:rsidR="006577C7" w:rsidRPr="00DD6763" w:rsidRDefault="00AF2C38"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ab/>
      </w:r>
      <w:r w:rsidR="00D310BB" w:rsidRPr="00DD6763">
        <w:rPr>
          <w:rFonts w:ascii="Times New Roman" w:hAnsi="Times New Roman" w:cs="Times New Roman"/>
          <w:sz w:val="24"/>
          <w:szCs w:val="24"/>
        </w:rPr>
        <w:t xml:space="preserve">In the framework of the ILO, </w:t>
      </w:r>
      <w:r w:rsidR="00914AF9" w:rsidRPr="00DD6763">
        <w:rPr>
          <w:rFonts w:ascii="Times New Roman" w:hAnsi="Times New Roman" w:cs="Times New Roman"/>
          <w:sz w:val="24"/>
          <w:szCs w:val="24"/>
        </w:rPr>
        <w:t>t</w:t>
      </w:r>
      <w:r w:rsidR="00D310BB" w:rsidRPr="00DD6763">
        <w:rPr>
          <w:rFonts w:ascii="Times New Roman" w:hAnsi="Times New Roman" w:cs="Times New Roman"/>
          <w:sz w:val="24"/>
          <w:szCs w:val="24"/>
        </w:rPr>
        <w:t xml:space="preserve">he implementation of C169 has contributed to </w:t>
      </w:r>
      <w:r w:rsidR="004B16D7" w:rsidRPr="00DD6763">
        <w:rPr>
          <w:rFonts w:ascii="Times New Roman" w:hAnsi="Times New Roman" w:cs="Times New Roman"/>
          <w:sz w:val="24"/>
          <w:szCs w:val="24"/>
        </w:rPr>
        <w:t>protecting</w:t>
      </w:r>
      <w:r w:rsidR="00D310BB" w:rsidRPr="00DD6763">
        <w:rPr>
          <w:rFonts w:ascii="Times New Roman" w:hAnsi="Times New Roman" w:cs="Times New Roman"/>
          <w:sz w:val="24"/>
          <w:szCs w:val="24"/>
        </w:rPr>
        <w:t xml:space="preserve"> human rights as it contains innovative provisions that </w:t>
      </w:r>
      <w:r w:rsidR="00914AF9" w:rsidRPr="00DD6763">
        <w:rPr>
          <w:rFonts w:ascii="Times New Roman" w:hAnsi="Times New Roman" w:cs="Times New Roman"/>
          <w:sz w:val="24"/>
          <w:szCs w:val="24"/>
        </w:rPr>
        <w:t>other international agreements and domestic legislation have incorporated</w:t>
      </w:r>
      <w:r w:rsidR="005D6530" w:rsidRPr="00DD6763">
        <w:rPr>
          <w:rFonts w:ascii="Times New Roman" w:hAnsi="Times New Roman" w:cs="Times New Roman"/>
          <w:sz w:val="24"/>
          <w:szCs w:val="24"/>
        </w:rPr>
        <w:t>, p</w:t>
      </w:r>
      <w:r w:rsidR="004B16D7" w:rsidRPr="00DD6763">
        <w:rPr>
          <w:rFonts w:ascii="Times New Roman" w:hAnsi="Times New Roman" w:cs="Times New Roman"/>
          <w:sz w:val="24"/>
          <w:szCs w:val="24"/>
        </w:rPr>
        <w:t>articularly</w:t>
      </w:r>
      <w:r w:rsidR="00D310BB" w:rsidRPr="00DD6763">
        <w:rPr>
          <w:rFonts w:ascii="Times New Roman" w:hAnsi="Times New Roman" w:cs="Times New Roman"/>
          <w:sz w:val="24"/>
          <w:szCs w:val="24"/>
        </w:rPr>
        <w:t xml:space="preserve"> in Latin America and the Caribbean.</w:t>
      </w:r>
      <w:r w:rsidR="00914AF9" w:rsidRPr="00DD6763">
        <w:rPr>
          <w:rStyle w:val="FootnoteReference"/>
          <w:rFonts w:ascii="Times New Roman" w:hAnsi="Times New Roman" w:cs="Times New Roman"/>
          <w:sz w:val="24"/>
          <w:szCs w:val="24"/>
        </w:rPr>
        <w:footnoteReference w:id="16"/>
      </w:r>
      <w:r w:rsidR="00914AF9" w:rsidRPr="00DD6763">
        <w:rPr>
          <w:rFonts w:ascii="Times New Roman" w:hAnsi="Times New Roman" w:cs="Times New Roman"/>
          <w:sz w:val="24"/>
          <w:szCs w:val="24"/>
        </w:rPr>
        <w:t xml:space="preserve">  While</w:t>
      </w:r>
      <w:r w:rsidR="006577C7" w:rsidRPr="00DD6763">
        <w:rPr>
          <w:rFonts w:ascii="Times New Roman" w:hAnsi="Times New Roman" w:cs="Times New Roman"/>
          <w:sz w:val="24"/>
          <w:szCs w:val="24"/>
        </w:rPr>
        <w:t xml:space="preserve"> adopted within the international labour rights context</w:t>
      </w:r>
      <w:r w:rsidR="00D310BB" w:rsidRPr="00DD6763">
        <w:rPr>
          <w:rFonts w:ascii="Times New Roman" w:hAnsi="Times New Roman" w:cs="Times New Roman"/>
          <w:sz w:val="24"/>
          <w:szCs w:val="24"/>
        </w:rPr>
        <w:t>, the C169 has become the main tool for the protection of indigenous peoples’ rights</w:t>
      </w:r>
      <w:r w:rsidR="006577C7" w:rsidRPr="00DD6763">
        <w:rPr>
          <w:rFonts w:ascii="Times New Roman" w:hAnsi="Times New Roman" w:cs="Times New Roman"/>
          <w:sz w:val="24"/>
          <w:szCs w:val="24"/>
        </w:rPr>
        <w:t xml:space="preserve"> and</w:t>
      </w:r>
      <w:r w:rsidR="00D310BB" w:rsidRPr="00DD6763">
        <w:rPr>
          <w:rFonts w:ascii="Times New Roman" w:hAnsi="Times New Roman" w:cs="Times New Roman"/>
          <w:sz w:val="24"/>
          <w:szCs w:val="24"/>
        </w:rPr>
        <w:t xml:space="preserve"> its </w:t>
      </w:r>
      <w:r w:rsidR="00BD5CDA" w:rsidRPr="00DD6763">
        <w:rPr>
          <w:rFonts w:ascii="Times New Roman" w:hAnsi="Times New Roman" w:cs="Times New Roman"/>
          <w:sz w:val="24"/>
          <w:szCs w:val="24"/>
        </w:rPr>
        <w:t>application has</w:t>
      </w:r>
      <w:r w:rsidR="00D310BB" w:rsidRPr="00DD6763">
        <w:rPr>
          <w:rFonts w:ascii="Times New Roman" w:hAnsi="Times New Roman" w:cs="Times New Roman"/>
          <w:sz w:val="24"/>
          <w:szCs w:val="24"/>
        </w:rPr>
        <w:t xml:space="preserve"> </w:t>
      </w:r>
      <w:r w:rsidR="00BD5CDA" w:rsidRPr="00DD6763">
        <w:rPr>
          <w:rFonts w:ascii="Times New Roman" w:hAnsi="Times New Roman" w:cs="Times New Roman"/>
          <w:sz w:val="24"/>
          <w:szCs w:val="24"/>
        </w:rPr>
        <w:t>gone beyond the mere</w:t>
      </w:r>
      <w:r w:rsidR="00D310BB" w:rsidRPr="00DD6763">
        <w:rPr>
          <w:rFonts w:ascii="Times New Roman" w:hAnsi="Times New Roman" w:cs="Times New Roman"/>
          <w:sz w:val="24"/>
          <w:szCs w:val="24"/>
        </w:rPr>
        <w:t xml:space="preserve"> safeguard </w:t>
      </w:r>
      <w:r w:rsidR="004A132D" w:rsidRPr="00DD6763">
        <w:rPr>
          <w:rFonts w:ascii="Times New Roman" w:hAnsi="Times New Roman" w:cs="Times New Roman"/>
          <w:sz w:val="24"/>
          <w:szCs w:val="24"/>
        </w:rPr>
        <w:t xml:space="preserve">of </w:t>
      </w:r>
      <w:r w:rsidR="00D310BB" w:rsidRPr="00DD6763">
        <w:rPr>
          <w:rFonts w:ascii="Times New Roman" w:hAnsi="Times New Roman" w:cs="Times New Roman"/>
          <w:sz w:val="24"/>
          <w:szCs w:val="24"/>
        </w:rPr>
        <w:t>labour rights</w:t>
      </w:r>
      <w:r w:rsidR="00BC471F" w:rsidRPr="00DD6763">
        <w:rPr>
          <w:rFonts w:ascii="Times New Roman" w:hAnsi="Times New Roman" w:cs="Times New Roman"/>
          <w:sz w:val="24"/>
          <w:szCs w:val="24"/>
        </w:rPr>
        <w:t>.</w:t>
      </w:r>
      <w:r w:rsidR="00FA65C1" w:rsidRPr="00DD6763">
        <w:rPr>
          <w:rStyle w:val="FootnoteReference"/>
          <w:rFonts w:ascii="Times New Roman" w:hAnsi="Times New Roman" w:cs="Times New Roman"/>
          <w:sz w:val="24"/>
          <w:szCs w:val="24"/>
        </w:rPr>
        <w:footnoteReference w:id="17"/>
      </w:r>
      <w:r w:rsidR="00FC63D2" w:rsidRPr="00DD6763">
        <w:rPr>
          <w:rFonts w:ascii="Times New Roman" w:hAnsi="Times New Roman" w:cs="Times New Roman"/>
          <w:sz w:val="24"/>
          <w:szCs w:val="24"/>
        </w:rPr>
        <w:t xml:space="preserve"> </w:t>
      </w:r>
      <w:r w:rsidR="005A665D" w:rsidRPr="00DD6763">
        <w:rPr>
          <w:rFonts w:ascii="Times New Roman" w:hAnsi="Times New Roman" w:cs="Times New Roman"/>
          <w:sz w:val="24"/>
          <w:szCs w:val="24"/>
        </w:rPr>
        <w:t>As regards the nature of C</w:t>
      </w:r>
      <w:r w:rsidR="00086DA0" w:rsidRPr="00DD6763">
        <w:rPr>
          <w:rFonts w:ascii="Times New Roman" w:hAnsi="Times New Roman" w:cs="Times New Roman"/>
          <w:sz w:val="24"/>
          <w:szCs w:val="24"/>
        </w:rPr>
        <w:t xml:space="preserve">169, </w:t>
      </w:r>
      <w:proofErr w:type="spellStart"/>
      <w:r w:rsidR="00086DA0" w:rsidRPr="00DD6763">
        <w:rPr>
          <w:rFonts w:ascii="Times New Roman" w:hAnsi="Times New Roman" w:cs="Times New Roman"/>
          <w:sz w:val="24"/>
          <w:szCs w:val="24"/>
        </w:rPr>
        <w:t>Mantouvalou</w:t>
      </w:r>
      <w:proofErr w:type="spellEnd"/>
      <w:r w:rsidR="00086DA0" w:rsidRPr="00DD6763">
        <w:rPr>
          <w:rFonts w:ascii="Times New Roman" w:hAnsi="Times New Roman" w:cs="Times New Roman"/>
          <w:sz w:val="24"/>
          <w:szCs w:val="24"/>
        </w:rPr>
        <w:t xml:space="preserve"> explains that “</w:t>
      </w:r>
      <w:r w:rsidR="005A665D" w:rsidRPr="00DD6763">
        <w:rPr>
          <w:rFonts w:ascii="Times New Roman" w:hAnsi="Times New Roman" w:cs="Times New Roman"/>
          <w:sz w:val="24"/>
          <w:szCs w:val="24"/>
        </w:rPr>
        <w:t>for many decades, the ILO did not explicitly present the documents adopted under its aus</w:t>
      </w:r>
      <w:r w:rsidR="00086DA0" w:rsidRPr="00DD6763">
        <w:rPr>
          <w:rFonts w:ascii="Times New Roman" w:hAnsi="Times New Roman" w:cs="Times New Roman"/>
          <w:sz w:val="24"/>
          <w:szCs w:val="24"/>
        </w:rPr>
        <w:t>pices as human rights documents”</w:t>
      </w:r>
      <w:r w:rsidR="005A665D" w:rsidRPr="00DD6763">
        <w:rPr>
          <w:rFonts w:ascii="Times New Roman" w:hAnsi="Times New Roman" w:cs="Times New Roman"/>
          <w:sz w:val="24"/>
          <w:szCs w:val="24"/>
        </w:rPr>
        <w:t>.</w:t>
      </w:r>
      <w:r w:rsidR="005A665D" w:rsidRPr="00DD6763">
        <w:rPr>
          <w:rStyle w:val="FootnoteReference"/>
          <w:rFonts w:ascii="Times New Roman" w:hAnsi="Times New Roman" w:cs="Times New Roman"/>
          <w:sz w:val="24"/>
          <w:szCs w:val="24"/>
        </w:rPr>
        <w:footnoteReference w:id="18"/>
      </w:r>
      <w:r w:rsidR="005A665D" w:rsidRPr="00DD6763">
        <w:rPr>
          <w:rFonts w:ascii="Times New Roman" w:hAnsi="Times New Roman" w:cs="Times New Roman"/>
          <w:sz w:val="24"/>
          <w:szCs w:val="24"/>
        </w:rPr>
        <w:t xml:space="preserve"> However, a</w:t>
      </w:r>
      <w:r w:rsidR="00FC63D2" w:rsidRPr="00DD6763">
        <w:rPr>
          <w:rFonts w:ascii="Times New Roman" w:hAnsi="Times New Roman" w:cs="Times New Roman"/>
          <w:sz w:val="24"/>
          <w:szCs w:val="24"/>
        </w:rPr>
        <w:t xml:space="preserve">s </w:t>
      </w:r>
      <w:proofErr w:type="spellStart"/>
      <w:r w:rsidR="00FC63D2" w:rsidRPr="00DD6763">
        <w:rPr>
          <w:rFonts w:ascii="Times New Roman" w:hAnsi="Times New Roman" w:cs="Times New Roman"/>
          <w:sz w:val="24"/>
          <w:szCs w:val="24"/>
        </w:rPr>
        <w:t>Piñ</w:t>
      </w:r>
      <w:r w:rsidR="00523828" w:rsidRPr="00DD6763">
        <w:rPr>
          <w:rFonts w:ascii="Times New Roman" w:hAnsi="Times New Roman" w:cs="Times New Roman"/>
          <w:sz w:val="24"/>
          <w:szCs w:val="24"/>
        </w:rPr>
        <w:t>ero</w:t>
      </w:r>
      <w:proofErr w:type="spellEnd"/>
      <w:r w:rsidR="006577C7" w:rsidRPr="00DD6763">
        <w:rPr>
          <w:rFonts w:ascii="Times New Roman" w:hAnsi="Times New Roman" w:cs="Times New Roman"/>
          <w:sz w:val="24"/>
          <w:szCs w:val="24"/>
        </w:rPr>
        <w:t xml:space="preserve"> points out</w:t>
      </w:r>
      <w:r w:rsidR="004A132D" w:rsidRPr="00DD6763">
        <w:rPr>
          <w:rFonts w:ascii="Times New Roman" w:hAnsi="Times New Roman" w:cs="Times New Roman"/>
          <w:sz w:val="24"/>
          <w:szCs w:val="24"/>
        </w:rPr>
        <w:t>,</w:t>
      </w:r>
      <w:r w:rsidR="00523828" w:rsidRPr="00DD6763">
        <w:rPr>
          <w:rFonts w:ascii="Times New Roman" w:hAnsi="Times New Roman" w:cs="Times New Roman"/>
          <w:sz w:val="24"/>
          <w:szCs w:val="24"/>
        </w:rPr>
        <w:t xml:space="preserve"> </w:t>
      </w:r>
      <w:r w:rsidR="00086DA0" w:rsidRPr="00DD6763">
        <w:rPr>
          <w:rFonts w:ascii="Times New Roman" w:hAnsi="Times New Roman" w:cs="Times New Roman"/>
          <w:sz w:val="24"/>
          <w:szCs w:val="24"/>
        </w:rPr>
        <w:t>C169 “</w:t>
      </w:r>
      <w:r w:rsidR="003B02B6" w:rsidRPr="00DD6763">
        <w:rPr>
          <w:rFonts w:ascii="Times New Roman" w:hAnsi="Times New Roman" w:cs="Times New Roman"/>
          <w:sz w:val="24"/>
          <w:szCs w:val="24"/>
        </w:rPr>
        <w:t>has gained such a central position in the contemporary defence of indigenous peoples’ rights at the international and domestic levels that nobody seems to be concerned any longer with the Conv</w:t>
      </w:r>
      <w:r w:rsidR="00D12AEA" w:rsidRPr="00DD6763">
        <w:rPr>
          <w:rFonts w:ascii="Times New Roman" w:hAnsi="Times New Roman" w:cs="Times New Roman"/>
          <w:sz w:val="24"/>
          <w:szCs w:val="24"/>
        </w:rPr>
        <w:t xml:space="preserve">ention’s </w:t>
      </w:r>
      <w:r w:rsidR="00FC63D2" w:rsidRPr="00DD6763">
        <w:rPr>
          <w:rFonts w:ascii="Times New Roman" w:hAnsi="Times New Roman" w:cs="Times New Roman"/>
          <w:sz w:val="24"/>
          <w:szCs w:val="24"/>
        </w:rPr>
        <w:t xml:space="preserve">(…) </w:t>
      </w:r>
      <w:r w:rsidR="00086DA0" w:rsidRPr="00DD6763">
        <w:rPr>
          <w:rFonts w:ascii="Times New Roman" w:hAnsi="Times New Roman" w:cs="Times New Roman"/>
          <w:sz w:val="24"/>
          <w:szCs w:val="24"/>
        </w:rPr>
        <w:t>origins”</w:t>
      </w:r>
      <w:r w:rsidR="003B02B6" w:rsidRPr="00DD6763">
        <w:rPr>
          <w:rFonts w:ascii="Times New Roman" w:hAnsi="Times New Roman" w:cs="Times New Roman"/>
          <w:sz w:val="24"/>
          <w:szCs w:val="24"/>
        </w:rPr>
        <w:t>.</w:t>
      </w:r>
      <w:r w:rsidR="00BC471F" w:rsidRPr="00DD6763">
        <w:rPr>
          <w:rStyle w:val="FootnoteReference"/>
          <w:rFonts w:ascii="Times New Roman" w:hAnsi="Times New Roman" w:cs="Times New Roman"/>
          <w:sz w:val="24"/>
          <w:szCs w:val="24"/>
        </w:rPr>
        <w:footnoteReference w:id="19"/>
      </w:r>
      <w:r w:rsidR="00EE6863" w:rsidRPr="00DD6763">
        <w:rPr>
          <w:rFonts w:ascii="Times New Roman" w:hAnsi="Times New Roman" w:cs="Times New Roman"/>
          <w:sz w:val="24"/>
          <w:szCs w:val="24"/>
        </w:rPr>
        <w:t xml:space="preserve"> </w:t>
      </w:r>
    </w:p>
    <w:p w14:paraId="3A4B9A88" w14:textId="567391AD" w:rsidR="00D310BB" w:rsidRPr="00DD6763" w:rsidRDefault="00AF2C38"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ab/>
      </w:r>
      <w:r w:rsidR="00D310BB" w:rsidRPr="00DD6763">
        <w:rPr>
          <w:rFonts w:ascii="Times New Roman" w:hAnsi="Times New Roman" w:cs="Times New Roman"/>
          <w:sz w:val="24"/>
          <w:szCs w:val="24"/>
        </w:rPr>
        <w:t xml:space="preserve">Amongst the indigenous peoples’ rights contained therein, </w:t>
      </w:r>
      <w:r w:rsidR="00914AF9" w:rsidRPr="00DD6763">
        <w:rPr>
          <w:rFonts w:ascii="Times New Roman" w:hAnsi="Times New Roman" w:cs="Times New Roman"/>
          <w:sz w:val="24"/>
          <w:szCs w:val="24"/>
        </w:rPr>
        <w:t xml:space="preserve">Article 16 (2) </w:t>
      </w:r>
      <w:r w:rsidR="00D310BB" w:rsidRPr="00DD6763">
        <w:rPr>
          <w:rFonts w:ascii="Times New Roman" w:hAnsi="Times New Roman" w:cs="Times New Roman"/>
          <w:sz w:val="24"/>
          <w:szCs w:val="24"/>
        </w:rPr>
        <w:t>stands out for its significance</w:t>
      </w:r>
      <w:r w:rsidR="00914AF9" w:rsidRPr="00DD6763">
        <w:rPr>
          <w:rFonts w:ascii="Times New Roman" w:hAnsi="Times New Roman" w:cs="Times New Roman"/>
          <w:sz w:val="24"/>
          <w:szCs w:val="24"/>
        </w:rPr>
        <w:t xml:space="preserve"> since it</w:t>
      </w:r>
      <w:r w:rsidR="00D310BB" w:rsidRPr="00DD6763">
        <w:rPr>
          <w:rFonts w:ascii="Times New Roman" w:hAnsi="Times New Roman" w:cs="Times New Roman"/>
          <w:sz w:val="24"/>
          <w:szCs w:val="24"/>
        </w:rPr>
        <w:t xml:space="preserve"> </w:t>
      </w:r>
      <w:r w:rsidR="00EE6863" w:rsidRPr="00DD6763">
        <w:rPr>
          <w:rFonts w:ascii="Times New Roman" w:hAnsi="Times New Roman" w:cs="Times New Roman"/>
          <w:sz w:val="24"/>
          <w:szCs w:val="24"/>
        </w:rPr>
        <w:t xml:space="preserve">fleshes out </w:t>
      </w:r>
      <w:r w:rsidR="00914AF9" w:rsidRPr="00DD6763">
        <w:rPr>
          <w:rFonts w:ascii="Times New Roman" w:hAnsi="Times New Roman" w:cs="Times New Roman"/>
          <w:sz w:val="24"/>
          <w:szCs w:val="24"/>
        </w:rPr>
        <w:t xml:space="preserve">FPIC </w:t>
      </w:r>
      <w:r w:rsidR="00EE6863" w:rsidRPr="00DD6763">
        <w:rPr>
          <w:rFonts w:ascii="Times New Roman" w:hAnsi="Times New Roman" w:cs="Times New Roman"/>
          <w:sz w:val="24"/>
          <w:szCs w:val="24"/>
        </w:rPr>
        <w:t>in these terms</w:t>
      </w:r>
      <w:r w:rsidR="0029686C" w:rsidRPr="00DD6763">
        <w:rPr>
          <w:rFonts w:ascii="Times New Roman" w:hAnsi="Times New Roman" w:cs="Times New Roman"/>
          <w:sz w:val="24"/>
          <w:szCs w:val="24"/>
        </w:rPr>
        <w:t>: “</w:t>
      </w:r>
      <w:r w:rsidR="00D310BB" w:rsidRPr="00DD6763">
        <w:rPr>
          <w:rFonts w:ascii="Times New Roman" w:hAnsi="Times New Roman" w:cs="Times New Roman"/>
          <w:sz w:val="24"/>
          <w:szCs w:val="24"/>
        </w:rPr>
        <w:t xml:space="preserve">Where the relocation of these peoples is considered necessary as an exceptional measure, such relocation shall take place only with </w:t>
      </w:r>
      <w:r w:rsidR="00D310BB" w:rsidRPr="00DD6763">
        <w:rPr>
          <w:rFonts w:ascii="Times New Roman" w:hAnsi="Times New Roman" w:cs="Times New Roman"/>
          <w:sz w:val="24"/>
          <w:szCs w:val="24"/>
        </w:rPr>
        <w:lastRenderedPageBreak/>
        <w:t>their free and informed consent. Where their consent cannot be obtained, such relocation shall take place only following appropriate procedures established by national laws and regulations, including public inquiries where appropriate, which provide the opportunity for effective representation o</w:t>
      </w:r>
      <w:r w:rsidR="0029686C" w:rsidRPr="00DD6763">
        <w:rPr>
          <w:rFonts w:ascii="Times New Roman" w:hAnsi="Times New Roman" w:cs="Times New Roman"/>
          <w:sz w:val="24"/>
          <w:szCs w:val="24"/>
        </w:rPr>
        <w:t>f the peoples concerned”</w:t>
      </w:r>
      <w:r w:rsidR="00D310BB" w:rsidRPr="00DD6763">
        <w:rPr>
          <w:rFonts w:ascii="Times New Roman" w:hAnsi="Times New Roman" w:cs="Times New Roman"/>
          <w:sz w:val="24"/>
          <w:szCs w:val="24"/>
        </w:rPr>
        <w:t>.</w:t>
      </w:r>
      <w:r w:rsidR="00D310BB" w:rsidRPr="00DD6763">
        <w:rPr>
          <w:rStyle w:val="FootnoteReference"/>
          <w:rFonts w:ascii="Times New Roman" w:hAnsi="Times New Roman" w:cs="Times New Roman"/>
          <w:sz w:val="24"/>
          <w:szCs w:val="24"/>
        </w:rPr>
        <w:footnoteReference w:id="20"/>
      </w:r>
      <w:r w:rsidR="00D310BB" w:rsidRPr="00DD6763">
        <w:rPr>
          <w:rFonts w:ascii="Times New Roman" w:hAnsi="Times New Roman" w:cs="Times New Roman"/>
          <w:sz w:val="24"/>
          <w:szCs w:val="24"/>
        </w:rPr>
        <w:t xml:space="preserve"> </w:t>
      </w:r>
    </w:p>
    <w:p w14:paraId="01742814" w14:textId="4ADF17E0" w:rsidR="00D310BB" w:rsidRPr="00DD6763" w:rsidRDefault="00AF2C38"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ab/>
      </w:r>
      <w:r w:rsidR="00D310BB" w:rsidRPr="00DD6763">
        <w:rPr>
          <w:rFonts w:ascii="Times New Roman" w:hAnsi="Times New Roman" w:cs="Times New Roman"/>
          <w:sz w:val="24"/>
          <w:szCs w:val="24"/>
        </w:rPr>
        <w:t xml:space="preserve">The ILO norms have paved the way to strengthening the protection of indigenous rights in two essential ways. First, through </w:t>
      </w:r>
      <w:r w:rsidR="00D12AEA" w:rsidRPr="00DD6763">
        <w:rPr>
          <w:rFonts w:ascii="Times New Roman" w:hAnsi="Times New Roman" w:cs="Times New Roman"/>
          <w:sz w:val="24"/>
          <w:szCs w:val="24"/>
        </w:rPr>
        <w:t>standard setting</w:t>
      </w:r>
      <w:r w:rsidR="00D310BB" w:rsidRPr="00DD6763">
        <w:rPr>
          <w:rFonts w:ascii="Times New Roman" w:hAnsi="Times New Roman" w:cs="Times New Roman"/>
          <w:sz w:val="24"/>
          <w:szCs w:val="24"/>
        </w:rPr>
        <w:t xml:space="preserve"> they have established common rules and principles for protection at the domestic level, as contracting states have to set up domestic mechanisms and enact appropriate legislation to implement </w:t>
      </w:r>
      <w:r w:rsidR="00FC63D2" w:rsidRPr="00DD6763">
        <w:rPr>
          <w:rFonts w:ascii="Times New Roman" w:hAnsi="Times New Roman" w:cs="Times New Roman"/>
          <w:sz w:val="24"/>
          <w:szCs w:val="24"/>
        </w:rPr>
        <w:t>C169</w:t>
      </w:r>
      <w:r w:rsidR="00D310BB" w:rsidRPr="00DD6763">
        <w:rPr>
          <w:rFonts w:ascii="Times New Roman" w:hAnsi="Times New Roman" w:cs="Times New Roman"/>
          <w:sz w:val="24"/>
          <w:szCs w:val="24"/>
        </w:rPr>
        <w:t>.</w:t>
      </w:r>
      <w:r w:rsidR="00102198" w:rsidRPr="00DD6763">
        <w:rPr>
          <w:rStyle w:val="FootnoteReference"/>
          <w:rFonts w:ascii="Times New Roman" w:hAnsi="Times New Roman" w:cs="Times New Roman"/>
          <w:sz w:val="24"/>
          <w:szCs w:val="24"/>
        </w:rPr>
        <w:footnoteReference w:id="21"/>
      </w:r>
      <w:r w:rsidR="00D310BB" w:rsidRPr="00DD6763">
        <w:rPr>
          <w:rFonts w:ascii="Times New Roman" w:hAnsi="Times New Roman" w:cs="Times New Roman"/>
          <w:sz w:val="24"/>
          <w:szCs w:val="24"/>
        </w:rPr>
        <w:t xml:space="preserve"> Second, through monitoring, since states parties to </w:t>
      </w:r>
      <w:r w:rsidR="00FC63D2" w:rsidRPr="00DD6763">
        <w:rPr>
          <w:rFonts w:ascii="Times New Roman" w:hAnsi="Times New Roman" w:cs="Times New Roman"/>
          <w:sz w:val="24"/>
          <w:szCs w:val="24"/>
        </w:rPr>
        <w:t>C169</w:t>
      </w:r>
      <w:r w:rsidR="00D310BB" w:rsidRPr="00DD6763">
        <w:rPr>
          <w:rFonts w:ascii="Times New Roman" w:hAnsi="Times New Roman" w:cs="Times New Roman"/>
          <w:sz w:val="24"/>
          <w:szCs w:val="24"/>
        </w:rPr>
        <w:t xml:space="preserve"> are under the obligation to report regularly to the ILO bodies on the progress achieved in the implementation of ILO standards. It should be noted nonetheless that the ILO Standards Committee has no specific competence in the protection of human rights, i.e. it cannot order </w:t>
      </w:r>
      <w:r w:rsidR="009B78D9" w:rsidRPr="00DD6763">
        <w:rPr>
          <w:rFonts w:ascii="Times New Roman" w:hAnsi="Times New Roman" w:cs="Times New Roman"/>
          <w:sz w:val="24"/>
          <w:szCs w:val="24"/>
        </w:rPr>
        <w:t>reparation</w:t>
      </w:r>
      <w:r w:rsidR="00D12AEA" w:rsidRPr="00DD6763">
        <w:rPr>
          <w:rFonts w:ascii="Times New Roman" w:hAnsi="Times New Roman" w:cs="Times New Roman"/>
          <w:sz w:val="24"/>
          <w:szCs w:val="24"/>
        </w:rPr>
        <w:t xml:space="preserve"> when a violation of human rights </w:t>
      </w:r>
      <w:r w:rsidR="008F0276" w:rsidRPr="00DD6763">
        <w:rPr>
          <w:rFonts w:ascii="Times New Roman" w:hAnsi="Times New Roman" w:cs="Times New Roman"/>
          <w:sz w:val="24"/>
          <w:szCs w:val="24"/>
        </w:rPr>
        <w:t>arises</w:t>
      </w:r>
      <w:r w:rsidR="00D310BB" w:rsidRPr="00DD6763">
        <w:rPr>
          <w:rFonts w:ascii="Times New Roman" w:hAnsi="Times New Roman" w:cs="Times New Roman"/>
          <w:sz w:val="24"/>
          <w:szCs w:val="24"/>
        </w:rPr>
        <w:t>.</w:t>
      </w:r>
      <w:r w:rsidR="00D310BB" w:rsidRPr="00DD6763">
        <w:rPr>
          <w:rStyle w:val="FootnoteReference"/>
          <w:rFonts w:ascii="Times New Roman" w:hAnsi="Times New Roman" w:cs="Times New Roman"/>
          <w:sz w:val="24"/>
          <w:szCs w:val="24"/>
        </w:rPr>
        <w:footnoteReference w:id="22"/>
      </w:r>
    </w:p>
    <w:p w14:paraId="6032447B" w14:textId="7EB60794" w:rsidR="00D310BB" w:rsidRPr="00DD6763" w:rsidRDefault="00AF2C38" w:rsidP="00341A5B">
      <w:pPr>
        <w:widowControl w:val="0"/>
        <w:autoSpaceDE w:val="0"/>
        <w:autoSpaceDN w:val="0"/>
        <w:adjustRightInd w:val="0"/>
        <w:spacing w:after="0" w:line="276" w:lineRule="auto"/>
        <w:jc w:val="both"/>
        <w:rPr>
          <w:rFonts w:ascii="Times" w:hAnsi="Times" w:cs="Times"/>
          <w:sz w:val="24"/>
          <w:szCs w:val="24"/>
        </w:rPr>
      </w:pPr>
      <w:r w:rsidRPr="00DD6763">
        <w:rPr>
          <w:rFonts w:ascii="Times New Roman" w:hAnsi="Times New Roman" w:cs="Times New Roman"/>
          <w:sz w:val="24"/>
          <w:szCs w:val="24"/>
        </w:rPr>
        <w:tab/>
      </w:r>
      <w:r w:rsidR="00D310BB" w:rsidRPr="00DD6763">
        <w:rPr>
          <w:rFonts w:ascii="Times New Roman" w:hAnsi="Times New Roman" w:cs="Times New Roman"/>
          <w:sz w:val="24"/>
          <w:szCs w:val="24"/>
        </w:rPr>
        <w:t xml:space="preserve">In </w:t>
      </w:r>
      <w:r w:rsidR="00D576D6" w:rsidRPr="00DD6763">
        <w:rPr>
          <w:rFonts w:ascii="Times New Roman" w:hAnsi="Times New Roman" w:cs="Times New Roman"/>
          <w:sz w:val="24"/>
          <w:szCs w:val="24"/>
        </w:rPr>
        <w:t xml:space="preserve">the </w:t>
      </w:r>
      <w:r w:rsidR="00D310BB" w:rsidRPr="00DD6763">
        <w:rPr>
          <w:rFonts w:ascii="Times New Roman" w:hAnsi="Times New Roman" w:cs="Times New Roman"/>
          <w:sz w:val="24"/>
          <w:szCs w:val="24"/>
        </w:rPr>
        <w:t xml:space="preserve">absence of a binding instrument in </w:t>
      </w:r>
      <w:r w:rsidR="004D513B" w:rsidRPr="00DD6763">
        <w:rPr>
          <w:rFonts w:ascii="Times New Roman" w:hAnsi="Times New Roman" w:cs="Times New Roman"/>
          <w:sz w:val="24"/>
          <w:szCs w:val="24"/>
        </w:rPr>
        <w:t>IHRL</w:t>
      </w:r>
      <w:r w:rsidR="00D310BB" w:rsidRPr="00DD6763">
        <w:rPr>
          <w:rFonts w:ascii="Times New Roman" w:hAnsi="Times New Roman" w:cs="Times New Roman"/>
          <w:sz w:val="24"/>
          <w:szCs w:val="24"/>
        </w:rPr>
        <w:t>, declarations consecrating indige</w:t>
      </w:r>
      <w:r w:rsidR="00F92517" w:rsidRPr="00DD6763">
        <w:rPr>
          <w:rFonts w:ascii="Times New Roman" w:hAnsi="Times New Roman" w:cs="Times New Roman"/>
          <w:sz w:val="24"/>
          <w:szCs w:val="24"/>
        </w:rPr>
        <w:t xml:space="preserve">nous rights have recognised </w:t>
      </w:r>
      <w:r w:rsidR="00D310BB" w:rsidRPr="00DD6763">
        <w:rPr>
          <w:rFonts w:ascii="Times New Roman" w:hAnsi="Times New Roman" w:cs="Times New Roman"/>
          <w:sz w:val="24"/>
          <w:szCs w:val="24"/>
        </w:rPr>
        <w:t xml:space="preserve">FPIC at </w:t>
      </w:r>
      <w:r w:rsidR="00914AF9" w:rsidRPr="00DD6763">
        <w:rPr>
          <w:rFonts w:ascii="Times New Roman" w:hAnsi="Times New Roman" w:cs="Times New Roman"/>
          <w:sz w:val="24"/>
          <w:szCs w:val="24"/>
        </w:rPr>
        <w:t>universal</w:t>
      </w:r>
      <w:r w:rsidR="00D310BB" w:rsidRPr="00DD6763">
        <w:rPr>
          <w:rFonts w:ascii="Times New Roman" w:hAnsi="Times New Roman" w:cs="Times New Roman"/>
          <w:sz w:val="24"/>
          <w:szCs w:val="24"/>
        </w:rPr>
        <w:t xml:space="preserve"> and regional level. The 2007 UN Declaration on Indigenous Rights (UNDRIP) </w:t>
      </w:r>
      <w:r w:rsidR="00914AF9" w:rsidRPr="00DD6763">
        <w:rPr>
          <w:rFonts w:ascii="Times" w:hAnsi="Times" w:cs="Times"/>
          <w:sz w:val="24"/>
          <w:szCs w:val="24"/>
        </w:rPr>
        <w:t xml:space="preserve">in </w:t>
      </w:r>
      <w:r w:rsidR="00D576D6" w:rsidRPr="00DD6763">
        <w:rPr>
          <w:rFonts w:ascii="Times" w:hAnsi="Times" w:cs="Times"/>
          <w:sz w:val="24"/>
          <w:szCs w:val="24"/>
        </w:rPr>
        <w:t xml:space="preserve">Article </w:t>
      </w:r>
      <w:r w:rsidR="00914AF9" w:rsidRPr="00DD6763">
        <w:rPr>
          <w:rFonts w:ascii="Times" w:hAnsi="Times" w:cs="Times"/>
          <w:sz w:val="24"/>
          <w:szCs w:val="24"/>
        </w:rPr>
        <w:t>10</w:t>
      </w:r>
      <w:r w:rsidR="00D310BB" w:rsidRPr="00DD6763">
        <w:rPr>
          <w:rFonts w:ascii="Times" w:hAnsi="Times" w:cs="Times"/>
          <w:sz w:val="24"/>
          <w:szCs w:val="24"/>
        </w:rPr>
        <w:t xml:space="preserve"> proclaims that “[</w:t>
      </w:r>
      <w:proofErr w:type="spellStart"/>
      <w:r w:rsidR="00D310BB" w:rsidRPr="00DD6763">
        <w:rPr>
          <w:rFonts w:ascii="Times" w:hAnsi="Times" w:cs="Times"/>
          <w:sz w:val="24"/>
          <w:szCs w:val="24"/>
        </w:rPr>
        <w:t>i</w:t>
      </w:r>
      <w:proofErr w:type="spellEnd"/>
      <w:r w:rsidR="00D310BB" w:rsidRPr="00DD6763">
        <w:rPr>
          <w:rFonts w:ascii="Times" w:hAnsi="Times" w:cs="Times"/>
          <w:sz w:val="24"/>
          <w:szCs w:val="24"/>
        </w:rPr>
        <w:t>]</w:t>
      </w:r>
      <w:proofErr w:type="spellStart"/>
      <w:r w:rsidR="00D310BB" w:rsidRPr="00DD6763">
        <w:rPr>
          <w:rFonts w:ascii="Times" w:hAnsi="Times" w:cs="Times"/>
          <w:sz w:val="24"/>
          <w:szCs w:val="24"/>
        </w:rPr>
        <w:t>ndigenous</w:t>
      </w:r>
      <w:proofErr w:type="spellEnd"/>
      <w:r w:rsidR="00D310BB" w:rsidRPr="00DD6763">
        <w:rPr>
          <w:rFonts w:ascii="Times" w:hAnsi="Times" w:cs="Times"/>
          <w:sz w:val="24"/>
          <w:szCs w:val="24"/>
        </w:rPr>
        <w:t xml:space="preserve"> peoples shall not </w:t>
      </w:r>
      <w:r w:rsidR="0086172E" w:rsidRPr="00DD6763">
        <w:rPr>
          <w:rFonts w:ascii="Times" w:hAnsi="Times" w:cs="Times"/>
          <w:sz w:val="24"/>
          <w:szCs w:val="24"/>
        </w:rPr>
        <w:t xml:space="preserve">be forcibly </w:t>
      </w:r>
      <w:r w:rsidR="00D310BB" w:rsidRPr="00DD6763">
        <w:rPr>
          <w:rFonts w:ascii="Times" w:hAnsi="Times" w:cs="Times"/>
          <w:sz w:val="24"/>
          <w:szCs w:val="24"/>
        </w:rPr>
        <w:t>removed from their lands or territories. No relocation shall take place without the free, prior and informed consent of the in</w:t>
      </w:r>
      <w:r w:rsidR="00DD6763">
        <w:rPr>
          <w:rFonts w:ascii="Times" w:hAnsi="Times" w:cs="Times"/>
          <w:sz w:val="24"/>
          <w:szCs w:val="24"/>
        </w:rPr>
        <w:t>digenous peoples concerned”</w:t>
      </w:r>
      <w:r w:rsidR="00D310BB" w:rsidRPr="00DD6763">
        <w:rPr>
          <w:rFonts w:ascii="Times" w:hAnsi="Times" w:cs="Times"/>
          <w:sz w:val="24"/>
          <w:szCs w:val="24"/>
        </w:rPr>
        <w:t>.</w:t>
      </w:r>
      <w:r w:rsidR="00D310BB" w:rsidRPr="00DD6763">
        <w:rPr>
          <w:rStyle w:val="FootnoteReference"/>
          <w:rFonts w:ascii="Times" w:hAnsi="Times" w:cs="Times"/>
          <w:sz w:val="24"/>
          <w:szCs w:val="24"/>
        </w:rPr>
        <w:footnoteReference w:id="23"/>
      </w:r>
      <w:r w:rsidR="00D310BB" w:rsidRPr="00DD6763">
        <w:rPr>
          <w:rFonts w:ascii="Times" w:hAnsi="Times" w:cs="Times"/>
          <w:sz w:val="24"/>
          <w:szCs w:val="24"/>
        </w:rPr>
        <w:t xml:space="preserve"> </w:t>
      </w:r>
    </w:p>
    <w:p w14:paraId="2CE0D83F" w14:textId="77777777" w:rsidR="00DD6763" w:rsidRDefault="00AF2C38"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ab/>
      </w:r>
      <w:r w:rsidR="00D310BB" w:rsidRPr="00DD6763">
        <w:rPr>
          <w:rFonts w:ascii="Times New Roman" w:hAnsi="Times New Roman" w:cs="Times New Roman"/>
          <w:sz w:val="24"/>
          <w:szCs w:val="24"/>
        </w:rPr>
        <w:t>In turn, the 2016 American Declaration on the Rights of Indigenous Peoples</w:t>
      </w:r>
      <w:r w:rsidR="00BF6365" w:rsidRPr="00DD6763">
        <w:rPr>
          <w:rFonts w:ascii="Times New Roman" w:hAnsi="Times New Roman" w:cs="Times New Roman"/>
          <w:sz w:val="24"/>
          <w:szCs w:val="24"/>
        </w:rPr>
        <w:t xml:space="preserve"> (</w:t>
      </w:r>
      <w:r w:rsidR="000409C8" w:rsidRPr="00DD6763">
        <w:rPr>
          <w:rFonts w:ascii="Times New Roman" w:hAnsi="Times New Roman" w:cs="Times New Roman"/>
          <w:sz w:val="24"/>
          <w:szCs w:val="24"/>
        </w:rPr>
        <w:t xml:space="preserve">2016 </w:t>
      </w:r>
      <w:r w:rsidR="00BF6365" w:rsidRPr="00DD6763">
        <w:rPr>
          <w:rFonts w:ascii="Times New Roman" w:hAnsi="Times New Roman" w:cs="Times New Roman"/>
          <w:sz w:val="24"/>
          <w:szCs w:val="24"/>
        </w:rPr>
        <w:t>ADRIP)</w:t>
      </w:r>
      <w:r w:rsidR="00330206" w:rsidRPr="00DD6763">
        <w:rPr>
          <w:rFonts w:ascii="Times New Roman" w:hAnsi="Times New Roman" w:cs="Times New Roman"/>
          <w:sz w:val="24"/>
          <w:szCs w:val="24"/>
        </w:rPr>
        <w:t xml:space="preserve"> further reinforces the idea that FPIC must be sought on different occasions. </w:t>
      </w:r>
      <w:r w:rsidR="00994035" w:rsidRPr="00DD6763">
        <w:rPr>
          <w:rFonts w:ascii="Times" w:hAnsi="Times" w:cs="Times"/>
          <w:sz w:val="24"/>
          <w:szCs w:val="24"/>
        </w:rPr>
        <w:t>Although</w:t>
      </w:r>
      <w:r w:rsidR="006269E9" w:rsidRPr="00DD6763">
        <w:rPr>
          <w:rFonts w:ascii="Times" w:hAnsi="Times" w:cs="Times"/>
          <w:sz w:val="24"/>
          <w:szCs w:val="24"/>
        </w:rPr>
        <w:t xml:space="preserve"> there is no clear-cut formulation of FPIC it can be inferred from </w:t>
      </w:r>
      <w:r w:rsidR="00994035" w:rsidRPr="00DD6763">
        <w:rPr>
          <w:rFonts w:ascii="Times" w:hAnsi="Times" w:cs="Times"/>
          <w:sz w:val="24"/>
          <w:szCs w:val="24"/>
        </w:rPr>
        <w:t xml:space="preserve">various </w:t>
      </w:r>
      <w:r w:rsidR="006269E9" w:rsidRPr="00DD6763">
        <w:rPr>
          <w:rFonts w:ascii="Times" w:hAnsi="Times" w:cs="Times"/>
          <w:sz w:val="24"/>
          <w:szCs w:val="24"/>
        </w:rPr>
        <w:t>provisions disseminated across the text</w:t>
      </w:r>
      <w:r w:rsidR="006269E9" w:rsidRPr="00DD6763">
        <w:rPr>
          <w:rFonts w:ascii="Times New Roman" w:hAnsi="Times New Roman" w:cs="Times New Roman"/>
          <w:sz w:val="24"/>
          <w:szCs w:val="24"/>
        </w:rPr>
        <w:t xml:space="preserve">. </w:t>
      </w:r>
      <w:r w:rsidR="00D7663F" w:rsidRPr="00DD6763">
        <w:rPr>
          <w:rFonts w:ascii="Times New Roman" w:hAnsi="Times New Roman" w:cs="Times New Roman"/>
          <w:sz w:val="24"/>
          <w:szCs w:val="24"/>
        </w:rPr>
        <w:t xml:space="preserve">Chiefly, </w:t>
      </w:r>
      <w:r w:rsidR="006269E9" w:rsidRPr="00DD6763">
        <w:rPr>
          <w:rFonts w:ascii="Times New Roman" w:hAnsi="Times New Roman" w:cs="Times New Roman"/>
          <w:sz w:val="24"/>
          <w:szCs w:val="24"/>
        </w:rPr>
        <w:t>ADRIP</w:t>
      </w:r>
      <w:r w:rsidR="00C90C73" w:rsidRPr="00DD6763">
        <w:rPr>
          <w:rFonts w:ascii="Times New Roman" w:hAnsi="Times New Roman" w:cs="Times New Roman"/>
          <w:sz w:val="24"/>
          <w:szCs w:val="24"/>
        </w:rPr>
        <w:t xml:space="preserve"> </w:t>
      </w:r>
      <w:r w:rsidR="0086172E" w:rsidRPr="00DD6763">
        <w:rPr>
          <w:rFonts w:ascii="Times New Roman" w:hAnsi="Times New Roman" w:cs="Times New Roman"/>
          <w:sz w:val="24"/>
          <w:szCs w:val="24"/>
        </w:rPr>
        <w:t>proclaims</w:t>
      </w:r>
      <w:r w:rsidR="00D310BB" w:rsidRPr="00DD6763">
        <w:rPr>
          <w:rFonts w:ascii="Times New Roman" w:hAnsi="Times New Roman" w:cs="Times New Roman"/>
          <w:sz w:val="24"/>
          <w:szCs w:val="24"/>
        </w:rPr>
        <w:t xml:space="preserve"> </w:t>
      </w:r>
      <w:r w:rsidR="0029686C" w:rsidRPr="00DD6763">
        <w:rPr>
          <w:rFonts w:ascii="Times New Roman" w:hAnsi="Times New Roman" w:cs="Times New Roman"/>
          <w:sz w:val="24"/>
          <w:szCs w:val="24"/>
        </w:rPr>
        <w:t xml:space="preserve">that </w:t>
      </w:r>
    </w:p>
    <w:p w14:paraId="7DCBEAAE" w14:textId="77777777" w:rsidR="00DD6763" w:rsidRDefault="00DD6763" w:rsidP="00341A5B">
      <w:pPr>
        <w:spacing w:after="0" w:line="276" w:lineRule="auto"/>
        <w:jc w:val="both"/>
        <w:rPr>
          <w:rFonts w:ascii="Times New Roman" w:hAnsi="Times New Roman" w:cs="Times New Roman"/>
          <w:sz w:val="24"/>
          <w:szCs w:val="24"/>
        </w:rPr>
      </w:pPr>
    </w:p>
    <w:p w14:paraId="067AB7EA" w14:textId="567822B2" w:rsidR="00DD6763" w:rsidRDefault="0086172E" w:rsidP="00DD6763">
      <w:pPr>
        <w:spacing w:after="0" w:line="276" w:lineRule="auto"/>
        <w:ind w:left="720"/>
        <w:jc w:val="both"/>
        <w:rPr>
          <w:rFonts w:ascii="Times New Roman" w:hAnsi="Times New Roman" w:cs="Times New Roman"/>
          <w:sz w:val="24"/>
          <w:szCs w:val="24"/>
        </w:rPr>
      </w:pPr>
      <w:r w:rsidRPr="00DD6763">
        <w:rPr>
          <w:rFonts w:ascii="Times New Roman" w:hAnsi="Times New Roman" w:cs="Times New Roman"/>
          <w:sz w:val="24"/>
          <w:szCs w:val="24"/>
        </w:rPr>
        <w:t>[s]</w:t>
      </w:r>
      <w:proofErr w:type="spellStart"/>
      <w:r w:rsidRPr="00DD6763">
        <w:rPr>
          <w:rFonts w:ascii="Times New Roman" w:hAnsi="Times New Roman" w:cs="Times New Roman"/>
          <w:sz w:val="24"/>
          <w:szCs w:val="24"/>
        </w:rPr>
        <w:t>tates</w:t>
      </w:r>
      <w:proofErr w:type="spellEnd"/>
      <w:r w:rsidRPr="00DD6763">
        <w:rPr>
          <w:rFonts w:ascii="Times New Roman" w:hAnsi="Times New Roman" w:cs="Times New Roman"/>
          <w:sz w:val="24"/>
          <w:szCs w:val="24"/>
        </w:rPr>
        <w:t xml:space="preserve"> shall provide redress through effective mechanisms, which may include restitution, developed in conjunction with indigenous peoples, with respect to their cultural, intellectual, religious and spiritual property taken without their free, prior and informed consent or in violation of their laws, traditions and customs.</w:t>
      </w:r>
      <w:r w:rsidRPr="00DD6763">
        <w:rPr>
          <w:rStyle w:val="FootnoteReference"/>
          <w:rFonts w:ascii="Times New Roman" w:hAnsi="Times New Roman" w:cs="Times New Roman"/>
          <w:sz w:val="24"/>
          <w:szCs w:val="24"/>
        </w:rPr>
        <w:footnoteReference w:id="24"/>
      </w:r>
      <w:r w:rsidR="00BF6365" w:rsidRPr="00DD6763">
        <w:rPr>
          <w:rFonts w:ascii="Times New Roman" w:hAnsi="Times New Roman" w:cs="Times New Roman"/>
          <w:sz w:val="24"/>
          <w:szCs w:val="24"/>
        </w:rPr>
        <w:t xml:space="preserve"> </w:t>
      </w:r>
    </w:p>
    <w:p w14:paraId="693C561C" w14:textId="77777777" w:rsidR="00DD6763" w:rsidRDefault="00DD6763" w:rsidP="00341A5B">
      <w:pPr>
        <w:spacing w:after="0" w:line="276" w:lineRule="auto"/>
        <w:jc w:val="both"/>
        <w:rPr>
          <w:rFonts w:ascii="Times New Roman" w:hAnsi="Times New Roman" w:cs="Times New Roman"/>
          <w:sz w:val="24"/>
          <w:szCs w:val="24"/>
        </w:rPr>
      </w:pPr>
    </w:p>
    <w:p w14:paraId="040FBAF5" w14:textId="2436E6AE" w:rsidR="0086172E" w:rsidRPr="00DD6763" w:rsidRDefault="00D7663F"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 xml:space="preserve">In addition, </w:t>
      </w:r>
      <w:r w:rsidR="00955D9D" w:rsidRPr="00DD6763">
        <w:rPr>
          <w:rFonts w:ascii="Times New Roman" w:hAnsi="Times New Roman" w:cs="Times New Roman"/>
          <w:sz w:val="24"/>
          <w:szCs w:val="24"/>
        </w:rPr>
        <w:t>indigenous peoples should be consulted in</w:t>
      </w:r>
      <w:r w:rsidR="0029686C" w:rsidRPr="00DD6763">
        <w:rPr>
          <w:rFonts w:ascii="Times New Roman" w:hAnsi="Times New Roman" w:cs="Times New Roman"/>
          <w:sz w:val="24"/>
          <w:szCs w:val="24"/>
        </w:rPr>
        <w:t xml:space="preserve"> “</w:t>
      </w:r>
      <w:r w:rsidR="00AD31E9" w:rsidRPr="00DD6763">
        <w:rPr>
          <w:rFonts w:ascii="Times New Roman" w:hAnsi="Times New Roman" w:cs="Times New Roman"/>
          <w:sz w:val="24"/>
          <w:szCs w:val="24"/>
        </w:rPr>
        <w:t>the adoption and implementation of legislative or administrative measures that may affect them</w:t>
      </w:r>
      <w:r w:rsidR="0029686C" w:rsidRPr="00DD6763">
        <w:rPr>
          <w:rFonts w:ascii="Times New Roman" w:hAnsi="Times New Roman" w:cs="Times New Roman"/>
          <w:sz w:val="24"/>
          <w:szCs w:val="24"/>
        </w:rPr>
        <w:t>”</w:t>
      </w:r>
      <w:r w:rsidR="00AD31E9" w:rsidRPr="00DD6763">
        <w:rPr>
          <w:rFonts w:ascii="Times New Roman" w:hAnsi="Times New Roman" w:cs="Times New Roman"/>
          <w:sz w:val="24"/>
          <w:szCs w:val="24"/>
        </w:rPr>
        <w:t>.</w:t>
      </w:r>
      <w:r w:rsidR="00AD31E9" w:rsidRPr="00DD6763">
        <w:rPr>
          <w:rStyle w:val="FootnoteReference"/>
          <w:rFonts w:ascii="Times New Roman" w:hAnsi="Times New Roman" w:cs="Times New Roman"/>
          <w:sz w:val="24"/>
          <w:szCs w:val="24"/>
        </w:rPr>
        <w:footnoteReference w:id="25"/>
      </w:r>
      <w:r w:rsidR="00AD31E9" w:rsidRPr="00DD6763">
        <w:rPr>
          <w:rFonts w:ascii="Times New Roman" w:hAnsi="Times New Roman" w:cs="Times New Roman"/>
          <w:sz w:val="24"/>
          <w:szCs w:val="24"/>
        </w:rPr>
        <w:t xml:space="preserve"> </w:t>
      </w:r>
      <w:r w:rsidR="006269E9" w:rsidRPr="00DD6763">
        <w:rPr>
          <w:rFonts w:ascii="Times New Roman" w:hAnsi="Times New Roman" w:cs="Times New Roman"/>
          <w:sz w:val="24"/>
          <w:szCs w:val="24"/>
        </w:rPr>
        <w:t>FPIC</w:t>
      </w:r>
      <w:r w:rsidR="00BF6365" w:rsidRPr="00DD6763">
        <w:rPr>
          <w:rFonts w:ascii="Times New Roman" w:hAnsi="Times New Roman" w:cs="Times New Roman"/>
          <w:sz w:val="24"/>
          <w:szCs w:val="24"/>
        </w:rPr>
        <w:t xml:space="preserve"> </w:t>
      </w:r>
      <w:r w:rsidR="00994035" w:rsidRPr="00DD6763">
        <w:rPr>
          <w:rFonts w:ascii="Times New Roman" w:hAnsi="Times New Roman" w:cs="Times New Roman"/>
          <w:sz w:val="24"/>
          <w:szCs w:val="24"/>
        </w:rPr>
        <w:t xml:space="preserve">is </w:t>
      </w:r>
      <w:r w:rsidR="00BF6365" w:rsidRPr="00DD6763">
        <w:rPr>
          <w:rFonts w:ascii="Times New Roman" w:hAnsi="Times New Roman" w:cs="Times New Roman"/>
          <w:sz w:val="24"/>
          <w:szCs w:val="24"/>
        </w:rPr>
        <w:t xml:space="preserve">also necessary </w:t>
      </w:r>
      <w:r w:rsidR="006269E9" w:rsidRPr="00DD6763">
        <w:rPr>
          <w:rFonts w:ascii="Times New Roman" w:hAnsi="Times New Roman" w:cs="Times New Roman"/>
          <w:sz w:val="24"/>
          <w:szCs w:val="24"/>
        </w:rPr>
        <w:t>for indigenous</w:t>
      </w:r>
      <w:r w:rsidR="00BF6365" w:rsidRPr="00DD6763">
        <w:rPr>
          <w:rFonts w:ascii="Times New Roman" w:hAnsi="Times New Roman" w:cs="Times New Roman"/>
          <w:sz w:val="24"/>
          <w:szCs w:val="24"/>
        </w:rPr>
        <w:t xml:space="preserve"> peoples and individuals to be subject to research programs</w:t>
      </w:r>
      <w:r w:rsidR="00994035" w:rsidRPr="00DD6763">
        <w:rPr>
          <w:rFonts w:ascii="Times New Roman" w:hAnsi="Times New Roman" w:cs="Times New Roman"/>
          <w:sz w:val="24"/>
          <w:szCs w:val="24"/>
        </w:rPr>
        <w:t xml:space="preserve"> and</w:t>
      </w:r>
      <w:r w:rsidR="00BF6365" w:rsidRPr="00DD6763">
        <w:rPr>
          <w:rFonts w:ascii="Times New Roman" w:hAnsi="Times New Roman" w:cs="Times New Roman"/>
          <w:sz w:val="24"/>
          <w:szCs w:val="24"/>
        </w:rPr>
        <w:t xml:space="preserve"> biological or medical experimentation.</w:t>
      </w:r>
      <w:r w:rsidR="00BF6365" w:rsidRPr="00DD6763">
        <w:rPr>
          <w:rStyle w:val="FootnoteReference"/>
          <w:rFonts w:ascii="Times New Roman" w:hAnsi="Times New Roman" w:cs="Times New Roman"/>
          <w:sz w:val="24"/>
          <w:szCs w:val="24"/>
        </w:rPr>
        <w:footnoteReference w:id="26"/>
      </w:r>
      <w:r w:rsidR="00AD31E9" w:rsidRPr="00DD6763">
        <w:rPr>
          <w:rFonts w:ascii="Times New Roman" w:hAnsi="Times New Roman" w:cs="Times New Roman"/>
          <w:sz w:val="24"/>
          <w:szCs w:val="24"/>
        </w:rPr>
        <w:t xml:space="preserve"> </w:t>
      </w:r>
    </w:p>
    <w:p w14:paraId="508A941D" w14:textId="2BA8BD25" w:rsidR="00AD28A1" w:rsidRPr="00DD6763" w:rsidRDefault="00AF2C38" w:rsidP="00341A5B">
      <w:pPr>
        <w:pStyle w:val="Default"/>
        <w:spacing w:line="276" w:lineRule="auto"/>
        <w:jc w:val="both"/>
        <w:rPr>
          <w:rFonts w:ascii="Times New Roman" w:hAnsi="Times New Roman" w:cs="Times New Roman"/>
        </w:rPr>
      </w:pPr>
      <w:r w:rsidRPr="00DD6763">
        <w:rPr>
          <w:rFonts w:ascii="Times New Roman" w:hAnsi="Times New Roman" w:cs="Times New Roman"/>
        </w:rPr>
        <w:lastRenderedPageBreak/>
        <w:tab/>
      </w:r>
      <w:r w:rsidR="00B84082" w:rsidRPr="00DD6763">
        <w:rPr>
          <w:rFonts w:ascii="Times New Roman" w:hAnsi="Times New Roman" w:cs="Times New Roman"/>
        </w:rPr>
        <w:t xml:space="preserve">Usually, FPIC has been </w:t>
      </w:r>
      <w:r w:rsidR="006269E9" w:rsidRPr="00DD6763">
        <w:rPr>
          <w:rFonts w:ascii="Times New Roman" w:hAnsi="Times New Roman" w:cs="Times New Roman"/>
        </w:rPr>
        <w:t>upheld</w:t>
      </w:r>
      <w:r w:rsidR="00B85E3B" w:rsidRPr="00DD6763">
        <w:rPr>
          <w:rFonts w:ascii="Times New Roman" w:hAnsi="Times New Roman" w:cs="Times New Roman"/>
        </w:rPr>
        <w:t xml:space="preserve"> following the recognition of the right to </w:t>
      </w:r>
      <w:r w:rsidR="007B5AD4" w:rsidRPr="00DD6763">
        <w:rPr>
          <w:rFonts w:ascii="Times New Roman" w:hAnsi="Times New Roman" w:cs="Times New Roman"/>
        </w:rPr>
        <w:t xml:space="preserve">indigenous </w:t>
      </w:r>
      <w:r w:rsidR="002D7C0B" w:rsidRPr="00DD6763">
        <w:rPr>
          <w:rFonts w:ascii="Times New Roman" w:hAnsi="Times New Roman" w:cs="Times New Roman"/>
        </w:rPr>
        <w:t xml:space="preserve">communal </w:t>
      </w:r>
      <w:r w:rsidR="00B85E3B" w:rsidRPr="00DD6763">
        <w:rPr>
          <w:rFonts w:ascii="Times New Roman" w:hAnsi="Times New Roman" w:cs="Times New Roman"/>
        </w:rPr>
        <w:t>property</w:t>
      </w:r>
      <w:r w:rsidR="00C945A0" w:rsidRPr="00DD6763">
        <w:rPr>
          <w:rFonts w:ascii="Times New Roman" w:hAnsi="Times New Roman" w:cs="Times New Roman"/>
        </w:rPr>
        <w:t xml:space="preserve"> and </w:t>
      </w:r>
      <w:r w:rsidR="007B5AD4" w:rsidRPr="00DD6763">
        <w:rPr>
          <w:rFonts w:ascii="Times New Roman" w:hAnsi="Times New Roman" w:cs="Times New Roman"/>
        </w:rPr>
        <w:t>cultural</w:t>
      </w:r>
      <w:r w:rsidR="00C945A0" w:rsidRPr="00DD6763">
        <w:rPr>
          <w:rFonts w:ascii="Times New Roman" w:hAnsi="Times New Roman" w:cs="Times New Roman"/>
        </w:rPr>
        <w:t xml:space="preserve"> right</w:t>
      </w:r>
      <w:r w:rsidR="007B5AD4" w:rsidRPr="00DD6763">
        <w:rPr>
          <w:rFonts w:ascii="Times New Roman" w:hAnsi="Times New Roman" w:cs="Times New Roman"/>
        </w:rPr>
        <w:t>s</w:t>
      </w:r>
      <w:r w:rsidR="00B85E3B" w:rsidRPr="00DD6763">
        <w:rPr>
          <w:rFonts w:ascii="Times New Roman" w:hAnsi="Times New Roman" w:cs="Times New Roman"/>
        </w:rPr>
        <w:t>.</w:t>
      </w:r>
      <w:r w:rsidR="002D7C0B" w:rsidRPr="00DD6763">
        <w:rPr>
          <w:rFonts w:ascii="Times New Roman" w:hAnsi="Times New Roman" w:cs="Times New Roman"/>
        </w:rPr>
        <w:t xml:space="preserve"> Hence, once the </w:t>
      </w:r>
      <w:r w:rsidR="00C945A0" w:rsidRPr="00DD6763">
        <w:rPr>
          <w:rFonts w:ascii="Times New Roman" w:hAnsi="Times New Roman" w:cs="Times New Roman"/>
        </w:rPr>
        <w:t>respective court has</w:t>
      </w:r>
      <w:r w:rsidR="002D7C0B" w:rsidRPr="00DD6763">
        <w:rPr>
          <w:rFonts w:ascii="Times New Roman" w:hAnsi="Times New Roman" w:cs="Times New Roman"/>
        </w:rPr>
        <w:t xml:space="preserve"> established the</w:t>
      </w:r>
      <w:r w:rsidR="00C945A0" w:rsidRPr="00DD6763">
        <w:rPr>
          <w:rFonts w:ascii="Times New Roman" w:hAnsi="Times New Roman" w:cs="Times New Roman"/>
        </w:rPr>
        <w:t xml:space="preserve"> right,</w:t>
      </w:r>
      <w:r w:rsidR="002D7C0B" w:rsidRPr="00DD6763">
        <w:rPr>
          <w:rFonts w:ascii="Times New Roman" w:hAnsi="Times New Roman" w:cs="Times New Roman"/>
        </w:rPr>
        <w:t xml:space="preserve"> </w:t>
      </w:r>
      <w:r w:rsidR="00994035" w:rsidRPr="00DD6763">
        <w:rPr>
          <w:rFonts w:ascii="Times New Roman" w:hAnsi="Times New Roman" w:cs="Times New Roman"/>
        </w:rPr>
        <w:t xml:space="preserve">the </w:t>
      </w:r>
      <w:r w:rsidR="002D7C0B" w:rsidRPr="00DD6763">
        <w:rPr>
          <w:rFonts w:ascii="Times New Roman" w:hAnsi="Times New Roman" w:cs="Times New Roman"/>
        </w:rPr>
        <w:t xml:space="preserve">corollary is that consent is necessary to </w:t>
      </w:r>
      <w:r w:rsidR="00C945A0" w:rsidRPr="00DD6763">
        <w:rPr>
          <w:rFonts w:ascii="Times New Roman" w:hAnsi="Times New Roman" w:cs="Times New Roman"/>
        </w:rPr>
        <w:t>undertake actions or measures affecting indigenous property. The right to culture</w:t>
      </w:r>
      <w:r w:rsidR="00B85E3B" w:rsidRPr="00DD6763">
        <w:rPr>
          <w:rFonts w:ascii="Times New Roman" w:hAnsi="Times New Roman" w:cs="Times New Roman"/>
        </w:rPr>
        <w:t xml:space="preserve"> </w:t>
      </w:r>
      <w:r w:rsidR="00C945A0" w:rsidRPr="00DD6763">
        <w:rPr>
          <w:rFonts w:ascii="Times New Roman" w:hAnsi="Times New Roman" w:cs="Times New Roman"/>
        </w:rPr>
        <w:t>appears as another underlying right in the legal reasoning of international bodies and courts</w:t>
      </w:r>
      <w:r w:rsidR="00994035" w:rsidRPr="00DD6763">
        <w:rPr>
          <w:rFonts w:ascii="Times New Roman" w:hAnsi="Times New Roman" w:cs="Times New Roman"/>
        </w:rPr>
        <w:t>:</w:t>
      </w:r>
      <w:r w:rsidR="00C945A0" w:rsidRPr="00DD6763">
        <w:rPr>
          <w:rFonts w:ascii="Times New Roman" w:hAnsi="Times New Roman" w:cs="Times New Roman"/>
        </w:rPr>
        <w:t xml:space="preserve"> in the </w:t>
      </w:r>
      <w:proofErr w:type="spellStart"/>
      <w:r w:rsidR="00C945A0" w:rsidRPr="00DD6763">
        <w:rPr>
          <w:rFonts w:ascii="Times New Roman" w:hAnsi="Times New Roman" w:cs="Times New Roman"/>
        </w:rPr>
        <w:t>IACtHR’s</w:t>
      </w:r>
      <w:proofErr w:type="spellEnd"/>
      <w:r w:rsidR="00C945A0" w:rsidRPr="00DD6763">
        <w:rPr>
          <w:rFonts w:ascii="Times New Roman" w:hAnsi="Times New Roman" w:cs="Times New Roman"/>
        </w:rPr>
        <w:t xml:space="preserve"> words</w:t>
      </w:r>
      <w:r w:rsidR="00994035" w:rsidRPr="00DD6763">
        <w:rPr>
          <w:rFonts w:ascii="Times New Roman" w:hAnsi="Times New Roman" w:cs="Times New Roman"/>
        </w:rPr>
        <w:t>,</w:t>
      </w:r>
      <w:r w:rsidR="00B85E3B" w:rsidRPr="00DD6763">
        <w:rPr>
          <w:rFonts w:ascii="Times New Roman" w:hAnsi="Times New Roman" w:cs="Times New Roman"/>
        </w:rPr>
        <w:t xml:space="preserve"> </w:t>
      </w:r>
      <w:r w:rsidR="0029686C" w:rsidRPr="00DD6763">
        <w:rPr>
          <w:rFonts w:ascii="Times New Roman" w:hAnsi="Times New Roman" w:cs="Times New Roman"/>
        </w:rPr>
        <w:t>the “</w:t>
      </w:r>
      <w:r w:rsidR="00C945A0" w:rsidRPr="00DD6763">
        <w:rPr>
          <w:rFonts w:ascii="Times New Roman" w:hAnsi="Times New Roman" w:cs="Times New Roman"/>
        </w:rPr>
        <w:t>[r]</w:t>
      </w:r>
      <w:proofErr w:type="spellStart"/>
      <w:r w:rsidR="00B85E3B" w:rsidRPr="00DD6763">
        <w:rPr>
          <w:rFonts w:ascii="Times New Roman" w:hAnsi="Times New Roman" w:cs="Times New Roman"/>
        </w:rPr>
        <w:t>espect</w:t>
      </w:r>
      <w:proofErr w:type="spellEnd"/>
      <w:r w:rsidR="00B85E3B" w:rsidRPr="00DD6763">
        <w:rPr>
          <w:rFonts w:ascii="Times New Roman" w:hAnsi="Times New Roman" w:cs="Times New Roman"/>
        </w:rPr>
        <w:t xml:space="preserve"> for the right to consultation of indigenous and tribal communities and peoples is precisely recognition of their rights to their own culture or cultural identity</w:t>
      </w:r>
      <w:r w:rsidR="0029686C" w:rsidRPr="00DD6763">
        <w:rPr>
          <w:rFonts w:ascii="Times New Roman" w:hAnsi="Times New Roman" w:cs="Times New Roman"/>
        </w:rPr>
        <w:t>”</w:t>
      </w:r>
      <w:r w:rsidR="00B85E3B" w:rsidRPr="00DD6763">
        <w:rPr>
          <w:rFonts w:ascii="Times New Roman" w:hAnsi="Times New Roman" w:cs="Times New Roman"/>
        </w:rPr>
        <w:t>.</w:t>
      </w:r>
      <w:r w:rsidR="00B85E3B" w:rsidRPr="00DD6763">
        <w:rPr>
          <w:rStyle w:val="FootnoteReference"/>
          <w:rFonts w:ascii="Times New Roman" w:hAnsi="Times New Roman" w:cs="Times New Roman"/>
        </w:rPr>
        <w:footnoteReference w:id="27"/>
      </w:r>
    </w:p>
    <w:p w14:paraId="13F20A6E" w14:textId="50A7663B" w:rsidR="00B9033F" w:rsidRPr="00DD6763" w:rsidRDefault="00AF2C38" w:rsidP="00341A5B">
      <w:pPr>
        <w:pStyle w:val="Default"/>
        <w:spacing w:line="276" w:lineRule="auto"/>
        <w:jc w:val="both"/>
        <w:rPr>
          <w:rFonts w:ascii="Times New Roman" w:hAnsi="Times New Roman" w:cs="Times New Roman"/>
        </w:rPr>
      </w:pPr>
      <w:r w:rsidRPr="00DD6763">
        <w:rPr>
          <w:rFonts w:ascii="Times New Roman" w:hAnsi="Times New Roman" w:cs="Times New Roman"/>
        </w:rPr>
        <w:tab/>
      </w:r>
      <w:r w:rsidR="002A7FE7" w:rsidRPr="00DD6763">
        <w:rPr>
          <w:rFonts w:ascii="Times New Roman" w:hAnsi="Times New Roman" w:cs="Times New Roman"/>
        </w:rPr>
        <w:t xml:space="preserve">This brings us to the question of the nature of FPIC. </w:t>
      </w:r>
      <w:r w:rsidR="00B85E3B" w:rsidRPr="00DD6763">
        <w:rPr>
          <w:rFonts w:ascii="Times New Roman" w:hAnsi="Times New Roman" w:cs="Times New Roman"/>
        </w:rPr>
        <w:t>S</w:t>
      </w:r>
      <w:r w:rsidR="00994035" w:rsidRPr="00DD6763">
        <w:rPr>
          <w:rFonts w:ascii="Times New Roman" w:hAnsi="Times New Roman" w:cs="Times New Roman"/>
        </w:rPr>
        <w:t>everal s</w:t>
      </w:r>
      <w:r w:rsidR="00B85E3B" w:rsidRPr="00DD6763">
        <w:rPr>
          <w:rFonts w:ascii="Times New Roman" w:hAnsi="Times New Roman" w:cs="Times New Roman"/>
        </w:rPr>
        <w:t xml:space="preserve">cholars </w:t>
      </w:r>
      <w:r w:rsidR="00994035" w:rsidRPr="00DD6763">
        <w:rPr>
          <w:rFonts w:ascii="Times New Roman" w:hAnsi="Times New Roman" w:cs="Times New Roman"/>
        </w:rPr>
        <w:t xml:space="preserve">have </w:t>
      </w:r>
      <w:r w:rsidR="00B4471E" w:rsidRPr="00DD6763">
        <w:rPr>
          <w:rFonts w:ascii="Times New Roman" w:hAnsi="Times New Roman" w:cs="Times New Roman"/>
        </w:rPr>
        <w:t xml:space="preserve">referred </w:t>
      </w:r>
      <w:r w:rsidR="00AD28A1" w:rsidRPr="00DD6763">
        <w:rPr>
          <w:rFonts w:ascii="Times New Roman" w:hAnsi="Times New Roman" w:cs="Times New Roman"/>
        </w:rPr>
        <w:t xml:space="preserve">to FPIC </w:t>
      </w:r>
      <w:r w:rsidR="00B4471E" w:rsidRPr="00DD6763">
        <w:rPr>
          <w:rFonts w:ascii="Times New Roman" w:hAnsi="Times New Roman" w:cs="Times New Roman"/>
        </w:rPr>
        <w:t xml:space="preserve">as </w:t>
      </w:r>
      <w:r w:rsidR="00994035" w:rsidRPr="00DD6763">
        <w:rPr>
          <w:rFonts w:ascii="Times New Roman" w:hAnsi="Times New Roman" w:cs="Times New Roman"/>
        </w:rPr>
        <w:t xml:space="preserve">a </w:t>
      </w:r>
      <w:r w:rsidR="00B4471E" w:rsidRPr="00DD6763">
        <w:rPr>
          <w:rFonts w:ascii="Times New Roman" w:hAnsi="Times New Roman" w:cs="Times New Roman"/>
        </w:rPr>
        <w:t>principle or right</w:t>
      </w:r>
      <w:r w:rsidR="00AD28A1" w:rsidRPr="00DD6763">
        <w:rPr>
          <w:rFonts w:ascii="Times New Roman" w:hAnsi="Times New Roman" w:cs="Times New Roman"/>
        </w:rPr>
        <w:t>, having</w:t>
      </w:r>
      <w:r w:rsidR="00B4471E" w:rsidRPr="00DD6763">
        <w:rPr>
          <w:rFonts w:ascii="Times New Roman" w:hAnsi="Times New Roman" w:cs="Times New Roman"/>
        </w:rPr>
        <w:t xml:space="preserve"> extensively discussed </w:t>
      </w:r>
      <w:r w:rsidR="002A7FE7" w:rsidRPr="00DD6763">
        <w:rPr>
          <w:rFonts w:ascii="Times New Roman" w:hAnsi="Times New Roman" w:cs="Times New Roman"/>
        </w:rPr>
        <w:t>it</w:t>
      </w:r>
      <w:r w:rsidR="00B4471E" w:rsidRPr="00DD6763">
        <w:rPr>
          <w:rFonts w:ascii="Times New Roman" w:hAnsi="Times New Roman" w:cs="Times New Roman"/>
        </w:rPr>
        <w:t xml:space="preserve"> under international law</w:t>
      </w:r>
      <w:r w:rsidR="00CB797B" w:rsidRPr="00DD6763">
        <w:rPr>
          <w:rFonts w:ascii="Times New Roman" w:hAnsi="Times New Roman" w:cs="Times New Roman"/>
        </w:rPr>
        <w:t>.</w:t>
      </w:r>
      <w:r w:rsidR="00CB797B" w:rsidRPr="00DD6763">
        <w:rPr>
          <w:rStyle w:val="FootnoteReference"/>
          <w:rFonts w:ascii="Times New Roman" w:hAnsi="Times New Roman" w:cs="Times New Roman"/>
        </w:rPr>
        <w:footnoteReference w:id="28"/>
      </w:r>
      <w:r w:rsidR="00CB797B" w:rsidRPr="00DD6763">
        <w:rPr>
          <w:rFonts w:ascii="Times New Roman" w:hAnsi="Times New Roman" w:cs="Times New Roman"/>
        </w:rPr>
        <w:t xml:space="preserve"> </w:t>
      </w:r>
      <w:r w:rsidR="00B44D02" w:rsidRPr="00DD6763">
        <w:rPr>
          <w:rFonts w:ascii="Times New Roman" w:hAnsi="Times New Roman" w:cs="Times New Roman"/>
        </w:rPr>
        <w:t>In this vein, Phi</w:t>
      </w:r>
      <w:r w:rsidR="009B56F8" w:rsidRPr="00DD6763">
        <w:rPr>
          <w:rFonts w:ascii="Times New Roman" w:hAnsi="Times New Roman" w:cs="Times New Roman"/>
        </w:rPr>
        <w:t>l</w:t>
      </w:r>
      <w:r w:rsidR="00B44D02" w:rsidRPr="00DD6763">
        <w:rPr>
          <w:rFonts w:ascii="Times New Roman" w:hAnsi="Times New Roman" w:cs="Times New Roman"/>
        </w:rPr>
        <w:t xml:space="preserve">lips asserts that the declarations are </w:t>
      </w:r>
      <w:r w:rsidR="009C5A7F" w:rsidRPr="00DD6763">
        <w:rPr>
          <w:rFonts w:ascii="Times New Roman" w:hAnsi="Times New Roman" w:cs="Times New Roman"/>
        </w:rPr>
        <w:t>“</w:t>
      </w:r>
      <w:r w:rsidR="00B44D02" w:rsidRPr="00DD6763">
        <w:rPr>
          <w:rFonts w:ascii="Times New Roman" w:hAnsi="Times New Roman" w:cs="Times New Roman"/>
        </w:rPr>
        <w:t xml:space="preserve">arguably a part of </w:t>
      </w:r>
      <w:r w:rsidR="0029686C" w:rsidRPr="00DD6763">
        <w:rPr>
          <w:rFonts w:ascii="Times New Roman" w:hAnsi="Times New Roman" w:cs="Times New Roman"/>
        </w:rPr>
        <w:t>customary international law or ‘general principles’</w:t>
      </w:r>
      <w:r w:rsidR="00B44D02" w:rsidRPr="00DD6763">
        <w:rPr>
          <w:rFonts w:ascii="Times New Roman" w:hAnsi="Times New Roman" w:cs="Times New Roman"/>
        </w:rPr>
        <w:t xml:space="preserve"> by reason of their recognition by international and state tribunals</w:t>
      </w:r>
      <w:r w:rsidR="00E126E3" w:rsidRPr="00DD6763">
        <w:rPr>
          <w:rFonts w:ascii="Times New Roman" w:hAnsi="Times New Roman" w:cs="Times New Roman"/>
        </w:rPr>
        <w:t>”</w:t>
      </w:r>
      <w:r w:rsidR="00B44D02" w:rsidRPr="00DD6763">
        <w:rPr>
          <w:rFonts w:ascii="Times New Roman" w:hAnsi="Times New Roman" w:cs="Times New Roman"/>
        </w:rPr>
        <w:t>.</w:t>
      </w:r>
      <w:r w:rsidR="00B44D02" w:rsidRPr="00DD6763">
        <w:rPr>
          <w:rStyle w:val="FootnoteReference"/>
          <w:rFonts w:ascii="Times New Roman" w:hAnsi="Times New Roman" w:cs="Times New Roman"/>
        </w:rPr>
        <w:footnoteReference w:id="29"/>
      </w:r>
      <w:r w:rsidR="00B44D02" w:rsidRPr="00DD6763">
        <w:rPr>
          <w:rFonts w:ascii="Times New Roman" w:hAnsi="Times New Roman" w:cs="Times New Roman"/>
        </w:rPr>
        <w:t xml:space="preserve"> It could be </w:t>
      </w:r>
      <w:r w:rsidR="00E7643D" w:rsidRPr="00DD6763">
        <w:rPr>
          <w:rFonts w:ascii="Times New Roman" w:hAnsi="Times New Roman" w:cs="Times New Roman"/>
        </w:rPr>
        <w:t xml:space="preserve">also </w:t>
      </w:r>
      <w:r w:rsidR="00B44D02" w:rsidRPr="00DD6763">
        <w:rPr>
          <w:rFonts w:ascii="Times New Roman" w:hAnsi="Times New Roman" w:cs="Times New Roman"/>
        </w:rPr>
        <w:t xml:space="preserve">contended that FPIC is inherent to the right to self-determination upon which as </w:t>
      </w:r>
      <w:proofErr w:type="spellStart"/>
      <w:r w:rsidR="00927DBC" w:rsidRPr="00DD6763">
        <w:rPr>
          <w:rFonts w:ascii="Times New Roman" w:hAnsi="Times New Roman" w:cs="Times New Roman"/>
        </w:rPr>
        <w:t>McCorquodale</w:t>
      </w:r>
      <w:proofErr w:type="spellEnd"/>
      <w:r w:rsidR="00B44D02" w:rsidRPr="00DD6763">
        <w:rPr>
          <w:rFonts w:ascii="Times New Roman" w:hAnsi="Times New Roman" w:cs="Times New Roman"/>
        </w:rPr>
        <w:t xml:space="preserve"> recalls there is a </w:t>
      </w:r>
      <w:r w:rsidR="0029686C" w:rsidRPr="00DD6763">
        <w:rPr>
          <w:rFonts w:ascii="Times New Roman" w:hAnsi="Times New Roman" w:cs="Times New Roman"/>
        </w:rPr>
        <w:t>consensus “</w:t>
      </w:r>
      <w:r w:rsidR="00B44D02" w:rsidRPr="00DD6763">
        <w:rPr>
          <w:rFonts w:ascii="Times New Roman" w:hAnsi="Times New Roman" w:cs="Times New Roman"/>
        </w:rPr>
        <w:t>based on acceptance of the UN Decla</w:t>
      </w:r>
      <w:r w:rsidR="00927DBC" w:rsidRPr="00DD6763">
        <w:rPr>
          <w:rFonts w:ascii="Times New Roman" w:hAnsi="Times New Roman" w:cs="Times New Roman"/>
        </w:rPr>
        <w:t>ration and other state pra</w:t>
      </w:r>
      <w:r w:rsidR="0029686C" w:rsidRPr="00DD6763">
        <w:rPr>
          <w:rFonts w:ascii="Times New Roman" w:hAnsi="Times New Roman" w:cs="Times New Roman"/>
        </w:rPr>
        <w:t>ctice”</w:t>
      </w:r>
      <w:r w:rsidR="00B44D02" w:rsidRPr="00DD6763">
        <w:rPr>
          <w:rFonts w:ascii="Times New Roman" w:hAnsi="Times New Roman" w:cs="Times New Roman"/>
        </w:rPr>
        <w:t>.</w:t>
      </w:r>
      <w:r w:rsidR="00B44D02" w:rsidRPr="00DD6763">
        <w:rPr>
          <w:rStyle w:val="FootnoteReference"/>
          <w:rFonts w:ascii="Times New Roman" w:hAnsi="Times New Roman" w:cs="Times New Roman"/>
        </w:rPr>
        <w:footnoteReference w:id="30"/>
      </w:r>
      <w:r w:rsidR="00927DBC" w:rsidRPr="00DD6763">
        <w:rPr>
          <w:rFonts w:ascii="Times New Roman" w:hAnsi="Times New Roman" w:cs="Times New Roman"/>
        </w:rPr>
        <w:t xml:space="preserve"> Therefore, FPIC </w:t>
      </w:r>
      <w:r w:rsidR="00B44D02" w:rsidRPr="00DD6763">
        <w:rPr>
          <w:rFonts w:ascii="Times New Roman" w:hAnsi="Times New Roman" w:cs="Times New Roman"/>
        </w:rPr>
        <w:t>could be deemed part of</w:t>
      </w:r>
      <w:r w:rsidR="007D3206" w:rsidRPr="00DD6763">
        <w:rPr>
          <w:rFonts w:ascii="Times New Roman" w:hAnsi="Times New Roman" w:cs="Times New Roman"/>
        </w:rPr>
        <w:t xml:space="preserve"> customary international law</w:t>
      </w:r>
      <w:r w:rsidR="00B44D02" w:rsidRPr="00DD6763">
        <w:rPr>
          <w:rFonts w:ascii="Times New Roman" w:hAnsi="Times New Roman" w:cs="Times New Roman"/>
        </w:rPr>
        <w:t>.</w:t>
      </w:r>
      <w:r w:rsidR="00F062D9" w:rsidRPr="00DD6763">
        <w:rPr>
          <w:rFonts w:ascii="Times New Roman" w:hAnsi="Times New Roman" w:cs="Times New Roman"/>
        </w:rPr>
        <w:t xml:space="preserve"> This is the stance taken by the </w:t>
      </w:r>
      <w:proofErr w:type="spellStart"/>
      <w:r w:rsidR="00F062D9" w:rsidRPr="00DD6763">
        <w:rPr>
          <w:rFonts w:ascii="Times New Roman" w:hAnsi="Times New Roman" w:cs="Times New Roman"/>
        </w:rPr>
        <w:t>IACtHR</w:t>
      </w:r>
      <w:proofErr w:type="spellEnd"/>
      <w:r w:rsidR="00F062D9" w:rsidRPr="00DD6763">
        <w:rPr>
          <w:rFonts w:ascii="Times New Roman" w:hAnsi="Times New Roman" w:cs="Times New Roman"/>
        </w:rPr>
        <w:t xml:space="preserve"> in </w:t>
      </w:r>
      <w:proofErr w:type="spellStart"/>
      <w:r w:rsidR="00F062D9" w:rsidRPr="00DD6763">
        <w:rPr>
          <w:rFonts w:ascii="Times New Roman" w:hAnsi="Times New Roman" w:cs="Times New Roman"/>
          <w:i/>
        </w:rPr>
        <w:t>Sarayaku</w:t>
      </w:r>
      <w:proofErr w:type="spellEnd"/>
      <w:r w:rsidR="00F062D9" w:rsidRPr="00DD6763">
        <w:rPr>
          <w:rFonts w:ascii="Times New Roman" w:hAnsi="Times New Roman" w:cs="Times New Roman"/>
        </w:rPr>
        <w:t xml:space="preserve"> </w:t>
      </w:r>
      <w:r w:rsidR="00463777" w:rsidRPr="00DD6763">
        <w:rPr>
          <w:rFonts w:ascii="Times New Roman" w:hAnsi="Times New Roman" w:cs="Times New Roman"/>
        </w:rPr>
        <w:t xml:space="preserve">when </w:t>
      </w:r>
      <w:r w:rsidR="00FE1F6F" w:rsidRPr="00DD6763">
        <w:rPr>
          <w:rFonts w:ascii="Times New Roman" w:hAnsi="Times New Roman" w:cs="Times New Roman"/>
        </w:rPr>
        <w:t xml:space="preserve">it </w:t>
      </w:r>
      <w:r w:rsidR="00463777" w:rsidRPr="00DD6763">
        <w:rPr>
          <w:rFonts w:ascii="Times New Roman" w:hAnsi="Times New Roman" w:cs="Times New Roman"/>
        </w:rPr>
        <w:t>considered</w:t>
      </w:r>
      <w:r w:rsidR="00F062D9" w:rsidRPr="00DD6763">
        <w:rPr>
          <w:rFonts w:ascii="Times New Roman" w:hAnsi="Times New Roman" w:cs="Times New Roman"/>
        </w:rPr>
        <w:t xml:space="preserve"> Ecuador’s claim </w:t>
      </w:r>
      <w:r w:rsidR="00B85E3B" w:rsidRPr="00DD6763">
        <w:rPr>
          <w:rFonts w:ascii="Times New Roman" w:hAnsi="Times New Roman" w:cs="Times New Roman"/>
        </w:rPr>
        <w:t>of being</w:t>
      </w:r>
      <w:r w:rsidR="0029686C" w:rsidRPr="00DD6763">
        <w:rPr>
          <w:rFonts w:ascii="Times New Roman" w:hAnsi="Times New Roman" w:cs="Times New Roman"/>
        </w:rPr>
        <w:t xml:space="preserve"> “</w:t>
      </w:r>
      <w:r w:rsidR="003465EB" w:rsidRPr="00DD6763">
        <w:rPr>
          <w:rFonts w:ascii="Times New Roman" w:hAnsi="Times New Roman" w:cs="Times New Roman"/>
        </w:rPr>
        <w:t xml:space="preserve">under no obligation to initiate a prior consultation process, or to obtain the free, prior and informed consent of the </w:t>
      </w:r>
      <w:proofErr w:type="spellStart"/>
      <w:r w:rsidR="003465EB" w:rsidRPr="00DD6763">
        <w:rPr>
          <w:rFonts w:ascii="Times New Roman" w:hAnsi="Times New Roman" w:cs="Times New Roman"/>
        </w:rPr>
        <w:t>Sarayaku</w:t>
      </w:r>
      <w:proofErr w:type="spellEnd"/>
      <w:r w:rsidR="003465EB" w:rsidRPr="00DD6763">
        <w:rPr>
          <w:rFonts w:ascii="Times New Roman" w:hAnsi="Times New Roman" w:cs="Times New Roman"/>
        </w:rPr>
        <w:t xml:space="preserve"> People</w:t>
      </w:r>
      <w:r w:rsidR="0029686C" w:rsidRPr="00DD6763">
        <w:rPr>
          <w:rFonts w:ascii="Times New Roman" w:hAnsi="Times New Roman" w:cs="Times New Roman"/>
        </w:rPr>
        <w:t>”</w:t>
      </w:r>
      <w:r w:rsidR="003465EB" w:rsidRPr="00DD6763">
        <w:rPr>
          <w:rFonts w:ascii="Times New Roman" w:hAnsi="Times New Roman" w:cs="Times New Roman"/>
        </w:rPr>
        <w:t xml:space="preserve"> since it had not yet ratified </w:t>
      </w:r>
      <w:r w:rsidR="00CA4E38" w:rsidRPr="00DD6763">
        <w:rPr>
          <w:rFonts w:ascii="Times New Roman" w:hAnsi="Times New Roman" w:cs="Times New Roman"/>
        </w:rPr>
        <w:t>C</w:t>
      </w:r>
      <w:r w:rsidR="003465EB" w:rsidRPr="00DD6763">
        <w:rPr>
          <w:rFonts w:ascii="Times New Roman" w:hAnsi="Times New Roman" w:cs="Times New Roman"/>
        </w:rPr>
        <w:t>169 based on Article 28 of the Vienna Convention on the Law of Treaties</w:t>
      </w:r>
      <w:r w:rsidR="00CB1B0E" w:rsidRPr="00DD6763">
        <w:rPr>
          <w:rFonts w:ascii="Times New Roman" w:hAnsi="Times New Roman" w:cs="Times New Roman"/>
        </w:rPr>
        <w:t xml:space="preserve"> (VCLT)</w:t>
      </w:r>
      <w:r w:rsidR="003465EB" w:rsidRPr="00DD6763">
        <w:rPr>
          <w:rFonts w:ascii="Times New Roman" w:hAnsi="Times New Roman" w:cs="Times New Roman"/>
        </w:rPr>
        <w:t>.</w:t>
      </w:r>
      <w:r w:rsidR="00F062D9" w:rsidRPr="00DD6763">
        <w:rPr>
          <w:rStyle w:val="FootnoteReference"/>
          <w:rFonts w:ascii="Times New Roman" w:hAnsi="Times New Roman" w:cs="Times New Roman"/>
        </w:rPr>
        <w:footnoteReference w:id="31"/>
      </w:r>
      <w:r w:rsidR="00F062D9" w:rsidRPr="00DD6763">
        <w:rPr>
          <w:rFonts w:ascii="Times New Roman" w:hAnsi="Times New Roman" w:cs="Times New Roman"/>
          <w:i/>
        </w:rPr>
        <w:t xml:space="preserve"> </w:t>
      </w:r>
      <w:r w:rsidR="00F062D9" w:rsidRPr="00DD6763">
        <w:rPr>
          <w:rFonts w:ascii="Times New Roman" w:hAnsi="Times New Roman" w:cs="Times New Roman"/>
        </w:rPr>
        <w:t xml:space="preserve"> </w:t>
      </w:r>
      <w:r w:rsidR="00B84082" w:rsidRPr="00DD6763">
        <w:rPr>
          <w:rFonts w:ascii="Times New Roman" w:hAnsi="Times New Roman" w:cs="Times New Roman"/>
        </w:rPr>
        <w:t xml:space="preserve">The Court found that </w:t>
      </w:r>
    </w:p>
    <w:p w14:paraId="5EC66C9B" w14:textId="1082D8BC" w:rsidR="00B9033F" w:rsidRPr="00DD6763" w:rsidRDefault="0029686C" w:rsidP="00341A5B">
      <w:pPr>
        <w:pStyle w:val="Default"/>
        <w:spacing w:line="276" w:lineRule="auto"/>
        <w:jc w:val="both"/>
        <w:rPr>
          <w:rFonts w:ascii="Times New Roman" w:hAnsi="Times New Roman" w:cs="Times New Roman"/>
        </w:rPr>
      </w:pPr>
      <w:r w:rsidRPr="00DD6763">
        <w:rPr>
          <w:rFonts w:ascii="Times New Roman" w:hAnsi="Times New Roman" w:cs="Times New Roman"/>
        </w:rPr>
        <w:t>“</w:t>
      </w:r>
      <w:r w:rsidR="00B84082" w:rsidRPr="00DD6763">
        <w:rPr>
          <w:rFonts w:ascii="Times New Roman" w:hAnsi="Times New Roman" w:cs="Times New Roman"/>
        </w:rPr>
        <w:t>[</w:t>
      </w:r>
      <w:proofErr w:type="spellStart"/>
      <w:r w:rsidR="00B84082" w:rsidRPr="00DD6763">
        <w:rPr>
          <w:rFonts w:ascii="Times New Roman" w:hAnsi="Times New Roman" w:cs="Times New Roman"/>
        </w:rPr>
        <w:t>t]</w:t>
      </w:r>
      <w:r w:rsidR="00F062D9" w:rsidRPr="00DD6763">
        <w:rPr>
          <w:rFonts w:ascii="Times New Roman" w:hAnsi="Times New Roman" w:cs="Times New Roman"/>
        </w:rPr>
        <w:t>he</w:t>
      </w:r>
      <w:proofErr w:type="spellEnd"/>
      <w:r w:rsidR="00F062D9" w:rsidRPr="00DD6763">
        <w:rPr>
          <w:rFonts w:ascii="Times New Roman" w:hAnsi="Times New Roman" w:cs="Times New Roman"/>
        </w:rPr>
        <w:t xml:space="preserve"> State, by failing to consult the </w:t>
      </w:r>
      <w:proofErr w:type="spellStart"/>
      <w:r w:rsidR="00F062D9" w:rsidRPr="00DD6763">
        <w:rPr>
          <w:rFonts w:ascii="Times New Roman" w:hAnsi="Times New Roman" w:cs="Times New Roman"/>
        </w:rPr>
        <w:t>Sarayaku</w:t>
      </w:r>
      <w:proofErr w:type="spellEnd"/>
      <w:r w:rsidR="00F062D9" w:rsidRPr="00DD6763">
        <w:rPr>
          <w:rFonts w:ascii="Times New Roman" w:hAnsi="Times New Roman" w:cs="Times New Roman"/>
        </w:rPr>
        <w:t xml:space="preserve"> People on the execution of a project that would have a direct impact on their territory, failed to comply with its obligations, under the principles of international law and its own domestic law, to adopt all necessary measures to guarantee the participation of the </w:t>
      </w:r>
      <w:proofErr w:type="spellStart"/>
      <w:r w:rsidR="00F062D9" w:rsidRPr="00DD6763">
        <w:rPr>
          <w:rFonts w:ascii="Times New Roman" w:hAnsi="Times New Roman" w:cs="Times New Roman"/>
        </w:rPr>
        <w:t>Sarayaku</w:t>
      </w:r>
      <w:proofErr w:type="spellEnd"/>
      <w:r w:rsidR="00F062D9" w:rsidRPr="00DD6763">
        <w:rPr>
          <w:rFonts w:ascii="Times New Roman" w:hAnsi="Times New Roman" w:cs="Times New Roman"/>
        </w:rPr>
        <w:t xml:space="preserve"> </w:t>
      </w:r>
      <w:r w:rsidRPr="00DD6763">
        <w:rPr>
          <w:rFonts w:ascii="Times New Roman" w:hAnsi="Times New Roman" w:cs="Times New Roman"/>
        </w:rPr>
        <w:t>People”</w:t>
      </w:r>
      <w:r w:rsidR="00F062D9" w:rsidRPr="00DD6763">
        <w:rPr>
          <w:rFonts w:ascii="Times New Roman" w:hAnsi="Times New Roman" w:cs="Times New Roman"/>
        </w:rPr>
        <w:t>.</w:t>
      </w:r>
      <w:r w:rsidR="00B85E3B" w:rsidRPr="00DD6763">
        <w:rPr>
          <w:rStyle w:val="FootnoteReference"/>
          <w:rFonts w:ascii="Times New Roman" w:hAnsi="Times New Roman" w:cs="Times New Roman"/>
        </w:rPr>
        <w:footnoteReference w:id="32"/>
      </w:r>
      <w:r w:rsidR="00F062D9" w:rsidRPr="00DD6763">
        <w:rPr>
          <w:rFonts w:ascii="Times New Roman" w:hAnsi="Times New Roman" w:cs="Times New Roman"/>
        </w:rPr>
        <w:t xml:space="preserve"> </w:t>
      </w:r>
    </w:p>
    <w:p w14:paraId="06C16EC8" w14:textId="4266B1EA" w:rsidR="007F6B8A" w:rsidRPr="00DD6763" w:rsidRDefault="003465EB" w:rsidP="00A13BE2">
      <w:pPr>
        <w:pStyle w:val="Default"/>
        <w:spacing w:line="276" w:lineRule="auto"/>
        <w:ind w:firstLine="720"/>
        <w:jc w:val="both"/>
        <w:rPr>
          <w:rFonts w:ascii="Times New Roman" w:hAnsi="Times New Roman" w:cs="Times New Roman"/>
        </w:rPr>
      </w:pPr>
      <w:r w:rsidRPr="00DD6763">
        <w:rPr>
          <w:rFonts w:ascii="Times New Roman" w:hAnsi="Times New Roman" w:cs="Times New Roman"/>
        </w:rPr>
        <w:t>Two distinctive aspects surrounding FPIC are key w</w:t>
      </w:r>
      <w:r w:rsidR="00CB797B" w:rsidRPr="00DD6763">
        <w:rPr>
          <w:rFonts w:ascii="Times New Roman" w:hAnsi="Times New Roman" w:cs="Times New Roman"/>
        </w:rPr>
        <w:t xml:space="preserve">hen it comes to </w:t>
      </w:r>
      <w:r w:rsidR="00B84082" w:rsidRPr="00DD6763">
        <w:rPr>
          <w:rFonts w:ascii="Times New Roman" w:hAnsi="Times New Roman" w:cs="Times New Roman"/>
        </w:rPr>
        <w:t>implementatio</w:t>
      </w:r>
      <w:r w:rsidR="00CB797B" w:rsidRPr="00DD6763">
        <w:rPr>
          <w:rFonts w:ascii="Times New Roman" w:hAnsi="Times New Roman" w:cs="Times New Roman"/>
        </w:rPr>
        <w:t>n</w:t>
      </w:r>
      <w:r w:rsidRPr="00DD6763">
        <w:rPr>
          <w:rFonts w:ascii="Times New Roman" w:hAnsi="Times New Roman" w:cs="Times New Roman"/>
        </w:rPr>
        <w:t xml:space="preserve">: </w:t>
      </w:r>
      <w:r w:rsidR="00CB797B" w:rsidRPr="00DD6763">
        <w:rPr>
          <w:rFonts w:ascii="Times New Roman" w:hAnsi="Times New Roman" w:cs="Times New Roman"/>
        </w:rPr>
        <w:t xml:space="preserve">consultation and consent.  </w:t>
      </w:r>
      <w:r w:rsidR="00C131DE" w:rsidRPr="00DD6763">
        <w:rPr>
          <w:rFonts w:ascii="Times New Roman" w:hAnsi="Times New Roman" w:cs="Times New Roman"/>
        </w:rPr>
        <w:t>First, t</w:t>
      </w:r>
      <w:r w:rsidR="00CB797B" w:rsidRPr="00DD6763">
        <w:rPr>
          <w:rFonts w:ascii="Times New Roman" w:hAnsi="Times New Roman" w:cs="Times New Roman"/>
        </w:rPr>
        <w:t xml:space="preserve">he obligation of consultation </w:t>
      </w:r>
      <w:r w:rsidR="00071A3D" w:rsidRPr="00DD6763">
        <w:rPr>
          <w:rFonts w:ascii="Times New Roman" w:hAnsi="Times New Roman" w:cs="Times New Roman"/>
        </w:rPr>
        <w:t>is place</w:t>
      </w:r>
      <w:r w:rsidR="00994035" w:rsidRPr="00DD6763">
        <w:rPr>
          <w:rFonts w:ascii="Times New Roman" w:hAnsi="Times New Roman" w:cs="Times New Roman"/>
        </w:rPr>
        <w:t>d</w:t>
      </w:r>
      <w:r w:rsidR="00071A3D" w:rsidRPr="00DD6763">
        <w:rPr>
          <w:rFonts w:ascii="Times New Roman" w:hAnsi="Times New Roman" w:cs="Times New Roman"/>
        </w:rPr>
        <w:t xml:space="preserve"> on the States, which must conduct it </w:t>
      </w:r>
      <w:r w:rsidR="00994035" w:rsidRPr="00DD6763">
        <w:rPr>
          <w:rFonts w:ascii="Times New Roman" w:hAnsi="Times New Roman" w:cs="Times New Roman"/>
        </w:rPr>
        <w:t xml:space="preserve">in compliance with </w:t>
      </w:r>
      <w:r w:rsidR="00071A3D" w:rsidRPr="00DD6763">
        <w:rPr>
          <w:rFonts w:ascii="Times New Roman" w:hAnsi="Times New Roman" w:cs="Times New Roman"/>
        </w:rPr>
        <w:t>certain criteria set up in international legislation as interpreted by international courts</w:t>
      </w:r>
      <w:r w:rsidR="002E6119" w:rsidRPr="00DD6763">
        <w:rPr>
          <w:rFonts w:ascii="Times New Roman" w:hAnsi="Times New Roman" w:cs="Times New Roman"/>
        </w:rPr>
        <w:t xml:space="preserve">. </w:t>
      </w:r>
      <w:r w:rsidR="00071A3D" w:rsidRPr="00DD6763">
        <w:rPr>
          <w:rFonts w:ascii="Times New Roman" w:hAnsi="Times New Roman" w:cs="Times New Roman"/>
        </w:rPr>
        <w:t>Failure to comply with the obligation of consultation gives rise to international responsibility</w:t>
      </w:r>
      <w:r w:rsidR="00CA4E38" w:rsidRPr="00DD6763">
        <w:rPr>
          <w:rFonts w:ascii="Times New Roman" w:hAnsi="Times New Roman" w:cs="Times New Roman"/>
        </w:rPr>
        <w:t xml:space="preserve"> on the part of the state</w:t>
      </w:r>
      <w:r w:rsidR="00071A3D" w:rsidRPr="00DD6763">
        <w:rPr>
          <w:rFonts w:ascii="Times New Roman" w:hAnsi="Times New Roman" w:cs="Times New Roman"/>
        </w:rPr>
        <w:t xml:space="preserve">. </w:t>
      </w:r>
      <w:r w:rsidR="00C131DE" w:rsidRPr="00DD6763">
        <w:rPr>
          <w:rFonts w:ascii="Times New Roman" w:hAnsi="Times New Roman" w:cs="Times New Roman"/>
        </w:rPr>
        <w:t>Second,</w:t>
      </w:r>
      <w:r w:rsidR="00071A3D" w:rsidRPr="00DD6763">
        <w:rPr>
          <w:rFonts w:ascii="Times New Roman" w:hAnsi="Times New Roman" w:cs="Times New Roman"/>
        </w:rPr>
        <w:t xml:space="preserve"> </w:t>
      </w:r>
      <w:r w:rsidR="00C131DE" w:rsidRPr="00DD6763">
        <w:rPr>
          <w:rFonts w:ascii="Times New Roman" w:hAnsi="Times New Roman" w:cs="Times New Roman"/>
        </w:rPr>
        <w:t xml:space="preserve">the right to consult or consent </w:t>
      </w:r>
      <w:r w:rsidR="00B84082" w:rsidRPr="00DD6763">
        <w:rPr>
          <w:rFonts w:ascii="Times New Roman" w:hAnsi="Times New Roman" w:cs="Times New Roman"/>
        </w:rPr>
        <w:t>ha</w:t>
      </w:r>
      <w:r w:rsidR="00E976CB" w:rsidRPr="00DD6763">
        <w:rPr>
          <w:rFonts w:ascii="Times New Roman" w:hAnsi="Times New Roman" w:cs="Times New Roman"/>
        </w:rPr>
        <w:t>s</w:t>
      </w:r>
      <w:r w:rsidR="00B84082" w:rsidRPr="00DD6763">
        <w:rPr>
          <w:rFonts w:ascii="Times New Roman" w:hAnsi="Times New Roman" w:cs="Times New Roman"/>
        </w:rPr>
        <w:t xml:space="preserve"> </w:t>
      </w:r>
      <w:r w:rsidR="00071A3D" w:rsidRPr="00DD6763">
        <w:rPr>
          <w:rFonts w:ascii="Times New Roman" w:hAnsi="Times New Roman" w:cs="Times New Roman"/>
        </w:rPr>
        <w:t xml:space="preserve">‘soft’ </w:t>
      </w:r>
      <w:r w:rsidR="00B84082" w:rsidRPr="00DD6763">
        <w:rPr>
          <w:rFonts w:ascii="Times New Roman" w:hAnsi="Times New Roman" w:cs="Times New Roman"/>
        </w:rPr>
        <w:t xml:space="preserve">and </w:t>
      </w:r>
      <w:r w:rsidR="00071A3D" w:rsidRPr="00DD6763">
        <w:rPr>
          <w:rFonts w:ascii="Times New Roman" w:hAnsi="Times New Roman" w:cs="Times New Roman"/>
        </w:rPr>
        <w:t>‘hard’ formulations. In certain</w:t>
      </w:r>
      <w:r w:rsidR="00CA4E38" w:rsidRPr="00DD6763">
        <w:rPr>
          <w:rFonts w:ascii="Times New Roman" w:hAnsi="Times New Roman" w:cs="Times New Roman"/>
        </w:rPr>
        <w:t xml:space="preserve"> (earlier)</w:t>
      </w:r>
      <w:r w:rsidR="00071A3D" w:rsidRPr="00DD6763">
        <w:rPr>
          <w:rFonts w:ascii="Times New Roman" w:hAnsi="Times New Roman" w:cs="Times New Roman"/>
        </w:rPr>
        <w:t xml:space="preserve"> cases, it is interpreted a</w:t>
      </w:r>
      <w:r w:rsidR="00E976CB" w:rsidRPr="00DD6763">
        <w:rPr>
          <w:rFonts w:ascii="Times New Roman" w:hAnsi="Times New Roman" w:cs="Times New Roman"/>
        </w:rPr>
        <w:t>s a</w:t>
      </w:r>
      <w:r w:rsidR="002E6119" w:rsidRPr="00DD6763">
        <w:rPr>
          <w:rFonts w:ascii="Times New Roman" w:hAnsi="Times New Roman" w:cs="Times New Roman"/>
        </w:rPr>
        <w:t xml:space="preserve"> mere right </w:t>
      </w:r>
      <w:r w:rsidR="00071A3D" w:rsidRPr="00DD6763">
        <w:rPr>
          <w:rFonts w:ascii="Times New Roman" w:hAnsi="Times New Roman" w:cs="Times New Roman"/>
        </w:rPr>
        <w:t>‘</w:t>
      </w:r>
      <w:r w:rsidR="002E6119" w:rsidRPr="00DD6763">
        <w:rPr>
          <w:rFonts w:ascii="Times New Roman" w:hAnsi="Times New Roman" w:cs="Times New Roman"/>
        </w:rPr>
        <w:t>to have a say</w:t>
      </w:r>
      <w:r w:rsidR="00071A3D" w:rsidRPr="00DD6763">
        <w:rPr>
          <w:rFonts w:ascii="Times New Roman" w:hAnsi="Times New Roman" w:cs="Times New Roman"/>
        </w:rPr>
        <w:t xml:space="preserve">’ to be consulted about a specific matter (soft formulation). This </w:t>
      </w:r>
      <w:r w:rsidR="002454A4" w:rsidRPr="00DD6763">
        <w:rPr>
          <w:rFonts w:ascii="Times New Roman" w:hAnsi="Times New Roman" w:cs="Times New Roman"/>
        </w:rPr>
        <w:t>is substantially</w:t>
      </w:r>
      <w:r w:rsidR="002E6119" w:rsidRPr="00DD6763">
        <w:rPr>
          <w:rFonts w:ascii="Times New Roman" w:hAnsi="Times New Roman" w:cs="Times New Roman"/>
        </w:rPr>
        <w:t xml:space="preserve"> different from a</w:t>
      </w:r>
      <w:r w:rsidR="00071A3D" w:rsidRPr="00DD6763">
        <w:rPr>
          <w:rFonts w:ascii="Times New Roman" w:hAnsi="Times New Roman" w:cs="Times New Roman"/>
        </w:rPr>
        <w:t xml:space="preserve"> consent</w:t>
      </w:r>
      <w:r w:rsidR="002E6119" w:rsidRPr="00DD6763">
        <w:rPr>
          <w:rFonts w:ascii="Times New Roman" w:hAnsi="Times New Roman" w:cs="Times New Roman"/>
        </w:rPr>
        <w:t xml:space="preserve"> that operates </w:t>
      </w:r>
      <w:r w:rsidR="00CA4E38" w:rsidRPr="00DD6763">
        <w:rPr>
          <w:rFonts w:ascii="Times New Roman" w:hAnsi="Times New Roman" w:cs="Times New Roman"/>
        </w:rPr>
        <w:t xml:space="preserve">as a requirement or almost </w:t>
      </w:r>
      <w:r w:rsidR="002E6119" w:rsidRPr="00DD6763">
        <w:rPr>
          <w:rFonts w:ascii="Times New Roman" w:hAnsi="Times New Roman" w:cs="Times New Roman"/>
        </w:rPr>
        <w:t>as a veto</w:t>
      </w:r>
      <w:r w:rsidR="00071A3D" w:rsidRPr="00DD6763">
        <w:rPr>
          <w:rFonts w:ascii="Times New Roman" w:hAnsi="Times New Roman" w:cs="Times New Roman"/>
        </w:rPr>
        <w:t xml:space="preserve"> (hard formulation)</w:t>
      </w:r>
      <w:r w:rsidR="002E6119" w:rsidRPr="00DD6763">
        <w:rPr>
          <w:rFonts w:ascii="Times New Roman" w:hAnsi="Times New Roman" w:cs="Times New Roman"/>
        </w:rPr>
        <w:t>.</w:t>
      </w:r>
      <w:r w:rsidR="00EA4694" w:rsidRPr="00DD6763">
        <w:rPr>
          <w:rStyle w:val="FootnoteReference"/>
          <w:rFonts w:ascii="Times New Roman" w:hAnsi="Times New Roman" w:cs="Times New Roman"/>
        </w:rPr>
        <w:footnoteReference w:id="33"/>
      </w:r>
      <w:r w:rsidR="002E6119" w:rsidRPr="00DD6763">
        <w:rPr>
          <w:rFonts w:ascii="Times New Roman" w:hAnsi="Times New Roman" w:cs="Times New Roman"/>
        </w:rPr>
        <w:t xml:space="preserve"> </w:t>
      </w:r>
      <w:r w:rsidR="00071A3D" w:rsidRPr="00DD6763">
        <w:rPr>
          <w:rFonts w:ascii="Times New Roman" w:hAnsi="Times New Roman" w:cs="Times New Roman"/>
        </w:rPr>
        <w:t xml:space="preserve">In this </w:t>
      </w:r>
      <w:r w:rsidR="00E976CB" w:rsidRPr="00DD6763">
        <w:rPr>
          <w:rFonts w:ascii="Times New Roman" w:hAnsi="Times New Roman" w:cs="Times New Roman"/>
        </w:rPr>
        <w:t xml:space="preserve">second </w:t>
      </w:r>
      <w:r w:rsidR="00071A3D" w:rsidRPr="00DD6763">
        <w:rPr>
          <w:rFonts w:ascii="Times New Roman" w:hAnsi="Times New Roman" w:cs="Times New Roman"/>
        </w:rPr>
        <w:t>interpretation, t</w:t>
      </w:r>
      <w:r w:rsidR="00CB797B" w:rsidRPr="00DD6763">
        <w:rPr>
          <w:rFonts w:ascii="Times New Roman" w:hAnsi="Times New Roman" w:cs="Times New Roman"/>
        </w:rPr>
        <w:t xml:space="preserve">he threshold for consent </w:t>
      </w:r>
      <w:r w:rsidR="00B85E3B" w:rsidRPr="00DD6763">
        <w:rPr>
          <w:rFonts w:ascii="Times New Roman" w:hAnsi="Times New Roman" w:cs="Times New Roman"/>
        </w:rPr>
        <w:t>is</w:t>
      </w:r>
      <w:r w:rsidR="00CB797B" w:rsidRPr="00DD6763">
        <w:rPr>
          <w:rFonts w:ascii="Times New Roman" w:hAnsi="Times New Roman" w:cs="Times New Roman"/>
        </w:rPr>
        <w:t xml:space="preserve"> higher than consultation </w:t>
      </w:r>
      <w:r w:rsidR="00071A3D" w:rsidRPr="00DD6763">
        <w:rPr>
          <w:rFonts w:ascii="Times New Roman" w:hAnsi="Times New Roman" w:cs="Times New Roman"/>
        </w:rPr>
        <w:t>as it would</w:t>
      </w:r>
      <w:r w:rsidR="00CB797B" w:rsidRPr="00DD6763">
        <w:rPr>
          <w:rFonts w:ascii="Times New Roman" w:hAnsi="Times New Roman" w:cs="Times New Roman"/>
        </w:rPr>
        <w:t xml:space="preserve"> amount to </w:t>
      </w:r>
      <w:r w:rsidR="00E976CB" w:rsidRPr="00DD6763">
        <w:rPr>
          <w:rFonts w:ascii="Times New Roman" w:hAnsi="Times New Roman" w:cs="Times New Roman"/>
        </w:rPr>
        <w:t>a right to refuse permission</w:t>
      </w:r>
      <w:r w:rsidR="00CB797B" w:rsidRPr="00DD6763">
        <w:rPr>
          <w:rFonts w:ascii="Times New Roman" w:hAnsi="Times New Roman" w:cs="Times New Roman"/>
        </w:rPr>
        <w:t xml:space="preserve">. </w:t>
      </w:r>
      <w:r w:rsidR="003C0ACB" w:rsidRPr="00DD6763">
        <w:rPr>
          <w:rFonts w:ascii="Times New Roman" w:hAnsi="Times New Roman" w:cs="Times New Roman"/>
        </w:rPr>
        <w:t xml:space="preserve"> It seems untenable to only take a ‘soft’ approach to </w:t>
      </w:r>
      <w:r w:rsidR="0039236D" w:rsidRPr="00DD6763">
        <w:rPr>
          <w:rFonts w:ascii="Times New Roman" w:hAnsi="Times New Roman" w:cs="Times New Roman"/>
        </w:rPr>
        <w:lastRenderedPageBreak/>
        <w:t>FPIC</w:t>
      </w:r>
      <w:r w:rsidR="003C0ACB" w:rsidRPr="00DD6763">
        <w:rPr>
          <w:rFonts w:ascii="Times New Roman" w:hAnsi="Times New Roman" w:cs="Times New Roman"/>
        </w:rPr>
        <w:t xml:space="preserve"> </w:t>
      </w:r>
      <w:r w:rsidR="00E976CB" w:rsidRPr="00DD6763">
        <w:rPr>
          <w:rFonts w:ascii="Times New Roman" w:hAnsi="Times New Roman" w:cs="Times New Roman"/>
        </w:rPr>
        <w:t>as this would water it down from an enforceable power to a mere seeking of opinion</w:t>
      </w:r>
      <w:r w:rsidR="003C0ACB" w:rsidRPr="00DD6763">
        <w:rPr>
          <w:rFonts w:ascii="Times New Roman" w:hAnsi="Times New Roman" w:cs="Times New Roman"/>
        </w:rPr>
        <w:t xml:space="preserve">. As </w:t>
      </w:r>
      <w:proofErr w:type="spellStart"/>
      <w:r w:rsidR="003C0ACB" w:rsidRPr="00DD6763">
        <w:rPr>
          <w:rFonts w:ascii="Times New Roman" w:hAnsi="Times New Roman" w:cs="Times New Roman"/>
        </w:rPr>
        <w:t>Xanthaki</w:t>
      </w:r>
      <w:proofErr w:type="spellEnd"/>
      <w:r w:rsidR="00790891" w:rsidRPr="00DD6763">
        <w:rPr>
          <w:rFonts w:ascii="Times New Roman" w:hAnsi="Times New Roman" w:cs="Times New Roman"/>
        </w:rPr>
        <w:t xml:space="preserve"> </w:t>
      </w:r>
      <w:r w:rsidR="0039236D" w:rsidRPr="00DD6763">
        <w:rPr>
          <w:rFonts w:ascii="Times New Roman" w:hAnsi="Times New Roman" w:cs="Times New Roman"/>
        </w:rPr>
        <w:t>assert</w:t>
      </w:r>
      <w:r w:rsidR="0029686C" w:rsidRPr="00DD6763">
        <w:rPr>
          <w:rFonts w:ascii="Times New Roman" w:hAnsi="Times New Roman" w:cs="Times New Roman"/>
        </w:rPr>
        <w:t>s “</w:t>
      </w:r>
      <w:r w:rsidR="00790891" w:rsidRPr="00DD6763">
        <w:rPr>
          <w:rFonts w:ascii="Times New Roman" w:hAnsi="Times New Roman" w:cs="Times New Roman"/>
        </w:rPr>
        <w:t xml:space="preserve">even if current standards fall short of requiring indigenous consent in </w:t>
      </w:r>
      <w:r w:rsidR="00CA4E38" w:rsidRPr="00DD6763">
        <w:rPr>
          <w:rFonts w:ascii="Times New Roman" w:hAnsi="Times New Roman" w:cs="Times New Roman"/>
        </w:rPr>
        <w:t xml:space="preserve">all </w:t>
      </w:r>
      <w:r w:rsidR="00790891" w:rsidRPr="00DD6763">
        <w:rPr>
          <w:rFonts w:ascii="Times New Roman" w:hAnsi="Times New Roman" w:cs="Times New Roman"/>
        </w:rPr>
        <w:t>matters related to their land rights, me</w:t>
      </w:r>
      <w:r w:rsidR="0029686C" w:rsidRPr="00DD6763">
        <w:rPr>
          <w:rFonts w:ascii="Times New Roman" w:hAnsi="Times New Roman" w:cs="Times New Roman"/>
        </w:rPr>
        <w:t>re consultation is not adequate”</w:t>
      </w:r>
      <w:r w:rsidR="00790891" w:rsidRPr="00DD6763">
        <w:rPr>
          <w:rFonts w:ascii="Times New Roman" w:hAnsi="Times New Roman" w:cs="Times New Roman"/>
        </w:rPr>
        <w:t>.</w:t>
      </w:r>
      <w:r w:rsidR="00790891" w:rsidRPr="00DD6763">
        <w:rPr>
          <w:rStyle w:val="FootnoteReference"/>
          <w:rFonts w:ascii="Times New Roman" w:hAnsi="Times New Roman" w:cs="Times New Roman"/>
        </w:rPr>
        <w:footnoteReference w:id="34"/>
      </w:r>
      <w:r w:rsidR="00AF2C38" w:rsidRPr="00DD6763">
        <w:rPr>
          <w:sz w:val="20"/>
          <w:szCs w:val="20"/>
        </w:rPr>
        <w:tab/>
      </w:r>
    </w:p>
    <w:p w14:paraId="7A9AA1C4" w14:textId="77777777" w:rsidR="007F6B8A" w:rsidRPr="00DD6763" w:rsidRDefault="007F6B8A" w:rsidP="00341A5B">
      <w:pPr>
        <w:spacing w:after="0" w:line="276" w:lineRule="auto"/>
        <w:jc w:val="both"/>
        <w:rPr>
          <w:rFonts w:ascii="Verdana" w:hAnsi="Verdana" w:cs="Verdana"/>
          <w:color w:val="000000"/>
          <w:sz w:val="20"/>
          <w:szCs w:val="20"/>
        </w:rPr>
      </w:pPr>
    </w:p>
    <w:p w14:paraId="5E670517" w14:textId="22C91D13" w:rsidR="005E531D" w:rsidRPr="00DD6763" w:rsidRDefault="005E531D" w:rsidP="004362B0">
      <w:pPr>
        <w:spacing w:after="0" w:line="276" w:lineRule="auto"/>
        <w:jc w:val="both"/>
        <w:outlineLvl w:val="0"/>
        <w:rPr>
          <w:rFonts w:ascii="Times New Roman" w:hAnsi="Times New Roman" w:cs="Times New Roman"/>
          <w:b/>
          <w:i/>
          <w:sz w:val="24"/>
          <w:szCs w:val="24"/>
        </w:rPr>
      </w:pPr>
      <w:r w:rsidRPr="00DD6763">
        <w:rPr>
          <w:rFonts w:ascii="Times New Roman" w:hAnsi="Times New Roman" w:cs="Times New Roman"/>
          <w:b/>
          <w:iCs/>
          <w:sz w:val="24"/>
          <w:szCs w:val="24"/>
        </w:rPr>
        <w:t>2.2</w:t>
      </w:r>
      <w:r w:rsidRPr="00DD6763">
        <w:rPr>
          <w:rFonts w:ascii="Times New Roman" w:hAnsi="Times New Roman" w:cs="Times New Roman"/>
          <w:b/>
          <w:i/>
          <w:sz w:val="24"/>
          <w:szCs w:val="24"/>
        </w:rPr>
        <w:t xml:space="preserve"> Different </w:t>
      </w:r>
      <w:r w:rsidR="00A13BE2" w:rsidRPr="00DD6763">
        <w:rPr>
          <w:rFonts w:ascii="Times New Roman" w:hAnsi="Times New Roman" w:cs="Times New Roman"/>
          <w:b/>
          <w:i/>
          <w:sz w:val="24"/>
          <w:szCs w:val="24"/>
        </w:rPr>
        <w:t>Theoretical Approaches to A</w:t>
      </w:r>
      <w:r w:rsidRPr="00DD6763">
        <w:rPr>
          <w:rFonts w:ascii="Times New Roman" w:hAnsi="Times New Roman" w:cs="Times New Roman"/>
          <w:b/>
          <w:i/>
          <w:sz w:val="24"/>
          <w:szCs w:val="24"/>
        </w:rPr>
        <w:t xml:space="preserve">ddress FPIC </w:t>
      </w:r>
    </w:p>
    <w:p w14:paraId="13BBBDA6" w14:textId="2D598599" w:rsidR="0084207A" w:rsidRPr="00DD6763" w:rsidRDefault="00A34A2B" w:rsidP="00C90791">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Because of</w:t>
      </w:r>
      <w:r w:rsidR="00275417" w:rsidRPr="00DD6763">
        <w:rPr>
          <w:rFonts w:ascii="Times New Roman" w:hAnsi="Times New Roman" w:cs="Times New Roman"/>
          <w:sz w:val="24"/>
          <w:szCs w:val="24"/>
        </w:rPr>
        <w:t xml:space="preserve"> the centrality of FPIC to the main argument, </w:t>
      </w:r>
      <w:r w:rsidR="00807E6E" w:rsidRPr="00DD6763">
        <w:rPr>
          <w:rFonts w:ascii="Times New Roman" w:hAnsi="Times New Roman" w:cs="Times New Roman"/>
          <w:sz w:val="24"/>
          <w:szCs w:val="24"/>
        </w:rPr>
        <w:t>it is worth</w:t>
      </w:r>
      <w:r w:rsidR="009F6D4F" w:rsidRPr="00DD6763">
        <w:rPr>
          <w:rFonts w:ascii="Times New Roman" w:hAnsi="Times New Roman" w:cs="Times New Roman"/>
          <w:sz w:val="24"/>
          <w:szCs w:val="24"/>
        </w:rPr>
        <w:t xml:space="preserve"> </w:t>
      </w:r>
      <w:r w:rsidRPr="00DD6763">
        <w:rPr>
          <w:rFonts w:ascii="Times New Roman" w:hAnsi="Times New Roman" w:cs="Times New Roman"/>
          <w:sz w:val="24"/>
          <w:szCs w:val="24"/>
        </w:rPr>
        <w:t>discussing</w:t>
      </w:r>
      <w:r w:rsidR="00275417" w:rsidRPr="00DD6763">
        <w:rPr>
          <w:rFonts w:ascii="Times New Roman" w:hAnsi="Times New Roman" w:cs="Times New Roman"/>
          <w:sz w:val="24"/>
          <w:szCs w:val="24"/>
        </w:rPr>
        <w:t xml:space="preserve"> the di</w:t>
      </w:r>
      <w:r w:rsidR="0066597E" w:rsidRPr="00DD6763">
        <w:rPr>
          <w:rFonts w:ascii="Times New Roman" w:hAnsi="Times New Roman" w:cs="Times New Roman"/>
          <w:sz w:val="24"/>
          <w:szCs w:val="24"/>
        </w:rPr>
        <w:t xml:space="preserve">fferent approaches taken to </w:t>
      </w:r>
      <w:r w:rsidR="009F6D4F" w:rsidRPr="00DD6763">
        <w:rPr>
          <w:rFonts w:ascii="Times New Roman" w:hAnsi="Times New Roman" w:cs="Times New Roman"/>
          <w:sz w:val="24"/>
          <w:szCs w:val="24"/>
        </w:rPr>
        <w:t xml:space="preserve">FPIC. </w:t>
      </w:r>
      <w:r w:rsidR="00497B3F" w:rsidRPr="00DD6763">
        <w:rPr>
          <w:rFonts w:ascii="Times New Roman" w:hAnsi="Times New Roman" w:cs="Times New Roman"/>
          <w:sz w:val="24"/>
          <w:szCs w:val="24"/>
        </w:rPr>
        <w:t>Primarily</w:t>
      </w:r>
      <w:r w:rsidR="009F6D4F" w:rsidRPr="00DD6763">
        <w:rPr>
          <w:rFonts w:ascii="Times New Roman" w:hAnsi="Times New Roman" w:cs="Times New Roman"/>
          <w:sz w:val="24"/>
          <w:szCs w:val="24"/>
        </w:rPr>
        <w:t>, the analysis</w:t>
      </w:r>
      <w:r w:rsidR="00275417" w:rsidRPr="00DD6763">
        <w:rPr>
          <w:rFonts w:ascii="Times New Roman" w:hAnsi="Times New Roman" w:cs="Times New Roman"/>
          <w:sz w:val="24"/>
          <w:szCs w:val="24"/>
        </w:rPr>
        <w:t xml:space="preserve"> depart</w:t>
      </w:r>
      <w:r w:rsidR="0084207A" w:rsidRPr="00DD6763">
        <w:rPr>
          <w:rFonts w:ascii="Times New Roman" w:hAnsi="Times New Roman" w:cs="Times New Roman"/>
          <w:sz w:val="24"/>
          <w:szCs w:val="24"/>
        </w:rPr>
        <w:t>s</w:t>
      </w:r>
      <w:r w:rsidR="00275417" w:rsidRPr="00DD6763">
        <w:rPr>
          <w:rFonts w:ascii="Times New Roman" w:hAnsi="Times New Roman" w:cs="Times New Roman"/>
          <w:sz w:val="24"/>
          <w:szCs w:val="24"/>
        </w:rPr>
        <w:t xml:space="preserve"> from the </w:t>
      </w:r>
      <w:r w:rsidRPr="00DD6763">
        <w:rPr>
          <w:rFonts w:ascii="Times New Roman" w:hAnsi="Times New Roman" w:cs="Times New Roman"/>
          <w:sz w:val="24"/>
          <w:szCs w:val="24"/>
        </w:rPr>
        <w:t xml:space="preserve">usual practice </w:t>
      </w:r>
      <w:r w:rsidR="0084207A" w:rsidRPr="00DD6763">
        <w:rPr>
          <w:rFonts w:ascii="Times New Roman" w:hAnsi="Times New Roman" w:cs="Times New Roman"/>
          <w:sz w:val="24"/>
          <w:szCs w:val="24"/>
        </w:rPr>
        <w:t xml:space="preserve">of </w:t>
      </w:r>
      <w:r w:rsidR="00275417" w:rsidRPr="00DD6763">
        <w:rPr>
          <w:rFonts w:ascii="Times New Roman" w:hAnsi="Times New Roman" w:cs="Times New Roman"/>
          <w:sz w:val="24"/>
          <w:szCs w:val="24"/>
        </w:rPr>
        <w:t>m</w:t>
      </w:r>
      <w:r w:rsidR="00FE2FD0" w:rsidRPr="00DD6763">
        <w:rPr>
          <w:rFonts w:ascii="Times New Roman" w:hAnsi="Times New Roman" w:cs="Times New Roman"/>
          <w:sz w:val="24"/>
          <w:szCs w:val="24"/>
        </w:rPr>
        <w:t xml:space="preserve">erely focusing on </w:t>
      </w:r>
      <w:r w:rsidR="00302754" w:rsidRPr="00DD6763">
        <w:rPr>
          <w:rFonts w:ascii="Times New Roman" w:hAnsi="Times New Roman" w:cs="Times New Roman"/>
          <w:sz w:val="24"/>
          <w:szCs w:val="24"/>
        </w:rPr>
        <w:t>lands</w:t>
      </w:r>
      <w:r w:rsidR="00FE2FD0" w:rsidRPr="00DD6763">
        <w:rPr>
          <w:rFonts w:ascii="Times New Roman" w:hAnsi="Times New Roman" w:cs="Times New Roman"/>
          <w:sz w:val="24"/>
          <w:szCs w:val="24"/>
        </w:rPr>
        <w:t xml:space="preserve"> rights</w:t>
      </w:r>
      <w:r w:rsidR="00302754" w:rsidRPr="00DD6763">
        <w:rPr>
          <w:rFonts w:ascii="Times New Roman" w:hAnsi="Times New Roman" w:cs="Times New Roman"/>
          <w:sz w:val="24"/>
          <w:szCs w:val="24"/>
        </w:rPr>
        <w:t>, as FPIC presents other dimensions</w:t>
      </w:r>
      <w:r w:rsidR="00D87FFC" w:rsidRPr="00DD6763">
        <w:rPr>
          <w:rFonts w:ascii="Times New Roman" w:hAnsi="Times New Roman" w:cs="Times New Roman"/>
          <w:sz w:val="24"/>
          <w:szCs w:val="24"/>
        </w:rPr>
        <w:t xml:space="preserve">. </w:t>
      </w:r>
      <w:r w:rsidR="00302754" w:rsidRPr="00DD6763">
        <w:rPr>
          <w:rFonts w:ascii="Times New Roman" w:hAnsi="Times New Roman" w:cs="Times New Roman"/>
          <w:sz w:val="24"/>
          <w:szCs w:val="24"/>
        </w:rPr>
        <w:t>Thus</w:t>
      </w:r>
      <w:r w:rsidR="00F85165" w:rsidRPr="00DD6763">
        <w:rPr>
          <w:rFonts w:ascii="Times New Roman" w:hAnsi="Times New Roman" w:cs="Times New Roman"/>
          <w:sz w:val="24"/>
          <w:szCs w:val="24"/>
        </w:rPr>
        <w:t>,</w:t>
      </w:r>
      <w:r w:rsidR="00302754" w:rsidRPr="00DD6763">
        <w:rPr>
          <w:rFonts w:ascii="Times New Roman" w:hAnsi="Times New Roman" w:cs="Times New Roman"/>
          <w:sz w:val="24"/>
          <w:szCs w:val="24"/>
        </w:rPr>
        <w:t xml:space="preserve"> s</w:t>
      </w:r>
      <w:r w:rsidR="00D87FFC" w:rsidRPr="00DD6763">
        <w:rPr>
          <w:rFonts w:ascii="Times New Roman" w:hAnsi="Times New Roman" w:cs="Times New Roman"/>
          <w:sz w:val="24"/>
          <w:szCs w:val="24"/>
        </w:rPr>
        <w:t xml:space="preserve">ome preliminary and critical reflections </w:t>
      </w:r>
      <w:r w:rsidR="00231E36" w:rsidRPr="00DD6763">
        <w:rPr>
          <w:rFonts w:ascii="Times New Roman" w:hAnsi="Times New Roman" w:cs="Times New Roman"/>
          <w:sz w:val="24"/>
          <w:szCs w:val="24"/>
        </w:rPr>
        <w:t xml:space="preserve">on the nature and definition of FPIC </w:t>
      </w:r>
      <w:r w:rsidR="00D87FFC" w:rsidRPr="00DD6763">
        <w:rPr>
          <w:rFonts w:ascii="Times New Roman" w:hAnsi="Times New Roman" w:cs="Times New Roman"/>
          <w:sz w:val="24"/>
          <w:szCs w:val="24"/>
        </w:rPr>
        <w:t>are in order.</w:t>
      </w:r>
    </w:p>
    <w:p w14:paraId="55D0E5B5" w14:textId="3CB45287" w:rsidR="00EB73FC" w:rsidRPr="00DD6763" w:rsidRDefault="005247B7"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From a legal standpoint, the regulation in this area is </w:t>
      </w:r>
      <w:r w:rsidR="004F4EA6" w:rsidRPr="00DD6763">
        <w:rPr>
          <w:rFonts w:ascii="Times New Roman" w:hAnsi="Times New Roman" w:cs="Times New Roman"/>
          <w:sz w:val="24"/>
          <w:szCs w:val="24"/>
        </w:rPr>
        <w:t>intricate</w:t>
      </w:r>
      <w:r w:rsidRPr="00DD6763">
        <w:rPr>
          <w:rFonts w:ascii="Times New Roman" w:hAnsi="Times New Roman" w:cs="Times New Roman"/>
          <w:sz w:val="24"/>
          <w:szCs w:val="24"/>
        </w:rPr>
        <w:t xml:space="preserve"> and made up of ILO norms, </w:t>
      </w:r>
      <w:r w:rsidR="004D513B" w:rsidRPr="00DD6763">
        <w:rPr>
          <w:rFonts w:ascii="Times New Roman" w:hAnsi="Times New Roman" w:cs="Times New Roman"/>
          <w:sz w:val="24"/>
          <w:szCs w:val="24"/>
        </w:rPr>
        <w:t>IHRL</w:t>
      </w:r>
      <w:r w:rsidRPr="00DD6763">
        <w:rPr>
          <w:rFonts w:ascii="Times New Roman" w:hAnsi="Times New Roman" w:cs="Times New Roman"/>
          <w:sz w:val="24"/>
          <w:szCs w:val="24"/>
        </w:rPr>
        <w:t xml:space="preserve"> and IEL provisions</w:t>
      </w:r>
      <w:r w:rsidR="004A0199" w:rsidRPr="00DD6763">
        <w:rPr>
          <w:rFonts w:ascii="Times New Roman" w:hAnsi="Times New Roman" w:cs="Times New Roman"/>
          <w:sz w:val="24"/>
          <w:szCs w:val="24"/>
        </w:rPr>
        <w:t>.</w:t>
      </w:r>
      <w:r w:rsidR="004A0199" w:rsidRPr="00DD6763">
        <w:rPr>
          <w:rStyle w:val="FootnoteReference"/>
          <w:rFonts w:ascii="Times New Roman" w:hAnsi="Times New Roman" w:cs="Times New Roman"/>
          <w:sz w:val="24"/>
          <w:szCs w:val="24"/>
        </w:rPr>
        <w:footnoteReference w:id="35"/>
      </w:r>
      <w:r w:rsidRPr="00DD6763">
        <w:rPr>
          <w:rFonts w:ascii="Times New Roman" w:hAnsi="Times New Roman" w:cs="Times New Roman"/>
          <w:sz w:val="24"/>
          <w:szCs w:val="24"/>
        </w:rPr>
        <w:t xml:space="preserve"> </w:t>
      </w:r>
      <w:r w:rsidR="00202D80" w:rsidRPr="00DD6763">
        <w:rPr>
          <w:rFonts w:ascii="Times New Roman" w:hAnsi="Times New Roman" w:cs="Times New Roman"/>
          <w:sz w:val="24"/>
          <w:szCs w:val="24"/>
        </w:rPr>
        <w:t xml:space="preserve">So far, there is no binding legal instrument in </w:t>
      </w:r>
      <w:r w:rsidR="008F6DAA" w:rsidRPr="00DD6763">
        <w:rPr>
          <w:rFonts w:ascii="Times New Roman" w:hAnsi="Times New Roman" w:cs="Times New Roman"/>
          <w:sz w:val="24"/>
          <w:szCs w:val="24"/>
        </w:rPr>
        <w:t>IHRL</w:t>
      </w:r>
      <w:r w:rsidR="00202D80" w:rsidRPr="00DD6763">
        <w:rPr>
          <w:rFonts w:ascii="Times New Roman" w:hAnsi="Times New Roman" w:cs="Times New Roman"/>
          <w:sz w:val="24"/>
          <w:szCs w:val="24"/>
        </w:rPr>
        <w:t xml:space="preserve"> protecting indig</w:t>
      </w:r>
      <w:r w:rsidR="00AE7C21" w:rsidRPr="00DD6763">
        <w:rPr>
          <w:rFonts w:ascii="Times New Roman" w:hAnsi="Times New Roman" w:cs="Times New Roman"/>
          <w:sz w:val="24"/>
          <w:szCs w:val="24"/>
        </w:rPr>
        <w:t>enous peoples’ right to</w:t>
      </w:r>
      <w:r w:rsidR="00202D80" w:rsidRPr="00DD6763">
        <w:rPr>
          <w:rFonts w:ascii="Times New Roman" w:hAnsi="Times New Roman" w:cs="Times New Roman"/>
          <w:sz w:val="24"/>
          <w:szCs w:val="24"/>
        </w:rPr>
        <w:t xml:space="preserve"> FPIC</w:t>
      </w:r>
      <w:r w:rsidR="007A2E60" w:rsidRPr="00DD6763">
        <w:rPr>
          <w:rFonts w:ascii="Times New Roman" w:hAnsi="Times New Roman" w:cs="Times New Roman"/>
          <w:sz w:val="24"/>
          <w:szCs w:val="24"/>
        </w:rPr>
        <w:t xml:space="preserve">. </w:t>
      </w:r>
      <w:r w:rsidR="0084207A" w:rsidRPr="00DD6763">
        <w:rPr>
          <w:rFonts w:ascii="Times New Roman" w:hAnsi="Times New Roman" w:cs="Times New Roman"/>
          <w:sz w:val="24"/>
          <w:szCs w:val="24"/>
        </w:rPr>
        <w:t>While the 2007 Declaration on Indigenous Rights (</w:t>
      </w:r>
      <w:r w:rsidR="00223CDB" w:rsidRPr="00DD6763">
        <w:rPr>
          <w:rFonts w:ascii="Times New Roman" w:hAnsi="Times New Roman" w:cs="Times New Roman"/>
          <w:sz w:val="24"/>
          <w:szCs w:val="24"/>
        </w:rPr>
        <w:t>UN</w:t>
      </w:r>
      <w:r w:rsidR="0084207A" w:rsidRPr="00DD6763">
        <w:rPr>
          <w:rFonts w:ascii="Times New Roman" w:hAnsi="Times New Roman" w:cs="Times New Roman"/>
          <w:sz w:val="24"/>
          <w:szCs w:val="24"/>
        </w:rPr>
        <w:t xml:space="preserve">DRIPs) is of </w:t>
      </w:r>
      <w:r w:rsidR="00A34A2B" w:rsidRPr="00DD6763">
        <w:rPr>
          <w:rFonts w:ascii="Times New Roman" w:hAnsi="Times New Roman" w:cs="Times New Roman"/>
          <w:sz w:val="24"/>
          <w:szCs w:val="24"/>
        </w:rPr>
        <w:t xml:space="preserve">a </w:t>
      </w:r>
      <w:r w:rsidR="008A5C8D" w:rsidRPr="00DD6763">
        <w:rPr>
          <w:rFonts w:ascii="Times New Roman" w:hAnsi="Times New Roman" w:cs="Times New Roman"/>
          <w:sz w:val="24"/>
          <w:szCs w:val="24"/>
        </w:rPr>
        <w:t xml:space="preserve">soft law nature, C169 </w:t>
      </w:r>
      <w:r w:rsidR="0084207A" w:rsidRPr="00DD6763">
        <w:rPr>
          <w:rFonts w:ascii="Times New Roman" w:hAnsi="Times New Roman" w:cs="Times New Roman"/>
          <w:sz w:val="24"/>
          <w:szCs w:val="24"/>
        </w:rPr>
        <w:t xml:space="preserve">has </w:t>
      </w:r>
      <w:r w:rsidR="00593015" w:rsidRPr="00DD6763">
        <w:rPr>
          <w:rFonts w:ascii="Times New Roman" w:hAnsi="Times New Roman" w:cs="Times New Roman"/>
          <w:sz w:val="24"/>
          <w:szCs w:val="24"/>
        </w:rPr>
        <w:t>turned out</w:t>
      </w:r>
      <w:r w:rsidR="0084207A" w:rsidRPr="00DD6763">
        <w:rPr>
          <w:rFonts w:ascii="Times New Roman" w:hAnsi="Times New Roman" w:cs="Times New Roman"/>
          <w:sz w:val="24"/>
          <w:szCs w:val="24"/>
        </w:rPr>
        <w:t xml:space="preserve"> to be the main tool at hand for the protection of indigenous peoples’ FPIC. </w:t>
      </w:r>
      <w:r w:rsidR="004A0199" w:rsidRPr="00DD6763">
        <w:rPr>
          <w:rFonts w:ascii="Times New Roman" w:hAnsi="Times New Roman" w:cs="Times New Roman"/>
          <w:sz w:val="24"/>
          <w:szCs w:val="24"/>
        </w:rPr>
        <w:t>Nevertheless, UNDRIP reflects</w:t>
      </w:r>
      <w:r w:rsidR="00D20596" w:rsidRPr="00DD6763">
        <w:rPr>
          <w:rFonts w:ascii="Times New Roman" w:hAnsi="Times New Roman" w:cs="Times New Roman"/>
          <w:sz w:val="24"/>
          <w:szCs w:val="24"/>
        </w:rPr>
        <w:t xml:space="preserve"> hard law</w:t>
      </w:r>
      <w:r w:rsidRPr="00DD6763">
        <w:rPr>
          <w:rFonts w:ascii="Times New Roman" w:hAnsi="Times New Roman" w:cs="Times New Roman"/>
          <w:sz w:val="24"/>
          <w:szCs w:val="24"/>
        </w:rPr>
        <w:t xml:space="preserve"> and demonstrates the general consensus on the recognition of FPIC </w:t>
      </w:r>
      <w:r w:rsidR="007D7B0A" w:rsidRPr="00DD6763">
        <w:rPr>
          <w:rFonts w:ascii="Times New Roman" w:hAnsi="Times New Roman" w:cs="Times New Roman"/>
          <w:sz w:val="24"/>
          <w:szCs w:val="24"/>
        </w:rPr>
        <w:t>as</w:t>
      </w:r>
      <w:r w:rsidRPr="00DD6763">
        <w:rPr>
          <w:rFonts w:ascii="Times New Roman" w:hAnsi="Times New Roman" w:cs="Times New Roman"/>
          <w:sz w:val="24"/>
          <w:szCs w:val="24"/>
        </w:rPr>
        <w:t xml:space="preserve"> a human right (or better, a result of various human rights).</w:t>
      </w:r>
      <w:r w:rsidR="002668CA" w:rsidRPr="00DD6763">
        <w:rPr>
          <w:rFonts w:ascii="Times New Roman" w:hAnsi="Times New Roman" w:cs="Times New Roman"/>
          <w:sz w:val="24"/>
          <w:szCs w:val="24"/>
        </w:rPr>
        <w:t xml:space="preserve"> </w:t>
      </w:r>
      <w:r w:rsidR="00581101" w:rsidRPr="00DD6763">
        <w:rPr>
          <w:rFonts w:ascii="Times New Roman" w:hAnsi="Times New Roman" w:cs="Times New Roman"/>
          <w:sz w:val="24"/>
          <w:szCs w:val="24"/>
        </w:rPr>
        <w:t xml:space="preserve">As </w:t>
      </w:r>
      <w:proofErr w:type="spellStart"/>
      <w:r w:rsidR="00581101" w:rsidRPr="00DD6763">
        <w:rPr>
          <w:rFonts w:ascii="Times New Roman" w:hAnsi="Times New Roman" w:cs="Times New Roman"/>
          <w:sz w:val="24"/>
          <w:szCs w:val="24"/>
        </w:rPr>
        <w:t>Lenzerini</w:t>
      </w:r>
      <w:proofErr w:type="spellEnd"/>
      <w:r w:rsidR="00581101" w:rsidRPr="00DD6763">
        <w:rPr>
          <w:rFonts w:ascii="Times New Roman" w:hAnsi="Times New Roman" w:cs="Times New Roman"/>
          <w:sz w:val="24"/>
          <w:szCs w:val="24"/>
        </w:rPr>
        <w:t xml:space="preserve"> </w:t>
      </w:r>
      <w:r w:rsidR="00F846E0" w:rsidRPr="00DD6763">
        <w:rPr>
          <w:rFonts w:ascii="Times New Roman" w:hAnsi="Times New Roman" w:cs="Times New Roman"/>
          <w:sz w:val="24"/>
          <w:szCs w:val="24"/>
        </w:rPr>
        <w:t>indicates</w:t>
      </w:r>
      <w:r w:rsidR="0029686C" w:rsidRPr="00DD6763">
        <w:rPr>
          <w:rFonts w:ascii="Times New Roman" w:hAnsi="Times New Roman" w:cs="Times New Roman"/>
          <w:sz w:val="24"/>
          <w:szCs w:val="24"/>
        </w:rPr>
        <w:t xml:space="preserve"> UNDRIP “</w:t>
      </w:r>
      <w:r w:rsidR="00581101" w:rsidRPr="00DD6763">
        <w:rPr>
          <w:rFonts w:ascii="Times New Roman" w:hAnsi="Times New Roman" w:cs="Times New Roman"/>
          <w:sz w:val="24"/>
          <w:szCs w:val="24"/>
        </w:rPr>
        <w:t xml:space="preserve">entails an implicit commitment by the international community </w:t>
      </w:r>
      <w:r w:rsidR="0029686C" w:rsidRPr="00DD6763">
        <w:rPr>
          <w:rFonts w:ascii="Times New Roman" w:hAnsi="Times New Roman" w:cs="Times New Roman"/>
          <w:sz w:val="24"/>
          <w:szCs w:val="24"/>
        </w:rPr>
        <w:t>in favour of indigenous peoples”</w:t>
      </w:r>
      <w:r w:rsidR="00581101" w:rsidRPr="00DD6763">
        <w:rPr>
          <w:rFonts w:ascii="Times New Roman" w:hAnsi="Times New Roman" w:cs="Times New Roman"/>
          <w:sz w:val="24"/>
          <w:szCs w:val="24"/>
        </w:rPr>
        <w:t>.</w:t>
      </w:r>
      <w:r w:rsidR="00581101" w:rsidRPr="00DD6763">
        <w:rPr>
          <w:rStyle w:val="FootnoteReference"/>
          <w:rFonts w:ascii="Times New Roman" w:hAnsi="Times New Roman" w:cs="Times New Roman"/>
          <w:sz w:val="24"/>
          <w:szCs w:val="24"/>
        </w:rPr>
        <w:footnoteReference w:id="36"/>
      </w:r>
      <w:r w:rsidR="00581101" w:rsidRPr="00DD6763">
        <w:rPr>
          <w:rFonts w:ascii="Times New Roman" w:hAnsi="Times New Roman" w:cs="Times New Roman"/>
          <w:sz w:val="24"/>
          <w:szCs w:val="24"/>
        </w:rPr>
        <w:t xml:space="preserve"> </w:t>
      </w:r>
      <w:r w:rsidR="00B55D3B" w:rsidRPr="00DD6763">
        <w:rPr>
          <w:rFonts w:ascii="Times New Roman" w:hAnsi="Times New Roman" w:cs="Times New Roman"/>
          <w:sz w:val="24"/>
          <w:szCs w:val="24"/>
        </w:rPr>
        <w:t>F</w:t>
      </w:r>
      <w:r w:rsidR="009122D7" w:rsidRPr="00DD6763">
        <w:rPr>
          <w:rFonts w:ascii="Times New Roman" w:hAnsi="Times New Roman" w:cs="Times New Roman"/>
          <w:sz w:val="24"/>
          <w:szCs w:val="24"/>
        </w:rPr>
        <w:t xml:space="preserve">rom an </w:t>
      </w:r>
      <w:r w:rsidR="00581101" w:rsidRPr="00DD6763">
        <w:rPr>
          <w:rFonts w:ascii="Times New Roman" w:hAnsi="Times New Roman" w:cs="Times New Roman"/>
          <w:sz w:val="24"/>
          <w:szCs w:val="24"/>
        </w:rPr>
        <w:t>IEL</w:t>
      </w:r>
      <w:r w:rsidR="009122D7" w:rsidRPr="00DD6763">
        <w:rPr>
          <w:rFonts w:ascii="Times New Roman" w:hAnsi="Times New Roman" w:cs="Times New Roman"/>
          <w:sz w:val="24"/>
          <w:szCs w:val="24"/>
        </w:rPr>
        <w:t xml:space="preserve"> </w:t>
      </w:r>
      <w:r w:rsidR="006F04ED" w:rsidRPr="00DD6763">
        <w:rPr>
          <w:rFonts w:ascii="Times New Roman" w:hAnsi="Times New Roman" w:cs="Times New Roman"/>
          <w:sz w:val="24"/>
          <w:szCs w:val="24"/>
        </w:rPr>
        <w:t>standpoint,</w:t>
      </w:r>
      <w:r w:rsidR="009122D7" w:rsidRPr="00DD6763">
        <w:rPr>
          <w:rFonts w:ascii="Times New Roman" w:hAnsi="Times New Roman" w:cs="Times New Roman"/>
          <w:sz w:val="24"/>
          <w:szCs w:val="24"/>
        </w:rPr>
        <w:t xml:space="preserve"> the sustainable development principle</w:t>
      </w:r>
      <w:r w:rsidR="001D07CF" w:rsidRPr="00DD6763">
        <w:rPr>
          <w:rFonts w:ascii="Times New Roman" w:hAnsi="Times New Roman" w:cs="Times New Roman"/>
          <w:sz w:val="24"/>
          <w:szCs w:val="24"/>
        </w:rPr>
        <w:t xml:space="preserve"> also </w:t>
      </w:r>
      <w:r w:rsidR="009122D7" w:rsidRPr="00DD6763">
        <w:rPr>
          <w:rFonts w:ascii="Times New Roman" w:hAnsi="Times New Roman" w:cs="Times New Roman"/>
          <w:sz w:val="24"/>
          <w:szCs w:val="24"/>
        </w:rPr>
        <w:t>contribute</w:t>
      </w:r>
      <w:r w:rsidR="00934BF8" w:rsidRPr="00DD6763">
        <w:rPr>
          <w:rFonts w:ascii="Times New Roman" w:hAnsi="Times New Roman" w:cs="Times New Roman"/>
          <w:sz w:val="24"/>
          <w:szCs w:val="24"/>
        </w:rPr>
        <w:t>s</w:t>
      </w:r>
      <w:r w:rsidR="009122D7" w:rsidRPr="00DD6763">
        <w:rPr>
          <w:rFonts w:ascii="Times New Roman" w:hAnsi="Times New Roman" w:cs="Times New Roman"/>
          <w:sz w:val="24"/>
          <w:szCs w:val="24"/>
        </w:rPr>
        <w:t xml:space="preserve"> to </w:t>
      </w:r>
      <w:r w:rsidR="00FE2FD0" w:rsidRPr="00DD6763">
        <w:rPr>
          <w:rFonts w:ascii="Times New Roman" w:hAnsi="Times New Roman" w:cs="Times New Roman"/>
          <w:sz w:val="24"/>
          <w:szCs w:val="24"/>
        </w:rPr>
        <w:t>postulating</w:t>
      </w:r>
      <w:r w:rsidR="00593015" w:rsidRPr="00DD6763">
        <w:rPr>
          <w:rFonts w:ascii="Times New Roman" w:hAnsi="Times New Roman" w:cs="Times New Roman"/>
          <w:sz w:val="24"/>
          <w:szCs w:val="24"/>
        </w:rPr>
        <w:t xml:space="preserve"> </w:t>
      </w:r>
      <w:r w:rsidR="009122D7" w:rsidRPr="00DD6763">
        <w:rPr>
          <w:rFonts w:ascii="Times New Roman" w:hAnsi="Times New Roman" w:cs="Times New Roman"/>
          <w:sz w:val="24"/>
          <w:szCs w:val="24"/>
        </w:rPr>
        <w:t xml:space="preserve">a general framework </w:t>
      </w:r>
      <w:r w:rsidR="00593015" w:rsidRPr="00DD6763">
        <w:rPr>
          <w:rFonts w:ascii="Times New Roman" w:hAnsi="Times New Roman" w:cs="Times New Roman"/>
          <w:sz w:val="24"/>
          <w:szCs w:val="24"/>
        </w:rPr>
        <w:t xml:space="preserve">for </w:t>
      </w:r>
      <w:r w:rsidR="00934BF8" w:rsidRPr="00DD6763">
        <w:rPr>
          <w:rFonts w:ascii="Times New Roman" w:hAnsi="Times New Roman" w:cs="Times New Roman"/>
          <w:sz w:val="24"/>
          <w:szCs w:val="24"/>
        </w:rPr>
        <w:t xml:space="preserve">the </w:t>
      </w:r>
      <w:r w:rsidR="009122D7" w:rsidRPr="00DD6763">
        <w:rPr>
          <w:rFonts w:ascii="Times New Roman" w:hAnsi="Times New Roman" w:cs="Times New Roman"/>
          <w:sz w:val="24"/>
          <w:szCs w:val="24"/>
        </w:rPr>
        <w:t xml:space="preserve">analysis. </w:t>
      </w:r>
      <w:r w:rsidR="00D10BFA" w:rsidRPr="00DD6763">
        <w:rPr>
          <w:rFonts w:ascii="Times New Roman" w:hAnsi="Times New Roman" w:cs="Times New Roman"/>
          <w:sz w:val="24"/>
          <w:szCs w:val="24"/>
        </w:rPr>
        <w:t>Beyond this</w:t>
      </w:r>
      <w:r w:rsidR="00083350" w:rsidRPr="00DD6763">
        <w:rPr>
          <w:rFonts w:ascii="Times New Roman" w:hAnsi="Times New Roman" w:cs="Times New Roman"/>
          <w:sz w:val="24"/>
          <w:szCs w:val="24"/>
        </w:rPr>
        <w:t>,</w:t>
      </w:r>
      <w:r w:rsidR="00D161C3" w:rsidRPr="00DD6763">
        <w:rPr>
          <w:rFonts w:ascii="Times New Roman" w:hAnsi="Times New Roman" w:cs="Times New Roman"/>
          <w:sz w:val="24"/>
          <w:szCs w:val="24"/>
        </w:rPr>
        <w:t xml:space="preserve"> f</w:t>
      </w:r>
      <w:r w:rsidR="00D10BFA" w:rsidRPr="00DD6763">
        <w:rPr>
          <w:rFonts w:ascii="Times New Roman" w:hAnsi="Times New Roman" w:cs="Times New Roman"/>
          <w:sz w:val="24"/>
          <w:szCs w:val="24"/>
        </w:rPr>
        <w:t>rom a different perspective, C</w:t>
      </w:r>
      <w:r w:rsidR="00643BD9" w:rsidRPr="00DD6763">
        <w:rPr>
          <w:rFonts w:ascii="Times New Roman" w:hAnsi="Times New Roman" w:cs="Times New Roman"/>
          <w:sz w:val="24"/>
          <w:szCs w:val="24"/>
        </w:rPr>
        <w:t xml:space="preserve">orporate </w:t>
      </w:r>
      <w:r w:rsidR="00D10BFA" w:rsidRPr="00DD6763">
        <w:rPr>
          <w:rFonts w:ascii="Times New Roman" w:hAnsi="Times New Roman" w:cs="Times New Roman"/>
          <w:sz w:val="24"/>
          <w:szCs w:val="24"/>
        </w:rPr>
        <w:t>S</w:t>
      </w:r>
      <w:r w:rsidR="00643BD9" w:rsidRPr="00DD6763">
        <w:rPr>
          <w:rFonts w:ascii="Times New Roman" w:hAnsi="Times New Roman" w:cs="Times New Roman"/>
          <w:sz w:val="24"/>
          <w:szCs w:val="24"/>
        </w:rPr>
        <w:t xml:space="preserve">ocial </w:t>
      </w:r>
      <w:r w:rsidR="00D10BFA" w:rsidRPr="00DD6763">
        <w:rPr>
          <w:rFonts w:ascii="Times New Roman" w:hAnsi="Times New Roman" w:cs="Times New Roman"/>
          <w:sz w:val="24"/>
          <w:szCs w:val="24"/>
        </w:rPr>
        <w:t>R</w:t>
      </w:r>
      <w:r w:rsidR="00643BD9" w:rsidRPr="00DD6763">
        <w:rPr>
          <w:rFonts w:ascii="Times New Roman" w:hAnsi="Times New Roman" w:cs="Times New Roman"/>
          <w:sz w:val="24"/>
          <w:szCs w:val="24"/>
        </w:rPr>
        <w:t>esponsibility</w:t>
      </w:r>
      <w:r w:rsidR="00D10BFA" w:rsidRPr="00DD6763">
        <w:rPr>
          <w:rFonts w:ascii="Times New Roman" w:hAnsi="Times New Roman" w:cs="Times New Roman"/>
          <w:sz w:val="24"/>
          <w:szCs w:val="24"/>
        </w:rPr>
        <w:t xml:space="preserve"> approaches</w:t>
      </w:r>
      <w:r w:rsidR="00FE2FD0" w:rsidRPr="00DD6763">
        <w:rPr>
          <w:rFonts w:ascii="Times New Roman" w:hAnsi="Times New Roman" w:cs="Times New Roman"/>
          <w:sz w:val="24"/>
          <w:szCs w:val="24"/>
        </w:rPr>
        <w:t xml:space="preserve"> </w:t>
      </w:r>
      <w:r w:rsidR="00593015" w:rsidRPr="00DD6763">
        <w:rPr>
          <w:rFonts w:ascii="Times New Roman" w:hAnsi="Times New Roman" w:cs="Times New Roman"/>
          <w:sz w:val="24"/>
          <w:szCs w:val="24"/>
        </w:rPr>
        <w:t>play a part in regulation</w:t>
      </w:r>
      <w:r w:rsidR="00D10BFA" w:rsidRPr="00DD6763">
        <w:rPr>
          <w:rFonts w:ascii="Times New Roman" w:hAnsi="Times New Roman" w:cs="Times New Roman"/>
          <w:sz w:val="24"/>
          <w:szCs w:val="24"/>
        </w:rPr>
        <w:t>.</w:t>
      </w:r>
      <w:r w:rsidR="00C16417" w:rsidRPr="00DD6763">
        <w:rPr>
          <w:rStyle w:val="FootnoteReference"/>
          <w:rFonts w:ascii="Times New Roman" w:hAnsi="Times New Roman" w:cs="Times New Roman"/>
          <w:sz w:val="24"/>
          <w:szCs w:val="24"/>
        </w:rPr>
        <w:footnoteReference w:id="37"/>
      </w:r>
      <w:r w:rsidR="00E97725" w:rsidRPr="00DD6763">
        <w:rPr>
          <w:rFonts w:ascii="Times New Roman" w:hAnsi="Times New Roman" w:cs="Times New Roman"/>
          <w:sz w:val="24"/>
          <w:szCs w:val="24"/>
        </w:rPr>
        <w:t xml:space="preserve"> </w:t>
      </w:r>
    </w:p>
    <w:p w14:paraId="3636C54C" w14:textId="33B548E3" w:rsidR="00934BF8" w:rsidRPr="00DD6763" w:rsidRDefault="00B9033F"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ab/>
      </w:r>
      <w:r w:rsidR="00FE2FD0" w:rsidRPr="00DD6763">
        <w:rPr>
          <w:rFonts w:ascii="Times New Roman" w:hAnsi="Times New Roman" w:cs="Times New Roman"/>
          <w:sz w:val="24"/>
          <w:szCs w:val="24"/>
        </w:rPr>
        <w:t xml:space="preserve">As for </w:t>
      </w:r>
      <w:r w:rsidR="004D513B" w:rsidRPr="00DD6763">
        <w:rPr>
          <w:rFonts w:ascii="Times New Roman" w:hAnsi="Times New Roman" w:cs="Times New Roman"/>
          <w:sz w:val="24"/>
          <w:szCs w:val="24"/>
        </w:rPr>
        <w:t>IHRL</w:t>
      </w:r>
      <w:r w:rsidR="00FE2FD0" w:rsidRPr="00DD6763">
        <w:rPr>
          <w:rFonts w:ascii="Times New Roman" w:hAnsi="Times New Roman" w:cs="Times New Roman"/>
          <w:sz w:val="24"/>
          <w:szCs w:val="24"/>
        </w:rPr>
        <w:t>, b</w:t>
      </w:r>
      <w:r w:rsidR="00EB73FC" w:rsidRPr="00DD6763">
        <w:rPr>
          <w:rFonts w:ascii="Times New Roman" w:hAnsi="Times New Roman" w:cs="Times New Roman"/>
          <w:sz w:val="24"/>
          <w:szCs w:val="24"/>
        </w:rPr>
        <w:t>oth the International Covenant on Civil and Political Right</w:t>
      </w:r>
      <w:r w:rsidR="00F238E9" w:rsidRPr="00DD6763">
        <w:rPr>
          <w:rFonts w:ascii="Times New Roman" w:hAnsi="Times New Roman" w:cs="Times New Roman"/>
          <w:sz w:val="24"/>
          <w:szCs w:val="24"/>
        </w:rPr>
        <w:t xml:space="preserve">s (ICCPR), </w:t>
      </w:r>
      <w:r w:rsidR="00EB73FC" w:rsidRPr="00DD6763">
        <w:rPr>
          <w:rFonts w:ascii="Times New Roman" w:hAnsi="Times New Roman" w:cs="Times New Roman"/>
          <w:sz w:val="24"/>
          <w:szCs w:val="24"/>
        </w:rPr>
        <w:t xml:space="preserve">the International Covenant on Economic, Social and Cultural Rights (ICESCR) </w:t>
      </w:r>
      <w:r w:rsidR="00F238E9" w:rsidRPr="00DD6763">
        <w:rPr>
          <w:rFonts w:ascii="Times New Roman" w:hAnsi="Times New Roman" w:cs="Times New Roman"/>
          <w:sz w:val="24"/>
          <w:szCs w:val="24"/>
        </w:rPr>
        <w:t xml:space="preserve">and the </w:t>
      </w:r>
      <w:r w:rsidR="006B3191" w:rsidRPr="00DD6763">
        <w:rPr>
          <w:rFonts w:ascii="Times New Roman" w:hAnsi="Times New Roman" w:cs="Times New Roman"/>
          <w:sz w:val="24"/>
          <w:szCs w:val="24"/>
        </w:rPr>
        <w:t xml:space="preserve">Convention on the Elimination of All Forms of Racial Discrimination (CERD) </w:t>
      </w:r>
      <w:r w:rsidR="00EB73FC" w:rsidRPr="00DD6763">
        <w:rPr>
          <w:rFonts w:ascii="Times New Roman" w:hAnsi="Times New Roman" w:cs="Times New Roman"/>
          <w:sz w:val="24"/>
          <w:szCs w:val="24"/>
        </w:rPr>
        <w:t xml:space="preserve">paved the way for </w:t>
      </w:r>
      <w:r w:rsidR="00616243" w:rsidRPr="00DD6763">
        <w:rPr>
          <w:rFonts w:ascii="Times New Roman" w:hAnsi="Times New Roman" w:cs="Times New Roman"/>
          <w:sz w:val="24"/>
          <w:szCs w:val="24"/>
        </w:rPr>
        <w:t xml:space="preserve">developments that would later lead to </w:t>
      </w:r>
      <w:r w:rsidR="00EB73FC" w:rsidRPr="00DD6763">
        <w:rPr>
          <w:rFonts w:ascii="Times New Roman" w:hAnsi="Times New Roman" w:cs="Times New Roman"/>
          <w:sz w:val="24"/>
          <w:szCs w:val="24"/>
        </w:rPr>
        <w:t>the recognition of indigenous rights</w:t>
      </w:r>
      <w:r w:rsidR="00616243" w:rsidRPr="00DD6763">
        <w:rPr>
          <w:rFonts w:ascii="Times New Roman" w:hAnsi="Times New Roman" w:cs="Times New Roman"/>
          <w:sz w:val="24"/>
          <w:szCs w:val="24"/>
        </w:rPr>
        <w:t>.</w:t>
      </w:r>
      <w:r w:rsidR="00DF6E1A" w:rsidRPr="00DD6763">
        <w:rPr>
          <w:rStyle w:val="FootnoteReference"/>
          <w:rFonts w:ascii="Times New Roman" w:hAnsi="Times New Roman" w:cs="Times New Roman"/>
          <w:sz w:val="24"/>
          <w:szCs w:val="24"/>
        </w:rPr>
        <w:footnoteReference w:id="38"/>
      </w:r>
      <w:r w:rsidR="00EB73FC" w:rsidRPr="00DD6763">
        <w:rPr>
          <w:rFonts w:ascii="Times New Roman" w:hAnsi="Times New Roman" w:cs="Times New Roman"/>
          <w:sz w:val="24"/>
          <w:szCs w:val="24"/>
        </w:rPr>
        <w:t xml:space="preserve"> </w:t>
      </w:r>
      <w:r w:rsidR="00616243" w:rsidRPr="00DD6763">
        <w:rPr>
          <w:rFonts w:ascii="Times New Roman" w:hAnsi="Times New Roman" w:cs="Times New Roman"/>
          <w:sz w:val="24"/>
          <w:szCs w:val="24"/>
        </w:rPr>
        <w:t>F</w:t>
      </w:r>
      <w:r w:rsidR="00EB73FC" w:rsidRPr="00DD6763">
        <w:rPr>
          <w:rFonts w:ascii="Times New Roman" w:hAnsi="Times New Roman" w:cs="Times New Roman"/>
          <w:sz w:val="24"/>
          <w:szCs w:val="24"/>
        </w:rPr>
        <w:t xml:space="preserve">or several decades there </w:t>
      </w:r>
      <w:r w:rsidR="00593015" w:rsidRPr="00DD6763">
        <w:rPr>
          <w:rFonts w:ascii="Times New Roman" w:hAnsi="Times New Roman" w:cs="Times New Roman"/>
          <w:sz w:val="24"/>
          <w:szCs w:val="24"/>
        </w:rPr>
        <w:t xml:space="preserve">had been </w:t>
      </w:r>
      <w:r w:rsidR="00EB73FC" w:rsidRPr="00DD6763">
        <w:rPr>
          <w:rFonts w:ascii="Times New Roman" w:hAnsi="Times New Roman" w:cs="Times New Roman"/>
          <w:sz w:val="24"/>
          <w:szCs w:val="24"/>
        </w:rPr>
        <w:t>no tailor-made instrument</w:t>
      </w:r>
      <w:r w:rsidR="00616243" w:rsidRPr="00DD6763">
        <w:rPr>
          <w:rFonts w:ascii="Times New Roman" w:hAnsi="Times New Roman" w:cs="Times New Roman"/>
          <w:sz w:val="24"/>
          <w:szCs w:val="24"/>
        </w:rPr>
        <w:t>s</w:t>
      </w:r>
      <w:r w:rsidR="00EB73FC" w:rsidRPr="00DD6763">
        <w:rPr>
          <w:rFonts w:ascii="Times New Roman" w:hAnsi="Times New Roman" w:cs="Times New Roman"/>
          <w:sz w:val="24"/>
          <w:szCs w:val="24"/>
        </w:rPr>
        <w:t xml:space="preserve"> guaranteeing indigenous rights. To overcome this endemic absence of international law norms specifically designed to protect indigenous peoples’ rights, human rights monitoring bodies </w:t>
      </w:r>
      <w:r w:rsidR="00593015" w:rsidRPr="00DD6763">
        <w:rPr>
          <w:rFonts w:ascii="Times New Roman" w:hAnsi="Times New Roman" w:cs="Times New Roman"/>
          <w:sz w:val="24"/>
          <w:szCs w:val="24"/>
        </w:rPr>
        <w:t>created</w:t>
      </w:r>
      <w:r w:rsidR="00EB73FC" w:rsidRPr="00DD6763">
        <w:rPr>
          <w:rFonts w:ascii="Times New Roman" w:hAnsi="Times New Roman" w:cs="Times New Roman"/>
          <w:sz w:val="24"/>
          <w:szCs w:val="24"/>
        </w:rPr>
        <w:t xml:space="preserve"> standards of protection</w:t>
      </w:r>
      <w:r w:rsidR="006B3191" w:rsidRPr="00DD6763">
        <w:rPr>
          <w:rFonts w:ascii="Times New Roman" w:hAnsi="Times New Roman" w:cs="Times New Roman"/>
          <w:sz w:val="24"/>
          <w:szCs w:val="24"/>
        </w:rPr>
        <w:t xml:space="preserve"> as discussed in section 3</w:t>
      </w:r>
      <w:r w:rsidR="00EB73FC" w:rsidRPr="00DD6763">
        <w:rPr>
          <w:rFonts w:ascii="Times New Roman" w:hAnsi="Times New Roman" w:cs="Times New Roman"/>
          <w:sz w:val="24"/>
          <w:szCs w:val="24"/>
        </w:rPr>
        <w:t xml:space="preserve">. </w:t>
      </w:r>
    </w:p>
    <w:p w14:paraId="06C52AF4" w14:textId="3A4F73B2" w:rsidR="00934BF8" w:rsidRPr="00DD6763" w:rsidRDefault="00B9033F"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ab/>
      </w:r>
      <w:r w:rsidR="00934BF8" w:rsidRPr="00DD6763">
        <w:rPr>
          <w:rFonts w:ascii="Times New Roman" w:hAnsi="Times New Roman" w:cs="Times New Roman"/>
          <w:sz w:val="24"/>
          <w:szCs w:val="24"/>
        </w:rPr>
        <w:t>C169 conceives of FPIC as a complete process</w:t>
      </w:r>
      <w:r w:rsidR="0023078D" w:rsidRPr="00DD6763">
        <w:rPr>
          <w:rFonts w:ascii="Times New Roman" w:hAnsi="Times New Roman" w:cs="Times New Roman"/>
          <w:sz w:val="24"/>
          <w:szCs w:val="24"/>
        </w:rPr>
        <w:t xml:space="preserve"> conducted with the objective of achieving consent</w:t>
      </w:r>
      <w:r w:rsidR="00934BF8" w:rsidRPr="00DD6763">
        <w:rPr>
          <w:rFonts w:ascii="Times New Roman" w:hAnsi="Times New Roman" w:cs="Times New Roman"/>
          <w:sz w:val="24"/>
          <w:szCs w:val="24"/>
        </w:rPr>
        <w:t>, and n</w:t>
      </w:r>
      <w:r w:rsidR="00C90791" w:rsidRPr="00DD6763">
        <w:rPr>
          <w:rFonts w:ascii="Times New Roman" w:hAnsi="Times New Roman" w:cs="Times New Roman"/>
          <w:sz w:val="24"/>
          <w:szCs w:val="24"/>
        </w:rPr>
        <w:t>ot a mere source of information.</w:t>
      </w:r>
      <w:r w:rsidR="00934BF8" w:rsidRPr="00DD6763">
        <w:rPr>
          <w:rFonts w:ascii="Times New Roman" w:hAnsi="Times New Roman" w:cs="Times New Roman"/>
          <w:sz w:val="24"/>
          <w:szCs w:val="24"/>
        </w:rPr>
        <w:t xml:space="preserve"> Accordingly, the </w:t>
      </w:r>
      <w:r w:rsidR="0023078D" w:rsidRPr="00DD6763">
        <w:rPr>
          <w:rFonts w:ascii="Times New Roman" w:hAnsi="Times New Roman" w:cs="Times New Roman"/>
          <w:sz w:val="24"/>
          <w:szCs w:val="24"/>
        </w:rPr>
        <w:t xml:space="preserve">FPIC </w:t>
      </w:r>
      <w:r w:rsidR="00934BF8" w:rsidRPr="00DD6763">
        <w:rPr>
          <w:rFonts w:ascii="Times New Roman" w:hAnsi="Times New Roman" w:cs="Times New Roman"/>
          <w:sz w:val="24"/>
          <w:szCs w:val="24"/>
        </w:rPr>
        <w:t>should take place when considering legislative or administrative measures</w:t>
      </w:r>
      <w:r w:rsidR="00934BF8" w:rsidRPr="00DD6763">
        <w:rPr>
          <w:rStyle w:val="FootnoteReference"/>
          <w:rFonts w:ascii="Times New Roman" w:hAnsi="Times New Roman" w:cs="Times New Roman"/>
          <w:sz w:val="24"/>
          <w:szCs w:val="24"/>
        </w:rPr>
        <w:footnoteReference w:id="39"/>
      </w:r>
      <w:r w:rsidR="00934BF8" w:rsidRPr="00DD6763">
        <w:rPr>
          <w:rFonts w:ascii="Times New Roman" w:hAnsi="Times New Roman" w:cs="Times New Roman"/>
          <w:sz w:val="24"/>
          <w:szCs w:val="24"/>
        </w:rPr>
        <w:t xml:space="preserve">; when any consideration is given to indigenous peoples’ capacity to alienate their lands or to transmit ownership of them </w:t>
      </w:r>
      <w:r w:rsidR="00934BF8" w:rsidRPr="00DD6763">
        <w:rPr>
          <w:rFonts w:ascii="Times New Roman" w:hAnsi="Times New Roman" w:cs="Times New Roman"/>
          <w:sz w:val="24"/>
          <w:szCs w:val="24"/>
        </w:rPr>
        <w:lastRenderedPageBreak/>
        <w:t>outside their own communities.</w:t>
      </w:r>
      <w:r w:rsidR="00934BF8" w:rsidRPr="00DD6763">
        <w:rPr>
          <w:rStyle w:val="FootnoteReference"/>
          <w:rFonts w:ascii="Times New Roman" w:hAnsi="Times New Roman" w:cs="Times New Roman"/>
          <w:sz w:val="24"/>
          <w:szCs w:val="24"/>
        </w:rPr>
        <w:footnoteReference w:id="40"/>
      </w:r>
      <w:r w:rsidR="00B071A0" w:rsidRPr="00DD6763">
        <w:rPr>
          <w:rFonts w:ascii="Times New Roman" w:hAnsi="Times New Roman" w:cs="Times New Roman"/>
          <w:sz w:val="24"/>
          <w:szCs w:val="24"/>
        </w:rPr>
        <w:t xml:space="preserve"> In </w:t>
      </w:r>
      <w:r w:rsidR="0006670D" w:rsidRPr="00DD6763">
        <w:rPr>
          <w:rFonts w:ascii="Times New Roman" w:hAnsi="Times New Roman" w:cs="Times New Roman"/>
          <w:sz w:val="24"/>
          <w:szCs w:val="24"/>
        </w:rPr>
        <w:t xml:space="preserve">light of </w:t>
      </w:r>
      <w:r w:rsidR="00934BF8" w:rsidRPr="00DD6763">
        <w:rPr>
          <w:rFonts w:ascii="Times New Roman" w:hAnsi="Times New Roman" w:cs="Times New Roman"/>
          <w:bCs/>
          <w:sz w:val="24"/>
          <w:szCs w:val="24"/>
        </w:rPr>
        <w:t>C169</w:t>
      </w:r>
      <w:r w:rsidR="00934BF8" w:rsidRPr="00DD6763">
        <w:rPr>
          <w:rFonts w:ascii="Times New Roman" w:hAnsi="Times New Roman" w:cs="Times New Roman"/>
          <w:sz w:val="24"/>
          <w:szCs w:val="24"/>
        </w:rPr>
        <w:t>, FPIC is understood as a comprehensive process governed by different principles.</w:t>
      </w:r>
      <w:r w:rsidR="00934BF8" w:rsidRPr="00DD6763">
        <w:rPr>
          <w:rStyle w:val="FootnoteReference"/>
          <w:rFonts w:ascii="Times New Roman" w:hAnsi="Times New Roman" w:cs="Times New Roman"/>
          <w:sz w:val="24"/>
          <w:szCs w:val="24"/>
        </w:rPr>
        <w:footnoteReference w:id="41"/>
      </w:r>
      <w:r w:rsidR="00934BF8" w:rsidRPr="00DD6763">
        <w:rPr>
          <w:rFonts w:ascii="Times New Roman" w:hAnsi="Times New Roman" w:cs="Times New Roman"/>
          <w:sz w:val="24"/>
          <w:szCs w:val="24"/>
        </w:rPr>
        <w:t xml:space="preserve"> </w:t>
      </w:r>
      <w:r w:rsidR="00766416" w:rsidRPr="00DD6763">
        <w:rPr>
          <w:rFonts w:ascii="Times New Roman" w:hAnsi="Times New Roman" w:cs="Times New Roman"/>
          <w:sz w:val="24"/>
          <w:szCs w:val="24"/>
        </w:rPr>
        <w:t>F</w:t>
      </w:r>
      <w:r w:rsidR="00934BF8" w:rsidRPr="00DD6763">
        <w:rPr>
          <w:rFonts w:ascii="Times New Roman" w:hAnsi="Times New Roman" w:cs="Times New Roman"/>
          <w:sz w:val="24"/>
          <w:szCs w:val="24"/>
        </w:rPr>
        <w:t>ree and informed consent of indigenous peoples must take place prior to exploration or exploitation of subsurface resources</w:t>
      </w:r>
      <w:r w:rsidR="00934BF8" w:rsidRPr="00DD6763">
        <w:rPr>
          <w:rStyle w:val="FootnoteReference"/>
          <w:rFonts w:ascii="Times New Roman" w:hAnsi="Times New Roman" w:cs="Times New Roman"/>
          <w:sz w:val="24"/>
          <w:szCs w:val="24"/>
        </w:rPr>
        <w:footnoteReference w:id="42"/>
      </w:r>
      <w:r w:rsidR="00934BF8" w:rsidRPr="00DD6763">
        <w:rPr>
          <w:rFonts w:ascii="Times New Roman" w:hAnsi="Times New Roman" w:cs="Times New Roman"/>
          <w:sz w:val="24"/>
          <w:szCs w:val="24"/>
        </w:rPr>
        <w:t xml:space="preserve"> and prior to relocation</w:t>
      </w:r>
      <w:r w:rsidR="00766416" w:rsidRPr="00DD6763">
        <w:rPr>
          <w:rFonts w:ascii="Times New Roman" w:hAnsi="Times New Roman" w:cs="Times New Roman"/>
          <w:sz w:val="24"/>
          <w:szCs w:val="24"/>
        </w:rPr>
        <w:t xml:space="preserve"> and should be obtain for it to be lawful</w:t>
      </w:r>
      <w:r w:rsidR="00934BF8" w:rsidRPr="00DD6763">
        <w:rPr>
          <w:rFonts w:ascii="Times New Roman" w:hAnsi="Times New Roman" w:cs="Times New Roman"/>
          <w:sz w:val="24"/>
          <w:szCs w:val="24"/>
        </w:rPr>
        <w:t>.</w:t>
      </w:r>
      <w:r w:rsidR="00934BF8" w:rsidRPr="00DD6763">
        <w:rPr>
          <w:rStyle w:val="FootnoteReference"/>
          <w:rFonts w:ascii="Times New Roman" w:hAnsi="Times New Roman" w:cs="Times New Roman"/>
          <w:sz w:val="24"/>
          <w:szCs w:val="24"/>
        </w:rPr>
        <w:footnoteReference w:id="43"/>
      </w:r>
      <w:r w:rsidR="00934BF8" w:rsidRPr="00DD6763">
        <w:rPr>
          <w:rFonts w:ascii="Times New Roman" w:hAnsi="Times New Roman" w:cs="Times New Roman"/>
          <w:sz w:val="24"/>
          <w:szCs w:val="24"/>
        </w:rPr>
        <w:t xml:space="preserve"> The process should be guided by the principle of good faith. The main obligation on the States consists of establishing appropriate channels for effective participation of representative institutions of indigenous or tribal peoples.</w:t>
      </w:r>
    </w:p>
    <w:p w14:paraId="609C2DE2" w14:textId="38B7AF74" w:rsidR="00FE2FD0" w:rsidRPr="00DD6763" w:rsidRDefault="00B9033F"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ab/>
      </w:r>
      <w:r w:rsidR="00EB73FC" w:rsidRPr="00DD6763">
        <w:rPr>
          <w:rFonts w:ascii="Times New Roman" w:hAnsi="Times New Roman" w:cs="Times New Roman"/>
          <w:sz w:val="24"/>
          <w:szCs w:val="24"/>
        </w:rPr>
        <w:t>The efforts to establish a specific legal fr</w:t>
      </w:r>
      <w:r w:rsidR="009A6CF4" w:rsidRPr="00DD6763">
        <w:rPr>
          <w:rFonts w:ascii="Times New Roman" w:hAnsi="Times New Roman" w:cs="Times New Roman"/>
          <w:sz w:val="24"/>
          <w:szCs w:val="24"/>
        </w:rPr>
        <w:t xml:space="preserve">amework led to </w:t>
      </w:r>
      <w:r w:rsidR="00C16417" w:rsidRPr="00DD6763">
        <w:rPr>
          <w:rFonts w:ascii="Times New Roman" w:hAnsi="Times New Roman" w:cs="Times New Roman"/>
          <w:sz w:val="24"/>
          <w:szCs w:val="24"/>
        </w:rPr>
        <w:t>the adoption of the 2007 UNDRIP</w:t>
      </w:r>
      <w:r w:rsidR="000D6408" w:rsidRPr="00DD6763">
        <w:rPr>
          <w:rFonts w:ascii="Times New Roman" w:hAnsi="Times New Roman" w:cs="Times New Roman"/>
          <w:sz w:val="24"/>
          <w:szCs w:val="24"/>
        </w:rPr>
        <w:t xml:space="preserve">, which </w:t>
      </w:r>
      <w:r w:rsidR="00616243" w:rsidRPr="00DD6763">
        <w:rPr>
          <w:rFonts w:ascii="Times New Roman" w:hAnsi="Times New Roman" w:cs="Times New Roman"/>
          <w:sz w:val="24"/>
          <w:szCs w:val="24"/>
        </w:rPr>
        <w:t>contributes</w:t>
      </w:r>
      <w:r w:rsidR="001D6AA8" w:rsidRPr="00DD6763">
        <w:rPr>
          <w:rFonts w:ascii="Times New Roman" w:hAnsi="Times New Roman" w:cs="Times New Roman"/>
          <w:sz w:val="24"/>
          <w:szCs w:val="24"/>
        </w:rPr>
        <w:t xml:space="preserve"> more detail to </w:t>
      </w:r>
      <w:r w:rsidR="00EB73FC" w:rsidRPr="00DD6763">
        <w:rPr>
          <w:rFonts w:ascii="Times New Roman" w:hAnsi="Times New Roman" w:cs="Times New Roman"/>
          <w:sz w:val="24"/>
          <w:szCs w:val="24"/>
        </w:rPr>
        <w:t xml:space="preserve">FPIC: consultation should take place prior to </w:t>
      </w:r>
      <w:r w:rsidR="00807E6E" w:rsidRPr="00DD6763">
        <w:rPr>
          <w:rFonts w:ascii="Times New Roman" w:hAnsi="Times New Roman" w:cs="Times New Roman"/>
          <w:sz w:val="24"/>
          <w:szCs w:val="24"/>
        </w:rPr>
        <w:t xml:space="preserve">the </w:t>
      </w:r>
      <w:r w:rsidR="00EB73FC" w:rsidRPr="00DD6763">
        <w:rPr>
          <w:rFonts w:ascii="Times New Roman" w:hAnsi="Times New Roman" w:cs="Times New Roman"/>
          <w:sz w:val="24"/>
          <w:szCs w:val="24"/>
        </w:rPr>
        <w:t>adoption of legislative and administrative measures and to the approval of projects affecting their l</w:t>
      </w:r>
      <w:r w:rsidR="00934BF8" w:rsidRPr="00DD6763">
        <w:rPr>
          <w:rFonts w:ascii="Times New Roman" w:hAnsi="Times New Roman" w:cs="Times New Roman"/>
          <w:sz w:val="24"/>
          <w:szCs w:val="24"/>
        </w:rPr>
        <w:t>ands, territories and resources</w:t>
      </w:r>
      <w:r w:rsidR="00EB73FC" w:rsidRPr="00DD6763">
        <w:rPr>
          <w:rFonts w:ascii="Times New Roman" w:hAnsi="Times New Roman" w:cs="Times New Roman"/>
          <w:sz w:val="24"/>
          <w:szCs w:val="24"/>
        </w:rPr>
        <w:t xml:space="preserve">. </w:t>
      </w:r>
      <w:r w:rsidR="00FE2FD0" w:rsidRPr="00DD6763">
        <w:rPr>
          <w:rFonts w:ascii="Times New Roman" w:hAnsi="Times New Roman" w:cs="Times New Roman"/>
          <w:sz w:val="24"/>
          <w:szCs w:val="24"/>
        </w:rPr>
        <w:t xml:space="preserve">UNDRIP regulates the various circumstances in which consultation </w:t>
      </w:r>
      <w:r w:rsidR="00C16417" w:rsidRPr="00DD6763">
        <w:rPr>
          <w:rFonts w:ascii="Times New Roman" w:hAnsi="Times New Roman" w:cs="Times New Roman"/>
          <w:sz w:val="24"/>
          <w:szCs w:val="24"/>
        </w:rPr>
        <w:t xml:space="preserve">and consent </w:t>
      </w:r>
      <w:r w:rsidR="00FE2FD0" w:rsidRPr="00DD6763">
        <w:rPr>
          <w:rFonts w:ascii="Times New Roman" w:hAnsi="Times New Roman" w:cs="Times New Roman"/>
          <w:sz w:val="24"/>
          <w:szCs w:val="24"/>
        </w:rPr>
        <w:t>may take place</w:t>
      </w:r>
      <w:r w:rsidR="00C16417" w:rsidRPr="00DD6763">
        <w:rPr>
          <w:rFonts w:ascii="Times New Roman" w:hAnsi="Times New Roman" w:cs="Times New Roman"/>
          <w:sz w:val="24"/>
          <w:szCs w:val="24"/>
        </w:rPr>
        <w:t>, with a clear focus on the latter</w:t>
      </w:r>
      <w:r w:rsidR="00FE2FD0" w:rsidRPr="00DD6763">
        <w:rPr>
          <w:rFonts w:ascii="Times New Roman" w:hAnsi="Times New Roman" w:cs="Times New Roman"/>
          <w:sz w:val="24"/>
          <w:szCs w:val="24"/>
        </w:rPr>
        <w:t>: relocation of the population (</w:t>
      </w:r>
      <w:r w:rsidRPr="00DD6763">
        <w:rPr>
          <w:rFonts w:ascii="Times New Roman" w:hAnsi="Times New Roman" w:cs="Times New Roman"/>
          <w:sz w:val="24"/>
          <w:szCs w:val="24"/>
        </w:rPr>
        <w:t xml:space="preserve">Art. </w:t>
      </w:r>
      <w:r w:rsidR="00FE2FD0" w:rsidRPr="00DD6763">
        <w:rPr>
          <w:rFonts w:ascii="Times New Roman" w:hAnsi="Times New Roman" w:cs="Times New Roman"/>
          <w:sz w:val="24"/>
          <w:szCs w:val="24"/>
        </w:rPr>
        <w:t>10); activities with impact on culture and intellectual property (</w:t>
      </w:r>
      <w:r w:rsidRPr="00DD6763">
        <w:rPr>
          <w:rFonts w:ascii="Times New Roman" w:hAnsi="Times New Roman" w:cs="Times New Roman"/>
          <w:sz w:val="24"/>
          <w:szCs w:val="24"/>
        </w:rPr>
        <w:t xml:space="preserve">Art. </w:t>
      </w:r>
      <w:r w:rsidR="00FE2FD0" w:rsidRPr="00DD6763">
        <w:rPr>
          <w:rFonts w:ascii="Times New Roman" w:hAnsi="Times New Roman" w:cs="Times New Roman"/>
          <w:sz w:val="24"/>
          <w:szCs w:val="24"/>
        </w:rPr>
        <w:t>10); adoption and implementation of legislative or administrative measures (</w:t>
      </w:r>
      <w:r w:rsidRPr="00DD6763">
        <w:rPr>
          <w:rFonts w:ascii="Times New Roman" w:hAnsi="Times New Roman" w:cs="Times New Roman"/>
          <w:sz w:val="24"/>
          <w:szCs w:val="24"/>
        </w:rPr>
        <w:t xml:space="preserve">Art. </w:t>
      </w:r>
      <w:r w:rsidR="00FE2FD0" w:rsidRPr="00DD6763">
        <w:rPr>
          <w:rFonts w:ascii="Times New Roman" w:hAnsi="Times New Roman" w:cs="Times New Roman"/>
          <w:sz w:val="24"/>
          <w:szCs w:val="24"/>
        </w:rPr>
        <w:t>19); exploitation of lands, territories and natural resources (</w:t>
      </w:r>
      <w:r w:rsidRPr="00DD6763">
        <w:rPr>
          <w:rFonts w:ascii="Times New Roman" w:hAnsi="Times New Roman" w:cs="Times New Roman"/>
          <w:sz w:val="24"/>
          <w:szCs w:val="24"/>
        </w:rPr>
        <w:t xml:space="preserve">Art. </w:t>
      </w:r>
      <w:r w:rsidR="00FE2FD0" w:rsidRPr="00DD6763">
        <w:rPr>
          <w:rFonts w:ascii="Times New Roman" w:hAnsi="Times New Roman" w:cs="Times New Roman"/>
          <w:sz w:val="24"/>
          <w:szCs w:val="24"/>
        </w:rPr>
        <w:t>27); dispo</w:t>
      </w:r>
      <w:r w:rsidR="00B116F8" w:rsidRPr="00DD6763">
        <w:rPr>
          <w:rFonts w:ascii="Times New Roman" w:hAnsi="Times New Roman" w:cs="Times New Roman"/>
          <w:sz w:val="24"/>
          <w:szCs w:val="24"/>
        </w:rPr>
        <w:t>sal of hazardous waste (</w:t>
      </w:r>
      <w:r w:rsidRPr="00DD6763">
        <w:rPr>
          <w:rFonts w:ascii="Times New Roman" w:hAnsi="Times New Roman" w:cs="Times New Roman"/>
          <w:sz w:val="24"/>
          <w:szCs w:val="24"/>
        </w:rPr>
        <w:t xml:space="preserve">Art. </w:t>
      </w:r>
      <w:r w:rsidR="00B116F8" w:rsidRPr="00DD6763">
        <w:rPr>
          <w:rFonts w:ascii="Times New Roman" w:hAnsi="Times New Roman" w:cs="Times New Roman"/>
          <w:sz w:val="24"/>
          <w:szCs w:val="24"/>
        </w:rPr>
        <w:t>29)</w:t>
      </w:r>
      <w:r w:rsidR="00FE2FD0" w:rsidRPr="00DD6763">
        <w:rPr>
          <w:rFonts w:ascii="Times New Roman" w:hAnsi="Times New Roman" w:cs="Times New Roman"/>
          <w:sz w:val="24"/>
          <w:szCs w:val="24"/>
        </w:rPr>
        <w:t xml:space="preserve"> and development planning (</w:t>
      </w:r>
      <w:r w:rsidRPr="00DD6763">
        <w:rPr>
          <w:rFonts w:ascii="Times New Roman" w:hAnsi="Times New Roman" w:cs="Times New Roman"/>
          <w:sz w:val="24"/>
          <w:szCs w:val="24"/>
        </w:rPr>
        <w:t xml:space="preserve">Art. </w:t>
      </w:r>
      <w:r w:rsidR="00FE2FD0" w:rsidRPr="00DD6763">
        <w:rPr>
          <w:rFonts w:ascii="Times New Roman" w:hAnsi="Times New Roman" w:cs="Times New Roman"/>
          <w:sz w:val="24"/>
          <w:szCs w:val="24"/>
        </w:rPr>
        <w:t>30). T</w:t>
      </w:r>
      <w:r w:rsidR="00FE2FD0" w:rsidRPr="00DD6763">
        <w:rPr>
          <w:rFonts w:ascii="Times New Roman" w:hAnsi="Times New Roman" w:cs="Times New Roman"/>
          <w:bCs/>
          <w:sz w:val="24"/>
          <w:szCs w:val="24"/>
        </w:rPr>
        <w:t>he obligation to consult indigenous peoples must be interpreted</w:t>
      </w:r>
      <w:r w:rsidR="00B071A0" w:rsidRPr="00DD6763">
        <w:rPr>
          <w:rFonts w:ascii="Times New Roman" w:hAnsi="Times New Roman" w:cs="Times New Roman"/>
          <w:bCs/>
          <w:sz w:val="24"/>
          <w:szCs w:val="24"/>
        </w:rPr>
        <w:t xml:space="preserve"> pursuant to</w:t>
      </w:r>
      <w:r w:rsidR="00FE2FD0" w:rsidRPr="00DD6763">
        <w:rPr>
          <w:rFonts w:ascii="Times New Roman" w:hAnsi="Times New Roman" w:cs="Times New Roman"/>
          <w:bCs/>
          <w:sz w:val="24"/>
          <w:szCs w:val="24"/>
        </w:rPr>
        <w:t xml:space="preserve"> </w:t>
      </w:r>
      <w:r w:rsidR="001D6AA8" w:rsidRPr="00DD6763">
        <w:rPr>
          <w:rFonts w:ascii="Times New Roman" w:hAnsi="Times New Roman" w:cs="Times New Roman"/>
          <w:bCs/>
          <w:sz w:val="24"/>
          <w:szCs w:val="24"/>
        </w:rPr>
        <w:t>A</w:t>
      </w:r>
      <w:r w:rsidR="00FE2FD0" w:rsidRPr="00DD6763">
        <w:rPr>
          <w:rFonts w:ascii="Times New Roman" w:hAnsi="Times New Roman" w:cs="Times New Roman"/>
          <w:bCs/>
          <w:sz w:val="24"/>
          <w:szCs w:val="24"/>
        </w:rPr>
        <w:t>rticle 7.1 of the Convention</w:t>
      </w:r>
      <w:r w:rsidR="00343FF3" w:rsidRPr="00DD6763">
        <w:rPr>
          <w:rFonts w:ascii="Times New Roman" w:hAnsi="Times New Roman" w:cs="Times New Roman"/>
          <w:bCs/>
          <w:sz w:val="24"/>
          <w:szCs w:val="24"/>
        </w:rPr>
        <w:t xml:space="preserve">, which </w:t>
      </w:r>
      <w:r w:rsidR="00FE2FD0" w:rsidRPr="00DD6763">
        <w:rPr>
          <w:rFonts w:ascii="Times New Roman" w:hAnsi="Times New Roman" w:cs="Times New Roman"/>
          <w:bCs/>
          <w:sz w:val="24"/>
          <w:szCs w:val="24"/>
        </w:rPr>
        <w:t xml:space="preserve">sets out </w:t>
      </w:r>
      <w:r w:rsidR="00FE2FD0" w:rsidRPr="00DD6763">
        <w:rPr>
          <w:rFonts w:ascii="Times New Roman" w:hAnsi="Times New Roman" w:cs="Times New Roman"/>
          <w:sz w:val="24"/>
          <w:szCs w:val="24"/>
        </w:rPr>
        <w:t xml:space="preserve">the </w:t>
      </w:r>
      <w:r w:rsidR="00343FF3" w:rsidRPr="00DD6763">
        <w:rPr>
          <w:rFonts w:ascii="Times New Roman" w:hAnsi="Times New Roman" w:cs="Times New Roman"/>
          <w:sz w:val="24"/>
          <w:szCs w:val="24"/>
        </w:rPr>
        <w:t>right</w:t>
      </w:r>
      <w:r w:rsidR="00B071A0" w:rsidRPr="00DD6763">
        <w:rPr>
          <w:rFonts w:ascii="Times New Roman" w:hAnsi="Times New Roman" w:cs="Times New Roman"/>
          <w:sz w:val="24"/>
          <w:szCs w:val="24"/>
        </w:rPr>
        <w:t>s</w:t>
      </w:r>
      <w:r w:rsidR="00343FF3" w:rsidRPr="00DD6763">
        <w:rPr>
          <w:rFonts w:ascii="Times New Roman" w:hAnsi="Times New Roman" w:cs="Times New Roman"/>
          <w:sz w:val="24"/>
          <w:szCs w:val="24"/>
        </w:rPr>
        <w:t xml:space="preserve"> to decide, to exercise control </w:t>
      </w:r>
      <w:r w:rsidR="00FE2FD0" w:rsidRPr="00DD6763">
        <w:rPr>
          <w:rFonts w:ascii="Times New Roman" w:hAnsi="Times New Roman" w:cs="Times New Roman"/>
          <w:sz w:val="24"/>
          <w:szCs w:val="24"/>
        </w:rPr>
        <w:t xml:space="preserve">over their own economic, social and cultural development </w:t>
      </w:r>
      <w:r w:rsidR="00343FF3" w:rsidRPr="00DD6763">
        <w:rPr>
          <w:rFonts w:ascii="Times New Roman" w:hAnsi="Times New Roman" w:cs="Times New Roman"/>
          <w:sz w:val="24"/>
          <w:szCs w:val="24"/>
        </w:rPr>
        <w:t xml:space="preserve">and to </w:t>
      </w:r>
      <w:r w:rsidR="00FE2FD0" w:rsidRPr="00DD6763">
        <w:rPr>
          <w:rFonts w:ascii="Times New Roman" w:hAnsi="Times New Roman" w:cs="Times New Roman"/>
          <w:sz w:val="24"/>
          <w:szCs w:val="24"/>
        </w:rPr>
        <w:t xml:space="preserve">participate </w:t>
      </w:r>
      <w:r w:rsidR="00B071A0" w:rsidRPr="00DD6763">
        <w:rPr>
          <w:rFonts w:ascii="Times New Roman" w:hAnsi="Times New Roman" w:cs="Times New Roman"/>
          <w:sz w:val="24"/>
          <w:szCs w:val="24"/>
        </w:rPr>
        <w:t>“</w:t>
      </w:r>
      <w:r w:rsidR="00FE2FD0" w:rsidRPr="00DD6763">
        <w:rPr>
          <w:rFonts w:ascii="Times New Roman" w:hAnsi="Times New Roman" w:cs="Times New Roman"/>
          <w:sz w:val="24"/>
          <w:szCs w:val="24"/>
        </w:rPr>
        <w:t>in the formulation, implementation of plans and programmes for national and regional development which may affect them directly’.</w:t>
      </w:r>
      <w:r w:rsidR="00FE2FD0" w:rsidRPr="00DD6763">
        <w:rPr>
          <w:rStyle w:val="FootnoteReference"/>
          <w:rFonts w:ascii="Times New Roman" w:hAnsi="Times New Roman" w:cs="Times New Roman"/>
          <w:sz w:val="24"/>
          <w:szCs w:val="24"/>
        </w:rPr>
        <w:footnoteReference w:id="44"/>
      </w:r>
    </w:p>
    <w:p w14:paraId="23980134" w14:textId="63FDD0E5" w:rsidR="002609B6" w:rsidRPr="00DD6763" w:rsidRDefault="00B9033F"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ab/>
      </w:r>
      <w:r w:rsidR="00B071A0" w:rsidRPr="00DD6763">
        <w:rPr>
          <w:rFonts w:ascii="Times New Roman" w:hAnsi="Times New Roman" w:cs="Times New Roman"/>
          <w:sz w:val="24"/>
          <w:szCs w:val="24"/>
        </w:rPr>
        <w:t>The scope of the protection afforded to indigenous communities comprises the right to be consulted about projects that may affect their land rights and the right to reparation in the case of dispossession and invasion of indigenous lands. The protection of indigenous lands under IHRL is rooted on the right to property, the respect for their cultural identity and entwined with the protection of the environment. The applicable legal framework to settle disputes</w:t>
      </w:r>
      <w:r w:rsidR="00B071A0" w:rsidRPr="00DD6763">
        <w:rPr>
          <w:rStyle w:val="FootnoteReference"/>
          <w:rFonts w:ascii="Times New Roman" w:hAnsi="Times New Roman" w:cs="Times New Roman"/>
          <w:sz w:val="24"/>
          <w:szCs w:val="24"/>
        </w:rPr>
        <w:footnoteReference w:id="45"/>
      </w:r>
      <w:r w:rsidR="00B071A0" w:rsidRPr="00DD6763">
        <w:rPr>
          <w:rFonts w:ascii="Times New Roman" w:hAnsi="Times New Roman" w:cs="Times New Roman"/>
          <w:sz w:val="24"/>
          <w:szCs w:val="24"/>
        </w:rPr>
        <w:t xml:space="preserve"> (mainly the C169 and other human rights instruments) is ascertained through a case-by-case analysis to determine if the state in question has ratified or acceded to main international human rights treaties. While</w:t>
      </w:r>
      <w:r w:rsidR="00A76381" w:rsidRPr="00DD6763">
        <w:rPr>
          <w:rFonts w:ascii="Times New Roman" w:hAnsi="Times New Roman" w:cs="Times New Roman"/>
          <w:sz w:val="24"/>
          <w:szCs w:val="24"/>
        </w:rPr>
        <w:t xml:space="preserve"> </w:t>
      </w:r>
      <w:r w:rsidR="00F846E0" w:rsidRPr="00DD6763">
        <w:rPr>
          <w:rFonts w:ascii="Times New Roman" w:hAnsi="Times New Roman" w:cs="Times New Roman"/>
          <w:sz w:val="24"/>
          <w:szCs w:val="24"/>
        </w:rPr>
        <w:t xml:space="preserve">FPIC has been recognised as </w:t>
      </w:r>
      <w:r w:rsidR="00FE235D" w:rsidRPr="00DD6763">
        <w:rPr>
          <w:rFonts w:ascii="Times New Roman" w:hAnsi="Times New Roman" w:cs="Times New Roman"/>
          <w:sz w:val="24"/>
          <w:szCs w:val="24"/>
        </w:rPr>
        <w:t>a right,</w:t>
      </w:r>
      <w:r w:rsidR="00A76381" w:rsidRPr="00DD6763">
        <w:rPr>
          <w:rFonts w:ascii="Times New Roman" w:hAnsi="Times New Roman" w:cs="Times New Roman"/>
          <w:sz w:val="24"/>
          <w:szCs w:val="24"/>
        </w:rPr>
        <w:t xml:space="preserve"> several controversial issues </w:t>
      </w:r>
      <w:r w:rsidR="00203A75" w:rsidRPr="00DD6763">
        <w:rPr>
          <w:rFonts w:ascii="Times New Roman" w:hAnsi="Times New Roman" w:cs="Times New Roman"/>
          <w:sz w:val="24"/>
          <w:szCs w:val="24"/>
        </w:rPr>
        <w:t>persist</w:t>
      </w:r>
      <w:r w:rsidR="00A76381" w:rsidRPr="00DD6763">
        <w:rPr>
          <w:rFonts w:ascii="Times New Roman" w:hAnsi="Times New Roman" w:cs="Times New Roman"/>
          <w:sz w:val="24"/>
          <w:szCs w:val="24"/>
        </w:rPr>
        <w:t>. Among them, there is the safeguard</w:t>
      </w:r>
      <w:r w:rsidR="00203A75" w:rsidRPr="00DD6763">
        <w:rPr>
          <w:rFonts w:ascii="Times New Roman" w:hAnsi="Times New Roman" w:cs="Times New Roman"/>
          <w:sz w:val="24"/>
          <w:szCs w:val="24"/>
        </w:rPr>
        <w:t>ing</w:t>
      </w:r>
      <w:r w:rsidR="00A76381" w:rsidRPr="00DD6763">
        <w:rPr>
          <w:rFonts w:ascii="Times New Roman" w:hAnsi="Times New Roman" w:cs="Times New Roman"/>
          <w:sz w:val="24"/>
          <w:szCs w:val="24"/>
        </w:rPr>
        <w:t xml:space="preserve"> of land rights and the protection of FPIC in cases of large projects involving natural resources that would affect indigenous lands.</w:t>
      </w:r>
      <w:r w:rsidR="003776D8" w:rsidRPr="00DD6763">
        <w:rPr>
          <w:rFonts w:ascii="Times New Roman" w:hAnsi="Times New Roman" w:cs="Times New Roman"/>
          <w:sz w:val="24"/>
          <w:szCs w:val="24"/>
        </w:rPr>
        <w:t xml:space="preserve"> </w:t>
      </w:r>
    </w:p>
    <w:p w14:paraId="55118D02" w14:textId="098ECCAE" w:rsidR="00113A2E" w:rsidRPr="00DD6763" w:rsidRDefault="00113A2E" w:rsidP="00C90791">
      <w:pPr>
        <w:spacing w:after="0" w:line="276" w:lineRule="auto"/>
        <w:ind w:firstLine="720"/>
        <w:jc w:val="both"/>
        <w:rPr>
          <w:rFonts w:ascii="Times New Roman" w:hAnsi="Times New Roman" w:cs="Times New Roman"/>
          <w:sz w:val="24"/>
          <w:szCs w:val="24"/>
        </w:rPr>
      </w:pPr>
      <w:r w:rsidRPr="00C41A9F">
        <w:rPr>
          <w:rFonts w:ascii="Times New Roman" w:hAnsi="Times New Roman" w:cs="Times New Roman"/>
          <w:sz w:val="24"/>
          <w:szCs w:val="24"/>
        </w:rPr>
        <w:t>Another way to consider FPIC is through the IEL lens.</w:t>
      </w:r>
      <w:r w:rsidRPr="00C41A9F">
        <w:rPr>
          <w:rStyle w:val="FootnoteReference"/>
          <w:rFonts w:ascii="Times New Roman" w:hAnsi="Times New Roman" w:cs="Times New Roman"/>
          <w:sz w:val="24"/>
          <w:szCs w:val="24"/>
        </w:rPr>
        <w:footnoteReference w:id="46"/>
      </w:r>
      <w:r w:rsidRPr="00C41A9F">
        <w:rPr>
          <w:rFonts w:ascii="Times New Roman" w:hAnsi="Times New Roman" w:cs="Times New Roman"/>
          <w:sz w:val="24"/>
          <w:szCs w:val="24"/>
        </w:rPr>
        <w:t xml:space="preserve"> Although there is no direct regulation of FPIC in the realm of IEL, sustainable development and indigenous peoples’ rights are closely interconnected, as the latter encompass rights with a clear environmental dimension, </w:t>
      </w:r>
      <w:r w:rsidRPr="00C41A9F">
        <w:rPr>
          <w:rFonts w:ascii="Times New Roman" w:hAnsi="Times New Roman" w:cs="Times New Roman"/>
          <w:sz w:val="24"/>
          <w:szCs w:val="24"/>
        </w:rPr>
        <w:lastRenderedPageBreak/>
        <w:t>such as land rights.</w:t>
      </w:r>
      <w:r w:rsidRPr="00C41A9F">
        <w:rPr>
          <w:rStyle w:val="FootnoteReference"/>
          <w:rFonts w:ascii="Times New Roman" w:hAnsi="Times New Roman" w:cs="Times New Roman"/>
          <w:sz w:val="24"/>
          <w:szCs w:val="24"/>
        </w:rPr>
        <w:footnoteReference w:id="47"/>
      </w:r>
      <w:r w:rsidRPr="00DD6763">
        <w:rPr>
          <w:rFonts w:ascii="Times New Roman" w:hAnsi="Times New Roman" w:cs="Times New Roman"/>
          <w:sz w:val="24"/>
          <w:szCs w:val="24"/>
        </w:rPr>
        <w:t xml:space="preserve"> However, IEL norms initially lacked a rights-based approach. This perspective appeared later, and only because of a shift in IEL to a more protective approach.  </w:t>
      </w:r>
    </w:p>
    <w:p w14:paraId="480DFF63" w14:textId="4C4FA187" w:rsidR="00DD6763" w:rsidRDefault="00113A2E"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This early lack of a rights-based approach is observed in the formulation of sustainable development, a fundamental environmental principle proclaimed in the 1992 Rio Conference.  On the face of it, it appears, among other aims, to highlight a connection between indigenous peoples’ rights and sustainable development.</w:t>
      </w:r>
      <w:r w:rsidRPr="00DD6763">
        <w:rPr>
          <w:rStyle w:val="FootnoteReference"/>
          <w:rFonts w:ascii="Times New Roman" w:hAnsi="Times New Roman" w:cs="Times New Roman"/>
          <w:sz w:val="24"/>
          <w:szCs w:val="24"/>
        </w:rPr>
        <w:footnoteReference w:id="48"/>
      </w:r>
      <w:r w:rsidRPr="00DD6763">
        <w:rPr>
          <w:rStyle w:val="FootnoteReference"/>
          <w:rFonts w:ascii="Times New Roman" w:hAnsi="Times New Roman" w:cs="Times New Roman"/>
          <w:sz w:val="24"/>
          <w:szCs w:val="24"/>
        </w:rPr>
        <w:t xml:space="preserve"> </w:t>
      </w:r>
      <w:r w:rsidRPr="00DD6763">
        <w:rPr>
          <w:rFonts w:ascii="Times New Roman" w:hAnsi="Times New Roman" w:cs="Times New Roman"/>
          <w:sz w:val="24"/>
          <w:szCs w:val="24"/>
        </w:rPr>
        <w:t>The Declaration of the UN Conference on Environment and Developme</w:t>
      </w:r>
      <w:r w:rsidR="0029686C" w:rsidRPr="00DD6763">
        <w:rPr>
          <w:rFonts w:ascii="Times New Roman" w:hAnsi="Times New Roman" w:cs="Times New Roman"/>
          <w:sz w:val="24"/>
          <w:szCs w:val="24"/>
        </w:rPr>
        <w:t>nt, Principle 22, affirms that</w:t>
      </w:r>
      <w:r w:rsidR="00DD6763">
        <w:rPr>
          <w:rFonts w:ascii="Times New Roman" w:hAnsi="Times New Roman" w:cs="Times New Roman"/>
          <w:sz w:val="24"/>
          <w:szCs w:val="24"/>
        </w:rPr>
        <w:t>:</w:t>
      </w:r>
      <w:r w:rsidR="0029686C" w:rsidRPr="00DD6763">
        <w:rPr>
          <w:rFonts w:ascii="Times New Roman" w:hAnsi="Times New Roman" w:cs="Times New Roman"/>
          <w:sz w:val="24"/>
          <w:szCs w:val="24"/>
        </w:rPr>
        <w:t xml:space="preserve"> </w:t>
      </w:r>
    </w:p>
    <w:p w14:paraId="1EB99CC3" w14:textId="77777777" w:rsidR="00DD6763" w:rsidRDefault="00DD6763" w:rsidP="00C90791">
      <w:pPr>
        <w:spacing w:after="0" w:line="276" w:lineRule="auto"/>
        <w:ind w:firstLine="720"/>
        <w:jc w:val="both"/>
        <w:rPr>
          <w:rFonts w:ascii="Times New Roman" w:hAnsi="Times New Roman" w:cs="Times New Roman"/>
          <w:sz w:val="24"/>
          <w:szCs w:val="24"/>
        </w:rPr>
      </w:pPr>
    </w:p>
    <w:p w14:paraId="4B8CDFE1" w14:textId="2BAE6439" w:rsidR="00DD6763" w:rsidRDefault="00113A2E" w:rsidP="00DD6763">
      <w:pPr>
        <w:spacing w:after="0" w:line="276" w:lineRule="auto"/>
        <w:ind w:left="720"/>
        <w:jc w:val="both"/>
        <w:rPr>
          <w:rFonts w:ascii="Times New Roman" w:hAnsi="Times New Roman" w:cs="Times New Roman"/>
          <w:sz w:val="24"/>
          <w:szCs w:val="24"/>
        </w:rPr>
      </w:pPr>
      <w:r w:rsidRPr="00DD6763">
        <w:rPr>
          <w:rFonts w:ascii="Times New Roman" w:hAnsi="Times New Roman" w:cs="Times New Roman"/>
          <w:sz w:val="24"/>
          <w:szCs w:val="24"/>
        </w:rPr>
        <w:t>indigenous peoples and their communities (…) have a vital role in environmental management and development because of their knowledge and traditional practices. States should recognize and duly support their identity, culture and interests and enable their effective participation in the achieve</w:t>
      </w:r>
      <w:r w:rsidR="00E126E3" w:rsidRPr="00DD6763">
        <w:rPr>
          <w:rFonts w:ascii="Times New Roman" w:hAnsi="Times New Roman" w:cs="Times New Roman"/>
          <w:sz w:val="24"/>
          <w:szCs w:val="24"/>
        </w:rPr>
        <w:t>ment of sustainable development.</w:t>
      </w:r>
      <w:r w:rsidRPr="00DD6763">
        <w:rPr>
          <w:rStyle w:val="FootnoteReference"/>
          <w:rFonts w:ascii="Times New Roman" w:hAnsi="Times New Roman" w:cs="Times New Roman"/>
          <w:sz w:val="24"/>
          <w:szCs w:val="24"/>
        </w:rPr>
        <w:footnoteReference w:id="49"/>
      </w:r>
      <w:r w:rsidRPr="00DD6763">
        <w:rPr>
          <w:rFonts w:ascii="Times New Roman" w:hAnsi="Times New Roman" w:cs="Times New Roman"/>
          <w:sz w:val="24"/>
          <w:szCs w:val="24"/>
        </w:rPr>
        <w:t xml:space="preserve"> </w:t>
      </w:r>
    </w:p>
    <w:p w14:paraId="37BD49CB" w14:textId="77777777" w:rsidR="00DD6763" w:rsidRDefault="00DD6763" w:rsidP="00DD6763">
      <w:pPr>
        <w:spacing w:after="0" w:line="276" w:lineRule="auto"/>
        <w:jc w:val="both"/>
        <w:rPr>
          <w:rFonts w:ascii="Times New Roman" w:hAnsi="Times New Roman" w:cs="Times New Roman"/>
          <w:sz w:val="24"/>
          <w:szCs w:val="24"/>
        </w:rPr>
      </w:pPr>
    </w:p>
    <w:p w14:paraId="3B58B481" w14:textId="47239D5B" w:rsidR="00113A2E" w:rsidRPr="00DD6763" w:rsidRDefault="00113A2E" w:rsidP="00DD6763">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 xml:space="preserve">However, the language of rights is </w:t>
      </w:r>
      <w:r w:rsidR="00B07660">
        <w:rPr>
          <w:rFonts w:ascii="Times New Roman" w:hAnsi="Times New Roman" w:cs="Times New Roman"/>
          <w:sz w:val="24"/>
          <w:szCs w:val="24"/>
        </w:rPr>
        <w:t>not present in</w:t>
      </w:r>
      <w:r w:rsidRPr="00DD6763">
        <w:rPr>
          <w:rFonts w:ascii="Times New Roman" w:hAnsi="Times New Roman" w:cs="Times New Roman"/>
          <w:sz w:val="24"/>
          <w:szCs w:val="24"/>
        </w:rPr>
        <w:t xml:space="preserve"> this formulation. As Shelton cor</w:t>
      </w:r>
      <w:r w:rsidR="0029686C" w:rsidRPr="00DD6763">
        <w:rPr>
          <w:rFonts w:ascii="Times New Roman" w:hAnsi="Times New Roman" w:cs="Times New Roman"/>
          <w:sz w:val="24"/>
          <w:szCs w:val="24"/>
        </w:rPr>
        <w:t>rectly states in her critique, “</w:t>
      </w:r>
      <w:r w:rsidRPr="00DD6763">
        <w:rPr>
          <w:rFonts w:ascii="Times New Roman" w:hAnsi="Times New Roman" w:cs="Times New Roman"/>
          <w:sz w:val="24"/>
          <w:szCs w:val="24"/>
        </w:rPr>
        <w:t>Principle 22 is not (…) right-based and ignores both historical injustices and the insistent demands of indigenous peoples for recognition of their land</w:t>
      </w:r>
      <w:r w:rsidR="0029686C" w:rsidRPr="00DD6763">
        <w:rPr>
          <w:rFonts w:ascii="Times New Roman" w:hAnsi="Times New Roman" w:cs="Times New Roman"/>
          <w:sz w:val="24"/>
          <w:szCs w:val="24"/>
        </w:rPr>
        <w:t xml:space="preserve"> rights and self-determination”.</w:t>
      </w:r>
      <w:r w:rsidR="0029686C" w:rsidRPr="00DD6763">
        <w:rPr>
          <w:rStyle w:val="FootnoteReference"/>
          <w:rFonts w:ascii="Times New Roman" w:hAnsi="Times New Roman" w:cs="Times New Roman"/>
          <w:sz w:val="24"/>
          <w:szCs w:val="24"/>
        </w:rPr>
        <w:t xml:space="preserve"> </w:t>
      </w:r>
      <w:r w:rsidR="0029686C" w:rsidRPr="00DD6763">
        <w:rPr>
          <w:rStyle w:val="FootnoteReference"/>
          <w:rFonts w:ascii="Times New Roman" w:hAnsi="Times New Roman" w:cs="Times New Roman"/>
          <w:sz w:val="24"/>
          <w:szCs w:val="24"/>
        </w:rPr>
        <w:footnoteReference w:id="50"/>
      </w:r>
    </w:p>
    <w:p w14:paraId="7504D904" w14:textId="6AF10240" w:rsidR="00113A2E" w:rsidRPr="00DD6763" w:rsidRDefault="0029686C"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Traditionally, “</w:t>
      </w:r>
      <w:r w:rsidR="002668CA" w:rsidRPr="00DD6763">
        <w:rPr>
          <w:rFonts w:ascii="Times New Roman" w:hAnsi="Times New Roman" w:cs="Times New Roman"/>
          <w:sz w:val="24"/>
          <w:szCs w:val="24"/>
        </w:rPr>
        <w:t>key instruments in the sphere of international environmental la</w:t>
      </w:r>
      <w:r w:rsidRPr="00DD6763">
        <w:rPr>
          <w:rFonts w:ascii="Times New Roman" w:hAnsi="Times New Roman" w:cs="Times New Roman"/>
          <w:sz w:val="24"/>
          <w:szCs w:val="24"/>
        </w:rPr>
        <w:t>w do not refer directly to FPIC”</w:t>
      </w:r>
      <w:r w:rsidR="002668CA" w:rsidRPr="00DD6763">
        <w:rPr>
          <w:rFonts w:ascii="Times New Roman" w:hAnsi="Times New Roman" w:cs="Times New Roman"/>
          <w:sz w:val="24"/>
          <w:szCs w:val="24"/>
        </w:rPr>
        <w:t>.</w:t>
      </w:r>
      <w:r w:rsidR="002668CA" w:rsidRPr="00DD6763">
        <w:rPr>
          <w:rStyle w:val="FootnoteReference"/>
          <w:rFonts w:ascii="Times New Roman" w:hAnsi="Times New Roman" w:cs="Times New Roman"/>
          <w:sz w:val="24"/>
          <w:szCs w:val="24"/>
        </w:rPr>
        <w:footnoteReference w:id="51"/>
      </w:r>
      <w:r w:rsidR="00113A2E" w:rsidRPr="00DD6763">
        <w:rPr>
          <w:rFonts w:ascii="Times New Roman" w:hAnsi="Times New Roman" w:cs="Times New Roman"/>
          <w:sz w:val="24"/>
          <w:szCs w:val="24"/>
        </w:rPr>
        <w:t xml:space="preserve"> </w:t>
      </w:r>
      <w:r w:rsidR="002668CA" w:rsidRPr="00DD6763">
        <w:rPr>
          <w:rFonts w:ascii="Times New Roman" w:hAnsi="Times New Roman" w:cs="Times New Roman"/>
          <w:sz w:val="24"/>
          <w:szCs w:val="24"/>
        </w:rPr>
        <w:t>More recent</w:t>
      </w:r>
      <w:r w:rsidR="00113A2E" w:rsidRPr="00DD6763">
        <w:rPr>
          <w:rFonts w:ascii="Times New Roman" w:hAnsi="Times New Roman" w:cs="Times New Roman"/>
          <w:sz w:val="24"/>
          <w:szCs w:val="24"/>
        </w:rPr>
        <w:t>ly,</w:t>
      </w:r>
      <w:r w:rsidR="002668CA" w:rsidRPr="00DD6763">
        <w:rPr>
          <w:rFonts w:ascii="Times New Roman" w:hAnsi="Times New Roman" w:cs="Times New Roman"/>
          <w:sz w:val="24"/>
          <w:szCs w:val="24"/>
        </w:rPr>
        <w:t xml:space="preserve"> IEL instruments recognise land rights and indigenous peoples’ important contribution to sustainable development, and call for the protection of their tradi</w:t>
      </w:r>
      <w:r w:rsidR="006C615C" w:rsidRPr="00DD6763">
        <w:rPr>
          <w:rFonts w:ascii="Times New Roman" w:hAnsi="Times New Roman" w:cs="Times New Roman"/>
          <w:sz w:val="24"/>
          <w:szCs w:val="24"/>
        </w:rPr>
        <w:t>tional cultures and lifestyles</w:t>
      </w:r>
      <w:r w:rsidR="00113A2E" w:rsidRPr="00DD6763">
        <w:rPr>
          <w:rFonts w:ascii="Times New Roman" w:hAnsi="Times New Roman" w:cs="Times New Roman"/>
          <w:sz w:val="24"/>
          <w:szCs w:val="24"/>
        </w:rPr>
        <w:t>. The</w:t>
      </w:r>
      <w:r w:rsidRPr="00DD6763">
        <w:rPr>
          <w:rFonts w:ascii="Times New Roman" w:hAnsi="Times New Roman" w:cs="Times New Roman"/>
          <w:sz w:val="24"/>
          <w:szCs w:val="24"/>
        </w:rPr>
        <w:t xml:space="preserve"> 2012 Rio Declaration stresses “</w:t>
      </w:r>
      <w:r w:rsidR="00113A2E" w:rsidRPr="00DD6763">
        <w:rPr>
          <w:rFonts w:ascii="Times New Roman" w:hAnsi="Times New Roman" w:cs="Times New Roman"/>
          <w:sz w:val="24"/>
          <w:szCs w:val="24"/>
        </w:rPr>
        <w:t xml:space="preserve">the participation of indigenous peoples in the achievement of sustainable development and the importance of the </w:t>
      </w:r>
      <w:r w:rsidR="00816B41" w:rsidRPr="00DD6763">
        <w:rPr>
          <w:rFonts w:ascii="Times New Roman" w:hAnsi="Times New Roman" w:cs="Times New Roman"/>
          <w:sz w:val="24"/>
          <w:szCs w:val="24"/>
        </w:rPr>
        <w:t>UNDRIP</w:t>
      </w:r>
      <w:r w:rsidR="00113A2E" w:rsidRPr="00DD6763">
        <w:rPr>
          <w:rFonts w:ascii="Times New Roman" w:hAnsi="Times New Roman" w:cs="Times New Roman"/>
          <w:sz w:val="24"/>
          <w:szCs w:val="24"/>
        </w:rPr>
        <w:t xml:space="preserve"> in the context of global, regional, national and subnational implementation of sus</w:t>
      </w:r>
      <w:r w:rsidRPr="00DD6763">
        <w:rPr>
          <w:rFonts w:ascii="Times New Roman" w:hAnsi="Times New Roman" w:cs="Times New Roman"/>
          <w:sz w:val="24"/>
          <w:szCs w:val="24"/>
        </w:rPr>
        <w:t>tainable development strategies”</w:t>
      </w:r>
      <w:r w:rsidR="00113A2E" w:rsidRPr="00DD6763">
        <w:rPr>
          <w:rFonts w:ascii="Times New Roman" w:hAnsi="Times New Roman" w:cs="Times New Roman"/>
          <w:sz w:val="24"/>
          <w:szCs w:val="24"/>
        </w:rPr>
        <w:t>.</w:t>
      </w:r>
      <w:r w:rsidR="00113A2E" w:rsidRPr="00DD6763">
        <w:rPr>
          <w:rStyle w:val="FootnoteReference"/>
          <w:rFonts w:ascii="Times New Roman" w:hAnsi="Times New Roman" w:cs="Times New Roman"/>
          <w:sz w:val="24"/>
          <w:szCs w:val="24"/>
        </w:rPr>
        <w:footnoteReference w:id="52"/>
      </w:r>
      <w:r w:rsidR="00113A2E" w:rsidRPr="00DD6763">
        <w:rPr>
          <w:rFonts w:ascii="Times New Roman" w:hAnsi="Times New Roman" w:cs="Times New Roman"/>
          <w:sz w:val="24"/>
          <w:szCs w:val="24"/>
        </w:rPr>
        <w:t xml:space="preserve"> </w:t>
      </w:r>
    </w:p>
    <w:p w14:paraId="2CCC9E6C" w14:textId="0286C57C" w:rsidR="002668CA" w:rsidRPr="00DD6763" w:rsidRDefault="002668CA"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In this evolution, </w:t>
      </w:r>
      <w:proofErr w:type="spellStart"/>
      <w:r w:rsidRPr="00DD6763">
        <w:rPr>
          <w:rFonts w:ascii="Times New Roman" w:hAnsi="Times New Roman" w:cs="Times New Roman"/>
          <w:sz w:val="24"/>
          <w:szCs w:val="24"/>
        </w:rPr>
        <w:t>Barelli</w:t>
      </w:r>
      <w:proofErr w:type="spellEnd"/>
      <w:r w:rsidRPr="00DD6763">
        <w:rPr>
          <w:rFonts w:ascii="Times New Roman" w:hAnsi="Times New Roman" w:cs="Times New Roman"/>
          <w:sz w:val="24"/>
          <w:szCs w:val="24"/>
        </w:rPr>
        <w:t xml:space="preserve"> links FPIC to public participation in environmental decision making affecting indigenous te</w:t>
      </w:r>
      <w:r w:rsidR="0029686C" w:rsidRPr="00DD6763">
        <w:rPr>
          <w:rFonts w:ascii="Times New Roman" w:hAnsi="Times New Roman" w:cs="Times New Roman"/>
          <w:sz w:val="24"/>
          <w:szCs w:val="24"/>
        </w:rPr>
        <w:t>rritories which reveals that a “</w:t>
      </w:r>
      <w:r w:rsidRPr="00DD6763">
        <w:rPr>
          <w:rFonts w:ascii="Times New Roman" w:hAnsi="Times New Roman" w:cs="Times New Roman"/>
          <w:sz w:val="24"/>
          <w:szCs w:val="24"/>
        </w:rPr>
        <w:t>trend has become even more significant in respect of indigenous peoples in view of their special cultura</w:t>
      </w:r>
      <w:r w:rsidR="0029686C" w:rsidRPr="00DD6763">
        <w:rPr>
          <w:rFonts w:ascii="Times New Roman" w:hAnsi="Times New Roman" w:cs="Times New Roman"/>
          <w:sz w:val="24"/>
          <w:szCs w:val="24"/>
        </w:rPr>
        <w:t>l attachment to ancestral lands”</w:t>
      </w:r>
      <w:r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53"/>
      </w:r>
      <w:r w:rsidR="00F846E0" w:rsidRPr="00DD6763">
        <w:rPr>
          <w:rFonts w:ascii="Times New Roman" w:hAnsi="Times New Roman" w:cs="Times New Roman"/>
          <w:sz w:val="24"/>
          <w:szCs w:val="24"/>
        </w:rPr>
        <w:t xml:space="preserve"> </w:t>
      </w:r>
      <w:proofErr w:type="spellStart"/>
      <w:r w:rsidR="0029686C" w:rsidRPr="00DD6763">
        <w:rPr>
          <w:rFonts w:ascii="Times New Roman" w:hAnsi="Times New Roman" w:cs="Times New Roman"/>
          <w:sz w:val="24"/>
          <w:szCs w:val="24"/>
        </w:rPr>
        <w:t>Dupuy</w:t>
      </w:r>
      <w:proofErr w:type="spellEnd"/>
      <w:r w:rsidR="0029686C" w:rsidRPr="00DD6763">
        <w:rPr>
          <w:rFonts w:ascii="Times New Roman" w:hAnsi="Times New Roman" w:cs="Times New Roman"/>
          <w:sz w:val="24"/>
          <w:szCs w:val="24"/>
        </w:rPr>
        <w:t xml:space="preserve"> and </w:t>
      </w:r>
      <w:r w:rsidR="00F846E0" w:rsidRPr="00DD6763">
        <w:rPr>
          <w:rFonts w:ascii="Times New Roman" w:hAnsi="Times New Roman" w:cs="Times New Roman"/>
          <w:sz w:val="24"/>
          <w:szCs w:val="24"/>
        </w:rPr>
        <w:t>Vi</w:t>
      </w:r>
      <w:r w:rsidR="00F846E0" w:rsidRPr="00DD6763">
        <w:rPr>
          <w:rFonts w:ascii="Times New Roman" w:hAnsi="Times New Roman" w:cs="Times New Roman"/>
        </w:rPr>
        <w:t>ñ</w:t>
      </w:r>
      <w:r w:rsidRPr="00DD6763">
        <w:rPr>
          <w:rFonts w:ascii="Times New Roman" w:hAnsi="Times New Roman" w:cs="Times New Roman"/>
          <w:sz w:val="24"/>
          <w:szCs w:val="24"/>
        </w:rPr>
        <w:t xml:space="preserve">uales </w:t>
      </w:r>
      <w:r w:rsidR="0029686C" w:rsidRPr="00DD6763">
        <w:rPr>
          <w:rFonts w:ascii="Times New Roman" w:hAnsi="Times New Roman" w:cs="Times New Roman"/>
          <w:sz w:val="24"/>
          <w:szCs w:val="24"/>
        </w:rPr>
        <w:t>point</w:t>
      </w:r>
      <w:r w:rsidRPr="00DD6763">
        <w:rPr>
          <w:rFonts w:ascii="Times New Roman" w:hAnsi="Times New Roman" w:cs="Times New Roman"/>
          <w:sz w:val="24"/>
          <w:szCs w:val="24"/>
        </w:rPr>
        <w:t xml:space="preserve"> out that under IEL indigeno</w:t>
      </w:r>
      <w:r w:rsidR="0029686C" w:rsidRPr="00DD6763">
        <w:rPr>
          <w:rFonts w:ascii="Times New Roman" w:hAnsi="Times New Roman" w:cs="Times New Roman"/>
          <w:sz w:val="24"/>
          <w:szCs w:val="24"/>
        </w:rPr>
        <w:t>us peoples a variation of FPIC “</w:t>
      </w:r>
      <w:r w:rsidRPr="00DD6763">
        <w:rPr>
          <w:rFonts w:ascii="Times New Roman" w:hAnsi="Times New Roman" w:cs="Times New Roman"/>
          <w:sz w:val="24"/>
          <w:szCs w:val="24"/>
        </w:rPr>
        <w:t>app</w:t>
      </w:r>
      <w:r w:rsidR="0029686C" w:rsidRPr="00DD6763">
        <w:rPr>
          <w:rFonts w:ascii="Times New Roman" w:hAnsi="Times New Roman" w:cs="Times New Roman"/>
          <w:sz w:val="24"/>
          <w:szCs w:val="24"/>
        </w:rPr>
        <w:t>ears in the biodiversity regime” as it requires “</w:t>
      </w:r>
      <w:r w:rsidRPr="00DD6763">
        <w:rPr>
          <w:rFonts w:ascii="Times New Roman" w:hAnsi="Times New Roman" w:cs="Times New Roman"/>
          <w:sz w:val="24"/>
          <w:szCs w:val="24"/>
        </w:rPr>
        <w:t>approval as a condition for the utilisation of i</w:t>
      </w:r>
      <w:r w:rsidR="0029686C" w:rsidRPr="00DD6763">
        <w:rPr>
          <w:rFonts w:ascii="Times New Roman" w:hAnsi="Times New Roman" w:cs="Times New Roman"/>
          <w:sz w:val="24"/>
          <w:szCs w:val="24"/>
        </w:rPr>
        <w:t>ndigenous traditional knowledge”</w:t>
      </w:r>
      <w:r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54"/>
      </w:r>
      <w:r w:rsidRPr="00DD6763">
        <w:rPr>
          <w:rFonts w:ascii="Times New Roman" w:hAnsi="Times New Roman" w:cs="Times New Roman"/>
          <w:sz w:val="24"/>
          <w:szCs w:val="24"/>
        </w:rPr>
        <w:t xml:space="preserve"> </w:t>
      </w:r>
    </w:p>
    <w:p w14:paraId="40E65E97" w14:textId="77777777" w:rsidR="002668CA" w:rsidRPr="00DD6763" w:rsidRDefault="002668CA"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lastRenderedPageBreak/>
        <w:t>Environmental conflicts are often associated with non-compliance with FPIC. Indeed, various contentious cases have demonstrated the difficulties faced in the implementation of FPIC. Extractive industries constitute an area of potential conflict, where it is difficult to prevent harmful environmental effects to indigenous communities.</w:t>
      </w:r>
      <w:r w:rsidRPr="00DD6763">
        <w:rPr>
          <w:rStyle w:val="FootnoteReference"/>
          <w:rFonts w:ascii="Times New Roman" w:hAnsi="Times New Roman" w:cs="Times New Roman"/>
          <w:sz w:val="24"/>
          <w:szCs w:val="24"/>
        </w:rPr>
        <w:footnoteReference w:id="55"/>
      </w:r>
      <w:r w:rsidRPr="00DD6763">
        <w:rPr>
          <w:rFonts w:ascii="Times New Roman" w:hAnsi="Times New Roman" w:cs="Times New Roman"/>
          <w:sz w:val="24"/>
          <w:szCs w:val="24"/>
        </w:rPr>
        <w:t xml:space="preserve"> </w:t>
      </w:r>
    </w:p>
    <w:p w14:paraId="60C79A06" w14:textId="77777777" w:rsidR="002668CA" w:rsidRPr="00DD6763" w:rsidRDefault="002668CA"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Both the principle of sustainable development and FPIC may play a significant role in the protection of indigenous rights, helping to prevent environmental harm to indigenous communities.</w:t>
      </w:r>
      <w:r w:rsidRPr="00DD6763">
        <w:rPr>
          <w:rStyle w:val="FootnoteReference"/>
          <w:rFonts w:ascii="Times New Roman" w:hAnsi="Times New Roman" w:cs="Times New Roman"/>
          <w:sz w:val="24"/>
          <w:szCs w:val="24"/>
        </w:rPr>
        <w:footnoteReference w:id="56"/>
      </w:r>
      <w:r w:rsidRPr="00DD6763">
        <w:rPr>
          <w:rFonts w:ascii="Times New Roman" w:hAnsi="Times New Roman" w:cs="Times New Roman"/>
          <w:sz w:val="24"/>
          <w:szCs w:val="24"/>
        </w:rPr>
        <w:t xml:space="preserve"> At the same time, FPIC highlights the need for at least a minimum condition of a mechanism for indigenous peoples to participate in processes involving questions where their interests are directly affected (such as development projects), and in environmental decision-making, which is articulated in different ways.</w:t>
      </w:r>
      <w:r w:rsidRPr="00DD6763">
        <w:rPr>
          <w:rStyle w:val="FootnoteReference"/>
          <w:rFonts w:ascii="Times New Roman" w:hAnsi="Times New Roman" w:cs="Times New Roman"/>
          <w:sz w:val="24"/>
          <w:szCs w:val="24"/>
        </w:rPr>
        <w:footnoteReference w:id="57"/>
      </w:r>
      <w:r w:rsidRPr="00DD6763">
        <w:rPr>
          <w:rFonts w:ascii="Times New Roman" w:hAnsi="Times New Roman" w:cs="Times New Roman"/>
          <w:sz w:val="24"/>
          <w:szCs w:val="24"/>
        </w:rPr>
        <w:t xml:space="preserve"> The Cartagena Protocol on Biosafety (2000) does not institute a fully-realised FPIC but it does draw upon a softer formulation based on consultation as a mechanism to channel the participation of indigenous peoples in matters that directly affect them; such as the transboundary movement, transit, handling, and use of all living organisms and to block potentially harmful activities.</w:t>
      </w:r>
      <w:r w:rsidRPr="00DD6763">
        <w:rPr>
          <w:rStyle w:val="FootnoteReference"/>
          <w:rFonts w:ascii="Times New Roman" w:hAnsi="Times New Roman" w:cs="Times New Roman"/>
          <w:sz w:val="24"/>
          <w:szCs w:val="24"/>
        </w:rPr>
        <w:footnoteReference w:id="58"/>
      </w:r>
    </w:p>
    <w:p w14:paraId="646CC9D8" w14:textId="77777777" w:rsidR="002668CA" w:rsidRPr="00DD6763" w:rsidRDefault="002668CA"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An added difficulty arises in the implementation of norms, as there is often a confusion between the practice of carrying out an EIA on the part of the state and the guarantee of the effective exercise of FPIC. There is a widely held position amongst states when confronted with FPIC that argues that an EIA counts as consultation, even if legally these are two different procedures. The EIA is conducted by the state and it should include the participation of affected individuals and groups. However, this is not equivalent to consultation aimed at obtaining consent. A strategy that would enable parties to disentangle this confusion would be to stress the separation between the EIA and the exercise of FPIC during the procedure of authorisation of a specific project. </w:t>
      </w:r>
    </w:p>
    <w:p w14:paraId="365E7027" w14:textId="7804BA28" w:rsidR="002668CA" w:rsidRPr="00DD6763" w:rsidRDefault="002668CA"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Another crucial aspect concerns environmental justice, understood as the access to a fair process of law and comprising </w:t>
      </w:r>
      <w:r w:rsidRPr="00DD6763">
        <w:rPr>
          <w:rFonts w:ascii="Times" w:hAnsi="Times" w:cs="Times"/>
          <w:sz w:val="24"/>
          <w:szCs w:val="24"/>
        </w:rPr>
        <w:t xml:space="preserve">a transnational dimension provided by environmental protection laws. </w:t>
      </w:r>
      <w:r w:rsidRPr="00DD6763">
        <w:rPr>
          <w:rFonts w:ascii="Times New Roman" w:hAnsi="Times New Roman" w:cs="Times New Roman"/>
          <w:sz w:val="24"/>
          <w:szCs w:val="24"/>
        </w:rPr>
        <w:t>This requires an exhaustive prior monitoring of the project through an appropriate EIA, an informed and non-coercive FPIC process and the granting by the State of procedural rights. International litigation is scattered and often takes place before various international bodies. Relevant case law on FPIC has mainly emanated from international human rights bodies, but also from investment tribunals. What is needed for development projects is a body or institution providing expert oversight across the various hard and soft areas of law that may - at differing times - govern this decision-making.</w:t>
      </w:r>
    </w:p>
    <w:p w14:paraId="1972F72B" w14:textId="5FFAE76A" w:rsidR="005153DE" w:rsidRPr="00DD6763" w:rsidRDefault="00B974D8"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Yet another relevant source of law in this field is the nascent law concerning corporate social responsibility</w:t>
      </w:r>
      <w:r w:rsidR="00352D51" w:rsidRPr="00DD6763">
        <w:rPr>
          <w:rFonts w:ascii="Times New Roman" w:hAnsi="Times New Roman" w:cs="Times New Roman"/>
          <w:sz w:val="24"/>
          <w:szCs w:val="24"/>
        </w:rPr>
        <w:t xml:space="preserve"> (</w:t>
      </w:r>
      <w:r w:rsidR="0039236D" w:rsidRPr="00DD6763">
        <w:rPr>
          <w:rFonts w:ascii="Times New Roman" w:hAnsi="Times New Roman" w:cs="Times New Roman"/>
          <w:sz w:val="24"/>
          <w:szCs w:val="24"/>
        </w:rPr>
        <w:t>L</w:t>
      </w:r>
      <w:r w:rsidR="00352D51" w:rsidRPr="00DD6763">
        <w:rPr>
          <w:rFonts w:ascii="Times New Roman" w:hAnsi="Times New Roman" w:cs="Times New Roman"/>
          <w:sz w:val="24"/>
          <w:szCs w:val="24"/>
        </w:rPr>
        <w:t>CSR)</w:t>
      </w:r>
      <w:r w:rsidRPr="00DD6763">
        <w:rPr>
          <w:rFonts w:ascii="Times New Roman" w:hAnsi="Times New Roman" w:cs="Times New Roman"/>
          <w:sz w:val="24"/>
          <w:szCs w:val="24"/>
        </w:rPr>
        <w:t>.</w:t>
      </w:r>
      <w:r w:rsidR="00EA6613" w:rsidRPr="00DD6763">
        <w:rPr>
          <w:rStyle w:val="FootnoteReference"/>
          <w:rFonts w:ascii="Times New Roman" w:hAnsi="Times New Roman" w:cs="Times New Roman"/>
          <w:sz w:val="24"/>
          <w:szCs w:val="24"/>
        </w:rPr>
        <w:t xml:space="preserve"> </w:t>
      </w:r>
      <w:r w:rsidR="00EA6613" w:rsidRPr="00DD6763">
        <w:rPr>
          <w:rStyle w:val="FootnoteReference"/>
          <w:rFonts w:ascii="Times New Roman" w:hAnsi="Times New Roman" w:cs="Times New Roman"/>
          <w:sz w:val="24"/>
          <w:szCs w:val="24"/>
        </w:rPr>
        <w:footnoteReference w:id="59"/>
      </w:r>
      <w:r w:rsidR="00EA6613"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 </w:t>
      </w:r>
      <w:r w:rsidR="00223CDB" w:rsidRPr="00DD6763">
        <w:rPr>
          <w:rFonts w:ascii="Times New Roman" w:hAnsi="Times New Roman" w:cs="Times New Roman"/>
          <w:sz w:val="24"/>
          <w:szCs w:val="24"/>
        </w:rPr>
        <w:t xml:space="preserve">One of the peculiarities of the current </w:t>
      </w:r>
      <w:r w:rsidRPr="00DD6763">
        <w:rPr>
          <w:rFonts w:ascii="Times New Roman" w:hAnsi="Times New Roman" w:cs="Times New Roman"/>
          <w:sz w:val="24"/>
          <w:szCs w:val="24"/>
        </w:rPr>
        <w:t xml:space="preserve">context </w:t>
      </w:r>
      <w:r w:rsidR="00223CDB" w:rsidRPr="00DD6763">
        <w:rPr>
          <w:rFonts w:ascii="Times New Roman" w:hAnsi="Times New Roman" w:cs="Times New Roman"/>
          <w:sz w:val="24"/>
          <w:szCs w:val="24"/>
        </w:rPr>
        <w:t xml:space="preserve">is the </w:t>
      </w:r>
      <w:r w:rsidR="004A32EA" w:rsidRPr="00DD6763">
        <w:rPr>
          <w:rFonts w:ascii="Times New Roman" w:hAnsi="Times New Roman" w:cs="Times New Roman"/>
          <w:sz w:val="24"/>
          <w:szCs w:val="24"/>
        </w:rPr>
        <w:t xml:space="preserve">long-established and </w:t>
      </w:r>
      <w:r w:rsidR="00223CDB" w:rsidRPr="00DD6763">
        <w:rPr>
          <w:rFonts w:ascii="Times New Roman" w:hAnsi="Times New Roman" w:cs="Times New Roman"/>
          <w:sz w:val="24"/>
          <w:szCs w:val="24"/>
        </w:rPr>
        <w:t>increasing</w:t>
      </w:r>
      <w:r w:rsidR="004A32EA" w:rsidRPr="00DD6763">
        <w:rPr>
          <w:rFonts w:ascii="Times New Roman" w:hAnsi="Times New Roman" w:cs="Times New Roman"/>
          <w:sz w:val="24"/>
          <w:szCs w:val="24"/>
        </w:rPr>
        <w:t>ly dominant</w:t>
      </w:r>
      <w:r w:rsidR="00223CDB" w:rsidRPr="00DD6763">
        <w:rPr>
          <w:rFonts w:ascii="Times New Roman" w:hAnsi="Times New Roman" w:cs="Times New Roman"/>
          <w:sz w:val="24"/>
          <w:szCs w:val="24"/>
        </w:rPr>
        <w:t xml:space="preserve"> role of corporations</w:t>
      </w:r>
      <w:r w:rsidR="0091747B" w:rsidRPr="00DD6763">
        <w:rPr>
          <w:rFonts w:ascii="Times New Roman" w:hAnsi="Times New Roman" w:cs="Times New Roman"/>
          <w:sz w:val="24"/>
          <w:szCs w:val="24"/>
        </w:rPr>
        <w:t xml:space="preserve"> in </w:t>
      </w:r>
      <w:r w:rsidR="00752F69" w:rsidRPr="00DD6763">
        <w:rPr>
          <w:rFonts w:ascii="Times New Roman" w:hAnsi="Times New Roman" w:cs="Times New Roman"/>
          <w:sz w:val="24"/>
          <w:szCs w:val="24"/>
        </w:rPr>
        <w:t xml:space="preserve">international </w:t>
      </w:r>
      <w:r w:rsidR="005153DE" w:rsidRPr="00DD6763">
        <w:rPr>
          <w:rFonts w:ascii="Times New Roman" w:hAnsi="Times New Roman" w:cs="Times New Roman"/>
          <w:sz w:val="24"/>
          <w:szCs w:val="24"/>
        </w:rPr>
        <w:t xml:space="preserve">trade and </w:t>
      </w:r>
      <w:r w:rsidR="0091747B" w:rsidRPr="00DD6763">
        <w:rPr>
          <w:rFonts w:ascii="Times New Roman" w:hAnsi="Times New Roman" w:cs="Times New Roman"/>
          <w:sz w:val="24"/>
          <w:szCs w:val="24"/>
        </w:rPr>
        <w:lastRenderedPageBreak/>
        <w:t>investment</w:t>
      </w:r>
      <w:r w:rsidR="00223CDB" w:rsidRPr="00DD6763">
        <w:rPr>
          <w:rFonts w:ascii="Times New Roman" w:hAnsi="Times New Roman" w:cs="Times New Roman"/>
          <w:sz w:val="24"/>
          <w:szCs w:val="24"/>
        </w:rPr>
        <w:t>. The problems are acute where multinational corporations operate in the developing world and</w:t>
      </w:r>
      <w:r w:rsidR="0073329F" w:rsidRPr="00DD6763">
        <w:rPr>
          <w:rFonts w:ascii="Times New Roman" w:hAnsi="Times New Roman" w:cs="Times New Roman"/>
          <w:sz w:val="24"/>
          <w:szCs w:val="24"/>
        </w:rPr>
        <w:t>, as Lea reports,</w:t>
      </w:r>
      <w:r w:rsidR="00223CDB" w:rsidRPr="00DD6763">
        <w:rPr>
          <w:rFonts w:ascii="Times New Roman" w:hAnsi="Times New Roman" w:cs="Times New Roman"/>
          <w:sz w:val="24"/>
          <w:szCs w:val="24"/>
        </w:rPr>
        <w:t xml:space="preserve"> are faced with group self-determination and customary land tenure and communal </w:t>
      </w:r>
      <w:r w:rsidR="0073329F" w:rsidRPr="00DD6763">
        <w:rPr>
          <w:rFonts w:ascii="Times New Roman" w:hAnsi="Times New Roman" w:cs="Times New Roman"/>
          <w:sz w:val="24"/>
          <w:szCs w:val="24"/>
        </w:rPr>
        <w:t>holdings, which</w:t>
      </w:r>
      <w:r w:rsidR="00223CDB" w:rsidRPr="00DD6763">
        <w:rPr>
          <w:rFonts w:ascii="Times New Roman" w:hAnsi="Times New Roman" w:cs="Times New Roman"/>
          <w:sz w:val="24"/>
          <w:szCs w:val="24"/>
        </w:rPr>
        <w:t xml:space="preserve"> could create tensions between </w:t>
      </w:r>
      <w:r w:rsidR="007211AB" w:rsidRPr="00DD6763">
        <w:rPr>
          <w:rFonts w:ascii="Times New Roman" w:hAnsi="Times New Roman" w:cs="Times New Roman"/>
          <w:sz w:val="24"/>
          <w:szCs w:val="24"/>
        </w:rPr>
        <w:t xml:space="preserve">the different </w:t>
      </w:r>
      <w:r w:rsidR="0073329F" w:rsidRPr="00DD6763">
        <w:rPr>
          <w:rFonts w:ascii="Times New Roman" w:hAnsi="Times New Roman" w:cs="Times New Roman"/>
          <w:sz w:val="24"/>
          <w:szCs w:val="24"/>
        </w:rPr>
        <w:t>stakes</w:t>
      </w:r>
      <w:r w:rsidR="00223CDB" w:rsidRPr="00DD6763">
        <w:rPr>
          <w:rFonts w:ascii="Times New Roman" w:hAnsi="Times New Roman" w:cs="Times New Roman"/>
          <w:sz w:val="24"/>
          <w:szCs w:val="24"/>
        </w:rPr>
        <w:t>.</w:t>
      </w:r>
      <w:r w:rsidR="007211AB" w:rsidRPr="00DD6763">
        <w:rPr>
          <w:rStyle w:val="FootnoteReference"/>
          <w:rFonts w:ascii="Times New Roman" w:hAnsi="Times New Roman" w:cs="Times New Roman"/>
          <w:sz w:val="24"/>
          <w:szCs w:val="24"/>
        </w:rPr>
        <w:footnoteReference w:id="60"/>
      </w:r>
      <w:r w:rsidR="00223CDB" w:rsidRPr="00DD6763">
        <w:rPr>
          <w:rFonts w:ascii="Times New Roman" w:hAnsi="Times New Roman" w:cs="Times New Roman"/>
          <w:sz w:val="24"/>
          <w:szCs w:val="24"/>
        </w:rPr>
        <w:t xml:space="preserve"> </w:t>
      </w:r>
    </w:p>
    <w:p w14:paraId="33EC14CF" w14:textId="4A90A00D" w:rsidR="0070588B" w:rsidRPr="00DD6763" w:rsidRDefault="00352D51"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Another pervasive question regards the responsibility and liability of non-state actors (namely corporations) vis-à-vis the implementation of FPIC. The</w:t>
      </w:r>
      <w:r w:rsidR="005153DE" w:rsidRPr="00DD6763">
        <w:rPr>
          <w:rFonts w:ascii="Times New Roman" w:hAnsi="Times New Roman" w:cs="Times New Roman"/>
          <w:sz w:val="24"/>
          <w:szCs w:val="24"/>
        </w:rPr>
        <w:t xml:space="preserve"> international law framework concerning </w:t>
      </w:r>
      <w:r w:rsidR="0039236D" w:rsidRPr="00DD6763">
        <w:rPr>
          <w:rFonts w:ascii="Times New Roman" w:hAnsi="Times New Roman" w:cs="Times New Roman"/>
          <w:sz w:val="24"/>
          <w:szCs w:val="24"/>
        </w:rPr>
        <w:t>L</w:t>
      </w:r>
      <w:r w:rsidR="003B2A32" w:rsidRPr="00DD6763">
        <w:rPr>
          <w:rFonts w:ascii="Times New Roman" w:hAnsi="Times New Roman" w:cs="Times New Roman"/>
          <w:sz w:val="24"/>
          <w:szCs w:val="24"/>
        </w:rPr>
        <w:t xml:space="preserve">CSR </w:t>
      </w:r>
      <w:r w:rsidR="005153DE" w:rsidRPr="00DD6763">
        <w:rPr>
          <w:rFonts w:ascii="Times New Roman" w:hAnsi="Times New Roman" w:cs="Times New Roman"/>
          <w:sz w:val="24"/>
          <w:szCs w:val="24"/>
        </w:rPr>
        <w:t>is still embryonic, consisting</w:t>
      </w:r>
      <w:r w:rsidR="004A32EA" w:rsidRPr="00DD6763">
        <w:rPr>
          <w:rFonts w:ascii="Times New Roman" w:hAnsi="Times New Roman" w:cs="Times New Roman"/>
          <w:sz w:val="24"/>
          <w:szCs w:val="24"/>
        </w:rPr>
        <w:t xml:space="preserve"> </w:t>
      </w:r>
      <w:r w:rsidR="0070588B" w:rsidRPr="00DD6763">
        <w:rPr>
          <w:rFonts w:ascii="Times New Roman" w:hAnsi="Times New Roman" w:cs="Times New Roman"/>
          <w:sz w:val="24"/>
          <w:szCs w:val="24"/>
        </w:rPr>
        <w:t>of several norms namely</w:t>
      </w:r>
      <w:r w:rsidR="005153DE" w:rsidRPr="00DD6763">
        <w:rPr>
          <w:rFonts w:ascii="Times New Roman" w:hAnsi="Times New Roman" w:cs="Times New Roman"/>
          <w:sz w:val="24"/>
          <w:szCs w:val="24"/>
        </w:rPr>
        <w:t xml:space="preserve"> the </w:t>
      </w:r>
      <w:proofErr w:type="spellStart"/>
      <w:r w:rsidR="005153DE" w:rsidRPr="00DD6763">
        <w:rPr>
          <w:rFonts w:ascii="Times New Roman" w:hAnsi="Times New Roman" w:cs="Times New Roman"/>
          <w:sz w:val="24"/>
          <w:szCs w:val="24"/>
        </w:rPr>
        <w:t>Ruggie</w:t>
      </w:r>
      <w:proofErr w:type="spellEnd"/>
      <w:r w:rsidR="005153DE" w:rsidRPr="00DD6763">
        <w:rPr>
          <w:rFonts w:ascii="Times New Roman" w:hAnsi="Times New Roman" w:cs="Times New Roman"/>
          <w:sz w:val="24"/>
          <w:szCs w:val="24"/>
        </w:rPr>
        <w:t xml:space="preserve"> Principles and the OECD Guidelines on Multinational Businesses</w:t>
      </w:r>
      <w:r w:rsidR="004A32EA" w:rsidRPr="00DD6763">
        <w:rPr>
          <w:rFonts w:ascii="Times New Roman" w:hAnsi="Times New Roman" w:cs="Times New Roman"/>
          <w:sz w:val="24"/>
          <w:szCs w:val="24"/>
        </w:rPr>
        <w:t xml:space="preserve">, although there </w:t>
      </w:r>
      <w:r w:rsidR="00ED12B0" w:rsidRPr="00DD6763">
        <w:rPr>
          <w:rFonts w:ascii="Times New Roman" w:hAnsi="Times New Roman" w:cs="Times New Roman"/>
          <w:sz w:val="24"/>
          <w:szCs w:val="24"/>
        </w:rPr>
        <w:t>is a myriad of</w:t>
      </w:r>
      <w:r w:rsidR="003B2A32" w:rsidRPr="00DD6763">
        <w:rPr>
          <w:rFonts w:ascii="Times New Roman" w:hAnsi="Times New Roman" w:cs="Times New Roman"/>
          <w:sz w:val="24"/>
          <w:szCs w:val="24"/>
        </w:rPr>
        <w:t xml:space="preserve"> </w:t>
      </w:r>
      <w:r w:rsidR="0073329F" w:rsidRPr="00DD6763">
        <w:rPr>
          <w:rFonts w:ascii="Times New Roman" w:hAnsi="Times New Roman" w:cs="Times New Roman"/>
          <w:sz w:val="24"/>
          <w:szCs w:val="24"/>
        </w:rPr>
        <w:t>several</w:t>
      </w:r>
      <w:r w:rsidR="003B2A32" w:rsidRPr="00DD6763">
        <w:rPr>
          <w:rFonts w:ascii="Times New Roman" w:hAnsi="Times New Roman" w:cs="Times New Roman"/>
          <w:sz w:val="24"/>
          <w:szCs w:val="24"/>
        </w:rPr>
        <w:t xml:space="preserve"> instruments</w:t>
      </w:r>
      <w:r w:rsidR="0073329F" w:rsidRPr="00DD6763">
        <w:rPr>
          <w:rFonts w:ascii="Times New Roman" w:hAnsi="Times New Roman" w:cs="Times New Roman"/>
          <w:sz w:val="24"/>
          <w:szCs w:val="24"/>
        </w:rPr>
        <w:t xml:space="preserve"> all anchored in </w:t>
      </w:r>
      <w:r w:rsidR="004D513B" w:rsidRPr="00DD6763">
        <w:rPr>
          <w:rFonts w:ascii="Times New Roman" w:hAnsi="Times New Roman" w:cs="Times New Roman"/>
          <w:sz w:val="24"/>
          <w:szCs w:val="24"/>
        </w:rPr>
        <w:t>IHRL</w:t>
      </w:r>
      <w:r w:rsidR="005153DE" w:rsidRPr="00DD6763">
        <w:rPr>
          <w:rFonts w:ascii="Times New Roman" w:hAnsi="Times New Roman" w:cs="Times New Roman"/>
          <w:sz w:val="24"/>
          <w:szCs w:val="24"/>
        </w:rPr>
        <w:t>.</w:t>
      </w:r>
      <w:r w:rsidR="00DF6E1A" w:rsidRPr="00DD6763">
        <w:rPr>
          <w:rStyle w:val="FootnoteReference"/>
          <w:rFonts w:ascii="Times New Roman" w:hAnsi="Times New Roman" w:cs="Times New Roman"/>
          <w:sz w:val="24"/>
          <w:szCs w:val="24"/>
        </w:rPr>
        <w:footnoteReference w:id="61"/>
      </w:r>
      <w:r w:rsidR="005153DE" w:rsidRPr="00DD6763">
        <w:rPr>
          <w:rFonts w:ascii="Times New Roman" w:hAnsi="Times New Roman" w:cs="Times New Roman"/>
          <w:sz w:val="24"/>
          <w:szCs w:val="24"/>
        </w:rPr>
        <w:t xml:space="preserve"> Although proposals for the adoption of a treaty </w:t>
      </w:r>
      <w:r w:rsidR="0070588B" w:rsidRPr="00DD6763">
        <w:rPr>
          <w:rFonts w:ascii="Times New Roman" w:hAnsi="Times New Roman" w:cs="Times New Roman"/>
          <w:sz w:val="24"/>
          <w:szCs w:val="24"/>
        </w:rPr>
        <w:t>have made considerable progress</w:t>
      </w:r>
      <w:r w:rsidR="005153DE" w:rsidRPr="00DD6763">
        <w:rPr>
          <w:rFonts w:ascii="Times New Roman" w:hAnsi="Times New Roman" w:cs="Times New Roman"/>
          <w:sz w:val="24"/>
          <w:szCs w:val="24"/>
        </w:rPr>
        <w:t xml:space="preserve">, </w:t>
      </w:r>
      <w:r w:rsidR="0070588B" w:rsidRPr="00DD6763">
        <w:rPr>
          <w:rFonts w:ascii="Times New Roman" w:hAnsi="Times New Roman" w:cs="Times New Roman"/>
          <w:sz w:val="24"/>
          <w:szCs w:val="24"/>
        </w:rPr>
        <w:t xml:space="preserve">up to the present </w:t>
      </w:r>
      <w:r w:rsidR="005153DE" w:rsidRPr="00DD6763">
        <w:rPr>
          <w:rFonts w:ascii="Times New Roman" w:hAnsi="Times New Roman" w:cs="Times New Roman"/>
          <w:sz w:val="24"/>
          <w:szCs w:val="24"/>
        </w:rPr>
        <w:t xml:space="preserve">the applicable law is </w:t>
      </w:r>
      <w:r w:rsidR="0073329F" w:rsidRPr="00DD6763">
        <w:rPr>
          <w:rFonts w:ascii="Times New Roman" w:hAnsi="Times New Roman" w:cs="Times New Roman"/>
          <w:sz w:val="24"/>
          <w:szCs w:val="24"/>
        </w:rPr>
        <w:t xml:space="preserve">namely </w:t>
      </w:r>
      <w:r w:rsidR="005153DE" w:rsidRPr="00DD6763">
        <w:rPr>
          <w:rFonts w:ascii="Times New Roman" w:hAnsi="Times New Roman" w:cs="Times New Roman"/>
          <w:sz w:val="24"/>
          <w:szCs w:val="24"/>
        </w:rPr>
        <w:t>of soft law nature.</w:t>
      </w:r>
      <w:r w:rsidR="005153DE" w:rsidRPr="00DD6763">
        <w:rPr>
          <w:rStyle w:val="FootnoteReference"/>
          <w:rFonts w:ascii="Times New Roman" w:hAnsi="Times New Roman" w:cs="Times New Roman"/>
          <w:sz w:val="24"/>
          <w:szCs w:val="24"/>
        </w:rPr>
        <w:footnoteReference w:id="62"/>
      </w:r>
      <w:r w:rsidR="005153DE" w:rsidRPr="00DD6763">
        <w:rPr>
          <w:rFonts w:ascii="Times New Roman" w:hAnsi="Times New Roman" w:cs="Times New Roman"/>
          <w:sz w:val="24"/>
          <w:szCs w:val="24"/>
        </w:rPr>
        <w:t xml:space="preserve"> </w:t>
      </w:r>
    </w:p>
    <w:p w14:paraId="067E436D" w14:textId="77777777" w:rsidR="00C90791" w:rsidRPr="00DD6763" w:rsidRDefault="00223CDB"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A</w:t>
      </w:r>
      <w:r w:rsidR="000F1159" w:rsidRPr="00DD6763">
        <w:rPr>
          <w:rFonts w:ascii="Times New Roman" w:hAnsi="Times New Roman" w:cs="Times New Roman"/>
          <w:sz w:val="24"/>
          <w:szCs w:val="24"/>
        </w:rPr>
        <w:t>gainst this backdrop, the</w:t>
      </w:r>
      <w:r w:rsidR="005153DE"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contentious issue regards the </w:t>
      </w:r>
      <w:r w:rsidR="001859B3" w:rsidRPr="00DD6763">
        <w:rPr>
          <w:rFonts w:ascii="Times New Roman" w:hAnsi="Times New Roman" w:cs="Times New Roman"/>
          <w:sz w:val="24"/>
          <w:szCs w:val="24"/>
        </w:rPr>
        <w:t>responsi</w:t>
      </w:r>
      <w:r w:rsidRPr="00DD6763">
        <w:rPr>
          <w:rFonts w:ascii="Times New Roman" w:hAnsi="Times New Roman" w:cs="Times New Roman"/>
          <w:sz w:val="24"/>
          <w:szCs w:val="24"/>
        </w:rPr>
        <w:t xml:space="preserve">bility </w:t>
      </w:r>
      <w:r w:rsidR="001859B3" w:rsidRPr="00DD6763">
        <w:rPr>
          <w:rFonts w:ascii="Times New Roman" w:hAnsi="Times New Roman" w:cs="Times New Roman"/>
          <w:sz w:val="24"/>
          <w:szCs w:val="24"/>
        </w:rPr>
        <w:t xml:space="preserve">of corporations </w:t>
      </w:r>
      <w:r w:rsidRPr="00DD6763">
        <w:rPr>
          <w:rFonts w:ascii="Times New Roman" w:hAnsi="Times New Roman" w:cs="Times New Roman"/>
          <w:sz w:val="24"/>
          <w:szCs w:val="24"/>
        </w:rPr>
        <w:t xml:space="preserve">to </w:t>
      </w:r>
      <w:r w:rsidR="001859B3" w:rsidRPr="00DD6763">
        <w:rPr>
          <w:rFonts w:ascii="Times New Roman" w:hAnsi="Times New Roman" w:cs="Times New Roman"/>
          <w:sz w:val="24"/>
          <w:szCs w:val="24"/>
        </w:rPr>
        <w:t>respect FPIC</w:t>
      </w:r>
      <w:r w:rsidRPr="00DD6763">
        <w:rPr>
          <w:rFonts w:ascii="Times New Roman" w:hAnsi="Times New Roman" w:cs="Times New Roman"/>
          <w:sz w:val="24"/>
          <w:szCs w:val="24"/>
        </w:rPr>
        <w:t xml:space="preserve">. States </w:t>
      </w:r>
      <w:r w:rsidR="003776D8" w:rsidRPr="00DD6763">
        <w:rPr>
          <w:rFonts w:ascii="Times New Roman" w:hAnsi="Times New Roman" w:cs="Times New Roman"/>
          <w:sz w:val="24"/>
          <w:szCs w:val="24"/>
        </w:rPr>
        <w:t xml:space="preserve">are </w:t>
      </w:r>
      <w:r w:rsidR="00E22418" w:rsidRPr="00DD6763">
        <w:rPr>
          <w:rFonts w:ascii="Times New Roman" w:hAnsi="Times New Roman" w:cs="Times New Roman"/>
          <w:sz w:val="24"/>
          <w:szCs w:val="24"/>
        </w:rPr>
        <w:t xml:space="preserve">always ultimately responsible for ensuring that </w:t>
      </w:r>
      <w:r w:rsidR="003776D8" w:rsidRPr="00DD6763">
        <w:rPr>
          <w:rFonts w:ascii="Times New Roman" w:hAnsi="Times New Roman" w:cs="Times New Roman"/>
          <w:sz w:val="24"/>
          <w:szCs w:val="24"/>
        </w:rPr>
        <w:t>human rights</w:t>
      </w:r>
      <w:r w:rsidR="00E22418" w:rsidRPr="00DD6763">
        <w:rPr>
          <w:rFonts w:ascii="Times New Roman" w:hAnsi="Times New Roman" w:cs="Times New Roman"/>
          <w:sz w:val="24"/>
          <w:szCs w:val="24"/>
        </w:rPr>
        <w:t xml:space="preserve"> are </w:t>
      </w:r>
      <w:r w:rsidR="003776D8" w:rsidRPr="00DD6763">
        <w:rPr>
          <w:rFonts w:ascii="Times New Roman" w:hAnsi="Times New Roman" w:cs="Times New Roman"/>
          <w:sz w:val="24"/>
          <w:szCs w:val="24"/>
        </w:rPr>
        <w:t>observed</w:t>
      </w:r>
      <w:r w:rsidR="00E22418" w:rsidRPr="00DD6763">
        <w:rPr>
          <w:rFonts w:ascii="Times New Roman" w:hAnsi="Times New Roman" w:cs="Times New Roman"/>
          <w:sz w:val="24"/>
          <w:szCs w:val="24"/>
        </w:rPr>
        <w:t xml:space="preserve"> within th</w:t>
      </w:r>
      <w:r w:rsidR="000F1159" w:rsidRPr="00DD6763">
        <w:rPr>
          <w:rFonts w:ascii="Times New Roman" w:hAnsi="Times New Roman" w:cs="Times New Roman"/>
          <w:sz w:val="24"/>
          <w:szCs w:val="24"/>
        </w:rPr>
        <w:t>eir jurisdiction, including FPIC</w:t>
      </w:r>
      <w:r w:rsidRPr="00DD6763">
        <w:rPr>
          <w:rFonts w:ascii="Times New Roman" w:hAnsi="Times New Roman" w:cs="Times New Roman"/>
          <w:sz w:val="24"/>
          <w:szCs w:val="24"/>
        </w:rPr>
        <w:t>. However, under the framework of accountability of non-state corporate actors</w:t>
      </w:r>
      <w:r w:rsidR="00D802E3" w:rsidRPr="00DD6763">
        <w:rPr>
          <w:rFonts w:ascii="Times New Roman" w:hAnsi="Times New Roman" w:cs="Times New Roman"/>
          <w:sz w:val="24"/>
          <w:szCs w:val="24"/>
        </w:rPr>
        <w:t xml:space="preserve"> to protect, respect and remedy</w:t>
      </w:r>
      <w:r w:rsidR="00B974D8" w:rsidRPr="00DD6763">
        <w:rPr>
          <w:rFonts w:ascii="Times New Roman" w:hAnsi="Times New Roman" w:cs="Times New Roman"/>
          <w:sz w:val="24"/>
          <w:szCs w:val="24"/>
        </w:rPr>
        <w:t>,</w:t>
      </w:r>
      <w:r w:rsidRPr="00DD6763">
        <w:rPr>
          <w:rFonts w:ascii="Times New Roman" w:hAnsi="Times New Roman" w:cs="Times New Roman"/>
          <w:sz w:val="24"/>
          <w:szCs w:val="24"/>
        </w:rPr>
        <w:t xml:space="preserve"> corporations should bear responsibility </w:t>
      </w:r>
      <w:r w:rsidR="0070588B" w:rsidRPr="00DD6763">
        <w:rPr>
          <w:rFonts w:ascii="Times New Roman" w:hAnsi="Times New Roman" w:cs="Times New Roman"/>
          <w:sz w:val="24"/>
          <w:szCs w:val="24"/>
        </w:rPr>
        <w:t xml:space="preserve">to respect </w:t>
      </w:r>
      <w:r w:rsidR="00ED12B0" w:rsidRPr="00DD6763">
        <w:rPr>
          <w:rFonts w:ascii="Times New Roman" w:hAnsi="Times New Roman" w:cs="Times New Roman"/>
          <w:sz w:val="24"/>
          <w:szCs w:val="24"/>
        </w:rPr>
        <w:t>consultation</w:t>
      </w:r>
      <w:r w:rsidR="0070588B" w:rsidRPr="00DD6763">
        <w:rPr>
          <w:rFonts w:ascii="Times New Roman" w:hAnsi="Times New Roman" w:cs="Times New Roman"/>
          <w:sz w:val="24"/>
          <w:szCs w:val="24"/>
        </w:rPr>
        <w:t xml:space="preserve"> and FPIC</w:t>
      </w:r>
      <w:r w:rsidR="00FA18B6" w:rsidRPr="00DD6763">
        <w:rPr>
          <w:rFonts w:ascii="Times New Roman" w:hAnsi="Times New Roman" w:cs="Times New Roman"/>
          <w:sz w:val="24"/>
          <w:szCs w:val="24"/>
        </w:rPr>
        <w:t xml:space="preserve"> </w:t>
      </w:r>
      <w:r w:rsidR="00ED12B0" w:rsidRPr="00DD6763">
        <w:rPr>
          <w:rFonts w:ascii="Times New Roman" w:hAnsi="Times New Roman" w:cs="Times New Roman"/>
          <w:sz w:val="24"/>
          <w:szCs w:val="24"/>
        </w:rPr>
        <w:t>by exercising due diligence</w:t>
      </w:r>
      <w:r w:rsidR="00E22418" w:rsidRPr="00DD6763">
        <w:rPr>
          <w:rFonts w:ascii="Times New Roman" w:hAnsi="Times New Roman" w:cs="Times New Roman"/>
          <w:sz w:val="24"/>
          <w:szCs w:val="24"/>
        </w:rPr>
        <w:t xml:space="preserve"> </w:t>
      </w:r>
      <w:r w:rsidR="0029686C" w:rsidRPr="00DD6763">
        <w:rPr>
          <w:rFonts w:ascii="Times New Roman" w:hAnsi="Times New Roman" w:cs="Times New Roman"/>
          <w:sz w:val="24"/>
          <w:szCs w:val="24"/>
        </w:rPr>
        <w:t>“</w:t>
      </w:r>
      <w:r w:rsidR="00ED12B0" w:rsidRPr="00DD6763">
        <w:rPr>
          <w:rFonts w:ascii="Times New Roman" w:hAnsi="Times New Roman" w:cs="Times New Roman"/>
          <w:sz w:val="24"/>
          <w:szCs w:val="24"/>
        </w:rPr>
        <w:t>so as to avoid becoming complicit in human rights violation</w:t>
      </w:r>
      <w:r w:rsidR="0029686C" w:rsidRPr="00DD6763">
        <w:rPr>
          <w:rFonts w:ascii="Times New Roman" w:hAnsi="Times New Roman" w:cs="Times New Roman"/>
          <w:sz w:val="24"/>
          <w:szCs w:val="24"/>
        </w:rPr>
        <w:t>s committed by host governments”</w:t>
      </w:r>
      <w:r w:rsidR="00ED12B0" w:rsidRPr="00DD6763">
        <w:rPr>
          <w:rFonts w:ascii="Times New Roman" w:hAnsi="Times New Roman" w:cs="Times New Roman"/>
          <w:sz w:val="24"/>
          <w:szCs w:val="24"/>
        </w:rPr>
        <w:t>.</w:t>
      </w:r>
      <w:r w:rsidR="00ED12B0" w:rsidRPr="00DD6763">
        <w:rPr>
          <w:rStyle w:val="FootnoteReference"/>
          <w:rFonts w:ascii="Times New Roman" w:hAnsi="Times New Roman" w:cs="Times New Roman"/>
          <w:sz w:val="24"/>
          <w:szCs w:val="24"/>
        </w:rPr>
        <w:footnoteReference w:id="63"/>
      </w:r>
      <w:r w:rsidR="00ED12B0" w:rsidRPr="00DD6763">
        <w:rPr>
          <w:rFonts w:ascii="Times New Roman" w:hAnsi="Times New Roman" w:cs="Times New Roman"/>
          <w:sz w:val="24"/>
          <w:szCs w:val="24"/>
        </w:rPr>
        <w:t xml:space="preserve"> </w:t>
      </w:r>
      <w:r w:rsidR="0070588B" w:rsidRPr="00DD6763">
        <w:rPr>
          <w:rFonts w:ascii="Times New Roman" w:hAnsi="Times New Roman" w:cs="Times New Roman"/>
          <w:sz w:val="24"/>
          <w:szCs w:val="24"/>
        </w:rPr>
        <w:t>As emphasized by Special Rapporteur Anaya, due diligence in</w:t>
      </w:r>
      <w:r w:rsidR="0029686C" w:rsidRPr="00DD6763">
        <w:rPr>
          <w:rFonts w:ascii="Times New Roman" w:hAnsi="Times New Roman" w:cs="Times New Roman"/>
          <w:sz w:val="24"/>
          <w:szCs w:val="24"/>
        </w:rPr>
        <w:t>cludes “</w:t>
      </w:r>
      <w:r w:rsidR="00ED12B0" w:rsidRPr="00DD6763">
        <w:rPr>
          <w:rFonts w:ascii="Times New Roman" w:hAnsi="Times New Roman" w:cs="Times New Roman"/>
          <w:sz w:val="24"/>
          <w:szCs w:val="24"/>
        </w:rPr>
        <w:t xml:space="preserve">ensuring that corporate </w:t>
      </w:r>
      <w:r w:rsidR="0070588B" w:rsidRPr="00DD6763">
        <w:rPr>
          <w:rFonts w:ascii="Times New Roman" w:hAnsi="Times New Roman" w:cs="Times New Roman"/>
          <w:sz w:val="24"/>
          <w:szCs w:val="24"/>
        </w:rPr>
        <w:t xml:space="preserve">behaviour does not infringe or contribute to the infringement of the rights of indigenous peoples </w:t>
      </w:r>
      <w:r w:rsidR="00D802E3" w:rsidRPr="00DD6763">
        <w:rPr>
          <w:rFonts w:ascii="Times New Roman" w:hAnsi="Times New Roman" w:cs="Times New Roman"/>
          <w:sz w:val="24"/>
          <w:szCs w:val="24"/>
        </w:rPr>
        <w:t>(</w:t>
      </w:r>
      <w:r w:rsidR="0070588B" w:rsidRPr="00DD6763">
        <w:rPr>
          <w:rFonts w:ascii="Times New Roman" w:hAnsi="Times New Roman" w:cs="Times New Roman"/>
          <w:sz w:val="24"/>
          <w:szCs w:val="24"/>
        </w:rPr>
        <w:t>...</w:t>
      </w:r>
      <w:r w:rsidR="00D802E3" w:rsidRPr="00DD6763">
        <w:rPr>
          <w:rFonts w:ascii="Times New Roman" w:hAnsi="Times New Roman" w:cs="Times New Roman"/>
          <w:sz w:val="24"/>
          <w:szCs w:val="24"/>
        </w:rPr>
        <w:t xml:space="preserve">) </w:t>
      </w:r>
      <w:r w:rsidR="0070588B" w:rsidRPr="00DD6763">
        <w:rPr>
          <w:rFonts w:ascii="Times New Roman" w:hAnsi="Times New Roman" w:cs="Times New Roman"/>
          <w:sz w:val="24"/>
          <w:szCs w:val="24"/>
        </w:rPr>
        <w:t>regardless</w:t>
      </w:r>
      <w:r w:rsidR="0029686C" w:rsidRPr="00DD6763">
        <w:rPr>
          <w:rFonts w:ascii="Times New Roman" w:hAnsi="Times New Roman" w:cs="Times New Roman"/>
          <w:sz w:val="24"/>
          <w:szCs w:val="24"/>
        </w:rPr>
        <w:t xml:space="preserve"> of the reach of domestic laws”</w:t>
      </w:r>
      <w:r w:rsidR="00D802E3" w:rsidRPr="00DD6763">
        <w:rPr>
          <w:rFonts w:ascii="Times New Roman" w:hAnsi="Times New Roman" w:cs="Times New Roman"/>
          <w:sz w:val="24"/>
          <w:szCs w:val="24"/>
        </w:rPr>
        <w:t>.</w:t>
      </w:r>
      <w:r w:rsidR="00D802E3" w:rsidRPr="00DD6763">
        <w:rPr>
          <w:rStyle w:val="FootnoteReference"/>
          <w:rFonts w:ascii="Times New Roman" w:hAnsi="Times New Roman" w:cs="Times New Roman"/>
          <w:sz w:val="24"/>
          <w:szCs w:val="24"/>
        </w:rPr>
        <w:footnoteReference w:id="64"/>
      </w:r>
      <w:r w:rsidR="007371B7" w:rsidRPr="00DD6763">
        <w:rPr>
          <w:rFonts w:ascii="Times New Roman" w:hAnsi="Times New Roman" w:cs="Times New Roman"/>
          <w:sz w:val="24"/>
          <w:szCs w:val="24"/>
        </w:rPr>
        <w:t xml:space="preserve"> Corporations shall </w:t>
      </w:r>
      <w:r w:rsidR="0029686C" w:rsidRPr="00DD6763">
        <w:rPr>
          <w:rFonts w:ascii="Times New Roman" w:hAnsi="Times New Roman" w:cs="Times New Roman"/>
          <w:sz w:val="24"/>
          <w:szCs w:val="24"/>
        </w:rPr>
        <w:t>“</w:t>
      </w:r>
      <w:r w:rsidR="007371B7" w:rsidRPr="00DD6763">
        <w:rPr>
          <w:rFonts w:ascii="Times New Roman" w:hAnsi="Times New Roman" w:cs="Times New Roman"/>
          <w:sz w:val="24"/>
          <w:szCs w:val="24"/>
        </w:rPr>
        <w:t>adhere to th</w:t>
      </w:r>
      <w:r w:rsidR="0029686C" w:rsidRPr="00DD6763">
        <w:rPr>
          <w:rFonts w:ascii="Times New Roman" w:hAnsi="Times New Roman" w:cs="Times New Roman"/>
          <w:sz w:val="24"/>
          <w:szCs w:val="24"/>
        </w:rPr>
        <w:t>e principle of gaining consent ‘prior’,</w:t>
      </w:r>
      <w:r w:rsidR="007371B7" w:rsidRPr="00DD6763">
        <w:rPr>
          <w:rFonts w:ascii="Times New Roman" w:hAnsi="Times New Roman" w:cs="Times New Roman"/>
          <w:sz w:val="24"/>
          <w:szCs w:val="24"/>
        </w:rPr>
        <w:t xml:space="preserve"> and seek consent before commencing specified stages of operations</w:t>
      </w:r>
      <w:r w:rsidR="0029686C" w:rsidRPr="00DD6763">
        <w:rPr>
          <w:rFonts w:ascii="Times New Roman" w:hAnsi="Times New Roman" w:cs="Times New Roman"/>
          <w:sz w:val="24"/>
          <w:szCs w:val="24"/>
        </w:rPr>
        <w:t>”</w:t>
      </w:r>
      <w:r w:rsidR="007371B7" w:rsidRPr="00DD6763">
        <w:rPr>
          <w:rFonts w:ascii="Times New Roman" w:hAnsi="Times New Roman" w:cs="Times New Roman"/>
          <w:sz w:val="24"/>
          <w:szCs w:val="24"/>
        </w:rPr>
        <w:t>.</w:t>
      </w:r>
      <w:r w:rsidR="00060BCF" w:rsidRPr="00DD6763">
        <w:rPr>
          <w:rStyle w:val="FootnoteReference"/>
          <w:rFonts w:ascii="Times New Roman" w:hAnsi="Times New Roman" w:cs="Times New Roman"/>
          <w:sz w:val="24"/>
          <w:szCs w:val="24"/>
        </w:rPr>
        <w:footnoteReference w:id="65"/>
      </w:r>
      <w:r w:rsidR="002F3F52" w:rsidRPr="00DD6763">
        <w:rPr>
          <w:rFonts w:ascii="Times New Roman" w:hAnsi="Times New Roman" w:cs="Times New Roman"/>
          <w:sz w:val="24"/>
          <w:szCs w:val="24"/>
        </w:rPr>
        <w:t xml:space="preserve"> </w:t>
      </w:r>
      <w:r w:rsidR="00C90791" w:rsidRPr="00DD6763">
        <w:rPr>
          <w:rFonts w:ascii="Times New Roman" w:hAnsi="Times New Roman" w:cs="Times New Roman"/>
          <w:sz w:val="24"/>
          <w:szCs w:val="24"/>
        </w:rPr>
        <w:t xml:space="preserve">  </w:t>
      </w:r>
    </w:p>
    <w:p w14:paraId="357285C7" w14:textId="34ED50CA" w:rsidR="00352D51" w:rsidRPr="00DD6763" w:rsidRDefault="002F3F52"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The UNHRC </w:t>
      </w:r>
      <w:r w:rsidR="002668CA" w:rsidRPr="00DD6763">
        <w:rPr>
          <w:rFonts w:ascii="Times New Roman" w:hAnsi="Times New Roman" w:cs="Times New Roman"/>
          <w:sz w:val="24"/>
          <w:szCs w:val="24"/>
        </w:rPr>
        <w:t>has encouraged the use of the Guiding Principles to promote ‘corporate responsibility to respect human rights in relation to indigenous peoples and business activities in alignment with other relevant standards, including the UNDRIP’.</w:t>
      </w:r>
      <w:r w:rsidR="002668CA" w:rsidRPr="00DD6763">
        <w:rPr>
          <w:rStyle w:val="FootnoteReference"/>
          <w:rFonts w:ascii="Times New Roman" w:hAnsi="Times New Roman" w:cs="Times New Roman"/>
          <w:sz w:val="24"/>
          <w:szCs w:val="24"/>
        </w:rPr>
        <w:footnoteReference w:id="66"/>
      </w:r>
    </w:p>
    <w:p w14:paraId="6E24A51D" w14:textId="67F03C7F" w:rsidR="008104AF" w:rsidRPr="00DD6763" w:rsidRDefault="00A75B65"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In sum, the legal framework concerning </w:t>
      </w:r>
      <w:r w:rsidR="004A32EA" w:rsidRPr="00DD6763">
        <w:rPr>
          <w:rFonts w:ascii="Times New Roman" w:hAnsi="Times New Roman" w:cs="Times New Roman"/>
          <w:sz w:val="24"/>
          <w:szCs w:val="24"/>
        </w:rPr>
        <w:t xml:space="preserve">both </w:t>
      </w:r>
      <w:r w:rsidR="004F4EA6" w:rsidRPr="00DD6763">
        <w:rPr>
          <w:rFonts w:ascii="Times New Roman" w:hAnsi="Times New Roman" w:cs="Times New Roman"/>
          <w:sz w:val="24"/>
          <w:szCs w:val="24"/>
        </w:rPr>
        <w:t>FPIC</w:t>
      </w:r>
      <w:r w:rsidR="0075213D" w:rsidRPr="00DD6763">
        <w:rPr>
          <w:rFonts w:ascii="Times New Roman" w:hAnsi="Times New Roman" w:cs="Times New Roman"/>
          <w:sz w:val="24"/>
          <w:szCs w:val="24"/>
        </w:rPr>
        <w:t xml:space="preserve"> </w:t>
      </w:r>
      <w:r w:rsidR="009F60F1" w:rsidRPr="00DD6763">
        <w:rPr>
          <w:rFonts w:ascii="Times New Roman" w:hAnsi="Times New Roman" w:cs="Times New Roman"/>
          <w:sz w:val="24"/>
          <w:szCs w:val="24"/>
        </w:rPr>
        <w:t xml:space="preserve">and related </w:t>
      </w:r>
      <w:r w:rsidR="004A32EA" w:rsidRPr="00DD6763">
        <w:rPr>
          <w:rFonts w:ascii="Times New Roman" w:hAnsi="Times New Roman" w:cs="Times New Roman"/>
          <w:sz w:val="24"/>
          <w:szCs w:val="24"/>
        </w:rPr>
        <w:t xml:space="preserve">principles </w:t>
      </w:r>
      <w:r w:rsidR="0075213D" w:rsidRPr="00DD6763">
        <w:rPr>
          <w:rFonts w:ascii="Times New Roman" w:hAnsi="Times New Roman" w:cs="Times New Roman"/>
          <w:sz w:val="24"/>
          <w:szCs w:val="24"/>
        </w:rPr>
        <w:t>is fragmented and comprise</w:t>
      </w:r>
      <w:r w:rsidR="004A32EA" w:rsidRPr="00DD6763">
        <w:rPr>
          <w:rFonts w:ascii="Times New Roman" w:hAnsi="Times New Roman" w:cs="Times New Roman"/>
          <w:sz w:val="24"/>
          <w:szCs w:val="24"/>
        </w:rPr>
        <w:t>s</w:t>
      </w:r>
      <w:r w:rsidR="0075213D" w:rsidRPr="00DD6763">
        <w:rPr>
          <w:rFonts w:ascii="Times New Roman" w:hAnsi="Times New Roman" w:cs="Times New Roman"/>
          <w:sz w:val="24"/>
          <w:szCs w:val="24"/>
        </w:rPr>
        <w:t xml:space="preserve"> </w:t>
      </w:r>
      <w:r w:rsidR="004A32EA" w:rsidRPr="00DD6763">
        <w:rPr>
          <w:rFonts w:ascii="Times New Roman" w:hAnsi="Times New Roman" w:cs="Times New Roman"/>
          <w:sz w:val="24"/>
          <w:szCs w:val="24"/>
        </w:rPr>
        <w:t xml:space="preserve">a variety of very </w:t>
      </w:r>
      <w:r w:rsidR="0075213D" w:rsidRPr="00DD6763">
        <w:rPr>
          <w:rFonts w:ascii="Times New Roman" w:hAnsi="Times New Roman" w:cs="Times New Roman"/>
          <w:sz w:val="24"/>
          <w:szCs w:val="24"/>
        </w:rPr>
        <w:t xml:space="preserve">different provisions. At the heart of the discussions, there is the nature of FPIC understood as an independent self-standing legal </w:t>
      </w:r>
      <w:r w:rsidR="004A32EA" w:rsidRPr="00DD6763">
        <w:rPr>
          <w:rFonts w:ascii="Times New Roman" w:hAnsi="Times New Roman" w:cs="Times New Roman"/>
          <w:sz w:val="24"/>
          <w:szCs w:val="24"/>
        </w:rPr>
        <w:t>principle to be applie</w:t>
      </w:r>
      <w:r w:rsidR="000C0415" w:rsidRPr="00DD6763">
        <w:rPr>
          <w:rFonts w:ascii="Times New Roman" w:hAnsi="Times New Roman" w:cs="Times New Roman"/>
          <w:sz w:val="24"/>
          <w:szCs w:val="24"/>
        </w:rPr>
        <w:t>d for the more effective assertion of</w:t>
      </w:r>
      <w:r w:rsidR="004A32EA" w:rsidRPr="00DD6763">
        <w:rPr>
          <w:rFonts w:ascii="Times New Roman" w:hAnsi="Times New Roman" w:cs="Times New Roman"/>
          <w:sz w:val="24"/>
          <w:szCs w:val="24"/>
        </w:rPr>
        <w:t xml:space="preserve"> rights</w:t>
      </w:r>
      <w:r w:rsidR="0075213D" w:rsidRPr="00DD6763">
        <w:rPr>
          <w:rFonts w:ascii="Times New Roman" w:hAnsi="Times New Roman" w:cs="Times New Roman"/>
          <w:sz w:val="24"/>
          <w:szCs w:val="24"/>
        </w:rPr>
        <w:t xml:space="preserve"> </w:t>
      </w:r>
      <w:r w:rsidR="00720A9C" w:rsidRPr="00DD6763">
        <w:rPr>
          <w:rFonts w:ascii="Times New Roman" w:hAnsi="Times New Roman" w:cs="Times New Roman"/>
          <w:sz w:val="24"/>
          <w:szCs w:val="24"/>
        </w:rPr>
        <w:t xml:space="preserve">such as the right to communal property, </w:t>
      </w:r>
      <w:r w:rsidR="0075213D" w:rsidRPr="00DD6763">
        <w:rPr>
          <w:rFonts w:ascii="Times New Roman" w:hAnsi="Times New Roman" w:cs="Times New Roman"/>
          <w:sz w:val="24"/>
          <w:szCs w:val="24"/>
        </w:rPr>
        <w:t>but also as</w:t>
      </w:r>
      <w:r w:rsidR="00E22418" w:rsidRPr="00DD6763">
        <w:rPr>
          <w:rFonts w:ascii="Times New Roman" w:hAnsi="Times New Roman" w:cs="Times New Roman"/>
          <w:sz w:val="24"/>
          <w:szCs w:val="24"/>
        </w:rPr>
        <w:t xml:space="preserve"> </w:t>
      </w:r>
      <w:r w:rsidR="004A32EA" w:rsidRPr="00DD6763">
        <w:rPr>
          <w:rFonts w:ascii="Times New Roman" w:hAnsi="Times New Roman" w:cs="Times New Roman"/>
          <w:sz w:val="24"/>
          <w:szCs w:val="24"/>
        </w:rPr>
        <w:t xml:space="preserve">capable of being elevated to </w:t>
      </w:r>
      <w:r w:rsidR="0075213D" w:rsidRPr="00DD6763">
        <w:rPr>
          <w:rFonts w:ascii="Times New Roman" w:hAnsi="Times New Roman" w:cs="Times New Roman"/>
          <w:sz w:val="24"/>
          <w:szCs w:val="24"/>
        </w:rPr>
        <w:t xml:space="preserve">a </w:t>
      </w:r>
      <w:r w:rsidR="00352D51" w:rsidRPr="00DD6763">
        <w:rPr>
          <w:rFonts w:ascii="Times New Roman" w:hAnsi="Times New Roman" w:cs="Times New Roman"/>
          <w:sz w:val="24"/>
          <w:szCs w:val="24"/>
        </w:rPr>
        <w:t>fully realised</w:t>
      </w:r>
      <w:r w:rsidR="000C0415" w:rsidRPr="00DD6763">
        <w:rPr>
          <w:rFonts w:ascii="Times New Roman" w:hAnsi="Times New Roman" w:cs="Times New Roman"/>
          <w:sz w:val="24"/>
          <w:szCs w:val="24"/>
        </w:rPr>
        <w:t xml:space="preserve"> </w:t>
      </w:r>
      <w:r w:rsidR="004A32EA" w:rsidRPr="00DD6763">
        <w:rPr>
          <w:rFonts w:ascii="Times New Roman" w:hAnsi="Times New Roman" w:cs="Times New Roman"/>
          <w:sz w:val="24"/>
          <w:szCs w:val="24"/>
        </w:rPr>
        <w:t xml:space="preserve">second-order </w:t>
      </w:r>
      <w:r w:rsidR="0075213D" w:rsidRPr="00DD6763">
        <w:rPr>
          <w:rFonts w:ascii="Times New Roman" w:hAnsi="Times New Roman" w:cs="Times New Roman"/>
          <w:sz w:val="24"/>
          <w:szCs w:val="24"/>
        </w:rPr>
        <w:t>human right</w:t>
      </w:r>
      <w:r w:rsidR="00720A9C" w:rsidRPr="00DD6763">
        <w:rPr>
          <w:rFonts w:ascii="Times New Roman" w:hAnsi="Times New Roman" w:cs="Times New Roman"/>
          <w:sz w:val="24"/>
          <w:szCs w:val="24"/>
        </w:rPr>
        <w:t xml:space="preserve"> in itself</w:t>
      </w:r>
      <w:r w:rsidR="0075213D" w:rsidRPr="00DD6763">
        <w:rPr>
          <w:rFonts w:ascii="Times New Roman" w:hAnsi="Times New Roman" w:cs="Times New Roman"/>
          <w:sz w:val="24"/>
          <w:szCs w:val="24"/>
        </w:rPr>
        <w:t xml:space="preserve">. </w:t>
      </w:r>
    </w:p>
    <w:p w14:paraId="0EDF2FAA" w14:textId="09B88A4C" w:rsidR="00D20A43" w:rsidRPr="00DD6763" w:rsidRDefault="00D20A43" w:rsidP="00341A5B">
      <w:pPr>
        <w:spacing w:after="0" w:line="276" w:lineRule="auto"/>
        <w:jc w:val="both"/>
        <w:rPr>
          <w:rFonts w:ascii="Times New Roman" w:hAnsi="Times New Roman" w:cs="Times New Roman"/>
          <w:sz w:val="24"/>
          <w:szCs w:val="24"/>
        </w:rPr>
      </w:pPr>
    </w:p>
    <w:p w14:paraId="079E29A8" w14:textId="77777777" w:rsidR="00DD6763" w:rsidRPr="00DD6763" w:rsidRDefault="00DD6763" w:rsidP="00341A5B">
      <w:pPr>
        <w:spacing w:after="0" w:line="276" w:lineRule="auto"/>
        <w:jc w:val="both"/>
        <w:rPr>
          <w:rFonts w:ascii="Times New Roman" w:hAnsi="Times New Roman" w:cs="Times New Roman"/>
          <w:sz w:val="24"/>
          <w:szCs w:val="24"/>
        </w:rPr>
      </w:pPr>
    </w:p>
    <w:p w14:paraId="2334566A" w14:textId="05F7B1A5" w:rsidR="009122D7" w:rsidRPr="00DD6763" w:rsidRDefault="00CF2F49" w:rsidP="00341A5B">
      <w:pPr>
        <w:spacing w:after="0" w:line="276" w:lineRule="auto"/>
        <w:jc w:val="both"/>
        <w:rPr>
          <w:rFonts w:ascii="Times New Roman" w:hAnsi="Times New Roman" w:cs="Times New Roman"/>
          <w:b/>
          <w:sz w:val="24"/>
          <w:szCs w:val="24"/>
        </w:rPr>
      </w:pPr>
      <w:r w:rsidRPr="00DD6763">
        <w:rPr>
          <w:rFonts w:ascii="Times New Roman" w:hAnsi="Times New Roman" w:cs="Times New Roman"/>
          <w:b/>
          <w:sz w:val="24"/>
          <w:szCs w:val="24"/>
        </w:rPr>
        <w:t>3</w:t>
      </w:r>
      <w:r w:rsidR="00341A5B" w:rsidRPr="00DD6763">
        <w:rPr>
          <w:rFonts w:ascii="Times New Roman" w:hAnsi="Times New Roman" w:cs="Times New Roman"/>
          <w:b/>
          <w:sz w:val="24"/>
          <w:szCs w:val="24"/>
        </w:rPr>
        <w:t xml:space="preserve"> </w:t>
      </w:r>
      <w:r w:rsidR="00A13BE2" w:rsidRPr="00DD6763">
        <w:rPr>
          <w:rFonts w:ascii="Times New Roman" w:hAnsi="Times New Roman" w:cs="Times New Roman"/>
          <w:b/>
          <w:sz w:val="24"/>
          <w:szCs w:val="24"/>
        </w:rPr>
        <w:tab/>
      </w:r>
      <w:r w:rsidR="00350AE4" w:rsidRPr="00DD6763">
        <w:rPr>
          <w:rFonts w:ascii="Times New Roman" w:hAnsi="Times New Roman" w:cs="Times New Roman"/>
          <w:b/>
          <w:sz w:val="24"/>
          <w:szCs w:val="24"/>
        </w:rPr>
        <w:t xml:space="preserve">FPIC in </w:t>
      </w:r>
      <w:r w:rsidR="00A13BE2" w:rsidRPr="00DD6763">
        <w:rPr>
          <w:rFonts w:ascii="Times New Roman" w:hAnsi="Times New Roman" w:cs="Times New Roman"/>
          <w:b/>
          <w:sz w:val="24"/>
          <w:szCs w:val="24"/>
        </w:rPr>
        <w:t xml:space="preserve">the Case Law of International Human Rights Treaty Bodies, Regional </w:t>
      </w:r>
      <w:r w:rsidR="00A13BE2" w:rsidRPr="00DD6763">
        <w:rPr>
          <w:rFonts w:ascii="Times New Roman" w:hAnsi="Times New Roman" w:cs="Times New Roman"/>
          <w:b/>
          <w:sz w:val="24"/>
          <w:szCs w:val="24"/>
        </w:rPr>
        <w:tab/>
        <w:t>Human Rights Bodies and International Investment Tribunals</w:t>
      </w:r>
    </w:p>
    <w:p w14:paraId="29E3E931" w14:textId="77777777" w:rsidR="009122D7" w:rsidRPr="00DD6763" w:rsidRDefault="009122D7" w:rsidP="00AF2C38">
      <w:pPr>
        <w:spacing w:after="0" w:line="276" w:lineRule="auto"/>
        <w:rPr>
          <w:rFonts w:ascii="Times New Roman" w:hAnsi="Times New Roman" w:cs="Times New Roman"/>
          <w:b/>
          <w:sz w:val="24"/>
          <w:szCs w:val="24"/>
        </w:rPr>
      </w:pPr>
    </w:p>
    <w:p w14:paraId="2775B79F" w14:textId="430A89C0" w:rsidR="00FE2FD0" w:rsidRPr="00DD6763" w:rsidRDefault="0091299F"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lastRenderedPageBreak/>
        <w:t xml:space="preserve">The difficulties arising out of the implementation of PFIC are better appreciated </w:t>
      </w:r>
      <w:r w:rsidR="00A93FFA" w:rsidRPr="00DD6763">
        <w:rPr>
          <w:rFonts w:ascii="Times New Roman" w:hAnsi="Times New Roman" w:cs="Times New Roman"/>
          <w:sz w:val="24"/>
          <w:szCs w:val="24"/>
        </w:rPr>
        <w:t xml:space="preserve">in </w:t>
      </w:r>
      <w:r w:rsidR="00F72D99" w:rsidRPr="00DD6763">
        <w:rPr>
          <w:rFonts w:ascii="Times New Roman" w:hAnsi="Times New Roman" w:cs="Times New Roman"/>
          <w:sz w:val="24"/>
          <w:szCs w:val="24"/>
        </w:rPr>
        <w:t xml:space="preserve">light of </w:t>
      </w:r>
      <w:r w:rsidR="00552816" w:rsidRPr="00DD6763">
        <w:rPr>
          <w:rFonts w:ascii="Times New Roman" w:hAnsi="Times New Roman" w:cs="Times New Roman"/>
          <w:sz w:val="24"/>
          <w:szCs w:val="24"/>
        </w:rPr>
        <w:t xml:space="preserve">international </w:t>
      </w:r>
      <w:r w:rsidR="00F72D99" w:rsidRPr="00DD6763">
        <w:rPr>
          <w:rFonts w:ascii="Times New Roman" w:hAnsi="Times New Roman" w:cs="Times New Roman"/>
          <w:sz w:val="24"/>
          <w:szCs w:val="24"/>
        </w:rPr>
        <w:t>case law</w:t>
      </w:r>
      <w:r w:rsidR="00231E36" w:rsidRPr="00DD6763">
        <w:rPr>
          <w:rFonts w:ascii="Times New Roman" w:hAnsi="Times New Roman" w:cs="Times New Roman"/>
          <w:sz w:val="24"/>
          <w:szCs w:val="24"/>
        </w:rPr>
        <w:t xml:space="preserve">. </w:t>
      </w:r>
      <w:r w:rsidR="00F017DF" w:rsidRPr="00DD6763">
        <w:rPr>
          <w:rFonts w:ascii="Times New Roman" w:hAnsi="Times New Roman" w:cs="Times New Roman"/>
          <w:sz w:val="24"/>
          <w:szCs w:val="24"/>
        </w:rPr>
        <w:t xml:space="preserve">Most of the cases revolve around the tensions or conflicts between two different kinds of property: on the one hand, the foreign investor’s private property and, on the other hand, indigenous property. Human rights monitoring bodies take a broader approach </w:t>
      </w:r>
      <w:r w:rsidR="00A72532" w:rsidRPr="00DD6763">
        <w:rPr>
          <w:rFonts w:ascii="Times New Roman" w:hAnsi="Times New Roman" w:cs="Times New Roman"/>
          <w:sz w:val="24"/>
          <w:szCs w:val="24"/>
        </w:rPr>
        <w:t>as</w:t>
      </w:r>
      <w:r w:rsidR="00F017DF" w:rsidRPr="00DD6763">
        <w:rPr>
          <w:rFonts w:ascii="Times New Roman" w:hAnsi="Times New Roman" w:cs="Times New Roman"/>
          <w:sz w:val="24"/>
          <w:szCs w:val="24"/>
        </w:rPr>
        <w:t xml:space="preserve"> they consider right to property and land rights </w:t>
      </w:r>
      <w:r w:rsidR="00E33817" w:rsidRPr="00DD6763">
        <w:rPr>
          <w:rFonts w:ascii="Times New Roman" w:hAnsi="Times New Roman" w:cs="Times New Roman"/>
          <w:sz w:val="24"/>
          <w:szCs w:val="24"/>
        </w:rPr>
        <w:t>aligned with the respect of cultural rights</w:t>
      </w:r>
      <w:r w:rsidR="0073329F" w:rsidRPr="00DD6763">
        <w:rPr>
          <w:rFonts w:ascii="Times New Roman" w:hAnsi="Times New Roman" w:cs="Times New Roman"/>
          <w:sz w:val="24"/>
          <w:szCs w:val="24"/>
        </w:rPr>
        <w:t xml:space="preserve">. In contrast, </w:t>
      </w:r>
      <w:r w:rsidR="00F017DF" w:rsidRPr="00DD6763">
        <w:rPr>
          <w:rFonts w:ascii="Times New Roman" w:hAnsi="Times New Roman" w:cs="Times New Roman"/>
          <w:sz w:val="24"/>
          <w:szCs w:val="24"/>
        </w:rPr>
        <w:t>arbitral tribunals focus on the protection of investor</w:t>
      </w:r>
      <w:r w:rsidR="002668CA" w:rsidRPr="00DD6763">
        <w:rPr>
          <w:rFonts w:ascii="Times New Roman" w:hAnsi="Times New Roman" w:cs="Times New Roman"/>
          <w:sz w:val="24"/>
          <w:szCs w:val="24"/>
        </w:rPr>
        <w:t>s’</w:t>
      </w:r>
      <w:r w:rsidR="00F017DF" w:rsidRPr="00DD6763">
        <w:rPr>
          <w:rFonts w:ascii="Times New Roman" w:hAnsi="Times New Roman" w:cs="Times New Roman"/>
          <w:sz w:val="24"/>
          <w:szCs w:val="24"/>
        </w:rPr>
        <w:t xml:space="preserve"> rights overlooking the protection of indigenous rights. </w:t>
      </w:r>
    </w:p>
    <w:p w14:paraId="6A1218CA" w14:textId="3072A901" w:rsidR="00954165" w:rsidRPr="00DD6763" w:rsidRDefault="00D20A43"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In cases heard before </w:t>
      </w:r>
      <w:r w:rsidR="009122D7" w:rsidRPr="00DD6763">
        <w:rPr>
          <w:rFonts w:ascii="Times New Roman" w:hAnsi="Times New Roman" w:cs="Times New Roman"/>
          <w:sz w:val="24"/>
          <w:szCs w:val="24"/>
        </w:rPr>
        <w:t xml:space="preserve">international human rights </w:t>
      </w:r>
      <w:r w:rsidR="00350AE4" w:rsidRPr="00DD6763">
        <w:rPr>
          <w:rFonts w:ascii="Times New Roman" w:hAnsi="Times New Roman" w:cs="Times New Roman"/>
          <w:sz w:val="24"/>
          <w:szCs w:val="24"/>
        </w:rPr>
        <w:t xml:space="preserve">treaty </w:t>
      </w:r>
      <w:r w:rsidR="009122D7" w:rsidRPr="00DD6763">
        <w:rPr>
          <w:rFonts w:ascii="Times New Roman" w:hAnsi="Times New Roman" w:cs="Times New Roman"/>
          <w:sz w:val="24"/>
          <w:szCs w:val="24"/>
        </w:rPr>
        <w:t>bodies</w:t>
      </w:r>
      <w:r w:rsidRPr="00DD6763">
        <w:rPr>
          <w:rFonts w:ascii="Times New Roman" w:hAnsi="Times New Roman" w:cs="Times New Roman"/>
          <w:sz w:val="24"/>
          <w:szCs w:val="24"/>
        </w:rPr>
        <w:t>,</w:t>
      </w:r>
      <w:r w:rsidR="009122D7" w:rsidRPr="00DD6763">
        <w:rPr>
          <w:rFonts w:ascii="Times New Roman" w:hAnsi="Times New Roman" w:cs="Times New Roman"/>
          <w:sz w:val="24"/>
          <w:szCs w:val="24"/>
        </w:rPr>
        <w:t xml:space="preserve"> FPIC has been </w:t>
      </w:r>
      <w:r w:rsidR="00DF0F00" w:rsidRPr="00DD6763">
        <w:rPr>
          <w:rFonts w:ascii="Times New Roman" w:hAnsi="Times New Roman" w:cs="Times New Roman"/>
          <w:sz w:val="24"/>
          <w:szCs w:val="24"/>
        </w:rPr>
        <w:t>protected</w:t>
      </w:r>
      <w:r w:rsidR="009122D7" w:rsidRPr="00DD6763">
        <w:rPr>
          <w:rFonts w:ascii="Times New Roman" w:hAnsi="Times New Roman" w:cs="Times New Roman"/>
          <w:sz w:val="24"/>
          <w:szCs w:val="24"/>
        </w:rPr>
        <w:t xml:space="preserve"> as a human right stemming from the protection of other rights</w:t>
      </w:r>
      <w:r w:rsidR="00E94EAC" w:rsidRPr="00DD6763">
        <w:rPr>
          <w:rFonts w:ascii="Times New Roman" w:hAnsi="Times New Roman" w:cs="Times New Roman"/>
          <w:sz w:val="24"/>
          <w:szCs w:val="24"/>
        </w:rPr>
        <w:t>, namely property</w:t>
      </w:r>
      <w:r w:rsidR="0088544F" w:rsidRPr="00DD6763">
        <w:rPr>
          <w:rFonts w:ascii="Times New Roman" w:hAnsi="Times New Roman" w:cs="Times New Roman"/>
          <w:sz w:val="24"/>
          <w:szCs w:val="24"/>
        </w:rPr>
        <w:t xml:space="preserve"> rights over </w:t>
      </w:r>
      <w:r w:rsidR="00B47DF4" w:rsidRPr="00DD6763">
        <w:rPr>
          <w:rFonts w:ascii="Times New Roman" w:hAnsi="Times New Roman" w:cs="Times New Roman"/>
          <w:sz w:val="24"/>
          <w:szCs w:val="24"/>
        </w:rPr>
        <w:t xml:space="preserve">land </w:t>
      </w:r>
      <w:r w:rsidR="00E94EAC" w:rsidRPr="00DD6763">
        <w:rPr>
          <w:rFonts w:ascii="Times New Roman" w:hAnsi="Times New Roman" w:cs="Times New Roman"/>
          <w:sz w:val="24"/>
          <w:szCs w:val="24"/>
        </w:rPr>
        <w:t>and cultural diversity</w:t>
      </w:r>
      <w:r w:rsidR="0088544F" w:rsidRPr="00DD6763">
        <w:rPr>
          <w:rFonts w:ascii="Times New Roman" w:hAnsi="Times New Roman" w:cs="Times New Roman"/>
          <w:sz w:val="24"/>
          <w:szCs w:val="24"/>
        </w:rPr>
        <w:t xml:space="preserve"> rights</w:t>
      </w:r>
      <w:r w:rsidR="009122D7" w:rsidRPr="00DD6763">
        <w:rPr>
          <w:rFonts w:ascii="Times New Roman" w:hAnsi="Times New Roman" w:cs="Times New Roman"/>
          <w:sz w:val="24"/>
          <w:szCs w:val="24"/>
        </w:rPr>
        <w:t xml:space="preserve">. </w:t>
      </w:r>
      <w:r w:rsidR="00AD37CD" w:rsidRPr="00DD6763">
        <w:rPr>
          <w:rFonts w:ascii="Times New Roman" w:hAnsi="Times New Roman" w:cs="Times New Roman"/>
          <w:sz w:val="24"/>
          <w:szCs w:val="24"/>
        </w:rPr>
        <w:t>Conversely,</w:t>
      </w:r>
      <w:r w:rsidR="00B47DF4" w:rsidRPr="00DD6763">
        <w:rPr>
          <w:rFonts w:ascii="Times New Roman" w:hAnsi="Times New Roman" w:cs="Times New Roman"/>
          <w:sz w:val="24"/>
          <w:szCs w:val="24"/>
        </w:rPr>
        <w:t xml:space="preserve"> under</w:t>
      </w:r>
      <w:r w:rsidR="00DF0F00" w:rsidRPr="00DD6763">
        <w:rPr>
          <w:rFonts w:ascii="Times New Roman" w:hAnsi="Times New Roman" w:cs="Times New Roman"/>
          <w:sz w:val="24"/>
          <w:szCs w:val="24"/>
        </w:rPr>
        <w:t xml:space="preserve"> </w:t>
      </w:r>
      <w:r w:rsidR="00DA775D" w:rsidRPr="00DD6763">
        <w:rPr>
          <w:rFonts w:ascii="Times New Roman" w:hAnsi="Times New Roman" w:cs="Times New Roman"/>
          <w:sz w:val="24"/>
          <w:szCs w:val="24"/>
        </w:rPr>
        <w:t>IIL</w:t>
      </w:r>
      <w:r w:rsidR="009122D7" w:rsidRPr="00DD6763">
        <w:rPr>
          <w:rFonts w:ascii="Times New Roman" w:hAnsi="Times New Roman" w:cs="Times New Roman"/>
          <w:sz w:val="24"/>
          <w:szCs w:val="24"/>
        </w:rPr>
        <w:t xml:space="preserve">, </w:t>
      </w:r>
      <w:r w:rsidR="00E94EAC" w:rsidRPr="00DD6763">
        <w:rPr>
          <w:rFonts w:ascii="Times New Roman" w:hAnsi="Times New Roman" w:cs="Times New Roman"/>
          <w:sz w:val="24"/>
          <w:szCs w:val="24"/>
        </w:rPr>
        <w:t>operating as a</w:t>
      </w:r>
      <w:r w:rsidR="00D36C8B" w:rsidRPr="00DD6763">
        <w:rPr>
          <w:rFonts w:ascii="Times New Roman" w:hAnsi="Times New Roman" w:cs="Times New Roman"/>
          <w:sz w:val="24"/>
          <w:szCs w:val="24"/>
        </w:rPr>
        <w:t xml:space="preserve"> highly</w:t>
      </w:r>
      <w:r w:rsidR="00E94EAC" w:rsidRPr="00DD6763">
        <w:rPr>
          <w:rFonts w:ascii="Times New Roman" w:hAnsi="Times New Roman" w:cs="Times New Roman"/>
          <w:sz w:val="24"/>
          <w:szCs w:val="24"/>
        </w:rPr>
        <w:t xml:space="preserve"> specialised</w:t>
      </w:r>
      <w:r w:rsidR="009122D7" w:rsidRPr="00DD6763">
        <w:rPr>
          <w:rFonts w:ascii="Times New Roman" w:hAnsi="Times New Roman" w:cs="Times New Roman"/>
          <w:sz w:val="24"/>
          <w:szCs w:val="24"/>
        </w:rPr>
        <w:t xml:space="preserve"> regimen, human rights and FPIC</w:t>
      </w:r>
      <w:r w:rsidR="008B0AF5" w:rsidRPr="00DD6763">
        <w:rPr>
          <w:rFonts w:ascii="Times New Roman" w:hAnsi="Times New Roman" w:cs="Times New Roman"/>
          <w:sz w:val="24"/>
          <w:szCs w:val="24"/>
        </w:rPr>
        <w:t xml:space="preserve"> are considered as non-related</w:t>
      </w:r>
      <w:r w:rsidR="009122D7" w:rsidRPr="00DD6763">
        <w:rPr>
          <w:rFonts w:ascii="Times New Roman" w:hAnsi="Times New Roman" w:cs="Times New Roman"/>
          <w:sz w:val="24"/>
          <w:szCs w:val="24"/>
        </w:rPr>
        <w:t xml:space="preserve"> aspects of investm</w:t>
      </w:r>
      <w:r w:rsidR="00E33817" w:rsidRPr="00DD6763">
        <w:rPr>
          <w:rFonts w:ascii="Times New Roman" w:hAnsi="Times New Roman" w:cs="Times New Roman"/>
          <w:sz w:val="24"/>
          <w:szCs w:val="24"/>
        </w:rPr>
        <w:t>ent protection,</w:t>
      </w:r>
      <w:r w:rsidR="009122D7" w:rsidRPr="00DD6763">
        <w:rPr>
          <w:rFonts w:ascii="Times New Roman" w:hAnsi="Times New Roman" w:cs="Times New Roman"/>
          <w:sz w:val="24"/>
          <w:szCs w:val="24"/>
        </w:rPr>
        <w:t xml:space="preserve"> only rece</w:t>
      </w:r>
      <w:r w:rsidR="00E33817" w:rsidRPr="00DD6763">
        <w:rPr>
          <w:rFonts w:ascii="Times New Roman" w:hAnsi="Times New Roman" w:cs="Times New Roman"/>
          <w:sz w:val="24"/>
          <w:szCs w:val="24"/>
        </w:rPr>
        <w:t>iving</w:t>
      </w:r>
      <w:r w:rsidR="00B47DF4" w:rsidRPr="00DD6763">
        <w:rPr>
          <w:rFonts w:ascii="Times New Roman" w:hAnsi="Times New Roman" w:cs="Times New Roman"/>
          <w:sz w:val="24"/>
          <w:szCs w:val="24"/>
        </w:rPr>
        <w:t xml:space="preserve"> marginal attention. </w:t>
      </w:r>
      <w:r w:rsidR="00DD6763" w:rsidRPr="00DD6763">
        <w:rPr>
          <w:rFonts w:ascii="Times New Roman" w:hAnsi="Times New Roman" w:cs="Times New Roman"/>
          <w:sz w:val="24"/>
          <w:szCs w:val="24"/>
        </w:rPr>
        <w:t>Thus,</w:t>
      </w:r>
      <w:r w:rsidR="00B47DF4" w:rsidRPr="00DD6763">
        <w:rPr>
          <w:rFonts w:ascii="Times New Roman" w:hAnsi="Times New Roman" w:cs="Times New Roman"/>
          <w:sz w:val="24"/>
          <w:szCs w:val="24"/>
        </w:rPr>
        <w:t xml:space="preserve"> </w:t>
      </w:r>
      <w:r w:rsidR="009122D7" w:rsidRPr="00DD6763">
        <w:rPr>
          <w:rFonts w:ascii="Times New Roman" w:hAnsi="Times New Roman" w:cs="Times New Roman"/>
          <w:sz w:val="24"/>
          <w:szCs w:val="24"/>
        </w:rPr>
        <w:t>international investment tribunals, in principle, concentrate on the protection of investors’ right</w:t>
      </w:r>
      <w:r w:rsidRPr="00DD6763">
        <w:rPr>
          <w:rFonts w:ascii="Times New Roman" w:hAnsi="Times New Roman" w:cs="Times New Roman"/>
          <w:sz w:val="24"/>
          <w:szCs w:val="24"/>
        </w:rPr>
        <w:t>s</w:t>
      </w:r>
      <w:r w:rsidR="009122D7" w:rsidRPr="00DD6763">
        <w:rPr>
          <w:rFonts w:ascii="Times New Roman" w:hAnsi="Times New Roman" w:cs="Times New Roman"/>
          <w:sz w:val="24"/>
          <w:szCs w:val="24"/>
        </w:rPr>
        <w:t xml:space="preserve">. </w:t>
      </w:r>
      <w:r w:rsidR="000540F5" w:rsidRPr="00DD6763">
        <w:rPr>
          <w:rFonts w:ascii="Times New Roman" w:hAnsi="Times New Roman" w:cs="Times New Roman"/>
          <w:sz w:val="24"/>
          <w:szCs w:val="24"/>
        </w:rPr>
        <w:t xml:space="preserve">In most of the cases, the violation of land rights </w:t>
      </w:r>
      <w:r w:rsidR="00954165" w:rsidRPr="00DD6763">
        <w:rPr>
          <w:rFonts w:ascii="Times New Roman" w:hAnsi="Times New Roman" w:cs="Times New Roman"/>
          <w:sz w:val="24"/>
          <w:szCs w:val="24"/>
        </w:rPr>
        <w:t>is coupled with</w:t>
      </w:r>
      <w:r w:rsidR="000540F5" w:rsidRPr="00DD6763">
        <w:rPr>
          <w:rFonts w:ascii="Times New Roman" w:hAnsi="Times New Roman" w:cs="Times New Roman"/>
          <w:sz w:val="24"/>
          <w:szCs w:val="24"/>
        </w:rPr>
        <w:t xml:space="preserve"> </w:t>
      </w:r>
      <w:r w:rsidR="002668CA" w:rsidRPr="00DD6763">
        <w:rPr>
          <w:rFonts w:ascii="Times New Roman" w:hAnsi="Times New Roman" w:cs="Times New Roman"/>
          <w:sz w:val="24"/>
          <w:szCs w:val="24"/>
        </w:rPr>
        <w:t>socio-economic</w:t>
      </w:r>
      <w:r w:rsidR="00552816" w:rsidRPr="00DD6763">
        <w:rPr>
          <w:rFonts w:ascii="Times New Roman" w:hAnsi="Times New Roman" w:cs="Times New Roman"/>
          <w:sz w:val="24"/>
          <w:szCs w:val="24"/>
        </w:rPr>
        <w:t xml:space="preserve"> </w:t>
      </w:r>
      <w:r w:rsidR="000540F5" w:rsidRPr="00DD6763">
        <w:rPr>
          <w:rFonts w:ascii="Times New Roman" w:hAnsi="Times New Roman" w:cs="Times New Roman"/>
          <w:sz w:val="24"/>
          <w:szCs w:val="24"/>
        </w:rPr>
        <w:t>inequality.</w:t>
      </w:r>
      <w:r w:rsidR="00060BCF" w:rsidRPr="00DD6763">
        <w:rPr>
          <w:rStyle w:val="FootnoteReference"/>
          <w:rFonts w:ascii="Times New Roman" w:hAnsi="Times New Roman" w:cs="Times New Roman"/>
          <w:sz w:val="24"/>
          <w:szCs w:val="24"/>
        </w:rPr>
        <w:footnoteReference w:id="67"/>
      </w:r>
    </w:p>
    <w:p w14:paraId="534DE8E7" w14:textId="77777777" w:rsidR="00505371" w:rsidRPr="00DD6763" w:rsidRDefault="00FE2FD0"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Beyond the human rights realm, FPIC norms are relied upon only occasionally in other international fora, and scarcely in international investment practice. International investment law is seen as a self-contained regime and arbitrators are frequently reluctant to open up to the influence of external sources. Unlike international human rights bodies, investment tribunals are made up of arbitrators who often come from private law practice (commercial arbitration) and from public international law (academic roles).</w:t>
      </w:r>
      <w:r w:rsidR="0075213D" w:rsidRPr="00DD6763">
        <w:rPr>
          <w:rStyle w:val="FootnoteReference"/>
          <w:rFonts w:ascii="Times New Roman" w:hAnsi="Times New Roman" w:cs="Times New Roman"/>
          <w:sz w:val="24"/>
          <w:szCs w:val="24"/>
        </w:rPr>
        <w:footnoteReference w:id="68"/>
      </w:r>
      <w:r w:rsidRPr="00DD6763">
        <w:rPr>
          <w:rFonts w:ascii="Times New Roman" w:hAnsi="Times New Roman" w:cs="Times New Roman"/>
          <w:sz w:val="24"/>
          <w:szCs w:val="24"/>
        </w:rPr>
        <w:t xml:space="preserve"> On the other hand, the existence of a global public interest including international environmental law principles and human rights issues has led to the introduction of some considerations of FPIC issues.</w:t>
      </w:r>
      <w:r w:rsidRPr="00DD6763">
        <w:rPr>
          <w:rStyle w:val="FootnoteReference"/>
          <w:rFonts w:ascii="Times New Roman" w:hAnsi="Times New Roman" w:cs="Times New Roman"/>
          <w:sz w:val="24"/>
          <w:szCs w:val="24"/>
        </w:rPr>
        <w:footnoteReference w:id="69"/>
      </w:r>
    </w:p>
    <w:p w14:paraId="6EECD8DB" w14:textId="77777777" w:rsidR="00FE2FD0" w:rsidRPr="00DD6763" w:rsidRDefault="00FE2FD0" w:rsidP="00AF2C38">
      <w:pPr>
        <w:spacing w:after="0" w:line="276" w:lineRule="auto"/>
        <w:rPr>
          <w:rFonts w:ascii="Times New Roman" w:hAnsi="Times New Roman" w:cs="Times New Roman"/>
          <w:sz w:val="24"/>
          <w:szCs w:val="24"/>
        </w:rPr>
      </w:pPr>
    </w:p>
    <w:p w14:paraId="612BE7A4" w14:textId="01B4C9AB" w:rsidR="00505371" w:rsidRPr="00DD6763" w:rsidRDefault="00CF2F49" w:rsidP="004362B0">
      <w:pPr>
        <w:spacing w:after="0" w:line="276" w:lineRule="auto"/>
        <w:outlineLvl w:val="0"/>
        <w:rPr>
          <w:rFonts w:ascii="Times New Roman" w:hAnsi="Times New Roman" w:cs="Times New Roman"/>
          <w:b/>
          <w:i/>
          <w:sz w:val="24"/>
          <w:szCs w:val="24"/>
        </w:rPr>
      </w:pPr>
      <w:r w:rsidRPr="00DD6763">
        <w:rPr>
          <w:rFonts w:ascii="Times New Roman" w:hAnsi="Times New Roman" w:cs="Times New Roman"/>
          <w:b/>
          <w:iCs/>
          <w:sz w:val="24"/>
          <w:szCs w:val="24"/>
        </w:rPr>
        <w:t>3</w:t>
      </w:r>
      <w:r w:rsidR="00341A5B" w:rsidRPr="00DD6763">
        <w:rPr>
          <w:rFonts w:ascii="Times New Roman" w:hAnsi="Times New Roman" w:cs="Times New Roman"/>
          <w:b/>
          <w:iCs/>
          <w:sz w:val="24"/>
          <w:szCs w:val="24"/>
        </w:rPr>
        <w:t>.1</w:t>
      </w:r>
      <w:r w:rsidR="00341A5B" w:rsidRPr="00DD6763">
        <w:rPr>
          <w:rFonts w:ascii="Times New Roman" w:hAnsi="Times New Roman" w:cs="Times New Roman"/>
          <w:b/>
          <w:i/>
          <w:sz w:val="24"/>
          <w:szCs w:val="24"/>
        </w:rPr>
        <w:t xml:space="preserve"> </w:t>
      </w:r>
      <w:r w:rsidR="00505371" w:rsidRPr="00DD6763">
        <w:rPr>
          <w:rFonts w:ascii="Times New Roman" w:hAnsi="Times New Roman" w:cs="Times New Roman"/>
          <w:b/>
          <w:i/>
          <w:sz w:val="24"/>
          <w:szCs w:val="24"/>
        </w:rPr>
        <w:t>Cases before</w:t>
      </w:r>
      <w:r w:rsidR="00A13BE2" w:rsidRPr="00DD6763">
        <w:rPr>
          <w:rFonts w:ascii="Times New Roman" w:hAnsi="Times New Roman" w:cs="Times New Roman"/>
          <w:b/>
          <w:i/>
          <w:sz w:val="24"/>
          <w:szCs w:val="24"/>
        </w:rPr>
        <w:t xml:space="preserve"> International </w:t>
      </w:r>
      <w:r w:rsidR="00505371" w:rsidRPr="00DD6763">
        <w:rPr>
          <w:rFonts w:ascii="Times New Roman" w:hAnsi="Times New Roman" w:cs="Times New Roman"/>
          <w:b/>
          <w:i/>
          <w:sz w:val="24"/>
          <w:szCs w:val="24"/>
        </w:rPr>
        <w:t xml:space="preserve">and </w:t>
      </w:r>
      <w:r w:rsidR="00A13BE2" w:rsidRPr="00DD6763">
        <w:rPr>
          <w:rFonts w:ascii="Times New Roman" w:hAnsi="Times New Roman" w:cs="Times New Roman"/>
          <w:b/>
          <w:i/>
          <w:sz w:val="24"/>
          <w:szCs w:val="24"/>
        </w:rPr>
        <w:t xml:space="preserve">Regional Human Rights Monitoring Bodies </w:t>
      </w:r>
    </w:p>
    <w:p w14:paraId="6C625E2F" w14:textId="515BEC02" w:rsidR="008A3E53" w:rsidRPr="00DD6763" w:rsidRDefault="00505371" w:rsidP="00341A5B">
      <w:pPr>
        <w:spacing w:after="0" w:line="276" w:lineRule="auto"/>
        <w:jc w:val="both"/>
        <w:rPr>
          <w:rFonts w:ascii="Times New Roman" w:hAnsi="Times New Roman" w:cs="Times New Roman"/>
          <w:i/>
          <w:sz w:val="24"/>
          <w:szCs w:val="24"/>
        </w:rPr>
      </w:pPr>
      <w:r w:rsidRPr="00DD6763">
        <w:rPr>
          <w:rFonts w:ascii="Times New Roman" w:hAnsi="Times New Roman" w:cs="Times New Roman"/>
          <w:sz w:val="24"/>
          <w:szCs w:val="24"/>
        </w:rPr>
        <w:t xml:space="preserve">FPIC has been protected </w:t>
      </w:r>
      <w:r w:rsidR="002668CA" w:rsidRPr="00DD6763">
        <w:rPr>
          <w:rFonts w:ascii="Times New Roman" w:hAnsi="Times New Roman" w:cs="Times New Roman"/>
          <w:sz w:val="24"/>
          <w:szCs w:val="24"/>
        </w:rPr>
        <w:t xml:space="preserve">in the different human right systems created </w:t>
      </w:r>
      <w:r w:rsidR="008A3E53" w:rsidRPr="00DD6763">
        <w:rPr>
          <w:rFonts w:ascii="Times New Roman" w:hAnsi="Times New Roman" w:cs="Times New Roman"/>
          <w:sz w:val="24"/>
          <w:szCs w:val="24"/>
        </w:rPr>
        <w:t>both at the UN level and on a regional</w:t>
      </w:r>
      <w:r w:rsidR="0006670D" w:rsidRPr="00DD6763">
        <w:rPr>
          <w:rFonts w:ascii="Times New Roman" w:hAnsi="Times New Roman" w:cs="Times New Roman"/>
          <w:sz w:val="24"/>
          <w:szCs w:val="24"/>
        </w:rPr>
        <w:t xml:space="preserve"> level</w:t>
      </w:r>
      <w:r w:rsidR="002668CA" w:rsidRPr="00DD6763">
        <w:rPr>
          <w:rFonts w:ascii="Times New Roman" w:hAnsi="Times New Roman" w:cs="Times New Roman"/>
          <w:sz w:val="24"/>
          <w:szCs w:val="24"/>
        </w:rPr>
        <w:t>.</w:t>
      </w:r>
      <w:r w:rsidR="009A4160" w:rsidRPr="00DD6763">
        <w:rPr>
          <w:rFonts w:ascii="Times New Roman" w:hAnsi="Times New Roman" w:cs="Times New Roman"/>
          <w:sz w:val="24"/>
          <w:szCs w:val="24"/>
        </w:rPr>
        <w:t xml:space="preserve"> The case law emanating from these system</w:t>
      </w:r>
      <w:r w:rsidR="002668CA" w:rsidRPr="00DD6763">
        <w:rPr>
          <w:rFonts w:ascii="Times New Roman" w:hAnsi="Times New Roman" w:cs="Times New Roman"/>
          <w:sz w:val="24"/>
          <w:szCs w:val="24"/>
        </w:rPr>
        <w:t>s</w:t>
      </w:r>
      <w:r w:rsidR="00341A5B" w:rsidRPr="00DD6763">
        <w:rPr>
          <w:rFonts w:ascii="Times New Roman" w:hAnsi="Times New Roman" w:cs="Times New Roman"/>
          <w:sz w:val="24"/>
          <w:szCs w:val="24"/>
        </w:rPr>
        <w:t xml:space="preserve"> has contributed </w:t>
      </w:r>
      <w:r w:rsidR="009A4160" w:rsidRPr="00DD6763">
        <w:rPr>
          <w:rFonts w:ascii="Times New Roman" w:hAnsi="Times New Roman" w:cs="Times New Roman"/>
          <w:sz w:val="24"/>
          <w:szCs w:val="24"/>
        </w:rPr>
        <w:t>to establishing customary international norms to guarantee FPIC.</w:t>
      </w:r>
    </w:p>
    <w:p w14:paraId="528AE72D" w14:textId="01714FAE" w:rsidR="00FE754E" w:rsidRPr="00DD6763" w:rsidRDefault="00D975B2"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At</w:t>
      </w:r>
      <w:r w:rsidR="00505371" w:rsidRPr="00DD6763">
        <w:rPr>
          <w:rFonts w:ascii="Times New Roman" w:hAnsi="Times New Roman" w:cs="Times New Roman"/>
          <w:sz w:val="24"/>
          <w:szCs w:val="24"/>
        </w:rPr>
        <w:t xml:space="preserve"> the UN</w:t>
      </w:r>
      <w:r w:rsidR="00D20A43" w:rsidRPr="00DD6763">
        <w:rPr>
          <w:rFonts w:ascii="Times New Roman" w:hAnsi="Times New Roman" w:cs="Times New Roman"/>
          <w:sz w:val="24"/>
          <w:szCs w:val="24"/>
        </w:rPr>
        <w:t xml:space="preserve"> level</w:t>
      </w:r>
      <w:r w:rsidR="00505371" w:rsidRPr="00DD6763">
        <w:rPr>
          <w:rFonts w:ascii="Times New Roman" w:hAnsi="Times New Roman" w:cs="Times New Roman"/>
          <w:sz w:val="24"/>
          <w:szCs w:val="24"/>
        </w:rPr>
        <w:t>, the Human Rights Council, the Expert Mechanism on the Rights of Indigenous Peoples (EMRIP) and various rapporteurs have dealt with FPIC.</w:t>
      </w:r>
      <w:r w:rsidR="00505371" w:rsidRPr="00DD6763">
        <w:rPr>
          <w:rStyle w:val="FootnoteReference"/>
          <w:rFonts w:ascii="Times New Roman" w:hAnsi="Times New Roman" w:cs="Times New Roman"/>
          <w:sz w:val="24"/>
          <w:szCs w:val="24"/>
        </w:rPr>
        <w:footnoteReference w:id="70"/>
      </w:r>
      <w:r w:rsidR="00505371" w:rsidRPr="00DD6763">
        <w:rPr>
          <w:rFonts w:ascii="Times New Roman" w:hAnsi="Times New Roman" w:cs="Times New Roman"/>
          <w:sz w:val="24"/>
          <w:szCs w:val="24"/>
        </w:rPr>
        <w:t xml:space="preserve"> The UN Special Rapporteur on Indigenous Peoples has issued various reports</w:t>
      </w:r>
      <w:r w:rsidRPr="00DD6763">
        <w:rPr>
          <w:rFonts w:ascii="Times New Roman" w:hAnsi="Times New Roman" w:cs="Times New Roman"/>
          <w:sz w:val="24"/>
          <w:szCs w:val="24"/>
        </w:rPr>
        <w:t xml:space="preserve"> co</w:t>
      </w:r>
      <w:r w:rsidR="00C3530C" w:rsidRPr="00DD6763">
        <w:rPr>
          <w:rFonts w:ascii="Times New Roman" w:hAnsi="Times New Roman" w:cs="Times New Roman"/>
          <w:sz w:val="24"/>
          <w:szCs w:val="24"/>
        </w:rPr>
        <w:t>ncerning FP</w:t>
      </w:r>
      <w:r w:rsidRPr="00DD6763">
        <w:rPr>
          <w:rFonts w:ascii="Times New Roman" w:hAnsi="Times New Roman" w:cs="Times New Roman"/>
          <w:sz w:val="24"/>
          <w:szCs w:val="24"/>
        </w:rPr>
        <w:t>I</w:t>
      </w:r>
      <w:r w:rsidR="00C3530C" w:rsidRPr="00DD6763">
        <w:rPr>
          <w:rFonts w:ascii="Times New Roman" w:hAnsi="Times New Roman" w:cs="Times New Roman"/>
          <w:sz w:val="24"/>
          <w:szCs w:val="24"/>
        </w:rPr>
        <w:t>C</w:t>
      </w:r>
      <w:r w:rsidR="00505371" w:rsidRPr="00DD6763">
        <w:rPr>
          <w:rFonts w:ascii="Times New Roman" w:hAnsi="Times New Roman" w:cs="Times New Roman"/>
          <w:sz w:val="24"/>
          <w:szCs w:val="24"/>
        </w:rPr>
        <w:t>.</w:t>
      </w:r>
      <w:r w:rsidR="002668CA" w:rsidRPr="00DD6763">
        <w:rPr>
          <w:rStyle w:val="FootnoteReference"/>
          <w:rFonts w:ascii="Times New Roman" w:hAnsi="Times New Roman" w:cs="Times New Roman"/>
          <w:sz w:val="24"/>
          <w:szCs w:val="24"/>
        </w:rPr>
        <w:footnoteReference w:id="71"/>
      </w:r>
      <w:r w:rsidR="00A13BE2" w:rsidRPr="00DD6763">
        <w:rPr>
          <w:rFonts w:ascii="Times New Roman" w:hAnsi="Times New Roman" w:cs="Times New Roman"/>
          <w:sz w:val="24"/>
          <w:szCs w:val="24"/>
        </w:rPr>
        <w:t xml:space="preserve"> </w:t>
      </w:r>
      <w:r w:rsidRPr="00DD6763">
        <w:rPr>
          <w:rFonts w:ascii="Times New Roman" w:hAnsi="Times New Roman" w:cs="Times New Roman"/>
          <w:sz w:val="24"/>
          <w:szCs w:val="24"/>
        </w:rPr>
        <w:t>In turn, t</w:t>
      </w:r>
      <w:r w:rsidR="00505371" w:rsidRPr="00DD6763">
        <w:rPr>
          <w:rFonts w:ascii="Times New Roman" w:hAnsi="Times New Roman" w:cs="Times New Roman"/>
          <w:sz w:val="24"/>
          <w:szCs w:val="24"/>
        </w:rPr>
        <w:t xml:space="preserve">he specialised UN monitoring mechanism has played a significant role in setting standards. </w:t>
      </w:r>
      <w:r w:rsidR="004869E1" w:rsidRPr="00DD6763">
        <w:rPr>
          <w:rFonts w:ascii="Times New Roman" w:hAnsi="Times New Roman" w:cs="Times New Roman"/>
          <w:sz w:val="24"/>
          <w:szCs w:val="24"/>
        </w:rPr>
        <w:t>In the framework of ILO, t</w:t>
      </w:r>
      <w:r w:rsidRPr="00DD6763">
        <w:rPr>
          <w:rFonts w:ascii="Times New Roman" w:hAnsi="Times New Roman" w:cs="Times New Roman"/>
          <w:sz w:val="24"/>
          <w:szCs w:val="24"/>
        </w:rPr>
        <w:t xml:space="preserve">he </w:t>
      </w:r>
      <w:r w:rsidR="00505371" w:rsidRPr="00DD6763">
        <w:rPr>
          <w:rFonts w:ascii="Times New Roman" w:hAnsi="Times New Roman" w:cs="Times New Roman"/>
          <w:sz w:val="24"/>
          <w:szCs w:val="24"/>
        </w:rPr>
        <w:t xml:space="preserve">Tripartite Committee </w:t>
      </w:r>
      <w:r w:rsidRPr="00DD6763">
        <w:rPr>
          <w:rFonts w:ascii="Times New Roman" w:hAnsi="Times New Roman" w:cs="Times New Roman"/>
          <w:sz w:val="24"/>
          <w:szCs w:val="24"/>
        </w:rPr>
        <w:t>ha</w:t>
      </w:r>
      <w:r w:rsidR="0079457A" w:rsidRPr="00DD6763">
        <w:rPr>
          <w:rFonts w:ascii="Times New Roman" w:hAnsi="Times New Roman" w:cs="Times New Roman"/>
          <w:sz w:val="24"/>
          <w:szCs w:val="24"/>
        </w:rPr>
        <w:t xml:space="preserve">s </w:t>
      </w:r>
      <w:r w:rsidR="00D20A43" w:rsidRPr="00DD6763">
        <w:rPr>
          <w:rFonts w:ascii="Times New Roman" w:hAnsi="Times New Roman" w:cs="Times New Roman"/>
          <w:sz w:val="24"/>
          <w:szCs w:val="24"/>
        </w:rPr>
        <w:t xml:space="preserve">also </w:t>
      </w:r>
      <w:r w:rsidR="00C3530C" w:rsidRPr="00DD6763">
        <w:rPr>
          <w:rFonts w:ascii="Times New Roman" w:hAnsi="Times New Roman" w:cs="Times New Roman"/>
          <w:sz w:val="24"/>
          <w:szCs w:val="24"/>
        </w:rPr>
        <w:t xml:space="preserve">contributed to </w:t>
      </w:r>
      <w:r w:rsidR="0079457A" w:rsidRPr="00DD6763">
        <w:rPr>
          <w:rFonts w:ascii="Times New Roman" w:hAnsi="Times New Roman" w:cs="Times New Roman"/>
          <w:sz w:val="24"/>
          <w:szCs w:val="24"/>
        </w:rPr>
        <w:t>protecting FPIC</w:t>
      </w:r>
      <w:r w:rsidR="00505371" w:rsidRPr="00DD6763">
        <w:rPr>
          <w:rFonts w:ascii="Times New Roman" w:hAnsi="Times New Roman" w:cs="Times New Roman"/>
          <w:sz w:val="24"/>
          <w:szCs w:val="24"/>
        </w:rPr>
        <w:t>.</w:t>
      </w:r>
      <w:r w:rsidR="008A3E53" w:rsidRPr="00DD6763">
        <w:rPr>
          <w:rFonts w:ascii="Times New Roman" w:hAnsi="Times New Roman" w:cs="Times New Roman"/>
          <w:sz w:val="24"/>
          <w:szCs w:val="24"/>
        </w:rPr>
        <w:t xml:space="preserve"> </w:t>
      </w:r>
      <w:r w:rsidR="006B0731" w:rsidRPr="00DD6763">
        <w:rPr>
          <w:rFonts w:ascii="Times New Roman" w:hAnsi="Times New Roman" w:cs="Times New Roman"/>
          <w:sz w:val="24"/>
          <w:szCs w:val="24"/>
        </w:rPr>
        <w:t>The</w:t>
      </w:r>
      <w:r w:rsidR="001360E5" w:rsidRPr="00DD6763">
        <w:rPr>
          <w:rFonts w:ascii="Times New Roman" w:hAnsi="Times New Roman" w:cs="Times New Roman"/>
          <w:sz w:val="24"/>
          <w:szCs w:val="24"/>
        </w:rPr>
        <w:t xml:space="preserve"> Human Rights Committee</w:t>
      </w:r>
      <w:r w:rsidR="00FE754E" w:rsidRPr="00DD6763">
        <w:rPr>
          <w:rFonts w:ascii="Times New Roman" w:hAnsi="Times New Roman" w:cs="Times New Roman"/>
          <w:sz w:val="24"/>
          <w:szCs w:val="24"/>
        </w:rPr>
        <w:t xml:space="preserve"> (HRC)</w:t>
      </w:r>
      <w:r w:rsidR="001360E5" w:rsidRPr="00DD6763" w:rsidDel="001360E5">
        <w:rPr>
          <w:rFonts w:ascii="Times New Roman" w:hAnsi="Times New Roman" w:cs="Times New Roman"/>
          <w:sz w:val="24"/>
          <w:szCs w:val="24"/>
        </w:rPr>
        <w:t xml:space="preserve"> </w:t>
      </w:r>
      <w:r w:rsidR="006C30AE" w:rsidRPr="00DD6763">
        <w:rPr>
          <w:rFonts w:ascii="Times New Roman" w:hAnsi="Times New Roman" w:cs="Times New Roman"/>
          <w:sz w:val="24"/>
          <w:szCs w:val="24"/>
        </w:rPr>
        <w:t>operate</w:t>
      </w:r>
      <w:r w:rsidR="001360E5" w:rsidRPr="00DD6763">
        <w:rPr>
          <w:rFonts w:ascii="Times New Roman" w:hAnsi="Times New Roman" w:cs="Times New Roman"/>
          <w:sz w:val="24"/>
          <w:szCs w:val="24"/>
        </w:rPr>
        <w:t>s</w:t>
      </w:r>
      <w:r w:rsidR="006C30AE" w:rsidRPr="00DD6763">
        <w:rPr>
          <w:rFonts w:ascii="Times New Roman" w:hAnsi="Times New Roman" w:cs="Times New Roman"/>
          <w:sz w:val="24"/>
          <w:szCs w:val="24"/>
        </w:rPr>
        <w:t xml:space="preserve"> within the legal framework of </w:t>
      </w:r>
      <w:r w:rsidR="00B97BC1" w:rsidRPr="00DD6763">
        <w:rPr>
          <w:rFonts w:ascii="Times New Roman" w:hAnsi="Times New Roman" w:cs="Times New Roman"/>
          <w:sz w:val="24"/>
          <w:szCs w:val="24"/>
        </w:rPr>
        <w:t xml:space="preserve">the </w:t>
      </w:r>
      <w:r w:rsidR="006C30AE" w:rsidRPr="00DD6763">
        <w:rPr>
          <w:rFonts w:ascii="Times New Roman" w:hAnsi="Times New Roman" w:cs="Times New Roman"/>
          <w:sz w:val="24"/>
          <w:szCs w:val="24"/>
        </w:rPr>
        <w:t xml:space="preserve">International Covenant on Civil and Political Rights, </w:t>
      </w:r>
      <w:r w:rsidR="00720A9C" w:rsidRPr="00DD6763">
        <w:rPr>
          <w:rFonts w:ascii="Times New Roman" w:hAnsi="Times New Roman" w:cs="Times New Roman"/>
          <w:sz w:val="24"/>
          <w:szCs w:val="24"/>
        </w:rPr>
        <w:t xml:space="preserve">one of its tasks being to focus </w:t>
      </w:r>
      <w:r w:rsidR="006B0731" w:rsidRPr="00DD6763">
        <w:rPr>
          <w:rFonts w:ascii="Times New Roman" w:hAnsi="Times New Roman" w:cs="Times New Roman"/>
          <w:sz w:val="24"/>
          <w:szCs w:val="24"/>
        </w:rPr>
        <w:t>on Article</w:t>
      </w:r>
      <w:r w:rsidR="009A4160" w:rsidRPr="00DD6763">
        <w:rPr>
          <w:rFonts w:ascii="Times New Roman" w:hAnsi="Times New Roman" w:cs="Times New Roman"/>
          <w:sz w:val="24"/>
          <w:szCs w:val="24"/>
        </w:rPr>
        <w:t>s 1 and</w:t>
      </w:r>
      <w:r w:rsidR="006B0731" w:rsidRPr="00DD6763">
        <w:rPr>
          <w:rFonts w:ascii="Times New Roman" w:hAnsi="Times New Roman" w:cs="Times New Roman"/>
          <w:sz w:val="24"/>
          <w:szCs w:val="24"/>
        </w:rPr>
        <w:t xml:space="preserve"> 27</w:t>
      </w:r>
      <w:r w:rsidR="00FE754E" w:rsidRPr="00DD6763">
        <w:rPr>
          <w:rFonts w:ascii="Times New Roman" w:hAnsi="Times New Roman" w:cs="Times New Roman"/>
          <w:sz w:val="24"/>
          <w:szCs w:val="24"/>
        </w:rPr>
        <w:t>, to protect</w:t>
      </w:r>
      <w:r w:rsidR="006B0731" w:rsidRPr="00DD6763">
        <w:rPr>
          <w:rFonts w:ascii="Times New Roman" w:hAnsi="Times New Roman" w:cs="Times New Roman"/>
          <w:sz w:val="24"/>
          <w:szCs w:val="24"/>
        </w:rPr>
        <w:t xml:space="preserve"> </w:t>
      </w:r>
      <w:r w:rsidR="006C30AE" w:rsidRPr="00DD6763">
        <w:rPr>
          <w:rFonts w:ascii="Times New Roman" w:hAnsi="Times New Roman" w:cs="Times New Roman"/>
          <w:sz w:val="24"/>
          <w:szCs w:val="24"/>
        </w:rPr>
        <w:t>ethnic, religious</w:t>
      </w:r>
      <w:r w:rsidR="006B0731" w:rsidRPr="00DD6763">
        <w:rPr>
          <w:rFonts w:ascii="Times New Roman" w:hAnsi="Times New Roman" w:cs="Times New Roman"/>
          <w:sz w:val="24"/>
          <w:szCs w:val="24"/>
        </w:rPr>
        <w:t xml:space="preserve"> or linguistic minorities</w:t>
      </w:r>
      <w:r w:rsidR="00D20A43" w:rsidRPr="00DD6763">
        <w:rPr>
          <w:rFonts w:ascii="Times New Roman" w:hAnsi="Times New Roman" w:cs="Times New Roman"/>
          <w:sz w:val="24"/>
          <w:szCs w:val="24"/>
        </w:rPr>
        <w:t>,</w:t>
      </w:r>
      <w:r w:rsidR="006B0731" w:rsidRPr="00DD6763">
        <w:rPr>
          <w:rFonts w:ascii="Times New Roman" w:hAnsi="Times New Roman" w:cs="Times New Roman"/>
          <w:sz w:val="24"/>
          <w:szCs w:val="24"/>
        </w:rPr>
        <w:t xml:space="preserve"> putting the obligation on the states to ensure </w:t>
      </w:r>
      <w:r w:rsidR="006B0731" w:rsidRPr="00DD6763">
        <w:rPr>
          <w:rFonts w:ascii="Times New Roman" w:hAnsi="Times New Roman" w:cs="Times New Roman"/>
          <w:sz w:val="24"/>
          <w:szCs w:val="24"/>
        </w:rPr>
        <w:lastRenderedPageBreak/>
        <w:t>that</w:t>
      </w:r>
      <w:r w:rsidR="006C30AE" w:rsidRPr="00DD6763">
        <w:rPr>
          <w:rFonts w:ascii="Times New Roman" w:hAnsi="Times New Roman" w:cs="Times New Roman"/>
          <w:sz w:val="24"/>
          <w:szCs w:val="24"/>
        </w:rPr>
        <w:t xml:space="preserve"> persons belonging to such minorities </w:t>
      </w:r>
      <w:r w:rsidR="0029686C" w:rsidRPr="00DD6763">
        <w:rPr>
          <w:rFonts w:ascii="Times New Roman" w:hAnsi="Times New Roman" w:cs="Times New Roman"/>
          <w:sz w:val="24"/>
          <w:szCs w:val="24"/>
        </w:rPr>
        <w:t>“</w:t>
      </w:r>
      <w:r w:rsidR="006C30AE" w:rsidRPr="00DD6763">
        <w:rPr>
          <w:rFonts w:ascii="Times New Roman" w:hAnsi="Times New Roman" w:cs="Times New Roman"/>
          <w:sz w:val="24"/>
          <w:szCs w:val="24"/>
        </w:rPr>
        <w:t xml:space="preserve">shall not be denied the right, in community with the other members of their group, to enjoy their own culture, to profess and practice their own religion, </w:t>
      </w:r>
      <w:r w:rsidR="0029686C" w:rsidRPr="00DD6763">
        <w:rPr>
          <w:rFonts w:ascii="Times New Roman" w:hAnsi="Times New Roman" w:cs="Times New Roman"/>
          <w:sz w:val="24"/>
          <w:szCs w:val="24"/>
        </w:rPr>
        <w:t>and to use their own language”</w:t>
      </w:r>
      <w:r w:rsidR="00437B7F" w:rsidRPr="00DD6763">
        <w:rPr>
          <w:rFonts w:ascii="Times New Roman" w:hAnsi="Times New Roman" w:cs="Times New Roman"/>
          <w:sz w:val="24"/>
          <w:szCs w:val="24"/>
        </w:rPr>
        <w:t>.</w:t>
      </w:r>
      <w:r w:rsidR="00B97BC1" w:rsidRPr="00DD6763">
        <w:rPr>
          <w:rStyle w:val="FootnoteReference"/>
          <w:rFonts w:ascii="Times New Roman" w:hAnsi="Times New Roman" w:cs="Times New Roman"/>
          <w:sz w:val="24"/>
          <w:szCs w:val="24"/>
        </w:rPr>
        <w:footnoteReference w:id="72"/>
      </w:r>
      <w:r w:rsidR="00437B7F" w:rsidRPr="00DD6763">
        <w:rPr>
          <w:rFonts w:ascii="Times New Roman" w:hAnsi="Times New Roman" w:cs="Times New Roman"/>
          <w:sz w:val="24"/>
          <w:szCs w:val="24"/>
        </w:rPr>
        <w:t xml:space="preserve"> </w:t>
      </w:r>
    </w:p>
    <w:p w14:paraId="6CEEEC75" w14:textId="77777777" w:rsidR="00A13BE2" w:rsidRPr="00DD6763" w:rsidRDefault="00437B7F"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Furthermore</w:t>
      </w:r>
      <w:r w:rsidR="00895CD5" w:rsidRPr="00DD6763">
        <w:rPr>
          <w:rFonts w:ascii="Times New Roman" w:hAnsi="Times New Roman" w:cs="Times New Roman"/>
          <w:sz w:val="24"/>
          <w:szCs w:val="24"/>
        </w:rPr>
        <w:t>, the</w:t>
      </w:r>
      <w:r w:rsidRPr="00DD6763">
        <w:rPr>
          <w:rFonts w:ascii="Times New Roman" w:hAnsi="Times New Roman" w:cs="Times New Roman"/>
          <w:sz w:val="24"/>
          <w:szCs w:val="24"/>
        </w:rPr>
        <w:t xml:space="preserve"> </w:t>
      </w:r>
      <w:r w:rsidR="002668CA" w:rsidRPr="00DD6763">
        <w:rPr>
          <w:rFonts w:ascii="Times New Roman" w:hAnsi="Times New Roman" w:cs="Times New Roman"/>
          <w:sz w:val="24"/>
          <w:szCs w:val="24"/>
        </w:rPr>
        <w:t>HRC</w:t>
      </w:r>
      <w:r w:rsidR="006C30AE" w:rsidRPr="00DD6763">
        <w:rPr>
          <w:rFonts w:ascii="Times New Roman" w:hAnsi="Times New Roman" w:cs="Times New Roman"/>
          <w:sz w:val="24"/>
          <w:szCs w:val="24"/>
        </w:rPr>
        <w:t xml:space="preserve"> General Comment Nº 23(50)</w:t>
      </w:r>
      <w:r w:rsidRPr="00DD6763">
        <w:rPr>
          <w:rFonts w:ascii="Times New Roman" w:hAnsi="Times New Roman" w:cs="Times New Roman"/>
          <w:sz w:val="24"/>
          <w:szCs w:val="24"/>
        </w:rPr>
        <w:t xml:space="preserve"> </w:t>
      </w:r>
      <w:r w:rsidR="00895CD5" w:rsidRPr="00DD6763">
        <w:rPr>
          <w:rFonts w:ascii="Times New Roman" w:hAnsi="Times New Roman" w:cs="Times New Roman"/>
          <w:sz w:val="24"/>
          <w:szCs w:val="24"/>
        </w:rPr>
        <w:t xml:space="preserve">(Article 27) </w:t>
      </w:r>
      <w:r w:rsidRPr="00DD6763">
        <w:rPr>
          <w:rFonts w:ascii="Times New Roman" w:hAnsi="Times New Roman" w:cs="Times New Roman"/>
          <w:sz w:val="24"/>
          <w:szCs w:val="24"/>
        </w:rPr>
        <w:t xml:space="preserve">when referring </w:t>
      </w:r>
      <w:r w:rsidR="00895CD5" w:rsidRPr="00DD6763">
        <w:rPr>
          <w:rFonts w:ascii="Times New Roman" w:hAnsi="Times New Roman" w:cs="Times New Roman"/>
          <w:sz w:val="24"/>
          <w:szCs w:val="24"/>
        </w:rPr>
        <w:t>to natural resources clearly states that</w:t>
      </w:r>
    </w:p>
    <w:p w14:paraId="24F900F3" w14:textId="722E152A" w:rsidR="00A13BE2" w:rsidRPr="00DD6763" w:rsidRDefault="00437B7F"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 </w:t>
      </w:r>
    </w:p>
    <w:p w14:paraId="24793AC2" w14:textId="1247D2E4" w:rsidR="00A13BE2" w:rsidRPr="00DD6763" w:rsidRDefault="00895CD5" w:rsidP="00A13BE2">
      <w:pPr>
        <w:spacing w:after="0" w:line="276" w:lineRule="auto"/>
        <w:ind w:left="720"/>
        <w:jc w:val="both"/>
        <w:rPr>
          <w:rFonts w:ascii="Times New Roman" w:hAnsi="Times New Roman" w:cs="Times New Roman"/>
          <w:sz w:val="24"/>
          <w:szCs w:val="24"/>
        </w:rPr>
      </w:pPr>
      <w:r w:rsidRPr="00DD6763">
        <w:rPr>
          <w:rFonts w:ascii="Times New Roman" w:hAnsi="Times New Roman" w:cs="Times New Roman"/>
          <w:sz w:val="24"/>
          <w:szCs w:val="24"/>
        </w:rPr>
        <w:t>[c</w:t>
      </w:r>
      <w:r w:rsidR="006C30AE" w:rsidRPr="00DD6763">
        <w:rPr>
          <w:rFonts w:ascii="Times New Roman" w:hAnsi="Times New Roman" w:cs="Times New Roman"/>
          <w:sz w:val="24"/>
          <w:szCs w:val="24"/>
        </w:rPr>
        <w:t>]</w:t>
      </w:r>
      <w:proofErr w:type="spellStart"/>
      <w:r w:rsidR="006C30AE" w:rsidRPr="00DD6763">
        <w:rPr>
          <w:rFonts w:ascii="Times New Roman" w:hAnsi="Times New Roman" w:cs="Times New Roman"/>
          <w:sz w:val="24"/>
          <w:szCs w:val="24"/>
        </w:rPr>
        <w:t>ulture</w:t>
      </w:r>
      <w:proofErr w:type="spellEnd"/>
      <w:r w:rsidR="006C30AE" w:rsidRPr="00DD6763">
        <w:rPr>
          <w:rFonts w:ascii="Times New Roman" w:hAnsi="Times New Roman" w:cs="Times New Roman"/>
          <w:sz w:val="24"/>
          <w:szCs w:val="24"/>
        </w:rPr>
        <w:t xml:space="preserve"> manifests itself in many forms, including a particular way of life associate</w:t>
      </w:r>
      <w:r w:rsidR="00D20A43" w:rsidRPr="00DD6763">
        <w:rPr>
          <w:rFonts w:ascii="Times New Roman" w:hAnsi="Times New Roman" w:cs="Times New Roman"/>
          <w:sz w:val="24"/>
          <w:szCs w:val="24"/>
        </w:rPr>
        <w:t>d</w:t>
      </w:r>
      <w:r w:rsidR="006C30AE" w:rsidRPr="00DD6763">
        <w:rPr>
          <w:rFonts w:ascii="Times New Roman" w:hAnsi="Times New Roman" w:cs="Times New Roman"/>
          <w:sz w:val="24"/>
          <w:szCs w:val="24"/>
        </w:rPr>
        <w:t xml:space="preserve"> with </w:t>
      </w:r>
      <w:r w:rsidR="001156A7" w:rsidRPr="00DD6763">
        <w:rPr>
          <w:rFonts w:ascii="Times New Roman" w:hAnsi="Times New Roman" w:cs="Times New Roman"/>
          <w:sz w:val="24"/>
          <w:szCs w:val="24"/>
        </w:rPr>
        <w:t xml:space="preserve">the use of land resources </w:t>
      </w:r>
      <w:r w:rsidR="00552816" w:rsidRPr="00DD6763">
        <w:rPr>
          <w:rFonts w:ascii="Times New Roman" w:hAnsi="Times New Roman" w:cs="Times New Roman"/>
          <w:sz w:val="24"/>
          <w:szCs w:val="24"/>
        </w:rPr>
        <w:t>(…) [</w:t>
      </w:r>
      <w:proofErr w:type="spellStart"/>
      <w:r w:rsidR="00552816" w:rsidRPr="00DD6763">
        <w:rPr>
          <w:rFonts w:ascii="Times New Roman" w:hAnsi="Times New Roman" w:cs="Times New Roman"/>
          <w:sz w:val="24"/>
          <w:szCs w:val="24"/>
        </w:rPr>
        <w:t>t]</w:t>
      </w:r>
      <w:r w:rsidR="006C30AE" w:rsidRPr="00DD6763">
        <w:rPr>
          <w:rFonts w:ascii="Times New Roman" w:hAnsi="Times New Roman" w:cs="Times New Roman"/>
          <w:sz w:val="24"/>
          <w:szCs w:val="24"/>
        </w:rPr>
        <w:t>he</w:t>
      </w:r>
      <w:proofErr w:type="spellEnd"/>
      <w:r w:rsidR="006C30AE" w:rsidRPr="00DD6763">
        <w:rPr>
          <w:rFonts w:ascii="Times New Roman" w:hAnsi="Times New Roman" w:cs="Times New Roman"/>
          <w:sz w:val="24"/>
          <w:szCs w:val="24"/>
        </w:rPr>
        <w:t xml:space="preserve"> enjoyment of these rights may require positive measures of protection and measures to ensure the effective participation of me</w:t>
      </w:r>
      <w:r w:rsidR="00B97BC1" w:rsidRPr="00DD6763">
        <w:rPr>
          <w:rFonts w:ascii="Times New Roman" w:hAnsi="Times New Roman" w:cs="Times New Roman"/>
          <w:sz w:val="24"/>
          <w:szCs w:val="24"/>
        </w:rPr>
        <w:t>mbers of minority communities i</w:t>
      </w:r>
      <w:r w:rsidR="006C30AE" w:rsidRPr="00DD6763">
        <w:rPr>
          <w:rFonts w:ascii="Times New Roman" w:hAnsi="Times New Roman" w:cs="Times New Roman"/>
          <w:sz w:val="24"/>
          <w:szCs w:val="24"/>
        </w:rPr>
        <w:t>n</w:t>
      </w:r>
      <w:r w:rsidR="00A13BE2" w:rsidRPr="00DD6763">
        <w:rPr>
          <w:rFonts w:ascii="Times New Roman" w:hAnsi="Times New Roman" w:cs="Times New Roman"/>
          <w:sz w:val="24"/>
          <w:szCs w:val="24"/>
        </w:rPr>
        <w:t xml:space="preserve"> decisions which affect them</w:t>
      </w:r>
      <w:r w:rsidR="006C30AE" w:rsidRPr="00DD6763">
        <w:rPr>
          <w:rFonts w:ascii="Times New Roman" w:hAnsi="Times New Roman" w:cs="Times New Roman"/>
          <w:sz w:val="24"/>
          <w:szCs w:val="24"/>
        </w:rPr>
        <w:t>.</w:t>
      </w:r>
      <w:r w:rsidR="006C30AE" w:rsidRPr="00DD6763">
        <w:rPr>
          <w:rStyle w:val="FootnoteReference"/>
          <w:rFonts w:ascii="Times New Roman" w:hAnsi="Times New Roman" w:cs="Times New Roman"/>
          <w:sz w:val="24"/>
          <w:szCs w:val="24"/>
        </w:rPr>
        <w:footnoteReference w:id="73"/>
      </w:r>
      <w:r w:rsidR="005F6E00" w:rsidRPr="00DD6763">
        <w:rPr>
          <w:rFonts w:ascii="Times New Roman" w:hAnsi="Times New Roman" w:cs="Times New Roman"/>
          <w:sz w:val="24"/>
          <w:szCs w:val="24"/>
        </w:rPr>
        <w:t xml:space="preserve"> </w:t>
      </w:r>
    </w:p>
    <w:p w14:paraId="401DC060" w14:textId="77777777" w:rsidR="00A13BE2" w:rsidRPr="00DD6763" w:rsidRDefault="00A13BE2" w:rsidP="00A13BE2">
      <w:pPr>
        <w:spacing w:after="0" w:line="276" w:lineRule="auto"/>
        <w:jc w:val="both"/>
        <w:rPr>
          <w:rFonts w:ascii="Times New Roman" w:hAnsi="Times New Roman" w:cs="Times New Roman"/>
          <w:sz w:val="24"/>
          <w:szCs w:val="24"/>
        </w:rPr>
      </w:pPr>
    </w:p>
    <w:p w14:paraId="640D41CE" w14:textId="01BCB94F" w:rsidR="00FE754E" w:rsidRPr="00DD6763" w:rsidRDefault="00FE754E" w:rsidP="00A13BE2">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The adoption of UNDRIP signified a turning point in this protection because it draws together specific</w:t>
      </w:r>
      <w:r w:rsidR="00DF6E1A" w:rsidRPr="00DD6763">
        <w:rPr>
          <w:rFonts w:ascii="Times New Roman" w:hAnsi="Times New Roman" w:cs="Times New Roman"/>
          <w:sz w:val="24"/>
          <w:szCs w:val="24"/>
        </w:rPr>
        <w:t xml:space="preserve"> rights in a systematic manner. </w:t>
      </w:r>
      <w:r w:rsidRPr="00DD6763">
        <w:rPr>
          <w:rFonts w:ascii="Times New Roman" w:hAnsi="Times New Roman" w:cs="Times New Roman"/>
          <w:sz w:val="24"/>
          <w:szCs w:val="24"/>
        </w:rPr>
        <w:t xml:space="preserve">Specifically concerning FPIC in </w:t>
      </w:r>
      <w:proofErr w:type="spellStart"/>
      <w:r w:rsidRPr="00DD6763">
        <w:rPr>
          <w:rFonts w:ascii="Times New Roman" w:hAnsi="Times New Roman" w:cs="Times New Roman"/>
          <w:i/>
          <w:sz w:val="24"/>
          <w:szCs w:val="24"/>
        </w:rPr>
        <w:t>Poma-Poma</w:t>
      </w:r>
      <w:proofErr w:type="spellEnd"/>
      <w:r w:rsidR="0029686C" w:rsidRPr="00DD6763">
        <w:rPr>
          <w:rFonts w:ascii="Times New Roman" w:hAnsi="Times New Roman" w:cs="Times New Roman"/>
          <w:sz w:val="24"/>
          <w:szCs w:val="24"/>
        </w:rPr>
        <w:t>, the HRC recalled that “</w:t>
      </w:r>
      <w:r w:rsidRPr="00DD6763">
        <w:rPr>
          <w:rFonts w:ascii="Times New Roman" w:hAnsi="Times New Roman" w:cs="Times New Roman"/>
          <w:sz w:val="24"/>
          <w:szCs w:val="24"/>
        </w:rPr>
        <w:t xml:space="preserve">participation in the decision-making process must be effective, which requires not mere consultation but the free, prior and informed consent </w:t>
      </w:r>
      <w:r w:rsidR="0029686C" w:rsidRPr="00DD6763">
        <w:rPr>
          <w:rFonts w:ascii="Times New Roman" w:hAnsi="Times New Roman" w:cs="Times New Roman"/>
          <w:sz w:val="24"/>
          <w:szCs w:val="24"/>
        </w:rPr>
        <w:t>of the members of the community”</w:t>
      </w:r>
      <w:r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74"/>
      </w:r>
    </w:p>
    <w:p w14:paraId="2FBE3449" w14:textId="1365EDAE" w:rsidR="00000F6D" w:rsidRPr="00DD6763" w:rsidRDefault="00000F6D"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In turn, the Committee on Economic, Social and Cultural Rights (CESCR) has </w:t>
      </w:r>
      <w:r w:rsidR="0035084C" w:rsidRPr="00DD6763">
        <w:rPr>
          <w:rFonts w:ascii="Times New Roman" w:hAnsi="Times New Roman" w:cs="Times New Roman"/>
          <w:sz w:val="24"/>
          <w:szCs w:val="24"/>
        </w:rPr>
        <w:t xml:space="preserve">referred to FPIC in General Comment No. 21, calling </w:t>
      </w:r>
      <w:r w:rsidRPr="00DD6763">
        <w:rPr>
          <w:rFonts w:ascii="Times New Roman" w:hAnsi="Times New Roman" w:cs="Times New Roman"/>
          <w:sz w:val="24"/>
          <w:szCs w:val="24"/>
        </w:rPr>
        <w:t>states</w:t>
      </w:r>
      <w:r w:rsidR="0035084C" w:rsidRPr="00DD6763">
        <w:rPr>
          <w:rFonts w:ascii="Times New Roman" w:hAnsi="Times New Roman" w:cs="Times New Roman"/>
          <w:sz w:val="24"/>
          <w:szCs w:val="24"/>
        </w:rPr>
        <w:t xml:space="preserve"> on</w:t>
      </w:r>
      <w:r w:rsidR="0029686C" w:rsidRPr="00DD6763">
        <w:rPr>
          <w:rFonts w:ascii="Times New Roman" w:hAnsi="Times New Roman" w:cs="Times New Roman"/>
          <w:sz w:val="24"/>
          <w:szCs w:val="24"/>
        </w:rPr>
        <w:t xml:space="preserve"> to “</w:t>
      </w:r>
      <w:r w:rsidRPr="00DD6763">
        <w:rPr>
          <w:rFonts w:ascii="Times New Roman" w:hAnsi="Times New Roman" w:cs="Times New Roman"/>
          <w:sz w:val="24"/>
          <w:szCs w:val="24"/>
        </w:rPr>
        <w:t>respect the principle of free, prior, and informed consent of indigenous peoples in all matters c</w:t>
      </w:r>
      <w:r w:rsidR="0029686C" w:rsidRPr="00DD6763">
        <w:rPr>
          <w:rFonts w:ascii="Times New Roman" w:hAnsi="Times New Roman" w:cs="Times New Roman"/>
          <w:sz w:val="24"/>
          <w:szCs w:val="24"/>
        </w:rPr>
        <w:t>overed by their specific rights”</w:t>
      </w:r>
      <w:r w:rsidRPr="00DD6763">
        <w:rPr>
          <w:rFonts w:ascii="Times New Roman" w:hAnsi="Times New Roman" w:cs="Times New Roman"/>
          <w:sz w:val="24"/>
          <w:szCs w:val="24"/>
        </w:rPr>
        <w:t xml:space="preserve"> and specifica</w:t>
      </w:r>
      <w:r w:rsidR="0029686C" w:rsidRPr="00DD6763">
        <w:rPr>
          <w:rFonts w:ascii="Times New Roman" w:hAnsi="Times New Roman" w:cs="Times New Roman"/>
          <w:sz w:val="24"/>
          <w:szCs w:val="24"/>
        </w:rPr>
        <w:t>lly to “</w:t>
      </w:r>
      <w:r w:rsidRPr="00DD6763">
        <w:rPr>
          <w:rFonts w:ascii="Times New Roman" w:hAnsi="Times New Roman" w:cs="Times New Roman"/>
          <w:sz w:val="24"/>
          <w:szCs w:val="24"/>
        </w:rPr>
        <w:t>obtain their free and informed prior consent when the preservation of their cultural resources, especially those associated with their way of life and c</w:t>
      </w:r>
      <w:r w:rsidR="0029686C" w:rsidRPr="00DD6763">
        <w:rPr>
          <w:rFonts w:ascii="Times New Roman" w:hAnsi="Times New Roman" w:cs="Times New Roman"/>
          <w:sz w:val="24"/>
          <w:szCs w:val="24"/>
        </w:rPr>
        <w:t>ultural expression, are at risk”</w:t>
      </w:r>
      <w:r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75"/>
      </w:r>
    </w:p>
    <w:p w14:paraId="5D7111E5" w14:textId="268ABE19" w:rsidR="00DF6E1A" w:rsidRPr="00DD6763" w:rsidRDefault="001F3DE9"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A brief reference to the work of the Committee on the Elimination of Racial Discrimination (CERD) </w:t>
      </w:r>
      <w:r w:rsidR="00552816" w:rsidRPr="00DD6763">
        <w:rPr>
          <w:rFonts w:ascii="Times New Roman" w:hAnsi="Times New Roman" w:cs="Times New Roman"/>
          <w:sz w:val="24"/>
          <w:szCs w:val="24"/>
        </w:rPr>
        <w:t>and</w:t>
      </w:r>
      <w:r w:rsidR="00F01F12" w:rsidRPr="00DD6763">
        <w:rPr>
          <w:rFonts w:ascii="Times New Roman" w:hAnsi="Times New Roman" w:cs="Times New Roman"/>
          <w:sz w:val="24"/>
          <w:szCs w:val="24"/>
        </w:rPr>
        <w:t xml:space="preserve"> the principle of non-discrimination </w:t>
      </w:r>
      <w:r w:rsidRPr="00DD6763">
        <w:rPr>
          <w:rFonts w:ascii="Times New Roman" w:hAnsi="Times New Roman" w:cs="Times New Roman"/>
          <w:sz w:val="24"/>
          <w:szCs w:val="24"/>
        </w:rPr>
        <w:t>is in order.</w:t>
      </w:r>
      <w:r w:rsidR="00F01F12" w:rsidRPr="00DD6763">
        <w:t xml:space="preserve"> </w:t>
      </w:r>
      <w:r w:rsidR="0035084C" w:rsidRPr="00DD6763">
        <w:rPr>
          <w:rFonts w:ascii="Times New Roman" w:hAnsi="Times New Roman" w:cs="Times New Roman"/>
          <w:sz w:val="24"/>
          <w:szCs w:val="24"/>
        </w:rPr>
        <w:t xml:space="preserve">According </w:t>
      </w:r>
      <w:r w:rsidR="00DD6763" w:rsidRPr="00DD6763">
        <w:rPr>
          <w:rFonts w:ascii="Times New Roman" w:hAnsi="Times New Roman" w:cs="Times New Roman"/>
          <w:sz w:val="24"/>
          <w:szCs w:val="24"/>
        </w:rPr>
        <w:t>to its 1997 General Recommendation No 23 on</w:t>
      </w:r>
      <w:r w:rsidR="00F01F12" w:rsidRPr="00DD6763">
        <w:rPr>
          <w:rFonts w:ascii="Times New Roman" w:hAnsi="Times New Roman" w:cs="Times New Roman"/>
          <w:sz w:val="24"/>
          <w:szCs w:val="24"/>
        </w:rPr>
        <w:t xml:space="preserve"> </w:t>
      </w:r>
      <w:r w:rsidR="00DD6763" w:rsidRPr="00DD6763">
        <w:rPr>
          <w:rFonts w:ascii="Times New Roman" w:hAnsi="Times New Roman" w:cs="Times New Roman"/>
          <w:sz w:val="24"/>
          <w:szCs w:val="24"/>
        </w:rPr>
        <w:t>indigenous people</w:t>
      </w:r>
      <w:r w:rsidR="00F01F12" w:rsidRPr="00DD6763">
        <w:rPr>
          <w:rFonts w:ascii="Times New Roman" w:hAnsi="Times New Roman" w:cs="Times New Roman"/>
          <w:sz w:val="24"/>
          <w:szCs w:val="24"/>
        </w:rPr>
        <w:t xml:space="preserve">, </w:t>
      </w:r>
      <w:r w:rsidR="0035084C" w:rsidRPr="00DD6763">
        <w:rPr>
          <w:rFonts w:ascii="Times New Roman" w:hAnsi="Times New Roman" w:cs="Times New Roman"/>
          <w:sz w:val="24"/>
          <w:szCs w:val="24"/>
        </w:rPr>
        <w:t>states must</w:t>
      </w:r>
      <w:r w:rsidR="00F01F12" w:rsidRPr="00DD6763">
        <w:rPr>
          <w:rFonts w:ascii="Times New Roman" w:hAnsi="Times New Roman" w:cs="Times New Roman"/>
          <w:sz w:val="24"/>
          <w:szCs w:val="24"/>
        </w:rPr>
        <w:t xml:space="preserve"> ensure that </w:t>
      </w:r>
      <w:r w:rsidR="0035084C" w:rsidRPr="00DD6763">
        <w:rPr>
          <w:rFonts w:ascii="Times New Roman" w:hAnsi="Times New Roman" w:cs="Times New Roman"/>
          <w:sz w:val="24"/>
          <w:szCs w:val="24"/>
        </w:rPr>
        <w:t>no</w:t>
      </w:r>
      <w:r w:rsidR="00F01F12" w:rsidRPr="00DD6763">
        <w:rPr>
          <w:rFonts w:ascii="Times New Roman" w:hAnsi="Times New Roman" w:cs="Times New Roman"/>
          <w:sz w:val="24"/>
          <w:szCs w:val="24"/>
        </w:rPr>
        <w:t xml:space="preserve"> </w:t>
      </w:r>
      <w:r w:rsidR="00DD6763" w:rsidRPr="00DD6763">
        <w:rPr>
          <w:rFonts w:ascii="Times New Roman" w:hAnsi="Times New Roman" w:cs="Times New Roman"/>
          <w:sz w:val="24"/>
          <w:szCs w:val="24"/>
        </w:rPr>
        <w:t>decisions relating directly to</w:t>
      </w:r>
      <w:r w:rsidR="00F01F12" w:rsidRPr="00DD6763">
        <w:rPr>
          <w:rFonts w:ascii="Times New Roman" w:hAnsi="Times New Roman" w:cs="Times New Roman"/>
          <w:sz w:val="24"/>
          <w:szCs w:val="24"/>
        </w:rPr>
        <w:t xml:space="preserve"> indigenous peoples are to be taken without their informed consent.</w:t>
      </w:r>
      <w:r w:rsidR="00F01F12" w:rsidRPr="00DD6763">
        <w:rPr>
          <w:rStyle w:val="FootnoteReference"/>
          <w:rFonts w:ascii="Times New Roman" w:hAnsi="Times New Roman" w:cs="Times New Roman"/>
          <w:sz w:val="24"/>
          <w:szCs w:val="24"/>
        </w:rPr>
        <w:footnoteReference w:id="76"/>
      </w:r>
      <w:r w:rsidRPr="00DD6763">
        <w:rPr>
          <w:rFonts w:ascii="Times New Roman" w:hAnsi="Times New Roman" w:cs="Times New Roman"/>
          <w:sz w:val="24"/>
          <w:szCs w:val="24"/>
        </w:rPr>
        <w:t xml:space="preserve"> </w:t>
      </w:r>
      <w:r w:rsidR="00000F6D" w:rsidRPr="00DD6763">
        <w:rPr>
          <w:rFonts w:ascii="Times New Roman" w:hAnsi="Times New Roman" w:cs="Times New Roman"/>
          <w:sz w:val="24"/>
          <w:szCs w:val="24"/>
        </w:rPr>
        <w:t xml:space="preserve">CERD has constantly defend the right to consult of indigenous peoples as shown in earlier </w:t>
      </w:r>
      <w:r w:rsidR="00FB5E7D" w:rsidRPr="00DD6763">
        <w:rPr>
          <w:rFonts w:ascii="Times New Roman" w:hAnsi="Times New Roman" w:cs="Times New Roman"/>
          <w:sz w:val="24"/>
          <w:szCs w:val="24"/>
        </w:rPr>
        <w:t>cases</w:t>
      </w:r>
      <w:r w:rsidR="00000F6D" w:rsidRPr="00DD6763">
        <w:rPr>
          <w:rFonts w:ascii="Times New Roman" w:hAnsi="Times New Roman" w:cs="Times New Roman"/>
          <w:sz w:val="24"/>
          <w:szCs w:val="24"/>
        </w:rPr>
        <w:t>.</w:t>
      </w:r>
      <w:r w:rsidR="00F01F12" w:rsidRPr="00DD6763">
        <w:rPr>
          <w:rStyle w:val="FootnoteReference"/>
          <w:rFonts w:ascii="Times New Roman" w:hAnsi="Times New Roman" w:cs="Times New Roman"/>
          <w:sz w:val="24"/>
          <w:szCs w:val="24"/>
        </w:rPr>
        <w:footnoteReference w:id="77"/>
      </w:r>
      <w:r w:rsidR="0006670D" w:rsidRPr="00DD6763">
        <w:rPr>
          <w:rFonts w:ascii="Times New Roman" w:hAnsi="Times New Roman" w:cs="Times New Roman"/>
          <w:sz w:val="24"/>
          <w:szCs w:val="24"/>
        </w:rPr>
        <w:t xml:space="preserve"> </w:t>
      </w:r>
      <w:r w:rsidRPr="00DD6763">
        <w:rPr>
          <w:rFonts w:ascii="Times New Roman" w:hAnsi="Times New Roman" w:cs="Times New Roman"/>
          <w:sz w:val="24"/>
          <w:szCs w:val="24"/>
        </w:rPr>
        <w:t>I</w:t>
      </w:r>
      <w:r w:rsidR="001A4C44" w:rsidRPr="00DD6763">
        <w:rPr>
          <w:rFonts w:ascii="Times New Roman" w:hAnsi="Times New Roman" w:cs="Times New Roman"/>
          <w:sz w:val="24"/>
          <w:szCs w:val="24"/>
        </w:rPr>
        <w:t>n recent</w:t>
      </w:r>
      <w:r w:rsidRPr="00DD6763">
        <w:rPr>
          <w:rFonts w:ascii="Times New Roman" w:hAnsi="Times New Roman" w:cs="Times New Roman"/>
          <w:sz w:val="24"/>
          <w:szCs w:val="24"/>
        </w:rPr>
        <w:t xml:space="preserve"> </w:t>
      </w:r>
      <w:r w:rsidR="00FB5E7D" w:rsidRPr="00DD6763">
        <w:rPr>
          <w:rFonts w:ascii="Times New Roman" w:hAnsi="Times New Roman" w:cs="Times New Roman"/>
          <w:sz w:val="24"/>
          <w:szCs w:val="24"/>
        </w:rPr>
        <w:t>cases</w:t>
      </w:r>
      <w:r w:rsidRPr="00DD6763">
        <w:rPr>
          <w:rFonts w:ascii="Times New Roman" w:hAnsi="Times New Roman" w:cs="Times New Roman"/>
          <w:sz w:val="24"/>
          <w:szCs w:val="24"/>
        </w:rPr>
        <w:t xml:space="preserve">, CERD </w:t>
      </w:r>
      <w:r w:rsidR="001A4C44" w:rsidRPr="00DD6763">
        <w:rPr>
          <w:rFonts w:ascii="Times New Roman" w:hAnsi="Times New Roman" w:cs="Times New Roman"/>
          <w:sz w:val="24"/>
          <w:szCs w:val="24"/>
        </w:rPr>
        <w:t>has emphasised the obligation of States to obtain in good faith free, prior and informed consent of indigenous peoples.</w:t>
      </w:r>
      <w:r w:rsidR="001A4C44" w:rsidRPr="00DD6763">
        <w:rPr>
          <w:rStyle w:val="FootnoteReference"/>
          <w:rFonts w:ascii="Times New Roman" w:hAnsi="Times New Roman" w:cs="Times New Roman"/>
          <w:sz w:val="24"/>
          <w:szCs w:val="24"/>
        </w:rPr>
        <w:footnoteReference w:id="78"/>
      </w:r>
    </w:p>
    <w:p w14:paraId="2B548D2D" w14:textId="480BAB3D" w:rsidR="00295503" w:rsidRPr="00DD6763" w:rsidRDefault="008A3E53"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On the regional level</w:t>
      </w:r>
      <w:r w:rsidR="004869E1" w:rsidRPr="00DD6763">
        <w:rPr>
          <w:rFonts w:ascii="Times New Roman" w:hAnsi="Times New Roman" w:cs="Times New Roman"/>
          <w:sz w:val="24"/>
          <w:szCs w:val="24"/>
        </w:rPr>
        <w:t xml:space="preserve">, </w:t>
      </w:r>
      <w:r w:rsidR="00277F03" w:rsidRPr="00DD6763">
        <w:rPr>
          <w:rFonts w:ascii="Times New Roman" w:hAnsi="Times New Roman" w:cs="Times New Roman"/>
          <w:sz w:val="24"/>
          <w:szCs w:val="24"/>
        </w:rPr>
        <w:t>t</w:t>
      </w:r>
      <w:r w:rsidR="00213BED" w:rsidRPr="00DD6763">
        <w:rPr>
          <w:rFonts w:ascii="Times New Roman" w:hAnsi="Times New Roman" w:cs="Times New Roman"/>
          <w:sz w:val="24"/>
          <w:szCs w:val="24"/>
        </w:rPr>
        <w:t>he c</w:t>
      </w:r>
      <w:r w:rsidR="00505371" w:rsidRPr="00DD6763">
        <w:rPr>
          <w:rFonts w:ascii="Times New Roman" w:hAnsi="Times New Roman" w:cs="Times New Roman"/>
          <w:sz w:val="24"/>
          <w:szCs w:val="24"/>
        </w:rPr>
        <w:t>ase law on FPIC</w:t>
      </w:r>
      <w:r w:rsidR="00B97BC1" w:rsidRPr="00DD6763">
        <w:rPr>
          <w:rFonts w:ascii="Times New Roman" w:hAnsi="Times New Roman" w:cs="Times New Roman"/>
          <w:sz w:val="24"/>
          <w:szCs w:val="24"/>
        </w:rPr>
        <w:t xml:space="preserve"> issued by</w:t>
      </w:r>
      <w:r w:rsidR="00505371" w:rsidRPr="00DD6763">
        <w:rPr>
          <w:rFonts w:ascii="Times New Roman" w:hAnsi="Times New Roman" w:cs="Times New Roman"/>
          <w:sz w:val="24"/>
          <w:szCs w:val="24"/>
        </w:rPr>
        <w:t xml:space="preserve"> regional</w:t>
      </w:r>
      <w:r w:rsidR="00B97BC1" w:rsidRPr="00DD6763">
        <w:rPr>
          <w:rFonts w:ascii="Times New Roman" w:hAnsi="Times New Roman" w:cs="Times New Roman"/>
          <w:sz w:val="24"/>
          <w:szCs w:val="24"/>
        </w:rPr>
        <w:t xml:space="preserve"> human rights monitoring</w:t>
      </w:r>
      <w:r w:rsidR="00505371" w:rsidRPr="00DD6763">
        <w:rPr>
          <w:rFonts w:ascii="Times New Roman" w:hAnsi="Times New Roman" w:cs="Times New Roman"/>
          <w:sz w:val="24"/>
          <w:szCs w:val="24"/>
        </w:rPr>
        <w:t xml:space="preserve"> bodies has emerged in the Inter</w:t>
      </w:r>
      <w:r w:rsidR="00B52333" w:rsidRPr="00DD6763">
        <w:rPr>
          <w:rFonts w:ascii="Times New Roman" w:hAnsi="Times New Roman" w:cs="Times New Roman"/>
          <w:sz w:val="24"/>
          <w:szCs w:val="24"/>
        </w:rPr>
        <w:t xml:space="preserve">-American </w:t>
      </w:r>
      <w:r w:rsidR="00295503" w:rsidRPr="00DD6763">
        <w:rPr>
          <w:rFonts w:ascii="Times New Roman" w:hAnsi="Times New Roman" w:cs="Times New Roman"/>
          <w:sz w:val="24"/>
          <w:szCs w:val="24"/>
        </w:rPr>
        <w:t>Human Rights</w:t>
      </w:r>
      <w:r w:rsidR="00B52333" w:rsidRPr="00DD6763">
        <w:rPr>
          <w:rFonts w:ascii="Times New Roman" w:hAnsi="Times New Roman" w:cs="Times New Roman"/>
          <w:sz w:val="24"/>
          <w:szCs w:val="24"/>
        </w:rPr>
        <w:t xml:space="preserve"> System</w:t>
      </w:r>
      <w:r w:rsidR="00AD37CD" w:rsidRPr="00DD6763">
        <w:rPr>
          <w:rFonts w:ascii="Times New Roman" w:hAnsi="Times New Roman" w:cs="Times New Roman"/>
          <w:sz w:val="24"/>
          <w:szCs w:val="24"/>
        </w:rPr>
        <w:t xml:space="preserve"> and</w:t>
      </w:r>
      <w:r w:rsidR="00D519A5" w:rsidRPr="00DD6763">
        <w:rPr>
          <w:rFonts w:ascii="Times New Roman" w:hAnsi="Times New Roman" w:cs="Times New Roman"/>
          <w:sz w:val="24"/>
          <w:szCs w:val="24"/>
        </w:rPr>
        <w:t xml:space="preserve"> </w:t>
      </w:r>
      <w:r w:rsidR="00505371" w:rsidRPr="00DD6763">
        <w:rPr>
          <w:rFonts w:ascii="Times New Roman" w:hAnsi="Times New Roman" w:cs="Times New Roman"/>
          <w:sz w:val="24"/>
          <w:szCs w:val="24"/>
        </w:rPr>
        <w:t>in th</w:t>
      </w:r>
      <w:r w:rsidR="00350619" w:rsidRPr="00DD6763">
        <w:rPr>
          <w:rFonts w:ascii="Times New Roman" w:hAnsi="Times New Roman" w:cs="Times New Roman"/>
          <w:sz w:val="24"/>
          <w:szCs w:val="24"/>
        </w:rPr>
        <w:t xml:space="preserve">e African Human Rights System. </w:t>
      </w:r>
      <w:r w:rsidR="00B97BC1" w:rsidRPr="00DD6763">
        <w:rPr>
          <w:rFonts w:ascii="Times New Roman" w:hAnsi="Times New Roman" w:cs="Times New Roman"/>
          <w:sz w:val="24"/>
          <w:szCs w:val="24"/>
        </w:rPr>
        <w:t>A</w:t>
      </w:r>
      <w:r w:rsidR="0079457A" w:rsidRPr="00DD6763">
        <w:rPr>
          <w:rFonts w:ascii="Times New Roman" w:hAnsi="Times New Roman" w:cs="Times New Roman"/>
          <w:sz w:val="24"/>
          <w:szCs w:val="24"/>
        </w:rPr>
        <w:t>long with regional human rights instruments</w:t>
      </w:r>
      <w:r w:rsidR="00B97BC1" w:rsidRPr="00DD6763">
        <w:rPr>
          <w:rFonts w:ascii="Times New Roman" w:hAnsi="Times New Roman" w:cs="Times New Roman"/>
          <w:sz w:val="24"/>
          <w:szCs w:val="24"/>
        </w:rPr>
        <w:t>,</w:t>
      </w:r>
      <w:r w:rsidR="0079457A" w:rsidRPr="00DD6763">
        <w:rPr>
          <w:rFonts w:ascii="Times New Roman" w:hAnsi="Times New Roman" w:cs="Times New Roman"/>
          <w:sz w:val="24"/>
          <w:szCs w:val="24"/>
        </w:rPr>
        <w:t xml:space="preserve"> </w:t>
      </w:r>
      <w:r w:rsidR="00FE754E" w:rsidRPr="00DD6763">
        <w:rPr>
          <w:rFonts w:ascii="Times New Roman" w:hAnsi="Times New Roman" w:cs="Times New Roman"/>
          <w:sz w:val="24"/>
          <w:szCs w:val="24"/>
        </w:rPr>
        <w:t>bot</w:t>
      </w:r>
      <w:r w:rsidR="00797F33" w:rsidRPr="00DD6763">
        <w:rPr>
          <w:rFonts w:ascii="Times New Roman" w:hAnsi="Times New Roman" w:cs="Times New Roman"/>
          <w:sz w:val="24"/>
          <w:szCs w:val="24"/>
        </w:rPr>
        <w:t xml:space="preserve">h the Inter-American Commission </w:t>
      </w:r>
      <w:r w:rsidR="00FE754E" w:rsidRPr="00DD6763">
        <w:rPr>
          <w:rFonts w:ascii="Times New Roman" w:hAnsi="Times New Roman" w:cs="Times New Roman"/>
          <w:sz w:val="24"/>
          <w:szCs w:val="24"/>
        </w:rPr>
        <w:t xml:space="preserve">and the Court in cases concerning indigenous property and resettlement, as well </w:t>
      </w:r>
      <w:r w:rsidR="00FE754E" w:rsidRPr="00DD6763">
        <w:rPr>
          <w:rFonts w:ascii="Times New Roman" w:hAnsi="Times New Roman" w:cs="Times New Roman"/>
          <w:sz w:val="24"/>
          <w:szCs w:val="24"/>
        </w:rPr>
        <w:lastRenderedPageBreak/>
        <w:t>as in controversies related to conflicts between investors’ rights and indigenous peoples</w:t>
      </w:r>
      <w:r w:rsidR="0008560B" w:rsidRPr="00DD6763">
        <w:rPr>
          <w:rFonts w:ascii="Times New Roman" w:hAnsi="Times New Roman" w:cs="Times New Roman"/>
          <w:sz w:val="24"/>
          <w:szCs w:val="24"/>
        </w:rPr>
        <w:t>’</w:t>
      </w:r>
      <w:r w:rsidR="00FE754E" w:rsidRPr="00DD6763">
        <w:rPr>
          <w:rFonts w:ascii="Times New Roman" w:hAnsi="Times New Roman" w:cs="Times New Roman"/>
          <w:sz w:val="24"/>
          <w:szCs w:val="24"/>
        </w:rPr>
        <w:t xml:space="preserve"> rig</w:t>
      </w:r>
      <w:r w:rsidR="0006670D" w:rsidRPr="00DD6763">
        <w:rPr>
          <w:rFonts w:ascii="Times New Roman" w:hAnsi="Times New Roman" w:cs="Times New Roman"/>
          <w:sz w:val="24"/>
          <w:szCs w:val="24"/>
        </w:rPr>
        <w:t xml:space="preserve">hts have frequently applied </w:t>
      </w:r>
      <w:r w:rsidR="00FE754E" w:rsidRPr="00DD6763">
        <w:rPr>
          <w:rFonts w:ascii="Times New Roman" w:hAnsi="Times New Roman" w:cs="Times New Roman"/>
          <w:sz w:val="24"/>
          <w:szCs w:val="24"/>
        </w:rPr>
        <w:t>C169</w:t>
      </w:r>
      <w:r w:rsidR="00505371" w:rsidRPr="00DD6763">
        <w:rPr>
          <w:rFonts w:ascii="Times New Roman" w:hAnsi="Times New Roman" w:cs="Times New Roman"/>
          <w:sz w:val="24"/>
          <w:szCs w:val="24"/>
        </w:rPr>
        <w:t xml:space="preserve">. Of particular interest are the cases that involve FPIC </w:t>
      </w:r>
      <w:r w:rsidR="0079457A" w:rsidRPr="00DD6763">
        <w:rPr>
          <w:rFonts w:ascii="Times New Roman" w:hAnsi="Times New Roman" w:cs="Times New Roman"/>
          <w:sz w:val="24"/>
          <w:szCs w:val="24"/>
        </w:rPr>
        <w:t>vis-à-vis</w:t>
      </w:r>
      <w:r w:rsidR="00505371" w:rsidRPr="00DD6763">
        <w:rPr>
          <w:rFonts w:ascii="Times New Roman" w:hAnsi="Times New Roman" w:cs="Times New Roman"/>
          <w:sz w:val="24"/>
          <w:szCs w:val="24"/>
        </w:rPr>
        <w:t xml:space="preserve"> the exploitation of natural resources such as oil conc</w:t>
      </w:r>
      <w:r w:rsidR="0079457A" w:rsidRPr="00DD6763">
        <w:rPr>
          <w:rFonts w:ascii="Times New Roman" w:hAnsi="Times New Roman" w:cs="Times New Roman"/>
          <w:sz w:val="24"/>
          <w:szCs w:val="24"/>
        </w:rPr>
        <w:t>essions or mining activities.</w:t>
      </w:r>
      <w:r w:rsidR="00505371" w:rsidRPr="00DD6763">
        <w:rPr>
          <w:rFonts w:ascii="Times New Roman" w:hAnsi="Times New Roman" w:cs="Times New Roman"/>
          <w:sz w:val="24"/>
          <w:szCs w:val="24"/>
        </w:rPr>
        <w:t xml:space="preserve"> Overall, the underlying argument is </w:t>
      </w:r>
      <w:r w:rsidR="000652A4" w:rsidRPr="00DD6763">
        <w:rPr>
          <w:rFonts w:ascii="Times New Roman" w:hAnsi="Times New Roman" w:cs="Times New Roman"/>
          <w:sz w:val="24"/>
          <w:szCs w:val="24"/>
        </w:rPr>
        <w:t>that indigenous communities should have the right to control (</w:t>
      </w:r>
      <w:r w:rsidR="00350619" w:rsidRPr="00DD6763">
        <w:rPr>
          <w:rFonts w:ascii="Times New Roman" w:hAnsi="Times New Roman" w:cs="Times New Roman"/>
          <w:sz w:val="24"/>
          <w:szCs w:val="24"/>
        </w:rPr>
        <w:t xml:space="preserve">and </w:t>
      </w:r>
      <w:r w:rsidR="000652A4" w:rsidRPr="00DD6763">
        <w:rPr>
          <w:rFonts w:ascii="Times New Roman" w:hAnsi="Times New Roman" w:cs="Times New Roman"/>
          <w:sz w:val="24"/>
          <w:szCs w:val="24"/>
        </w:rPr>
        <w:t xml:space="preserve">consent over) </w:t>
      </w:r>
      <w:r w:rsidR="00350619" w:rsidRPr="00DD6763">
        <w:rPr>
          <w:rFonts w:ascii="Times New Roman" w:hAnsi="Times New Roman" w:cs="Times New Roman"/>
          <w:sz w:val="24"/>
          <w:szCs w:val="24"/>
        </w:rPr>
        <w:t xml:space="preserve">the utilisation of </w:t>
      </w:r>
      <w:r w:rsidR="000652A4" w:rsidRPr="00DD6763">
        <w:rPr>
          <w:rFonts w:ascii="Times New Roman" w:hAnsi="Times New Roman" w:cs="Times New Roman"/>
          <w:sz w:val="24"/>
          <w:szCs w:val="24"/>
        </w:rPr>
        <w:t>such natural resources, including the territories where these are situated</w:t>
      </w:r>
      <w:r w:rsidR="000652A4" w:rsidRPr="00DD6763">
        <w:t xml:space="preserve"> </w:t>
      </w:r>
      <w:r w:rsidR="0079457A" w:rsidRPr="00DD6763">
        <w:rPr>
          <w:rFonts w:ascii="Times New Roman" w:hAnsi="Times New Roman" w:cs="Times New Roman"/>
          <w:sz w:val="24"/>
          <w:szCs w:val="24"/>
        </w:rPr>
        <w:t xml:space="preserve">and that any harmful effects such as pollution should be </w:t>
      </w:r>
      <w:r w:rsidR="00895F39" w:rsidRPr="00DD6763">
        <w:rPr>
          <w:rFonts w:ascii="Times New Roman" w:hAnsi="Times New Roman" w:cs="Times New Roman"/>
          <w:sz w:val="24"/>
          <w:szCs w:val="24"/>
        </w:rPr>
        <w:t>redressed</w:t>
      </w:r>
      <w:r w:rsidR="0079457A" w:rsidRPr="00DD6763">
        <w:rPr>
          <w:rFonts w:ascii="Times New Roman" w:hAnsi="Times New Roman" w:cs="Times New Roman"/>
          <w:sz w:val="24"/>
          <w:szCs w:val="24"/>
        </w:rPr>
        <w:t xml:space="preserve"> to restore the situation to the </w:t>
      </w:r>
      <w:r w:rsidR="0079457A" w:rsidRPr="00DD6763">
        <w:rPr>
          <w:rFonts w:ascii="Times New Roman" w:hAnsi="Times New Roman" w:cs="Times New Roman"/>
          <w:i/>
          <w:sz w:val="24"/>
          <w:szCs w:val="24"/>
        </w:rPr>
        <w:t>status quo ante</w:t>
      </w:r>
      <w:r w:rsidR="00505371" w:rsidRPr="00DD6763">
        <w:rPr>
          <w:rFonts w:ascii="Times New Roman" w:hAnsi="Times New Roman" w:cs="Times New Roman"/>
          <w:sz w:val="24"/>
          <w:szCs w:val="24"/>
        </w:rPr>
        <w:t xml:space="preserve">. </w:t>
      </w:r>
    </w:p>
    <w:p w14:paraId="65B8BC5B" w14:textId="1AE47B98" w:rsidR="00505371" w:rsidRPr="00DD6763" w:rsidRDefault="00B97BC1"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Together with</w:t>
      </w:r>
      <w:r w:rsidR="00505371" w:rsidRPr="00DD6763">
        <w:rPr>
          <w:rFonts w:ascii="Times New Roman" w:hAnsi="Times New Roman" w:cs="Times New Roman"/>
          <w:sz w:val="24"/>
          <w:szCs w:val="24"/>
        </w:rPr>
        <w:t xml:space="preserve"> respect for the cultural identity of communities, the interconnection between FPIC environmental rights</w:t>
      </w:r>
      <w:r w:rsidR="00D20A43" w:rsidRPr="00DD6763">
        <w:rPr>
          <w:rFonts w:ascii="Times New Roman" w:hAnsi="Times New Roman" w:cs="Times New Roman"/>
          <w:sz w:val="24"/>
          <w:szCs w:val="24"/>
        </w:rPr>
        <w:t xml:space="preserve"> </w:t>
      </w:r>
      <w:r w:rsidR="00505371" w:rsidRPr="00DD6763">
        <w:rPr>
          <w:rFonts w:ascii="Times New Roman" w:hAnsi="Times New Roman" w:cs="Times New Roman"/>
          <w:sz w:val="24"/>
          <w:szCs w:val="24"/>
        </w:rPr>
        <w:t>protection, relevant for this article’s purpose, has been made evident i</w:t>
      </w:r>
      <w:r w:rsidR="0079457A" w:rsidRPr="00DD6763">
        <w:rPr>
          <w:rFonts w:ascii="Times New Roman" w:hAnsi="Times New Roman" w:cs="Times New Roman"/>
          <w:sz w:val="24"/>
          <w:szCs w:val="24"/>
        </w:rPr>
        <w:t>n some cases before regional human rights bodie</w:t>
      </w:r>
      <w:r w:rsidR="00505371" w:rsidRPr="00DD6763">
        <w:rPr>
          <w:rFonts w:ascii="Times New Roman" w:hAnsi="Times New Roman" w:cs="Times New Roman"/>
          <w:sz w:val="24"/>
          <w:szCs w:val="24"/>
        </w:rPr>
        <w:t xml:space="preserve">s. </w:t>
      </w:r>
      <w:r w:rsidR="00350619" w:rsidRPr="00DD6763">
        <w:rPr>
          <w:rFonts w:ascii="Times New Roman" w:hAnsi="Times New Roman" w:cs="Times New Roman"/>
          <w:sz w:val="24"/>
          <w:szCs w:val="24"/>
        </w:rPr>
        <w:t>T</w:t>
      </w:r>
      <w:r w:rsidR="00D20A43" w:rsidRPr="00DD6763">
        <w:rPr>
          <w:rFonts w:ascii="Times New Roman" w:hAnsi="Times New Roman" w:cs="Times New Roman"/>
          <w:sz w:val="24"/>
          <w:szCs w:val="24"/>
        </w:rPr>
        <w:t>herefore,</w:t>
      </w:r>
      <w:r w:rsidR="004175C8" w:rsidRPr="00DD6763">
        <w:rPr>
          <w:rFonts w:ascii="Times New Roman" w:hAnsi="Times New Roman" w:cs="Times New Roman"/>
          <w:sz w:val="24"/>
          <w:szCs w:val="24"/>
        </w:rPr>
        <w:t xml:space="preserve"> the focus is thus placed on the conflict between FPIC and </w:t>
      </w:r>
      <w:r w:rsidR="002668CA" w:rsidRPr="00DD6763">
        <w:rPr>
          <w:rFonts w:ascii="Times New Roman" w:hAnsi="Times New Roman" w:cs="Times New Roman"/>
          <w:sz w:val="24"/>
          <w:szCs w:val="24"/>
        </w:rPr>
        <w:t>investors’</w:t>
      </w:r>
      <w:r w:rsidR="004175C8" w:rsidRPr="00DD6763">
        <w:rPr>
          <w:rFonts w:ascii="Times New Roman" w:hAnsi="Times New Roman" w:cs="Times New Roman"/>
          <w:sz w:val="24"/>
          <w:szCs w:val="24"/>
        </w:rPr>
        <w:t xml:space="preserve"> rights and the conception of sustainable development </w:t>
      </w:r>
      <w:r w:rsidRPr="00DD6763">
        <w:rPr>
          <w:rFonts w:ascii="Times New Roman" w:hAnsi="Times New Roman" w:cs="Times New Roman"/>
          <w:sz w:val="24"/>
          <w:szCs w:val="24"/>
        </w:rPr>
        <w:t xml:space="preserve">as </w:t>
      </w:r>
      <w:r w:rsidR="004175C8" w:rsidRPr="00DD6763">
        <w:rPr>
          <w:rFonts w:ascii="Times New Roman" w:hAnsi="Times New Roman" w:cs="Times New Roman"/>
          <w:sz w:val="24"/>
          <w:szCs w:val="24"/>
        </w:rPr>
        <w:t xml:space="preserve">upheld by </w:t>
      </w:r>
      <w:r w:rsidR="005D6A84" w:rsidRPr="00DD6763">
        <w:rPr>
          <w:rFonts w:ascii="Times New Roman" w:hAnsi="Times New Roman" w:cs="Times New Roman"/>
          <w:sz w:val="24"/>
          <w:szCs w:val="24"/>
        </w:rPr>
        <w:t>them</w:t>
      </w:r>
      <w:r w:rsidR="004175C8" w:rsidRPr="00DD6763">
        <w:rPr>
          <w:rFonts w:ascii="Times New Roman" w:hAnsi="Times New Roman" w:cs="Times New Roman"/>
          <w:sz w:val="24"/>
          <w:szCs w:val="24"/>
        </w:rPr>
        <w:t xml:space="preserve"> </w:t>
      </w:r>
      <w:r w:rsidR="00797F33" w:rsidRPr="00DD6763">
        <w:rPr>
          <w:rFonts w:ascii="Times New Roman" w:hAnsi="Times New Roman" w:cs="Times New Roman"/>
          <w:sz w:val="24"/>
          <w:szCs w:val="24"/>
        </w:rPr>
        <w:t xml:space="preserve">Regional monitoring bodies will argue it that, in the application of </w:t>
      </w:r>
      <w:r w:rsidR="004D513B" w:rsidRPr="00DD6763">
        <w:rPr>
          <w:rFonts w:ascii="Times New Roman" w:hAnsi="Times New Roman" w:cs="Times New Roman"/>
          <w:sz w:val="24"/>
          <w:szCs w:val="24"/>
        </w:rPr>
        <w:t>IHRL</w:t>
      </w:r>
      <w:r w:rsidR="00797F33" w:rsidRPr="00DD6763">
        <w:rPr>
          <w:rFonts w:ascii="Times New Roman" w:hAnsi="Times New Roman" w:cs="Times New Roman"/>
          <w:sz w:val="24"/>
          <w:szCs w:val="24"/>
        </w:rPr>
        <w:t xml:space="preserve"> (and C169),</w:t>
      </w:r>
      <w:r w:rsidR="004175C8" w:rsidRPr="00DD6763">
        <w:rPr>
          <w:rFonts w:ascii="Times New Roman" w:hAnsi="Times New Roman" w:cs="Times New Roman"/>
          <w:sz w:val="24"/>
          <w:szCs w:val="24"/>
        </w:rPr>
        <w:t xml:space="preserve"> there is an environmental rights dimension that</w:t>
      </w:r>
      <w:r w:rsidR="00FE754E" w:rsidRPr="00DD6763">
        <w:rPr>
          <w:rFonts w:ascii="Times New Roman" w:hAnsi="Times New Roman" w:cs="Times New Roman"/>
          <w:sz w:val="24"/>
          <w:szCs w:val="24"/>
        </w:rPr>
        <w:t xml:space="preserve"> </w:t>
      </w:r>
      <w:r w:rsidR="006A24A3" w:rsidRPr="00DD6763">
        <w:rPr>
          <w:rFonts w:ascii="Times New Roman" w:hAnsi="Times New Roman" w:cs="Times New Roman"/>
          <w:sz w:val="24"/>
          <w:szCs w:val="24"/>
        </w:rPr>
        <w:t xml:space="preserve">demonstrates a </w:t>
      </w:r>
      <w:r w:rsidR="004175C8" w:rsidRPr="00DD6763">
        <w:rPr>
          <w:rFonts w:ascii="Times New Roman" w:hAnsi="Times New Roman" w:cs="Times New Roman"/>
          <w:sz w:val="24"/>
          <w:szCs w:val="24"/>
        </w:rPr>
        <w:t>connection between indigenous peoples’ rights and the environment</w:t>
      </w:r>
      <w:r w:rsidR="006A24A3" w:rsidRPr="00DD6763">
        <w:rPr>
          <w:rFonts w:ascii="Times New Roman" w:hAnsi="Times New Roman" w:cs="Times New Roman"/>
          <w:sz w:val="24"/>
          <w:szCs w:val="24"/>
        </w:rPr>
        <w:t xml:space="preserve">. The </w:t>
      </w:r>
      <w:r w:rsidR="00FE754E" w:rsidRPr="00DD6763">
        <w:rPr>
          <w:rFonts w:ascii="Times New Roman" w:hAnsi="Times New Roman" w:cs="Times New Roman"/>
          <w:sz w:val="24"/>
          <w:szCs w:val="24"/>
        </w:rPr>
        <w:t>discussion that follows</w:t>
      </w:r>
      <w:r w:rsidR="006A24A3" w:rsidRPr="00DD6763">
        <w:rPr>
          <w:rFonts w:ascii="Times New Roman" w:hAnsi="Times New Roman" w:cs="Times New Roman"/>
          <w:sz w:val="24"/>
          <w:szCs w:val="24"/>
        </w:rPr>
        <w:t xml:space="preserve"> will show how this connection</w:t>
      </w:r>
      <w:r w:rsidR="004175C8" w:rsidRPr="00DD6763">
        <w:rPr>
          <w:rFonts w:ascii="Times New Roman" w:hAnsi="Times New Roman" w:cs="Times New Roman"/>
          <w:sz w:val="24"/>
          <w:szCs w:val="24"/>
        </w:rPr>
        <w:t xml:space="preserve"> is based upon and </w:t>
      </w:r>
      <w:r w:rsidR="006A24A3" w:rsidRPr="00DD6763">
        <w:rPr>
          <w:rFonts w:ascii="Times New Roman" w:hAnsi="Times New Roman" w:cs="Times New Roman"/>
          <w:sz w:val="24"/>
          <w:szCs w:val="24"/>
        </w:rPr>
        <w:t xml:space="preserve">intertwined </w:t>
      </w:r>
      <w:r w:rsidR="004175C8" w:rsidRPr="00DD6763">
        <w:rPr>
          <w:rFonts w:ascii="Times New Roman" w:hAnsi="Times New Roman" w:cs="Times New Roman"/>
          <w:sz w:val="24"/>
          <w:szCs w:val="24"/>
        </w:rPr>
        <w:t xml:space="preserve">with the right to </w:t>
      </w:r>
      <w:r w:rsidR="00797F33" w:rsidRPr="00DD6763">
        <w:rPr>
          <w:rFonts w:ascii="Times New Roman" w:hAnsi="Times New Roman" w:cs="Times New Roman"/>
          <w:sz w:val="24"/>
          <w:szCs w:val="24"/>
        </w:rPr>
        <w:t>life, the right to property and cultural rights</w:t>
      </w:r>
      <w:r w:rsidR="004175C8" w:rsidRPr="00DD6763">
        <w:rPr>
          <w:rFonts w:ascii="Times New Roman" w:hAnsi="Times New Roman" w:cs="Times New Roman"/>
          <w:sz w:val="24"/>
          <w:szCs w:val="24"/>
        </w:rPr>
        <w:t>.</w:t>
      </w:r>
    </w:p>
    <w:p w14:paraId="7B1ED40F" w14:textId="138D01AC" w:rsidR="00505371" w:rsidRPr="00DD6763" w:rsidRDefault="00505371"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The </w:t>
      </w:r>
      <w:r w:rsidR="00D20A43" w:rsidRPr="00DD6763">
        <w:rPr>
          <w:rFonts w:ascii="Times New Roman" w:hAnsi="Times New Roman" w:cs="Times New Roman"/>
          <w:sz w:val="24"/>
          <w:szCs w:val="24"/>
        </w:rPr>
        <w:t>discussion will focus on three key aspects</w:t>
      </w:r>
      <w:r w:rsidR="00797F33" w:rsidRPr="00DD6763">
        <w:rPr>
          <w:rFonts w:ascii="Times New Roman" w:hAnsi="Times New Roman" w:cs="Times New Roman"/>
          <w:sz w:val="24"/>
          <w:szCs w:val="24"/>
        </w:rPr>
        <w:t xml:space="preserve"> of the case law</w:t>
      </w:r>
      <w:r w:rsidR="00B97BC1" w:rsidRPr="00DD6763">
        <w:rPr>
          <w:rFonts w:ascii="Times New Roman" w:hAnsi="Times New Roman" w:cs="Times New Roman"/>
          <w:sz w:val="24"/>
          <w:szCs w:val="24"/>
        </w:rPr>
        <w:t>. First,</w:t>
      </w:r>
      <w:r w:rsidR="00797F33" w:rsidRPr="00DD6763">
        <w:rPr>
          <w:rFonts w:ascii="Times New Roman" w:hAnsi="Times New Roman" w:cs="Times New Roman"/>
          <w:sz w:val="24"/>
          <w:szCs w:val="24"/>
        </w:rPr>
        <w:t xml:space="preserve"> the text examines</w:t>
      </w:r>
      <w:r w:rsidR="00B97BC1" w:rsidRPr="00DD6763">
        <w:rPr>
          <w:rFonts w:ascii="Times New Roman" w:hAnsi="Times New Roman" w:cs="Times New Roman"/>
          <w:sz w:val="24"/>
          <w:szCs w:val="24"/>
        </w:rPr>
        <w:t xml:space="preserve"> the</w:t>
      </w:r>
      <w:r w:rsidR="00797F33" w:rsidRPr="00DD6763">
        <w:rPr>
          <w:rFonts w:ascii="Times New Roman" w:hAnsi="Times New Roman" w:cs="Times New Roman"/>
          <w:sz w:val="24"/>
          <w:szCs w:val="24"/>
        </w:rPr>
        <w:t xml:space="preserve"> Inter-American Commission</w:t>
      </w:r>
      <w:r w:rsidR="00B97BC1" w:rsidRPr="00DD6763">
        <w:rPr>
          <w:rFonts w:ascii="Times New Roman" w:hAnsi="Times New Roman" w:cs="Times New Roman"/>
          <w:sz w:val="24"/>
          <w:szCs w:val="24"/>
        </w:rPr>
        <w:t xml:space="preserve"> </w:t>
      </w:r>
      <w:r w:rsidR="00797F33" w:rsidRPr="00DD6763">
        <w:rPr>
          <w:rFonts w:ascii="Times New Roman" w:hAnsi="Times New Roman" w:cs="Times New Roman"/>
          <w:sz w:val="24"/>
          <w:szCs w:val="24"/>
        </w:rPr>
        <w:t>(</w:t>
      </w:r>
      <w:r w:rsidR="00B97BC1" w:rsidRPr="00DD6763">
        <w:rPr>
          <w:rFonts w:ascii="Times New Roman" w:hAnsi="Times New Roman" w:cs="Times New Roman"/>
          <w:sz w:val="24"/>
          <w:szCs w:val="24"/>
        </w:rPr>
        <w:t>IAC</w:t>
      </w:r>
      <w:r w:rsidRPr="00DD6763">
        <w:rPr>
          <w:rFonts w:ascii="Times New Roman" w:hAnsi="Times New Roman" w:cs="Times New Roman"/>
          <w:sz w:val="24"/>
          <w:szCs w:val="24"/>
        </w:rPr>
        <w:t xml:space="preserve">HR’s </w:t>
      </w:r>
      <w:r w:rsidR="00C5530E" w:rsidRPr="00DD6763">
        <w:rPr>
          <w:rFonts w:ascii="Times New Roman" w:hAnsi="Times New Roman" w:cs="Times New Roman"/>
          <w:sz w:val="24"/>
          <w:szCs w:val="24"/>
        </w:rPr>
        <w:t xml:space="preserve">or </w:t>
      </w:r>
      <w:r w:rsidR="00797F33" w:rsidRPr="00DD6763">
        <w:rPr>
          <w:rFonts w:ascii="Times New Roman" w:hAnsi="Times New Roman" w:cs="Times New Roman"/>
          <w:sz w:val="24"/>
          <w:szCs w:val="24"/>
        </w:rPr>
        <w:t>‘</w:t>
      </w:r>
      <w:r w:rsidR="00C5530E" w:rsidRPr="00DD6763">
        <w:rPr>
          <w:rFonts w:ascii="Times New Roman" w:hAnsi="Times New Roman" w:cs="Times New Roman"/>
          <w:sz w:val="24"/>
          <w:szCs w:val="24"/>
        </w:rPr>
        <w:t>the Commission</w:t>
      </w:r>
      <w:r w:rsidR="00797F33" w:rsidRPr="00DD6763">
        <w:rPr>
          <w:rFonts w:ascii="Times New Roman" w:hAnsi="Times New Roman" w:cs="Times New Roman"/>
          <w:sz w:val="24"/>
          <w:szCs w:val="24"/>
        </w:rPr>
        <w:t>’</w:t>
      </w:r>
      <w:r w:rsidR="00C5530E"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case law concerning FPIC and natural resources. Second, the analysis will </w:t>
      </w:r>
      <w:r w:rsidR="00D20A43" w:rsidRPr="00DD6763">
        <w:rPr>
          <w:rFonts w:ascii="Times New Roman" w:hAnsi="Times New Roman" w:cs="Times New Roman"/>
          <w:sz w:val="24"/>
          <w:szCs w:val="24"/>
        </w:rPr>
        <w:t xml:space="preserve">set </w:t>
      </w:r>
      <w:r w:rsidRPr="00DD6763">
        <w:rPr>
          <w:rFonts w:ascii="Times New Roman" w:hAnsi="Times New Roman" w:cs="Times New Roman"/>
          <w:sz w:val="24"/>
          <w:szCs w:val="24"/>
        </w:rPr>
        <w:t>out the</w:t>
      </w:r>
      <w:r w:rsidR="00797F33" w:rsidRPr="00DD6763">
        <w:rPr>
          <w:rFonts w:ascii="Times New Roman" w:hAnsi="Times New Roman" w:cs="Times New Roman"/>
          <w:sz w:val="24"/>
          <w:szCs w:val="24"/>
        </w:rPr>
        <w:t xml:space="preserve"> Inter American Court of Human Rights</w:t>
      </w:r>
      <w:r w:rsidRPr="00DD6763">
        <w:rPr>
          <w:rFonts w:ascii="Times New Roman" w:hAnsi="Times New Roman" w:cs="Times New Roman"/>
          <w:sz w:val="24"/>
          <w:szCs w:val="24"/>
        </w:rPr>
        <w:t xml:space="preserve"> </w:t>
      </w:r>
      <w:r w:rsidR="00797F33" w:rsidRPr="00DD6763">
        <w:rPr>
          <w:rFonts w:ascii="Times New Roman" w:hAnsi="Times New Roman" w:cs="Times New Roman"/>
          <w:sz w:val="24"/>
          <w:szCs w:val="24"/>
        </w:rPr>
        <w:t>(</w:t>
      </w:r>
      <w:proofErr w:type="spellStart"/>
      <w:r w:rsidRPr="00DD6763">
        <w:rPr>
          <w:rFonts w:ascii="Times New Roman" w:hAnsi="Times New Roman" w:cs="Times New Roman"/>
          <w:sz w:val="24"/>
          <w:szCs w:val="24"/>
        </w:rPr>
        <w:t>IA</w:t>
      </w:r>
      <w:r w:rsidR="00B97BC1" w:rsidRPr="00DD6763">
        <w:rPr>
          <w:rFonts w:ascii="Times New Roman" w:hAnsi="Times New Roman" w:cs="Times New Roman"/>
          <w:sz w:val="24"/>
          <w:szCs w:val="24"/>
        </w:rPr>
        <w:t>CtHR</w:t>
      </w:r>
      <w:proofErr w:type="spellEnd"/>
      <w:r w:rsidR="00797F33" w:rsidRPr="00DD6763">
        <w:rPr>
          <w:rFonts w:ascii="Times New Roman" w:hAnsi="Times New Roman" w:cs="Times New Roman"/>
          <w:sz w:val="24"/>
          <w:szCs w:val="24"/>
        </w:rPr>
        <w:t xml:space="preserve"> or ‘the Court’)</w:t>
      </w:r>
      <w:r w:rsidRPr="00DD6763">
        <w:rPr>
          <w:rFonts w:ascii="Times New Roman" w:hAnsi="Times New Roman" w:cs="Times New Roman"/>
          <w:sz w:val="24"/>
          <w:szCs w:val="24"/>
        </w:rPr>
        <w:t xml:space="preserve"> role. Third, a comparative perspective taking into consideration the African Human Rights System </w:t>
      </w:r>
      <w:r w:rsidR="00C36068" w:rsidRPr="00DD6763">
        <w:rPr>
          <w:rFonts w:ascii="Times New Roman" w:hAnsi="Times New Roman" w:cs="Times New Roman"/>
          <w:sz w:val="24"/>
          <w:szCs w:val="24"/>
        </w:rPr>
        <w:t>is</w:t>
      </w:r>
      <w:r w:rsidRPr="00DD6763">
        <w:rPr>
          <w:rFonts w:ascii="Times New Roman" w:hAnsi="Times New Roman" w:cs="Times New Roman"/>
          <w:sz w:val="24"/>
          <w:szCs w:val="24"/>
        </w:rPr>
        <w:t xml:space="preserve"> presented.</w:t>
      </w:r>
    </w:p>
    <w:p w14:paraId="68BA3DF4" w14:textId="376A91D2" w:rsidR="00DE5A84" w:rsidRPr="00DD6763" w:rsidRDefault="004175C8"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Turning </w:t>
      </w:r>
      <w:r w:rsidR="00447E04" w:rsidRPr="00DD6763">
        <w:rPr>
          <w:rFonts w:ascii="Times New Roman" w:hAnsi="Times New Roman" w:cs="Times New Roman"/>
          <w:sz w:val="24"/>
          <w:szCs w:val="24"/>
        </w:rPr>
        <w:t xml:space="preserve">first </w:t>
      </w:r>
      <w:r w:rsidRPr="00DD6763">
        <w:rPr>
          <w:rFonts w:ascii="Times New Roman" w:hAnsi="Times New Roman" w:cs="Times New Roman"/>
          <w:sz w:val="24"/>
          <w:szCs w:val="24"/>
        </w:rPr>
        <w:t>to the Inter-American Human Rights System</w:t>
      </w:r>
      <w:r w:rsidR="00447E04" w:rsidRPr="00DD6763">
        <w:rPr>
          <w:rFonts w:ascii="Times New Roman" w:hAnsi="Times New Roman" w:cs="Times New Roman"/>
          <w:sz w:val="24"/>
          <w:szCs w:val="24"/>
        </w:rPr>
        <w:t>:</w:t>
      </w:r>
      <w:r w:rsidRPr="00DD6763">
        <w:rPr>
          <w:rFonts w:ascii="Times New Roman" w:hAnsi="Times New Roman" w:cs="Times New Roman"/>
          <w:sz w:val="24"/>
          <w:szCs w:val="24"/>
        </w:rPr>
        <w:t xml:space="preserve"> both bodies </w:t>
      </w:r>
      <w:r w:rsidR="00447E04" w:rsidRPr="00DD6763">
        <w:rPr>
          <w:rFonts w:ascii="Times New Roman" w:hAnsi="Times New Roman" w:cs="Times New Roman"/>
          <w:sz w:val="24"/>
          <w:szCs w:val="24"/>
        </w:rPr>
        <w:t>(</w:t>
      </w:r>
      <w:r w:rsidRPr="00DD6763">
        <w:rPr>
          <w:rFonts w:ascii="Times New Roman" w:hAnsi="Times New Roman" w:cs="Times New Roman"/>
          <w:sz w:val="24"/>
          <w:szCs w:val="24"/>
        </w:rPr>
        <w:t>the Inter-American Commission and the Court</w:t>
      </w:r>
      <w:r w:rsidR="00447E04" w:rsidRPr="00DD6763">
        <w:rPr>
          <w:rFonts w:ascii="Times New Roman" w:hAnsi="Times New Roman" w:cs="Times New Roman"/>
          <w:sz w:val="24"/>
          <w:szCs w:val="24"/>
        </w:rPr>
        <w:t>)</w:t>
      </w:r>
      <w:r w:rsidRPr="00DD6763">
        <w:rPr>
          <w:rFonts w:ascii="Times New Roman" w:hAnsi="Times New Roman" w:cs="Times New Roman"/>
          <w:sz w:val="24"/>
          <w:szCs w:val="24"/>
        </w:rPr>
        <w:t xml:space="preserve"> have addressed FPIC and i</w:t>
      </w:r>
      <w:r w:rsidR="00B97BC1" w:rsidRPr="00DD6763">
        <w:rPr>
          <w:rFonts w:ascii="Times New Roman" w:hAnsi="Times New Roman" w:cs="Times New Roman"/>
          <w:sz w:val="24"/>
          <w:szCs w:val="24"/>
        </w:rPr>
        <w:t>ndigenous peoples</w:t>
      </w:r>
      <w:r w:rsidR="00447E04" w:rsidRPr="00DD6763">
        <w:rPr>
          <w:rFonts w:ascii="Times New Roman" w:hAnsi="Times New Roman" w:cs="Times New Roman"/>
          <w:sz w:val="24"/>
          <w:szCs w:val="24"/>
        </w:rPr>
        <w:t>’</w:t>
      </w:r>
      <w:r w:rsidR="00B97BC1" w:rsidRPr="00DD6763">
        <w:rPr>
          <w:rFonts w:ascii="Times New Roman" w:hAnsi="Times New Roman" w:cs="Times New Roman"/>
          <w:sz w:val="24"/>
          <w:szCs w:val="24"/>
        </w:rPr>
        <w:t xml:space="preserve"> right</w:t>
      </w:r>
      <w:r w:rsidR="00447E04" w:rsidRPr="00DD6763">
        <w:rPr>
          <w:rFonts w:ascii="Times New Roman" w:hAnsi="Times New Roman" w:cs="Times New Roman"/>
          <w:sz w:val="24"/>
          <w:szCs w:val="24"/>
        </w:rPr>
        <w:t>s</w:t>
      </w:r>
      <w:r w:rsidRPr="00DD6763">
        <w:rPr>
          <w:rFonts w:ascii="Times New Roman" w:hAnsi="Times New Roman" w:cs="Times New Roman"/>
          <w:sz w:val="24"/>
          <w:szCs w:val="24"/>
        </w:rPr>
        <w:t xml:space="preserve"> to their traditional knowledge and practices in the area of environmental management and conservation. </w:t>
      </w:r>
      <w:r w:rsidR="00447E04" w:rsidRPr="00DD6763">
        <w:rPr>
          <w:rFonts w:ascii="Times New Roman" w:hAnsi="Times New Roman" w:cs="Times New Roman"/>
          <w:sz w:val="24"/>
          <w:szCs w:val="24"/>
        </w:rPr>
        <w:t xml:space="preserve">The application of FPIC norms </w:t>
      </w:r>
      <w:r w:rsidR="007C19B4" w:rsidRPr="00DD6763">
        <w:rPr>
          <w:rFonts w:ascii="Times New Roman" w:hAnsi="Times New Roman" w:cs="Times New Roman"/>
          <w:sz w:val="24"/>
          <w:szCs w:val="24"/>
        </w:rPr>
        <w:t>in</w:t>
      </w:r>
      <w:r w:rsidR="00447E04" w:rsidRPr="00DD6763">
        <w:rPr>
          <w:rFonts w:ascii="Times New Roman" w:hAnsi="Times New Roman" w:cs="Times New Roman"/>
          <w:sz w:val="24"/>
          <w:szCs w:val="24"/>
        </w:rPr>
        <w:t xml:space="preserve"> the I</w:t>
      </w:r>
      <w:r w:rsidR="007C19B4" w:rsidRPr="00DD6763">
        <w:rPr>
          <w:rFonts w:ascii="Times New Roman" w:hAnsi="Times New Roman" w:cs="Times New Roman"/>
          <w:sz w:val="24"/>
          <w:szCs w:val="24"/>
        </w:rPr>
        <w:t>nter-</w:t>
      </w:r>
      <w:r w:rsidR="00447E04" w:rsidRPr="00DD6763">
        <w:rPr>
          <w:rFonts w:ascii="Times New Roman" w:hAnsi="Times New Roman" w:cs="Times New Roman"/>
          <w:sz w:val="24"/>
          <w:szCs w:val="24"/>
        </w:rPr>
        <w:t>A</w:t>
      </w:r>
      <w:r w:rsidR="007C19B4" w:rsidRPr="00DD6763">
        <w:rPr>
          <w:rFonts w:ascii="Times New Roman" w:hAnsi="Times New Roman" w:cs="Times New Roman"/>
          <w:sz w:val="24"/>
          <w:szCs w:val="24"/>
        </w:rPr>
        <w:t xml:space="preserve">merican </w:t>
      </w:r>
      <w:r w:rsidR="00447E04" w:rsidRPr="00DD6763">
        <w:rPr>
          <w:rFonts w:ascii="Times New Roman" w:hAnsi="Times New Roman" w:cs="Times New Roman"/>
          <w:sz w:val="24"/>
          <w:szCs w:val="24"/>
        </w:rPr>
        <w:t>H</w:t>
      </w:r>
      <w:r w:rsidR="007C19B4" w:rsidRPr="00DD6763">
        <w:rPr>
          <w:rFonts w:ascii="Times New Roman" w:hAnsi="Times New Roman" w:cs="Times New Roman"/>
          <w:sz w:val="24"/>
          <w:szCs w:val="24"/>
        </w:rPr>
        <w:t xml:space="preserve">uman </w:t>
      </w:r>
      <w:r w:rsidR="00447E04" w:rsidRPr="00DD6763">
        <w:rPr>
          <w:rFonts w:ascii="Times New Roman" w:hAnsi="Times New Roman" w:cs="Times New Roman"/>
          <w:sz w:val="24"/>
          <w:szCs w:val="24"/>
        </w:rPr>
        <w:t>R</w:t>
      </w:r>
      <w:r w:rsidR="007C19B4" w:rsidRPr="00DD6763">
        <w:rPr>
          <w:rFonts w:ascii="Times New Roman" w:hAnsi="Times New Roman" w:cs="Times New Roman"/>
          <w:sz w:val="24"/>
          <w:szCs w:val="24"/>
        </w:rPr>
        <w:t xml:space="preserve">ights </w:t>
      </w:r>
      <w:r w:rsidR="00447E04" w:rsidRPr="00DD6763">
        <w:rPr>
          <w:rFonts w:ascii="Times New Roman" w:hAnsi="Times New Roman" w:cs="Times New Roman"/>
          <w:sz w:val="24"/>
          <w:szCs w:val="24"/>
        </w:rPr>
        <w:t>S</w:t>
      </w:r>
      <w:r w:rsidR="007C19B4" w:rsidRPr="00DD6763">
        <w:rPr>
          <w:rFonts w:ascii="Times New Roman" w:hAnsi="Times New Roman" w:cs="Times New Roman"/>
          <w:sz w:val="24"/>
          <w:szCs w:val="24"/>
        </w:rPr>
        <w:t>ystem</w:t>
      </w:r>
      <w:r w:rsidR="00447E04" w:rsidRPr="00DD6763">
        <w:rPr>
          <w:rFonts w:ascii="Times New Roman" w:hAnsi="Times New Roman" w:cs="Times New Roman"/>
          <w:sz w:val="24"/>
          <w:szCs w:val="24"/>
        </w:rPr>
        <w:t xml:space="preserve"> mostly deals with forced displacements, harmful effects caused by extractive industries and investment projects and the protection of indigenous peoples’ land rights and water rights. International </w:t>
      </w:r>
      <w:r w:rsidRPr="00DD6763">
        <w:rPr>
          <w:rFonts w:ascii="Times New Roman" w:hAnsi="Times New Roman" w:cs="Times New Roman"/>
          <w:sz w:val="24"/>
          <w:szCs w:val="24"/>
        </w:rPr>
        <w:t>legal scholarship has mainly focused on the I</w:t>
      </w:r>
      <w:r w:rsidR="009A6CF4" w:rsidRPr="00DD6763">
        <w:rPr>
          <w:rFonts w:ascii="Times New Roman" w:hAnsi="Times New Roman" w:cs="Times New Roman"/>
          <w:sz w:val="24"/>
          <w:szCs w:val="24"/>
        </w:rPr>
        <w:t>nter-</w:t>
      </w:r>
      <w:r w:rsidR="00954888" w:rsidRPr="00DD6763">
        <w:rPr>
          <w:rFonts w:ascii="Times New Roman" w:hAnsi="Times New Roman" w:cs="Times New Roman"/>
          <w:sz w:val="24"/>
          <w:szCs w:val="24"/>
        </w:rPr>
        <w:t>American Court</w:t>
      </w:r>
      <w:r w:rsidR="009A6CF4" w:rsidRPr="00DD6763">
        <w:rPr>
          <w:rFonts w:ascii="Times New Roman" w:hAnsi="Times New Roman" w:cs="Times New Roman"/>
          <w:sz w:val="24"/>
          <w:szCs w:val="24"/>
        </w:rPr>
        <w:t xml:space="preserve"> of Human </w:t>
      </w:r>
      <w:r w:rsidR="000C2ACA" w:rsidRPr="00DD6763">
        <w:rPr>
          <w:rFonts w:ascii="Times New Roman" w:hAnsi="Times New Roman" w:cs="Times New Roman"/>
          <w:sz w:val="24"/>
          <w:szCs w:val="24"/>
        </w:rPr>
        <w:t>Rights</w:t>
      </w:r>
      <w:r w:rsidR="00F73A41" w:rsidRPr="00DD6763">
        <w:rPr>
          <w:rFonts w:ascii="Times New Roman" w:hAnsi="Times New Roman" w:cs="Times New Roman"/>
          <w:sz w:val="24"/>
          <w:szCs w:val="24"/>
        </w:rPr>
        <w:t xml:space="preserve"> (</w:t>
      </w:r>
      <w:proofErr w:type="spellStart"/>
      <w:r w:rsidR="00F73A41" w:rsidRPr="00DD6763">
        <w:rPr>
          <w:rFonts w:ascii="Times New Roman" w:hAnsi="Times New Roman" w:cs="Times New Roman"/>
          <w:sz w:val="24"/>
          <w:szCs w:val="24"/>
        </w:rPr>
        <w:t>IACtHR</w:t>
      </w:r>
      <w:proofErr w:type="spellEnd"/>
      <w:r w:rsidR="00F73A41" w:rsidRPr="00DD6763">
        <w:rPr>
          <w:rFonts w:ascii="Times New Roman" w:hAnsi="Times New Roman" w:cs="Times New Roman"/>
          <w:sz w:val="24"/>
          <w:szCs w:val="24"/>
        </w:rPr>
        <w:t>)</w:t>
      </w:r>
      <w:r w:rsidRPr="00DD6763">
        <w:rPr>
          <w:rFonts w:ascii="Times New Roman" w:hAnsi="Times New Roman" w:cs="Times New Roman"/>
          <w:sz w:val="24"/>
          <w:szCs w:val="24"/>
        </w:rPr>
        <w:t xml:space="preserve"> jurisprudence concerning indigenous rights, </w:t>
      </w:r>
      <w:r w:rsidR="00447E04" w:rsidRPr="00DD6763">
        <w:rPr>
          <w:rFonts w:ascii="Times New Roman" w:hAnsi="Times New Roman" w:cs="Times New Roman"/>
          <w:sz w:val="24"/>
          <w:szCs w:val="24"/>
        </w:rPr>
        <w:t xml:space="preserve">and </w:t>
      </w:r>
      <w:r w:rsidR="00954888" w:rsidRPr="00DD6763">
        <w:rPr>
          <w:rFonts w:ascii="Times New Roman" w:hAnsi="Times New Roman" w:cs="Times New Roman"/>
          <w:sz w:val="24"/>
          <w:szCs w:val="24"/>
        </w:rPr>
        <w:t>the Commission</w:t>
      </w:r>
      <w:r w:rsidRPr="00DD6763">
        <w:rPr>
          <w:rFonts w:ascii="Times New Roman" w:hAnsi="Times New Roman" w:cs="Times New Roman"/>
          <w:sz w:val="24"/>
          <w:szCs w:val="24"/>
        </w:rPr>
        <w:t xml:space="preserve">’s activity has </w:t>
      </w:r>
      <w:r w:rsidR="00447E04" w:rsidRPr="00DD6763">
        <w:rPr>
          <w:rFonts w:ascii="Times New Roman" w:hAnsi="Times New Roman" w:cs="Times New Roman"/>
          <w:sz w:val="24"/>
          <w:szCs w:val="24"/>
        </w:rPr>
        <w:t>received less attention</w:t>
      </w:r>
      <w:r w:rsidRPr="00DD6763">
        <w:rPr>
          <w:rFonts w:ascii="Times New Roman" w:hAnsi="Times New Roman" w:cs="Times New Roman"/>
          <w:sz w:val="24"/>
          <w:szCs w:val="24"/>
        </w:rPr>
        <w:t xml:space="preserve">. </w:t>
      </w:r>
      <w:r w:rsidR="00350619" w:rsidRPr="00DD6763">
        <w:rPr>
          <w:rFonts w:ascii="Times New Roman" w:hAnsi="Times New Roman" w:cs="Times New Roman"/>
          <w:sz w:val="24"/>
          <w:szCs w:val="24"/>
        </w:rPr>
        <w:t>T</w:t>
      </w:r>
      <w:r w:rsidRPr="00DD6763">
        <w:rPr>
          <w:rFonts w:ascii="Times New Roman" w:hAnsi="Times New Roman" w:cs="Times New Roman"/>
          <w:sz w:val="24"/>
          <w:szCs w:val="24"/>
        </w:rPr>
        <w:t>he Commission holds the key to an effective protection of FPIC as the only body before</w:t>
      </w:r>
      <w:r w:rsidR="00897BC7" w:rsidRPr="00DD6763">
        <w:rPr>
          <w:rFonts w:ascii="Times New Roman" w:hAnsi="Times New Roman" w:cs="Times New Roman"/>
          <w:sz w:val="24"/>
          <w:szCs w:val="24"/>
        </w:rPr>
        <w:t xml:space="preserve"> which </w:t>
      </w:r>
      <w:r w:rsidRPr="00DD6763">
        <w:rPr>
          <w:rFonts w:ascii="Times New Roman" w:hAnsi="Times New Roman" w:cs="Times New Roman"/>
          <w:sz w:val="24"/>
          <w:szCs w:val="24"/>
        </w:rPr>
        <w:t xml:space="preserve">petitioners have legal standing; </w:t>
      </w:r>
      <w:r w:rsidR="00447E04" w:rsidRPr="00DD6763">
        <w:rPr>
          <w:rFonts w:ascii="Times New Roman" w:hAnsi="Times New Roman" w:cs="Times New Roman"/>
          <w:sz w:val="24"/>
          <w:szCs w:val="24"/>
        </w:rPr>
        <w:t xml:space="preserve">it </w:t>
      </w:r>
      <w:r w:rsidR="000A40F9" w:rsidRPr="00DD6763">
        <w:rPr>
          <w:rFonts w:ascii="Times New Roman" w:hAnsi="Times New Roman" w:cs="Times New Roman"/>
          <w:sz w:val="24"/>
          <w:szCs w:val="24"/>
        </w:rPr>
        <w:t>retains</w:t>
      </w:r>
      <w:r w:rsidRPr="00DD6763">
        <w:rPr>
          <w:rFonts w:ascii="Times New Roman" w:hAnsi="Times New Roman" w:cs="Times New Roman"/>
          <w:sz w:val="24"/>
          <w:szCs w:val="24"/>
        </w:rPr>
        <w:t xml:space="preserve"> a first-hand knowledge of the cases</w:t>
      </w:r>
      <w:r w:rsidR="00447E04" w:rsidRPr="00DD6763">
        <w:rPr>
          <w:rFonts w:ascii="Times New Roman" w:hAnsi="Times New Roman" w:cs="Times New Roman"/>
          <w:sz w:val="24"/>
          <w:szCs w:val="24"/>
        </w:rPr>
        <w:t>;</w:t>
      </w:r>
      <w:r w:rsidRPr="00DD6763">
        <w:rPr>
          <w:rFonts w:ascii="Times New Roman" w:hAnsi="Times New Roman" w:cs="Times New Roman"/>
          <w:sz w:val="24"/>
          <w:szCs w:val="24"/>
        </w:rPr>
        <w:t xml:space="preserve"> and </w:t>
      </w:r>
      <w:r w:rsidR="00447E04" w:rsidRPr="00DD6763">
        <w:rPr>
          <w:rFonts w:ascii="Times New Roman" w:hAnsi="Times New Roman" w:cs="Times New Roman"/>
          <w:sz w:val="24"/>
          <w:szCs w:val="24"/>
        </w:rPr>
        <w:t xml:space="preserve">it </w:t>
      </w:r>
      <w:r w:rsidRPr="00DD6763">
        <w:rPr>
          <w:rFonts w:ascii="Times New Roman" w:hAnsi="Times New Roman" w:cs="Times New Roman"/>
          <w:sz w:val="24"/>
          <w:szCs w:val="24"/>
        </w:rPr>
        <w:t xml:space="preserve">is in charge of requesting precautionary measures to protect rights and avoid the worsening of human rights violations. </w:t>
      </w:r>
    </w:p>
    <w:p w14:paraId="4BE7B93E" w14:textId="77777777" w:rsidR="00C23AC0" w:rsidRPr="00DD6763" w:rsidRDefault="00E82024"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From the beginning, t</w:t>
      </w:r>
      <w:r w:rsidR="00C23AC0" w:rsidRPr="00DD6763">
        <w:rPr>
          <w:rFonts w:ascii="Times New Roman" w:hAnsi="Times New Roman" w:cs="Times New Roman"/>
          <w:sz w:val="24"/>
          <w:szCs w:val="24"/>
        </w:rPr>
        <w:t>he IACHR</w:t>
      </w:r>
      <w:r w:rsidR="00447E04" w:rsidRPr="00DD6763">
        <w:rPr>
          <w:rFonts w:ascii="Times New Roman" w:hAnsi="Times New Roman" w:cs="Times New Roman"/>
          <w:sz w:val="24"/>
          <w:szCs w:val="24"/>
        </w:rPr>
        <w:t>,</w:t>
      </w:r>
      <w:r w:rsidR="00C23AC0"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as the </w:t>
      </w:r>
      <w:r w:rsidR="00EF5D9A" w:rsidRPr="00DD6763">
        <w:rPr>
          <w:rFonts w:ascii="Times New Roman" w:hAnsi="Times New Roman" w:cs="Times New Roman"/>
          <w:sz w:val="24"/>
          <w:szCs w:val="24"/>
        </w:rPr>
        <w:t>specialised organ</w:t>
      </w:r>
      <w:r w:rsidRPr="00DD6763">
        <w:rPr>
          <w:rFonts w:ascii="Times New Roman" w:hAnsi="Times New Roman" w:cs="Times New Roman"/>
          <w:sz w:val="24"/>
          <w:szCs w:val="24"/>
        </w:rPr>
        <w:t xml:space="preserve"> of the Organisation of American States, </w:t>
      </w:r>
      <w:r w:rsidR="00EA6E2E" w:rsidRPr="00DD6763">
        <w:rPr>
          <w:rFonts w:ascii="Times New Roman" w:hAnsi="Times New Roman" w:cs="Times New Roman"/>
          <w:sz w:val="24"/>
          <w:szCs w:val="24"/>
        </w:rPr>
        <w:t>has led the way</w:t>
      </w:r>
      <w:r w:rsidR="00EF5D9A" w:rsidRPr="00DD6763">
        <w:rPr>
          <w:rFonts w:ascii="Times New Roman" w:hAnsi="Times New Roman" w:cs="Times New Roman"/>
          <w:sz w:val="24"/>
          <w:szCs w:val="24"/>
        </w:rPr>
        <w:t xml:space="preserve"> in the protection of indigenous peoples’</w:t>
      </w:r>
      <w:r w:rsidR="005F6E00" w:rsidRPr="00DD6763">
        <w:rPr>
          <w:rFonts w:ascii="Times New Roman" w:hAnsi="Times New Roman" w:cs="Times New Roman"/>
          <w:sz w:val="24"/>
          <w:szCs w:val="24"/>
        </w:rPr>
        <w:t xml:space="preserve"> rights</w:t>
      </w:r>
      <w:r w:rsidR="00447E04" w:rsidRPr="00DD6763">
        <w:rPr>
          <w:rFonts w:ascii="Times New Roman" w:hAnsi="Times New Roman" w:cs="Times New Roman"/>
          <w:sz w:val="24"/>
          <w:szCs w:val="24"/>
        </w:rPr>
        <w:t>,</w:t>
      </w:r>
      <w:r w:rsidR="005F6E00" w:rsidRPr="00DD6763">
        <w:rPr>
          <w:rFonts w:ascii="Times New Roman" w:hAnsi="Times New Roman" w:cs="Times New Roman"/>
          <w:sz w:val="24"/>
          <w:szCs w:val="24"/>
        </w:rPr>
        <w:t xml:space="preserve"> for a series of reasons. First, t</w:t>
      </w:r>
      <w:r w:rsidR="00EF5D9A" w:rsidRPr="00DD6763">
        <w:rPr>
          <w:rFonts w:ascii="Times New Roman" w:hAnsi="Times New Roman" w:cs="Times New Roman"/>
          <w:sz w:val="24"/>
          <w:szCs w:val="24"/>
        </w:rPr>
        <w:t>he scope of</w:t>
      </w:r>
      <w:r w:rsidR="00447E04" w:rsidRPr="00DD6763">
        <w:rPr>
          <w:rFonts w:ascii="Times New Roman" w:hAnsi="Times New Roman" w:cs="Times New Roman"/>
          <w:sz w:val="24"/>
          <w:szCs w:val="24"/>
        </w:rPr>
        <w:t xml:space="preserve"> its</w:t>
      </w:r>
      <w:r w:rsidR="00EF5D9A" w:rsidRPr="00DD6763">
        <w:rPr>
          <w:rFonts w:ascii="Times New Roman" w:hAnsi="Times New Roman" w:cs="Times New Roman"/>
          <w:sz w:val="24"/>
          <w:szCs w:val="24"/>
        </w:rPr>
        <w:t xml:space="preserve"> protection is broader as the Commission can investigate alleged violations </w:t>
      </w:r>
      <w:r w:rsidR="00447E04" w:rsidRPr="00DD6763">
        <w:rPr>
          <w:rFonts w:ascii="Times New Roman" w:hAnsi="Times New Roman" w:cs="Times New Roman"/>
          <w:sz w:val="24"/>
          <w:szCs w:val="24"/>
        </w:rPr>
        <w:t xml:space="preserve">of </w:t>
      </w:r>
      <w:r w:rsidR="00EF5D9A" w:rsidRPr="00DD6763">
        <w:rPr>
          <w:rFonts w:ascii="Times New Roman" w:hAnsi="Times New Roman" w:cs="Times New Roman"/>
          <w:sz w:val="24"/>
          <w:szCs w:val="24"/>
        </w:rPr>
        <w:t xml:space="preserve">the American Declaration, extending its actions to </w:t>
      </w:r>
      <w:r w:rsidR="000A40F9" w:rsidRPr="00DD6763">
        <w:rPr>
          <w:rFonts w:ascii="Times New Roman" w:hAnsi="Times New Roman" w:cs="Times New Roman"/>
          <w:sz w:val="24"/>
          <w:szCs w:val="24"/>
        </w:rPr>
        <w:t xml:space="preserve">cover </w:t>
      </w:r>
      <w:r w:rsidR="00EF5D9A" w:rsidRPr="00DD6763">
        <w:rPr>
          <w:rFonts w:ascii="Times New Roman" w:hAnsi="Times New Roman" w:cs="Times New Roman"/>
          <w:sz w:val="24"/>
          <w:szCs w:val="24"/>
        </w:rPr>
        <w:t>all OAS member states</w:t>
      </w:r>
      <w:r w:rsidR="00447E04" w:rsidRPr="00DD6763">
        <w:rPr>
          <w:rFonts w:ascii="Times New Roman" w:hAnsi="Times New Roman" w:cs="Times New Roman"/>
          <w:sz w:val="24"/>
          <w:szCs w:val="24"/>
        </w:rPr>
        <w:t>:</w:t>
      </w:r>
      <w:r w:rsidR="00EF5D9A" w:rsidRPr="00DD6763">
        <w:rPr>
          <w:rFonts w:ascii="Times New Roman" w:hAnsi="Times New Roman" w:cs="Times New Roman"/>
          <w:sz w:val="24"/>
          <w:szCs w:val="24"/>
        </w:rPr>
        <w:t xml:space="preserve"> even to non-signatories of the Convention</w:t>
      </w:r>
      <w:r w:rsidR="00C23AC0" w:rsidRPr="00DD6763">
        <w:rPr>
          <w:rFonts w:ascii="Times New Roman" w:hAnsi="Times New Roman" w:cs="Times New Roman"/>
          <w:sz w:val="24"/>
          <w:szCs w:val="24"/>
        </w:rPr>
        <w:t xml:space="preserve">. </w:t>
      </w:r>
      <w:r w:rsidR="005F6E00" w:rsidRPr="00DD6763">
        <w:rPr>
          <w:rFonts w:ascii="Times New Roman" w:hAnsi="Times New Roman" w:cs="Times New Roman"/>
          <w:sz w:val="24"/>
          <w:szCs w:val="24"/>
        </w:rPr>
        <w:t>Second, t</w:t>
      </w:r>
      <w:r w:rsidRPr="00DD6763">
        <w:rPr>
          <w:rFonts w:ascii="Times New Roman" w:hAnsi="Times New Roman" w:cs="Times New Roman"/>
          <w:sz w:val="24"/>
          <w:szCs w:val="24"/>
        </w:rPr>
        <w:t xml:space="preserve">he IACHR has also fostered the development of Inter-American law through the </w:t>
      </w:r>
      <w:proofErr w:type="spellStart"/>
      <w:r w:rsidRPr="00DD6763">
        <w:rPr>
          <w:rFonts w:ascii="Times New Roman" w:hAnsi="Times New Roman" w:cs="Times New Roman"/>
          <w:sz w:val="24"/>
          <w:szCs w:val="24"/>
        </w:rPr>
        <w:t>Rapporteurship</w:t>
      </w:r>
      <w:proofErr w:type="spellEnd"/>
      <w:r w:rsidRPr="00DD6763">
        <w:rPr>
          <w:rFonts w:ascii="Times New Roman" w:hAnsi="Times New Roman" w:cs="Times New Roman"/>
          <w:sz w:val="24"/>
          <w:szCs w:val="24"/>
        </w:rPr>
        <w:t xml:space="preserve"> on the Rights of Indigenous </w:t>
      </w:r>
      <w:r w:rsidR="00BE76C3" w:rsidRPr="00DD6763">
        <w:rPr>
          <w:rFonts w:ascii="Times New Roman" w:hAnsi="Times New Roman" w:cs="Times New Roman"/>
          <w:sz w:val="24"/>
          <w:szCs w:val="24"/>
        </w:rPr>
        <w:t>Peoples, which</w:t>
      </w:r>
      <w:r w:rsidR="00447E04" w:rsidRPr="00DD6763">
        <w:rPr>
          <w:rFonts w:ascii="Times New Roman" w:hAnsi="Times New Roman" w:cs="Times New Roman"/>
          <w:sz w:val="24"/>
          <w:szCs w:val="24"/>
        </w:rPr>
        <w:t xml:space="preserve"> was</w:t>
      </w:r>
      <w:r w:rsidR="000A40F9" w:rsidRPr="00DD6763">
        <w:rPr>
          <w:rFonts w:ascii="Times New Roman" w:hAnsi="Times New Roman" w:cs="Times New Roman"/>
          <w:sz w:val="24"/>
          <w:szCs w:val="24"/>
        </w:rPr>
        <w:t xml:space="preserve"> created to fulfil that specific goal</w:t>
      </w:r>
      <w:r w:rsidRPr="00DD6763">
        <w:rPr>
          <w:rFonts w:ascii="Times New Roman" w:hAnsi="Times New Roman" w:cs="Times New Roman"/>
          <w:sz w:val="24"/>
          <w:szCs w:val="24"/>
        </w:rPr>
        <w:t xml:space="preserve">. </w:t>
      </w:r>
      <w:r w:rsidR="00BE76C3" w:rsidRPr="00DD6763">
        <w:rPr>
          <w:rFonts w:ascii="Times New Roman" w:hAnsi="Times New Roman" w:cs="Times New Roman"/>
          <w:sz w:val="24"/>
          <w:szCs w:val="24"/>
        </w:rPr>
        <w:t>Third</w:t>
      </w:r>
      <w:r w:rsidR="005F6E00" w:rsidRPr="00DD6763">
        <w:rPr>
          <w:rFonts w:ascii="Times New Roman" w:hAnsi="Times New Roman" w:cs="Times New Roman"/>
          <w:sz w:val="24"/>
          <w:szCs w:val="24"/>
        </w:rPr>
        <w:t xml:space="preserve"> and a</w:t>
      </w:r>
      <w:r w:rsidR="00F56AC8" w:rsidRPr="00DD6763">
        <w:rPr>
          <w:rFonts w:ascii="Times New Roman" w:hAnsi="Times New Roman" w:cs="Times New Roman"/>
          <w:sz w:val="24"/>
          <w:szCs w:val="24"/>
        </w:rPr>
        <w:t xml:space="preserve">s previously indicated, </w:t>
      </w:r>
      <w:r w:rsidR="00033B1E" w:rsidRPr="00DD6763">
        <w:rPr>
          <w:rFonts w:ascii="Times New Roman" w:hAnsi="Times New Roman" w:cs="Times New Roman"/>
          <w:sz w:val="24"/>
          <w:szCs w:val="24"/>
        </w:rPr>
        <w:t xml:space="preserve">individuals and groups only have </w:t>
      </w:r>
      <w:r w:rsidR="00033B1E" w:rsidRPr="00DD6763">
        <w:rPr>
          <w:rFonts w:ascii="Times New Roman" w:hAnsi="Times New Roman" w:cs="Times New Roman"/>
          <w:i/>
          <w:sz w:val="24"/>
          <w:szCs w:val="24"/>
        </w:rPr>
        <w:t xml:space="preserve">locus </w:t>
      </w:r>
      <w:proofErr w:type="spellStart"/>
      <w:r w:rsidR="00033B1E" w:rsidRPr="00DD6763">
        <w:rPr>
          <w:rFonts w:ascii="Times New Roman" w:hAnsi="Times New Roman" w:cs="Times New Roman"/>
          <w:i/>
          <w:sz w:val="24"/>
          <w:szCs w:val="24"/>
        </w:rPr>
        <w:t>standis</w:t>
      </w:r>
      <w:proofErr w:type="spellEnd"/>
      <w:r w:rsidR="00033B1E" w:rsidRPr="00DD6763">
        <w:rPr>
          <w:rFonts w:ascii="Times New Roman" w:hAnsi="Times New Roman" w:cs="Times New Roman"/>
          <w:sz w:val="24"/>
          <w:szCs w:val="24"/>
        </w:rPr>
        <w:t xml:space="preserve"> before the Commission; only states and the Commission can appear before the Court. Fourth, </w:t>
      </w:r>
      <w:r w:rsidR="00F56AC8" w:rsidRPr="00DD6763">
        <w:rPr>
          <w:rFonts w:ascii="Times New Roman" w:hAnsi="Times New Roman" w:cs="Times New Roman"/>
          <w:sz w:val="24"/>
          <w:szCs w:val="24"/>
        </w:rPr>
        <w:t>t</w:t>
      </w:r>
      <w:r w:rsidR="00C23AC0" w:rsidRPr="00DD6763">
        <w:rPr>
          <w:rFonts w:ascii="Times New Roman" w:hAnsi="Times New Roman" w:cs="Times New Roman"/>
          <w:sz w:val="24"/>
          <w:szCs w:val="24"/>
        </w:rPr>
        <w:t xml:space="preserve">he Commission has often requested precautionary and provisional measures in cases relating to indigenous property and, in </w:t>
      </w:r>
      <w:r w:rsidR="00C23AC0" w:rsidRPr="00DD6763">
        <w:rPr>
          <w:rFonts w:ascii="Times New Roman" w:hAnsi="Times New Roman" w:cs="Times New Roman"/>
          <w:sz w:val="24"/>
          <w:szCs w:val="24"/>
        </w:rPr>
        <w:lastRenderedPageBreak/>
        <w:t>particular, those re</w:t>
      </w:r>
      <w:r w:rsidR="0077675F" w:rsidRPr="00DD6763">
        <w:rPr>
          <w:rFonts w:ascii="Times New Roman" w:hAnsi="Times New Roman" w:cs="Times New Roman"/>
          <w:sz w:val="24"/>
          <w:szCs w:val="24"/>
        </w:rPr>
        <w:t xml:space="preserve">flecting a conflict between </w:t>
      </w:r>
      <w:r w:rsidR="00C23AC0" w:rsidRPr="00DD6763">
        <w:rPr>
          <w:rFonts w:ascii="Times New Roman" w:hAnsi="Times New Roman" w:cs="Times New Roman"/>
          <w:sz w:val="24"/>
          <w:szCs w:val="24"/>
        </w:rPr>
        <w:t>investors</w:t>
      </w:r>
      <w:r w:rsidR="0077675F" w:rsidRPr="00DD6763">
        <w:rPr>
          <w:rFonts w:ascii="Times New Roman" w:hAnsi="Times New Roman" w:cs="Times New Roman"/>
          <w:sz w:val="24"/>
          <w:szCs w:val="24"/>
        </w:rPr>
        <w:t>’</w:t>
      </w:r>
      <w:r w:rsidR="00C23AC0" w:rsidRPr="00DD6763">
        <w:rPr>
          <w:rFonts w:ascii="Times New Roman" w:hAnsi="Times New Roman" w:cs="Times New Roman"/>
          <w:sz w:val="24"/>
          <w:szCs w:val="24"/>
        </w:rPr>
        <w:t xml:space="preserve"> rights and the protection of the former.</w:t>
      </w:r>
      <w:r w:rsidRPr="00DD6763">
        <w:rPr>
          <w:rStyle w:val="FootnoteReference"/>
          <w:rFonts w:ascii="Times New Roman" w:hAnsi="Times New Roman" w:cs="Times New Roman"/>
          <w:sz w:val="24"/>
          <w:szCs w:val="24"/>
        </w:rPr>
        <w:footnoteReference w:id="79"/>
      </w:r>
      <w:r w:rsidR="00C23AC0" w:rsidRPr="00DD6763">
        <w:rPr>
          <w:rFonts w:ascii="Times New Roman" w:hAnsi="Times New Roman" w:cs="Times New Roman"/>
          <w:sz w:val="24"/>
          <w:szCs w:val="24"/>
        </w:rPr>
        <w:t xml:space="preserve"> </w:t>
      </w:r>
    </w:p>
    <w:p w14:paraId="70EEA057" w14:textId="6B939346" w:rsidR="00EF5D9A" w:rsidRPr="00DD6763" w:rsidRDefault="005F6E00"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A wide array of instruments cited to substantiate the petitions</w:t>
      </w:r>
      <w:r w:rsidR="000A40F9" w:rsidRPr="00DD6763">
        <w:rPr>
          <w:rFonts w:ascii="Times New Roman" w:hAnsi="Times New Roman" w:cs="Times New Roman"/>
          <w:sz w:val="24"/>
          <w:szCs w:val="24"/>
        </w:rPr>
        <w:t xml:space="preserve"> filed before the Commission </w:t>
      </w:r>
      <w:r w:rsidR="00BE76C3" w:rsidRPr="00DD6763">
        <w:rPr>
          <w:rFonts w:ascii="Times New Roman" w:hAnsi="Times New Roman" w:cs="Times New Roman"/>
          <w:sz w:val="24"/>
          <w:szCs w:val="24"/>
        </w:rPr>
        <w:t>could</w:t>
      </w:r>
      <w:r w:rsidRPr="00DD6763">
        <w:rPr>
          <w:rFonts w:ascii="Times New Roman" w:hAnsi="Times New Roman" w:cs="Times New Roman"/>
          <w:sz w:val="24"/>
          <w:szCs w:val="24"/>
        </w:rPr>
        <w:t xml:space="preserve"> be observed. In addition to the UNDRIP, </w:t>
      </w:r>
      <w:r w:rsidR="006C30AE" w:rsidRPr="00DD6763">
        <w:rPr>
          <w:rFonts w:ascii="Times New Roman" w:hAnsi="Times New Roman" w:cs="Times New Roman"/>
          <w:sz w:val="24"/>
          <w:szCs w:val="24"/>
        </w:rPr>
        <w:t>the</w:t>
      </w:r>
      <w:r w:rsidR="00472A2B" w:rsidRPr="00DD6763">
        <w:rPr>
          <w:rFonts w:ascii="Times New Roman" w:hAnsi="Times New Roman" w:cs="Times New Roman"/>
          <w:sz w:val="24"/>
          <w:szCs w:val="24"/>
        </w:rPr>
        <w:t xml:space="preserve"> previous draft of the</w:t>
      </w:r>
      <w:r w:rsidR="006C30AE" w:rsidRPr="00DD6763">
        <w:rPr>
          <w:rFonts w:ascii="Times New Roman" w:hAnsi="Times New Roman" w:cs="Times New Roman"/>
          <w:sz w:val="24"/>
          <w:szCs w:val="24"/>
        </w:rPr>
        <w:t xml:space="preserve"> </w:t>
      </w:r>
      <w:r w:rsidR="00EF5D9A" w:rsidRPr="00DD6763">
        <w:rPr>
          <w:rFonts w:ascii="Times New Roman" w:hAnsi="Times New Roman" w:cs="Times New Roman"/>
          <w:sz w:val="24"/>
          <w:szCs w:val="24"/>
        </w:rPr>
        <w:t>American Declaration on the Rights of Indigenous Peoples</w:t>
      </w:r>
      <w:r w:rsidR="002821FA" w:rsidRPr="00DD6763">
        <w:rPr>
          <w:rFonts w:ascii="Times New Roman" w:hAnsi="Times New Roman" w:cs="Times New Roman"/>
          <w:sz w:val="24"/>
          <w:szCs w:val="24"/>
        </w:rPr>
        <w:t xml:space="preserve"> is often alluded</w:t>
      </w:r>
      <w:r w:rsidR="009914ED" w:rsidRPr="00DD6763">
        <w:rPr>
          <w:rFonts w:ascii="Times New Roman" w:hAnsi="Times New Roman" w:cs="Times New Roman"/>
          <w:sz w:val="24"/>
          <w:szCs w:val="24"/>
        </w:rPr>
        <w:t xml:space="preserve"> to</w:t>
      </w:r>
      <w:r w:rsidR="00C82EE7" w:rsidRPr="00DD6763">
        <w:rPr>
          <w:rFonts w:ascii="Times New Roman" w:hAnsi="Times New Roman" w:cs="Times New Roman"/>
          <w:sz w:val="24"/>
          <w:szCs w:val="24"/>
        </w:rPr>
        <w:t xml:space="preserve"> in the text</w:t>
      </w:r>
      <w:r w:rsidR="006F6BDA" w:rsidRPr="00DD6763">
        <w:rPr>
          <w:rFonts w:ascii="Times New Roman" w:hAnsi="Times New Roman" w:cs="Times New Roman"/>
          <w:sz w:val="24"/>
          <w:szCs w:val="24"/>
        </w:rPr>
        <w:t xml:space="preserve"> as regards developments contributing to legal protection of statuses, which underpin FPIC</w:t>
      </w:r>
      <w:r w:rsidR="009914ED" w:rsidRPr="00DD6763">
        <w:rPr>
          <w:rFonts w:ascii="Times New Roman" w:hAnsi="Times New Roman" w:cs="Times New Roman"/>
          <w:sz w:val="24"/>
          <w:szCs w:val="24"/>
        </w:rPr>
        <w:t xml:space="preserve">. </w:t>
      </w:r>
      <w:r w:rsidR="006F6BDA" w:rsidRPr="00DD6763">
        <w:rPr>
          <w:rFonts w:ascii="Times New Roman" w:hAnsi="Times New Roman" w:cs="Times New Roman"/>
          <w:sz w:val="24"/>
          <w:szCs w:val="24"/>
        </w:rPr>
        <w:t>A</w:t>
      </w:r>
      <w:r w:rsidR="00447E04" w:rsidRPr="00DD6763">
        <w:rPr>
          <w:rFonts w:ascii="Times New Roman" w:hAnsi="Times New Roman" w:cs="Times New Roman"/>
          <w:sz w:val="24"/>
          <w:szCs w:val="24"/>
        </w:rPr>
        <w:t>ddition</w:t>
      </w:r>
      <w:r w:rsidR="006F6BDA" w:rsidRPr="00DD6763">
        <w:rPr>
          <w:rFonts w:ascii="Times New Roman" w:hAnsi="Times New Roman" w:cs="Times New Roman"/>
          <w:sz w:val="24"/>
          <w:szCs w:val="24"/>
        </w:rPr>
        <w:t>ally</w:t>
      </w:r>
      <w:r w:rsidR="00447E04" w:rsidRPr="00DD6763">
        <w:rPr>
          <w:rFonts w:ascii="Times New Roman" w:hAnsi="Times New Roman" w:cs="Times New Roman"/>
          <w:sz w:val="24"/>
          <w:szCs w:val="24"/>
        </w:rPr>
        <w:t>,</w:t>
      </w:r>
      <w:r w:rsidR="006F6BDA" w:rsidRPr="00DD6763">
        <w:rPr>
          <w:rFonts w:ascii="Times New Roman" w:hAnsi="Times New Roman" w:cs="Times New Roman"/>
          <w:sz w:val="24"/>
          <w:szCs w:val="24"/>
        </w:rPr>
        <w:t xml:space="preserve"> </w:t>
      </w:r>
      <w:r w:rsidR="006C30AE" w:rsidRPr="00DD6763">
        <w:rPr>
          <w:rFonts w:ascii="Times New Roman" w:hAnsi="Times New Roman" w:cs="Times New Roman"/>
          <w:sz w:val="24"/>
          <w:szCs w:val="24"/>
        </w:rPr>
        <w:t xml:space="preserve">petitioners have quoted </w:t>
      </w:r>
      <w:r w:rsidR="004B38CE" w:rsidRPr="00DD6763">
        <w:rPr>
          <w:rFonts w:ascii="Times New Roman" w:hAnsi="Times New Roman" w:cs="Times New Roman"/>
          <w:sz w:val="24"/>
          <w:szCs w:val="24"/>
        </w:rPr>
        <w:t>other internatio</w:t>
      </w:r>
      <w:r w:rsidR="00A06794" w:rsidRPr="00DD6763">
        <w:rPr>
          <w:rFonts w:ascii="Times New Roman" w:hAnsi="Times New Roman" w:cs="Times New Roman"/>
          <w:sz w:val="24"/>
          <w:szCs w:val="24"/>
        </w:rPr>
        <w:t xml:space="preserve">nal instruments adopted within </w:t>
      </w:r>
      <w:r w:rsidR="004B38CE" w:rsidRPr="00DD6763">
        <w:rPr>
          <w:rFonts w:ascii="Times New Roman" w:hAnsi="Times New Roman" w:cs="Times New Roman"/>
          <w:sz w:val="24"/>
          <w:szCs w:val="24"/>
        </w:rPr>
        <w:t>other regional organisations</w:t>
      </w:r>
      <w:r w:rsidR="00C82EE7" w:rsidRPr="00DD6763">
        <w:rPr>
          <w:rFonts w:ascii="Times New Roman" w:hAnsi="Times New Roman" w:cs="Times New Roman"/>
          <w:sz w:val="24"/>
          <w:szCs w:val="24"/>
        </w:rPr>
        <w:t xml:space="preserve"> </w:t>
      </w:r>
      <w:r w:rsidR="006F6BDA" w:rsidRPr="00DD6763">
        <w:rPr>
          <w:rFonts w:ascii="Times New Roman" w:hAnsi="Times New Roman" w:cs="Times New Roman"/>
          <w:sz w:val="24"/>
          <w:szCs w:val="24"/>
        </w:rPr>
        <w:t>to make claims concerning the protection of land and cultural rights</w:t>
      </w:r>
      <w:r w:rsidR="004B38CE" w:rsidRPr="00DD6763">
        <w:rPr>
          <w:rFonts w:ascii="Times New Roman" w:hAnsi="Times New Roman" w:cs="Times New Roman"/>
          <w:sz w:val="24"/>
          <w:szCs w:val="24"/>
        </w:rPr>
        <w:t xml:space="preserve">, </w:t>
      </w:r>
      <w:r w:rsidR="00447E04" w:rsidRPr="00DD6763">
        <w:rPr>
          <w:rFonts w:ascii="Times New Roman" w:hAnsi="Times New Roman" w:cs="Times New Roman"/>
          <w:sz w:val="24"/>
          <w:szCs w:val="24"/>
        </w:rPr>
        <w:t xml:space="preserve">such as </w:t>
      </w:r>
      <w:r w:rsidR="006C30AE" w:rsidRPr="00DD6763">
        <w:rPr>
          <w:rFonts w:ascii="Times New Roman" w:hAnsi="Times New Roman" w:cs="Times New Roman"/>
          <w:sz w:val="24"/>
          <w:szCs w:val="24"/>
        </w:rPr>
        <w:t xml:space="preserve">the Charter of the Civil Society of the </w:t>
      </w:r>
      <w:r w:rsidR="00EF5D9A" w:rsidRPr="00DD6763">
        <w:rPr>
          <w:rFonts w:ascii="Times New Roman" w:hAnsi="Times New Roman" w:cs="Times New Roman"/>
          <w:sz w:val="24"/>
          <w:szCs w:val="24"/>
        </w:rPr>
        <w:t xml:space="preserve">Caribbean Community, </w:t>
      </w:r>
      <w:r w:rsidR="0029686C" w:rsidRPr="00DD6763">
        <w:rPr>
          <w:rFonts w:ascii="Times New Roman" w:hAnsi="Times New Roman" w:cs="Times New Roman"/>
          <w:sz w:val="24"/>
          <w:szCs w:val="24"/>
        </w:rPr>
        <w:t>which stipulates that “</w:t>
      </w:r>
      <w:r w:rsidR="006C30AE" w:rsidRPr="00DD6763">
        <w:rPr>
          <w:rFonts w:ascii="Times New Roman" w:hAnsi="Times New Roman" w:cs="Times New Roman"/>
          <w:sz w:val="24"/>
          <w:szCs w:val="24"/>
        </w:rPr>
        <w:t>[s]</w:t>
      </w:r>
      <w:proofErr w:type="spellStart"/>
      <w:r w:rsidR="00EF5D9A" w:rsidRPr="00DD6763">
        <w:rPr>
          <w:rFonts w:ascii="Times New Roman" w:hAnsi="Times New Roman" w:cs="Times New Roman"/>
          <w:sz w:val="24"/>
          <w:szCs w:val="24"/>
        </w:rPr>
        <w:t>tates</w:t>
      </w:r>
      <w:proofErr w:type="spellEnd"/>
      <w:r w:rsidR="00EF5D9A" w:rsidRPr="00DD6763">
        <w:rPr>
          <w:rFonts w:ascii="Times New Roman" w:hAnsi="Times New Roman" w:cs="Times New Roman"/>
          <w:sz w:val="24"/>
          <w:szCs w:val="24"/>
        </w:rPr>
        <w:t xml:space="preserve"> recognize the contribution of the indigenous peoples to the development process and undertake to continue to protect their historical rights and respect the culture and way of life of these peoples</w:t>
      </w:r>
      <w:r w:rsidR="0029686C" w:rsidRPr="00DD6763">
        <w:rPr>
          <w:rFonts w:ascii="Times New Roman" w:hAnsi="Times New Roman" w:cs="Times New Roman"/>
          <w:sz w:val="24"/>
          <w:szCs w:val="24"/>
        </w:rPr>
        <w:t>”</w:t>
      </w:r>
      <w:r w:rsidR="00EF5D9A" w:rsidRPr="00DD6763">
        <w:rPr>
          <w:rFonts w:ascii="Times New Roman" w:hAnsi="Times New Roman" w:cs="Times New Roman"/>
          <w:sz w:val="24"/>
          <w:szCs w:val="24"/>
        </w:rPr>
        <w:t>.</w:t>
      </w:r>
      <w:r w:rsidR="00EF5D9A" w:rsidRPr="00DD6763">
        <w:rPr>
          <w:rStyle w:val="FootnoteReference"/>
          <w:rFonts w:ascii="Times New Roman" w:hAnsi="Times New Roman" w:cs="Times New Roman"/>
          <w:sz w:val="24"/>
          <w:szCs w:val="24"/>
        </w:rPr>
        <w:footnoteReference w:id="80"/>
      </w:r>
    </w:p>
    <w:p w14:paraId="0D8A1B33" w14:textId="32EA01B7" w:rsidR="00DA414B" w:rsidRPr="00DD6763" w:rsidRDefault="00033B1E"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In terms of FPIC, </w:t>
      </w:r>
      <w:r w:rsidR="00447E04" w:rsidRPr="00DD6763">
        <w:rPr>
          <w:rFonts w:ascii="Times New Roman" w:hAnsi="Times New Roman" w:cs="Times New Roman"/>
          <w:sz w:val="24"/>
          <w:szCs w:val="24"/>
        </w:rPr>
        <w:t>one</w:t>
      </w:r>
      <w:r w:rsidRPr="00DD6763">
        <w:rPr>
          <w:rFonts w:ascii="Times New Roman" w:hAnsi="Times New Roman" w:cs="Times New Roman"/>
          <w:sz w:val="24"/>
          <w:szCs w:val="24"/>
        </w:rPr>
        <w:t xml:space="preserve"> particular aspect that should be </w:t>
      </w:r>
      <w:r w:rsidR="000A40F9" w:rsidRPr="00DD6763">
        <w:rPr>
          <w:rFonts w:ascii="Times New Roman" w:hAnsi="Times New Roman" w:cs="Times New Roman"/>
          <w:sz w:val="24"/>
          <w:szCs w:val="24"/>
        </w:rPr>
        <w:t>underlined</w:t>
      </w:r>
      <w:r w:rsidRPr="00DD6763">
        <w:rPr>
          <w:rFonts w:ascii="Times New Roman" w:hAnsi="Times New Roman" w:cs="Times New Roman"/>
          <w:sz w:val="24"/>
          <w:szCs w:val="24"/>
        </w:rPr>
        <w:t xml:space="preserve"> </w:t>
      </w:r>
      <w:r w:rsidR="00447E04" w:rsidRPr="00DD6763">
        <w:rPr>
          <w:rFonts w:ascii="Times New Roman" w:hAnsi="Times New Roman" w:cs="Times New Roman"/>
          <w:sz w:val="24"/>
          <w:szCs w:val="24"/>
        </w:rPr>
        <w:t>thr</w:t>
      </w:r>
      <w:r w:rsidR="00261E06" w:rsidRPr="00DD6763">
        <w:rPr>
          <w:rFonts w:ascii="Times New Roman" w:hAnsi="Times New Roman" w:cs="Times New Roman"/>
          <w:sz w:val="24"/>
          <w:szCs w:val="24"/>
        </w:rPr>
        <w:t>oughout the Commission case law refers to</w:t>
      </w:r>
      <w:r w:rsidRPr="00DD6763">
        <w:rPr>
          <w:rFonts w:ascii="Times New Roman" w:hAnsi="Times New Roman" w:cs="Times New Roman"/>
          <w:sz w:val="24"/>
          <w:szCs w:val="24"/>
        </w:rPr>
        <w:t xml:space="preserve"> </w:t>
      </w:r>
      <w:r w:rsidR="00261E06" w:rsidRPr="00DD6763">
        <w:rPr>
          <w:rFonts w:ascii="Times New Roman" w:hAnsi="Times New Roman" w:cs="Times New Roman"/>
          <w:sz w:val="24"/>
          <w:szCs w:val="24"/>
        </w:rPr>
        <w:t xml:space="preserve">the linkages between </w:t>
      </w:r>
      <w:r w:rsidRPr="00DD6763">
        <w:rPr>
          <w:rFonts w:ascii="Times New Roman" w:hAnsi="Times New Roman" w:cs="Times New Roman"/>
          <w:sz w:val="24"/>
          <w:szCs w:val="24"/>
        </w:rPr>
        <w:t>the right to consultation</w:t>
      </w:r>
      <w:r w:rsidR="00261E06" w:rsidRPr="00DD6763">
        <w:rPr>
          <w:rFonts w:ascii="Times New Roman" w:hAnsi="Times New Roman" w:cs="Times New Roman"/>
          <w:sz w:val="24"/>
          <w:szCs w:val="24"/>
        </w:rPr>
        <w:t>, FPIC</w:t>
      </w:r>
      <w:r w:rsidRPr="00DD6763">
        <w:rPr>
          <w:rFonts w:ascii="Times New Roman" w:hAnsi="Times New Roman" w:cs="Times New Roman"/>
          <w:sz w:val="24"/>
          <w:szCs w:val="24"/>
        </w:rPr>
        <w:t xml:space="preserve"> and th</w:t>
      </w:r>
      <w:r w:rsidR="00DC0DB1" w:rsidRPr="00DD6763">
        <w:rPr>
          <w:rFonts w:ascii="Times New Roman" w:hAnsi="Times New Roman" w:cs="Times New Roman"/>
          <w:sz w:val="24"/>
          <w:szCs w:val="24"/>
        </w:rPr>
        <w:t xml:space="preserve">e protection of the environment. </w:t>
      </w:r>
      <w:r w:rsidRPr="00DD6763">
        <w:rPr>
          <w:rFonts w:ascii="Times New Roman" w:hAnsi="Times New Roman" w:cs="Times New Roman"/>
          <w:sz w:val="24"/>
          <w:szCs w:val="24"/>
        </w:rPr>
        <w:t xml:space="preserve">In light of </w:t>
      </w:r>
      <w:r w:rsidR="000A40F9" w:rsidRPr="00DD6763">
        <w:rPr>
          <w:rFonts w:ascii="Times New Roman" w:hAnsi="Times New Roman" w:cs="Times New Roman"/>
          <w:sz w:val="24"/>
          <w:szCs w:val="24"/>
        </w:rPr>
        <w:t>various</w:t>
      </w:r>
      <w:r w:rsidRPr="00DD6763">
        <w:rPr>
          <w:rFonts w:ascii="Times New Roman" w:hAnsi="Times New Roman" w:cs="Times New Roman"/>
          <w:sz w:val="24"/>
          <w:szCs w:val="24"/>
        </w:rPr>
        <w:t xml:space="preserve"> cases</w:t>
      </w:r>
      <w:r w:rsidR="00055DEE" w:rsidRPr="00DD6763">
        <w:rPr>
          <w:rFonts w:ascii="Times New Roman" w:hAnsi="Times New Roman" w:cs="Times New Roman"/>
          <w:sz w:val="24"/>
          <w:szCs w:val="24"/>
        </w:rPr>
        <w:t xml:space="preserve"> heard before the Commission</w:t>
      </w:r>
      <w:r w:rsidRPr="00DD6763">
        <w:rPr>
          <w:rFonts w:ascii="Times New Roman" w:hAnsi="Times New Roman" w:cs="Times New Roman"/>
          <w:sz w:val="24"/>
          <w:szCs w:val="24"/>
        </w:rPr>
        <w:t>, one may</w:t>
      </w:r>
      <w:r w:rsidR="00C23AC0" w:rsidRPr="00DD6763">
        <w:rPr>
          <w:rFonts w:ascii="Times New Roman" w:hAnsi="Times New Roman" w:cs="Times New Roman"/>
          <w:sz w:val="24"/>
          <w:szCs w:val="24"/>
        </w:rPr>
        <w:t xml:space="preserve"> observe</w:t>
      </w:r>
      <w:r w:rsidR="00F21DA2" w:rsidRPr="00DD6763">
        <w:rPr>
          <w:rFonts w:ascii="Times New Roman" w:hAnsi="Times New Roman" w:cs="Times New Roman"/>
          <w:sz w:val="24"/>
          <w:szCs w:val="24"/>
        </w:rPr>
        <w:t xml:space="preserve"> how FPIC is effectively safeguarded</w:t>
      </w:r>
      <w:r w:rsidRPr="00DD6763">
        <w:rPr>
          <w:rFonts w:ascii="Times New Roman" w:hAnsi="Times New Roman" w:cs="Times New Roman"/>
          <w:sz w:val="24"/>
          <w:szCs w:val="24"/>
        </w:rPr>
        <w:t xml:space="preserve">. </w:t>
      </w:r>
      <w:r w:rsidR="00DA414B" w:rsidRPr="00DD6763">
        <w:rPr>
          <w:rFonts w:ascii="Times New Roman" w:hAnsi="Times New Roman" w:cs="Times New Roman"/>
          <w:sz w:val="24"/>
          <w:szCs w:val="24"/>
        </w:rPr>
        <w:t>Space precludes the possibility to provide a detailed account of all the different cases</w:t>
      </w:r>
      <w:r w:rsidR="00055DEE" w:rsidRPr="00DD6763">
        <w:rPr>
          <w:rFonts w:ascii="Times New Roman" w:hAnsi="Times New Roman" w:cs="Times New Roman"/>
          <w:sz w:val="24"/>
          <w:szCs w:val="24"/>
        </w:rPr>
        <w:t xml:space="preserve">, but </w:t>
      </w:r>
      <w:r w:rsidR="00FC70B0" w:rsidRPr="00DD6763">
        <w:rPr>
          <w:rFonts w:ascii="Times New Roman" w:hAnsi="Times New Roman" w:cs="Times New Roman"/>
          <w:sz w:val="24"/>
          <w:szCs w:val="24"/>
        </w:rPr>
        <w:t>three</w:t>
      </w:r>
      <w:r w:rsidR="00447E04" w:rsidRPr="00DD6763">
        <w:rPr>
          <w:rFonts w:ascii="Times New Roman" w:hAnsi="Times New Roman" w:cs="Times New Roman"/>
          <w:sz w:val="24"/>
          <w:szCs w:val="24"/>
        </w:rPr>
        <w:t xml:space="preserve"> key </w:t>
      </w:r>
      <w:r w:rsidR="00055DEE" w:rsidRPr="00DD6763">
        <w:rPr>
          <w:rFonts w:ascii="Times New Roman" w:hAnsi="Times New Roman" w:cs="Times New Roman"/>
          <w:sz w:val="24"/>
          <w:szCs w:val="24"/>
        </w:rPr>
        <w:t>one</w:t>
      </w:r>
      <w:r w:rsidR="00447E04" w:rsidRPr="00DD6763">
        <w:rPr>
          <w:rFonts w:ascii="Times New Roman" w:hAnsi="Times New Roman" w:cs="Times New Roman"/>
          <w:sz w:val="24"/>
          <w:szCs w:val="24"/>
        </w:rPr>
        <w:t>s</w:t>
      </w:r>
      <w:r w:rsidR="00055DEE" w:rsidRPr="00DD6763">
        <w:rPr>
          <w:rFonts w:ascii="Times New Roman" w:hAnsi="Times New Roman" w:cs="Times New Roman"/>
          <w:sz w:val="24"/>
          <w:szCs w:val="24"/>
        </w:rPr>
        <w:t xml:space="preserve"> </w:t>
      </w:r>
      <w:r w:rsidR="00447E04" w:rsidRPr="00DD6763">
        <w:rPr>
          <w:rFonts w:ascii="Times New Roman" w:hAnsi="Times New Roman" w:cs="Times New Roman"/>
          <w:sz w:val="24"/>
          <w:szCs w:val="24"/>
        </w:rPr>
        <w:t xml:space="preserve">should </w:t>
      </w:r>
      <w:r w:rsidR="00055DEE" w:rsidRPr="00DD6763">
        <w:rPr>
          <w:rFonts w:ascii="Times New Roman" w:hAnsi="Times New Roman" w:cs="Times New Roman"/>
          <w:sz w:val="24"/>
          <w:szCs w:val="24"/>
        </w:rPr>
        <w:t>help to understand how FPIC protection operates</w:t>
      </w:r>
      <w:r w:rsidR="00DA414B" w:rsidRPr="00DD6763">
        <w:rPr>
          <w:rFonts w:ascii="Times New Roman" w:hAnsi="Times New Roman" w:cs="Times New Roman"/>
          <w:sz w:val="24"/>
          <w:szCs w:val="24"/>
        </w:rPr>
        <w:t>.</w:t>
      </w:r>
    </w:p>
    <w:p w14:paraId="06423518" w14:textId="469EF8B5" w:rsidR="00C23AC0" w:rsidRPr="00DD6763" w:rsidRDefault="00033B1E"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I</w:t>
      </w:r>
      <w:r w:rsidR="00C23AC0" w:rsidRPr="00DD6763">
        <w:rPr>
          <w:rFonts w:ascii="Times New Roman" w:hAnsi="Times New Roman" w:cs="Times New Roman"/>
          <w:sz w:val="24"/>
          <w:szCs w:val="24"/>
        </w:rPr>
        <w:t xml:space="preserve">n </w:t>
      </w:r>
      <w:r w:rsidR="00C23AC0" w:rsidRPr="00DD6763">
        <w:rPr>
          <w:rFonts w:ascii="Times New Roman" w:hAnsi="Times New Roman" w:cs="Times New Roman"/>
          <w:i/>
          <w:sz w:val="24"/>
          <w:szCs w:val="24"/>
        </w:rPr>
        <w:t>Marlin mining project</w:t>
      </w:r>
      <w:r w:rsidRPr="00DD6763">
        <w:rPr>
          <w:rFonts w:ascii="Times New Roman" w:hAnsi="Times New Roman" w:cs="Times New Roman"/>
          <w:sz w:val="24"/>
          <w:szCs w:val="24"/>
        </w:rPr>
        <w:t>,</w:t>
      </w:r>
      <w:r w:rsidR="00C23AC0" w:rsidRPr="00DD6763">
        <w:rPr>
          <w:rFonts w:ascii="Times New Roman" w:hAnsi="Times New Roman" w:cs="Times New Roman"/>
          <w:sz w:val="24"/>
          <w:szCs w:val="24"/>
        </w:rPr>
        <w:t xml:space="preserve"> a case concerning Guatemala</w:t>
      </w:r>
      <w:r w:rsidRPr="00DD6763">
        <w:rPr>
          <w:rFonts w:ascii="Times New Roman" w:hAnsi="Times New Roman" w:cs="Times New Roman"/>
          <w:sz w:val="24"/>
          <w:szCs w:val="24"/>
        </w:rPr>
        <w:t>, t</w:t>
      </w:r>
      <w:r w:rsidR="00C23AC0" w:rsidRPr="00DD6763">
        <w:rPr>
          <w:rFonts w:ascii="Times New Roman" w:hAnsi="Times New Roman" w:cs="Times New Roman"/>
          <w:sz w:val="24"/>
          <w:szCs w:val="24"/>
        </w:rPr>
        <w:t xml:space="preserve">he </w:t>
      </w:r>
      <w:r w:rsidRPr="00DD6763">
        <w:rPr>
          <w:rFonts w:ascii="Times New Roman" w:hAnsi="Times New Roman" w:cs="Times New Roman"/>
          <w:sz w:val="24"/>
          <w:szCs w:val="24"/>
        </w:rPr>
        <w:t xml:space="preserve">IACHR ordered the defendant state </w:t>
      </w:r>
      <w:r w:rsidR="00C23AC0" w:rsidRPr="00DD6763">
        <w:rPr>
          <w:rFonts w:ascii="Times New Roman" w:hAnsi="Times New Roman" w:cs="Times New Roman"/>
          <w:sz w:val="24"/>
          <w:szCs w:val="24"/>
        </w:rPr>
        <w:t xml:space="preserve">to suspend </w:t>
      </w:r>
      <w:r w:rsidR="00055DEE" w:rsidRPr="00DD6763">
        <w:rPr>
          <w:rFonts w:ascii="Times New Roman" w:hAnsi="Times New Roman" w:cs="Times New Roman"/>
          <w:sz w:val="24"/>
          <w:szCs w:val="24"/>
        </w:rPr>
        <w:t xml:space="preserve">the </w:t>
      </w:r>
      <w:r w:rsidR="00C23AC0" w:rsidRPr="00DD6763">
        <w:rPr>
          <w:rFonts w:ascii="Times New Roman" w:hAnsi="Times New Roman" w:cs="Times New Roman"/>
          <w:sz w:val="24"/>
          <w:szCs w:val="24"/>
        </w:rPr>
        <w:t>exploitation of a gold mine that it had granted to a multinational firm, Goldcorp, as a precautionary measure to safeguard Maya People’s rights.</w:t>
      </w:r>
      <w:r w:rsidR="00C23AC0" w:rsidRPr="00DD6763">
        <w:rPr>
          <w:rStyle w:val="FootnoteReference"/>
          <w:rFonts w:ascii="Times New Roman" w:hAnsi="Times New Roman" w:cs="Times New Roman"/>
          <w:sz w:val="24"/>
          <w:szCs w:val="24"/>
        </w:rPr>
        <w:footnoteReference w:id="81"/>
      </w:r>
      <w:r w:rsidR="00DA414B" w:rsidRPr="00DD6763">
        <w:rPr>
          <w:rFonts w:ascii="Times New Roman" w:hAnsi="Times New Roman" w:cs="Times New Roman"/>
          <w:sz w:val="24"/>
          <w:szCs w:val="24"/>
        </w:rPr>
        <w:t xml:space="preserve"> </w:t>
      </w:r>
      <w:r w:rsidR="001C09AE" w:rsidRPr="00DD6763">
        <w:rPr>
          <w:rFonts w:ascii="Times New Roman" w:hAnsi="Times New Roman" w:cs="Times New Roman"/>
          <w:sz w:val="24"/>
          <w:szCs w:val="24"/>
        </w:rPr>
        <w:t>In its response, Guatemala alleged that the consultation had taken place during the EIA process. In the final report on the case, the Commission clarified t</w:t>
      </w:r>
      <w:r w:rsidR="0029686C" w:rsidRPr="00DD6763">
        <w:rPr>
          <w:rFonts w:ascii="Times New Roman" w:hAnsi="Times New Roman" w:cs="Times New Roman"/>
          <w:sz w:val="24"/>
          <w:szCs w:val="24"/>
        </w:rPr>
        <w:t>hat “</w:t>
      </w:r>
      <w:r w:rsidR="001C09AE" w:rsidRPr="00DD6763">
        <w:rPr>
          <w:rFonts w:ascii="Times New Roman" w:hAnsi="Times New Roman" w:cs="Times New Roman"/>
          <w:sz w:val="24"/>
          <w:szCs w:val="24"/>
        </w:rPr>
        <w:t>consultations must be meaningful</w:t>
      </w:r>
      <w:r w:rsidR="00447E04" w:rsidRPr="00DD6763">
        <w:rPr>
          <w:rFonts w:ascii="Times New Roman" w:hAnsi="Times New Roman" w:cs="Times New Roman"/>
          <w:sz w:val="24"/>
          <w:szCs w:val="24"/>
        </w:rPr>
        <w:t xml:space="preserve"> and</w:t>
      </w:r>
      <w:r w:rsidR="001C09AE" w:rsidRPr="00DD6763">
        <w:rPr>
          <w:rFonts w:ascii="Times New Roman" w:hAnsi="Times New Roman" w:cs="Times New Roman"/>
          <w:sz w:val="24"/>
          <w:szCs w:val="24"/>
        </w:rPr>
        <w:t xml:space="preserve"> they should take place wi</w:t>
      </w:r>
      <w:r w:rsidR="0029686C" w:rsidRPr="00DD6763">
        <w:rPr>
          <w:rFonts w:ascii="Times New Roman" w:hAnsi="Times New Roman" w:cs="Times New Roman"/>
          <w:sz w:val="24"/>
          <w:szCs w:val="24"/>
        </w:rPr>
        <w:t>th the aim of obtaining consent”</w:t>
      </w:r>
      <w:r w:rsidR="001C09AE" w:rsidRPr="00DD6763">
        <w:rPr>
          <w:rFonts w:ascii="Times New Roman" w:hAnsi="Times New Roman" w:cs="Times New Roman"/>
          <w:sz w:val="24"/>
          <w:szCs w:val="24"/>
        </w:rPr>
        <w:t>.</w:t>
      </w:r>
      <w:r w:rsidR="001C09AE" w:rsidRPr="00DD6763">
        <w:rPr>
          <w:rStyle w:val="FootnoteReference"/>
          <w:rFonts w:ascii="Times New Roman" w:hAnsi="Times New Roman" w:cs="Times New Roman"/>
          <w:sz w:val="24"/>
          <w:szCs w:val="24"/>
        </w:rPr>
        <w:footnoteReference w:id="82"/>
      </w:r>
      <w:r w:rsidR="001C09AE" w:rsidRPr="00DD6763">
        <w:rPr>
          <w:rFonts w:ascii="Times New Roman" w:hAnsi="Times New Roman" w:cs="Times New Roman"/>
          <w:sz w:val="24"/>
          <w:szCs w:val="24"/>
        </w:rPr>
        <w:t xml:space="preserve"> </w:t>
      </w:r>
      <w:r w:rsidR="00F21DA2" w:rsidRPr="00DD6763">
        <w:rPr>
          <w:rFonts w:ascii="Times New Roman" w:hAnsi="Times New Roman" w:cs="Times New Roman"/>
          <w:sz w:val="24"/>
          <w:szCs w:val="24"/>
        </w:rPr>
        <w:t>Referring to environmental rights</w:t>
      </w:r>
      <w:r w:rsidR="001B25EB" w:rsidRPr="00DD6763">
        <w:rPr>
          <w:rFonts w:ascii="Times New Roman" w:hAnsi="Times New Roman" w:cs="Times New Roman"/>
          <w:sz w:val="24"/>
          <w:szCs w:val="24"/>
        </w:rPr>
        <w:t xml:space="preserve"> and</w:t>
      </w:r>
      <w:r w:rsidR="000D0F36" w:rsidRPr="00DD6763">
        <w:rPr>
          <w:rFonts w:ascii="Times New Roman" w:hAnsi="Times New Roman" w:cs="Times New Roman"/>
          <w:sz w:val="24"/>
          <w:szCs w:val="24"/>
        </w:rPr>
        <w:t>,</w:t>
      </w:r>
      <w:r w:rsidR="001B25EB" w:rsidRPr="00DD6763">
        <w:rPr>
          <w:rFonts w:ascii="Times New Roman" w:hAnsi="Times New Roman" w:cs="Times New Roman"/>
          <w:sz w:val="24"/>
          <w:szCs w:val="24"/>
        </w:rPr>
        <w:t xml:space="preserve"> in particular</w:t>
      </w:r>
      <w:r w:rsidR="000D0F36" w:rsidRPr="00DD6763">
        <w:rPr>
          <w:rFonts w:ascii="Times New Roman" w:hAnsi="Times New Roman" w:cs="Times New Roman"/>
          <w:sz w:val="24"/>
          <w:szCs w:val="24"/>
        </w:rPr>
        <w:t xml:space="preserve">, </w:t>
      </w:r>
      <w:r w:rsidR="001B25EB" w:rsidRPr="00DD6763">
        <w:rPr>
          <w:rFonts w:ascii="Times New Roman" w:hAnsi="Times New Roman" w:cs="Times New Roman"/>
          <w:sz w:val="24"/>
          <w:szCs w:val="24"/>
        </w:rPr>
        <w:t>sustainable development (a legal principle noted above to be intrinsically linked to FPIC since consultation and consent are necessary to undertake major projects concerning indigenous peoples),</w:t>
      </w:r>
      <w:r w:rsidR="00F21DA2" w:rsidRPr="00DD6763">
        <w:rPr>
          <w:rFonts w:ascii="Times New Roman" w:hAnsi="Times New Roman" w:cs="Times New Roman"/>
          <w:sz w:val="24"/>
          <w:szCs w:val="24"/>
        </w:rPr>
        <w:t xml:space="preserve"> t</w:t>
      </w:r>
      <w:r w:rsidR="00C23AC0" w:rsidRPr="00DD6763">
        <w:rPr>
          <w:rFonts w:ascii="Times New Roman" w:hAnsi="Times New Roman" w:cs="Times New Roman"/>
          <w:sz w:val="24"/>
          <w:szCs w:val="24"/>
        </w:rPr>
        <w:t xml:space="preserve">he Commission </w:t>
      </w:r>
      <w:r w:rsidR="00F21DA2" w:rsidRPr="00DD6763">
        <w:rPr>
          <w:rFonts w:ascii="Times New Roman" w:hAnsi="Times New Roman" w:cs="Times New Roman"/>
          <w:sz w:val="24"/>
          <w:szCs w:val="24"/>
        </w:rPr>
        <w:t>derived specific obligations upon a government emanating from</w:t>
      </w:r>
      <w:r w:rsidR="00C23AC0" w:rsidRPr="00DD6763">
        <w:rPr>
          <w:rFonts w:ascii="Times New Roman" w:hAnsi="Times New Roman" w:cs="Times New Roman"/>
          <w:sz w:val="24"/>
          <w:szCs w:val="24"/>
        </w:rPr>
        <w:t xml:space="preserve"> the right to a g</w:t>
      </w:r>
      <w:r w:rsidR="001F3CE0" w:rsidRPr="00DD6763">
        <w:rPr>
          <w:rFonts w:ascii="Times New Roman" w:hAnsi="Times New Roman" w:cs="Times New Roman"/>
          <w:sz w:val="24"/>
          <w:szCs w:val="24"/>
        </w:rPr>
        <w:t>eneral satisfactory environment</w:t>
      </w:r>
      <w:r w:rsidR="001B25EB" w:rsidRPr="00DD6763">
        <w:rPr>
          <w:rFonts w:ascii="Times New Roman" w:hAnsi="Times New Roman" w:cs="Times New Roman"/>
          <w:sz w:val="24"/>
          <w:szCs w:val="24"/>
        </w:rPr>
        <w:t>. This</w:t>
      </w:r>
      <w:r w:rsidR="001F3CE0" w:rsidRPr="00DD6763">
        <w:rPr>
          <w:rFonts w:ascii="Times New Roman" w:hAnsi="Times New Roman" w:cs="Times New Roman"/>
          <w:sz w:val="24"/>
          <w:szCs w:val="24"/>
        </w:rPr>
        <w:t xml:space="preserve"> translate</w:t>
      </w:r>
      <w:r w:rsidR="00055DEE" w:rsidRPr="00DD6763">
        <w:rPr>
          <w:rFonts w:ascii="Times New Roman" w:hAnsi="Times New Roman" w:cs="Times New Roman"/>
          <w:sz w:val="24"/>
          <w:szCs w:val="24"/>
        </w:rPr>
        <w:t>s</w:t>
      </w:r>
      <w:r w:rsidR="001F3CE0" w:rsidRPr="00DD6763">
        <w:rPr>
          <w:rFonts w:ascii="Times New Roman" w:hAnsi="Times New Roman" w:cs="Times New Roman"/>
          <w:sz w:val="24"/>
          <w:szCs w:val="24"/>
        </w:rPr>
        <w:t xml:space="preserve"> into the </w:t>
      </w:r>
      <w:r w:rsidR="00C23AC0" w:rsidRPr="00DD6763">
        <w:rPr>
          <w:rFonts w:ascii="Times New Roman" w:hAnsi="Times New Roman" w:cs="Times New Roman"/>
          <w:sz w:val="24"/>
          <w:szCs w:val="24"/>
        </w:rPr>
        <w:t>State</w:t>
      </w:r>
      <w:r w:rsidR="001F3CE0" w:rsidRPr="00DD6763">
        <w:rPr>
          <w:rFonts w:ascii="Times New Roman" w:hAnsi="Times New Roman" w:cs="Times New Roman"/>
          <w:sz w:val="24"/>
          <w:szCs w:val="24"/>
        </w:rPr>
        <w:t>’s ob</w:t>
      </w:r>
      <w:r w:rsidR="0029686C" w:rsidRPr="00DD6763">
        <w:rPr>
          <w:rFonts w:ascii="Times New Roman" w:hAnsi="Times New Roman" w:cs="Times New Roman"/>
          <w:sz w:val="24"/>
          <w:szCs w:val="24"/>
        </w:rPr>
        <w:t>ligation “</w:t>
      </w:r>
      <w:r w:rsidR="00C23AC0" w:rsidRPr="00DD6763">
        <w:rPr>
          <w:rFonts w:ascii="Times New Roman" w:hAnsi="Times New Roman" w:cs="Times New Roman"/>
          <w:sz w:val="24"/>
          <w:szCs w:val="24"/>
        </w:rPr>
        <w:t>to take reasonable and other measures to prevent pollution and ecological degradation, to promote conservation, and to secure an ecologically sustainable developme</w:t>
      </w:r>
      <w:r w:rsidR="001F3CE0" w:rsidRPr="00DD6763">
        <w:rPr>
          <w:rFonts w:ascii="Times New Roman" w:hAnsi="Times New Roman" w:cs="Times New Roman"/>
          <w:sz w:val="24"/>
          <w:szCs w:val="24"/>
        </w:rPr>
        <w:t>nt and use of natural resources</w:t>
      </w:r>
      <w:r w:rsidR="0029686C" w:rsidRPr="00DD6763">
        <w:rPr>
          <w:rFonts w:ascii="Times New Roman" w:hAnsi="Times New Roman" w:cs="Times New Roman"/>
          <w:sz w:val="24"/>
          <w:szCs w:val="24"/>
        </w:rPr>
        <w:t>”</w:t>
      </w:r>
      <w:r w:rsidR="00C23AC0" w:rsidRPr="00DD6763">
        <w:rPr>
          <w:rFonts w:ascii="Times New Roman" w:hAnsi="Times New Roman" w:cs="Times New Roman"/>
          <w:i/>
          <w:sz w:val="24"/>
          <w:szCs w:val="24"/>
        </w:rPr>
        <w:t>.</w:t>
      </w:r>
      <w:r w:rsidR="001F3CE0" w:rsidRPr="00DD6763">
        <w:rPr>
          <w:rStyle w:val="FootnoteReference"/>
          <w:rFonts w:ascii="Times New Roman" w:hAnsi="Times New Roman" w:cs="Times New Roman"/>
          <w:sz w:val="24"/>
          <w:szCs w:val="24"/>
        </w:rPr>
        <w:footnoteReference w:id="83"/>
      </w:r>
    </w:p>
    <w:p w14:paraId="34FB8AB9" w14:textId="7223A7B6" w:rsidR="00C23AC0" w:rsidRPr="00DD6763" w:rsidRDefault="00C23AC0" w:rsidP="00C90791">
      <w:pPr>
        <w:spacing w:after="0" w:line="276" w:lineRule="auto"/>
        <w:ind w:firstLine="720"/>
        <w:jc w:val="both"/>
        <w:rPr>
          <w:rFonts w:ascii="Times New Roman" w:hAnsi="Times New Roman" w:cs="Times New Roman"/>
          <w:i/>
          <w:sz w:val="24"/>
          <w:szCs w:val="24"/>
        </w:rPr>
      </w:pPr>
      <w:r w:rsidRPr="00DD6763">
        <w:rPr>
          <w:rFonts w:ascii="Times New Roman" w:hAnsi="Times New Roman" w:cs="Times New Roman"/>
          <w:sz w:val="24"/>
          <w:szCs w:val="24"/>
        </w:rPr>
        <w:t xml:space="preserve">In </w:t>
      </w:r>
      <w:proofErr w:type="spellStart"/>
      <w:r w:rsidRPr="00DD6763">
        <w:rPr>
          <w:rFonts w:ascii="Times New Roman" w:hAnsi="Times New Roman" w:cs="Times New Roman"/>
          <w:i/>
          <w:sz w:val="24"/>
          <w:szCs w:val="24"/>
        </w:rPr>
        <w:t>Huenteao</w:t>
      </w:r>
      <w:proofErr w:type="spellEnd"/>
      <w:r w:rsidRPr="00DD6763">
        <w:rPr>
          <w:rFonts w:ascii="Times New Roman" w:hAnsi="Times New Roman" w:cs="Times New Roman"/>
          <w:i/>
          <w:sz w:val="24"/>
          <w:szCs w:val="24"/>
        </w:rPr>
        <w:t xml:space="preserve"> </w:t>
      </w:r>
      <w:proofErr w:type="spellStart"/>
      <w:r w:rsidRPr="00DD6763">
        <w:rPr>
          <w:rFonts w:ascii="Times New Roman" w:hAnsi="Times New Roman" w:cs="Times New Roman"/>
          <w:i/>
          <w:sz w:val="24"/>
          <w:szCs w:val="24"/>
        </w:rPr>
        <w:t>Beroiza</w:t>
      </w:r>
      <w:proofErr w:type="spellEnd"/>
      <w:r w:rsidR="001C09AE" w:rsidRPr="00DD6763">
        <w:rPr>
          <w:rFonts w:ascii="Times New Roman" w:hAnsi="Times New Roman" w:cs="Times New Roman"/>
          <w:sz w:val="24"/>
          <w:szCs w:val="24"/>
        </w:rPr>
        <w:t xml:space="preserve">, a case </w:t>
      </w:r>
      <w:r w:rsidRPr="00DD6763">
        <w:rPr>
          <w:rFonts w:ascii="Times New Roman" w:hAnsi="Times New Roman" w:cs="Times New Roman"/>
          <w:sz w:val="24"/>
          <w:szCs w:val="24"/>
        </w:rPr>
        <w:t>relating to the construction of a dam in Chile, the Commission was confronted with a conflict of rights</w:t>
      </w:r>
      <w:r w:rsidR="001C5B41" w:rsidRPr="00DD6763">
        <w:rPr>
          <w:rFonts w:ascii="Times New Roman" w:hAnsi="Times New Roman" w:cs="Times New Roman"/>
          <w:sz w:val="24"/>
          <w:szCs w:val="24"/>
        </w:rPr>
        <w:t xml:space="preserve"> between investors and indigenous </w:t>
      </w:r>
      <w:r w:rsidR="001C5B41" w:rsidRPr="00DD6763">
        <w:rPr>
          <w:rFonts w:ascii="Times New Roman" w:hAnsi="Times New Roman" w:cs="Times New Roman"/>
          <w:sz w:val="24"/>
          <w:szCs w:val="24"/>
        </w:rPr>
        <w:lastRenderedPageBreak/>
        <w:t xml:space="preserve">communities that </w:t>
      </w:r>
      <w:r w:rsidR="00447E04" w:rsidRPr="00DD6763">
        <w:rPr>
          <w:rFonts w:ascii="Times New Roman" w:hAnsi="Times New Roman" w:cs="Times New Roman"/>
          <w:sz w:val="24"/>
          <w:szCs w:val="24"/>
        </w:rPr>
        <w:t>finally resulted in</w:t>
      </w:r>
      <w:r w:rsidR="001C5B41" w:rsidRPr="00DD6763">
        <w:rPr>
          <w:rFonts w:ascii="Times New Roman" w:hAnsi="Times New Roman" w:cs="Times New Roman"/>
          <w:sz w:val="24"/>
          <w:szCs w:val="24"/>
        </w:rPr>
        <w:t xml:space="preserve"> an amicable settlement</w:t>
      </w:r>
      <w:r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84"/>
      </w:r>
      <w:r w:rsidRPr="00DD6763">
        <w:rPr>
          <w:rFonts w:ascii="Times New Roman" w:hAnsi="Times New Roman" w:cs="Times New Roman"/>
          <w:sz w:val="24"/>
          <w:szCs w:val="24"/>
        </w:rPr>
        <w:t xml:space="preserve"> After conducting the </w:t>
      </w:r>
      <w:r w:rsidR="00447E04" w:rsidRPr="00DD6763">
        <w:rPr>
          <w:rFonts w:ascii="Times New Roman" w:hAnsi="Times New Roman" w:cs="Times New Roman"/>
          <w:sz w:val="24"/>
          <w:szCs w:val="24"/>
        </w:rPr>
        <w:t>EIA</w:t>
      </w:r>
      <w:r w:rsidRPr="00DD6763">
        <w:rPr>
          <w:rFonts w:ascii="Times New Roman" w:hAnsi="Times New Roman" w:cs="Times New Roman"/>
          <w:sz w:val="24"/>
          <w:szCs w:val="24"/>
        </w:rPr>
        <w:t xml:space="preserve"> for the project, the National Environment Commission (CONAMA in Spanish) approved the construction of the hydroelectric plant</w:t>
      </w:r>
      <w:r w:rsidR="00447E04" w:rsidRPr="00DD6763">
        <w:rPr>
          <w:rFonts w:ascii="Times New Roman" w:hAnsi="Times New Roman" w:cs="Times New Roman"/>
          <w:sz w:val="24"/>
          <w:szCs w:val="24"/>
        </w:rPr>
        <w:t>:</w:t>
      </w:r>
      <w:r w:rsidRPr="00DD6763">
        <w:rPr>
          <w:rFonts w:ascii="Times New Roman" w:hAnsi="Times New Roman" w:cs="Times New Roman"/>
          <w:sz w:val="24"/>
          <w:szCs w:val="24"/>
        </w:rPr>
        <w:t xml:space="preserve"> however</w:t>
      </w:r>
      <w:r w:rsidR="00C33CEC" w:rsidRPr="00DD6763">
        <w:rPr>
          <w:rFonts w:ascii="Times New Roman" w:hAnsi="Times New Roman" w:cs="Times New Roman"/>
          <w:sz w:val="24"/>
          <w:szCs w:val="24"/>
        </w:rPr>
        <w:t>,</w:t>
      </w:r>
      <w:r w:rsidRPr="00DD6763">
        <w:rPr>
          <w:rFonts w:ascii="Times New Roman" w:hAnsi="Times New Roman" w:cs="Times New Roman"/>
          <w:sz w:val="24"/>
          <w:szCs w:val="24"/>
        </w:rPr>
        <w:t xml:space="preserve"> the Indigenous Peoples Act (Law 19.253) </w:t>
      </w:r>
      <w:r w:rsidR="009041E4" w:rsidRPr="00DD6763">
        <w:rPr>
          <w:rFonts w:ascii="Times New Roman" w:hAnsi="Times New Roman" w:cs="Times New Roman"/>
          <w:sz w:val="24"/>
          <w:szCs w:val="24"/>
        </w:rPr>
        <w:t>required that</w:t>
      </w:r>
      <w:r w:rsidR="00226AC9" w:rsidRPr="00DD6763">
        <w:rPr>
          <w:rFonts w:ascii="Times New Roman" w:hAnsi="Times New Roman" w:cs="Times New Roman"/>
          <w:sz w:val="24"/>
          <w:szCs w:val="24"/>
        </w:rPr>
        <w:t xml:space="preserve"> </w:t>
      </w:r>
      <w:r w:rsidRPr="00DD6763">
        <w:rPr>
          <w:rFonts w:ascii="Times New Roman" w:hAnsi="Times New Roman" w:cs="Times New Roman"/>
          <w:sz w:val="24"/>
          <w:szCs w:val="24"/>
        </w:rPr>
        <w:t>the relocation of the indigenous population should only proceed with the consent</w:t>
      </w:r>
      <w:r w:rsidR="00C5530E"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and willingness of those </w:t>
      </w:r>
      <w:r w:rsidR="00C33CEC" w:rsidRPr="00DD6763">
        <w:rPr>
          <w:rFonts w:ascii="Times New Roman" w:hAnsi="Times New Roman" w:cs="Times New Roman"/>
          <w:sz w:val="24"/>
          <w:szCs w:val="24"/>
        </w:rPr>
        <w:t>affected</w:t>
      </w:r>
      <w:r w:rsidRPr="00DD6763">
        <w:rPr>
          <w:rFonts w:ascii="Times New Roman" w:hAnsi="Times New Roman" w:cs="Times New Roman"/>
          <w:sz w:val="24"/>
          <w:szCs w:val="24"/>
        </w:rPr>
        <w:t xml:space="preserve">. </w:t>
      </w:r>
      <w:r w:rsidR="001C5B41" w:rsidRPr="00DD6763">
        <w:rPr>
          <w:rFonts w:ascii="Times New Roman" w:hAnsi="Times New Roman" w:cs="Times New Roman"/>
          <w:sz w:val="24"/>
          <w:szCs w:val="24"/>
        </w:rPr>
        <w:t>T</w:t>
      </w:r>
      <w:r w:rsidR="00C33CEC" w:rsidRPr="00DD6763">
        <w:rPr>
          <w:rFonts w:ascii="Times New Roman" w:hAnsi="Times New Roman" w:cs="Times New Roman"/>
          <w:sz w:val="24"/>
          <w:szCs w:val="24"/>
        </w:rPr>
        <w:t xml:space="preserve">he </w:t>
      </w:r>
      <w:r w:rsidR="000D0F36" w:rsidRPr="00DD6763">
        <w:rPr>
          <w:rFonts w:ascii="Times New Roman" w:hAnsi="Times New Roman" w:cs="Times New Roman"/>
          <w:sz w:val="24"/>
          <w:szCs w:val="24"/>
        </w:rPr>
        <w:t>IACHR</w:t>
      </w:r>
      <w:r w:rsidR="00C33CEC" w:rsidRPr="00DD6763">
        <w:rPr>
          <w:rFonts w:ascii="Times New Roman" w:hAnsi="Times New Roman" w:cs="Times New Roman"/>
          <w:sz w:val="24"/>
          <w:szCs w:val="24"/>
        </w:rPr>
        <w:t xml:space="preserve"> </w:t>
      </w:r>
      <w:r w:rsidR="00594D16" w:rsidRPr="00DD6763">
        <w:rPr>
          <w:rFonts w:ascii="Times New Roman" w:hAnsi="Times New Roman" w:cs="Times New Roman"/>
          <w:sz w:val="24"/>
          <w:szCs w:val="24"/>
        </w:rPr>
        <w:t xml:space="preserve">detailed the </w:t>
      </w:r>
      <w:r w:rsidR="00C33CEC" w:rsidRPr="00DD6763">
        <w:rPr>
          <w:rFonts w:ascii="Times New Roman" w:hAnsi="Times New Roman" w:cs="Times New Roman"/>
          <w:sz w:val="24"/>
          <w:szCs w:val="24"/>
        </w:rPr>
        <w:t xml:space="preserve">requirements </w:t>
      </w:r>
      <w:r w:rsidR="00594D16" w:rsidRPr="00DD6763">
        <w:rPr>
          <w:rFonts w:ascii="Times New Roman" w:hAnsi="Times New Roman" w:cs="Times New Roman"/>
          <w:sz w:val="24"/>
          <w:szCs w:val="24"/>
        </w:rPr>
        <w:t xml:space="preserve">imposed by the Indigenous Peoples Act </w:t>
      </w:r>
      <w:r w:rsidR="00C33CEC" w:rsidRPr="00DD6763">
        <w:rPr>
          <w:rFonts w:ascii="Times New Roman" w:hAnsi="Times New Roman" w:cs="Times New Roman"/>
          <w:sz w:val="24"/>
          <w:szCs w:val="24"/>
        </w:rPr>
        <w:t>to the relocation</w:t>
      </w:r>
      <w:r w:rsidR="00FC70B0" w:rsidRPr="00DD6763">
        <w:rPr>
          <w:rFonts w:ascii="Times New Roman" w:hAnsi="Times New Roman" w:cs="Times New Roman"/>
          <w:sz w:val="24"/>
          <w:szCs w:val="24"/>
        </w:rPr>
        <w:t>:</w:t>
      </w:r>
      <w:r w:rsidR="00C33CEC" w:rsidRPr="00DD6763">
        <w:rPr>
          <w:rFonts w:ascii="Times New Roman" w:hAnsi="Times New Roman" w:cs="Times New Roman"/>
          <w:sz w:val="24"/>
          <w:szCs w:val="24"/>
        </w:rPr>
        <w:t xml:space="preserve"> it stated that the </w:t>
      </w:r>
      <w:r w:rsidR="00594D16" w:rsidRPr="00DD6763">
        <w:rPr>
          <w:rFonts w:ascii="Times New Roman" w:hAnsi="Times New Roman" w:cs="Times New Roman"/>
          <w:sz w:val="24"/>
          <w:szCs w:val="24"/>
        </w:rPr>
        <w:t xml:space="preserve">swapping of lands should be authorised by the relevant State institution (the National Corporation for Indigenous Development); </w:t>
      </w:r>
      <w:r w:rsidR="00FC70B0" w:rsidRPr="00DD6763">
        <w:rPr>
          <w:rFonts w:ascii="Times New Roman" w:hAnsi="Times New Roman" w:cs="Times New Roman"/>
          <w:sz w:val="24"/>
          <w:szCs w:val="24"/>
        </w:rPr>
        <w:t>this</w:t>
      </w:r>
      <w:r w:rsidR="001C5B41" w:rsidRPr="00DD6763">
        <w:rPr>
          <w:rFonts w:ascii="Times New Roman" w:hAnsi="Times New Roman" w:cs="Times New Roman"/>
          <w:sz w:val="24"/>
          <w:szCs w:val="24"/>
        </w:rPr>
        <w:t xml:space="preserve"> </w:t>
      </w:r>
      <w:r w:rsidR="00C33CEC" w:rsidRPr="00DD6763">
        <w:rPr>
          <w:rFonts w:ascii="Times New Roman" w:hAnsi="Times New Roman" w:cs="Times New Roman"/>
          <w:sz w:val="24"/>
          <w:szCs w:val="24"/>
        </w:rPr>
        <w:t xml:space="preserve">could only be done for </w:t>
      </w:r>
      <w:r w:rsidRPr="00DD6763">
        <w:rPr>
          <w:rFonts w:ascii="Times New Roman" w:hAnsi="Times New Roman" w:cs="Times New Roman"/>
          <w:sz w:val="24"/>
          <w:szCs w:val="24"/>
        </w:rPr>
        <w:t>another property that satisfied</w:t>
      </w:r>
      <w:r w:rsidR="00C33CEC" w:rsidRPr="00DD6763">
        <w:rPr>
          <w:rFonts w:ascii="Times New Roman" w:hAnsi="Times New Roman" w:cs="Times New Roman"/>
          <w:sz w:val="24"/>
          <w:szCs w:val="24"/>
        </w:rPr>
        <w:t xml:space="preserve"> the indigenous person involved; </w:t>
      </w:r>
      <w:r w:rsidR="001C5B41" w:rsidRPr="00DD6763">
        <w:rPr>
          <w:rFonts w:ascii="Times New Roman" w:hAnsi="Times New Roman" w:cs="Times New Roman"/>
          <w:sz w:val="24"/>
          <w:szCs w:val="24"/>
        </w:rPr>
        <w:t xml:space="preserve">and </w:t>
      </w:r>
      <w:r w:rsidR="00C33CEC" w:rsidRPr="00DD6763">
        <w:rPr>
          <w:rFonts w:ascii="Times New Roman" w:hAnsi="Times New Roman" w:cs="Times New Roman"/>
          <w:sz w:val="24"/>
          <w:szCs w:val="24"/>
        </w:rPr>
        <w:t xml:space="preserve">also the original property would change the initial qualification as indigenous land, </w:t>
      </w:r>
      <w:r w:rsidR="00FC70B0" w:rsidRPr="00DD6763">
        <w:rPr>
          <w:rFonts w:ascii="Times New Roman" w:hAnsi="Times New Roman" w:cs="Times New Roman"/>
          <w:sz w:val="24"/>
          <w:szCs w:val="24"/>
        </w:rPr>
        <w:t xml:space="preserve">a </w:t>
      </w:r>
      <w:r w:rsidR="00C33CEC" w:rsidRPr="00DD6763">
        <w:rPr>
          <w:rFonts w:ascii="Times New Roman" w:hAnsi="Times New Roman" w:cs="Times New Roman"/>
          <w:sz w:val="24"/>
          <w:szCs w:val="24"/>
        </w:rPr>
        <w:t>classification that would be transferred to the property allocated in exchange</w:t>
      </w:r>
      <w:r w:rsidR="00594D16" w:rsidRPr="00DD6763">
        <w:rPr>
          <w:rFonts w:ascii="Times New Roman" w:hAnsi="Times New Roman" w:cs="Times New Roman"/>
          <w:sz w:val="24"/>
          <w:szCs w:val="24"/>
        </w:rPr>
        <w:t>.</w:t>
      </w:r>
      <w:r w:rsidR="00594D16" w:rsidRPr="00DD6763">
        <w:rPr>
          <w:rStyle w:val="FootnoteReference"/>
          <w:rFonts w:ascii="Times New Roman" w:hAnsi="Times New Roman" w:cs="Times New Roman"/>
          <w:sz w:val="24"/>
          <w:szCs w:val="24"/>
        </w:rPr>
        <w:footnoteReference w:id="85"/>
      </w:r>
      <w:r w:rsidR="00594D16" w:rsidRPr="00DD6763">
        <w:rPr>
          <w:rFonts w:ascii="Times New Roman" w:hAnsi="Times New Roman" w:cs="Times New Roman"/>
          <w:i/>
          <w:sz w:val="24"/>
          <w:szCs w:val="24"/>
        </w:rPr>
        <w:t xml:space="preserve"> </w:t>
      </w:r>
    </w:p>
    <w:p w14:paraId="3105AD1B" w14:textId="77777777" w:rsidR="00C23AC0" w:rsidRPr="00DD6763" w:rsidRDefault="00C23AC0"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In </w:t>
      </w:r>
      <w:r w:rsidRPr="00DD6763">
        <w:rPr>
          <w:rFonts w:ascii="Times New Roman" w:hAnsi="Times New Roman" w:cs="Times New Roman"/>
          <w:i/>
          <w:sz w:val="24"/>
          <w:szCs w:val="24"/>
        </w:rPr>
        <w:t>Maya Indigenous Communities of the Toledo District</w:t>
      </w:r>
      <w:r w:rsidRPr="00DD6763">
        <w:rPr>
          <w:rFonts w:ascii="Times New Roman" w:hAnsi="Times New Roman" w:cs="Times New Roman"/>
          <w:sz w:val="24"/>
          <w:szCs w:val="24"/>
        </w:rPr>
        <w:t xml:space="preserve">, the Commission dealt with a complaint </w:t>
      </w:r>
      <w:r w:rsidR="001C5B41" w:rsidRPr="00DD6763">
        <w:rPr>
          <w:rFonts w:ascii="Times New Roman" w:hAnsi="Times New Roman" w:cs="Times New Roman"/>
          <w:sz w:val="24"/>
          <w:szCs w:val="24"/>
        </w:rPr>
        <w:t xml:space="preserve">that </w:t>
      </w:r>
      <w:r w:rsidR="00DA414B" w:rsidRPr="00DD6763">
        <w:rPr>
          <w:rFonts w:ascii="Times New Roman" w:hAnsi="Times New Roman" w:cs="Times New Roman"/>
          <w:sz w:val="24"/>
          <w:szCs w:val="24"/>
        </w:rPr>
        <w:t>Belize</w:t>
      </w:r>
      <w:r w:rsidRPr="00DD6763">
        <w:rPr>
          <w:rFonts w:ascii="Times New Roman" w:hAnsi="Times New Roman" w:cs="Times New Roman"/>
          <w:sz w:val="24"/>
          <w:szCs w:val="24"/>
        </w:rPr>
        <w:t xml:space="preserve"> ha</w:t>
      </w:r>
      <w:r w:rsidR="00FC70B0" w:rsidRPr="00DD6763">
        <w:rPr>
          <w:rFonts w:ascii="Times New Roman" w:hAnsi="Times New Roman" w:cs="Times New Roman"/>
          <w:sz w:val="24"/>
          <w:szCs w:val="24"/>
        </w:rPr>
        <w:t>d</w:t>
      </w:r>
      <w:r w:rsidRPr="00DD6763">
        <w:rPr>
          <w:rFonts w:ascii="Times New Roman" w:hAnsi="Times New Roman" w:cs="Times New Roman"/>
          <w:sz w:val="24"/>
          <w:szCs w:val="24"/>
        </w:rPr>
        <w:t xml:space="preserve"> violated </w:t>
      </w:r>
      <w:r w:rsidR="00DA414B" w:rsidRPr="00DD6763">
        <w:rPr>
          <w:rFonts w:ascii="Times New Roman" w:hAnsi="Times New Roman" w:cs="Times New Roman"/>
          <w:sz w:val="24"/>
          <w:szCs w:val="24"/>
        </w:rPr>
        <w:t xml:space="preserve">several articles </w:t>
      </w:r>
      <w:r w:rsidRPr="00DD6763">
        <w:rPr>
          <w:rFonts w:ascii="Times New Roman" w:hAnsi="Times New Roman" w:cs="Times New Roman"/>
          <w:sz w:val="24"/>
          <w:szCs w:val="24"/>
        </w:rPr>
        <w:t xml:space="preserve">of the American Declaration in respect of lands traditionally used </w:t>
      </w:r>
      <w:r w:rsidR="00DA414B" w:rsidRPr="00DD6763">
        <w:rPr>
          <w:rFonts w:ascii="Times New Roman" w:hAnsi="Times New Roman" w:cs="Times New Roman"/>
          <w:sz w:val="24"/>
          <w:szCs w:val="24"/>
        </w:rPr>
        <w:t>and occupied by the Maya people.</w:t>
      </w:r>
      <w:r w:rsidR="00DA414B" w:rsidRPr="00DD6763">
        <w:rPr>
          <w:rStyle w:val="FootnoteReference"/>
          <w:rFonts w:ascii="Times New Roman" w:hAnsi="Times New Roman" w:cs="Times New Roman"/>
          <w:sz w:val="24"/>
          <w:szCs w:val="24"/>
        </w:rPr>
        <w:footnoteReference w:id="86"/>
      </w:r>
      <w:r w:rsidRPr="00DD6763">
        <w:rPr>
          <w:rFonts w:ascii="Times New Roman" w:hAnsi="Times New Roman" w:cs="Times New Roman"/>
          <w:sz w:val="24"/>
          <w:szCs w:val="24"/>
        </w:rPr>
        <w:t xml:space="preserve"> </w:t>
      </w:r>
      <w:r w:rsidR="00DA414B" w:rsidRPr="00DD6763">
        <w:rPr>
          <w:rFonts w:ascii="Times New Roman" w:hAnsi="Times New Roman" w:cs="Times New Roman"/>
          <w:sz w:val="24"/>
          <w:szCs w:val="24"/>
        </w:rPr>
        <w:t xml:space="preserve">The state’s violation had taken place </w:t>
      </w:r>
      <w:r w:rsidRPr="00DD6763">
        <w:rPr>
          <w:rFonts w:ascii="Times New Roman" w:hAnsi="Times New Roman" w:cs="Times New Roman"/>
          <w:sz w:val="24"/>
          <w:szCs w:val="24"/>
        </w:rPr>
        <w:t>by granting</w:t>
      </w:r>
      <w:r w:rsidR="00DA414B" w:rsidRPr="00DD6763">
        <w:rPr>
          <w:rFonts w:ascii="Times New Roman" w:hAnsi="Times New Roman" w:cs="Times New Roman"/>
          <w:sz w:val="24"/>
          <w:szCs w:val="24"/>
        </w:rPr>
        <w:t xml:space="preserve"> logging and oil concessions and </w:t>
      </w:r>
      <w:r w:rsidRPr="00DD6763">
        <w:rPr>
          <w:rFonts w:ascii="Times New Roman" w:hAnsi="Times New Roman" w:cs="Times New Roman"/>
          <w:sz w:val="24"/>
          <w:szCs w:val="24"/>
        </w:rPr>
        <w:t>failing to adequately</w:t>
      </w:r>
      <w:r w:rsidR="00DA414B" w:rsidRPr="00DD6763">
        <w:rPr>
          <w:rFonts w:ascii="Times New Roman" w:hAnsi="Times New Roman" w:cs="Times New Roman"/>
          <w:sz w:val="24"/>
          <w:szCs w:val="24"/>
        </w:rPr>
        <w:t xml:space="preserve"> protect those lands;</w:t>
      </w:r>
      <w:r w:rsidRPr="00DD6763">
        <w:rPr>
          <w:rFonts w:ascii="Times New Roman" w:hAnsi="Times New Roman" w:cs="Times New Roman"/>
          <w:sz w:val="24"/>
          <w:szCs w:val="24"/>
        </w:rPr>
        <w:t xml:space="preserve"> </w:t>
      </w:r>
      <w:r w:rsidR="00DA414B" w:rsidRPr="00DD6763">
        <w:rPr>
          <w:rFonts w:ascii="Times New Roman" w:hAnsi="Times New Roman" w:cs="Times New Roman"/>
          <w:sz w:val="24"/>
          <w:szCs w:val="24"/>
        </w:rPr>
        <w:t xml:space="preserve">failing to </w:t>
      </w:r>
      <w:r w:rsidRPr="00DD6763">
        <w:rPr>
          <w:rFonts w:ascii="Times New Roman" w:hAnsi="Times New Roman" w:cs="Times New Roman"/>
          <w:sz w:val="24"/>
          <w:szCs w:val="24"/>
        </w:rPr>
        <w:t>recognize and secure the territorial rights of</w:t>
      </w:r>
      <w:r w:rsidR="00DA414B" w:rsidRPr="00DD6763">
        <w:rPr>
          <w:rFonts w:ascii="Times New Roman" w:hAnsi="Times New Roman" w:cs="Times New Roman"/>
          <w:sz w:val="24"/>
          <w:szCs w:val="24"/>
        </w:rPr>
        <w:t xml:space="preserve"> the Maya people </w:t>
      </w:r>
      <w:r w:rsidR="001C5B41" w:rsidRPr="00DD6763">
        <w:rPr>
          <w:rFonts w:ascii="Times New Roman" w:hAnsi="Times New Roman" w:cs="Times New Roman"/>
          <w:sz w:val="24"/>
          <w:szCs w:val="24"/>
        </w:rPr>
        <w:t xml:space="preserve">and </w:t>
      </w:r>
      <w:r w:rsidR="00FC70B0" w:rsidRPr="00DD6763">
        <w:rPr>
          <w:rFonts w:ascii="Times New Roman" w:hAnsi="Times New Roman" w:cs="Times New Roman"/>
          <w:sz w:val="24"/>
          <w:szCs w:val="24"/>
        </w:rPr>
        <w:t xml:space="preserve">failing </w:t>
      </w:r>
      <w:r w:rsidR="001C5B41" w:rsidRPr="00DD6763">
        <w:rPr>
          <w:rFonts w:ascii="Times New Roman" w:hAnsi="Times New Roman" w:cs="Times New Roman"/>
          <w:sz w:val="24"/>
          <w:szCs w:val="24"/>
        </w:rPr>
        <w:t>t</w:t>
      </w:r>
      <w:r w:rsidRPr="00DD6763">
        <w:rPr>
          <w:rFonts w:ascii="Times New Roman" w:hAnsi="Times New Roman" w:cs="Times New Roman"/>
          <w:sz w:val="24"/>
          <w:szCs w:val="24"/>
        </w:rPr>
        <w:t>o afford the Maya people judicial protection of their rights and interests in the lands due to delays in cour</w:t>
      </w:r>
      <w:r w:rsidR="00DA414B" w:rsidRPr="00DD6763">
        <w:rPr>
          <w:rFonts w:ascii="Times New Roman" w:hAnsi="Times New Roman" w:cs="Times New Roman"/>
          <w:sz w:val="24"/>
          <w:szCs w:val="24"/>
        </w:rPr>
        <w:t>t proceedings instituted. According to the p</w:t>
      </w:r>
      <w:r w:rsidRPr="00DD6763">
        <w:rPr>
          <w:rFonts w:ascii="Times New Roman" w:hAnsi="Times New Roman" w:cs="Times New Roman"/>
          <w:sz w:val="24"/>
          <w:szCs w:val="24"/>
        </w:rPr>
        <w:t>etitioners, the Sta</w:t>
      </w:r>
      <w:r w:rsidR="00DA414B" w:rsidRPr="00DD6763">
        <w:rPr>
          <w:rFonts w:ascii="Times New Roman" w:hAnsi="Times New Roman" w:cs="Times New Roman"/>
          <w:sz w:val="24"/>
          <w:szCs w:val="24"/>
        </w:rPr>
        <w:t xml:space="preserve">te’s contraventions </w:t>
      </w:r>
      <w:r w:rsidR="00BE76C3" w:rsidRPr="00DD6763">
        <w:rPr>
          <w:rFonts w:ascii="Times New Roman" w:hAnsi="Times New Roman" w:cs="Times New Roman"/>
          <w:sz w:val="24"/>
          <w:szCs w:val="24"/>
        </w:rPr>
        <w:t>affected</w:t>
      </w:r>
      <w:r w:rsidRPr="00DD6763">
        <w:rPr>
          <w:rFonts w:ascii="Times New Roman" w:hAnsi="Times New Roman" w:cs="Times New Roman"/>
          <w:sz w:val="24"/>
          <w:szCs w:val="24"/>
        </w:rPr>
        <w:t xml:space="preserve"> negatively the natural environment upon which the Maya people depend for subsistence, </w:t>
      </w:r>
      <w:r w:rsidR="00DA414B" w:rsidRPr="00DD6763">
        <w:rPr>
          <w:rFonts w:ascii="Times New Roman" w:hAnsi="Times New Roman" w:cs="Times New Roman"/>
          <w:sz w:val="24"/>
          <w:szCs w:val="24"/>
        </w:rPr>
        <w:t>threatening</w:t>
      </w:r>
      <w:r w:rsidRPr="00DD6763">
        <w:rPr>
          <w:rFonts w:ascii="Times New Roman" w:hAnsi="Times New Roman" w:cs="Times New Roman"/>
          <w:sz w:val="24"/>
          <w:szCs w:val="24"/>
        </w:rPr>
        <w:t xml:space="preserve"> the Maya people and their culture, and </w:t>
      </w:r>
      <w:r w:rsidR="00DA414B" w:rsidRPr="00DD6763">
        <w:rPr>
          <w:rFonts w:ascii="Times New Roman" w:hAnsi="Times New Roman" w:cs="Times New Roman"/>
          <w:sz w:val="24"/>
          <w:szCs w:val="24"/>
        </w:rPr>
        <w:t>risk</w:t>
      </w:r>
      <w:r w:rsidR="00FC70B0" w:rsidRPr="00DD6763">
        <w:rPr>
          <w:rFonts w:ascii="Times New Roman" w:hAnsi="Times New Roman" w:cs="Times New Roman"/>
          <w:sz w:val="24"/>
          <w:szCs w:val="24"/>
        </w:rPr>
        <w:t>ing</w:t>
      </w:r>
      <w:r w:rsidR="00DA414B" w:rsidRPr="00DD6763">
        <w:rPr>
          <w:rFonts w:ascii="Times New Roman" w:hAnsi="Times New Roman" w:cs="Times New Roman"/>
          <w:sz w:val="24"/>
          <w:szCs w:val="24"/>
        </w:rPr>
        <w:t xml:space="preserve"> inflict</w:t>
      </w:r>
      <w:r w:rsidR="00FC70B0" w:rsidRPr="00DD6763">
        <w:rPr>
          <w:rFonts w:ascii="Times New Roman" w:hAnsi="Times New Roman" w:cs="Times New Roman"/>
          <w:sz w:val="24"/>
          <w:szCs w:val="24"/>
        </w:rPr>
        <w:t>ing</w:t>
      </w:r>
      <w:r w:rsidR="00DA414B" w:rsidRPr="00DD6763">
        <w:rPr>
          <w:rFonts w:ascii="Times New Roman" w:hAnsi="Times New Roman" w:cs="Times New Roman"/>
          <w:sz w:val="24"/>
          <w:szCs w:val="24"/>
        </w:rPr>
        <w:t xml:space="preserve"> future damage</w:t>
      </w:r>
      <w:r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87"/>
      </w:r>
    </w:p>
    <w:p w14:paraId="41CEACBD" w14:textId="6467C187" w:rsidR="00EA6E2E" w:rsidRPr="00DD6763" w:rsidRDefault="00DA414B"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If the Commission heralded a new era in the protection of indigenous peoples’ rights in the Americas, the Court has contributed a consistent judicial doctrine on the protection of indigenous peoples i</w:t>
      </w:r>
      <w:r w:rsidR="00EA6E2E" w:rsidRPr="00DD6763">
        <w:rPr>
          <w:rFonts w:ascii="Times New Roman" w:hAnsi="Times New Roman" w:cs="Times New Roman"/>
          <w:sz w:val="24"/>
          <w:szCs w:val="24"/>
        </w:rPr>
        <w:t xml:space="preserve">n various cases </w:t>
      </w:r>
      <w:r w:rsidRPr="00DD6763">
        <w:rPr>
          <w:rFonts w:ascii="Times New Roman" w:hAnsi="Times New Roman" w:cs="Times New Roman"/>
          <w:sz w:val="24"/>
          <w:szCs w:val="24"/>
        </w:rPr>
        <w:t>brought before it</w:t>
      </w:r>
      <w:r w:rsidR="00EA6E2E" w:rsidRPr="00DD6763">
        <w:rPr>
          <w:rFonts w:ascii="Times New Roman" w:hAnsi="Times New Roman" w:cs="Times New Roman"/>
          <w:sz w:val="24"/>
          <w:szCs w:val="24"/>
        </w:rPr>
        <w:t>. Over the years, t</w:t>
      </w:r>
      <w:r w:rsidR="002160A3" w:rsidRPr="00DD6763">
        <w:rPr>
          <w:rFonts w:ascii="Times New Roman" w:hAnsi="Times New Roman" w:cs="Times New Roman"/>
          <w:sz w:val="24"/>
          <w:szCs w:val="24"/>
        </w:rPr>
        <w:t>he Court has elaborated its</w:t>
      </w:r>
      <w:r w:rsidR="00EA6E2E" w:rsidRPr="00DD6763">
        <w:rPr>
          <w:rFonts w:ascii="Times New Roman" w:hAnsi="Times New Roman" w:cs="Times New Roman"/>
          <w:sz w:val="24"/>
          <w:szCs w:val="24"/>
        </w:rPr>
        <w:t xml:space="preserve"> </w:t>
      </w:r>
      <w:r w:rsidRPr="00DD6763">
        <w:rPr>
          <w:rFonts w:ascii="Times New Roman" w:hAnsi="Times New Roman" w:cs="Times New Roman"/>
          <w:sz w:val="24"/>
          <w:szCs w:val="24"/>
        </w:rPr>
        <w:t>case law</w:t>
      </w:r>
      <w:r w:rsidR="002160A3" w:rsidRPr="00DD6763">
        <w:rPr>
          <w:rFonts w:ascii="Times New Roman" w:hAnsi="Times New Roman" w:cs="Times New Roman"/>
          <w:sz w:val="24"/>
          <w:szCs w:val="24"/>
        </w:rPr>
        <w:t xml:space="preserve"> based on </w:t>
      </w:r>
      <w:r w:rsidR="005F5698" w:rsidRPr="00DD6763">
        <w:rPr>
          <w:rFonts w:ascii="Times New Roman" w:hAnsi="Times New Roman" w:cs="Times New Roman"/>
          <w:sz w:val="24"/>
          <w:szCs w:val="24"/>
        </w:rPr>
        <w:t xml:space="preserve">the application of C169 </w:t>
      </w:r>
      <w:r w:rsidR="00EA6E2E" w:rsidRPr="00DD6763">
        <w:rPr>
          <w:rFonts w:ascii="Times New Roman" w:hAnsi="Times New Roman" w:cs="Times New Roman"/>
          <w:sz w:val="24"/>
          <w:szCs w:val="24"/>
        </w:rPr>
        <w:t xml:space="preserve">and </w:t>
      </w:r>
      <w:r w:rsidR="00FC70B0" w:rsidRPr="00DD6763">
        <w:rPr>
          <w:rFonts w:ascii="Times New Roman" w:hAnsi="Times New Roman" w:cs="Times New Roman"/>
          <w:sz w:val="24"/>
          <w:szCs w:val="24"/>
        </w:rPr>
        <w:t xml:space="preserve">Article </w:t>
      </w:r>
      <w:r w:rsidR="00EA6E2E" w:rsidRPr="00DD6763">
        <w:rPr>
          <w:rFonts w:ascii="Times New Roman" w:hAnsi="Times New Roman" w:cs="Times New Roman"/>
          <w:sz w:val="24"/>
          <w:szCs w:val="24"/>
        </w:rPr>
        <w:t xml:space="preserve">21 of the Convention that protects the right to property, following the </w:t>
      </w:r>
      <w:r w:rsidR="00EA6E2E" w:rsidRPr="00DD6763">
        <w:rPr>
          <w:rFonts w:ascii="Times New Roman" w:hAnsi="Times New Roman" w:cs="Times New Roman"/>
          <w:i/>
          <w:sz w:val="24"/>
          <w:szCs w:val="24"/>
        </w:rPr>
        <w:t>pro-</w:t>
      </w:r>
      <w:proofErr w:type="spellStart"/>
      <w:r w:rsidR="00EA6E2E" w:rsidRPr="00DD6763">
        <w:rPr>
          <w:rFonts w:ascii="Times New Roman" w:hAnsi="Times New Roman" w:cs="Times New Roman"/>
          <w:i/>
          <w:sz w:val="24"/>
          <w:szCs w:val="24"/>
        </w:rPr>
        <w:t>homine</w:t>
      </w:r>
      <w:proofErr w:type="spellEnd"/>
      <w:r w:rsidR="00EA6E2E" w:rsidRPr="00DD6763">
        <w:rPr>
          <w:rFonts w:ascii="Times New Roman" w:hAnsi="Times New Roman" w:cs="Times New Roman"/>
          <w:sz w:val="24"/>
          <w:szCs w:val="24"/>
        </w:rPr>
        <w:t xml:space="preserve"> principle, in accordance with Article 31.3</w:t>
      </w:r>
      <w:r w:rsidR="00D17DB2" w:rsidRPr="00DD6763">
        <w:rPr>
          <w:rFonts w:ascii="Times New Roman" w:hAnsi="Times New Roman" w:cs="Times New Roman"/>
          <w:sz w:val="24"/>
          <w:szCs w:val="24"/>
        </w:rPr>
        <w:t>.c</w:t>
      </w:r>
      <w:r w:rsidR="00EA6E2E" w:rsidRPr="00DD6763">
        <w:rPr>
          <w:rFonts w:ascii="Times New Roman" w:hAnsi="Times New Roman" w:cs="Times New Roman"/>
          <w:sz w:val="24"/>
          <w:szCs w:val="24"/>
        </w:rPr>
        <w:t xml:space="preserve"> of VCLT. Along these lines, the Court has protected indigenous </w:t>
      </w:r>
      <w:r w:rsidR="00C16417" w:rsidRPr="00DD6763">
        <w:rPr>
          <w:rFonts w:ascii="Times New Roman" w:hAnsi="Times New Roman" w:cs="Times New Roman"/>
          <w:sz w:val="24"/>
          <w:szCs w:val="24"/>
        </w:rPr>
        <w:t>peoples</w:t>
      </w:r>
      <w:r w:rsidR="00EA6E2E" w:rsidRPr="00DD6763">
        <w:rPr>
          <w:rFonts w:ascii="Times New Roman" w:hAnsi="Times New Roman" w:cs="Times New Roman"/>
          <w:sz w:val="24"/>
          <w:szCs w:val="24"/>
        </w:rPr>
        <w:t>’ rights</w:t>
      </w:r>
      <w:r w:rsidR="000F736B" w:rsidRPr="00DD6763">
        <w:rPr>
          <w:rFonts w:ascii="Times New Roman" w:hAnsi="Times New Roman" w:cs="Times New Roman"/>
          <w:sz w:val="24"/>
          <w:szCs w:val="24"/>
        </w:rPr>
        <w:t xml:space="preserve"> </w:t>
      </w:r>
      <w:r w:rsidR="00C16417" w:rsidRPr="00DD6763">
        <w:rPr>
          <w:rFonts w:ascii="Times New Roman" w:hAnsi="Times New Roman" w:cs="Times New Roman"/>
          <w:sz w:val="24"/>
          <w:szCs w:val="24"/>
        </w:rPr>
        <w:t>to property and cultural identity</w:t>
      </w:r>
      <w:r w:rsidR="00EA6E2E" w:rsidRPr="00DD6763">
        <w:rPr>
          <w:rFonts w:ascii="Times New Roman" w:hAnsi="Times New Roman" w:cs="Times New Roman"/>
          <w:sz w:val="24"/>
          <w:szCs w:val="24"/>
        </w:rPr>
        <w:t xml:space="preserve">. Interestingly, the </w:t>
      </w:r>
      <w:proofErr w:type="spellStart"/>
      <w:r w:rsidR="00EA6E2E" w:rsidRPr="00DD6763">
        <w:rPr>
          <w:rFonts w:ascii="Times New Roman" w:hAnsi="Times New Roman" w:cs="Times New Roman"/>
          <w:sz w:val="24"/>
          <w:szCs w:val="24"/>
        </w:rPr>
        <w:t>IACtHR</w:t>
      </w:r>
      <w:proofErr w:type="spellEnd"/>
      <w:r w:rsidR="00FC70B0" w:rsidRPr="00DD6763">
        <w:rPr>
          <w:rFonts w:ascii="Times New Roman" w:hAnsi="Times New Roman" w:cs="Times New Roman"/>
          <w:sz w:val="24"/>
          <w:szCs w:val="24"/>
        </w:rPr>
        <w:t>,</w:t>
      </w:r>
      <w:r w:rsidR="00EA6E2E" w:rsidRPr="00DD6763">
        <w:rPr>
          <w:rFonts w:ascii="Times New Roman" w:hAnsi="Times New Roman" w:cs="Times New Roman"/>
          <w:sz w:val="24"/>
          <w:szCs w:val="24"/>
        </w:rPr>
        <w:t xml:space="preserve"> pursuant to Articles 1.1 and 29.b of ACHR</w:t>
      </w:r>
      <w:r w:rsidR="00FC70B0" w:rsidRPr="00DD6763">
        <w:rPr>
          <w:rFonts w:ascii="Times New Roman" w:hAnsi="Times New Roman" w:cs="Times New Roman"/>
          <w:sz w:val="24"/>
          <w:szCs w:val="24"/>
        </w:rPr>
        <w:t>,</w:t>
      </w:r>
      <w:r w:rsidR="00EA6E2E" w:rsidRPr="00DD6763">
        <w:rPr>
          <w:rFonts w:ascii="Times New Roman" w:hAnsi="Times New Roman" w:cs="Times New Roman"/>
          <w:sz w:val="24"/>
          <w:szCs w:val="24"/>
        </w:rPr>
        <w:t xml:space="preserve"> has </w:t>
      </w:r>
      <w:r w:rsidR="00FC70B0" w:rsidRPr="00DD6763">
        <w:rPr>
          <w:rFonts w:ascii="Times New Roman" w:hAnsi="Times New Roman" w:cs="Times New Roman"/>
          <w:sz w:val="24"/>
          <w:szCs w:val="24"/>
        </w:rPr>
        <w:t xml:space="preserve">also </w:t>
      </w:r>
      <w:r w:rsidR="00EA6E2E" w:rsidRPr="00DD6763">
        <w:rPr>
          <w:rFonts w:ascii="Times New Roman" w:hAnsi="Times New Roman" w:cs="Times New Roman"/>
          <w:sz w:val="24"/>
          <w:szCs w:val="24"/>
        </w:rPr>
        <w:t xml:space="preserve">applied other treaties </w:t>
      </w:r>
      <w:r w:rsidR="00DE2493" w:rsidRPr="00DD6763">
        <w:rPr>
          <w:rFonts w:ascii="Times New Roman" w:hAnsi="Times New Roman" w:cs="Times New Roman"/>
          <w:sz w:val="24"/>
          <w:szCs w:val="24"/>
        </w:rPr>
        <w:t xml:space="preserve">to strengthen the protection of </w:t>
      </w:r>
      <w:r w:rsidR="00EA6E2E" w:rsidRPr="00DD6763">
        <w:rPr>
          <w:rFonts w:ascii="Times New Roman" w:hAnsi="Times New Roman" w:cs="Times New Roman"/>
          <w:sz w:val="24"/>
          <w:szCs w:val="24"/>
        </w:rPr>
        <w:t>FPIC</w:t>
      </w:r>
      <w:r w:rsidR="00F9596E" w:rsidRPr="00DD6763">
        <w:rPr>
          <w:rFonts w:ascii="Times New Roman" w:hAnsi="Times New Roman" w:cs="Times New Roman"/>
          <w:sz w:val="24"/>
          <w:szCs w:val="24"/>
        </w:rPr>
        <w:t xml:space="preserve">, such as the </w:t>
      </w:r>
      <w:r w:rsidR="007E0F4D" w:rsidRPr="00DD6763">
        <w:rPr>
          <w:rFonts w:ascii="Times New Roman" w:hAnsi="Times New Roman" w:cs="Times New Roman"/>
          <w:sz w:val="24"/>
          <w:szCs w:val="24"/>
        </w:rPr>
        <w:t>ICCPR</w:t>
      </w:r>
      <w:r w:rsidR="00EA6E2E" w:rsidRPr="00DD6763">
        <w:rPr>
          <w:rFonts w:ascii="Times New Roman" w:hAnsi="Times New Roman" w:cs="Times New Roman"/>
          <w:sz w:val="24"/>
          <w:szCs w:val="24"/>
        </w:rPr>
        <w:t xml:space="preserve">. In general, the Court has </w:t>
      </w:r>
      <w:r w:rsidR="002160A3" w:rsidRPr="00DD6763">
        <w:rPr>
          <w:rFonts w:ascii="Times New Roman" w:hAnsi="Times New Roman" w:cs="Times New Roman"/>
          <w:sz w:val="24"/>
          <w:szCs w:val="24"/>
        </w:rPr>
        <w:t xml:space="preserve">anchored its jurisprudence in </w:t>
      </w:r>
      <w:r w:rsidR="00061149" w:rsidRPr="00DD6763">
        <w:rPr>
          <w:rFonts w:ascii="Times New Roman" w:hAnsi="Times New Roman" w:cs="Times New Roman"/>
          <w:sz w:val="24"/>
          <w:szCs w:val="24"/>
        </w:rPr>
        <w:t>the right to indigenous communal property, right to consultation and cultural identity and the rights to judicial g</w:t>
      </w:r>
      <w:r w:rsidR="008A1B63" w:rsidRPr="00DD6763">
        <w:rPr>
          <w:rFonts w:ascii="Times New Roman" w:hAnsi="Times New Roman" w:cs="Times New Roman"/>
          <w:sz w:val="24"/>
          <w:szCs w:val="24"/>
        </w:rPr>
        <w:t>uarantees</w:t>
      </w:r>
      <w:r w:rsidR="00061149" w:rsidRPr="00DD6763">
        <w:rPr>
          <w:rFonts w:ascii="Times New Roman" w:hAnsi="Times New Roman" w:cs="Times New Roman"/>
          <w:sz w:val="24"/>
          <w:szCs w:val="24"/>
        </w:rPr>
        <w:t>.</w:t>
      </w:r>
      <w:r w:rsidR="00061149" w:rsidRPr="00DD6763">
        <w:rPr>
          <w:rStyle w:val="FootnoteReference"/>
          <w:rFonts w:ascii="Times New Roman" w:hAnsi="Times New Roman" w:cs="Times New Roman"/>
          <w:sz w:val="24"/>
          <w:szCs w:val="24"/>
        </w:rPr>
        <w:footnoteReference w:id="88"/>
      </w:r>
      <w:r w:rsidR="00061149" w:rsidRPr="00DD6763">
        <w:rPr>
          <w:rFonts w:ascii="Times New Roman" w:hAnsi="Times New Roman" w:cs="Times New Roman"/>
          <w:sz w:val="24"/>
          <w:szCs w:val="24"/>
        </w:rPr>
        <w:t xml:space="preserve"> </w:t>
      </w:r>
    </w:p>
    <w:p w14:paraId="30C5B6E3" w14:textId="220611A8" w:rsidR="00275560" w:rsidRPr="00C41A9F" w:rsidRDefault="00505371" w:rsidP="00C90791">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The </w:t>
      </w:r>
      <w:r w:rsidR="00853163" w:rsidRPr="00DD6763">
        <w:rPr>
          <w:rFonts w:ascii="Times New Roman" w:hAnsi="Times New Roman" w:cs="Times New Roman"/>
          <w:sz w:val="24"/>
          <w:szCs w:val="24"/>
        </w:rPr>
        <w:t xml:space="preserve">first cases, </w:t>
      </w:r>
      <w:r w:rsidRPr="00DD6763">
        <w:rPr>
          <w:rFonts w:ascii="Times New Roman" w:hAnsi="Times New Roman" w:cs="Times New Roman"/>
          <w:sz w:val="24"/>
          <w:szCs w:val="24"/>
        </w:rPr>
        <w:t xml:space="preserve">considered pivotal to the protection of indigenous peoples’ rights, are </w:t>
      </w:r>
      <w:proofErr w:type="spellStart"/>
      <w:r w:rsidRPr="00DD6763">
        <w:rPr>
          <w:rFonts w:ascii="Times New Roman" w:hAnsi="Times New Roman" w:cs="Times New Roman"/>
          <w:i/>
          <w:sz w:val="24"/>
          <w:szCs w:val="24"/>
        </w:rPr>
        <w:t>Aleoeboetoe</w:t>
      </w:r>
      <w:proofErr w:type="spellEnd"/>
      <w:r w:rsidRPr="00DD6763">
        <w:rPr>
          <w:rFonts w:ascii="Times New Roman" w:hAnsi="Times New Roman" w:cs="Times New Roman"/>
          <w:sz w:val="24"/>
          <w:szCs w:val="24"/>
        </w:rPr>
        <w:t xml:space="preserve"> </w:t>
      </w:r>
      <w:r w:rsidR="00522464" w:rsidRPr="00DD6763">
        <w:rPr>
          <w:rFonts w:ascii="Times New Roman" w:hAnsi="Times New Roman" w:cs="Times New Roman"/>
          <w:sz w:val="24"/>
          <w:szCs w:val="24"/>
        </w:rPr>
        <w:t xml:space="preserve">regarding </w:t>
      </w:r>
      <w:r w:rsidR="005A647A" w:rsidRPr="00DD6763">
        <w:rPr>
          <w:rFonts w:ascii="Times New Roman" w:hAnsi="Times New Roman" w:cs="Times New Roman"/>
          <w:sz w:val="24"/>
          <w:szCs w:val="24"/>
        </w:rPr>
        <w:t>reparations</w:t>
      </w:r>
      <w:r w:rsidR="00522464" w:rsidRPr="00DD6763">
        <w:rPr>
          <w:rFonts w:ascii="Times New Roman" w:hAnsi="Times New Roman" w:cs="Times New Roman"/>
          <w:sz w:val="24"/>
          <w:szCs w:val="24"/>
        </w:rPr>
        <w:t xml:space="preserve"> for violat</w:t>
      </w:r>
      <w:r w:rsidR="00DE3CB2">
        <w:rPr>
          <w:rFonts w:ascii="Times New Roman" w:hAnsi="Times New Roman" w:cs="Times New Roman"/>
          <w:sz w:val="24"/>
          <w:szCs w:val="24"/>
        </w:rPr>
        <w:t>ion of tribal people in Surinam</w:t>
      </w:r>
      <w:r w:rsidR="00BB5336">
        <w:rPr>
          <w:rFonts w:ascii="Times New Roman" w:hAnsi="Times New Roman" w:cs="Times New Roman"/>
          <w:sz w:val="24"/>
          <w:szCs w:val="24"/>
        </w:rPr>
        <w:t>e</w:t>
      </w:r>
      <w:r w:rsidR="00522464" w:rsidRPr="00DD6763">
        <w:rPr>
          <w:rFonts w:ascii="Times New Roman" w:hAnsi="Times New Roman" w:cs="Times New Roman"/>
          <w:sz w:val="24"/>
          <w:szCs w:val="24"/>
        </w:rPr>
        <w:t xml:space="preserve"> (</w:t>
      </w:r>
      <w:r w:rsidRPr="00DD6763">
        <w:rPr>
          <w:rFonts w:ascii="Times New Roman" w:hAnsi="Times New Roman" w:cs="Times New Roman"/>
          <w:sz w:val="24"/>
          <w:szCs w:val="24"/>
        </w:rPr>
        <w:t>settled</w:t>
      </w:r>
      <w:r w:rsidR="00522464" w:rsidRPr="00DD6763">
        <w:rPr>
          <w:rFonts w:ascii="Times New Roman" w:hAnsi="Times New Roman" w:cs="Times New Roman"/>
          <w:sz w:val="24"/>
          <w:szCs w:val="24"/>
        </w:rPr>
        <w:t xml:space="preserve"> by acknowledgment of the State)</w:t>
      </w:r>
      <w:r w:rsidRPr="00DD6763">
        <w:rPr>
          <w:rFonts w:ascii="Times New Roman" w:hAnsi="Times New Roman" w:cs="Times New Roman"/>
          <w:sz w:val="24"/>
          <w:szCs w:val="24"/>
        </w:rPr>
        <w:t xml:space="preserve"> in light of </w:t>
      </w:r>
      <w:r w:rsidR="00B9033F" w:rsidRPr="00DD6763">
        <w:rPr>
          <w:rFonts w:ascii="Times New Roman" w:hAnsi="Times New Roman" w:cs="Times New Roman"/>
          <w:sz w:val="24"/>
          <w:szCs w:val="24"/>
        </w:rPr>
        <w:t xml:space="preserve">Art. </w:t>
      </w:r>
      <w:r w:rsidR="00522464" w:rsidRPr="00DD6763">
        <w:rPr>
          <w:rFonts w:ascii="Times New Roman" w:hAnsi="Times New Roman" w:cs="Times New Roman"/>
          <w:sz w:val="24"/>
          <w:szCs w:val="24"/>
        </w:rPr>
        <w:t>63.1 of the ACHR</w:t>
      </w:r>
      <w:r w:rsidRPr="00DD6763">
        <w:rPr>
          <w:rFonts w:ascii="Times New Roman" w:hAnsi="Times New Roman" w:cs="Times New Roman"/>
          <w:sz w:val="24"/>
          <w:szCs w:val="24"/>
        </w:rPr>
        <w:t xml:space="preserve"> and </w:t>
      </w:r>
      <w:proofErr w:type="spellStart"/>
      <w:r w:rsidRPr="00DD6763">
        <w:rPr>
          <w:rFonts w:ascii="Times New Roman" w:hAnsi="Times New Roman" w:cs="Times New Roman"/>
          <w:i/>
          <w:sz w:val="24"/>
          <w:szCs w:val="24"/>
        </w:rPr>
        <w:t>Awas</w:t>
      </w:r>
      <w:proofErr w:type="spellEnd"/>
      <w:r w:rsidRPr="00DD6763">
        <w:rPr>
          <w:rFonts w:ascii="Times New Roman" w:hAnsi="Times New Roman" w:cs="Times New Roman"/>
          <w:i/>
          <w:sz w:val="24"/>
          <w:szCs w:val="24"/>
        </w:rPr>
        <w:t xml:space="preserve"> </w:t>
      </w:r>
      <w:proofErr w:type="spellStart"/>
      <w:r w:rsidRPr="00DD6763">
        <w:rPr>
          <w:rFonts w:ascii="Times New Roman" w:hAnsi="Times New Roman" w:cs="Times New Roman"/>
          <w:i/>
          <w:sz w:val="24"/>
          <w:szCs w:val="24"/>
        </w:rPr>
        <w:t>Tingni</w:t>
      </w:r>
      <w:proofErr w:type="spellEnd"/>
      <w:r w:rsidR="00522464" w:rsidRPr="00DD6763">
        <w:rPr>
          <w:rFonts w:ascii="Times New Roman" w:hAnsi="Times New Roman" w:cs="Times New Roman"/>
          <w:sz w:val="24"/>
          <w:szCs w:val="24"/>
        </w:rPr>
        <w:t xml:space="preserve"> concerning indigenous property rights</w:t>
      </w:r>
      <w:r w:rsidRPr="00DD6763">
        <w:rPr>
          <w:rFonts w:ascii="Times New Roman" w:hAnsi="Times New Roman" w:cs="Times New Roman"/>
          <w:sz w:val="24"/>
          <w:szCs w:val="24"/>
        </w:rPr>
        <w:t>.</w:t>
      </w:r>
      <w:r w:rsidR="00AE1B04" w:rsidRPr="00DD6763">
        <w:rPr>
          <w:rStyle w:val="FootnoteReference"/>
          <w:rFonts w:ascii="Times New Roman" w:hAnsi="Times New Roman" w:cs="Times New Roman"/>
          <w:sz w:val="24"/>
          <w:szCs w:val="24"/>
        </w:rPr>
        <w:footnoteReference w:id="89"/>
      </w:r>
      <w:r w:rsidRPr="00DD6763">
        <w:rPr>
          <w:rFonts w:ascii="Times New Roman" w:hAnsi="Times New Roman" w:cs="Times New Roman"/>
          <w:sz w:val="24"/>
          <w:szCs w:val="24"/>
        </w:rPr>
        <w:t xml:space="preserve"> </w:t>
      </w:r>
      <w:r w:rsidR="00FC70B0" w:rsidRPr="00DD6763">
        <w:rPr>
          <w:rFonts w:ascii="Times New Roman" w:hAnsi="Times New Roman" w:cs="Times New Roman"/>
          <w:sz w:val="24"/>
          <w:szCs w:val="24"/>
        </w:rPr>
        <w:t>These laid down some general foundations</w:t>
      </w:r>
      <w:r w:rsidR="000F736B" w:rsidRPr="00DD6763">
        <w:rPr>
          <w:rFonts w:ascii="Times New Roman" w:hAnsi="Times New Roman" w:cs="Times New Roman"/>
          <w:sz w:val="24"/>
          <w:szCs w:val="24"/>
        </w:rPr>
        <w:t xml:space="preserve"> </w:t>
      </w:r>
      <w:r w:rsidR="00967349" w:rsidRPr="00DD6763">
        <w:rPr>
          <w:rFonts w:ascii="Times New Roman" w:hAnsi="Times New Roman" w:cs="Times New Roman"/>
          <w:sz w:val="24"/>
          <w:szCs w:val="24"/>
        </w:rPr>
        <w:t>such as the obligation of s</w:t>
      </w:r>
      <w:r w:rsidR="007C233D" w:rsidRPr="00DD6763">
        <w:rPr>
          <w:rFonts w:ascii="Times New Roman" w:hAnsi="Times New Roman" w:cs="Times New Roman"/>
          <w:sz w:val="24"/>
          <w:szCs w:val="24"/>
        </w:rPr>
        <w:t>tates to protect</w:t>
      </w:r>
      <w:r w:rsidR="00FC70B0" w:rsidRPr="00DD6763">
        <w:rPr>
          <w:rFonts w:ascii="Times New Roman" w:hAnsi="Times New Roman" w:cs="Times New Roman"/>
          <w:sz w:val="24"/>
          <w:szCs w:val="24"/>
        </w:rPr>
        <w:t xml:space="preserve"> </w:t>
      </w:r>
      <w:r w:rsidR="002E7279" w:rsidRPr="00DD6763">
        <w:rPr>
          <w:rFonts w:ascii="Times New Roman" w:hAnsi="Times New Roman" w:cs="Times New Roman"/>
          <w:sz w:val="24"/>
          <w:szCs w:val="24"/>
        </w:rPr>
        <w:t xml:space="preserve">indigenous communal </w:t>
      </w:r>
      <w:r w:rsidR="007C233D" w:rsidRPr="00DD6763">
        <w:rPr>
          <w:rFonts w:ascii="Times New Roman" w:hAnsi="Times New Roman" w:cs="Times New Roman"/>
          <w:sz w:val="24"/>
          <w:szCs w:val="24"/>
        </w:rPr>
        <w:t xml:space="preserve">property and cultural </w:t>
      </w:r>
      <w:r w:rsidR="002E7279" w:rsidRPr="00DD6763">
        <w:rPr>
          <w:rFonts w:ascii="Times New Roman" w:hAnsi="Times New Roman" w:cs="Times New Roman"/>
          <w:sz w:val="24"/>
          <w:szCs w:val="24"/>
        </w:rPr>
        <w:t>right</w:t>
      </w:r>
      <w:r w:rsidR="007C233D" w:rsidRPr="00DD6763">
        <w:rPr>
          <w:rFonts w:ascii="Times New Roman" w:hAnsi="Times New Roman" w:cs="Times New Roman"/>
          <w:sz w:val="24"/>
          <w:szCs w:val="24"/>
        </w:rPr>
        <w:t xml:space="preserve">s and the ‘evolutionary interpretation’ </w:t>
      </w:r>
      <w:r w:rsidR="0029686C" w:rsidRPr="00DD6763">
        <w:rPr>
          <w:rFonts w:ascii="Times New Roman" w:hAnsi="Times New Roman" w:cs="Times New Roman"/>
          <w:sz w:val="24"/>
          <w:szCs w:val="24"/>
        </w:rPr>
        <w:t>of human rights treaties which “</w:t>
      </w:r>
      <w:r w:rsidR="007C233D" w:rsidRPr="00DD6763">
        <w:rPr>
          <w:rFonts w:ascii="Times New Roman" w:hAnsi="Times New Roman" w:cs="Times New Roman"/>
          <w:sz w:val="24"/>
          <w:szCs w:val="24"/>
        </w:rPr>
        <w:t xml:space="preserve">are live instruments whose interpretation must </w:t>
      </w:r>
      <w:r w:rsidR="007C233D" w:rsidRPr="00DD6763">
        <w:rPr>
          <w:rFonts w:ascii="Times New Roman" w:hAnsi="Times New Roman" w:cs="Times New Roman"/>
          <w:sz w:val="24"/>
          <w:szCs w:val="24"/>
        </w:rPr>
        <w:lastRenderedPageBreak/>
        <w:t>adapt to the evolution of the times and, specificall</w:t>
      </w:r>
      <w:r w:rsidR="0029686C" w:rsidRPr="00DD6763">
        <w:rPr>
          <w:rFonts w:ascii="Times New Roman" w:hAnsi="Times New Roman" w:cs="Times New Roman"/>
          <w:sz w:val="24"/>
          <w:szCs w:val="24"/>
        </w:rPr>
        <w:t>y, to current living conditions”</w:t>
      </w:r>
      <w:r w:rsidR="00FC70B0" w:rsidRPr="00DD6763">
        <w:rPr>
          <w:rFonts w:ascii="Times New Roman" w:hAnsi="Times New Roman" w:cs="Times New Roman"/>
          <w:sz w:val="24"/>
          <w:szCs w:val="24"/>
        </w:rPr>
        <w:t>.</w:t>
      </w:r>
      <w:r w:rsidR="007C233D" w:rsidRPr="00DD6763">
        <w:rPr>
          <w:rStyle w:val="FootnoteReference"/>
          <w:rFonts w:ascii="Times New Roman" w:hAnsi="Times New Roman" w:cs="Times New Roman"/>
          <w:sz w:val="24"/>
          <w:szCs w:val="24"/>
        </w:rPr>
        <w:footnoteReference w:id="90"/>
      </w:r>
      <w:r w:rsidR="00FC70B0" w:rsidRPr="00DD6763">
        <w:rPr>
          <w:rFonts w:ascii="Times New Roman" w:hAnsi="Times New Roman" w:cs="Times New Roman"/>
          <w:sz w:val="24"/>
          <w:szCs w:val="24"/>
        </w:rPr>
        <w:t xml:space="preserve"> </w:t>
      </w:r>
      <w:r w:rsidR="007A1AD1" w:rsidRPr="00DD6763">
        <w:rPr>
          <w:rFonts w:ascii="Times New Roman" w:hAnsi="Times New Roman" w:cs="Times New Roman"/>
          <w:sz w:val="24"/>
          <w:szCs w:val="24"/>
        </w:rPr>
        <w:t>After those case</w:t>
      </w:r>
      <w:r w:rsidR="00E01800" w:rsidRPr="00DD6763">
        <w:rPr>
          <w:rFonts w:ascii="Times New Roman" w:hAnsi="Times New Roman" w:cs="Times New Roman"/>
          <w:sz w:val="24"/>
          <w:szCs w:val="24"/>
        </w:rPr>
        <w:t>s</w:t>
      </w:r>
      <w:r w:rsidR="007A1AD1" w:rsidRPr="00DD6763">
        <w:rPr>
          <w:rFonts w:ascii="Times New Roman" w:hAnsi="Times New Roman" w:cs="Times New Roman"/>
          <w:sz w:val="24"/>
          <w:szCs w:val="24"/>
        </w:rPr>
        <w:t>,</w:t>
      </w:r>
      <w:r w:rsidR="00522464" w:rsidRPr="00DD6763">
        <w:rPr>
          <w:rFonts w:ascii="Times New Roman" w:hAnsi="Times New Roman" w:cs="Times New Roman"/>
          <w:sz w:val="24"/>
          <w:szCs w:val="24"/>
        </w:rPr>
        <w:t xml:space="preserve"> </w:t>
      </w:r>
      <w:proofErr w:type="spellStart"/>
      <w:r w:rsidR="00522464" w:rsidRPr="00DD6763">
        <w:rPr>
          <w:rFonts w:ascii="Times New Roman" w:hAnsi="Times New Roman" w:cs="Times New Roman"/>
          <w:sz w:val="24"/>
          <w:szCs w:val="24"/>
        </w:rPr>
        <w:t>IACtHR</w:t>
      </w:r>
      <w:proofErr w:type="spellEnd"/>
      <w:r w:rsidR="00522464" w:rsidRPr="00DD6763">
        <w:rPr>
          <w:rFonts w:ascii="Times New Roman" w:hAnsi="Times New Roman" w:cs="Times New Roman"/>
          <w:sz w:val="24"/>
          <w:szCs w:val="24"/>
        </w:rPr>
        <w:t xml:space="preserve"> has relied on the previous dicta</w:t>
      </w:r>
      <w:r w:rsidR="007A1AD1" w:rsidRPr="00DD6763">
        <w:rPr>
          <w:rFonts w:ascii="Times New Roman" w:hAnsi="Times New Roman" w:cs="Times New Roman"/>
          <w:sz w:val="24"/>
          <w:szCs w:val="24"/>
        </w:rPr>
        <w:t xml:space="preserve"> </w:t>
      </w:r>
      <w:r w:rsidR="00522464" w:rsidRPr="00DD6763">
        <w:rPr>
          <w:rFonts w:ascii="Times New Roman" w:hAnsi="Times New Roman" w:cs="Times New Roman"/>
          <w:sz w:val="24"/>
          <w:szCs w:val="24"/>
        </w:rPr>
        <w:t>to uphold indigenous peoples’ rights. O</w:t>
      </w:r>
      <w:r w:rsidR="007A1AD1" w:rsidRPr="00DD6763">
        <w:rPr>
          <w:rFonts w:ascii="Times New Roman" w:hAnsi="Times New Roman" w:cs="Times New Roman"/>
          <w:sz w:val="24"/>
          <w:szCs w:val="24"/>
        </w:rPr>
        <w:t xml:space="preserve">ne can notice an evolution in the jurisprudence to nail down specific issues among which FPIC occupies a central position. </w:t>
      </w:r>
      <w:r w:rsidR="00F27D2B" w:rsidRPr="00DD6763">
        <w:rPr>
          <w:rFonts w:ascii="Times New Roman" w:hAnsi="Times New Roman" w:cs="Times New Roman"/>
          <w:sz w:val="24"/>
          <w:szCs w:val="24"/>
        </w:rPr>
        <w:t xml:space="preserve">In the </w:t>
      </w:r>
      <w:proofErr w:type="spellStart"/>
      <w:r w:rsidR="005F5698" w:rsidRPr="00DD6763">
        <w:rPr>
          <w:rFonts w:ascii="Times New Roman" w:hAnsi="Times New Roman" w:cs="Times New Roman"/>
          <w:sz w:val="24"/>
          <w:szCs w:val="24"/>
        </w:rPr>
        <w:t>IAC</w:t>
      </w:r>
      <w:r w:rsidR="00103480" w:rsidRPr="00DD6763">
        <w:rPr>
          <w:rFonts w:ascii="Times New Roman" w:hAnsi="Times New Roman" w:cs="Times New Roman"/>
          <w:sz w:val="24"/>
          <w:szCs w:val="24"/>
        </w:rPr>
        <w:t>tHR’s</w:t>
      </w:r>
      <w:proofErr w:type="spellEnd"/>
      <w:r w:rsidR="00103480" w:rsidRPr="00DD6763">
        <w:rPr>
          <w:rFonts w:ascii="Times New Roman" w:hAnsi="Times New Roman" w:cs="Times New Roman"/>
          <w:sz w:val="24"/>
          <w:szCs w:val="24"/>
        </w:rPr>
        <w:t xml:space="preserve"> </w:t>
      </w:r>
      <w:r w:rsidR="00F27D2B" w:rsidRPr="00DD6763">
        <w:rPr>
          <w:rFonts w:ascii="Times New Roman" w:hAnsi="Times New Roman" w:cs="Times New Roman"/>
          <w:sz w:val="24"/>
          <w:szCs w:val="24"/>
        </w:rPr>
        <w:t xml:space="preserve">case law, </w:t>
      </w:r>
      <w:proofErr w:type="spellStart"/>
      <w:r w:rsidR="00F27D2B" w:rsidRPr="00DD6763">
        <w:rPr>
          <w:rFonts w:ascii="Times New Roman" w:hAnsi="Times New Roman" w:cs="Times New Roman"/>
          <w:i/>
          <w:color w:val="000000" w:themeColor="text1"/>
          <w:sz w:val="24"/>
          <w:szCs w:val="24"/>
        </w:rPr>
        <w:t>Awas</w:t>
      </w:r>
      <w:proofErr w:type="spellEnd"/>
      <w:r w:rsidR="00F27D2B" w:rsidRPr="00DD6763">
        <w:rPr>
          <w:rFonts w:ascii="Times New Roman" w:hAnsi="Times New Roman" w:cs="Times New Roman"/>
          <w:i/>
          <w:color w:val="000000" w:themeColor="text1"/>
          <w:sz w:val="24"/>
          <w:szCs w:val="24"/>
        </w:rPr>
        <w:t xml:space="preserve"> </w:t>
      </w:r>
      <w:proofErr w:type="spellStart"/>
      <w:r w:rsidR="00F27D2B" w:rsidRPr="00DD6763">
        <w:rPr>
          <w:rFonts w:ascii="Times New Roman" w:hAnsi="Times New Roman" w:cs="Times New Roman"/>
          <w:i/>
          <w:color w:val="000000" w:themeColor="text1"/>
          <w:sz w:val="24"/>
          <w:szCs w:val="24"/>
        </w:rPr>
        <w:t>Tigni</w:t>
      </w:r>
      <w:proofErr w:type="spellEnd"/>
      <w:r w:rsidR="00F27D2B" w:rsidRPr="00DD6763">
        <w:rPr>
          <w:rFonts w:ascii="Times New Roman" w:hAnsi="Times New Roman" w:cs="Times New Roman"/>
          <w:color w:val="000000" w:themeColor="text1"/>
          <w:sz w:val="24"/>
          <w:szCs w:val="24"/>
        </w:rPr>
        <w:t xml:space="preserve"> is a landmark case regarding indigenous communities </w:t>
      </w:r>
      <w:r w:rsidR="007C233D" w:rsidRPr="00DD6763">
        <w:rPr>
          <w:rFonts w:ascii="Times New Roman" w:hAnsi="Times New Roman" w:cs="Times New Roman"/>
          <w:color w:val="000000" w:themeColor="text1"/>
          <w:sz w:val="24"/>
          <w:szCs w:val="24"/>
        </w:rPr>
        <w:t>as argued</w:t>
      </w:r>
      <w:r w:rsidR="00F27D2B" w:rsidRPr="00DD6763">
        <w:rPr>
          <w:rFonts w:ascii="Times New Roman" w:hAnsi="Times New Roman" w:cs="Times New Roman"/>
          <w:color w:val="000000" w:themeColor="text1"/>
          <w:sz w:val="24"/>
          <w:szCs w:val="24"/>
        </w:rPr>
        <w:t xml:space="preserve">; </w:t>
      </w:r>
      <w:proofErr w:type="spellStart"/>
      <w:r w:rsidR="00F27D2B" w:rsidRPr="00DD6763">
        <w:rPr>
          <w:rFonts w:ascii="Times New Roman" w:hAnsi="Times New Roman" w:cs="Times New Roman"/>
          <w:i/>
          <w:color w:val="000000" w:themeColor="text1"/>
          <w:sz w:val="24"/>
          <w:szCs w:val="24"/>
        </w:rPr>
        <w:t>Sarayaku</w:t>
      </w:r>
      <w:proofErr w:type="spellEnd"/>
      <w:r w:rsidR="00F27D2B" w:rsidRPr="00DD6763">
        <w:rPr>
          <w:rFonts w:ascii="Times New Roman" w:hAnsi="Times New Roman" w:cs="Times New Roman"/>
          <w:color w:val="000000" w:themeColor="text1"/>
          <w:sz w:val="24"/>
          <w:szCs w:val="24"/>
        </w:rPr>
        <w:t xml:space="preserve"> </w:t>
      </w:r>
      <w:r w:rsidR="00F27D2B" w:rsidRPr="00C41A9F">
        <w:rPr>
          <w:rFonts w:ascii="Times New Roman" w:hAnsi="Times New Roman" w:cs="Times New Roman"/>
          <w:color w:val="000000" w:themeColor="text1"/>
          <w:sz w:val="24"/>
          <w:szCs w:val="24"/>
        </w:rPr>
        <w:t xml:space="preserve">constitutes </w:t>
      </w:r>
      <w:r w:rsidR="00103480" w:rsidRPr="00C41A9F">
        <w:rPr>
          <w:rFonts w:ascii="Times New Roman" w:hAnsi="Times New Roman" w:cs="Times New Roman"/>
          <w:color w:val="000000" w:themeColor="text1"/>
          <w:sz w:val="24"/>
          <w:szCs w:val="24"/>
        </w:rPr>
        <w:t>the most</w:t>
      </w:r>
      <w:r w:rsidR="00F27D2B" w:rsidRPr="00C41A9F">
        <w:rPr>
          <w:rFonts w:ascii="Times New Roman" w:hAnsi="Times New Roman" w:cs="Times New Roman"/>
          <w:color w:val="000000" w:themeColor="text1"/>
          <w:sz w:val="24"/>
          <w:szCs w:val="24"/>
        </w:rPr>
        <w:t xml:space="preserve"> signif</w:t>
      </w:r>
      <w:r w:rsidR="00103480" w:rsidRPr="00C41A9F">
        <w:rPr>
          <w:rFonts w:ascii="Times New Roman" w:hAnsi="Times New Roman" w:cs="Times New Roman"/>
          <w:color w:val="000000" w:themeColor="text1"/>
          <w:sz w:val="24"/>
          <w:szCs w:val="24"/>
        </w:rPr>
        <w:t xml:space="preserve">icant contribution </w:t>
      </w:r>
      <w:r w:rsidR="007C233D" w:rsidRPr="00C41A9F">
        <w:rPr>
          <w:rFonts w:ascii="Times New Roman" w:hAnsi="Times New Roman" w:cs="Times New Roman"/>
          <w:color w:val="000000" w:themeColor="text1"/>
          <w:sz w:val="24"/>
          <w:szCs w:val="24"/>
        </w:rPr>
        <w:t>with regard to FPIC</w:t>
      </w:r>
      <w:r w:rsidR="00354EB1" w:rsidRPr="00C41A9F">
        <w:rPr>
          <w:rFonts w:ascii="Times New Roman" w:hAnsi="Times New Roman" w:cs="Times New Roman"/>
          <w:color w:val="000000" w:themeColor="text1"/>
          <w:sz w:val="24"/>
          <w:szCs w:val="24"/>
        </w:rPr>
        <w:t xml:space="preserve"> as argued below</w:t>
      </w:r>
      <w:r w:rsidR="00F27D2B" w:rsidRPr="00C41A9F">
        <w:rPr>
          <w:rFonts w:ascii="Times New Roman" w:hAnsi="Times New Roman" w:cs="Times New Roman"/>
          <w:color w:val="000000" w:themeColor="text1"/>
          <w:sz w:val="24"/>
          <w:szCs w:val="24"/>
        </w:rPr>
        <w:t xml:space="preserve">. </w:t>
      </w:r>
    </w:p>
    <w:p w14:paraId="2C05EF58" w14:textId="5BD6D478" w:rsidR="00505371" w:rsidRPr="00DD6763" w:rsidRDefault="004F5F42"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color w:val="000000" w:themeColor="text1"/>
          <w:sz w:val="24"/>
          <w:szCs w:val="24"/>
        </w:rPr>
        <w:t xml:space="preserve">The Court has supported </w:t>
      </w:r>
      <w:r w:rsidR="00F27D2B" w:rsidRPr="00DD6763">
        <w:rPr>
          <w:rFonts w:ascii="Times New Roman" w:hAnsi="Times New Roman" w:cs="Times New Roman"/>
          <w:sz w:val="24"/>
          <w:szCs w:val="24"/>
        </w:rPr>
        <w:t>its arguments by reference to the practice of the UN Human Ri</w:t>
      </w:r>
      <w:r w:rsidR="00505371" w:rsidRPr="00DD6763">
        <w:rPr>
          <w:rFonts w:ascii="Times New Roman" w:hAnsi="Times New Roman" w:cs="Times New Roman"/>
          <w:sz w:val="24"/>
          <w:szCs w:val="24"/>
        </w:rPr>
        <w:t xml:space="preserve">ghts </w:t>
      </w:r>
      <w:r w:rsidR="000F736B" w:rsidRPr="00DD6763">
        <w:rPr>
          <w:rFonts w:ascii="Times New Roman" w:hAnsi="Times New Roman" w:cs="Times New Roman"/>
          <w:sz w:val="24"/>
          <w:szCs w:val="24"/>
        </w:rPr>
        <w:t xml:space="preserve">Committee </w:t>
      </w:r>
      <w:r w:rsidR="00F27D2B" w:rsidRPr="00DD6763">
        <w:rPr>
          <w:rFonts w:ascii="Times New Roman" w:hAnsi="Times New Roman" w:cs="Times New Roman"/>
          <w:sz w:val="24"/>
          <w:szCs w:val="24"/>
        </w:rPr>
        <w:t>on the interpretation of</w:t>
      </w:r>
      <w:r w:rsidR="00A22573">
        <w:rPr>
          <w:rFonts w:ascii="Times New Roman" w:hAnsi="Times New Roman" w:cs="Times New Roman"/>
          <w:sz w:val="24"/>
          <w:szCs w:val="24"/>
        </w:rPr>
        <w:t xml:space="preserve"> A</w:t>
      </w:r>
      <w:r w:rsidR="00505371" w:rsidRPr="00DD6763">
        <w:rPr>
          <w:rFonts w:ascii="Times New Roman" w:hAnsi="Times New Roman" w:cs="Times New Roman"/>
          <w:sz w:val="24"/>
          <w:szCs w:val="24"/>
        </w:rPr>
        <w:t xml:space="preserve">rticle 27 of the </w:t>
      </w:r>
      <w:r w:rsidR="000F736B" w:rsidRPr="00DD6763">
        <w:rPr>
          <w:rFonts w:ascii="Times New Roman" w:hAnsi="Times New Roman" w:cs="Times New Roman"/>
          <w:sz w:val="24"/>
          <w:szCs w:val="24"/>
        </w:rPr>
        <w:t>ICCPR</w:t>
      </w:r>
      <w:r w:rsidR="00FC70B0" w:rsidRPr="00DD6763">
        <w:rPr>
          <w:rFonts w:ascii="Times New Roman" w:hAnsi="Times New Roman" w:cs="Times New Roman"/>
          <w:sz w:val="24"/>
          <w:szCs w:val="24"/>
        </w:rPr>
        <w:t>:</w:t>
      </w:r>
      <w:r w:rsidR="00F27D2B" w:rsidRPr="00DD6763">
        <w:rPr>
          <w:rFonts w:ascii="Times New Roman" w:hAnsi="Times New Roman" w:cs="Times New Roman"/>
          <w:sz w:val="24"/>
          <w:szCs w:val="24"/>
        </w:rPr>
        <w:t xml:space="preserve"> the </w:t>
      </w:r>
      <w:proofErr w:type="spellStart"/>
      <w:r w:rsidR="00F27D2B" w:rsidRPr="00DD6763">
        <w:rPr>
          <w:rFonts w:ascii="Times New Roman" w:hAnsi="Times New Roman" w:cs="Times New Roman"/>
          <w:sz w:val="24"/>
          <w:szCs w:val="24"/>
        </w:rPr>
        <w:t>IACtHR</w:t>
      </w:r>
      <w:proofErr w:type="spellEnd"/>
      <w:r w:rsidR="00505371" w:rsidRPr="00DD6763">
        <w:rPr>
          <w:rFonts w:ascii="Times New Roman" w:hAnsi="Times New Roman" w:cs="Times New Roman"/>
          <w:sz w:val="24"/>
          <w:szCs w:val="24"/>
        </w:rPr>
        <w:t xml:space="preserve"> </w:t>
      </w:r>
      <w:r w:rsidR="00F27D2B" w:rsidRPr="00DD6763">
        <w:rPr>
          <w:rFonts w:ascii="Times New Roman" w:hAnsi="Times New Roman" w:cs="Times New Roman"/>
          <w:sz w:val="24"/>
          <w:szCs w:val="24"/>
        </w:rPr>
        <w:t>has</w:t>
      </w:r>
      <w:r w:rsidR="00505371" w:rsidRPr="00DD6763">
        <w:rPr>
          <w:rFonts w:ascii="Times New Roman" w:hAnsi="Times New Roman" w:cs="Times New Roman"/>
          <w:sz w:val="24"/>
          <w:szCs w:val="24"/>
        </w:rPr>
        <w:t xml:space="preserve"> established that </w:t>
      </w:r>
      <w:r w:rsidR="004E3B90" w:rsidRPr="00DD6763">
        <w:rPr>
          <w:rFonts w:ascii="Times New Roman" w:hAnsi="Times New Roman" w:cs="Times New Roman"/>
          <w:sz w:val="24"/>
          <w:szCs w:val="24"/>
        </w:rPr>
        <w:t>in terms of</w:t>
      </w:r>
      <w:r w:rsidR="00505371" w:rsidRPr="00DD6763">
        <w:rPr>
          <w:rFonts w:ascii="Times New Roman" w:hAnsi="Times New Roman" w:cs="Times New Roman"/>
          <w:sz w:val="24"/>
          <w:szCs w:val="24"/>
        </w:rPr>
        <w:t xml:space="preserve"> the expl</w:t>
      </w:r>
      <w:r w:rsidR="004E3B90" w:rsidRPr="00DD6763">
        <w:rPr>
          <w:rFonts w:ascii="Times New Roman" w:hAnsi="Times New Roman" w:cs="Times New Roman"/>
          <w:sz w:val="24"/>
          <w:szCs w:val="24"/>
        </w:rPr>
        <w:t>oitation of natural resources in indigenous communal property,</w:t>
      </w:r>
      <w:r w:rsidR="00505371" w:rsidRPr="00DD6763">
        <w:rPr>
          <w:rFonts w:ascii="Times New Roman" w:hAnsi="Times New Roman" w:cs="Times New Roman"/>
          <w:sz w:val="24"/>
          <w:szCs w:val="24"/>
        </w:rPr>
        <w:t xml:space="preserve"> indigenous </w:t>
      </w:r>
      <w:r w:rsidR="004E3B90" w:rsidRPr="00DD6763">
        <w:rPr>
          <w:rFonts w:ascii="Times New Roman" w:hAnsi="Times New Roman" w:cs="Times New Roman"/>
          <w:sz w:val="24"/>
          <w:szCs w:val="24"/>
        </w:rPr>
        <w:t>peoples</w:t>
      </w:r>
      <w:r w:rsidR="00505371" w:rsidRPr="00DD6763">
        <w:rPr>
          <w:rFonts w:ascii="Times New Roman" w:hAnsi="Times New Roman" w:cs="Times New Roman"/>
          <w:sz w:val="24"/>
          <w:szCs w:val="24"/>
        </w:rPr>
        <w:t xml:space="preserve"> should be consulted, </w:t>
      </w:r>
      <w:r w:rsidR="00F27D2B" w:rsidRPr="00DD6763">
        <w:rPr>
          <w:rFonts w:ascii="Times New Roman" w:hAnsi="Times New Roman" w:cs="Times New Roman"/>
          <w:sz w:val="24"/>
          <w:szCs w:val="24"/>
        </w:rPr>
        <w:t>thus</w:t>
      </w:r>
      <w:r w:rsidR="00505371" w:rsidRPr="00DD6763">
        <w:rPr>
          <w:rFonts w:ascii="Times New Roman" w:hAnsi="Times New Roman" w:cs="Times New Roman"/>
          <w:sz w:val="24"/>
          <w:szCs w:val="24"/>
        </w:rPr>
        <w:t xml:space="preserve"> uphold</w:t>
      </w:r>
      <w:r w:rsidR="00F27D2B" w:rsidRPr="00DD6763">
        <w:rPr>
          <w:rFonts w:ascii="Times New Roman" w:hAnsi="Times New Roman" w:cs="Times New Roman"/>
          <w:sz w:val="24"/>
          <w:szCs w:val="24"/>
        </w:rPr>
        <w:t>ing</w:t>
      </w:r>
      <w:r w:rsidR="00EA21BB" w:rsidRPr="00DD6763">
        <w:rPr>
          <w:rFonts w:ascii="Times New Roman" w:hAnsi="Times New Roman" w:cs="Times New Roman"/>
          <w:sz w:val="24"/>
          <w:szCs w:val="24"/>
        </w:rPr>
        <w:t xml:space="preserve"> FPIC</w:t>
      </w:r>
      <w:r w:rsidR="00505371" w:rsidRPr="00DD6763">
        <w:rPr>
          <w:rFonts w:ascii="Times New Roman" w:hAnsi="Times New Roman" w:cs="Times New Roman"/>
          <w:sz w:val="24"/>
          <w:szCs w:val="24"/>
        </w:rPr>
        <w:t>.</w:t>
      </w:r>
      <w:r w:rsidR="00DE5A84" w:rsidRPr="00DD6763">
        <w:rPr>
          <w:rFonts w:ascii="Times New Roman" w:hAnsi="Times New Roman" w:cs="Times New Roman"/>
          <w:sz w:val="24"/>
          <w:szCs w:val="24"/>
        </w:rPr>
        <w:t xml:space="preserve"> </w:t>
      </w:r>
      <w:r w:rsidR="00105CB2" w:rsidRPr="00DD6763">
        <w:rPr>
          <w:rFonts w:ascii="Times New Roman" w:hAnsi="Times New Roman" w:cs="Times New Roman"/>
          <w:sz w:val="24"/>
          <w:szCs w:val="24"/>
        </w:rPr>
        <w:t xml:space="preserve">In ascertaining FPIC, the Court has also referred to environmental protection and </w:t>
      </w:r>
      <w:r w:rsidR="00FC70B0" w:rsidRPr="00DD6763">
        <w:rPr>
          <w:rFonts w:ascii="Times New Roman" w:hAnsi="Times New Roman" w:cs="Times New Roman"/>
          <w:sz w:val="24"/>
          <w:szCs w:val="24"/>
        </w:rPr>
        <w:t xml:space="preserve">made use </w:t>
      </w:r>
      <w:r w:rsidR="00105CB2" w:rsidRPr="00DD6763">
        <w:rPr>
          <w:rFonts w:ascii="Times New Roman" w:hAnsi="Times New Roman" w:cs="Times New Roman"/>
          <w:sz w:val="24"/>
          <w:szCs w:val="24"/>
        </w:rPr>
        <w:t>of previous case law.</w:t>
      </w:r>
    </w:p>
    <w:p w14:paraId="7ABBC461" w14:textId="6EE51D8A" w:rsidR="00D66F83" w:rsidRPr="00DD6763" w:rsidRDefault="00BE6DC6"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Evidently, FPIC is intrinsically linked to the r</w:t>
      </w:r>
      <w:r w:rsidR="00D66F83" w:rsidRPr="00DD6763">
        <w:rPr>
          <w:rFonts w:ascii="Times New Roman" w:hAnsi="Times New Roman" w:cs="Times New Roman"/>
          <w:sz w:val="24"/>
          <w:szCs w:val="24"/>
        </w:rPr>
        <w:t>ight to property</w:t>
      </w:r>
      <w:r w:rsidR="00A22573">
        <w:rPr>
          <w:rFonts w:ascii="Times New Roman" w:hAnsi="Times New Roman" w:cs="Times New Roman"/>
          <w:sz w:val="24"/>
          <w:szCs w:val="24"/>
        </w:rPr>
        <w:t xml:space="preserve"> as protected in A</w:t>
      </w:r>
      <w:r w:rsidRPr="00DD6763">
        <w:rPr>
          <w:rFonts w:ascii="Times New Roman" w:hAnsi="Times New Roman" w:cs="Times New Roman"/>
          <w:sz w:val="24"/>
          <w:szCs w:val="24"/>
        </w:rPr>
        <w:t xml:space="preserve">rticle 21 of the Convention, </w:t>
      </w:r>
      <w:r w:rsidR="00D66F83" w:rsidRPr="00DD6763">
        <w:rPr>
          <w:rFonts w:ascii="Times New Roman" w:hAnsi="Times New Roman" w:cs="Times New Roman"/>
          <w:sz w:val="24"/>
          <w:szCs w:val="24"/>
        </w:rPr>
        <w:t>a paramount right</w:t>
      </w:r>
      <w:r w:rsidRPr="00DD6763">
        <w:rPr>
          <w:rFonts w:ascii="Times New Roman" w:hAnsi="Times New Roman" w:cs="Times New Roman"/>
          <w:sz w:val="24"/>
          <w:szCs w:val="24"/>
        </w:rPr>
        <w:t xml:space="preserve"> in the case law relating to indigenous property, which also encompasses an </w:t>
      </w:r>
      <w:r w:rsidR="00D66F83" w:rsidRPr="00DD6763">
        <w:rPr>
          <w:rFonts w:ascii="Times New Roman" w:hAnsi="Times New Roman" w:cs="Times New Roman"/>
          <w:sz w:val="24"/>
          <w:szCs w:val="24"/>
        </w:rPr>
        <w:t>enviro</w:t>
      </w:r>
      <w:r w:rsidRPr="00DD6763">
        <w:rPr>
          <w:rFonts w:ascii="Times New Roman" w:hAnsi="Times New Roman" w:cs="Times New Roman"/>
          <w:sz w:val="24"/>
          <w:szCs w:val="24"/>
        </w:rPr>
        <w:t>nmental dimension</w:t>
      </w:r>
      <w:r w:rsidR="008404D0" w:rsidRPr="00DD6763">
        <w:rPr>
          <w:rFonts w:ascii="Times New Roman" w:hAnsi="Times New Roman" w:cs="Times New Roman"/>
          <w:sz w:val="24"/>
          <w:szCs w:val="24"/>
        </w:rPr>
        <w:t xml:space="preserve"> as demonstrated in the different cases</w:t>
      </w:r>
      <w:r w:rsidR="007E0F4D" w:rsidRPr="00DD6763">
        <w:rPr>
          <w:rFonts w:ascii="Times New Roman" w:hAnsi="Times New Roman" w:cs="Times New Roman"/>
          <w:sz w:val="24"/>
          <w:szCs w:val="24"/>
        </w:rPr>
        <w:t>.</w:t>
      </w:r>
      <w:r w:rsidR="007E0F4D" w:rsidRPr="00DD6763">
        <w:rPr>
          <w:rStyle w:val="FootnoteReference"/>
          <w:rFonts w:ascii="Times New Roman" w:hAnsi="Times New Roman" w:cs="Times New Roman"/>
          <w:sz w:val="24"/>
          <w:szCs w:val="24"/>
        </w:rPr>
        <w:footnoteReference w:id="91"/>
      </w:r>
      <w:r w:rsidR="008404D0" w:rsidRPr="00DD6763">
        <w:rPr>
          <w:rFonts w:ascii="Times New Roman" w:hAnsi="Times New Roman" w:cs="Times New Roman"/>
          <w:sz w:val="24"/>
          <w:szCs w:val="24"/>
        </w:rPr>
        <w:t xml:space="preserve"> </w:t>
      </w:r>
      <w:r w:rsidR="00BE76C3" w:rsidRPr="00DD6763">
        <w:rPr>
          <w:rFonts w:ascii="Times New Roman" w:hAnsi="Times New Roman" w:cs="Times New Roman"/>
          <w:sz w:val="24"/>
          <w:szCs w:val="24"/>
        </w:rPr>
        <w:t>Also</w:t>
      </w:r>
      <w:r w:rsidRPr="00DD6763">
        <w:rPr>
          <w:rFonts w:ascii="Times New Roman" w:hAnsi="Times New Roman" w:cs="Times New Roman"/>
          <w:sz w:val="24"/>
          <w:szCs w:val="24"/>
        </w:rPr>
        <w:t>, and more importantly, the links</w:t>
      </w:r>
      <w:r w:rsidR="00D66F83" w:rsidRPr="00DD6763">
        <w:rPr>
          <w:rFonts w:ascii="Times New Roman" w:hAnsi="Times New Roman" w:cs="Times New Roman"/>
          <w:sz w:val="24"/>
          <w:szCs w:val="24"/>
        </w:rPr>
        <w:t xml:space="preserve"> of indigenous peoples with their traditional territories and the natural resources </w:t>
      </w:r>
      <w:r w:rsidRPr="00DD6763">
        <w:rPr>
          <w:rFonts w:ascii="Times New Roman" w:hAnsi="Times New Roman" w:cs="Times New Roman"/>
          <w:sz w:val="24"/>
          <w:szCs w:val="24"/>
        </w:rPr>
        <w:t xml:space="preserve">are embodied in the overall protection of </w:t>
      </w:r>
      <w:r w:rsidR="00951B78" w:rsidRPr="00DD6763">
        <w:rPr>
          <w:rFonts w:ascii="Times New Roman" w:hAnsi="Times New Roman" w:cs="Times New Roman"/>
          <w:sz w:val="24"/>
          <w:szCs w:val="24"/>
        </w:rPr>
        <w:t>their culture</w:t>
      </w:r>
      <w:r w:rsidR="00D66F83" w:rsidRPr="00DD6763">
        <w:rPr>
          <w:rFonts w:ascii="Times" w:hAnsi="Times" w:cs="Times"/>
          <w:sz w:val="26"/>
          <w:szCs w:val="26"/>
        </w:rPr>
        <w:t>.</w:t>
      </w:r>
      <w:r w:rsidR="00D66F83" w:rsidRPr="00DD6763">
        <w:rPr>
          <w:rStyle w:val="FootnoteReference"/>
          <w:rFonts w:ascii="Times" w:hAnsi="Times" w:cs="Times"/>
          <w:sz w:val="26"/>
          <w:szCs w:val="26"/>
        </w:rPr>
        <w:footnoteReference w:id="92"/>
      </w:r>
      <w:r w:rsidR="00D66F83" w:rsidRPr="00DD6763">
        <w:rPr>
          <w:rFonts w:ascii="Times" w:hAnsi="Times" w:cs="Times"/>
          <w:sz w:val="26"/>
          <w:szCs w:val="26"/>
        </w:rPr>
        <w:t xml:space="preserve"> </w:t>
      </w:r>
    </w:p>
    <w:p w14:paraId="2B631291" w14:textId="40DA768B" w:rsidR="00B274A2" w:rsidRPr="00DD6763" w:rsidRDefault="008663BC"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The protection</w:t>
      </w:r>
      <w:r w:rsidR="00BE6DC6" w:rsidRPr="00DD6763">
        <w:rPr>
          <w:rFonts w:ascii="Times New Roman" w:hAnsi="Times New Roman" w:cs="Times New Roman"/>
          <w:sz w:val="24"/>
          <w:szCs w:val="24"/>
        </w:rPr>
        <w:t xml:space="preserve"> of </w:t>
      </w:r>
      <w:r w:rsidRPr="00DD6763">
        <w:rPr>
          <w:rFonts w:ascii="Times New Roman" w:hAnsi="Times New Roman" w:cs="Times New Roman"/>
          <w:sz w:val="24"/>
          <w:szCs w:val="24"/>
        </w:rPr>
        <w:t xml:space="preserve">FPIC by the </w:t>
      </w:r>
      <w:proofErr w:type="spellStart"/>
      <w:r w:rsidRPr="00DD6763">
        <w:rPr>
          <w:rFonts w:ascii="Times New Roman" w:hAnsi="Times New Roman" w:cs="Times New Roman"/>
          <w:sz w:val="24"/>
          <w:szCs w:val="24"/>
        </w:rPr>
        <w:t>IACtHR</w:t>
      </w:r>
      <w:proofErr w:type="spellEnd"/>
      <w:r w:rsidRPr="00DD6763">
        <w:rPr>
          <w:rFonts w:ascii="Times New Roman" w:hAnsi="Times New Roman" w:cs="Times New Roman"/>
          <w:sz w:val="24"/>
          <w:szCs w:val="24"/>
        </w:rPr>
        <w:t xml:space="preserve"> has unfolded in successive stages, with different connotations at each stage. Indeed,</w:t>
      </w:r>
      <w:r w:rsidR="00A81E04" w:rsidRPr="00DD6763">
        <w:rPr>
          <w:rFonts w:ascii="Times New Roman" w:hAnsi="Times New Roman" w:cs="Times New Roman"/>
          <w:sz w:val="24"/>
          <w:szCs w:val="24"/>
        </w:rPr>
        <w:t xml:space="preserve"> there are different turning points</w:t>
      </w:r>
      <w:r w:rsidR="00B90D57" w:rsidRPr="00DD6763">
        <w:rPr>
          <w:rFonts w:ascii="Times New Roman" w:hAnsi="Times New Roman" w:cs="Times New Roman"/>
          <w:sz w:val="24"/>
          <w:szCs w:val="24"/>
        </w:rPr>
        <w:t xml:space="preserve"> concerning </w:t>
      </w:r>
      <w:r w:rsidR="00B274A2" w:rsidRPr="00DD6763">
        <w:rPr>
          <w:rFonts w:ascii="Times New Roman" w:hAnsi="Times New Roman" w:cs="Times New Roman"/>
          <w:sz w:val="24"/>
          <w:szCs w:val="24"/>
        </w:rPr>
        <w:t xml:space="preserve">interpretative tools, </w:t>
      </w:r>
      <w:r w:rsidR="00B90D57" w:rsidRPr="00DD6763">
        <w:rPr>
          <w:rFonts w:ascii="Times New Roman" w:hAnsi="Times New Roman" w:cs="Times New Roman"/>
          <w:sz w:val="24"/>
          <w:szCs w:val="24"/>
        </w:rPr>
        <w:t xml:space="preserve">substantive </w:t>
      </w:r>
      <w:r w:rsidR="004E3B90" w:rsidRPr="00DD6763">
        <w:rPr>
          <w:rFonts w:ascii="Times New Roman" w:hAnsi="Times New Roman" w:cs="Times New Roman"/>
          <w:sz w:val="24"/>
          <w:szCs w:val="24"/>
        </w:rPr>
        <w:t>and</w:t>
      </w:r>
      <w:r w:rsidR="00B90D57" w:rsidRPr="00DD6763">
        <w:rPr>
          <w:rFonts w:ascii="Times New Roman" w:hAnsi="Times New Roman" w:cs="Times New Roman"/>
          <w:sz w:val="24"/>
          <w:szCs w:val="24"/>
        </w:rPr>
        <w:t xml:space="preserve"> procedural aspects</w:t>
      </w:r>
      <w:r w:rsidR="00A81E04" w:rsidRPr="00DD6763">
        <w:rPr>
          <w:rFonts w:ascii="Times New Roman" w:hAnsi="Times New Roman" w:cs="Times New Roman"/>
          <w:sz w:val="24"/>
          <w:szCs w:val="24"/>
        </w:rPr>
        <w:t xml:space="preserve"> in the Court’s jurisprudence</w:t>
      </w:r>
      <w:r w:rsidR="00105CB2" w:rsidRPr="00DD6763">
        <w:rPr>
          <w:rFonts w:ascii="Times New Roman" w:hAnsi="Times New Roman" w:cs="Times New Roman"/>
          <w:sz w:val="24"/>
          <w:szCs w:val="24"/>
        </w:rPr>
        <w:t xml:space="preserve">. </w:t>
      </w:r>
    </w:p>
    <w:p w14:paraId="1E8B9EE4" w14:textId="40AC0486" w:rsidR="00A13BE2" w:rsidRPr="00DD6763" w:rsidRDefault="00B274A2"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As regards interpretation, t</w:t>
      </w:r>
      <w:r w:rsidR="008663BC" w:rsidRPr="00DD6763">
        <w:rPr>
          <w:rFonts w:ascii="Times New Roman" w:hAnsi="Times New Roman" w:cs="Times New Roman"/>
          <w:sz w:val="24"/>
          <w:szCs w:val="24"/>
        </w:rPr>
        <w:t xml:space="preserve">he </w:t>
      </w:r>
      <w:r w:rsidRPr="00DD6763">
        <w:rPr>
          <w:rFonts w:ascii="Times New Roman" w:hAnsi="Times New Roman" w:cs="Times New Roman"/>
          <w:sz w:val="24"/>
          <w:szCs w:val="24"/>
        </w:rPr>
        <w:t xml:space="preserve">main </w:t>
      </w:r>
      <w:r w:rsidR="00505371" w:rsidRPr="00DD6763">
        <w:rPr>
          <w:rFonts w:ascii="Times New Roman" w:hAnsi="Times New Roman" w:cs="Times New Roman"/>
          <w:sz w:val="24"/>
          <w:szCs w:val="24"/>
        </w:rPr>
        <w:t>controversial issue</w:t>
      </w:r>
      <w:r w:rsidR="004F5F42" w:rsidRPr="00DD6763">
        <w:rPr>
          <w:rFonts w:ascii="Times New Roman" w:hAnsi="Times New Roman" w:cs="Times New Roman"/>
          <w:sz w:val="24"/>
          <w:szCs w:val="24"/>
        </w:rPr>
        <w:t xml:space="preserve"> that arose </w:t>
      </w:r>
      <w:r w:rsidR="007A1AD1" w:rsidRPr="00DD6763">
        <w:rPr>
          <w:rFonts w:ascii="Times New Roman" w:hAnsi="Times New Roman" w:cs="Times New Roman"/>
          <w:sz w:val="24"/>
          <w:szCs w:val="24"/>
        </w:rPr>
        <w:t xml:space="preserve">is </w:t>
      </w:r>
      <w:r w:rsidR="00505371" w:rsidRPr="00DD6763">
        <w:rPr>
          <w:rFonts w:ascii="Times New Roman" w:hAnsi="Times New Roman" w:cs="Times New Roman"/>
          <w:sz w:val="24"/>
          <w:szCs w:val="24"/>
        </w:rPr>
        <w:t xml:space="preserve">the application of the principles enshrined in </w:t>
      </w:r>
      <w:r w:rsidR="001D4659" w:rsidRPr="00DD6763">
        <w:rPr>
          <w:rFonts w:ascii="Times New Roman" w:hAnsi="Times New Roman" w:cs="Times New Roman"/>
          <w:sz w:val="24"/>
          <w:szCs w:val="24"/>
        </w:rPr>
        <w:t>C</w:t>
      </w:r>
      <w:r w:rsidR="00505371" w:rsidRPr="00DD6763">
        <w:rPr>
          <w:rFonts w:ascii="Times New Roman" w:hAnsi="Times New Roman" w:cs="Times New Roman"/>
          <w:sz w:val="24"/>
          <w:szCs w:val="24"/>
        </w:rPr>
        <w:t>169 to states that have not ratified it. The Court</w:t>
      </w:r>
      <w:r w:rsidR="00DA5E91" w:rsidRPr="00DD6763">
        <w:rPr>
          <w:rFonts w:ascii="Times New Roman" w:hAnsi="Times New Roman" w:cs="Times New Roman"/>
          <w:sz w:val="24"/>
          <w:szCs w:val="24"/>
        </w:rPr>
        <w:t xml:space="preserve"> was faced with such a predicament in </w:t>
      </w:r>
      <w:proofErr w:type="spellStart"/>
      <w:r w:rsidR="00DA5E91" w:rsidRPr="00DD6763">
        <w:rPr>
          <w:rFonts w:ascii="Times New Roman" w:hAnsi="Times New Roman" w:cs="Times New Roman"/>
          <w:i/>
          <w:sz w:val="24"/>
          <w:szCs w:val="24"/>
        </w:rPr>
        <w:t>Aloeboetoe</w:t>
      </w:r>
      <w:proofErr w:type="spellEnd"/>
      <w:r w:rsidR="00DA5E91" w:rsidRPr="00DD6763">
        <w:rPr>
          <w:rFonts w:ascii="Times New Roman" w:hAnsi="Times New Roman" w:cs="Times New Roman"/>
          <w:i/>
          <w:sz w:val="24"/>
          <w:szCs w:val="24"/>
        </w:rPr>
        <w:t xml:space="preserve"> et al </w:t>
      </w:r>
      <w:r w:rsidR="00DA5E91" w:rsidRPr="00DD6763">
        <w:rPr>
          <w:rFonts w:ascii="Times New Roman" w:hAnsi="Times New Roman" w:cs="Times New Roman"/>
          <w:iCs/>
          <w:sz w:val="24"/>
          <w:szCs w:val="24"/>
        </w:rPr>
        <w:t>v</w:t>
      </w:r>
      <w:r w:rsidR="00DD6763" w:rsidRPr="00DD6763">
        <w:rPr>
          <w:rFonts w:ascii="Times New Roman" w:hAnsi="Times New Roman" w:cs="Times New Roman"/>
          <w:iCs/>
          <w:sz w:val="24"/>
          <w:szCs w:val="24"/>
        </w:rPr>
        <w:t>.</w:t>
      </w:r>
      <w:r w:rsidR="00DA5E91" w:rsidRPr="00DD6763">
        <w:rPr>
          <w:rFonts w:ascii="Times New Roman" w:hAnsi="Times New Roman" w:cs="Times New Roman"/>
          <w:i/>
          <w:sz w:val="24"/>
          <w:szCs w:val="24"/>
        </w:rPr>
        <w:t xml:space="preserve"> Suriname</w:t>
      </w:r>
      <w:r w:rsidR="00FC70B0" w:rsidRPr="00DD6763">
        <w:rPr>
          <w:rFonts w:ascii="Times New Roman" w:hAnsi="Times New Roman" w:cs="Times New Roman"/>
          <w:sz w:val="24"/>
          <w:szCs w:val="24"/>
        </w:rPr>
        <w:t>, where it</w:t>
      </w:r>
      <w:r w:rsidR="00505371" w:rsidRPr="00DD6763">
        <w:rPr>
          <w:rFonts w:ascii="Times New Roman" w:hAnsi="Times New Roman" w:cs="Times New Roman"/>
          <w:sz w:val="24"/>
          <w:szCs w:val="24"/>
        </w:rPr>
        <w:t xml:space="preserve"> set out the interpretation criteri</w:t>
      </w:r>
      <w:r w:rsidR="00FC70B0" w:rsidRPr="00DD6763">
        <w:rPr>
          <w:rFonts w:ascii="Times New Roman" w:hAnsi="Times New Roman" w:cs="Times New Roman"/>
          <w:sz w:val="24"/>
          <w:szCs w:val="24"/>
        </w:rPr>
        <w:t>on</w:t>
      </w:r>
      <w:r w:rsidR="0029686C" w:rsidRPr="00DD6763">
        <w:rPr>
          <w:rFonts w:ascii="Times New Roman" w:hAnsi="Times New Roman" w:cs="Times New Roman"/>
          <w:sz w:val="24"/>
          <w:szCs w:val="24"/>
        </w:rPr>
        <w:t xml:space="preserve">: </w:t>
      </w:r>
    </w:p>
    <w:p w14:paraId="6318449B" w14:textId="77777777" w:rsidR="00A13BE2" w:rsidRPr="00DD6763" w:rsidRDefault="00A13BE2" w:rsidP="00D432E7">
      <w:pPr>
        <w:spacing w:after="0" w:line="276" w:lineRule="auto"/>
        <w:ind w:firstLine="720"/>
        <w:jc w:val="both"/>
        <w:rPr>
          <w:rFonts w:ascii="Times New Roman" w:hAnsi="Times New Roman" w:cs="Times New Roman"/>
          <w:sz w:val="24"/>
          <w:szCs w:val="24"/>
        </w:rPr>
      </w:pPr>
    </w:p>
    <w:p w14:paraId="71B7AACB" w14:textId="3FE54908" w:rsidR="00A13BE2" w:rsidRPr="00DD6763" w:rsidRDefault="00505371" w:rsidP="00A13BE2">
      <w:pPr>
        <w:spacing w:after="0" w:line="276" w:lineRule="auto"/>
        <w:ind w:left="720"/>
        <w:jc w:val="both"/>
        <w:rPr>
          <w:rFonts w:ascii="Times New Roman" w:hAnsi="Times New Roman" w:cs="Times New Roman"/>
          <w:sz w:val="24"/>
          <w:szCs w:val="24"/>
        </w:rPr>
      </w:pPr>
      <w:r w:rsidRPr="00DD6763">
        <w:rPr>
          <w:rFonts w:ascii="Times New Roman" w:hAnsi="Times New Roman" w:cs="Times New Roman"/>
          <w:sz w:val="24"/>
          <w:szCs w:val="24"/>
        </w:rPr>
        <w:t>The I.L.O. Convention Nº 169 concerning Indigenous and Tribal Peoples in Independent Countries (1989) has not been accepted by Suriname. Furthermore, under international law there is no conventional or customary rule that would indicate who the successors of a person are. Consequently, the Court has no alternative but to apply general principles of law (Art. 38(1)(c) of the Statute of the International Court of J</w:t>
      </w:r>
      <w:r w:rsidR="00A13BE2" w:rsidRPr="00DD6763">
        <w:rPr>
          <w:rFonts w:ascii="Times New Roman" w:hAnsi="Times New Roman" w:cs="Times New Roman"/>
          <w:sz w:val="24"/>
          <w:szCs w:val="24"/>
        </w:rPr>
        <w:t>ustice)</w:t>
      </w:r>
      <w:r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93"/>
      </w:r>
      <w:r w:rsidR="00275560" w:rsidRPr="00DD6763">
        <w:rPr>
          <w:rFonts w:ascii="Times New Roman" w:hAnsi="Times New Roman" w:cs="Times New Roman"/>
          <w:sz w:val="24"/>
          <w:szCs w:val="24"/>
        </w:rPr>
        <w:t xml:space="preserve"> </w:t>
      </w:r>
    </w:p>
    <w:p w14:paraId="14833ED5" w14:textId="77777777" w:rsidR="00A13BE2" w:rsidRPr="00DD6763" w:rsidRDefault="00A13BE2" w:rsidP="00A13BE2">
      <w:pPr>
        <w:spacing w:after="0" w:line="276" w:lineRule="auto"/>
        <w:jc w:val="both"/>
        <w:rPr>
          <w:rFonts w:ascii="Times New Roman" w:hAnsi="Times New Roman" w:cs="Times New Roman"/>
          <w:sz w:val="24"/>
          <w:szCs w:val="24"/>
        </w:rPr>
      </w:pPr>
    </w:p>
    <w:p w14:paraId="30F0CD69" w14:textId="77777777" w:rsidR="00A13BE2" w:rsidRPr="00DD6763" w:rsidRDefault="00505371" w:rsidP="00A13BE2">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 xml:space="preserve">This criterion was re-affirmed in </w:t>
      </w:r>
      <w:proofErr w:type="spellStart"/>
      <w:r w:rsidR="00275560" w:rsidRPr="00DD6763">
        <w:rPr>
          <w:rFonts w:ascii="Times New Roman" w:hAnsi="Times New Roman" w:cs="Times New Roman"/>
          <w:i/>
          <w:sz w:val="24"/>
          <w:szCs w:val="24"/>
        </w:rPr>
        <w:t>Saramaka</w:t>
      </w:r>
      <w:proofErr w:type="spellEnd"/>
      <w:r w:rsidR="00275560" w:rsidRPr="00DD6763">
        <w:rPr>
          <w:rFonts w:ascii="Times New Roman" w:hAnsi="Times New Roman" w:cs="Times New Roman"/>
          <w:i/>
          <w:sz w:val="24"/>
          <w:szCs w:val="24"/>
        </w:rPr>
        <w:t xml:space="preserve"> People</w:t>
      </w:r>
      <w:r w:rsidR="00C20F62" w:rsidRPr="00DD6763">
        <w:rPr>
          <w:rFonts w:ascii="Times New Roman" w:hAnsi="Times New Roman" w:cs="Times New Roman"/>
          <w:sz w:val="24"/>
          <w:szCs w:val="24"/>
        </w:rPr>
        <w:t>:</w:t>
      </w:r>
      <w:r w:rsidR="00275560" w:rsidRPr="00DD6763">
        <w:rPr>
          <w:rFonts w:ascii="Times New Roman" w:hAnsi="Times New Roman" w:cs="Times New Roman"/>
          <w:sz w:val="24"/>
          <w:szCs w:val="24"/>
        </w:rPr>
        <w:t xml:space="preserve"> </w:t>
      </w:r>
    </w:p>
    <w:p w14:paraId="2983081D" w14:textId="77777777" w:rsidR="00A13BE2" w:rsidRPr="00DD6763" w:rsidRDefault="00A13BE2" w:rsidP="00A13BE2">
      <w:pPr>
        <w:spacing w:after="0" w:line="276" w:lineRule="auto"/>
        <w:jc w:val="both"/>
        <w:rPr>
          <w:rFonts w:ascii="Times New Roman" w:hAnsi="Times New Roman" w:cs="Times New Roman"/>
          <w:sz w:val="24"/>
          <w:szCs w:val="24"/>
        </w:rPr>
      </w:pPr>
    </w:p>
    <w:p w14:paraId="340E0CD7" w14:textId="2426CC9C" w:rsidR="00A13BE2" w:rsidRPr="00DD6763" w:rsidRDefault="00505371" w:rsidP="00A13BE2">
      <w:pPr>
        <w:spacing w:after="0" w:line="276" w:lineRule="auto"/>
        <w:ind w:left="720"/>
        <w:jc w:val="both"/>
        <w:rPr>
          <w:rFonts w:ascii="Times New Roman" w:hAnsi="Times New Roman" w:cs="Times New Roman"/>
          <w:sz w:val="24"/>
          <w:szCs w:val="24"/>
        </w:rPr>
      </w:pPr>
      <w:r w:rsidRPr="00DD6763">
        <w:rPr>
          <w:rFonts w:ascii="Times New Roman" w:hAnsi="Times New Roman" w:cs="Times New Roman"/>
          <w:sz w:val="24"/>
          <w:szCs w:val="24"/>
        </w:rPr>
        <w:t xml:space="preserve">Suriname’s domestic legislation does not recognize a right to communal property of members of its tribal communities, and it </w:t>
      </w:r>
      <w:r w:rsidR="00F71114" w:rsidRPr="00DD6763">
        <w:rPr>
          <w:rFonts w:ascii="Times New Roman" w:hAnsi="Times New Roman" w:cs="Times New Roman"/>
          <w:sz w:val="24"/>
          <w:szCs w:val="24"/>
        </w:rPr>
        <w:t>has not ratified C</w:t>
      </w:r>
      <w:r w:rsidRPr="00DD6763">
        <w:rPr>
          <w:rFonts w:ascii="Times New Roman" w:hAnsi="Times New Roman" w:cs="Times New Roman"/>
          <w:sz w:val="24"/>
          <w:szCs w:val="24"/>
        </w:rPr>
        <w:t xml:space="preserve">169. Nevertheless, Suriname </w:t>
      </w:r>
      <w:r w:rsidRPr="00DD6763">
        <w:rPr>
          <w:rFonts w:ascii="Times New Roman" w:hAnsi="Times New Roman" w:cs="Times New Roman"/>
          <w:sz w:val="24"/>
          <w:szCs w:val="24"/>
        </w:rPr>
        <w:lastRenderedPageBreak/>
        <w:t>has ratified both the International Covenant on Civil and Political Rights as well as the International Covenant on Economic, Social, and Cultural Rights.</w:t>
      </w:r>
      <w:r w:rsidRPr="00DD6763">
        <w:rPr>
          <w:rStyle w:val="FootnoteReference"/>
          <w:rFonts w:ascii="Times New Roman" w:hAnsi="Times New Roman" w:cs="Times New Roman"/>
          <w:sz w:val="24"/>
          <w:szCs w:val="24"/>
        </w:rPr>
        <w:footnoteReference w:id="94"/>
      </w:r>
      <w:r w:rsidR="00275560" w:rsidRPr="00DD6763">
        <w:rPr>
          <w:rFonts w:ascii="Times New Roman" w:hAnsi="Times New Roman" w:cs="Times New Roman"/>
          <w:sz w:val="24"/>
          <w:szCs w:val="24"/>
        </w:rPr>
        <w:t xml:space="preserve"> </w:t>
      </w:r>
      <w:r w:rsidR="002424A5" w:rsidRPr="00DD6763">
        <w:rPr>
          <w:rFonts w:ascii="Times New Roman" w:hAnsi="Times New Roman" w:cs="Times New Roman"/>
          <w:sz w:val="24"/>
          <w:szCs w:val="24"/>
        </w:rPr>
        <w:t xml:space="preserve"> </w:t>
      </w:r>
    </w:p>
    <w:p w14:paraId="4EE32C90" w14:textId="77777777" w:rsidR="00A13BE2" w:rsidRPr="00DD6763" w:rsidRDefault="00A13BE2" w:rsidP="00A13BE2">
      <w:pPr>
        <w:spacing w:after="0" w:line="276" w:lineRule="auto"/>
        <w:jc w:val="both"/>
        <w:rPr>
          <w:rFonts w:ascii="Times New Roman" w:hAnsi="Times New Roman" w:cs="Times New Roman"/>
          <w:sz w:val="24"/>
          <w:szCs w:val="24"/>
        </w:rPr>
      </w:pPr>
    </w:p>
    <w:p w14:paraId="411FE60C" w14:textId="6FF1184D" w:rsidR="00275560" w:rsidRPr="00DD6763" w:rsidRDefault="00A13BE2" w:rsidP="00A13BE2">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I</w:t>
      </w:r>
      <w:r w:rsidR="00505371" w:rsidRPr="00DD6763">
        <w:rPr>
          <w:rFonts w:ascii="Times New Roman" w:hAnsi="Times New Roman" w:cs="Times New Roman"/>
          <w:sz w:val="24"/>
          <w:szCs w:val="24"/>
        </w:rPr>
        <w:t xml:space="preserve">n </w:t>
      </w:r>
      <w:proofErr w:type="spellStart"/>
      <w:r w:rsidR="00505371" w:rsidRPr="00DD6763">
        <w:rPr>
          <w:rFonts w:ascii="Times New Roman" w:hAnsi="Times New Roman" w:cs="Times New Roman"/>
          <w:i/>
          <w:sz w:val="24"/>
          <w:szCs w:val="24"/>
        </w:rPr>
        <w:t>Yakye</w:t>
      </w:r>
      <w:proofErr w:type="spellEnd"/>
      <w:r w:rsidR="00505371" w:rsidRPr="00DD6763">
        <w:rPr>
          <w:rFonts w:ascii="Times New Roman" w:hAnsi="Times New Roman" w:cs="Times New Roman"/>
          <w:i/>
          <w:sz w:val="24"/>
          <w:szCs w:val="24"/>
        </w:rPr>
        <w:t xml:space="preserve"> </w:t>
      </w:r>
      <w:proofErr w:type="spellStart"/>
      <w:r w:rsidR="00505371" w:rsidRPr="00DD6763">
        <w:rPr>
          <w:rFonts w:ascii="Times New Roman" w:hAnsi="Times New Roman" w:cs="Times New Roman"/>
          <w:i/>
          <w:sz w:val="24"/>
          <w:szCs w:val="24"/>
        </w:rPr>
        <w:t>Axa</w:t>
      </w:r>
      <w:proofErr w:type="spellEnd"/>
      <w:r w:rsidR="00505371" w:rsidRPr="00DD6763">
        <w:rPr>
          <w:rFonts w:ascii="Times New Roman" w:hAnsi="Times New Roman" w:cs="Times New Roman"/>
          <w:i/>
          <w:sz w:val="24"/>
          <w:szCs w:val="24"/>
        </w:rPr>
        <w:t xml:space="preserve"> Community</w:t>
      </w:r>
      <w:r w:rsidR="00505371" w:rsidRPr="00DD6763">
        <w:rPr>
          <w:rFonts w:ascii="Times New Roman" w:hAnsi="Times New Roman" w:cs="Times New Roman"/>
          <w:sz w:val="24"/>
          <w:szCs w:val="24"/>
        </w:rPr>
        <w:t xml:space="preserve">, the Court held that, to interpret Article 21 </w:t>
      </w:r>
      <w:r w:rsidR="00A47043" w:rsidRPr="00DD6763">
        <w:rPr>
          <w:rFonts w:ascii="Times New Roman" w:hAnsi="Times New Roman" w:cs="Times New Roman"/>
          <w:sz w:val="24"/>
          <w:szCs w:val="24"/>
        </w:rPr>
        <w:t xml:space="preserve">and other provisions </w:t>
      </w:r>
      <w:r w:rsidR="00505371" w:rsidRPr="00DD6763">
        <w:rPr>
          <w:rFonts w:ascii="Times New Roman" w:hAnsi="Times New Roman" w:cs="Times New Roman"/>
          <w:sz w:val="24"/>
          <w:szCs w:val="24"/>
        </w:rPr>
        <w:t xml:space="preserve">of the </w:t>
      </w:r>
      <w:r w:rsidR="00A47043" w:rsidRPr="00DD6763">
        <w:rPr>
          <w:rFonts w:ascii="Times New Roman" w:hAnsi="Times New Roman" w:cs="Times New Roman"/>
          <w:sz w:val="24"/>
          <w:szCs w:val="24"/>
        </w:rPr>
        <w:t>ACHR</w:t>
      </w:r>
      <w:r w:rsidR="0029686C" w:rsidRPr="00DD6763">
        <w:rPr>
          <w:rFonts w:ascii="Times New Roman" w:hAnsi="Times New Roman" w:cs="Times New Roman"/>
          <w:sz w:val="24"/>
          <w:szCs w:val="24"/>
        </w:rPr>
        <w:t>, it was “</w:t>
      </w:r>
      <w:r w:rsidR="00505371" w:rsidRPr="00DD6763">
        <w:rPr>
          <w:rFonts w:ascii="Times New Roman" w:hAnsi="Times New Roman" w:cs="Times New Roman"/>
          <w:sz w:val="24"/>
          <w:szCs w:val="24"/>
        </w:rPr>
        <w:t>useful and appropriate to resort to other international treaties, aside from the American Convention,</w:t>
      </w:r>
      <w:r w:rsidR="00A47043" w:rsidRPr="00DD6763">
        <w:rPr>
          <w:rFonts w:ascii="Times New Roman" w:hAnsi="Times New Roman" w:cs="Times New Roman"/>
          <w:sz w:val="24"/>
          <w:szCs w:val="24"/>
        </w:rPr>
        <w:t xml:space="preserve"> such as </w:t>
      </w:r>
      <w:r w:rsidR="001B6C6F" w:rsidRPr="00DD6763">
        <w:rPr>
          <w:rFonts w:ascii="Times New Roman" w:hAnsi="Times New Roman" w:cs="Times New Roman"/>
          <w:sz w:val="24"/>
          <w:szCs w:val="24"/>
        </w:rPr>
        <w:t>C</w:t>
      </w:r>
      <w:r w:rsidR="00A47043" w:rsidRPr="00DD6763">
        <w:rPr>
          <w:rFonts w:ascii="Times New Roman" w:hAnsi="Times New Roman" w:cs="Times New Roman"/>
          <w:sz w:val="24"/>
          <w:szCs w:val="24"/>
        </w:rPr>
        <w:t>169</w:t>
      </w:r>
      <w:r w:rsidR="0029686C" w:rsidRPr="00DD6763">
        <w:rPr>
          <w:rFonts w:ascii="Times New Roman" w:hAnsi="Times New Roman" w:cs="Times New Roman"/>
          <w:sz w:val="24"/>
          <w:szCs w:val="24"/>
        </w:rPr>
        <w:t>”</w:t>
      </w:r>
      <w:r w:rsidR="00505371" w:rsidRPr="00DD6763">
        <w:rPr>
          <w:rFonts w:ascii="Times New Roman" w:hAnsi="Times New Roman" w:cs="Times New Roman"/>
          <w:sz w:val="24"/>
          <w:szCs w:val="24"/>
        </w:rPr>
        <w:t>.</w:t>
      </w:r>
      <w:r w:rsidR="00A81700" w:rsidRPr="00DD6763">
        <w:rPr>
          <w:rStyle w:val="FootnoteReference"/>
          <w:rFonts w:ascii="Times New Roman" w:hAnsi="Times New Roman" w:cs="Times New Roman"/>
          <w:sz w:val="24"/>
          <w:szCs w:val="24"/>
        </w:rPr>
        <w:footnoteReference w:id="95"/>
      </w:r>
      <w:r w:rsidR="00505371" w:rsidRPr="00DD6763">
        <w:rPr>
          <w:rFonts w:ascii="Times New Roman" w:hAnsi="Times New Roman" w:cs="Times New Roman"/>
          <w:sz w:val="24"/>
          <w:szCs w:val="24"/>
        </w:rPr>
        <w:t xml:space="preserve"> </w:t>
      </w:r>
      <w:r w:rsidR="00A81700" w:rsidRPr="00DD6763">
        <w:rPr>
          <w:rFonts w:ascii="Times New Roman" w:hAnsi="Times New Roman" w:cs="Times New Roman"/>
          <w:sz w:val="24"/>
          <w:szCs w:val="24"/>
        </w:rPr>
        <w:t xml:space="preserve">In this </w:t>
      </w:r>
      <w:r w:rsidR="00BE76C3" w:rsidRPr="00DD6763">
        <w:rPr>
          <w:rFonts w:ascii="Times New Roman" w:hAnsi="Times New Roman" w:cs="Times New Roman"/>
          <w:sz w:val="24"/>
          <w:szCs w:val="24"/>
        </w:rPr>
        <w:t>case,</w:t>
      </w:r>
      <w:r w:rsidR="00A81700" w:rsidRPr="00DD6763">
        <w:rPr>
          <w:rFonts w:ascii="Times New Roman" w:hAnsi="Times New Roman" w:cs="Times New Roman"/>
          <w:sz w:val="24"/>
          <w:szCs w:val="24"/>
        </w:rPr>
        <w:t xml:space="preserve"> the Court has asserted t</w:t>
      </w:r>
      <w:r w:rsidR="00B274A2" w:rsidRPr="00DD6763">
        <w:rPr>
          <w:rFonts w:ascii="Times New Roman" w:hAnsi="Times New Roman" w:cs="Times New Roman"/>
          <w:sz w:val="24"/>
          <w:szCs w:val="24"/>
        </w:rPr>
        <w:t xml:space="preserve">he relevance of </w:t>
      </w:r>
      <w:r w:rsidR="001B6C6F" w:rsidRPr="00DD6763">
        <w:rPr>
          <w:rFonts w:ascii="Times New Roman" w:hAnsi="Times New Roman" w:cs="Times New Roman"/>
          <w:sz w:val="24"/>
          <w:szCs w:val="24"/>
        </w:rPr>
        <w:t xml:space="preserve">C169 </w:t>
      </w:r>
      <w:r w:rsidR="00A81700" w:rsidRPr="00DD6763">
        <w:rPr>
          <w:rFonts w:ascii="Times New Roman" w:hAnsi="Times New Roman" w:cs="Times New Roman"/>
          <w:sz w:val="24"/>
          <w:szCs w:val="24"/>
        </w:rPr>
        <w:t>in defining traditional property in the framework of consultation.</w:t>
      </w:r>
      <w:r w:rsidR="00D737DD" w:rsidRPr="00DD6763">
        <w:rPr>
          <w:rFonts w:ascii="Times New Roman" w:hAnsi="Times New Roman" w:cs="Times New Roman"/>
          <w:sz w:val="24"/>
          <w:szCs w:val="24"/>
        </w:rPr>
        <w:t xml:space="preserve"> </w:t>
      </w:r>
    </w:p>
    <w:p w14:paraId="4D2B3CC7" w14:textId="77777777" w:rsidR="00A13BE2" w:rsidRPr="00DD6763" w:rsidRDefault="00505371"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In</w:t>
      </w:r>
      <w:r w:rsidR="002424A5" w:rsidRPr="00DD6763">
        <w:rPr>
          <w:rFonts w:ascii="Times New Roman" w:hAnsi="Times New Roman" w:cs="Times New Roman"/>
          <w:sz w:val="24"/>
          <w:szCs w:val="24"/>
        </w:rPr>
        <w:t xml:space="preserve"> terms of substantive provisions, in</w:t>
      </w:r>
      <w:r w:rsidRPr="00DD6763">
        <w:rPr>
          <w:rFonts w:ascii="Times New Roman" w:hAnsi="Times New Roman" w:cs="Times New Roman"/>
          <w:sz w:val="24"/>
          <w:szCs w:val="24"/>
        </w:rPr>
        <w:t xml:space="preserve"> </w:t>
      </w:r>
      <w:proofErr w:type="spellStart"/>
      <w:r w:rsidRPr="00DD6763">
        <w:rPr>
          <w:rFonts w:ascii="Times New Roman" w:hAnsi="Times New Roman" w:cs="Times New Roman"/>
          <w:i/>
          <w:sz w:val="24"/>
          <w:szCs w:val="24"/>
        </w:rPr>
        <w:t>Sawhoyamaxa</w:t>
      </w:r>
      <w:proofErr w:type="spellEnd"/>
      <w:r w:rsidRPr="00DD6763">
        <w:rPr>
          <w:rFonts w:ascii="Times New Roman" w:hAnsi="Times New Roman" w:cs="Times New Roman"/>
          <w:i/>
          <w:sz w:val="24"/>
          <w:szCs w:val="24"/>
        </w:rPr>
        <w:t xml:space="preserve"> Community</w:t>
      </w:r>
      <w:r w:rsidRPr="00DD6763">
        <w:rPr>
          <w:rFonts w:ascii="Times New Roman" w:hAnsi="Times New Roman" w:cs="Times New Roman"/>
          <w:sz w:val="24"/>
          <w:szCs w:val="24"/>
        </w:rPr>
        <w:t xml:space="preserve"> there was a </w:t>
      </w:r>
      <w:r w:rsidR="006946A0" w:rsidRPr="00DD6763">
        <w:rPr>
          <w:rFonts w:ascii="Times New Roman" w:hAnsi="Times New Roman" w:cs="Times New Roman"/>
          <w:sz w:val="24"/>
          <w:szCs w:val="24"/>
        </w:rPr>
        <w:t>latent</w:t>
      </w:r>
      <w:r w:rsidRPr="00DD6763">
        <w:rPr>
          <w:rFonts w:ascii="Times New Roman" w:hAnsi="Times New Roman" w:cs="Times New Roman"/>
          <w:sz w:val="24"/>
          <w:szCs w:val="24"/>
        </w:rPr>
        <w:t xml:space="preserve"> </w:t>
      </w:r>
      <w:r w:rsidR="006946A0" w:rsidRPr="00DD6763">
        <w:rPr>
          <w:rFonts w:ascii="Times New Roman" w:hAnsi="Times New Roman" w:cs="Times New Roman"/>
          <w:sz w:val="24"/>
          <w:szCs w:val="24"/>
        </w:rPr>
        <w:t xml:space="preserve">controversy </w:t>
      </w:r>
      <w:r w:rsidRPr="00DD6763">
        <w:rPr>
          <w:rFonts w:ascii="Times New Roman" w:hAnsi="Times New Roman" w:cs="Times New Roman"/>
          <w:sz w:val="24"/>
          <w:szCs w:val="24"/>
        </w:rPr>
        <w:t xml:space="preserve">between indigenous property and a foreign investment made under a Bilateral Investment Treaty </w:t>
      </w:r>
      <w:r w:rsidR="00407DAF" w:rsidRPr="00DD6763">
        <w:rPr>
          <w:rFonts w:ascii="Times New Roman" w:hAnsi="Times New Roman" w:cs="Times New Roman"/>
          <w:sz w:val="24"/>
          <w:szCs w:val="24"/>
        </w:rPr>
        <w:t xml:space="preserve">(BIT) </w:t>
      </w:r>
      <w:r w:rsidRPr="00DD6763">
        <w:rPr>
          <w:rFonts w:ascii="Times New Roman" w:hAnsi="Times New Roman" w:cs="Times New Roman"/>
          <w:sz w:val="24"/>
          <w:szCs w:val="24"/>
        </w:rPr>
        <w:t xml:space="preserve">between </w:t>
      </w:r>
      <w:r w:rsidRPr="00DD6763">
        <w:rPr>
          <w:rFonts w:ascii="Times New Roman" w:eastAsia="Times New Roman" w:hAnsi="Times New Roman" w:cs="Times New Roman"/>
          <w:sz w:val="24"/>
          <w:szCs w:val="24"/>
          <w:lang w:eastAsia="en-GB"/>
        </w:rPr>
        <w:t>Germany and Paraguay</w:t>
      </w:r>
      <w:r w:rsidRPr="00DD6763">
        <w:rPr>
          <w:rFonts w:ascii="Times New Roman" w:hAnsi="Times New Roman" w:cs="Times New Roman"/>
          <w:sz w:val="24"/>
          <w:szCs w:val="24"/>
        </w:rPr>
        <w:t>.</w:t>
      </w:r>
      <w:r w:rsidR="006946A0" w:rsidRPr="00DD6763">
        <w:rPr>
          <w:rStyle w:val="FootnoteReference"/>
          <w:rFonts w:ascii="Times New Roman" w:hAnsi="Times New Roman" w:cs="Times New Roman"/>
          <w:sz w:val="24"/>
          <w:szCs w:val="24"/>
        </w:rPr>
        <w:footnoteReference w:id="96"/>
      </w:r>
      <w:r w:rsidR="006946A0" w:rsidRPr="00DD6763">
        <w:rPr>
          <w:rFonts w:ascii="Times New Roman" w:hAnsi="Times New Roman" w:cs="Times New Roman"/>
          <w:sz w:val="24"/>
          <w:szCs w:val="24"/>
        </w:rPr>
        <w:t xml:space="preserve"> </w:t>
      </w:r>
      <w:r w:rsidR="00596986" w:rsidRPr="00DD6763">
        <w:rPr>
          <w:rFonts w:ascii="Times New Roman" w:hAnsi="Times New Roman" w:cs="Times New Roman"/>
          <w:sz w:val="24"/>
          <w:szCs w:val="24"/>
        </w:rPr>
        <w:t>As part of its pleadings, the respondent state alleged</w:t>
      </w:r>
      <w:r w:rsidRPr="00DD6763">
        <w:rPr>
          <w:rFonts w:ascii="Times New Roman" w:hAnsi="Times New Roman" w:cs="Times New Roman"/>
          <w:sz w:val="24"/>
          <w:szCs w:val="24"/>
        </w:rPr>
        <w:t xml:space="preserve"> that the </w:t>
      </w:r>
      <w:r w:rsidR="00596986" w:rsidRPr="00DD6763">
        <w:rPr>
          <w:rFonts w:ascii="Times New Roman" w:hAnsi="Times New Roman" w:cs="Times New Roman"/>
          <w:sz w:val="24"/>
          <w:szCs w:val="24"/>
        </w:rPr>
        <w:t xml:space="preserve">supposedly indigenous </w:t>
      </w:r>
      <w:r w:rsidRPr="00DD6763">
        <w:rPr>
          <w:rFonts w:ascii="Times New Roman" w:hAnsi="Times New Roman" w:cs="Times New Roman"/>
          <w:sz w:val="24"/>
          <w:szCs w:val="24"/>
        </w:rPr>
        <w:t xml:space="preserve">lands were </w:t>
      </w:r>
      <w:r w:rsidR="00596986" w:rsidRPr="00DD6763">
        <w:rPr>
          <w:rFonts w:ascii="Times New Roman" w:hAnsi="Times New Roman" w:cs="Times New Roman"/>
          <w:sz w:val="24"/>
          <w:szCs w:val="24"/>
        </w:rPr>
        <w:t xml:space="preserve">legally considered </w:t>
      </w:r>
      <w:r w:rsidR="0053233C" w:rsidRPr="00DD6763">
        <w:rPr>
          <w:rFonts w:ascii="Times New Roman" w:hAnsi="Times New Roman" w:cs="Times New Roman"/>
          <w:sz w:val="24"/>
          <w:szCs w:val="24"/>
        </w:rPr>
        <w:t>to be</w:t>
      </w:r>
      <w:r w:rsidR="00FC70B0" w:rsidRPr="00DD6763">
        <w:rPr>
          <w:rFonts w:ascii="Times New Roman" w:hAnsi="Times New Roman" w:cs="Times New Roman"/>
          <w:sz w:val="24"/>
          <w:szCs w:val="24"/>
        </w:rPr>
        <w:t xml:space="preserve"> </w:t>
      </w:r>
      <w:r w:rsidR="00596986" w:rsidRPr="00DD6763">
        <w:rPr>
          <w:rFonts w:ascii="Times New Roman" w:hAnsi="Times New Roman" w:cs="Times New Roman"/>
          <w:sz w:val="24"/>
          <w:szCs w:val="24"/>
        </w:rPr>
        <w:t xml:space="preserve">and </w:t>
      </w:r>
      <w:r w:rsidR="0053233C" w:rsidRPr="00DD6763">
        <w:rPr>
          <w:rFonts w:ascii="Times New Roman" w:hAnsi="Times New Roman" w:cs="Times New Roman"/>
          <w:sz w:val="24"/>
          <w:szCs w:val="24"/>
        </w:rPr>
        <w:t xml:space="preserve">registered as </w:t>
      </w:r>
      <w:r w:rsidRPr="00DD6763">
        <w:rPr>
          <w:rFonts w:ascii="Times New Roman" w:hAnsi="Times New Roman" w:cs="Times New Roman"/>
          <w:sz w:val="24"/>
          <w:szCs w:val="24"/>
        </w:rPr>
        <w:t>private property.</w:t>
      </w:r>
      <w:r w:rsidR="001357B1" w:rsidRPr="00DD6763">
        <w:rPr>
          <w:rStyle w:val="FootnoteReference"/>
          <w:rFonts w:ascii="Times New Roman" w:hAnsi="Times New Roman" w:cs="Times New Roman"/>
          <w:sz w:val="24"/>
          <w:szCs w:val="24"/>
        </w:rPr>
        <w:footnoteReference w:id="97"/>
      </w:r>
      <w:r w:rsidR="0029686C" w:rsidRPr="00DD6763">
        <w:rPr>
          <w:rFonts w:ascii="Times New Roman" w:hAnsi="Times New Roman" w:cs="Times New Roman"/>
          <w:sz w:val="24"/>
          <w:szCs w:val="24"/>
        </w:rPr>
        <w:t xml:space="preserve"> The Court observed: </w:t>
      </w:r>
    </w:p>
    <w:p w14:paraId="69E37C93" w14:textId="77777777" w:rsidR="00A13BE2" w:rsidRPr="00DD6763" w:rsidRDefault="00A13BE2" w:rsidP="00D432E7">
      <w:pPr>
        <w:spacing w:after="0" w:line="276" w:lineRule="auto"/>
        <w:ind w:firstLine="720"/>
        <w:jc w:val="both"/>
        <w:rPr>
          <w:rFonts w:ascii="Times New Roman" w:hAnsi="Times New Roman" w:cs="Times New Roman"/>
          <w:sz w:val="24"/>
          <w:szCs w:val="24"/>
        </w:rPr>
      </w:pPr>
    </w:p>
    <w:p w14:paraId="3D54C34C" w14:textId="280EFD5D" w:rsidR="00A13BE2" w:rsidRPr="00DD6763" w:rsidRDefault="0029686C" w:rsidP="00A13BE2">
      <w:pPr>
        <w:spacing w:after="0" w:line="276" w:lineRule="auto"/>
        <w:ind w:left="720"/>
        <w:jc w:val="both"/>
        <w:rPr>
          <w:rFonts w:ascii="Times New Roman" w:eastAsia="Times New Roman" w:hAnsi="Times New Roman" w:cs="Times New Roman"/>
          <w:sz w:val="24"/>
          <w:szCs w:val="24"/>
          <w:lang w:eastAsia="en-GB"/>
        </w:rPr>
      </w:pPr>
      <w:r w:rsidRPr="00DD6763">
        <w:rPr>
          <w:rFonts w:ascii="Times New Roman" w:hAnsi="Times New Roman" w:cs="Times New Roman"/>
          <w:sz w:val="24"/>
          <w:szCs w:val="24"/>
        </w:rPr>
        <w:t>t</w:t>
      </w:r>
      <w:r w:rsidR="00505371" w:rsidRPr="00DD6763">
        <w:rPr>
          <w:rFonts w:ascii="Times New Roman" w:eastAsia="Times New Roman" w:hAnsi="Times New Roman" w:cs="Times New Roman"/>
          <w:sz w:val="24"/>
          <w:szCs w:val="24"/>
          <w:lang w:eastAsia="en-GB"/>
        </w:rPr>
        <w:t xml:space="preserve">hat the enforcement of bilateral commercial treaties </w:t>
      </w:r>
      <w:r w:rsidR="004A59D3" w:rsidRPr="00DD6763">
        <w:rPr>
          <w:rFonts w:ascii="Times New Roman" w:eastAsia="Times New Roman" w:hAnsi="Times New Roman" w:cs="Times New Roman"/>
          <w:sz w:val="24"/>
          <w:szCs w:val="24"/>
          <w:lang w:eastAsia="en-GB"/>
        </w:rPr>
        <w:t xml:space="preserve">(…) </w:t>
      </w:r>
      <w:r w:rsidR="00505371" w:rsidRPr="00DD6763">
        <w:rPr>
          <w:rFonts w:ascii="Times New Roman" w:eastAsia="Times New Roman" w:hAnsi="Times New Roman" w:cs="Times New Roman"/>
          <w:sz w:val="24"/>
          <w:szCs w:val="24"/>
          <w:lang w:eastAsia="en-GB"/>
        </w:rPr>
        <w:t>should always be compatible with the American Convention, which is a multilateral treaty on human rights that stands in a class of its own and that generates rights for individual human beings and does not depend entirely on reciprocity among States.</w:t>
      </w:r>
      <w:r w:rsidR="00A81700" w:rsidRPr="00DD6763">
        <w:rPr>
          <w:rFonts w:ascii="Times New Roman" w:eastAsia="Times New Roman" w:hAnsi="Times New Roman" w:cs="Times New Roman"/>
          <w:sz w:val="24"/>
          <w:szCs w:val="24"/>
          <w:lang w:eastAsia="en-GB"/>
        </w:rPr>
        <w:t xml:space="preserve"> </w:t>
      </w:r>
      <w:r w:rsidR="00304631" w:rsidRPr="00DD6763">
        <w:rPr>
          <w:rStyle w:val="FootnoteReference"/>
          <w:rFonts w:ascii="Times New Roman" w:eastAsia="Times New Roman" w:hAnsi="Times New Roman" w:cs="Times New Roman"/>
          <w:sz w:val="24"/>
          <w:szCs w:val="24"/>
          <w:lang w:eastAsia="en-GB"/>
        </w:rPr>
        <w:footnoteReference w:id="98"/>
      </w:r>
      <w:r w:rsidR="00FC70B0" w:rsidRPr="00DD6763">
        <w:rPr>
          <w:rFonts w:ascii="Times New Roman" w:eastAsia="Times New Roman" w:hAnsi="Times New Roman" w:cs="Times New Roman"/>
          <w:sz w:val="24"/>
          <w:szCs w:val="24"/>
          <w:lang w:eastAsia="en-GB"/>
        </w:rPr>
        <w:t xml:space="preserve"> </w:t>
      </w:r>
    </w:p>
    <w:p w14:paraId="553A6C5D" w14:textId="77777777" w:rsidR="00A13BE2" w:rsidRPr="00DD6763" w:rsidRDefault="00A13BE2" w:rsidP="00A13BE2">
      <w:pPr>
        <w:spacing w:after="0" w:line="276" w:lineRule="auto"/>
        <w:jc w:val="both"/>
        <w:rPr>
          <w:rFonts w:ascii="Times New Roman" w:eastAsia="Times New Roman" w:hAnsi="Times New Roman" w:cs="Times New Roman"/>
          <w:sz w:val="24"/>
          <w:szCs w:val="24"/>
          <w:lang w:eastAsia="en-GB"/>
        </w:rPr>
      </w:pPr>
    </w:p>
    <w:p w14:paraId="7FC9218A" w14:textId="5EC8B7A7" w:rsidR="00505371" w:rsidRPr="00DD6763" w:rsidRDefault="00A81700" w:rsidP="00A13BE2">
      <w:pPr>
        <w:spacing w:after="0" w:line="276" w:lineRule="auto"/>
        <w:jc w:val="both"/>
        <w:rPr>
          <w:rFonts w:ascii="Times New Roman" w:hAnsi="Times New Roman" w:cs="Times New Roman"/>
          <w:sz w:val="24"/>
          <w:szCs w:val="24"/>
        </w:rPr>
      </w:pPr>
      <w:r w:rsidRPr="00DD6763">
        <w:rPr>
          <w:rFonts w:ascii="Times New Roman" w:eastAsia="Times New Roman" w:hAnsi="Times New Roman" w:cs="Times New Roman"/>
          <w:sz w:val="24"/>
          <w:szCs w:val="24"/>
          <w:lang w:eastAsia="en-GB"/>
        </w:rPr>
        <w:t>The Court then looked at the conflict between the BIT and the state’s obligations under the ACHR</w:t>
      </w:r>
      <w:r w:rsidRPr="00DD6763">
        <w:rPr>
          <w:rFonts w:ascii="Times New Roman" w:hAnsi="Times New Roman" w:cs="Times New Roman"/>
          <w:sz w:val="24"/>
          <w:szCs w:val="24"/>
        </w:rPr>
        <w:t xml:space="preserve">, to advocate </w:t>
      </w:r>
      <w:r w:rsidR="00505371" w:rsidRPr="00DD6763">
        <w:rPr>
          <w:rFonts w:ascii="Times New Roman" w:hAnsi="Times New Roman" w:cs="Times New Roman"/>
          <w:sz w:val="24"/>
          <w:szCs w:val="24"/>
        </w:rPr>
        <w:t xml:space="preserve">a higher hierarchy </w:t>
      </w:r>
      <w:r w:rsidRPr="00DD6763">
        <w:rPr>
          <w:rFonts w:ascii="Times New Roman" w:hAnsi="Times New Roman" w:cs="Times New Roman"/>
          <w:sz w:val="24"/>
          <w:szCs w:val="24"/>
        </w:rPr>
        <w:t>of the Convention</w:t>
      </w:r>
      <w:r w:rsidR="00505371"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i.e. that it takes precedence </w:t>
      </w:r>
      <w:r w:rsidR="00505371" w:rsidRPr="00DD6763">
        <w:rPr>
          <w:rFonts w:ascii="Times New Roman" w:hAnsi="Times New Roman" w:cs="Times New Roman"/>
          <w:sz w:val="24"/>
          <w:szCs w:val="24"/>
        </w:rPr>
        <w:t xml:space="preserve">over the </w:t>
      </w:r>
      <w:r w:rsidR="00FC70B0" w:rsidRPr="00DD6763">
        <w:rPr>
          <w:rFonts w:ascii="Times New Roman" w:hAnsi="Times New Roman" w:cs="Times New Roman"/>
          <w:sz w:val="24"/>
          <w:szCs w:val="24"/>
        </w:rPr>
        <w:t xml:space="preserve">BIT </w:t>
      </w:r>
      <w:r w:rsidRPr="00DD6763">
        <w:rPr>
          <w:rFonts w:ascii="Times New Roman" w:hAnsi="Times New Roman" w:cs="Times New Roman"/>
          <w:sz w:val="24"/>
          <w:szCs w:val="24"/>
        </w:rPr>
        <w:t>based on different elements</w:t>
      </w:r>
      <w:r w:rsidR="0029686C" w:rsidRPr="00DD6763">
        <w:rPr>
          <w:rFonts w:ascii="Times New Roman" w:hAnsi="Times New Roman" w:cs="Times New Roman"/>
          <w:sz w:val="24"/>
          <w:szCs w:val="24"/>
        </w:rPr>
        <w:t>: (1) the Convention “</w:t>
      </w:r>
      <w:r w:rsidR="00505371" w:rsidRPr="00DD6763">
        <w:rPr>
          <w:rFonts w:ascii="Times New Roman" w:hAnsi="Times New Roman" w:cs="Times New Roman"/>
          <w:sz w:val="24"/>
          <w:szCs w:val="24"/>
        </w:rPr>
        <w:t>is a mult</w:t>
      </w:r>
      <w:r w:rsidR="0029686C" w:rsidRPr="00DD6763">
        <w:rPr>
          <w:rFonts w:ascii="Times New Roman" w:hAnsi="Times New Roman" w:cs="Times New Roman"/>
          <w:sz w:val="24"/>
          <w:szCs w:val="24"/>
        </w:rPr>
        <w:t>ilateral treaty on human rights”; (2) it “stands in a class of its own”</w:t>
      </w:r>
      <w:r w:rsidR="00505371" w:rsidRPr="00DD6763">
        <w:rPr>
          <w:rFonts w:ascii="Times New Roman" w:hAnsi="Times New Roman" w:cs="Times New Roman"/>
          <w:sz w:val="24"/>
          <w:szCs w:val="24"/>
        </w:rPr>
        <w:t xml:space="preserve">; (3) it </w:t>
      </w:r>
      <w:r w:rsidR="0029686C" w:rsidRPr="00DD6763">
        <w:rPr>
          <w:rFonts w:ascii="Times New Roman" w:hAnsi="Times New Roman" w:cs="Times New Roman"/>
          <w:sz w:val="24"/>
          <w:szCs w:val="24"/>
        </w:rPr>
        <w:t>“</w:t>
      </w:r>
      <w:r w:rsidR="00505371" w:rsidRPr="00DD6763">
        <w:rPr>
          <w:rFonts w:ascii="Times New Roman" w:hAnsi="Times New Roman" w:cs="Times New Roman"/>
          <w:sz w:val="24"/>
          <w:szCs w:val="24"/>
        </w:rPr>
        <w:t>generates rig</w:t>
      </w:r>
      <w:r w:rsidR="0029686C" w:rsidRPr="00DD6763">
        <w:rPr>
          <w:rFonts w:ascii="Times New Roman" w:hAnsi="Times New Roman" w:cs="Times New Roman"/>
          <w:sz w:val="24"/>
          <w:szCs w:val="24"/>
        </w:rPr>
        <w:t>hts for individual human beings”; and (4) it “</w:t>
      </w:r>
      <w:r w:rsidR="00505371" w:rsidRPr="00DD6763">
        <w:rPr>
          <w:rFonts w:ascii="Times New Roman" w:hAnsi="Times New Roman" w:cs="Times New Roman"/>
          <w:sz w:val="24"/>
          <w:szCs w:val="24"/>
        </w:rPr>
        <w:t>does not depend entir</w:t>
      </w:r>
      <w:r w:rsidR="0029686C" w:rsidRPr="00DD6763">
        <w:rPr>
          <w:rFonts w:ascii="Times New Roman" w:hAnsi="Times New Roman" w:cs="Times New Roman"/>
          <w:sz w:val="24"/>
          <w:szCs w:val="24"/>
        </w:rPr>
        <w:t>ely on reciprocity among States”</w:t>
      </w:r>
      <w:r w:rsidR="00505371"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99"/>
      </w:r>
      <w:r w:rsidR="00505371" w:rsidRPr="00DD6763">
        <w:rPr>
          <w:rFonts w:ascii="Times New Roman" w:hAnsi="Times New Roman" w:cs="Times New Roman"/>
          <w:sz w:val="24"/>
          <w:szCs w:val="24"/>
        </w:rPr>
        <w:t xml:space="preserve"> </w:t>
      </w:r>
    </w:p>
    <w:p w14:paraId="160D1FB5" w14:textId="7E852998" w:rsidR="00D35F6E" w:rsidRPr="00DD6763" w:rsidRDefault="00EC06A0"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In </w:t>
      </w:r>
      <w:r w:rsidR="00505371" w:rsidRPr="00DD6763">
        <w:rPr>
          <w:rFonts w:ascii="Times New Roman" w:hAnsi="Times New Roman" w:cs="Times New Roman"/>
          <w:i/>
          <w:sz w:val="24"/>
          <w:szCs w:val="24"/>
        </w:rPr>
        <w:t xml:space="preserve">Community </w:t>
      </w:r>
      <w:proofErr w:type="spellStart"/>
      <w:r w:rsidR="00505371" w:rsidRPr="00DD6763">
        <w:rPr>
          <w:rFonts w:ascii="Times New Roman" w:hAnsi="Times New Roman" w:cs="Times New Roman"/>
          <w:i/>
          <w:sz w:val="24"/>
          <w:szCs w:val="24"/>
        </w:rPr>
        <w:t>Yakye</w:t>
      </w:r>
      <w:proofErr w:type="spellEnd"/>
      <w:r w:rsidR="00505371" w:rsidRPr="00DD6763">
        <w:rPr>
          <w:rFonts w:ascii="Times New Roman" w:hAnsi="Times New Roman" w:cs="Times New Roman"/>
          <w:i/>
          <w:sz w:val="24"/>
          <w:szCs w:val="24"/>
        </w:rPr>
        <w:t xml:space="preserve"> </w:t>
      </w:r>
      <w:proofErr w:type="spellStart"/>
      <w:r w:rsidR="00505371" w:rsidRPr="00DD6763">
        <w:rPr>
          <w:rFonts w:ascii="Times New Roman" w:hAnsi="Times New Roman" w:cs="Times New Roman"/>
          <w:i/>
          <w:sz w:val="24"/>
          <w:szCs w:val="24"/>
        </w:rPr>
        <w:t>Axa</w:t>
      </w:r>
      <w:proofErr w:type="spellEnd"/>
      <w:r w:rsidR="007213AE" w:rsidRPr="00DD6763">
        <w:rPr>
          <w:rStyle w:val="FootnoteReference"/>
          <w:rFonts w:ascii="Times New Roman" w:hAnsi="Times New Roman" w:cs="Times New Roman"/>
          <w:sz w:val="24"/>
          <w:szCs w:val="24"/>
        </w:rPr>
        <w:footnoteReference w:id="100"/>
      </w:r>
      <w:r w:rsidR="00505371"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the Court asserted the obligation of the state </w:t>
      </w:r>
      <w:r w:rsidR="00666283" w:rsidRPr="00DD6763">
        <w:rPr>
          <w:rFonts w:ascii="Times New Roman" w:hAnsi="Times New Roman" w:cs="Times New Roman"/>
          <w:sz w:val="24"/>
          <w:szCs w:val="24"/>
        </w:rPr>
        <w:t xml:space="preserve">to protect indigenous peoples’ rights </w:t>
      </w:r>
      <w:r w:rsidRPr="00DD6763">
        <w:rPr>
          <w:rFonts w:ascii="Times New Roman" w:hAnsi="Times New Roman" w:cs="Times New Roman"/>
          <w:sz w:val="24"/>
          <w:szCs w:val="24"/>
        </w:rPr>
        <w:t>and resorted to e</w:t>
      </w:r>
      <w:r w:rsidR="00505371" w:rsidRPr="00DD6763">
        <w:rPr>
          <w:rFonts w:ascii="Times New Roman" w:hAnsi="Times New Roman" w:cs="Times New Roman"/>
          <w:sz w:val="24"/>
          <w:szCs w:val="24"/>
        </w:rPr>
        <w:t>xpert witness</w:t>
      </w:r>
      <w:r w:rsidRPr="00DD6763">
        <w:rPr>
          <w:rFonts w:ascii="Times New Roman" w:hAnsi="Times New Roman" w:cs="Times New Roman"/>
          <w:sz w:val="24"/>
          <w:szCs w:val="24"/>
        </w:rPr>
        <w:t>es to determine the cultural and environmental context.</w:t>
      </w:r>
      <w:r w:rsidRPr="00DD6763">
        <w:rPr>
          <w:rStyle w:val="FootnoteReference"/>
          <w:rFonts w:ascii="Times New Roman" w:hAnsi="Times New Roman" w:cs="Times New Roman"/>
          <w:sz w:val="24"/>
          <w:szCs w:val="24"/>
        </w:rPr>
        <w:footnoteReference w:id="101"/>
      </w:r>
      <w:r w:rsidRPr="00DD6763">
        <w:rPr>
          <w:rFonts w:ascii="Times New Roman" w:hAnsi="Times New Roman" w:cs="Times New Roman"/>
          <w:sz w:val="24"/>
          <w:szCs w:val="24"/>
        </w:rPr>
        <w:t xml:space="preserve"> </w:t>
      </w:r>
      <w:r w:rsidR="00214686" w:rsidRPr="00DD6763">
        <w:rPr>
          <w:rFonts w:ascii="Times" w:hAnsi="Times" w:cs="Times"/>
          <w:sz w:val="24"/>
          <w:szCs w:val="24"/>
        </w:rPr>
        <w:t>The Court affirmed</w:t>
      </w:r>
      <w:r w:rsidR="009F7F3D">
        <w:rPr>
          <w:rFonts w:ascii="Times" w:hAnsi="Times" w:cs="Times"/>
          <w:sz w:val="24"/>
          <w:szCs w:val="24"/>
        </w:rPr>
        <w:t xml:space="preserve"> that A</w:t>
      </w:r>
      <w:r w:rsidR="00214686" w:rsidRPr="00DD6763">
        <w:rPr>
          <w:rFonts w:ascii="Times" w:hAnsi="Times" w:cs="Times"/>
          <w:sz w:val="24"/>
          <w:szCs w:val="24"/>
        </w:rPr>
        <w:t>rticle 21</w:t>
      </w:r>
      <w:r w:rsidR="007E0F4D" w:rsidRPr="00DD6763">
        <w:rPr>
          <w:rFonts w:ascii="Times" w:hAnsi="Times" w:cs="Times"/>
          <w:sz w:val="24"/>
          <w:szCs w:val="24"/>
        </w:rPr>
        <w:t xml:space="preserve"> places the s</w:t>
      </w:r>
      <w:r w:rsidR="00505371" w:rsidRPr="00DD6763">
        <w:rPr>
          <w:rFonts w:ascii="Times" w:hAnsi="Times" w:cs="Times"/>
          <w:sz w:val="24"/>
          <w:szCs w:val="24"/>
        </w:rPr>
        <w:t xml:space="preserve">tate under the obligation to acquire those lands and transfer them to the Community free of cost, after making sure that said lands are the traditional habitat of the indigenous nation. </w:t>
      </w:r>
      <w:r w:rsidR="00214686" w:rsidRPr="00DD6763">
        <w:rPr>
          <w:rFonts w:ascii="Times" w:hAnsi="Times" w:cs="Times"/>
          <w:sz w:val="24"/>
          <w:szCs w:val="24"/>
        </w:rPr>
        <w:t xml:space="preserve">The </w:t>
      </w:r>
      <w:r w:rsidR="0029686C" w:rsidRPr="00DD6763">
        <w:rPr>
          <w:rFonts w:ascii="Times" w:hAnsi="Times" w:cs="Times"/>
          <w:sz w:val="24"/>
          <w:szCs w:val="24"/>
        </w:rPr>
        <w:t>Court went on to indicate that “</w:t>
      </w:r>
      <w:r w:rsidR="00214686" w:rsidRPr="00DD6763">
        <w:rPr>
          <w:rFonts w:ascii="Times" w:hAnsi="Times" w:cs="Times"/>
          <w:sz w:val="24"/>
          <w:szCs w:val="24"/>
        </w:rPr>
        <w:t>[</w:t>
      </w:r>
      <w:proofErr w:type="spellStart"/>
      <w:r w:rsidR="00214686" w:rsidRPr="00DD6763">
        <w:rPr>
          <w:rFonts w:ascii="Times" w:hAnsi="Times" w:cs="Times"/>
          <w:sz w:val="24"/>
          <w:szCs w:val="24"/>
        </w:rPr>
        <w:t>t]</w:t>
      </w:r>
      <w:r w:rsidR="00505371" w:rsidRPr="00DD6763">
        <w:rPr>
          <w:rFonts w:ascii="Times" w:hAnsi="Times" w:cs="Times"/>
          <w:sz w:val="24"/>
          <w:szCs w:val="24"/>
        </w:rPr>
        <w:t>he</w:t>
      </w:r>
      <w:proofErr w:type="spellEnd"/>
      <w:r w:rsidR="00505371" w:rsidRPr="00DD6763">
        <w:rPr>
          <w:rFonts w:ascii="Times" w:hAnsi="Times" w:cs="Times"/>
          <w:sz w:val="24"/>
          <w:szCs w:val="24"/>
        </w:rPr>
        <w:t xml:space="preserve"> traditional habitat, in addition to being the traditional place of settlement of the indigenous people, must have ecological and environmental conditions that are in accordance with the community’s traditional manner of life</w:t>
      </w:r>
      <w:r w:rsidR="00A13BE2" w:rsidRPr="00DD6763">
        <w:rPr>
          <w:rFonts w:ascii="Times" w:hAnsi="Times" w:cs="Times"/>
          <w:sz w:val="24"/>
          <w:szCs w:val="24"/>
        </w:rPr>
        <w:t>”.</w:t>
      </w:r>
      <w:r w:rsidR="00214686" w:rsidRPr="00DD6763">
        <w:rPr>
          <w:rStyle w:val="FootnoteReference"/>
          <w:rFonts w:ascii="Times" w:hAnsi="Times" w:cs="Times"/>
          <w:sz w:val="24"/>
          <w:szCs w:val="24"/>
        </w:rPr>
        <w:footnoteReference w:id="102"/>
      </w:r>
      <w:r w:rsidR="00505371" w:rsidRPr="00DD6763">
        <w:rPr>
          <w:rFonts w:ascii="Times New Roman" w:hAnsi="Times New Roman" w:cs="Times New Roman"/>
          <w:sz w:val="24"/>
          <w:szCs w:val="24"/>
        </w:rPr>
        <w:t xml:space="preserve"> </w:t>
      </w:r>
      <w:r w:rsidR="00CB40F1" w:rsidRPr="00DD6763">
        <w:rPr>
          <w:rFonts w:ascii="Times New Roman" w:hAnsi="Times New Roman" w:cs="Times New Roman"/>
          <w:sz w:val="24"/>
          <w:szCs w:val="24"/>
        </w:rPr>
        <w:t>The Court examined the question of conflicts between private property and indigenous property:</w:t>
      </w:r>
      <w:r w:rsidR="00641004" w:rsidRPr="00DD6763">
        <w:rPr>
          <w:rFonts w:ascii="Times New Roman" w:hAnsi="Times New Roman" w:cs="Times New Roman"/>
          <w:sz w:val="24"/>
          <w:szCs w:val="24"/>
        </w:rPr>
        <w:t xml:space="preserve"> </w:t>
      </w:r>
    </w:p>
    <w:p w14:paraId="16EB2810" w14:textId="77777777" w:rsidR="00A13BE2" w:rsidRPr="00DD6763" w:rsidRDefault="00A13BE2" w:rsidP="00D432E7">
      <w:pPr>
        <w:spacing w:after="0" w:line="276" w:lineRule="auto"/>
        <w:ind w:firstLine="720"/>
        <w:jc w:val="both"/>
        <w:rPr>
          <w:rFonts w:ascii="Times New Roman" w:hAnsi="Times New Roman" w:cs="Times New Roman"/>
          <w:sz w:val="24"/>
          <w:szCs w:val="24"/>
        </w:rPr>
      </w:pPr>
    </w:p>
    <w:p w14:paraId="3F0D6086" w14:textId="30982E2C" w:rsidR="00D35F6E" w:rsidRPr="00DD6763" w:rsidRDefault="00EC06A0" w:rsidP="0008560B">
      <w:pPr>
        <w:spacing w:after="0" w:line="276" w:lineRule="auto"/>
        <w:ind w:left="720"/>
        <w:jc w:val="both"/>
        <w:rPr>
          <w:rFonts w:ascii="Times New Roman" w:hAnsi="Times New Roman" w:cs="Times New Roman"/>
          <w:sz w:val="24"/>
          <w:szCs w:val="24"/>
        </w:rPr>
      </w:pPr>
      <w:r w:rsidRPr="00DD6763">
        <w:rPr>
          <w:rFonts w:ascii="Times New Roman" w:hAnsi="Times New Roman" w:cs="Times New Roman"/>
          <w:sz w:val="24"/>
          <w:szCs w:val="24"/>
        </w:rPr>
        <w:lastRenderedPageBreak/>
        <w:t>When they apply these standards to clashes between private property and claims for ancestral property by the members of indigenous communities, the States must assess, on a case by case basis, the restrictions that would result from recognizing one right over the other. Thus, for example, the States must take into account that indigenous territorial rights encompass a broader and different concept that relates to the collective right to survival as an organized people, with control over their habitat as a necessary condition for reproduction of their culture, for their own development and to carry out their life aspirations. Property of the land ensures that the members of the indigenous communities preserve their cultural heritage.</w:t>
      </w:r>
      <w:r w:rsidR="007316A1" w:rsidRPr="00DD6763">
        <w:rPr>
          <w:rStyle w:val="FootnoteReference"/>
          <w:rFonts w:ascii="Times New Roman" w:hAnsi="Times New Roman" w:cs="Times New Roman"/>
          <w:sz w:val="24"/>
          <w:szCs w:val="24"/>
        </w:rPr>
        <w:footnoteReference w:id="103"/>
      </w:r>
      <w:r w:rsidR="007213AE" w:rsidRPr="00DD6763">
        <w:rPr>
          <w:rFonts w:ascii="Times New Roman" w:hAnsi="Times New Roman" w:cs="Times New Roman"/>
          <w:sz w:val="24"/>
          <w:szCs w:val="24"/>
        </w:rPr>
        <w:t xml:space="preserve"> </w:t>
      </w:r>
    </w:p>
    <w:p w14:paraId="5B7AEE19" w14:textId="77777777" w:rsidR="00D35F6E" w:rsidRPr="00DD6763" w:rsidRDefault="00D35F6E" w:rsidP="00341A5B">
      <w:pPr>
        <w:spacing w:after="0" w:line="276" w:lineRule="auto"/>
        <w:jc w:val="both"/>
        <w:rPr>
          <w:rFonts w:ascii="Times New Roman" w:hAnsi="Times New Roman" w:cs="Times New Roman"/>
          <w:sz w:val="24"/>
          <w:szCs w:val="24"/>
        </w:rPr>
      </w:pPr>
    </w:p>
    <w:p w14:paraId="62189A66" w14:textId="2BC0B204" w:rsidR="00CB63E6" w:rsidRPr="00DD6763" w:rsidRDefault="00771C8F"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The</w:t>
      </w:r>
      <w:r w:rsidR="005B1F84" w:rsidRPr="00DD6763">
        <w:rPr>
          <w:rFonts w:ascii="Times New Roman" w:hAnsi="Times New Roman" w:cs="Times New Roman"/>
          <w:sz w:val="24"/>
          <w:szCs w:val="24"/>
        </w:rPr>
        <w:t xml:space="preserve"> </w:t>
      </w:r>
      <w:r w:rsidRPr="00DD6763">
        <w:rPr>
          <w:rFonts w:ascii="Times New Roman" w:hAnsi="Times New Roman" w:cs="Times New Roman"/>
          <w:sz w:val="24"/>
          <w:szCs w:val="24"/>
        </w:rPr>
        <w:t>considerations</w:t>
      </w:r>
      <w:r w:rsidR="005B1F84" w:rsidRPr="00DD6763">
        <w:rPr>
          <w:rFonts w:ascii="Times New Roman" w:hAnsi="Times New Roman" w:cs="Times New Roman"/>
          <w:sz w:val="24"/>
          <w:szCs w:val="24"/>
        </w:rPr>
        <w:t xml:space="preserve"> regarding prior informed consent</w:t>
      </w:r>
      <w:r w:rsidRPr="00DD6763">
        <w:rPr>
          <w:rFonts w:ascii="Times New Roman" w:hAnsi="Times New Roman" w:cs="Times New Roman"/>
          <w:sz w:val="24"/>
          <w:szCs w:val="24"/>
        </w:rPr>
        <w:t xml:space="preserve"> are reinforced</w:t>
      </w:r>
      <w:r w:rsidR="008F274C" w:rsidRPr="00DD6763">
        <w:rPr>
          <w:rFonts w:ascii="Times New Roman" w:hAnsi="Times New Roman" w:cs="Times New Roman"/>
          <w:sz w:val="24"/>
          <w:szCs w:val="24"/>
        </w:rPr>
        <w:t xml:space="preserve"> </w:t>
      </w:r>
      <w:r w:rsidRPr="00DD6763">
        <w:rPr>
          <w:rFonts w:ascii="Times New Roman" w:hAnsi="Times New Roman" w:cs="Times New Roman"/>
          <w:sz w:val="24"/>
          <w:szCs w:val="24"/>
        </w:rPr>
        <w:t>in another case decided</w:t>
      </w:r>
      <w:r w:rsidR="001C3F46" w:rsidRPr="00DD6763">
        <w:rPr>
          <w:rFonts w:ascii="Times New Roman" w:hAnsi="Times New Roman" w:cs="Times New Roman"/>
          <w:sz w:val="24"/>
          <w:szCs w:val="24"/>
        </w:rPr>
        <w:t xml:space="preserve"> at around the same time: this was</w:t>
      </w:r>
      <w:r w:rsidR="00CB40F1" w:rsidRPr="00DD6763">
        <w:rPr>
          <w:rFonts w:ascii="Times New Roman" w:hAnsi="Times New Roman" w:cs="Times New Roman"/>
          <w:sz w:val="24"/>
          <w:szCs w:val="24"/>
        </w:rPr>
        <w:t xml:space="preserve"> </w:t>
      </w:r>
      <w:proofErr w:type="spellStart"/>
      <w:r w:rsidR="00CB40F1" w:rsidRPr="00DD6763">
        <w:rPr>
          <w:rFonts w:ascii="Times New Roman" w:hAnsi="Times New Roman" w:cs="Times New Roman"/>
          <w:i/>
          <w:sz w:val="24"/>
          <w:szCs w:val="24"/>
        </w:rPr>
        <w:t>Moiwana</w:t>
      </w:r>
      <w:proofErr w:type="spellEnd"/>
      <w:r w:rsidR="00CB40F1" w:rsidRPr="00DD6763">
        <w:rPr>
          <w:rFonts w:ascii="Times New Roman" w:hAnsi="Times New Roman" w:cs="Times New Roman"/>
          <w:i/>
          <w:sz w:val="24"/>
          <w:szCs w:val="24"/>
        </w:rPr>
        <w:t xml:space="preserve"> Community</w:t>
      </w:r>
      <w:r w:rsidR="00DD6763" w:rsidRPr="00DD6763">
        <w:rPr>
          <w:rFonts w:ascii="Times New Roman" w:hAnsi="Times New Roman" w:cs="Times New Roman"/>
          <w:iCs/>
          <w:sz w:val="24"/>
          <w:szCs w:val="24"/>
        </w:rPr>
        <w:t>,</w:t>
      </w:r>
      <w:r w:rsidR="00CB40F1" w:rsidRPr="00DD6763">
        <w:rPr>
          <w:rStyle w:val="FootnoteReference"/>
          <w:rFonts w:ascii="Times New Roman" w:hAnsi="Times New Roman" w:cs="Times New Roman"/>
          <w:sz w:val="24"/>
          <w:szCs w:val="24"/>
        </w:rPr>
        <w:footnoteReference w:id="104"/>
      </w:r>
      <w:r w:rsidR="00CB40F1" w:rsidRPr="00DD6763">
        <w:rPr>
          <w:rFonts w:ascii="Times New Roman" w:hAnsi="Times New Roman" w:cs="Times New Roman"/>
          <w:sz w:val="24"/>
          <w:szCs w:val="24"/>
        </w:rPr>
        <w:t xml:space="preserve"> a complaint relating to </w:t>
      </w:r>
      <w:r w:rsidR="00C20F62" w:rsidRPr="00DD6763">
        <w:rPr>
          <w:rFonts w:ascii="Times New Roman" w:hAnsi="Times New Roman" w:cs="Times New Roman"/>
          <w:sz w:val="24"/>
          <w:szCs w:val="24"/>
        </w:rPr>
        <w:t xml:space="preserve">the </w:t>
      </w:r>
      <w:r w:rsidR="00CB40F1" w:rsidRPr="00DD6763">
        <w:rPr>
          <w:rFonts w:ascii="Times New Roman" w:hAnsi="Times New Roman" w:cs="Times New Roman"/>
          <w:sz w:val="24"/>
          <w:szCs w:val="24"/>
        </w:rPr>
        <w:t>alleged massacre of members of indigenous communities and delimitation of property with consultation.</w:t>
      </w:r>
      <w:r w:rsidR="00CB40F1" w:rsidRPr="00DD6763">
        <w:rPr>
          <w:rStyle w:val="FootnoteReference"/>
          <w:rFonts w:ascii="Times New Roman" w:hAnsi="Times New Roman" w:cs="Times New Roman"/>
          <w:sz w:val="24"/>
          <w:szCs w:val="24"/>
        </w:rPr>
        <w:footnoteReference w:id="105"/>
      </w:r>
      <w:r w:rsidR="00CB40F1" w:rsidRPr="00DD6763">
        <w:rPr>
          <w:rFonts w:ascii="Times New Roman" w:hAnsi="Times New Roman" w:cs="Times New Roman"/>
          <w:sz w:val="24"/>
          <w:szCs w:val="24"/>
        </w:rPr>
        <w:t xml:space="preserve"> </w:t>
      </w:r>
    </w:p>
    <w:p w14:paraId="64E83137" w14:textId="51014386" w:rsidR="00CB63E6" w:rsidRPr="00DD6763" w:rsidRDefault="005D680A"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In a</w:t>
      </w:r>
      <w:r w:rsidR="00CB63E6" w:rsidRPr="00DD6763">
        <w:rPr>
          <w:rFonts w:ascii="Times New Roman" w:hAnsi="Times New Roman" w:cs="Times New Roman"/>
          <w:sz w:val="24"/>
          <w:szCs w:val="24"/>
        </w:rPr>
        <w:t>nother landmark</w:t>
      </w:r>
      <w:r w:rsidRPr="00DD6763">
        <w:rPr>
          <w:rFonts w:ascii="Times New Roman" w:hAnsi="Times New Roman" w:cs="Times New Roman"/>
          <w:sz w:val="24"/>
          <w:szCs w:val="24"/>
        </w:rPr>
        <w:t xml:space="preserve"> case,</w:t>
      </w:r>
      <w:r w:rsidR="00CB63E6" w:rsidRPr="00DD6763">
        <w:rPr>
          <w:rFonts w:ascii="Times New Roman" w:hAnsi="Times New Roman" w:cs="Times New Roman"/>
          <w:sz w:val="24"/>
          <w:szCs w:val="24"/>
        </w:rPr>
        <w:t xml:space="preserve"> </w:t>
      </w:r>
      <w:proofErr w:type="spellStart"/>
      <w:r w:rsidR="00CB63E6" w:rsidRPr="00DD6763">
        <w:rPr>
          <w:rFonts w:ascii="Times New Roman" w:hAnsi="Times New Roman" w:cs="Times New Roman"/>
          <w:i/>
          <w:sz w:val="24"/>
          <w:szCs w:val="24"/>
        </w:rPr>
        <w:t>Saramaka</w:t>
      </w:r>
      <w:proofErr w:type="spellEnd"/>
      <w:r w:rsidR="00CB63E6" w:rsidRPr="00DD6763">
        <w:rPr>
          <w:rFonts w:ascii="Times New Roman" w:hAnsi="Times New Roman" w:cs="Times New Roman"/>
          <w:i/>
          <w:sz w:val="24"/>
          <w:szCs w:val="24"/>
        </w:rPr>
        <w:t xml:space="preserve"> People</w:t>
      </w:r>
      <w:r w:rsidR="00CB63E6" w:rsidRPr="00DD6763">
        <w:rPr>
          <w:rFonts w:ascii="Times New Roman" w:hAnsi="Times New Roman" w:cs="Times New Roman"/>
          <w:sz w:val="24"/>
          <w:szCs w:val="24"/>
        </w:rPr>
        <w:t xml:space="preserve"> </w:t>
      </w:r>
      <w:r w:rsidRPr="00DD6763">
        <w:rPr>
          <w:rFonts w:ascii="Times New Roman" w:hAnsi="Times New Roman" w:cs="Times New Roman"/>
          <w:sz w:val="24"/>
          <w:szCs w:val="24"/>
        </w:rPr>
        <w:t>v.</w:t>
      </w:r>
      <w:r w:rsidRPr="00DD6763">
        <w:rPr>
          <w:rFonts w:ascii="Times New Roman" w:hAnsi="Times New Roman" w:cs="Times New Roman"/>
          <w:i/>
          <w:sz w:val="24"/>
          <w:szCs w:val="24"/>
        </w:rPr>
        <w:t xml:space="preserve"> Suriname</w:t>
      </w:r>
      <w:r w:rsidRPr="00DD6763">
        <w:rPr>
          <w:rFonts w:ascii="Times New Roman" w:hAnsi="Times New Roman" w:cs="Times New Roman"/>
          <w:sz w:val="24"/>
          <w:szCs w:val="24"/>
        </w:rPr>
        <w:t>,</w:t>
      </w:r>
      <w:r w:rsidR="00CB63E6" w:rsidRPr="00DD6763">
        <w:rPr>
          <w:rFonts w:ascii="Times New Roman" w:hAnsi="Times New Roman" w:cs="Times New Roman"/>
          <w:sz w:val="24"/>
          <w:szCs w:val="24"/>
        </w:rPr>
        <w:t xml:space="preserve"> the Court developed a test</w:t>
      </w:r>
      <w:r w:rsidR="002662F6" w:rsidRPr="00DD6763">
        <w:rPr>
          <w:rFonts w:ascii="Times New Roman" w:hAnsi="Times New Roman" w:cs="Times New Roman"/>
          <w:sz w:val="24"/>
          <w:szCs w:val="24"/>
        </w:rPr>
        <w:t xml:space="preserve"> </w:t>
      </w:r>
      <w:r w:rsidR="002B0451" w:rsidRPr="00DD6763">
        <w:rPr>
          <w:rFonts w:ascii="Times New Roman" w:hAnsi="Times New Roman" w:cs="Times New Roman"/>
          <w:sz w:val="24"/>
          <w:szCs w:val="24"/>
        </w:rPr>
        <w:t>that throw</w:t>
      </w:r>
      <w:r w:rsidRPr="00DD6763">
        <w:rPr>
          <w:rFonts w:ascii="Times New Roman" w:hAnsi="Times New Roman" w:cs="Times New Roman"/>
          <w:sz w:val="24"/>
          <w:szCs w:val="24"/>
        </w:rPr>
        <w:t>s</w:t>
      </w:r>
      <w:r w:rsidR="002B0451" w:rsidRPr="00DD6763">
        <w:rPr>
          <w:rFonts w:ascii="Times New Roman" w:hAnsi="Times New Roman" w:cs="Times New Roman"/>
          <w:sz w:val="24"/>
          <w:szCs w:val="24"/>
        </w:rPr>
        <w:t xml:space="preserve"> light </w:t>
      </w:r>
      <w:r w:rsidR="002662F6" w:rsidRPr="00DD6763">
        <w:rPr>
          <w:rFonts w:ascii="Times New Roman" w:hAnsi="Times New Roman" w:cs="Times New Roman"/>
          <w:sz w:val="24"/>
          <w:szCs w:val="24"/>
        </w:rPr>
        <w:t xml:space="preserve">in </w:t>
      </w:r>
      <w:r w:rsidR="001C3F46" w:rsidRPr="00DD6763">
        <w:rPr>
          <w:rFonts w:ascii="Times New Roman" w:hAnsi="Times New Roman" w:cs="Times New Roman"/>
          <w:sz w:val="24"/>
          <w:szCs w:val="24"/>
        </w:rPr>
        <w:t xml:space="preserve">the </w:t>
      </w:r>
      <w:r w:rsidR="002662F6" w:rsidRPr="00DD6763">
        <w:rPr>
          <w:rFonts w:ascii="Times New Roman" w:hAnsi="Times New Roman" w:cs="Times New Roman"/>
          <w:sz w:val="24"/>
          <w:szCs w:val="24"/>
        </w:rPr>
        <w:t>conflict between investors</w:t>
      </w:r>
      <w:r w:rsidR="001C3F46" w:rsidRPr="00DD6763">
        <w:rPr>
          <w:rFonts w:ascii="Times New Roman" w:hAnsi="Times New Roman" w:cs="Times New Roman"/>
          <w:sz w:val="24"/>
          <w:szCs w:val="24"/>
        </w:rPr>
        <w:t>’</w:t>
      </w:r>
      <w:r w:rsidR="002662F6" w:rsidRPr="00DD6763">
        <w:rPr>
          <w:rFonts w:ascii="Times New Roman" w:hAnsi="Times New Roman" w:cs="Times New Roman"/>
          <w:sz w:val="24"/>
          <w:szCs w:val="24"/>
        </w:rPr>
        <w:t xml:space="preserve"> rights and indigenous peoples’ right</w:t>
      </w:r>
      <w:r w:rsidR="00CB63E6" w:rsidRPr="00DD6763">
        <w:rPr>
          <w:rFonts w:ascii="Times New Roman" w:hAnsi="Times New Roman" w:cs="Times New Roman"/>
          <w:sz w:val="24"/>
          <w:szCs w:val="24"/>
        </w:rPr>
        <w:t>.</w:t>
      </w:r>
      <w:r w:rsidR="00CB63E6" w:rsidRPr="00DD6763">
        <w:rPr>
          <w:rStyle w:val="FootnoteReference"/>
          <w:rFonts w:ascii="Times New Roman" w:hAnsi="Times New Roman" w:cs="Times New Roman"/>
          <w:sz w:val="24"/>
          <w:szCs w:val="24"/>
        </w:rPr>
        <w:footnoteReference w:id="106"/>
      </w:r>
      <w:r w:rsidR="000472AC" w:rsidRPr="00DD6763">
        <w:rPr>
          <w:rFonts w:ascii="Times New Roman" w:hAnsi="Times New Roman" w:cs="Times New Roman"/>
          <w:sz w:val="24"/>
          <w:szCs w:val="24"/>
        </w:rPr>
        <w:t xml:space="preserve"> </w:t>
      </w:r>
      <w:r w:rsidR="005148F7" w:rsidRPr="00DD6763">
        <w:rPr>
          <w:rFonts w:ascii="Times New Roman" w:hAnsi="Times New Roman" w:cs="Times New Roman"/>
          <w:sz w:val="24"/>
          <w:szCs w:val="24"/>
        </w:rPr>
        <w:t xml:space="preserve">In </w:t>
      </w:r>
      <w:proofErr w:type="spellStart"/>
      <w:r w:rsidR="001C3F46" w:rsidRPr="00DD6763">
        <w:rPr>
          <w:rFonts w:ascii="Times New Roman" w:hAnsi="Times New Roman" w:cs="Times New Roman"/>
          <w:i/>
          <w:sz w:val="24"/>
          <w:szCs w:val="24"/>
        </w:rPr>
        <w:t>Saramaka</w:t>
      </w:r>
      <w:proofErr w:type="spellEnd"/>
      <w:r w:rsidR="005148F7" w:rsidRPr="00DD6763">
        <w:rPr>
          <w:rFonts w:ascii="Times New Roman" w:hAnsi="Times New Roman" w:cs="Times New Roman"/>
          <w:sz w:val="24"/>
          <w:szCs w:val="24"/>
        </w:rPr>
        <w:t xml:space="preserve">, the controversy arose because of logging and mining concessions for the exploration and extraction of certain natural resources located within </w:t>
      </w:r>
      <w:proofErr w:type="spellStart"/>
      <w:r w:rsidR="005148F7" w:rsidRPr="00DD6763">
        <w:rPr>
          <w:rFonts w:ascii="Times New Roman" w:hAnsi="Times New Roman" w:cs="Times New Roman"/>
          <w:sz w:val="24"/>
          <w:szCs w:val="24"/>
        </w:rPr>
        <w:t>Saramaka</w:t>
      </w:r>
      <w:proofErr w:type="spellEnd"/>
      <w:r w:rsidR="005148F7" w:rsidRPr="00DD6763">
        <w:rPr>
          <w:rFonts w:ascii="Times New Roman" w:hAnsi="Times New Roman" w:cs="Times New Roman"/>
          <w:sz w:val="24"/>
          <w:szCs w:val="24"/>
        </w:rPr>
        <w:t xml:space="preserve"> territory</w:t>
      </w:r>
      <w:r w:rsidR="005B1F84" w:rsidRPr="00DD6763">
        <w:rPr>
          <w:rFonts w:ascii="Times New Roman" w:hAnsi="Times New Roman" w:cs="Times New Roman"/>
          <w:sz w:val="24"/>
          <w:szCs w:val="24"/>
        </w:rPr>
        <w:t xml:space="preserve"> granted without their consent</w:t>
      </w:r>
      <w:r w:rsidR="005148F7" w:rsidRPr="00DD6763">
        <w:rPr>
          <w:rFonts w:ascii="Times New Roman" w:hAnsi="Times New Roman" w:cs="Times New Roman"/>
          <w:sz w:val="24"/>
          <w:szCs w:val="24"/>
        </w:rPr>
        <w:t xml:space="preserve">. </w:t>
      </w:r>
      <w:r w:rsidR="00C20F62" w:rsidRPr="00DD6763">
        <w:rPr>
          <w:rFonts w:ascii="Times New Roman" w:hAnsi="Times New Roman" w:cs="Times New Roman"/>
          <w:sz w:val="24"/>
          <w:szCs w:val="24"/>
        </w:rPr>
        <w:t xml:space="preserve">The Court set out a </w:t>
      </w:r>
      <w:r w:rsidRPr="00DD6763">
        <w:rPr>
          <w:rFonts w:ascii="Times New Roman" w:hAnsi="Times New Roman" w:cs="Times New Roman"/>
          <w:sz w:val="24"/>
          <w:szCs w:val="24"/>
        </w:rPr>
        <w:t xml:space="preserve">‘test’ </w:t>
      </w:r>
      <w:r w:rsidR="00C20F62" w:rsidRPr="00DD6763">
        <w:rPr>
          <w:rFonts w:ascii="Times New Roman" w:hAnsi="Times New Roman" w:cs="Times New Roman"/>
          <w:sz w:val="24"/>
          <w:szCs w:val="24"/>
        </w:rPr>
        <w:t xml:space="preserve">which </w:t>
      </w:r>
      <w:r w:rsidRPr="00DD6763">
        <w:rPr>
          <w:rFonts w:ascii="Times New Roman" w:hAnsi="Times New Roman" w:cs="Times New Roman"/>
          <w:sz w:val="24"/>
          <w:szCs w:val="24"/>
        </w:rPr>
        <w:t xml:space="preserve">should </w:t>
      </w:r>
      <w:r w:rsidR="002662F6" w:rsidRPr="00DD6763">
        <w:rPr>
          <w:rFonts w:ascii="Times New Roman" w:hAnsi="Times New Roman" w:cs="Times New Roman"/>
          <w:sz w:val="24"/>
          <w:szCs w:val="24"/>
        </w:rPr>
        <w:t>be applied when</w:t>
      </w:r>
      <w:r w:rsidR="00CB63E6" w:rsidRPr="00DD6763">
        <w:rPr>
          <w:rFonts w:ascii="Times New Roman" w:hAnsi="Times New Roman" w:cs="Times New Roman"/>
          <w:sz w:val="24"/>
          <w:szCs w:val="24"/>
        </w:rPr>
        <w:t xml:space="preserve"> </w:t>
      </w:r>
      <w:r w:rsidR="002662F6" w:rsidRPr="00DD6763">
        <w:rPr>
          <w:rFonts w:ascii="Times New Roman" w:hAnsi="Times New Roman" w:cs="Times New Roman"/>
          <w:sz w:val="24"/>
          <w:szCs w:val="24"/>
        </w:rPr>
        <w:t>assess</w:t>
      </w:r>
      <w:r w:rsidR="00CB63E6" w:rsidRPr="00DD6763">
        <w:rPr>
          <w:rFonts w:ascii="Times New Roman" w:hAnsi="Times New Roman" w:cs="Times New Roman"/>
          <w:sz w:val="24"/>
          <w:szCs w:val="24"/>
        </w:rPr>
        <w:t>in</w:t>
      </w:r>
      <w:r w:rsidR="002662F6" w:rsidRPr="00DD6763">
        <w:rPr>
          <w:rFonts w:ascii="Times New Roman" w:hAnsi="Times New Roman" w:cs="Times New Roman"/>
          <w:sz w:val="24"/>
          <w:szCs w:val="24"/>
        </w:rPr>
        <w:t xml:space="preserve">g a development project in </w:t>
      </w:r>
      <w:r w:rsidR="00CB63E6" w:rsidRPr="00DD6763">
        <w:rPr>
          <w:rFonts w:ascii="Times New Roman" w:hAnsi="Times New Roman" w:cs="Times New Roman"/>
          <w:sz w:val="24"/>
          <w:szCs w:val="24"/>
        </w:rPr>
        <w:t>in</w:t>
      </w:r>
      <w:r w:rsidR="005A096F" w:rsidRPr="00DD6763">
        <w:rPr>
          <w:rFonts w:ascii="Times New Roman" w:hAnsi="Times New Roman" w:cs="Times New Roman"/>
          <w:sz w:val="24"/>
          <w:szCs w:val="24"/>
        </w:rPr>
        <w:t xml:space="preserve">digenous </w:t>
      </w:r>
      <w:r w:rsidR="005B1F84" w:rsidRPr="00DD6763">
        <w:rPr>
          <w:rFonts w:ascii="Times New Roman" w:hAnsi="Times New Roman" w:cs="Times New Roman"/>
          <w:sz w:val="24"/>
          <w:szCs w:val="24"/>
        </w:rPr>
        <w:t>people’s</w:t>
      </w:r>
      <w:r w:rsidR="005A096F" w:rsidRPr="00DD6763">
        <w:rPr>
          <w:rFonts w:ascii="Times New Roman" w:hAnsi="Times New Roman" w:cs="Times New Roman"/>
          <w:sz w:val="24"/>
          <w:szCs w:val="24"/>
        </w:rPr>
        <w:t xml:space="preserve"> lands </w:t>
      </w:r>
      <w:r w:rsidR="00CB63E6" w:rsidRPr="00DD6763">
        <w:rPr>
          <w:rFonts w:ascii="Times New Roman" w:hAnsi="Times New Roman" w:cs="Times New Roman"/>
          <w:sz w:val="24"/>
          <w:szCs w:val="24"/>
        </w:rPr>
        <w:t>that affects traditio</w:t>
      </w:r>
      <w:r w:rsidR="005A096F" w:rsidRPr="00DD6763">
        <w:rPr>
          <w:rFonts w:ascii="Times New Roman" w:hAnsi="Times New Roman" w:cs="Times New Roman"/>
          <w:sz w:val="24"/>
          <w:szCs w:val="24"/>
        </w:rPr>
        <w:t>nally used natural resources</w:t>
      </w:r>
      <w:r w:rsidR="002662F6" w:rsidRPr="00DD6763">
        <w:rPr>
          <w:rFonts w:ascii="Times New Roman" w:hAnsi="Times New Roman" w:cs="Times New Roman"/>
          <w:sz w:val="24"/>
          <w:szCs w:val="24"/>
        </w:rPr>
        <w:t>.</w:t>
      </w:r>
      <w:r w:rsidR="005A096F" w:rsidRPr="00DD6763">
        <w:rPr>
          <w:rStyle w:val="FootnoteReference"/>
          <w:rFonts w:ascii="Times New Roman" w:hAnsi="Times New Roman" w:cs="Times New Roman"/>
          <w:sz w:val="24"/>
          <w:szCs w:val="24"/>
        </w:rPr>
        <w:footnoteReference w:id="107"/>
      </w:r>
      <w:r w:rsidR="002662F6" w:rsidRPr="00DD6763">
        <w:rPr>
          <w:rFonts w:ascii="Times New Roman" w:hAnsi="Times New Roman" w:cs="Times New Roman"/>
          <w:sz w:val="24"/>
          <w:szCs w:val="24"/>
        </w:rPr>
        <w:t xml:space="preserve"> </w:t>
      </w:r>
      <w:r w:rsidR="00E91120" w:rsidRPr="00DD6763">
        <w:rPr>
          <w:rFonts w:ascii="Times New Roman" w:hAnsi="Times New Roman" w:cs="Times New Roman"/>
          <w:sz w:val="24"/>
          <w:szCs w:val="24"/>
        </w:rPr>
        <w:t>Th</w:t>
      </w:r>
      <w:r w:rsidR="005B1F84" w:rsidRPr="00DD6763">
        <w:rPr>
          <w:rFonts w:ascii="Times New Roman" w:hAnsi="Times New Roman" w:cs="Times New Roman"/>
          <w:sz w:val="24"/>
          <w:szCs w:val="24"/>
        </w:rPr>
        <w:t xml:space="preserve">is </w:t>
      </w:r>
      <w:r w:rsidR="0029565B" w:rsidRPr="00DD6763">
        <w:rPr>
          <w:rFonts w:ascii="Times New Roman" w:hAnsi="Times New Roman" w:cs="Times New Roman"/>
          <w:sz w:val="24"/>
          <w:szCs w:val="24"/>
        </w:rPr>
        <w:t xml:space="preserve">‘safeguards </w:t>
      </w:r>
      <w:r w:rsidR="005B1F84" w:rsidRPr="00DD6763">
        <w:rPr>
          <w:rFonts w:ascii="Times New Roman" w:hAnsi="Times New Roman" w:cs="Times New Roman"/>
          <w:sz w:val="24"/>
          <w:szCs w:val="24"/>
        </w:rPr>
        <w:t>test</w:t>
      </w:r>
      <w:r w:rsidR="0029565B" w:rsidRPr="00DD6763">
        <w:rPr>
          <w:rFonts w:ascii="Times New Roman" w:hAnsi="Times New Roman" w:cs="Times New Roman"/>
          <w:sz w:val="24"/>
          <w:szCs w:val="24"/>
        </w:rPr>
        <w:t>’ (as referred to by the Court)</w:t>
      </w:r>
      <w:r w:rsidR="005B1F84" w:rsidRPr="00DD6763">
        <w:rPr>
          <w:rFonts w:ascii="Times New Roman" w:hAnsi="Times New Roman" w:cs="Times New Roman"/>
          <w:sz w:val="24"/>
          <w:szCs w:val="24"/>
        </w:rPr>
        <w:t xml:space="preserve"> </w:t>
      </w:r>
      <w:r w:rsidR="00E91120" w:rsidRPr="00DD6763">
        <w:rPr>
          <w:rFonts w:ascii="Times New Roman" w:hAnsi="Times New Roman" w:cs="Times New Roman"/>
          <w:sz w:val="24"/>
          <w:szCs w:val="24"/>
        </w:rPr>
        <w:t xml:space="preserve">consists of </w:t>
      </w:r>
      <w:r w:rsidR="005B1F84" w:rsidRPr="00DD6763">
        <w:rPr>
          <w:rFonts w:ascii="Times New Roman" w:hAnsi="Times New Roman" w:cs="Times New Roman"/>
          <w:sz w:val="24"/>
          <w:szCs w:val="24"/>
        </w:rPr>
        <w:t>different steps.</w:t>
      </w:r>
      <w:r w:rsidR="0029565B" w:rsidRPr="00DD6763">
        <w:rPr>
          <w:rStyle w:val="FootnoteReference"/>
          <w:rFonts w:ascii="Times New Roman" w:hAnsi="Times New Roman" w:cs="Times New Roman"/>
          <w:sz w:val="24"/>
          <w:szCs w:val="24"/>
        </w:rPr>
        <w:footnoteReference w:id="108"/>
      </w:r>
      <w:r w:rsidR="005B1F84" w:rsidRPr="00DD6763">
        <w:rPr>
          <w:rFonts w:ascii="Times New Roman" w:hAnsi="Times New Roman" w:cs="Times New Roman"/>
          <w:sz w:val="24"/>
          <w:szCs w:val="24"/>
        </w:rPr>
        <w:t xml:space="preserve"> </w:t>
      </w:r>
      <w:r w:rsidR="002662F6" w:rsidRPr="00DD6763">
        <w:rPr>
          <w:rFonts w:ascii="Times New Roman" w:hAnsi="Times New Roman" w:cs="Times New Roman"/>
          <w:sz w:val="24"/>
          <w:szCs w:val="24"/>
        </w:rPr>
        <w:t>First, there must be</w:t>
      </w:r>
      <w:r w:rsidR="00CB63E6" w:rsidRPr="00DD6763">
        <w:rPr>
          <w:rFonts w:ascii="Times New Roman" w:hAnsi="Times New Roman" w:cs="Times New Roman"/>
          <w:sz w:val="24"/>
          <w:szCs w:val="24"/>
        </w:rPr>
        <w:t xml:space="preserve"> </w:t>
      </w:r>
      <w:r w:rsidR="005148F7" w:rsidRPr="00DD6763">
        <w:rPr>
          <w:rFonts w:ascii="Times New Roman" w:hAnsi="Times New Roman" w:cs="Times New Roman"/>
          <w:sz w:val="24"/>
          <w:szCs w:val="24"/>
        </w:rPr>
        <w:t xml:space="preserve">effective </w:t>
      </w:r>
      <w:r w:rsidR="00CB63E6" w:rsidRPr="00DD6763">
        <w:rPr>
          <w:rFonts w:ascii="Times New Roman" w:hAnsi="Times New Roman" w:cs="Times New Roman"/>
          <w:sz w:val="24"/>
          <w:szCs w:val="24"/>
        </w:rPr>
        <w:t xml:space="preserve">consultation with </w:t>
      </w:r>
      <w:r w:rsidR="00130BDC" w:rsidRPr="00DD6763">
        <w:rPr>
          <w:rFonts w:ascii="Times New Roman" w:hAnsi="Times New Roman" w:cs="Times New Roman"/>
          <w:sz w:val="24"/>
          <w:szCs w:val="24"/>
        </w:rPr>
        <w:t>indigenous peoples</w:t>
      </w:r>
      <w:r w:rsidR="005148F7" w:rsidRPr="00DD6763">
        <w:rPr>
          <w:rFonts w:ascii="Times New Roman" w:hAnsi="Times New Roman" w:cs="Times New Roman"/>
          <w:sz w:val="24"/>
          <w:szCs w:val="24"/>
        </w:rPr>
        <w:t xml:space="preserve"> (in accordance with their customs and traditions) concerning any development, investment, exploration or extraction plan (‘development or investment plan’) </w:t>
      </w:r>
      <w:r w:rsidR="00130BDC" w:rsidRPr="00DD6763">
        <w:rPr>
          <w:rFonts w:ascii="Times New Roman" w:hAnsi="Times New Roman" w:cs="Times New Roman"/>
          <w:sz w:val="24"/>
          <w:szCs w:val="24"/>
        </w:rPr>
        <w:t>that may affect their property</w:t>
      </w:r>
      <w:r w:rsidR="002662F6" w:rsidRPr="00DD6763">
        <w:rPr>
          <w:rFonts w:ascii="Times New Roman" w:hAnsi="Times New Roman" w:cs="Times New Roman"/>
          <w:sz w:val="24"/>
          <w:szCs w:val="24"/>
        </w:rPr>
        <w:t>.</w:t>
      </w:r>
      <w:r w:rsidR="005148F7" w:rsidRPr="00DD6763">
        <w:rPr>
          <w:rStyle w:val="FootnoteReference"/>
          <w:rFonts w:ascii="Times New Roman" w:hAnsi="Times New Roman" w:cs="Times New Roman"/>
          <w:sz w:val="24"/>
          <w:szCs w:val="24"/>
        </w:rPr>
        <w:footnoteReference w:id="109"/>
      </w:r>
      <w:r w:rsidR="00D77CEB" w:rsidRPr="00DD6763">
        <w:rPr>
          <w:rFonts w:ascii="Times New Roman" w:hAnsi="Times New Roman" w:cs="Times New Roman"/>
          <w:sz w:val="24"/>
          <w:szCs w:val="24"/>
        </w:rPr>
        <w:t xml:space="preserve"> I</w:t>
      </w:r>
      <w:r w:rsidR="002662F6" w:rsidRPr="00DD6763">
        <w:rPr>
          <w:rFonts w:ascii="Times New Roman" w:hAnsi="Times New Roman" w:cs="Times New Roman"/>
          <w:sz w:val="24"/>
          <w:szCs w:val="24"/>
        </w:rPr>
        <w:t xml:space="preserve">f it is a large scale </w:t>
      </w:r>
      <w:r w:rsidR="00CB63E6" w:rsidRPr="00DD6763">
        <w:rPr>
          <w:rFonts w:ascii="Times New Roman" w:hAnsi="Times New Roman" w:cs="Times New Roman"/>
          <w:sz w:val="24"/>
          <w:szCs w:val="24"/>
        </w:rPr>
        <w:t xml:space="preserve">project that </w:t>
      </w:r>
      <w:r w:rsidR="002662F6" w:rsidRPr="00DD6763">
        <w:rPr>
          <w:rFonts w:ascii="Times New Roman" w:hAnsi="Times New Roman" w:cs="Times New Roman"/>
          <w:sz w:val="24"/>
          <w:szCs w:val="24"/>
        </w:rPr>
        <w:t xml:space="preserve">could impact the survival of a </w:t>
      </w:r>
      <w:r w:rsidR="00CB63E6" w:rsidRPr="00DD6763">
        <w:rPr>
          <w:rFonts w:ascii="Times New Roman" w:hAnsi="Times New Roman" w:cs="Times New Roman"/>
          <w:sz w:val="24"/>
          <w:szCs w:val="24"/>
        </w:rPr>
        <w:t>people</w:t>
      </w:r>
      <w:r w:rsidR="002662F6" w:rsidRPr="00DD6763">
        <w:rPr>
          <w:rFonts w:ascii="Times New Roman" w:hAnsi="Times New Roman" w:cs="Times New Roman"/>
          <w:sz w:val="24"/>
          <w:szCs w:val="24"/>
        </w:rPr>
        <w:t xml:space="preserve"> full consent is required</w:t>
      </w:r>
      <w:r w:rsidR="00CB63E6" w:rsidRPr="00DD6763">
        <w:rPr>
          <w:rFonts w:ascii="Times New Roman" w:hAnsi="Times New Roman" w:cs="Times New Roman"/>
          <w:sz w:val="24"/>
          <w:szCs w:val="24"/>
        </w:rPr>
        <w:t>.</w:t>
      </w:r>
      <w:r w:rsidR="002662F6" w:rsidRPr="00DD6763">
        <w:rPr>
          <w:rFonts w:ascii="Times New Roman" w:hAnsi="Times New Roman" w:cs="Times New Roman"/>
          <w:sz w:val="24"/>
          <w:szCs w:val="24"/>
        </w:rPr>
        <w:t xml:space="preserve"> </w:t>
      </w:r>
      <w:r w:rsidR="00D77CEB" w:rsidRPr="00DD6763">
        <w:rPr>
          <w:rFonts w:ascii="Times New Roman" w:hAnsi="Times New Roman" w:cs="Times New Roman"/>
          <w:sz w:val="24"/>
          <w:szCs w:val="24"/>
        </w:rPr>
        <w:t>Second, there must be a tangible benefit for the indigenous peoples</w:t>
      </w:r>
      <w:r w:rsidR="001C3F46" w:rsidRPr="00DD6763">
        <w:rPr>
          <w:rFonts w:ascii="Times New Roman" w:hAnsi="Times New Roman" w:cs="Times New Roman"/>
          <w:sz w:val="24"/>
          <w:szCs w:val="24"/>
        </w:rPr>
        <w:t>:</w:t>
      </w:r>
      <w:r w:rsidR="00D77CEB" w:rsidRPr="00DD6763">
        <w:rPr>
          <w:rFonts w:ascii="Times New Roman" w:hAnsi="Times New Roman" w:cs="Times New Roman"/>
          <w:sz w:val="24"/>
          <w:szCs w:val="24"/>
        </w:rPr>
        <w:t xml:space="preserve"> the State should guarantee a ‘reasonable benefit from any such plan within their territory’.</w:t>
      </w:r>
      <w:r w:rsidR="00D77CEB" w:rsidRPr="00DD6763">
        <w:rPr>
          <w:rStyle w:val="FootnoteReference"/>
          <w:rFonts w:ascii="Times New Roman" w:hAnsi="Times New Roman" w:cs="Times New Roman"/>
          <w:sz w:val="24"/>
          <w:szCs w:val="24"/>
        </w:rPr>
        <w:footnoteReference w:id="110"/>
      </w:r>
      <w:r w:rsidR="00D77CEB" w:rsidRPr="00DD6763">
        <w:rPr>
          <w:rFonts w:ascii="Times New Roman" w:hAnsi="Times New Roman" w:cs="Times New Roman"/>
          <w:sz w:val="24"/>
          <w:szCs w:val="24"/>
        </w:rPr>
        <w:t xml:space="preserve"> </w:t>
      </w:r>
      <w:r w:rsidR="002662F6" w:rsidRPr="00DD6763">
        <w:rPr>
          <w:rFonts w:ascii="Times New Roman" w:hAnsi="Times New Roman" w:cs="Times New Roman"/>
          <w:sz w:val="24"/>
          <w:szCs w:val="24"/>
        </w:rPr>
        <w:t>Third, the</w:t>
      </w:r>
      <w:r w:rsidR="00D77CEB" w:rsidRPr="00DD6763">
        <w:rPr>
          <w:rFonts w:ascii="Times New Roman" w:hAnsi="Times New Roman" w:cs="Times New Roman"/>
          <w:sz w:val="24"/>
          <w:szCs w:val="24"/>
        </w:rPr>
        <w:t xml:space="preserve"> State must ensure that no concession will be issued within indigenous territory ‘unless and until independent and technically capable entities, with the State’s supervision, perform a prior environmental and social impact assessment’.</w:t>
      </w:r>
      <w:r w:rsidR="00D77CEB" w:rsidRPr="00DD6763">
        <w:rPr>
          <w:rStyle w:val="FootnoteReference"/>
          <w:rFonts w:ascii="Times New Roman" w:hAnsi="Times New Roman" w:cs="Times New Roman"/>
          <w:sz w:val="24"/>
          <w:szCs w:val="24"/>
        </w:rPr>
        <w:footnoteReference w:id="111"/>
      </w:r>
      <w:r w:rsidR="00D77CEB" w:rsidRPr="00DD6763">
        <w:rPr>
          <w:rFonts w:ascii="Times New Roman" w:hAnsi="Times New Roman" w:cs="Times New Roman"/>
          <w:sz w:val="24"/>
          <w:szCs w:val="24"/>
        </w:rPr>
        <w:t xml:space="preserve"> Additionally, the </w:t>
      </w:r>
      <w:r w:rsidR="002662F6" w:rsidRPr="00DD6763">
        <w:rPr>
          <w:rFonts w:ascii="Times New Roman" w:hAnsi="Times New Roman" w:cs="Times New Roman"/>
          <w:sz w:val="24"/>
          <w:szCs w:val="24"/>
        </w:rPr>
        <w:t xml:space="preserve">right to judicial protection enshrined in Article 25 of the American Convention should be </w:t>
      </w:r>
      <w:r w:rsidR="00D77CEB" w:rsidRPr="00DD6763">
        <w:rPr>
          <w:rFonts w:ascii="Times New Roman" w:hAnsi="Times New Roman" w:cs="Times New Roman"/>
          <w:sz w:val="24"/>
          <w:szCs w:val="24"/>
        </w:rPr>
        <w:t>protected</w:t>
      </w:r>
      <w:r w:rsidR="00304631" w:rsidRPr="00DD6763">
        <w:rPr>
          <w:rFonts w:ascii="Times New Roman" w:hAnsi="Times New Roman" w:cs="Times New Roman"/>
          <w:sz w:val="24"/>
          <w:szCs w:val="24"/>
        </w:rPr>
        <w:t>, i.e. there need</w:t>
      </w:r>
      <w:r w:rsidR="001C3F46" w:rsidRPr="00DD6763">
        <w:rPr>
          <w:rFonts w:ascii="Times New Roman" w:hAnsi="Times New Roman" w:cs="Times New Roman"/>
          <w:sz w:val="24"/>
          <w:szCs w:val="24"/>
        </w:rPr>
        <w:t>s</w:t>
      </w:r>
      <w:r w:rsidR="00304631" w:rsidRPr="00DD6763">
        <w:rPr>
          <w:rFonts w:ascii="Times New Roman" w:hAnsi="Times New Roman" w:cs="Times New Roman"/>
          <w:sz w:val="24"/>
          <w:szCs w:val="24"/>
        </w:rPr>
        <w:t xml:space="preserve"> to be access to judicial review of the decisions adopted</w:t>
      </w:r>
      <w:r w:rsidR="002662F6" w:rsidRPr="00DD6763">
        <w:rPr>
          <w:rFonts w:ascii="Times New Roman" w:hAnsi="Times New Roman" w:cs="Times New Roman"/>
          <w:sz w:val="24"/>
          <w:szCs w:val="24"/>
        </w:rPr>
        <w:t xml:space="preserve">. In </w:t>
      </w:r>
      <w:r w:rsidR="00BE76C3" w:rsidRPr="00DD6763">
        <w:rPr>
          <w:rFonts w:ascii="Times New Roman" w:hAnsi="Times New Roman" w:cs="Times New Roman"/>
          <w:sz w:val="24"/>
          <w:szCs w:val="24"/>
        </w:rPr>
        <w:t>that,</w:t>
      </w:r>
      <w:r w:rsidR="002662F6" w:rsidRPr="00DD6763">
        <w:rPr>
          <w:rFonts w:ascii="Times New Roman" w:hAnsi="Times New Roman" w:cs="Times New Roman"/>
          <w:sz w:val="24"/>
          <w:szCs w:val="24"/>
        </w:rPr>
        <w:t xml:space="preserve"> specific case the state had failed to adopt such measures</w:t>
      </w:r>
      <w:r w:rsidR="001C3F46" w:rsidRPr="00DD6763">
        <w:rPr>
          <w:rFonts w:ascii="Times New Roman" w:hAnsi="Times New Roman" w:cs="Times New Roman"/>
          <w:sz w:val="24"/>
          <w:szCs w:val="24"/>
        </w:rPr>
        <w:t>,</w:t>
      </w:r>
      <w:r w:rsidR="002662F6" w:rsidRPr="00DD6763">
        <w:rPr>
          <w:rFonts w:ascii="Times New Roman" w:hAnsi="Times New Roman" w:cs="Times New Roman"/>
          <w:sz w:val="24"/>
          <w:szCs w:val="24"/>
        </w:rPr>
        <w:t xml:space="preserve"> to the detriment of the </w:t>
      </w:r>
      <w:proofErr w:type="spellStart"/>
      <w:r w:rsidR="002662F6" w:rsidRPr="00DD6763">
        <w:rPr>
          <w:rFonts w:ascii="Times New Roman" w:hAnsi="Times New Roman" w:cs="Times New Roman"/>
          <w:sz w:val="24"/>
          <w:szCs w:val="24"/>
        </w:rPr>
        <w:t>Saramaka</w:t>
      </w:r>
      <w:proofErr w:type="spellEnd"/>
      <w:r w:rsidR="002662F6" w:rsidRPr="00DD6763">
        <w:rPr>
          <w:rFonts w:ascii="Times New Roman" w:hAnsi="Times New Roman" w:cs="Times New Roman"/>
          <w:sz w:val="24"/>
          <w:szCs w:val="24"/>
        </w:rPr>
        <w:t xml:space="preserve"> people</w:t>
      </w:r>
      <w:r w:rsidR="00D77CEB" w:rsidRPr="00DD6763">
        <w:rPr>
          <w:rFonts w:ascii="Times New Roman" w:hAnsi="Times New Roman" w:cs="Times New Roman"/>
          <w:sz w:val="24"/>
          <w:szCs w:val="24"/>
        </w:rPr>
        <w:t>.</w:t>
      </w:r>
      <w:r w:rsidR="00D77CEB" w:rsidRPr="00DD6763">
        <w:rPr>
          <w:rStyle w:val="FootnoteReference"/>
          <w:rFonts w:ascii="Times New Roman" w:hAnsi="Times New Roman" w:cs="Times New Roman"/>
          <w:sz w:val="24"/>
          <w:szCs w:val="24"/>
        </w:rPr>
        <w:footnoteReference w:id="112"/>
      </w:r>
      <w:r w:rsidR="0058239D" w:rsidRPr="00DD6763">
        <w:rPr>
          <w:rFonts w:ascii="Times New Roman" w:hAnsi="Times New Roman" w:cs="Times New Roman"/>
          <w:sz w:val="24"/>
          <w:szCs w:val="24"/>
        </w:rPr>
        <w:t xml:space="preserve"> In accordance with this Article, and the Court’s jurisprudence,</w:t>
      </w:r>
      <w:r w:rsidR="0029565B" w:rsidRPr="00DD6763">
        <w:rPr>
          <w:rFonts w:ascii="Times New Roman" w:hAnsi="Times New Roman" w:cs="Times New Roman"/>
          <w:sz w:val="24"/>
          <w:szCs w:val="24"/>
        </w:rPr>
        <w:t xml:space="preserve"> exceptionally</w:t>
      </w:r>
      <w:r w:rsidR="007E0F4D" w:rsidRPr="00DD6763">
        <w:rPr>
          <w:rFonts w:ascii="Times New Roman" w:hAnsi="Times New Roman" w:cs="Times New Roman"/>
          <w:sz w:val="24"/>
          <w:szCs w:val="24"/>
        </w:rPr>
        <w:t xml:space="preserve"> the s</w:t>
      </w:r>
      <w:r w:rsidR="0058239D" w:rsidRPr="00DD6763">
        <w:rPr>
          <w:rFonts w:ascii="Times New Roman" w:hAnsi="Times New Roman" w:cs="Times New Roman"/>
          <w:sz w:val="24"/>
          <w:szCs w:val="24"/>
        </w:rPr>
        <w:t xml:space="preserve">tate </w:t>
      </w:r>
      <w:r w:rsidR="0029565B" w:rsidRPr="00DD6763">
        <w:rPr>
          <w:rFonts w:ascii="Times New Roman" w:hAnsi="Times New Roman" w:cs="Times New Roman"/>
          <w:sz w:val="24"/>
          <w:szCs w:val="24"/>
        </w:rPr>
        <w:t>may</w:t>
      </w:r>
      <w:r w:rsidR="0058239D" w:rsidRPr="00DD6763">
        <w:rPr>
          <w:rFonts w:ascii="Times New Roman" w:hAnsi="Times New Roman" w:cs="Times New Roman"/>
          <w:sz w:val="24"/>
          <w:szCs w:val="24"/>
        </w:rPr>
        <w:t xml:space="preserve"> restrict, under certain circumstances, the </w:t>
      </w:r>
      <w:r w:rsidR="00726EAF" w:rsidRPr="00DD6763">
        <w:rPr>
          <w:rFonts w:ascii="Times New Roman" w:hAnsi="Times New Roman" w:cs="Times New Roman"/>
          <w:sz w:val="24"/>
          <w:szCs w:val="24"/>
        </w:rPr>
        <w:lastRenderedPageBreak/>
        <w:t>‘</w:t>
      </w:r>
      <w:proofErr w:type="spellStart"/>
      <w:r w:rsidR="0058239D" w:rsidRPr="00DD6763">
        <w:rPr>
          <w:rFonts w:ascii="Times New Roman" w:hAnsi="Times New Roman" w:cs="Times New Roman"/>
          <w:sz w:val="24"/>
          <w:szCs w:val="24"/>
        </w:rPr>
        <w:t>Saramakas</w:t>
      </w:r>
      <w:proofErr w:type="spellEnd"/>
      <w:r w:rsidR="0058239D" w:rsidRPr="00DD6763">
        <w:rPr>
          <w:rFonts w:ascii="Times New Roman" w:hAnsi="Times New Roman" w:cs="Times New Roman"/>
          <w:sz w:val="24"/>
          <w:szCs w:val="24"/>
        </w:rPr>
        <w:t>’ property rights, including their rights to natural resources fo</w:t>
      </w:r>
      <w:r w:rsidR="00A77E17" w:rsidRPr="00DD6763">
        <w:rPr>
          <w:rFonts w:ascii="Times New Roman" w:hAnsi="Times New Roman" w:cs="Times New Roman"/>
          <w:sz w:val="24"/>
          <w:szCs w:val="24"/>
        </w:rPr>
        <w:t>und on and within the territory</w:t>
      </w:r>
      <w:r w:rsidR="00726EAF" w:rsidRPr="00DD6763">
        <w:rPr>
          <w:rFonts w:ascii="Times New Roman" w:hAnsi="Times New Roman" w:cs="Times New Roman"/>
          <w:sz w:val="24"/>
          <w:szCs w:val="24"/>
        </w:rPr>
        <w:t xml:space="preserve"> but only prior consent</w:t>
      </w:r>
      <w:r w:rsidR="0058239D" w:rsidRPr="00DD6763">
        <w:rPr>
          <w:rFonts w:ascii="Times New Roman" w:hAnsi="Times New Roman" w:cs="Times New Roman"/>
          <w:sz w:val="24"/>
          <w:szCs w:val="24"/>
        </w:rPr>
        <w:t>.</w:t>
      </w:r>
      <w:r w:rsidR="0058239D" w:rsidRPr="00DD6763">
        <w:rPr>
          <w:rStyle w:val="FootnoteReference"/>
          <w:rFonts w:ascii="Times New Roman" w:hAnsi="Times New Roman" w:cs="Times New Roman"/>
          <w:sz w:val="24"/>
          <w:szCs w:val="24"/>
        </w:rPr>
        <w:footnoteReference w:id="113"/>
      </w:r>
      <w:r w:rsidR="00E91120" w:rsidRPr="00DD6763">
        <w:rPr>
          <w:rFonts w:ascii="Times New Roman" w:hAnsi="Times New Roman" w:cs="Times New Roman"/>
          <w:sz w:val="24"/>
          <w:szCs w:val="24"/>
        </w:rPr>
        <w:t xml:space="preserve"> </w:t>
      </w:r>
    </w:p>
    <w:p w14:paraId="3AB4F5FB" w14:textId="78D59475" w:rsidR="00822BC1" w:rsidRPr="00DD6763" w:rsidRDefault="00822BC1"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In the ruling on the territories of the </w:t>
      </w:r>
      <w:proofErr w:type="spellStart"/>
      <w:r w:rsidRPr="00DD6763">
        <w:rPr>
          <w:rFonts w:ascii="Times New Roman" w:hAnsi="Times New Roman" w:cs="Times New Roman"/>
          <w:i/>
          <w:sz w:val="24"/>
          <w:szCs w:val="24"/>
        </w:rPr>
        <w:t>Kichwa</w:t>
      </w:r>
      <w:proofErr w:type="spellEnd"/>
      <w:r w:rsidRPr="00DD6763">
        <w:rPr>
          <w:rFonts w:ascii="Times New Roman" w:hAnsi="Times New Roman" w:cs="Times New Roman"/>
          <w:i/>
          <w:sz w:val="24"/>
          <w:szCs w:val="24"/>
        </w:rPr>
        <w:t xml:space="preserve"> Peoples of </w:t>
      </w:r>
      <w:proofErr w:type="spellStart"/>
      <w:r w:rsidRPr="00DD6763">
        <w:rPr>
          <w:rFonts w:ascii="Times New Roman" w:hAnsi="Times New Roman" w:cs="Times New Roman"/>
          <w:i/>
          <w:sz w:val="24"/>
          <w:szCs w:val="24"/>
        </w:rPr>
        <w:t>Sarayaku</w:t>
      </w:r>
      <w:proofErr w:type="spellEnd"/>
      <w:r w:rsidRPr="00DD6763">
        <w:rPr>
          <w:rFonts w:ascii="Times New Roman" w:hAnsi="Times New Roman" w:cs="Times New Roman"/>
          <w:i/>
          <w:sz w:val="24"/>
          <w:szCs w:val="24"/>
        </w:rPr>
        <w:t xml:space="preserve"> and the Communities of the </w:t>
      </w:r>
      <w:proofErr w:type="spellStart"/>
      <w:r w:rsidRPr="00DD6763">
        <w:rPr>
          <w:rFonts w:ascii="Times New Roman" w:hAnsi="Times New Roman" w:cs="Times New Roman"/>
          <w:i/>
          <w:sz w:val="24"/>
          <w:szCs w:val="24"/>
        </w:rPr>
        <w:t>Bobonaza</w:t>
      </w:r>
      <w:proofErr w:type="spellEnd"/>
      <w:r w:rsidRPr="00DD6763">
        <w:rPr>
          <w:rFonts w:ascii="Times New Roman" w:hAnsi="Times New Roman" w:cs="Times New Roman"/>
          <w:i/>
          <w:sz w:val="24"/>
          <w:szCs w:val="24"/>
        </w:rPr>
        <w:t xml:space="preserve"> River</w:t>
      </w:r>
      <w:r w:rsidRPr="00DD6763">
        <w:rPr>
          <w:rFonts w:ascii="Times New Roman" w:hAnsi="Times New Roman" w:cs="Times New Roman"/>
          <w:sz w:val="24"/>
          <w:szCs w:val="24"/>
        </w:rPr>
        <w:t xml:space="preserve">, the property awarded to the indigenous communities in 1992 was a stake </w:t>
      </w:r>
      <w:r w:rsidR="008208B3" w:rsidRPr="00DD6763">
        <w:rPr>
          <w:rFonts w:ascii="Times New Roman" w:hAnsi="Times New Roman" w:cs="Times New Roman"/>
          <w:sz w:val="24"/>
          <w:szCs w:val="24"/>
        </w:rPr>
        <w:t>due to the exploitation of oil resources</w:t>
      </w:r>
      <w:r w:rsidRPr="00DD6763">
        <w:rPr>
          <w:rFonts w:ascii="Times New Roman" w:hAnsi="Times New Roman" w:cs="Times New Roman"/>
          <w:sz w:val="24"/>
          <w:szCs w:val="24"/>
        </w:rPr>
        <w:t>.</w:t>
      </w:r>
      <w:r w:rsidR="00CF035D" w:rsidRPr="00DD6763">
        <w:rPr>
          <w:rStyle w:val="FootnoteReference"/>
          <w:rFonts w:ascii="Times New Roman" w:hAnsi="Times New Roman" w:cs="Times New Roman"/>
          <w:sz w:val="24"/>
          <w:szCs w:val="24"/>
        </w:rPr>
        <w:footnoteReference w:id="114"/>
      </w:r>
      <w:r w:rsidRPr="00DD6763">
        <w:rPr>
          <w:rFonts w:ascii="Times New Roman" w:hAnsi="Times New Roman" w:cs="Times New Roman"/>
        </w:rPr>
        <w:t xml:space="preserve"> </w:t>
      </w:r>
      <w:r w:rsidR="002B4D1C" w:rsidRPr="00DD6763">
        <w:rPr>
          <w:rFonts w:ascii="Times New Roman" w:hAnsi="Times New Roman" w:cs="Times New Roman"/>
          <w:sz w:val="24"/>
          <w:szCs w:val="24"/>
        </w:rPr>
        <w:t>The question at issue regarded</w:t>
      </w:r>
      <w:r w:rsidRPr="00DD6763">
        <w:rPr>
          <w:rFonts w:ascii="Times New Roman" w:hAnsi="Times New Roman" w:cs="Times New Roman"/>
          <w:sz w:val="24"/>
          <w:szCs w:val="24"/>
        </w:rPr>
        <w:t xml:space="preserve"> the control over the country’s oil resources from a nationalist perspec</w:t>
      </w:r>
      <w:r w:rsidR="005148F7" w:rsidRPr="00DD6763">
        <w:rPr>
          <w:rFonts w:ascii="Times New Roman" w:hAnsi="Times New Roman" w:cs="Times New Roman"/>
          <w:sz w:val="24"/>
          <w:szCs w:val="24"/>
        </w:rPr>
        <w:t xml:space="preserve">tive and </w:t>
      </w:r>
      <w:r w:rsidR="00C20F62" w:rsidRPr="00DD6763">
        <w:rPr>
          <w:rFonts w:ascii="Times New Roman" w:hAnsi="Times New Roman" w:cs="Times New Roman"/>
          <w:sz w:val="24"/>
          <w:szCs w:val="24"/>
        </w:rPr>
        <w:t>from a standpoint</w:t>
      </w:r>
      <w:r w:rsidR="005148F7" w:rsidRPr="00DD6763">
        <w:rPr>
          <w:rFonts w:ascii="Times New Roman" w:hAnsi="Times New Roman" w:cs="Times New Roman"/>
          <w:sz w:val="24"/>
          <w:szCs w:val="24"/>
        </w:rPr>
        <w:t xml:space="preserve"> of ‘national security’, </w:t>
      </w:r>
      <w:r w:rsidRPr="00DD6763">
        <w:rPr>
          <w:rFonts w:ascii="Times New Roman" w:hAnsi="Times New Roman" w:cs="Times New Roman"/>
          <w:sz w:val="24"/>
          <w:szCs w:val="24"/>
        </w:rPr>
        <w:t>an economic-political concept that defined the oil sector as a strategic area.</w:t>
      </w:r>
      <w:r w:rsidRPr="00DD6763">
        <w:rPr>
          <w:rStyle w:val="FootnoteReference"/>
          <w:rFonts w:ascii="Times New Roman" w:hAnsi="Times New Roman" w:cs="Times New Roman"/>
          <w:sz w:val="24"/>
          <w:szCs w:val="24"/>
        </w:rPr>
        <w:footnoteReference w:id="115"/>
      </w:r>
      <w:r w:rsidRPr="00DD6763">
        <w:rPr>
          <w:rFonts w:ascii="Times New Roman" w:hAnsi="Times New Roman" w:cs="Times New Roman"/>
          <w:sz w:val="24"/>
          <w:szCs w:val="24"/>
        </w:rPr>
        <w:t xml:space="preserve"> According to the </w:t>
      </w:r>
      <w:r w:rsidR="00377DDC" w:rsidRPr="00DD6763">
        <w:rPr>
          <w:rFonts w:ascii="Times New Roman" w:hAnsi="Times New Roman" w:cs="Times New Roman"/>
          <w:sz w:val="24"/>
          <w:szCs w:val="24"/>
        </w:rPr>
        <w:t>applicant</w:t>
      </w:r>
      <w:r w:rsidRPr="00DD6763">
        <w:rPr>
          <w:rFonts w:ascii="Times New Roman" w:hAnsi="Times New Roman" w:cs="Times New Roman"/>
          <w:sz w:val="24"/>
          <w:szCs w:val="24"/>
        </w:rPr>
        <w:t xml:space="preserve">s, </w:t>
      </w:r>
      <w:r w:rsidR="00D35F6E" w:rsidRPr="00DD6763">
        <w:rPr>
          <w:rFonts w:ascii="Times New Roman" w:hAnsi="Times New Roman" w:cs="Times New Roman"/>
          <w:sz w:val="24"/>
          <w:szCs w:val="24"/>
        </w:rPr>
        <w:t>“</w:t>
      </w:r>
      <w:r w:rsidRPr="00DD6763">
        <w:rPr>
          <w:rFonts w:ascii="Times New Roman" w:hAnsi="Times New Roman" w:cs="Times New Roman"/>
          <w:sz w:val="24"/>
          <w:szCs w:val="24"/>
        </w:rPr>
        <w:t>oil exploitation had resulted in large-scale environmental costs which included, among other matters, spills of large amounts of crude oil, contamination of water sources due to was</w:t>
      </w:r>
      <w:r w:rsidR="00D35F6E" w:rsidRPr="00DD6763">
        <w:rPr>
          <w:rFonts w:ascii="Times New Roman" w:hAnsi="Times New Roman" w:cs="Times New Roman"/>
          <w:sz w:val="24"/>
          <w:szCs w:val="24"/>
        </w:rPr>
        <w:t xml:space="preserve">te from hydrocarbon production (…) </w:t>
      </w:r>
      <w:r w:rsidRPr="00DD6763">
        <w:rPr>
          <w:rFonts w:ascii="Times New Roman" w:hAnsi="Times New Roman" w:cs="Times New Roman"/>
          <w:sz w:val="24"/>
          <w:szCs w:val="24"/>
        </w:rPr>
        <w:t>this environmental pollution had generated health risks for the inhabitants of the oil producing areas of eastern Ecuador</w:t>
      </w:r>
      <w:r w:rsidR="00D35F6E" w:rsidRPr="00DD6763">
        <w:rPr>
          <w:rFonts w:ascii="Times New Roman" w:hAnsi="Times New Roman" w:cs="Times New Roman"/>
          <w:sz w:val="24"/>
          <w:szCs w:val="24"/>
        </w:rPr>
        <w:t>”</w:t>
      </w:r>
      <w:r w:rsidRPr="00DD6763">
        <w:rPr>
          <w:rFonts w:ascii="Times New Roman" w:hAnsi="Times New Roman" w:cs="Times New Roman"/>
          <w:sz w:val="24"/>
          <w:szCs w:val="24"/>
        </w:rPr>
        <w:t>.</w:t>
      </w:r>
      <w:r w:rsidR="00377DDC" w:rsidRPr="00DD6763">
        <w:rPr>
          <w:rStyle w:val="FootnoteReference"/>
          <w:rFonts w:ascii="Times New Roman" w:hAnsi="Times New Roman" w:cs="Times New Roman"/>
          <w:sz w:val="24"/>
          <w:szCs w:val="24"/>
        </w:rPr>
        <w:footnoteReference w:id="116"/>
      </w:r>
    </w:p>
    <w:p w14:paraId="7275F8B7" w14:textId="55BEB634" w:rsidR="00822BC1" w:rsidRPr="00DD6763" w:rsidRDefault="00726EAF" w:rsidP="00A13BE2">
      <w:pPr>
        <w:pStyle w:val="Default"/>
        <w:spacing w:line="276" w:lineRule="auto"/>
        <w:ind w:firstLine="720"/>
        <w:jc w:val="both"/>
        <w:rPr>
          <w:rFonts w:ascii="Times New Roman" w:hAnsi="Times New Roman" w:cs="Times New Roman"/>
          <w:color w:val="auto"/>
        </w:rPr>
      </w:pPr>
      <w:r w:rsidRPr="00DD6763">
        <w:rPr>
          <w:rFonts w:ascii="Times New Roman" w:hAnsi="Times New Roman" w:cs="Times New Roman"/>
          <w:color w:val="auto"/>
        </w:rPr>
        <w:t>The contractor’</w:t>
      </w:r>
      <w:r w:rsidR="00822BC1" w:rsidRPr="00DD6763">
        <w:rPr>
          <w:rFonts w:ascii="Times New Roman" w:hAnsi="Times New Roman" w:cs="Times New Roman"/>
          <w:color w:val="auto"/>
        </w:rPr>
        <w:t xml:space="preserve">s obligations included preparing an </w:t>
      </w:r>
      <w:r w:rsidR="008208B3" w:rsidRPr="00DD6763">
        <w:rPr>
          <w:rFonts w:ascii="Times New Roman" w:hAnsi="Times New Roman" w:cs="Times New Roman"/>
          <w:color w:val="auto"/>
        </w:rPr>
        <w:t>EIA</w:t>
      </w:r>
      <w:r w:rsidR="00213BED" w:rsidRPr="00DD6763">
        <w:rPr>
          <w:rFonts w:ascii="Times New Roman" w:hAnsi="Times New Roman" w:cs="Times New Roman"/>
          <w:color w:val="auto"/>
        </w:rPr>
        <w:t xml:space="preserve"> </w:t>
      </w:r>
      <w:r w:rsidR="00822BC1" w:rsidRPr="00DD6763">
        <w:rPr>
          <w:rFonts w:ascii="Times New Roman" w:hAnsi="Times New Roman" w:cs="Times New Roman"/>
          <w:color w:val="auto"/>
        </w:rPr>
        <w:t xml:space="preserve">containing </w:t>
      </w:r>
      <w:r w:rsidR="001C3F46" w:rsidRPr="00DD6763">
        <w:rPr>
          <w:rFonts w:ascii="Times New Roman" w:hAnsi="Times New Roman" w:cs="Times New Roman"/>
          <w:color w:val="auto"/>
        </w:rPr>
        <w:t xml:space="preserve">a </w:t>
      </w:r>
      <w:r w:rsidR="00822BC1" w:rsidRPr="00DD6763">
        <w:rPr>
          <w:rFonts w:ascii="Times New Roman" w:hAnsi="Times New Roman" w:cs="Times New Roman"/>
          <w:color w:val="auto"/>
        </w:rPr>
        <w:t xml:space="preserve">description of the </w:t>
      </w:r>
      <w:r w:rsidR="00A77E17" w:rsidRPr="00DD6763">
        <w:rPr>
          <w:rFonts w:ascii="Times New Roman" w:hAnsi="Times New Roman" w:cs="Times New Roman"/>
          <w:color w:val="auto"/>
        </w:rPr>
        <w:t>natural resources (</w:t>
      </w:r>
      <w:r w:rsidR="00822BC1" w:rsidRPr="00DD6763">
        <w:rPr>
          <w:rFonts w:ascii="Times New Roman" w:hAnsi="Times New Roman" w:cs="Times New Roman"/>
          <w:color w:val="auto"/>
        </w:rPr>
        <w:t>especially the</w:t>
      </w:r>
      <w:r w:rsidR="00A77E17" w:rsidRPr="00DD6763">
        <w:rPr>
          <w:rFonts w:ascii="Times New Roman" w:hAnsi="Times New Roman" w:cs="Times New Roman"/>
          <w:color w:val="auto"/>
        </w:rPr>
        <w:t xml:space="preserve"> forests, wild flora and fauna) </w:t>
      </w:r>
      <w:r w:rsidR="00822BC1" w:rsidRPr="00DD6763">
        <w:rPr>
          <w:rFonts w:ascii="Times New Roman" w:hAnsi="Times New Roman" w:cs="Times New Roman"/>
          <w:color w:val="auto"/>
        </w:rPr>
        <w:t>as well as of the social, economic and cultura</w:t>
      </w:r>
      <w:r w:rsidR="00A77E17" w:rsidRPr="00DD6763">
        <w:rPr>
          <w:rFonts w:ascii="Times New Roman" w:hAnsi="Times New Roman" w:cs="Times New Roman"/>
          <w:color w:val="auto"/>
        </w:rPr>
        <w:t xml:space="preserve">l aspects of the affected </w:t>
      </w:r>
      <w:r w:rsidR="00822BC1" w:rsidRPr="00DD6763">
        <w:rPr>
          <w:rFonts w:ascii="Times New Roman" w:hAnsi="Times New Roman" w:cs="Times New Roman"/>
          <w:color w:val="auto"/>
        </w:rPr>
        <w:t xml:space="preserve">communities </w:t>
      </w:r>
      <w:r w:rsidR="00A77E17" w:rsidRPr="00DD6763">
        <w:rPr>
          <w:rFonts w:ascii="Times New Roman" w:hAnsi="Times New Roman" w:cs="Times New Roman"/>
          <w:color w:val="auto"/>
        </w:rPr>
        <w:t xml:space="preserve">and drawing an Environmental Management Plan for the exploitation </w:t>
      </w:r>
      <w:r w:rsidR="00822BC1" w:rsidRPr="00DD6763">
        <w:rPr>
          <w:rFonts w:ascii="Times New Roman" w:hAnsi="Times New Roman" w:cs="Times New Roman"/>
          <w:color w:val="auto"/>
        </w:rPr>
        <w:t>to preserve the existing ecological balance in the exploration area.</w:t>
      </w:r>
      <w:r w:rsidR="001A47D5" w:rsidRPr="00DD6763">
        <w:rPr>
          <w:rStyle w:val="FootnoteReference"/>
          <w:rFonts w:ascii="Times New Roman" w:hAnsi="Times New Roman" w:cs="Times New Roman"/>
          <w:color w:val="auto"/>
        </w:rPr>
        <w:footnoteReference w:id="117"/>
      </w:r>
      <w:r w:rsidR="00822BC1" w:rsidRPr="00DD6763">
        <w:rPr>
          <w:rFonts w:ascii="Times New Roman" w:hAnsi="Times New Roman" w:cs="Times New Roman"/>
        </w:rPr>
        <w:t xml:space="preserve"> </w:t>
      </w:r>
      <w:r w:rsidR="00822BC1" w:rsidRPr="00DD6763">
        <w:rPr>
          <w:rFonts w:ascii="Times New Roman" w:hAnsi="Times New Roman" w:cs="Times New Roman"/>
          <w:color w:val="auto"/>
        </w:rPr>
        <w:t xml:space="preserve">The </w:t>
      </w:r>
      <w:proofErr w:type="spellStart"/>
      <w:r w:rsidR="001A47D5" w:rsidRPr="00DD6763">
        <w:rPr>
          <w:rFonts w:ascii="Times New Roman" w:hAnsi="Times New Roman" w:cs="Times New Roman"/>
          <w:color w:val="auto"/>
        </w:rPr>
        <w:t>IACtHR</w:t>
      </w:r>
      <w:proofErr w:type="spellEnd"/>
      <w:r w:rsidR="00822BC1" w:rsidRPr="00DD6763">
        <w:rPr>
          <w:rFonts w:ascii="Times New Roman" w:hAnsi="Times New Roman" w:cs="Times New Roman"/>
          <w:color w:val="auto"/>
        </w:rPr>
        <w:t xml:space="preserve"> </w:t>
      </w:r>
      <w:r w:rsidR="001A47D5" w:rsidRPr="00DD6763">
        <w:rPr>
          <w:rFonts w:ascii="Times New Roman" w:hAnsi="Times New Roman" w:cs="Times New Roman"/>
          <w:color w:val="auto"/>
        </w:rPr>
        <w:t xml:space="preserve">concluded that the lack of consultation and consent had put </w:t>
      </w:r>
      <w:r w:rsidR="00822BC1" w:rsidRPr="00DD6763">
        <w:rPr>
          <w:rFonts w:ascii="Times New Roman" w:hAnsi="Times New Roman" w:cs="Times New Roman"/>
          <w:color w:val="auto"/>
        </w:rPr>
        <w:t>the community’s territory, life, and culture</w:t>
      </w:r>
      <w:r w:rsidR="001A47D5" w:rsidRPr="00DD6763">
        <w:rPr>
          <w:rFonts w:ascii="Times New Roman" w:hAnsi="Times New Roman" w:cs="Times New Roman"/>
          <w:color w:val="auto"/>
        </w:rPr>
        <w:t xml:space="preserve"> at risk</w:t>
      </w:r>
      <w:r w:rsidR="00822BC1" w:rsidRPr="00DD6763">
        <w:rPr>
          <w:rFonts w:ascii="Times New Roman" w:hAnsi="Times New Roman" w:cs="Times New Roman"/>
          <w:color w:val="auto"/>
        </w:rPr>
        <w:t>.</w:t>
      </w:r>
    </w:p>
    <w:p w14:paraId="32D38223" w14:textId="574838F7" w:rsidR="00822BC1" w:rsidRPr="00DD6763" w:rsidRDefault="00A13BE2"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Concerning the </w:t>
      </w:r>
      <w:r w:rsidR="001A47D5" w:rsidRPr="00DD6763">
        <w:rPr>
          <w:rFonts w:ascii="Times New Roman" w:hAnsi="Times New Roman" w:cs="Times New Roman"/>
          <w:sz w:val="24"/>
          <w:szCs w:val="24"/>
        </w:rPr>
        <w:t>FPIC</w:t>
      </w:r>
      <w:r w:rsidR="00231C96" w:rsidRPr="00DD6763">
        <w:rPr>
          <w:rFonts w:ascii="Times New Roman" w:hAnsi="Times New Roman" w:cs="Times New Roman"/>
          <w:sz w:val="24"/>
          <w:szCs w:val="24"/>
        </w:rPr>
        <w:t xml:space="preserve">, </w:t>
      </w:r>
      <w:r w:rsidR="001A47D5" w:rsidRPr="00DD6763">
        <w:rPr>
          <w:rFonts w:ascii="Times New Roman" w:hAnsi="Times New Roman" w:cs="Times New Roman"/>
          <w:sz w:val="24"/>
          <w:szCs w:val="24"/>
        </w:rPr>
        <w:t>t</w:t>
      </w:r>
      <w:r w:rsidR="00231C96" w:rsidRPr="00DD6763">
        <w:rPr>
          <w:rFonts w:ascii="Times New Roman" w:hAnsi="Times New Roman" w:cs="Times New Roman"/>
          <w:sz w:val="24"/>
          <w:szCs w:val="24"/>
        </w:rPr>
        <w:t xml:space="preserve">he Court observed that </w:t>
      </w:r>
      <w:r w:rsidR="001A47D5" w:rsidRPr="00DD6763">
        <w:rPr>
          <w:rFonts w:ascii="Times New Roman" w:hAnsi="Times New Roman" w:cs="Times New Roman"/>
          <w:sz w:val="24"/>
          <w:szCs w:val="24"/>
        </w:rPr>
        <w:t xml:space="preserve">different </w:t>
      </w:r>
      <w:r w:rsidR="00822BC1" w:rsidRPr="00DD6763">
        <w:rPr>
          <w:rFonts w:ascii="Times New Roman" w:hAnsi="Times New Roman" w:cs="Times New Roman"/>
          <w:sz w:val="24"/>
          <w:szCs w:val="24"/>
        </w:rPr>
        <w:t xml:space="preserve">interpretation criteria </w:t>
      </w:r>
      <w:r w:rsidR="001A47D5" w:rsidRPr="00DD6763">
        <w:rPr>
          <w:rFonts w:ascii="Times New Roman" w:hAnsi="Times New Roman" w:cs="Times New Roman"/>
          <w:sz w:val="24"/>
          <w:szCs w:val="24"/>
        </w:rPr>
        <w:t>are followed by domestic courts</w:t>
      </w:r>
      <w:r w:rsidR="00D35F6E" w:rsidRPr="00DD6763">
        <w:rPr>
          <w:rFonts w:ascii="Times New Roman" w:hAnsi="Times New Roman" w:cs="Times New Roman"/>
          <w:sz w:val="24"/>
          <w:szCs w:val="24"/>
        </w:rPr>
        <w:t>: “</w:t>
      </w:r>
      <w:r w:rsidR="00822BC1" w:rsidRPr="00DD6763">
        <w:rPr>
          <w:rFonts w:ascii="Times New Roman" w:hAnsi="Times New Roman" w:cs="Times New Roman"/>
          <w:sz w:val="24"/>
          <w:szCs w:val="24"/>
        </w:rPr>
        <w:t>courts of countries that have not</w:t>
      </w:r>
      <w:r w:rsidR="00926390" w:rsidRPr="00DD6763">
        <w:rPr>
          <w:rFonts w:ascii="Times New Roman" w:hAnsi="Times New Roman" w:cs="Times New Roman"/>
          <w:sz w:val="24"/>
          <w:szCs w:val="24"/>
        </w:rPr>
        <w:t xml:space="preserve"> ratified C</w:t>
      </w:r>
      <w:r w:rsidR="00822BC1" w:rsidRPr="00DD6763">
        <w:rPr>
          <w:rFonts w:ascii="Times New Roman" w:hAnsi="Times New Roman" w:cs="Times New Roman"/>
          <w:sz w:val="24"/>
          <w:szCs w:val="24"/>
        </w:rPr>
        <w:t>169 have also referred to the need to carry out prior consultations with indigenous, autochthonous or tribal communities regarding any administrative or legislative measure that directly affects them, as well as with regard to the exploitation of natur</w:t>
      </w:r>
      <w:r w:rsidR="00D35F6E" w:rsidRPr="00DD6763">
        <w:rPr>
          <w:rFonts w:ascii="Times New Roman" w:hAnsi="Times New Roman" w:cs="Times New Roman"/>
          <w:sz w:val="24"/>
          <w:szCs w:val="24"/>
        </w:rPr>
        <w:t>al resources on their territory”</w:t>
      </w:r>
      <w:r w:rsidR="00822BC1" w:rsidRPr="00DD6763">
        <w:rPr>
          <w:rFonts w:ascii="Times New Roman" w:hAnsi="Times New Roman" w:cs="Times New Roman"/>
          <w:sz w:val="24"/>
          <w:szCs w:val="24"/>
        </w:rPr>
        <w:t>.</w:t>
      </w:r>
      <w:r w:rsidR="00822BC1" w:rsidRPr="00DD6763">
        <w:rPr>
          <w:rStyle w:val="FootnoteReference"/>
          <w:rFonts w:ascii="Times New Roman" w:hAnsi="Times New Roman" w:cs="Times New Roman"/>
          <w:sz w:val="24"/>
          <w:szCs w:val="24"/>
        </w:rPr>
        <w:footnoteReference w:id="118"/>
      </w:r>
      <w:r w:rsidR="00822BC1" w:rsidRPr="00DD6763">
        <w:rPr>
          <w:rFonts w:ascii="Times New Roman" w:hAnsi="Times New Roman" w:cs="Times New Roman"/>
          <w:sz w:val="24"/>
          <w:szCs w:val="24"/>
        </w:rPr>
        <w:t xml:space="preserve"> </w:t>
      </w:r>
      <w:r w:rsidR="000D7BEC" w:rsidRPr="00DD6763">
        <w:rPr>
          <w:rFonts w:ascii="Times New Roman" w:hAnsi="Times New Roman" w:cs="Times New Roman"/>
          <w:sz w:val="24"/>
          <w:szCs w:val="24"/>
        </w:rPr>
        <w:t xml:space="preserve"> Also</w:t>
      </w:r>
      <w:r w:rsidR="00D35F6E" w:rsidRPr="00DD6763">
        <w:rPr>
          <w:rFonts w:ascii="Times New Roman" w:hAnsi="Times New Roman" w:cs="Times New Roman"/>
          <w:sz w:val="24"/>
          <w:szCs w:val="24"/>
        </w:rPr>
        <w:t xml:space="preserve"> the Court stipulated that “</w:t>
      </w:r>
      <w:r w:rsidR="00822BC1" w:rsidRPr="00DD6763">
        <w:rPr>
          <w:rFonts w:ascii="Times New Roman" w:hAnsi="Times New Roman" w:cs="Times New Roman"/>
          <w:sz w:val="24"/>
          <w:szCs w:val="24"/>
        </w:rPr>
        <w:t>[</w:t>
      </w:r>
      <w:proofErr w:type="spellStart"/>
      <w:r w:rsidR="00822BC1" w:rsidRPr="00DD6763">
        <w:rPr>
          <w:rFonts w:ascii="Times New Roman" w:hAnsi="Times New Roman" w:cs="Times New Roman"/>
          <w:sz w:val="24"/>
          <w:szCs w:val="24"/>
        </w:rPr>
        <w:t>t]he</w:t>
      </w:r>
      <w:proofErr w:type="spellEnd"/>
      <w:r w:rsidR="00822BC1" w:rsidRPr="00DD6763">
        <w:rPr>
          <w:rFonts w:ascii="Times New Roman" w:hAnsi="Times New Roman" w:cs="Times New Roman"/>
          <w:sz w:val="24"/>
          <w:szCs w:val="24"/>
        </w:rPr>
        <w:t xml:space="preserve"> obligation to consult the indigenous and tribal communities and peoples on any administrative or legislative measure that may affect their rights, as recognized under domestic and international law, as well as the obligation to guarantee the rights of indigenous peoples to participate in decisions on matters that concern their interests, is directly related to the general obligation to guarantee the free and full exercise of the rights recognized in the Convention (Article 1(1))</w:t>
      </w:r>
      <w:r w:rsidRPr="00DD6763">
        <w:rPr>
          <w:rFonts w:ascii="Times New Roman" w:hAnsi="Times New Roman" w:cs="Times New Roman"/>
          <w:sz w:val="24"/>
          <w:szCs w:val="24"/>
        </w:rPr>
        <w:t>”.</w:t>
      </w:r>
      <w:r w:rsidR="00822BC1" w:rsidRPr="00DD6763">
        <w:rPr>
          <w:rStyle w:val="FootnoteReference"/>
          <w:rFonts w:ascii="Times New Roman" w:hAnsi="Times New Roman" w:cs="Times New Roman"/>
          <w:sz w:val="24"/>
          <w:szCs w:val="24"/>
        </w:rPr>
        <w:footnoteReference w:id="119"/>
      </w:r>
    </w:p>
    <w:p w14:paraId="773443B7" w14:textId="370B1B9F" w:rsidR="00822BC1" w:rsidRPr="00DD6763" w:rsidRDefault="00822BC1"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With regard to the </w:t>
      </w:r>
      <w:r w:rsidR="00C20F62" w:rsidRPr="00DD6763">
        <w:rPr>
          <w:rFonts w:ascii="Times New Roman" w:hAnsi="Times New Roman" w:cs="Times New Roman"/>
          <w:sz w:val="24"/>
          <w:szCs w:val="24"/>
        </w:rPr>
        <w:t xml:space="preserve">relationship </w:t>
      </w:r>
      <w:r w:rsidRPr="00DD6763">
        <w:rPr>
          <w:rFonts w:ascii="Times New Roman" w:hAnsi="Times New Roman" w:cs="Times New Roman"/>
          <w:sz w:val="24"/>
          <w:szCs w:val="24"/>
        </w:rPr>
        <w:t xml:space="preserve">between </w:t>
      </w:r>
      <w:r w:rsidR="00EA55E0" w:rsidRPr="00DD6763">
        <w:rPr>
          <w:rFonts w:ascii="Times New Roman" w:hAnsi="Times New Roman" w:cs="Times New Roman"/>
          <w:sz w:val="24"/>
          <w:szCs w:val="24"/>
        </w:rPr>
        <w:t>IIL</w:t>
      </w:r>
      <w:r w:rsidRPr="00DD6763">
        <w:rPr>
          <w:rFonts w:ascii="Times New Roman" w:hAnsi="Times New Roman" w:cs="Times New Roman"/>
          <w:sz w:val="24"/>
          <w:szCs w:val="24"/>
        </w:rPr>
        <w:t xml:space="preserve"> and </w:t>
      </w:r>
      <w:r w:rsidR="00726EAF" w:rsidRPr="00DD6763">
        <w:rPr>
          <w:rFonts w:ascii="Times New Roman" w:hAnsi="Times New Roman" w:cs="Times New Roman"/>
          <w:sz w:val="24"/>
          <w:szCs w:val="24"/>
        </w:rPr>
        <w:t>FPIC</w:t>
      </w:r>
      <w:r w:rsidRPr="00DD6763">
        <w:rPr>
          <w:rFonts w:ascii="Times New Roman" w:hAnsi="Times New Roman" w:cs="Times New Roman"/>
          <w:sz w:val="24"/>
          <w:szCs w:val="24"/>
        </w:rPr>
        <w:t>, the Court c</w:t>
      </w:r>
      <w:r w:rsidR="00726EAF" w:rsidRPr="00DD6763">
        <w:rPr>
          <w:rFonts w:ascii="Times New Roman" w:hAnsi="Times New Roman" w:cs="Times New Roman"/>
          <w:sz w:val="24"/>
          <w:szCs w:val="24"/>
        </w:rPr>
        <w:t>larified that the state has</w:t>
      </w:r>
      <w:r w:rsidR="00AF0BFE" w:rsidRPr="00DD6763">
        <w:rPr>
          <w:rFonts w:ascii="Times New Roman" w:hAnsi="Times New Roman" w:cs="Times New Roman"/>
          <w:sz w:val="24"/>
          <w:szCs w:val="24"/>
        </w:rPr>
        <w:t xml:space="preserve"> various obligations. First, </w:t>
      </w:r>
      <w:r w:rsidR="00726EAF" w:rsidRPr="00DD6763">
        <w:rPr>
          <w:rFonts w:ascii="Times New Roman" w:hAnsi="Times New Roman" w:cs="Times New Roman"/>
          <w:sz w:val="24"/>
          <w:szCs w:val="24"/>
        </w:rPr>
        <w:t>the</w:t>
      </w:r>
      <w:r w:rsidR="00AF0BFE" w:rsidRPr="00DD6763">
        <w:rPr>
          <w:rFonts w:ascii="Times New Roman" w:hAnsi="Times New Roman" w:cs="Times New Roman"/>
          <w:sz w:val="24"/>
          <w:szCs w:val="24"/>
        </w:rPr>
        <w:t xml:space="preserve"> states’ </w:t>
      </w:r>
      <w:r w:rsidR="00D35F6E" w:rsidRPr="00DD6763">
        <w:rPr>
          <w:rFonts w:ascii="Times New Roman" w:hAnsi="Times New Roman" w:cs="Times New Roman"/>
          <w:sz w:val="24"/>
          <w:szCs w:val="24"/>
        </w:rPr>
        <w:t>“</w:t>
      </w:r>
      <w:r w:rsidRPr="00DD6763">
        <w:rPr>
          <w:rFonts w:ascii="Times New Roman" w:hAnsi="Times New Roman" w:cs="Times New Roman"/>
          <w:sz w:val="24"/>
          <w:szCs w:val="24"/>
        </w:rPr>
        <w:t>[d]</w:t>
      </w:r>
      <w:proofErr w:type="spellStart"/>
      <w:r w:rsidRPr="00DD6763">
        <w:rPr>
          <w:rFonts w:ascii="Times New Roman" w:hAnsi="Times New Roman" w:cs="Times New Roman"/>
          <w:sz w:val="24"/>
          <w:szCs w:val="24"/>
        </w:rPr>
        <w:t>uty</w:t>
      </w:r>
      <w:proofErr w:type="spellEnd"/>
      <w:r w:rsidRPr="00DD6763">
        <w:rPr>
          <w:rFonts w:ascii="Times New Roman" w:hAnsi="Times New Roman" w:cs="Times New Roman"/>
          <w:sz w:val="24"/>
          <w:szCs w:val="24"/>
        </w:rPr>
        <w:t xml:space="preserve"> to organize appropriately the entire government apparatus and, in general, all the organizations </w:t>
      </w:r>
      <w:r w:rsidR="00726EAF"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so that they are capable of legally guaranteeing the free and </w:t>
      </w:r>
      <w:r w:rsidR="00AF0BFE" w:rsidRPr="00DD6763">
        <w:rPr>
          <w:rFonts w:ascii="Times New Roman" w:hAnsi="Times New Roman" w:cs="Times New Roman"/>
          <w:sz w:val="24"/>
          <w:szCs w:val="24"/>
        </w:rPr>
        <w:t>full exercise of those rights</w:t>
      </w:r>
      <w:r w:rsidR="00A13BE2" w:rsidRPr="00DD6763">
        <w:rPr>
          <w:rFonts w:ascii="Times New Roman" w:hAnsi="Times New Roman" w:cs="Times New Roman"/>
          <w:sz w:val="24"/>
          <w:szCs w:val="24"/>
        </w:rPr>
        <w:t>”.</w:t>
      </w:r>
      <w:r w:rsidR="00AF0BFE" w:rsidRPr="00DD6763">
        <w:rPr>
          <w:rStyle w:val="FootnoteReference"/>
          <w:rFonts w:ascii="Times New Roman" w:hAnsi="Times New Roman" w:cs="Times New Roman"/>
          <w:sz w:val="24"/>
          <w:szCs w:val="24"/>
        </w:rPr>
        <w:footnoteReference w:id="120"/>
      </w:r>
      <w:r w:rsidR="00AF0BFE" w:rsidRPr="00DD6763">
        <w:rPr>
          <w:rFonts w:ascii="Times New Roman" w:hAnsi="Times New Roman" w:cs="Times New Roman"/>
          <w:sz w:val="24"/>
          <w:szCs w:val="24"/>
        </w:rPr>
        <w:t xml:space="preserve"> Second, states are under</w:t>
      </w:r>
      <w:r w:rsidR="00BF05AA" w:rsidRPr="00DD6763">
        <w:rPr>
          <w:rFonts w:ascii="Times New Roman" w:hAnsi="Times New Roman" w:cs="Times New Roman"/>
          <w:sz w:val="24"/>
          <w:szCs w:val="24"/>
        </w:rPr>
        <w:t xml:space="preserve"> </w:t>
      </w:r>
      <w:r w:rsidR="00D35F6E" w:rsidRPr="00DD6763">
        <w:rPr>
          <w:rFonts w:ascii="Times New Roman" w:hAnsi="Times New Roman" w:cs="Times New Roman"/>
          <w:sz w:val="24"/>
          <w:szCs w:val="24"/>
        </w:rPr>
        <w:t>“</w:t>
      </w:r>
      <w:r w:rsidR="00BF05AA" w:rsidRPr="00DD6763">
        <w:rPr>
          <w:rFonts w:ascii="Times New Roman" w:hAnsi="Times New Roman" w:cs="Times New Roman"/>
          <w:i/>
          <w:sz w:val="24"/>
          <w:szCs w:val="24"/>
        </w:rPr>
        <w:t>the</w:t>
      </w:r>
      <w:r w:rsidR="00BF05AA" w:rsidRPr="00DD6763">
        <w:rPr>
          <w:rFonts w:ascii="Times New Roman" w:hAnsi="Times New Roman" w:cs="Times New Roman"/>
          <w:sz w:val="24"/>
          <w:szCs w:val="24"/>
        </w:rPr>
        <w:t xml:space="preserve"> o</w:t>
      </w:r>
      <w:r w:rsidRPr="00DD6763">
        <w:rPr>
          <w:rFonts w:ascii="Times New Roman" w:hAnsi="Times New Roman" w:cs="Times New Roman"/>
          <w:sz w:val="24"/>
          <w:szCs w:val="24"/>
        </w:rPr>
        <w:t>bligation to structure their laws and institutions so that indigenous, autochthonous or tribal communities can be consulted effectively, in accordance with the r</w:t>
      </w:r>
      <w:r w:rsidR="00AF0BFE" w:rsidRPr="00DD6763">
        <w:rPr>
          <w:rFonts w:ascii="Times New Roman" w:hAnsi="Times New Roman" w:cs="Times New Roman"/>
          <w:sz w:val="24"/>
          <w:szCs w:val="24"/>
        </w:rPr>
        <w:t>elevant international standards</w:t>
      </w:r>
      <w:r w:rsidR="00A13BE2" w:rsidRPr="00DD6763">
        <w:rPr>
          <w:rFonts w:ascii="Times New Roman" w:hAnsi="Times New Roman" w:cs="Times New Roman"/>
          <w:sz w:val="24"/>
          <w:szCs w:val="24"/>
        </w:rPr>
        <w:t>”.</w:t>
      </w:r>
      <w:r w:rsidR="00AF0BFE" w:rsidRPr="00DD6763">
        <w:rPr>
          <w:rStyle w:val="FootnoteReference"/>
          <w:rFonts w:ascii="Times New Roman" w:hAnsi="Times New Roman" w:cs="Times New Roman"/>
          <w:sz w:val="24"/>
          <w:szCs w:val="24"/>
        </w:rPr>
        <w:footnoteReference w:id="121"/>
      </w:r>
      <w:r w:rsidR="00AF0BFE" w:rsidRPr="00DD6763">
        <w:rPr>
          <w:rFonts w:ascii="Times New Roman" w:hAnsi="Times New Roman" w:cs="Times New Roman"/>
          <w:sz w:val="24"/>
          <w:szCs w:val="24"/>
        </w:rPr>
        <w:t xml:space="preserve"> Third, s</w:t>
      </w:r>
      <w:r w:rsidRPr="00DD6763">
        <w:rPr>
          <w:rFonts w:ascii="Times New Roman" w:hAnsi="Times New Roman" w:cs="Times New Roman"/>
          <w:sz w:val="24"/>
          <w:szCs w:val="24"/>
        </w:rPr>
        <w:t xml:space="preserve">tates </w:t>
      </w:r>
      <w:r w:rsidR="00D35F6E" w:rsidRPr="00DD6763">
        <w:rPr>
          <w:rFonts w:ascii="Times New Roman" w:hAnsi="Times New Roman" w:cs="Times New Roman"/>
          <w:sz w:val="24"/>
          <w:szCs w:val="24"/>
        </w:rPr>
        <w:t>“</w:t>
      </w:r>
      <w:r w:rsidRPr="00DD6763">
        <w:rPr>
          <w:rFonts w:ascii="Times New Roman" w:hAnsi="Times New Roman" w:cs="Times New Roman"/>
          <w:sz w:val="24"/>
          <w:szCs w:val="24"/>
        </w:rPr>
        <w:t xml:space="preserve">must incorporate those standards into prior consultation </w:t>
      </w:r>
      <w:r w:rsidRPr="00DD6763">
        <w:rPr>
          <w:rFonts w:ascii="Times New Roman" w:hAnsi="Times New Roman" w:cs="Times New Roman"/>
          <w:sz w:val="24"/>
          <w:szCs w:val="24"/>
        </w:rPr>
        <w:lastRenderedPageBreak/>
        <w:t>procedures, in order to create channels for sustained, effective and reliable dialogue with the indigenous communities in consultation and participation processes through th</w:t>
      </w:r>
      <w:r w:rsidR="00D35F6E" w:rsidRPr="00DD6763">
        <w:rPr>
          <w:rFonts w:ascii="Times New Roman" w:hAnsi="Times New Roman" w:cs="Times New Roman"/>
          <w:sz w:val="24"/>
          <w:szCs w:val="24"/>
        </w:rPr>
        <w:t>eir representative institutions</w:t>
      </w:r>
      <w:r w:rsidR="00A13BE2"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122"/>
      </w:r>
    </w:p>
    <w:p w14:paraId="2B16BCDE" w14:textId="3A99B904" w:rsidR="00D906A9" w:rsidRPr="00DD6763" w:rsidRDefault="00926390"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As regards C</w:t>
      </w:r>
      <w:r w:rsidR="00822BC1" w:rsidRPr="00DD6763">
        <w:rPr>
          <w:rFonts w:ascii="Times New Roman" w:hAnsi="Times New Roman" w:cs="Times New Roman"/>
          <w:sz w:val="24"/>
          <w:szCs w:val="24"/>
        </w:rPr>
        <w:t xml:space="preserve">169, the Court underlined the State’s obligation to guarantee the right to consultation of the </w:t>
      </w:r>
      <w:proofErr w:type="spellStart"/>
      <w:r w:rsidR="00822BC1" w:rsidRPr="00DD6763">
        <w:rPr>
          <w:rFonts w:ascii="Times New Roman" w:hAnsi="Times New Roman" w:cs="Times New Roman"/>
          <w:sz w:val="24"/>
          <w:szCs w:val="24"/>
        </w:rPr>
        <w:t>Sarayaku</w:t>
      </w:r>
      <w:proofErr w:type="spellEnd"/>
      <w:r w:rsidR="00822BC1" w:rsidRPr="00DD6763">
        <w:rPr>
          <w:rFonts w:ascii="Times New Roman" w:hAnsi="Times New Roman" w:cs="Times New Roman"/>
          <w:sz w:val="24"/>
          <w:szCs w:val="24"/>
        </w:rPr>
        <w:t xml:space="preserve"> people. In this case, the </w:t>
      </w:r>
      <w:proofErr w:type="spellStart"/>
      <w:r w:rsidR="00822BC1" w:rsidRPr="00DD6763">
        <w:rPr>
          <w:rFonts w:ascii="Times New Roman" w:hAnsi="Times New Roman" w:cs="Times New Roman"/>
          <w:sz w:val="24"/>
          <w:szCs w:val="24"/>
        </w:rPr>
        <w:t>IACtHR</w:t>
      </w:r>
      <w:proofErr w:type="spellEnd"/>
      <w:r w:rsidR="00822BC1" w:rsidRPr="00DD6763">
        <w:rPr>
          <w:rFonts w:ascii="Times New Roman" w:hAnsi="Times New Roman" w:cs="Times New Roman"/>
          <w:sz w:val="24"/>
          <w:szCs w:val="24"/>
        </w:rPr>
        <w:t xml:space="preserve"> </w:t>
      </w:r>
      <w:r w:rsidR="00AF0BFE" w:rsidRPr="00DD6763">
        <w:rPr>
          <w:rFonts w:ascii="Times New Roman" w:hAnsi="Times New Roman" w:cs="Times New Roman"/>
          <w:sz w:val="24"/>
          <w:szCs w:val="24"/>
        </w:rPr>
        <w:t>created a</w:t>
      </w:r>
      <w:r w:rsidR="00822BC1" w:rsidRPr="00DD6763">
        <w:rPr>
          <w:rFonts w:ascii="Times New Roman" w:hAnsi="Times New Roman" w:cs="Times New Roman"/>
          <w:sz w:val="24"/>
          <w:szCs w:val="24"/>
        </w:rPr>
        <w:t xml:space="preserve"> test </w:t>
      </w:r>
      <w:r w:rsidR="00AF0BFE" w:rsidRPr="00DD6763">
        <w:rPr>
          <w:rFonts w:ascii="Times New Roman" w:hAnsi="Times New Roman" w:cs="Times New Roman"/>
          <w:sz w:val="24"/>
          <w:szCs w:val="24"/>
        </w:rPr>
        <w:t>to</w:t>
      </w:r>
      <w:r w:rsidR="00822BC1" w:rsidRPr="00DD6763">
        <w:rPr>
          <w:rFonts w:ascii="Times New Roman" w:hAnsi="Times New Roman" w:cs="Times New Roman"/>
          <w:sz w:val="24"/>
          <w:szCs w:val="24"/>
        </w:rPr>
        <w:t xml:space="preserve"> be applied in order to determine if there has been a proper </w:t>
      </w:r>
      <w:r w:rsidR="00AF0BFE" w:rsidRPr="00DD6763">
        <w:rPr>
          <w:rFonts w:ascii="Times New Roman" w:hAnsi="Times New Roman" w:cs="Times New Roman"/>
          <w:sz w:val="24"/>
          <w:szCs w:val="24"/>
        </w:rPr>
        <w:t>consultation,</w:t>
      </w:r>
      <w:r w:rsidR="00822BC1" w:rsidRPr="00DD6763">
        <w:rPr>
          <w:rFonts w:ascii="Times New Roman" w:hAnsi="Times New Roman" w:cs="Times New Roman"/>
          <w:sz w:val="24"/>
          <w:szCs w:val="24"/>
        </w:rPr>
        <w:t xml:space="preserve"> </w:t>
      </w:r>
      <w:r w:rsidR="00AF0BFE" w:rsidRPr="00DD6763">
        <w:rPr>
          <w:rFonts w:ascii="Times New Roman" w:hAnsi="Times New Roman" w:cs="Times New Roman"/>
          <w:sz w:val="24"/>
          <w:szCs w:val="24"/>
        </w:rPr>
        <w:t>particularly,</w:t>
      </w:r>
      <w:r w:rsidR="00822BC1" w:rsidRPr="00DD6763">
        <w:rPr>
          <w:rFonts w:ascii="Times New Roman" w:hAnsi="Times New Roman" w:cs="Times New Roman"/>
          <w:sz w:val="24"/>
          <w:szCs w:val="24"/>
        </w:rPr>
        <w:t xml:space="preserve"> in large projects</w:t>
      </w:r>
      <w:r w:rsidR="003E736A" w:rsidRPr="00DD6763">
        <w:rPr>
          <w:rFonts w:ascii="Times New Roman" w:hAnsi="Times New Roman" w:cs="Times New Roman"/>
          <w:sz w:val="24"/>
          <w:szCs w:val="24"/>
        </w:rPr>
        <w:t xml:space="preserve"> without, however, establishing a threshold</w:t>
      </w:r>
      <w:r w:rsidR="00822BC1" w:rsidRPr="00DD6763">
        <w:rPr>
          <w:rFonts w:ascii="Times New Roman" w:hAnsi="Times New Roman" w:cs="Times New Roman"/>
          <w:sz w:val="24"/>
          <w:szCs w:val="24"/>
        </w:rPr>
        <w:t>.</w:t>
      </w:r>
      <w:r w:rsidR="00822BC1" w:rsidRPr="00DD6763">
        <w:rPr>
          <w:rStyle w:val="FootnoteReference"/>
          <w:rFonts w:ascii="Times New Roman" w:hAnsi="Times New Roman" w:cs="Times New Roman"/>
          <w:sz w:val="24"/>
          <w:szCs w:val="24"/>
        </w:rPr>
        <w:footnoteReference w:id="123"/>
      </w:r>
      <w:r w:rsidR="00822BC1" w:rsidRPr="00DD6763">
        <w:rPr>
          <w:rFonts w:ascii="Times New Roman" w:hAnsi="Times New Roman" w:cs="Times New Roman"/>
          <w:sz w:val="24"/>
          <w:szCs w:val="24"/>
        </w:rPr>
        <w:t xml:space="preserve"> </w:t>
      </w:r>
      <w:r w:rsidR="003E736A" w:rsidRPr="00DD6763">
        <w:rPr>
          <w:rFonts w:ascii="Times New Roman" w:hAnsi="Times New Roman" w:cs="Times New Roman"/>
          <w:sz w:val="24"/>
          <w:szCs w:val="24"/>
        </w:rPr>
        <w:t>First</w:t>
      </w:r>
      <w:r w:rsidR="00822BC1" w:rsidRPr="00DD6763">
        <w:rPr>
          <w:rFonts w:ascii="Times New Roman" w:hAnsi="Times New Roman" w:cs="Times New Roman"/>
          <w:sz w:val="24"/>
          <w:szCs w:val="24"/>
        </w:rPr>
        <w:t>, consultation must take place in advance.</w:t>
      </w:r>
      <w:r w:rsidR="00822BC1" w:rsidRPr="00DD6763">
        <w:rPr>
          <w:rStyle w:val="FootnoteReference"/>
          <w:rFonts w:ascii="Times New Roman" w:hAnsi="Times New Roman" w:cs="Times New Roman"/>
          <w:sz w:val="24"/>
          <w:szCs w:val="24"/>
        </w:rPr>
        <w:footnoteReference w:id="124"/>
      </w:r>
      <w:r w:rsidR="00822BC1" w:rsidRPr="00DD6763">
        <w:rPr>
          <w:rFonts w:ascii="Times New Roman" w:hAnsi="Times New Roman" w:cs="Times New Roman"/>
          <w:sz w:val="24"/>
          <w:szCs w:val="24"/>
        </w:rPr>
        <w:t xml:space="preserve"> </w:t>
      </w:r>
      <w:r w:rsidR="003E736A" w:rsidRPr="00DD6763">
        <w:rPr>
          <w:rFonts w:ascii="Times New Roman" w:hAnsi="Times New Roman" w:cs="Times New Roman"/>
          <w:sz w:val="24"/>
          <w:szCs w:val="24"/>
        </w:rPr>
        <w:t>Second</w:t>
      </w:r>
      <w:r w:rsidR="00822BC1" w:rsidRPr="00DD6763">
        <w:rPr>
          <w:rFonts w:ascii="Times New Roman" w:hAnsi="Times New Roman" w:cs="Times New Roman"/>
          <w:sz w:val="24"/>
          <w:szCs w:val="24"/>
        </w:rPr>
        <w:t>, good faith should govern the process and the goal of reaching an agreement.</w:t>
      </w:r>
      <w:r w:rsidR="00822BC1" w:rsidRPr="00DD6763">
        <w:rPr>
          <w:rStyle w:val="FootnoteReference"/>
          <w:rFonts w:ascii="Times New Roman" w:hAnsi="Times New Roman" w:cs="Times New Roman"/>
          <w:sz w:val="24"/>
          <w:szCs w:val="24"/>
        </w:rPr>
        <w:footnoteReference w:id="125"/>
      </w:r>
      <w:r w:rsidR="00822BC1" w:rsidRPr="00DD6763">
        <w:rPr>
          <w:rFonts w:ascii="Times New Roman" w:hAnsi="Times New Roman" w:cs="Times New Roman"/>
          <w:sz w:val="24"/>
          <w:szCs w:val="24"/>
        </w:rPr>
        <w:t xml:space="preserve"> </w:t>
      </w:r>
      <w:r w:rsidR="003E736A" w:rsidRPr="00DD6763">
        <w:rPr>
          <w:rFonts w:ascii="Times New Roman" w:hAnsi="Times New Roman" w:cs="Times New Roman"/>
          <w:sz w:val="24"/>
          <w:szCs w:val="24"/>
        </w:rPr>
        <w:t xml:space="preserve">Third, </w:t>
      </w:r>
      <w:r w:rsidR="00C20F62" w:rsidRPr="00DD6763">
        <w:rPr>
          <w:rFonts w:ascii="Times New Roman" w:hAnsi="Times New Roman" w:cs="Times New Roman"/>
          <w:sz w:val="24"/>
          <w:szCs w:val="24"/>
        </w:rPr>
        <w:t>c</w:t>
      </w:r>
      <w:r w:rsidR="00822BC1" w:rsidRPr="00DD6763">
        <w:rPr>
          <w:rFonts w:ascii="Times New Roman" w:hAnsi="Times New Roman" w:cs="Times New Roman"/>
          <w:sz w:val="24"/>
          <w:szCs w:val="24"/>
        </w:rPr>
        <w:t>onsultation must be organised in an adequate and accessible manner.</w:t>
      </w:r>
      <w:r w:rsidR="00822BC1" w:rsidRPr="00DD6763">
        <w:rPr>
          <w:rStyle w:val="FootnoteReference"/>
          <w:rFonts w:ascii="Times New Roman" w:hAnsi="Times New Roman" w:cs="Times New Roman"/>
          <w:sz w:val="24"/>
          <w:szCs w:val="24"/>
        </w:rPr>
        <w:footnoteReference w:id="126"/>
      </w:r>
      <w:r w:rsidR="00822BC1" w:rsidRPr="00DD6763">
        <w:rPr>
          <w:rFonts w:ascii="Times New Roman" w:hAnsi="Times New Roman" w:cs="Times New Roman"/>
          <w:sz w:val="24"/>
          <w:szCs w:val="24"/>
        </w:rPr>
        <w:t xml:space="preserve"> Fourth, the consultation must be informed.</w:t>
      </w:r>
      <w:r w:rsidR="00822BC1" w:rsidRPr="00DD6763">
        <w:rPr>
          <w:rStyle w:val="FootnoteReference"/>
          <w:rFonts w:ascii="Times New Roman" w:hAnsi="Times New Roman" w:cs="Times New Roman"/>
          <w:sz w:val="24"/>
          <w:szCs w:val="24"/>
        </w:rPr>
        <w:footnoteReference w:id="127"/>
      </w:r>
      <w:r w:rsidR="00BF05AA" w:rsidRPr="00DD6763">
        <w:rPr>
          <w:rFonts w:ascii="Times New Roman" w:hAnsi="Times New Roman" w:cs="Times New Roman"/>
          <w:sz w:val="24"/>
          <w:szCs w:val="24"/>
        </w:rPr>
        <w:t xml:space="preserve"> </w:t>
      </w:r>
      <w:r w:rsidR="00822BC1" w:rsidRPr="00DD6763">
        <w:rPr>
          <w:rFonts w:ascii="Times New Roman" w:hAnsi="Times New Roman" w:cs="Times New Roman"/>
          <w:sz w:val="24"/>
          <w:szCs w:val="24"/>
        </w:rPr>
        <w:t>For the first time in the history of the Inter-American Court’s judicial practice, a delegation of judges conducted  a  proceeding at  the  site  of  the  events  of  a  contentious  case  submitted  to  its jurisdiction.</w:t>
      </w:r>
      <w:r w:rsidR="00BF05AA" w:rsidRPr="00DD6763">
        <w:rPr>
          <w:rStyle w:val="FootnoteReference"/>
          <w:rFonts w:ascii="Times New Roman" w:hAnsi="Times New Roman" w:cs="Times New Roman"/>
          <w:sz w:val="24"/>
          <w:szCs w:val="24"/>
        </w:rPr>
        <w:footnoteReference w:id="128"/>
      </w:r>
      <w:r w:rsidR="00822BC1" w:rsidRPr="00DD6763">
        <w:rPr>
          <w:rFonts w:ascii="Times New Roman" w:hAnsi="Times New Roman" w:cs="Times New Roman"/>
          <w:sz w:val="24"/>
          <w:szCs w:val="24"/>
        </w:rPr>
        <w:t xml:space="preserve"> </w:t>
      </w:r>
    </w:p>
    <w:p w14:paraId="257DDF42" w14:textId="77777777" w:rsidR="00D432E7" w:rsidRPr="00DD6763" w:rsidRDefault="00BF05AA"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More recently, i</w:t>
      </w:r>
      <w:r w:rsidR="009B2FCF" w:rsidRPr="00DD6763">
        <w:rPr>
          <w:rFonts w:ascii="Times New Roman" w:hAnsi="Times New Roman" w:cs="Times New Roman"/>
          <w:sz w:val="24"/>
          <w:szCs w:val="24"/>
        </w:rPr>
        <w:t xml:space="preserve">n </w:t>
      </w:r>
      <w:proofErr w:type="spellStart"/>
      <w:r w:rsidR="009B2FCF" w:rsidRPr="00DD6763">
        <w:rPr>
          <w:rFonts w:ascii="Times New Roman" w:hAnsi="Times New Roman" w:cs="Times New Roman"/>
          <w:i/>
          <w:sz w:val="24"/>
          <w:szCs w:val="24"/>
        </w:rPr>
        <w:t>Kaliña</w:t>
      </w:r>
      <w:proofErr w:type="spellEnd"/>
      <w:r w:rsidR="009B2FCF" w:rsidRPr="00DD6763">
        <w:rPr>
          <w:rFonts w:ascii="Times New Roman" w:hAnsi="Times New Roman" w:cs="Times New Roman"/>
          <w:i/>
          <w:sz w:val="24"/>
          <w:szCs w:val="24"/>
        </w:rPr>
        <w:t xml:space="preserve"> and </w:t>
      </w:r>
      <w:proofErr w:type="spellStart"/>
      <w:r w:rsidR="009B2FCF" w:rsidRPr="00DD6763">
        <w:rPr>
          <w:rFonts w:ascii="Times New Roman" w:hAnsi="Times New Roman" w:cs="Times New Roman"/>
          <w:i/>
          <w:sz w:val="24"/>
          <w:szCs w:val="24"/>
        </w:rPr>
        <w:t>Lokono</w:t>
      </w:r>
      <w:proofErr w:type="spellEnd"/>
      <w:r w:rsidR="009B2FCF" w:rsidRPr="00DD6763">
        <w:rPr>
          <w:rFonts w:ascii="Times New Roman" w:hAnsi="Times New Roman" w:cs="Times New Roman"/>
          <w:i/>
          <w:sz w:val="24"/>
          <w:szCs w:val="24"/>
        </w:rPr>
        <w:t xml:space="preserve"> peoples </w:t>
      </w:r>
      <w:r w:rsidR="009B2FCF" w:rsidRPr="00DD6763">
        <w:rPr>
          <w:rFonts w:ascii="Times New Roman" w:hAnsi="Times New Roman" w:cs="Times New Roman"/>
          <w:sz w:val="24"/>
          <w:szCs w:val="24"/>
        </w:rPr>
        <w:t>v.</w:t>
      </w:r>
      <w:r w:rsidR="009B2FCF" w:rsidRPr="00DD6763">
        <w:rPr>
          <w:rFonts w:ascii="Times New Roman" w:hAnsi="Times New Roman" w:cs="Times New Roman"/>
          <w:i/>
          <w:sz w:val="24"/>
          <w:szCs w:val="24"/>
        </w:rPr>
        <w:t xml:space="preserve"> Surinam</w:t>
      </w:r>
      <w:r w:rsidR="005457A8" w:rsidRPr="00DD6763">
        <w:rPr>
          <w:rFonts w:ascii="Times New Roman" w:hAnsi="Times New Roman" w:cs="Times New Roman"/>
          <w:sz w:val="24"/>
          <w:szCs w:val="24"/>
        </w:rPr>
        <w:t xml:space="preserve"> </w:t>
      </w:r>
      <w:r w:rsidR="009B2FCF" w:rsidRPr="00DD6763">
        <w:rPr>
          <w:rFonts w:ascii="Times New Roman" w:hAnsi="Times New Roman" w:cs="Times New Roman"/>
          <w:sz w:val="24"/>
          <w:szCs w:val="24"/>
        </w:rPr>
        <w:t xml:space="preserve">the </w:t>
      </w:r>
      <w:r w:rsidR="000D7BEC" w:rsidRPr="00DD6763">
        <w:rPr>
          <w:rFonts w:ascii="Times New Roman" w:hAnsi="Times New Roman" w:cs="Times New Roman"/>
          <w:sz w:val="24"/>
          <w:szCs w:val="24"/>
        </w:rPr>
        <w:t xml:space="preserve">Court </w:t>
      </w:r>
      <w:r w:rsidR="0026197D" w:rsidRPr="00DD6763">
        <w:rPr>
          <w:rFonts w:ascii="Times New Roman" w:hAnsi="Times New Roman" w:cs="Times New Roman"/>
          <w:sz w:val="24"/>
          <w:szCs w:val="24"/>
        </w:rPr>
        <w:t xml:space="preserve">ruled on FPIC and </w:t>
      </w:r>
      <w:r w:rsidR="001A17E3" w:rsidRPr="00DD6763">
        <w:rPr>
          <w:rFonts w:ascii="Times New Roman" w:hAnsi="Times New Roman" w:cs="Times New Roman"/>
          <w:sz w:val="24"/>
          <w:szCs w:val="24"/>
        </w:rPr>
        <w:t>indigenous peoples</w:t>
      </w:r>
      <w:r w:rsidR="009B2FCF" w:rsidRPr="00DD6763">
        <w:rPr>
          <w:rFonts w:ascii="Times New Roman" w:hAnsi="Times New Roman" w:cs="Times New Roman"/>
          <w:sz w:val="24"/>
          <w:szCs w:val="24"/>
        </w:rPr>
        <w:t>’ right to environmental protection</w:t>
      </w:r>
      <w:r w:rsidR="0026197D" w:rsidRPr="00DD6763">
        <w:rPr>
          <w:rFonts w:ascii="Times New Roman" w:hAnsi="Times New Roman" w:cs="Times New Roman"/>
          <w:sz w:val="24"/>
          <w:szCs w:val="24"/>
        </w:rPr>
        <w:t>, mentioning the accountability of private corporations</w:t>
      </w:r>
      <w:r w:rsidR="009B2FCF" w:rsidRPr="00DD6763">
        <w:rPr>
          <w:rFonts w:ascii="Times New Roman" w:hAnsi="Times New Roman" w:cs="Times New Roman"/>
          <w:sz w:val="24"/>
          <w:szCs w:val="24"/>
        </w:rPr>
        <w:t>.</w:t>
      </w:r>
      <w:r w:rsidR="00C17425" w:rsidRPr="00DD6763">
        <w:rPr>
          <w:rStyle w:val="FootnoteReference"/>
          <w:rFonts w:ascii="Times New Roman" w:hAnsi="Times New Roman" w:cs="Times New Roman"/>
          <w:sz w:val="24"/>
          <w:szCs w:val="24"/>
        </w:rPr>
        <w:footnoteReference w:id="129"/>
      </w:r>
      <w:r w:rsidR="009B2FCF" w:rsidRPr="00DD6763">
        <w:rPr>
          <w:rFonts w:ascii="Times New Roman" w:hAnsi="Times New Roman" w:cs="Times New Roman"/>
          <w:sz w:val="24"/>
          <w:szCs w:val="24"/>
        </w:rPr>
        <w:t xml:space="preserve"> </w:t>
      </w:r>
      <w:r w:rsidR="004E76C0" w:rsidRPr="00DD6763">
        <w:rPr>
          <w:rFonts w:ascii="Times New Roman" w:hAnsi="Times New Roman" w:cs="Times New Roman"/>
          <w:sz w:val="24"/>
          <w:szCs w:val="24"/>
        </w:rPr>
        <w:t xml:space="preserve"> </w:t>
      </w:r>
      <w:r w:rsidR="00B91C02" w:rsidRPr="00DD6763">
        <w:rPr>
          <w:rFonts w:ascii="Times New Roman" w:hAnsi="Times New Roman" w:cs="Times New Roman"/>
          <w:sz w:val="24"/>
          <w:szCs w:val="24"/>
        </w:rPr>
        <w:t xml:space="preserve">The case arose out of a </w:t>
      </w:r>
      <w:r w:rsidR="00BE76C3" w:rsidRPr="00DD6763">
        <w:rPr>
          <w:rFonts w:ascii="Times New Roman" w:hAnsi="Times New Roman" w:cs="Times New Roman"/>
          <w:sz w:val="24"/>
          <w:szCs w:val="24"/>
        </w:rPr>
        <w:t>bauxite-mining</w:t>
      </w:r>
      <w:r w:rsidR="00B91C02" w:rsidRPr="00DD6763">
        <w:rPr>
          <w:rFonts w:ascii="Times New Roman" w:hAnsi="Times New Roman" w:cs="Times New Roman"/>
          <w:sz w:val="24"/>
          <w:szCs w:val="24"/>
        </w:rPr>
        <w:t xml:space="preserve"> project</w:t>
      </w:r>
      <w:r w:rsidR="00AD62BB" w:rsidRPr="00DD6763">
        <w:rPr>
          <w:rFonts w:ascii="Times New Roman" w:hAnsi="Times New Roman" w:cs="Times New Roman"/>
          <w:sz w:val="24"/>
          <w:szCs w:val="24"/>
        </w:rPr>
        <w:t xml:space="preserve"> carried out</w:t>
      </w:r>
      <w:r w:rsidR="00B91C02" w:rsidRPr="00DD6763">
        <w:rPr>
          <w:rFonts w:ascii="Times New Roman" w:hAnsi="Times New Roman" w:cs="Times New Roman"/>
          <w:sz w:val="24"/>
          <w:szCs w:val="24"/>
        </w:rPr>
        <w:t xml:space="preserve"> by subsidiaries of Alcoa and BHP Billiton, without </w:t>
      </w:r>
      <w:r w:rsidR="00EA56FB" w:rsidRPr="00DD6763">
        <w:rPr>
          <w:rFonts w:ascii="Times New Roman" w:hAnsi="Times New Roman" w:cs="Times New Roman"/>
          <w:sz w:val="24"/>
          <w:szCs w:val="24"/>
        </w:rPr>
        <w:t>consulting</w:t>
      </w:r>
      <w:r w:rsidR="00B91C02" w:rsidRPr="00DD6763">
        <w:rPr>
          <w:rFonts w:ascii="Times New Roman" w:hAnsi="Times New Roman" w:cs="Times New Roman"/>
          <w:sz w:val="24"/>
          <w:szCs w:val="24"/>
        </w:rPr>
        <w:t xml:space="preserve"> the </w:t>
      </w:r>
      <w:proofErr w:type="spellStart"/>
      <w:r w:rsidR="00B91C02" w:rsidRPr="00DD6763">
        <w:rPr>
          <w:rFonts w:ascii="Times New Roman" w:hAnsi="Times New Roman" w:cs="Times New Roman"/>
          <w:sz w:val="24"/>
          <w:szCs w:val="24"/>
        </w:rPr>
        <w:t>Kaliña</w:t>
      </w:r>
      <w:proofErr w:type="spellEnd"/>
      <w:r w:rsidR="00B91C02" w:rsidRPr="00DD6763">
        <w:rPr>
          <w:rFonts w:ascii="Times New Roman" w:hAnsi="Times New Roman" w:cs="Times New Roman"/>
          <w:sz w:val="24"/>
          <w:szCs w:val="24"/>
        </w:rPr>
        <w:t xml:space="preserve"> and </w:t>
      </w:r>
      <w:proofErr w:type="spellStart"/>
      <w:r w:rsidR="00B91C02" w:rsidRPr="00DD6763">
        <w:rPr>
          <w:rFonts w:ascii="Times New Roman" w:hAnsi="Times New Roman" w:cs="Times New Roman"/>
          <w:sz w:val="24"/>
          <w:szCs w:val="24"/>
        </w:rPr>
        <w:t>Lokono</w:t>
      </w:r>
      <w:proofErr w:type="spellEnd"/>
      <w:r w:rsidR="00B91C02" w:rsidRPr="00DD6763">
        <w:rPr>
          <w:rFonts w:ascii="Times New Roman" w:hAnsi="Times New Roman" w:cs="Times New Roman"/>
          <w:sz w:val="24"/>
          <w:szCs w:val="24"/>
        </w:rPr>
        <w:t xml:space="preserve"> </w:t>
      </w:r>
      <w:r w:rsidR="0014055F" w:rsidRPr="00DD6763">
        <w:rPr>
          <w:rFonts w:ascii="Times New Roman" w:hAnsi="Times New Roman" w:cs="Times New Roman"/>
          <w:sz w:val="24"/>
          <w:szCs w:val="24"/>
        </w:rPr>
        <w:t xml:space="preserve">peoples </w:t>
      </w:r>
      <w:r w:rsidR="00B91C02" w:rsidRPr="00DD6763">
        <w:rPr>
          <w:rFonts w:ascii="Times New Roman" w:hAnsi="Times New Roman" w:cs="Times New Roman"/>
          <w:sz w:val="24"/>
          <w:szCs w:val="24"/>
        </w:rPr>
        <w:t xml:space="preserve">and </w:t>
      </w:r>
      <w:r w:rsidR="00EA56FB" w:rsidRPr="00DD6763">
        <w:rPr>
          <w:rFonts w:ascii="Times New Roman" w:hAnsi="Times New Roman" w:cs="Times New Roman"/>
          <w:sz w:val="24"/>
          <w:szCs w:val="24"/>
        </w:rPr>
        <w:t>skipping</w:t>
      </w:r>
      <w:r w:rsidR="00B91C02" w:rsidRPr="00DD6763">
        <w:rPr>
          <w:rFonts w:ascii="Times New Roman" w:hAnsi="Times New Roman" w:cs="Times New Roman"/>
          <w:sz w:val="24"/>
          <w:szCs w:val="24"/>
        </w:rPr>
        <w:t xml:space="preserve"> any form of </w:t>
      </w:r>
      <w:r w:rsidR="008208B3" w:rsidRPr="00DD6763">
        <w:rPr>
          <w:rFonts w:ascii="Times New Roman" w:hAnsi="Times New Roman" w:cs="Times New Roman"/>
          <w:sz w:val="24"/>
          <w:szCs w:val="24"/>
        </w:rPr>
        <w:t>EIA</w:t>
      </w:r>
      <w:r w:rsidR="00B91C02" w:rsidRPr="00DD6763">
        <w:rPr>
          <w:rFonts w:ascii="Times New Roman" w:hAnsi="Times New Roman" w:cs="Times New Roman"/>
          <w:sz w:val="24"/>
          <w:szCs w:val="24"/>
        </w:rPr>
        <w:t>.</w:t>
      </w:r>
      <w:r w:rsidR="00B91C02" w:rsidRPr="00DD6763">
        <w:rPr>
          <w:rFonts w:ascii="Times New Roman" w:hAnsi="Times New Roman" w:cs="Times New Roman"/>
          <w:i/>
          <w:sz w:val="24"/>
          <w:szCs w:val="24"/>
        </w:rPr>
        <w:t xml:space="preserve"> </w:t>
      </w:r>
      <w:r w:rsidR="00C20F62" w:rsidRPr="00DD6763">
        <w:rPr>
          <w:rFonts w:ascii="Times New Roman" w:hAnsi="Times New Roman" w:cs="Times New Roman"/>
          <w:sz w:val="24"/>
          <w:szCs w:val="24"/>
        </w:rPr>
        <w:t>Specifically</w:t>
      </w:r>
      <w:r w:rsidR="00EA56FB" w:rsidRPr="00DD6763">
        <w:rPr>
          <w:rFonts w:ascii="Times New Roman" w:hAnsi="Times New Roman" w:cs="Times New Roman"/>
          <w:sz w:val="24"/>
          <w:szCs w:val="24"/>
        </w:rPr>
        <w:t>, the upshot of this case is</w:t>
      </w:r>
      <w:r w:rsidR="00B91C02" w:rsidRPr="00DD6763">
        <w:rPr>
          <w:rFonts w:ascii="Times New Roman" w:hAnsi="Times New Roman" w:cs="Times New Roman"/>
          <w:sz w:val="24"/>
          <w:szCs w:val="24"/>
        </w:rPr>
        <w:t xml:space="preserve"> the Court’</w:t>
      </w:r>
      <w:r w:rsidR="00EA56FB" w:rsidRPr="00DD6763">
        <w:rPr>
          <w:rFonts w:ascii="Times New Roman" w:hAnsi="Times New Roman" w:cs="Times New Roman"/>
          <w:sz w:val="24"/>
          <w:szCs w:val="24"/>
        </w:rPr>
        <w:t>s consideration</w:t>
      </w:r>
      <w:r w:rsidR="00B91C02" w:rsidRPr="00DD6763">
        <w:rPr>
          <w:rFonts w:ascii="Times New Roman" w:hAnsi="Times New Roman" w:cs="Times New Roman"/>
          <w:sz w:val="24"/>
          <w:szCs w:val="24"/>
        </w:rPr>
        <w:t xml:space="preserve"> regarding FPIC and </w:t>
      </w:r>
      <w:r w:rsidR="00D15C40" w:rsidRPr="00DD6763">
        <w:rPr>
          <w:rFonts w:ascii="Times New Roman" w:hAnsi="Times New Roman" w:cs="Times New Roman"/>
          <w:sz w:val="24"/>
          <w:szCs w:val="24"/>
        </w:rPr>
        <w:t>EIA</w:t>
      </w:r>
      <w:r w:rsidR="00B91C02" w:rsidRPr="00DD6763">
        <w:rPr>
          <w:rFonts w:ascii="Times New Roman" w:hAnsi="Times New Roman" w:cs="Times New Roman"/>
          <w:sz w:val="24"/>
          <w:szCs w:val="24"/>
        </w:rPr>
        <w:t>.</w:t>
      </w:r>
      <w:r w:rsidR="003E736A" w:rsidRPr="00DD6763">
        <w:rPr>
          <w:rFonts w:ascii="Times New Roman" w:hAnsi="Times New Roman" w:cs="Times New Roman"/>
          <w:sz w:val="24"/>
          <w:szCs w:val="24"/>
        </w:rPr>
        <w:t xml:space="preserve"> The Court determined that </w:t>
      </w:r>
      <w:r w:rsidR="0014055F" w:rsidRPr="00DD6763">
        <w:rPr>
          <w:rFonts w:ascii="Times New Roman" w:hAnsi="Times New Roman" w:cs="Times New Roman"/>
          <w:sz w:val="24"/>
          <w:szCs w:val="24"/>
        </w:rPr>
        <w:t xml:space="preserve">neither the granting of mining concessions and licenses nor the establishment and permanence to date of the nature reserves were subject to any consultation procedure aimed at obtaining the prior, free and informed consent of the </w:t>
      </w:r>
      <w:proofErr w:type="spellStart"/>
      <w:r w:rsidR="0014055F" w:rsidRPr="00DD6763">
        <w:rPr>
          <w:rFonts w:ascii="Times New Roman" w:hAnsi="Times New Roman" w:cs="Times New Roman"/>
          <w:sz w:val="24"/>
          <w:szCs w:val="24"/>
        </w:rPr>
        <w:t>Kaliña</w:t>
      </w:r>
      <w:proofErr w:type="spellEnd"/>
      <w:r w:rsidR="0014055F" w:rsidRPr="00DD6763">
        <w:rPr>
          <w:rFonts w:ascii="Times New Roman" w:hAnsi="Times New Roman" w:cs="Times New Roman"/>
          <w:sz w:val="24"/>
          <w:szCs w:val="24"/>
        </w:rPr>
        <w:t xml:space="preserve"> and </w:t>
      </w:r>
      <w:proofErr w:type="spellStart"/>
      <w:r w:rsidR="0014055F" w:rsidRPr="00DD6763">
        <w:rPr>
          <w:rFonts w:ascii="Times New Roman" w:hAnsi="Times New Roman" w:cs="Times New Roman"/>
          <w:sz w:val="24"/>
          <w:szCs w:val="24"/>
        </w:rPr>
        <w:t>Lokono</w:t>
      </w:r>
      <w:proofErr w:type="spellEnd"/>
      <w:r w:rsidR="0014055F" w:rsidRPr="00DD6763">
        <w:rPr>
          <w:rFonts w:ascii="Times New Roman" w:hAnsi="Times New Roman" w:cs="Times New Roman"/>
          <w:sz w:val="24"/>
          <w:szCs w:val="24"/>
        </w:rPr>
        <w:t xml:space="preserve"> peoples</w:t>
      </w:r>
      <w:r w:rsidR="002869DA" w:rsidRPr="00DD6763">
        <w:rPr>
          <w:rFonts w:ascii="Times New Roman" w:hAnsi="Times New Roman" w:cs="Times New Roman"/>
          <w:sz w:val="24"/>
          <w:szCs w:val="24"/>
        </w:rPr>
        <w:t>.</w:t>
      </w:r>
      <w:r w:rsidR="0014055F" w:rsidRPr="00DD6763">
        <w:rPr>
          <w:rStyle w:val="FootnoteReference"/>
          <w:rFonts w:ascii="Times New Roman" w:hAnsi="Times New Roman" w:cs="Times New Roman"/>
          <w:sz w:val="24"/>
          <w:szCs w:val="24"/>
        </w:rPr>
        <w:footnoteReference w:id="130"/>
      </w:r>
      <w:r w:rsidR="002869DA" w:rsidRPr="00DD6763">
        <w:rPr>
          <w:rFonts w:ascii="Times New Roman" w:hAnsi="Times New Roman" w:cs="Times New Roman"/>
          <w:sz w:val="24"/>
          <w:szCs w:val="24"/>
        </w:rPr>
        <w:t xml:space="preserve"> </w:t>
      </w:r>
      <w:r w:rsidR="0014055F" w:rsidRPr="00DD6763">
        <w:rPr>
          <w:rFonts w:ascii="Times New Roman" w:hAnsi="Times New Roman" w:cs="Times New Roman"/>
          <w:sz w:val="24"/>
          <w:szCs w:val="24"/>
        </w:rPr>
        <w:t>The upshot of the case is that the state in question acknowledged that</w:t>
      </w:r>
      <w:r w:rsidR="002221A2" w:rsidRPr="00DD6763">
        <w:rPr>
          <w:rFonts w:ascii="Times New Roman" w:hAnsi="Times New Roman" w:cs="Times New Roman"/>
          <w:sz w:val="24"/>
          <w:szCs w:val="24"/>
        </w:rPr>
        <w:t xml:space="preserve"> the </w:t>
      </w:r>
      <w:r w:rsidR="00D35F6E" w:rsidRPr="00DD6763">
        <w:rPr>
          <w:rFonts w:ascii="Times New Roman" w:hAnsi="Times New Roman" w:cs="Times New Roman"/>
          <w:sz w:val="24"/>
          <w:szCs w:val="24"/>
        </w:rPr>
        <w:t>“</w:t>
      </w:r>
      <w:r w:rsidR="0014055F" w:rsidRPr="00DD6763">
        <w:rPr>
          <w:rFonts w:ascii="Times New Roman" w:hAnsi="Times New Roman" w:cs="Times New Roman"/>
          <w:sz w:val="24"/>
          <w:szCs w:val="24"/>
        </w:rPr>
        <w:t>principle of free, prior and informed consent [was] an international requirement that States should adhere to when consulti</w:t>
      </w:r>
      <w:r w:rsidR="00D35F6E" w:rsidRPr="00DD6763">
        <w:rPr>
          <w:rFonts w:ascii="Times New Roman" w:hAnsi="Times New Roman" w:cs="Times New Roman"/>
          <w:sz w:val="24"/>
          <w:szCs w:val="24"/>
        </w:rPr>
        <w:t>ng indigenous and tribal people”</w:t>
      </w:r>
      <w:r w:rsidR="0014055F" w:rsidRPr="00DD6763">
        <w:rPr>
          <w:rFonts w:ascii="Times New Roman" w:hAnsi="Times New Roman" w:cs="Times New Roman"/>
          <w:sz w:val="24"/>
          <w:szCs w:val="24"/>
        </w:rPr>
        <w:t xml:space="preserve"> but then it denied that there were indigenous peoples affected in the mining area.</w:t>
      </w:r>
      <w:r w:rsidR="0014055F" w:rsidRPr="00DD6763">
        <w:rPr>
          <w:rStyle w:val="FootnoteReference"/>
          <w:rFonts w:ascii="Times New Roman" w:hAnsi="Times New Roman" w:cs="Times New Roman"/>
          <w:sz w:val="24"/>
          <w:szCs w:val="24"/>
        </w:rPr>
        <w:footnoteReference w:id="131"/>
      </w:r>
      <w:r w:rsidR="0014055F" w:rsidRPr="00DD6763">
        <w:rPr>
          <w:rFonts w:ascii="Times New Roman" w:hAnsi="Times New Roman" w:cs="Times New Roman"/>
          <w:sz w:val="24"/>
          <w:szCs w:val="24"/>
        </w:rPr>
        <w:t xml:space="preserve">  </w:t>
      </w:r>
    </w:p>
    <w:p w14:paraId="30B5C03A" w14:textId="780B5A47" w:rsidR="00854BF2" w:rsidRPr="00DD6763" w:rsidRDefault="0014055F"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The Court call</w:t>
      </w:r>
      <w:r w:rsidR="008208B3" w:rsidRPr="00DD6763">
        <w:rPr>
          <w:rFonts w:ascii="Times New Roman" w:hAnsi="Times New Roman" w:cs="Times New Roman"/>
          <w:sz w:val="24"/>
          <w:szCs w:val="24"/>
        </w:rPr>
        <w:t xml:space="preserve">ed </w:t>
      </w:r>
      <w:r w:rsidR="00D35F6E" w:rsidRPr="00DD6763">
        <w:rPr>
          <w:rFonts w:ascii="Times New Roman" w:hAnsi="Times New Roman" w:cs="Times New Roman"/>
          <w:sz w:val="24"/>
          <w:szCs w:val="24"/>
        </w:rPr>
        <w:t>on the state to guarantee “</w:t>
      </w:r>
      <w:r w:rsidRPr="00DD6763">
        <w:rPr>
          <w:rFonts w:ascii="Times New Roman" w:hAnsi="Times New Roman" w:cs="Times New Roman"/>
          <w:sz w:val="24"/>
          <w:szCs w:val="24"/>
        </w:rPr>
        <w:t xml:space="preserve">the effective participation of the </w:t>
      </w:r>
      <w:proofErr w:type="spellStart"/>
      <w:r w:rsidRPr="00DD6763">
        <w:rPr>
          <w:rFonts w:ascii="Times New Roman" w:hAnsi="Times New Roman" w:cs="Times New Roman"/>
          <w:sz w:val="24"/>
          <w:szCs w:val="24"/>
        </w:rPr>
        <w:t>Kaliña</w:t>
      </w:r>
      <w:proofErr w:type="spellEnd"/>
      <w:r w:rsidRPr="00DD6763">
        <w:rPr>
          <w:rFonts w:ascii="Times New Roman" w:hAnsi="Times New Roman" w:cs="Times New Roman"/>
          <w:sz w:val="24"/>
          <w:szCs w:val="24"/>
        </w:rPr>
        <w:t xml:space="preserve"> and </w:t>
      </w:r>
      <w:proofErr w:type="spellStart"/>
      <w:r w:rsidRPr="00DD6763">
        <w:rPr>
          <w:rFonts w:ascii="Times New Roman" w:hAnsi="Times New Roman" w:cs="Times New Roman"/>
          <w:sz w:val="24"/>
          <w:szCs w:val="24"/>
        </w:rPr>
        <w:t>Lokono</w:t>
      </w:r>
      <w:proofErr w:type="spellEnd"/>
      <w:r w:rsidRPr="00DD6763">
        <w:rPr>
          <w:rFonts w:ascii="Times New Roman" w:hAnsi="Times New Roman" w:cs="Times New Roman"/>
          <w:sz w:val="24"/>
          <w:szCs w:val="24"/>
        </w:rPr>
        <w:t xml:space="preserve"> peoples should also be ensured by the State in relation to any development or investment plan, as well as any new exploration or exploitation operations that may be started up in the future in the tradition</w:t>
      </w:r>
      <w:r w:rsidR="00D35F6E" w:rsidRPr="00DD6763">
        <w:rPr>
          <w:rFonts w:ascii="Times New Roman" w:hAnsi="Times New Roman" w:cs="Times New Roman"/>
          <w:sz w:val="24"/>
          <w:szCs w:val="24"/>
        </w:rPr>
        <w:t>al territories of these peoples”</w:t>
      </w:r>
      <w:r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132"/>
      </w:r>
      <w:r w:rsidRPr="00DD6763">
        <w:rPr>
          <w:rFonts w:ascii="Times New Roman" w:hAnsi="Times New Roman" w:cs="Times New Roman"/>
          <w:sz w:val="24"/>
          <w:szCs w:val="24"/>
        </w:rPr>
        <w:t xml:space="preserve"> </w:t>
      </w:r>
      <w:r w:rsidR="00C3749E" w:rsidRPr="00DD6763">
        <w:rPr>
          <w:rFonts w:ascii="Times New Roman" w:hAnsi="Times New Roman" w:cs="Times New Roman"/>
          <w:sz w:val="24"/>
          <w:szCs w:val="24"/>
        </w:rPr>
        <w:t>As for the</w:t>
      </w:r>
      <w:r w:rsidR="00BF79E7" w:rsidRPr="00DD6763">
        <w:rPr>
          <w:rFonts w:ascii="Times New Roman" w:hAnsi="Times New Roman" w:cs="Times New Roman"/>
          <w:sz w:val="24"/>
          <w:szCs w:val="24"/>
        </w:rPr>
        <w:t xml:space="preserve"> EIA</w:t>
      </w:r>
      <w:r w:rsidR="00A34D60" w:rsidRPr="00DD6763">
        <w:rPr>
          <w:rFonts w:ascii="Times New Roman" w:hAnsi="Times New Roman" w:cs="Times New Roman"/>
          <w:sz w:val="24"/>
          <w:szCs w:val="24"/>
        </w:rPr>
        <w:t>,</w:t>
      </w:r>
      <w:r w:rsidR="00C3749E" w:rsidRPr="00DD6763">
        <w:rPr>
          <w:rFonts w:ascii="Times New Roman" w:hAnsi="Times New Roman" w:cs="Times New Roman"/>
          <w:sz w:val="24"/>
          <w:szCs w:val="24"/>
        </w:rPr>
        <w:t xml:space="preserve"> the Court </w:t>
      </w:r>
      <w:r w:rsidR="00A34D60" w:rsidRPr="00DD6763">
        <w:rPr>
          <w:rFonts w:ascii="Times New Roman" w:hAnsi="Times New Roman" w:cs="Times New Roman"/>
          <w:sz w:val="24"/>
          <w:szCs w:val="24"/>
        </w:rPr>
        <w:t xml:space="preserve">reminded that the separate state’s obligation to conduct an environmental and social </w:t>
      </w:r>
      <w:r w:rsidR="00D35F6E" w:rsidRPr="00DD6763">
        <w:rPr>
          <w:rFonts w:ascii="Times New Roman" w:hAnsi="Times New Roman" w:cs="Times New Roman"/>
          <w:sz w:val="24"/>
          <w:szCs w:val="24"/>
        </w:rPr>
        <w:t>impact assessment performed by “</w:t>
      </w:r>
      <w:r w:rsidR="00A34D60" w:rsidRPr="00DD6763">
        <w:rPr>
          <w:rFonts w:ascii="Times New Roman" w:hAnsi="Times New Roman" w:cs="Times New Roman"/>
          <w:sz w:val="24"/>
          <w:szCs w:val="24"/>
        </w:rPr>
        <w:t xml:space="preserve">independent and technically-qualified entities, under the State’s supervision, have made a prior assessment of the </w:t>
      </w:r>
      <w:r w:rsidR="00D35F6E" w:rsidRPr="00DD6763">
        <w:rPr>
          <w:rFonts w:ascii="Times New Roman" w:hAnsi="Times New Roman" w:cs="Times New Roman"/>
          <w:sz w:val="24"/>
          <w:szCs w:val="24"/>
        </w:rPr>
        <w:t>social and environmental impact”</w:t>
      </w:r>
      <w:r w:rsidR="00A34D60" w:rsidRPr="00DD6763">
        <w:rPr>
          <w:rFonts w:ascii="Times New Roman" w:hAnsi="Times New Roman" w:cs="Times New Roman"/>
          <w:sz w:val="24"/>
          <w:szCs w:val="24"/>
        </w:rPr>
        <w:t>, respecting and ensuring the effective participation of the indigenous people.</w:t>
      </w:r>
      <w:r w:rsidR="00A34D60" w:rsidRPr="00DD6763">
        <w:rPr>
          <w:rStyle w:val="FootnoteReference"/>
          <w:rFonts w:ascii="Times New Roman" w:hAnsi="Times New Roman" w:cs="Times New Roman"/>
          <w:sz w:val="24"/>
          <w:szCs w:val="24"/>
        </w:rPr>
        <w:footnoteReference w:id="133"/>
      </w:r>
      <w:r w:rsidR="00A34D60" w:rsidRPr="00DD6763">
        <w:rPr>
          <w:rFonts w:ascii="Times New Roman" w:hAnsi="Times New Roman" w:cs="Times New Roman"/>
          <w:sz w:val="24"/>
          <w:szCs w:val="24"/>
        </w:rPr>
        <w:t xml:space="preserve"> Consequently,</w:t>
      </w:r>
      <w:r w:rsidR="00B91C02" w:rsidRPr="00DD6763">
        <w:rPr>
          <w:rFonts w:ascii="Times New Roman" w:hAnsi="Times New Roman" w:cs="Times New Roman"/>
          <w:sz w:val="24"/>
          <w:szCs w:val="24"/>
        </w:rPr>
        <w:t xml:space="preserve"> </w:t>
      </w:r>
      <w:r w:rsidR="002221A2" w:rsidRPr="00DD6763">
        <w:rPr>
          <w:rFonts w:ascii="Times New Roman" w:hAnsi="Times New Roman" w:cs="Times New Roman"/>
          <w:sz w:val="24"/>
          <w:szCs w:val="24"/>
        </w:rPr>
        <w:t xml:space="preserve">the Court </w:t>
      </w:r>
      <w:r w:rsidR="00B91C02" w:rsidRPr="00DD6763">
        <w:rPr>
          <w:rFonts w:ascii="Times New Roman" w:hAnsi="Times New Roman" w:cs="Times New Roman"/>
          <w:sz w:val="24"/>
          <w:szCs w:val="24"/>
        </w:rPr>
        <w:t xml:space="preserve">ordered </w:t>
      </w:r>
      <w:r w:rsidR="00C3749E" w:rsidRPr="00DD6763">
        <w:rPr>
          <w:rFonts w:ascii="Times New Roman" w:hAnsi="Times New Roman" w:cs="Times New Roman"/>
          <w:sz w:val="24"/>
          <w:szCs w:val="24"/>
        </w:rPr>
        <w:t xml:space="preserve">Suriname to take rehabilitation measures to </w:t>
      </w:r>
      <w:r w:rsidR="00C20F62" w:rsidRPr="00DD6763">
        <w:rPr>
          <w:rFonts w:ascii="Times New Roman" w:hAnsi="Times New Roman" w:cs="Times New Roman"/>
          <w:sz w:val="24"/>
          <w:szCs w:val="24"/>
        </w:rPr>
        <w:t>re</w:t>
      </w:r>
      <w:r w:rsidR="00152459" w:rsidRPr="00DD6763">
        <w:rPr>
          <w:rFonts w:ascii="Times New Roman" w:hAnsi="Times New Roman" w:cs="Times New Roman"/>
          <w:sz w:val="24"/>
          <w:szCs w:val="24"/>
        </w:rPr>
        <w:t>dress</w:t>
      </w:r>
      <w:r w:rsidR="00C3749E" w:rsidRPr="00DD6763">
        <w:rPr>
          <w:rFonts w:ascii="Times New Roman" w:hAnsi="Times New Roman" w:cs="Times New Roman"/>
          <w:sz w:val="24"/>
          <w:szCs w:val="24"/>
        </w:rPr>
        <w:t xml:space="preserve"> the</w:t>
      </w:r>
      <w:r w:rsidR="00B91C02" w:rsidRPr="00DD6763">
        <w:rPr>
          <w:rFonts w:ascii="Times New Roman" w:hAnsi="Times New Roman" w:cs="Times New Roman"/>
          <w:sz w:val="24"/>
          <w:szCs w:val="24"/>
        </w:rPr>
        <w:t xml:space="preserve"> </w:t>
      </w:r>
      <w:r w:rsidR="00C3749E" w:rsidRPr="00DD6763">
        <w:rPr>
          <w:rFonts w:ascii="Times New Roman" w:hAnsi="Times New Roman" w:cs="Times New Roman"/>
          <w:sz w:val="24"/>
          <w:szCs w:val="24"/>
        </w:rPr>
        <w:t>serious damage</w:t>
      </w:r>
      <w:r w:rsidR="00B91C02" w:rsidRPr="00DD6763">
        <w:rPr>
          <w:rFonts w:ascii="Times New Roman" w:hAnsi="Times New Roman" w:cs="Times New Roman"/>
          <w:sz w:val="24"/>
          <w:szCs w:val="24"/>
        </w:rPr>
        <w:t xml:space="preserve"> caused by the </w:t>
      </w:r>
      <w:r w:rsidR="00B91C02" w:rsidRPr="00DD6763">
        <w:rPr>
          <w:rFonts w:ascii="Times New Roman" w:hAnsi="Times New Roman" w:cs="Times New Roman"/>
          <w:sz w:val="24"/>
          <w:szCs w:val="24"/>
        </w:rPr>
        <w:lastRenderedPageBreak/>
        <w:t xml:space="preserve">mining. </w:t>
      </w:r>
      <w:r w:rsidR="0026197D" w:rsidRPr="00DD6763">
        <w:rPr>
          <w:rFonts w:ascii="Times New Roman" w:hAnsi="Times New Roman" w:cs="Times New Roman"/>
          <w:sz w:val="24"/>
          <w:szCs w:val="24"/>
        </w:rPr>
        <w:t xml:space="preserve"> Finally, the </w:t>
      </w:r>
      <w:proofErr w:type="spellStart"/>
      <w:r w:rsidR="0026197D" w:rsidRPr="00DD6763">
        <w:rPr>
          <w:rFonts w:ascii="Times New Roman" w:hAnsi="Times New Roman" w:cs="Times New Roman"/>
          <w:sz w:val="24"/>
          <w:szCs w:val="24"/>
        </w:rPr>
        <w:t>IACtHR</w:t>
      </w:r>
      <w:proofErr w:type="spellEnd"/>
      <w:r w:rsidR="0026197D" w:rsidRPr="00DD6763">
        <w:rPr>
          <w:rFonts w:ascii="Times New Roman" w:hAnsi="Times New Roman" w:cs="Times New Roman"/>
          <w:sz w:val="24"/>
          <w:szCs w:val="24"/>
        </w:rPr>
        <w:t xml:space="preserve"> referred to the responsibility of corporations vis-à-vis indigenous peoples rights highlighting that ‘the mining activities that resulted in the adverse impact on the environment and, consequently, on the rights of the indigenous peoples, were carried out by private age</w:t>
      </w:r>
      <w:r w:rsidR="00D35F6E" w:rsidRPr="00DD6763">
        <w:rPr>
          <w:rFonts w:ascii="Times New Roman" w:hAnsi="Times New Roman" w:cs="Times New Roman"/>
          <w:sz w:val="24"/>
          <w:szCs w:val="24"/>
        </w:rPr>
        <w:t xml:space="preserve">nts’, and that in light of the UN </w:t>
      </w:r>
      <w:r w:rsidR="0026197D" w:rsidRPr="00DD6763">
        <w:rPr>
          <w:rFonts w:ascii="Times New Roman" w:hAnsi="Times New Roman" w:cs="Times New Roman"/>
          <w:sz w:val="24"/>
          <w:szCs w:val="24"/>
        </w:rPr>
        <w:t xml:space="preserve">Guiding Principles </w:t>
      </w:r>
      <w:r w:rsidR="00D35F6E" w:rsidRPr="00DD6763">
        <w:rPr>
          <w:rFonts w:ascii="Times New Roman" w:hAnsi="Times New Roman" w:cs="Times New Roman"/>
          <w:sz w:val="24"/>
          <w:szCs w:val="24"/>
        </w:rPr>
        <w:t>“</w:t>
      </w:r>
      <w:r w:rsidR="0026197D" w:rsidRPr="00DD6763">
        <w:rPr>
          <w:rFonts w:ascii="Times New Roman" w:hAnsi="Times New Roman" w:cs="Times New Roman"/>
          <w:sz w:val="24"/>
          <w:szCs w:val="24"/>
        </w:rPr>
        <w:t>businesses must respect and protect human rights, as well as prevent, mitigate, and accept responsibility for the adverse human rights impacts dire</w:t>
      </w:r>
      <w:r w:rsidR="00D35F6E" w:rsidRPr="00DD6763">
        <w:rPr>
          <w:rFonts w:ascii="Times New Roman" w:hAnsi="Times New Roman" w:cs="Times New Roman"/>
          <w:sz w:val="24"/>
          <w:szCs w:val="24"/>
        </w:rPr>
        <w:t>ctly linked to their activities</w:t>
      </w:r>
      <w:r w:rsidR="00A13BE2" w:rsidRPr="00DD6763">
        <w:rPr>
          <w:rFonts w:ascii="Times New Roman" w:hAnsi="Times New Roman" w:cs="Times New Roman"/>
          <w:sz w:val="24"/>
          <w:szCs w:val="24"/>
        </w:rPr>
        <w:t>”.</w:t>
      </w:r>
      <w:r w:rsidR="0026197D" w:rsidRPr="00DD6763">
        <w:rPr>
          <w:rStyle w:val="FootnoteReference"/>
          <w:rFonts w:ascii="Times New Roman" w:hAnsi="Times New Roman" w:cs="Times New Roman"/>
          <w:sz w:val="24"/>
          <w:szCs w:val="24"/>
        </w:rPr>
        <w:footnoteReference w:id="134"/>
      </w:r>
    </w:p>
    <w:p w14:paraId="0A324800" w14:textId="037B5CC8" w:rsidR="005E5897" w:rsidRPr="00DD6763" w:rsidRDefault="002F48D6"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From this evolution in the </w:t>
      </w:r>
      <w:proofErr w:type="spellStart"/>
      <w:r w:rsidRPr="00DD6763">
        <w:rPr>
          <w:rFonts w:ascii="Times New Roman" w:hAnsi="Times New Roman" w:cs="Times New Roman"/>
          <w:sz w:val="24"/>
          <w:szCs w:val="24"/>
        </w:rPr>
        <w:t>IACtHR</w:t>
      </w:r>
      <w:r w:rsidR="00EA4694" w:rsidRPr="00DD6763">
        <w:rPr>
          <w:rFonts w:ascii="Times New Roman" w:hAnsi="Times New Roman" w:cs="Times New Roman"/>
          <w:sz w:val="24"/>
          <w:szCs w:val="24"/>
        </w:rPr>
        <w:t>’s</w:t>
      </w:r>
      <w:proofErr w:type="spellEnd"/>
      <w:r w:rsidRPr="00DD6763">
        <w:rPr>
          <w:rFonts w:ascii="Times New Roman" w:hAnsi="Times New Roman" w:cs="Times New Roman"/>
          <w:sz w:val="24"/>
          <w:szCs w:val="24"/>
        </w:rPr>
        <w:t xml:space="preserve"> jurisprudence the main conclusion</w:t>
      </w:r>
      <w:r w:rsidR="00A34D60" w:rsidRPr="00DD6763">
        <w:rPr>
          <w:rFonts w:ascii="Times New Roman" w:hAnsi="Times New Roman" w:cs="Times New Roman"/>
          <w:sz w:val="24"/>
          <w:szCs w:val="24"/>
        </w:rPr>
        <w:t xml:space="preserve"> that can be drawn</w:t>
      </w:r>
      <w:r w:rsidR="000F0B86" w:rsidRPr="00DD6763">
        <w:rPr>
          <w:rFonts w:ascii="Times New Roman" w:hAnsi="Times New Roman" w:cs="Times New Roman"/>
          <w:sz w:val="24"/>
          <w:szCs w:val="24"/>
        </w:rPr>
        <w:t xml:space="preserve"> is that the state of the art reveals</w:t>
      </w:r>
      <w:r w:rsidRPr="00DD6763">
        <w:rPr>
          <w:rFonts w:ascii="Times New Roman" w:hAnsi="Times New Roman" w:cs="Times New Roman"/>
          <w:sz w:val="24"/>
          <w:szCs w:val="24"/>
        </w:rPr>
        <w:t xml:space="preserve"> </w:t>
      </w:r>
      <w:r w:rsidR="000F0B86" w:rsidRPr="00DD6763">
        <w:rPr>
          <w:rFonts w:ascii="Times New Roman" w:hAnsi="Times New Roman" w:cs="Times New Roman"/>
          <w:sz w:val="24"/>
          <w:szCs w:val="24"/>
        </w:rPr>
        <w:t>an</w:t>
      </w:r>
      <w:r w:rsidRPr="00DD6763">
        <w:rPr>
          <w:rFonts w:ascii="Times New Roman" w:hAnsi="Times New Roman" w:cs="Times New Roman"/>
          <w:sz w:val="24"/>
          <w:szCs w:val="24"/>
        </w:rPr>
        <w:t xml:space="preserve"> </w:t>
      </w:r>
      <w:r w:rsidR="00A34D60" w:rsidRPr="00DD6763">
        <w:rPr>
          <w:rFonts w:ascii="Times New Roman" w:hAnsi="Times New Roman" w:cs="Times New Roman"/>
          <w:sz w:val="24"/>
          <w:szCs w:val="24"/>
        </w:rPr>
        <w:t xml:space="preserve">evolution </w:t>
      </w:r>
      <w:r w:rsidRPr="00DD6763">
        <w:rPr>
          <w:rFonts w:ascii="Times New Roman" w:hAnsi="Times New Roman" w:cs="Times New Roman"/>
          <w:sz w:val="24"/>
          <w:szCs w:val="24"/>
        </w:rPr>
        <w:t xml:space="preserve">in the interpretation of FPIC </w:t>
      </w:r>
      <w:r w:rsidR="00A34D60" w:rsidRPr="00DD6763">
        <w:rPr>
          <w:rFonts w:ascii="Times New Roman" w:hAnsi="Times New Roman" w:cs="Times New Roman"/>
          <w:sz w:val="24"/>
          <w:szCs w:val="24"/>
        </w:rPr>
        <w:t xml:space="preserve">from </w:t>
      </w:r>
      <w:r w:rsidRPr="00DD6763">
        <w:rPr>
          <w:rFonts w:ascii="Times New Roman" w:hAnsi="Times New Roman" w:cs="Times New Roman"/>
          <w:sz w:val="24"/>
          <w:szCs w:val="24"/>
        </w:rPr>
        <w:t>t</w:t>
      </w:r>
      <w:r w:rsidR="000F0B86" w:rsidRPr="00DD6763">
        <w:rPr>
          <w:rFonts w:ascii="Times New Roman" w:hAnsi="Times New Roman" w:cs="Times New Roman"/>
          <w:sz w:val="24"/>
          <w:szCs w:val="24"/>
        </w:rPr>
        <w:t>he</w:t>
      </w:r>
      <w:r w:rsidRPr="00DD6763">
        <w:rPr>
          <w:rFonts w:ascii="Times New Roman" w:hAnsi="Times New Roman" w:cs="Times New Roman"/>
          <w:sz w:val="24"/>
          <w:szCs w:val="24"/>
        </w:rPr>
        <w:t xml:space="preserve"> indigenous peoples’ right to be consulted</w:t>
      </w:r>
      <w:r w:rsidR="00A34D60" w:rsidRPr="00DD6763">
        <w:rPr>
          <w:rFonts w:ascii="Times New Roman" w:hAnsi="Times New Roman" w:cs="Times New Roman"/>
          <w:sz w:val="24"/>
          <w:szCs w:val="24"/>
        </w:rPr>
        <w:t xml:space="preserve"> to </w:t>
      </w:r>
      <w:r w:rsidRPr="00DD6763">
        <w:rPr>
          <w:rFonts w:ascii="Times New Roman" w:hAnsi="Times New Roman" w:cs="Times New Roman"/>
          <w:sz w:val="24"/>
          <w:szCs w:val="24"/>
        </w:rPr>
        <w:t xml:space="preserve">a clear articulation of prior </w:t>
      </w:r>
      <w:r w:rsidR="00A34D60" w:rsidRPr="00DD6763">
        <w:rPr>
          <w:rFonts w:ascii="Times New Roman" w:hAnsi="Times New Roman" w:cs="Times New Roman"/>
          <w:sz w:val="24"/>
          <w:szCs w:val="24"/>
        </w:rPr>
        <w:t>consent</w:t>
      </w:r>
      <w:r w:rsidRPr="00DD6763">
        <w:rPr>
          <w:rFonts w:ascii="Times New Roman" w:hAnsi="Times New Roman" w:cs="Times New Roman"/>
          <w:sz w:val="24"/>
          <w:szCs w:val="24"/>
        </w:rPr>
        <w:t xml:space="preserve"> as a requirement</w:t>
      </w:r>
      <w:r w:rsidR="00A34D60" w:rsidRPr="00DD6763">
        <w:rPr>
          <w:rFonts w:ascii="Times New Roman" w:hAnsi="Times New Roman" w:cs="Times New Roman"/>
          <w:sz w:val="24"/>
          <w:szCs w:val="24"/>
        </w:rPr>
        <w:t>. Clearly</w:t>
      </w:r>
      <w:r w:rsidRPr="00DD6763">
        <w:rPr>
          <w:rFonts w:ascii="Times New Roman" w:hAnsi="Times New Roman" w:cs="Times New Roman"/>
          <w:sz w:val="24"/>
          <w:szCs w:val="24"/>
        </w:rPr>
        <w:t xml:space="preserve">, the right to indigenous communal property and to a cultural identity are cardinal in the progress attained. </w:t>
      </w:r>
      <w:r w:rsidR="005E5897" w:rsidRPr="00DD6763">
        <w:rPr>
          <w:rFonts w:ascii="Times New Roman" w:hAnsi="Times New Roman" w:cs="Times New Roman"/>
          <w:sz w:val="24"/>
          <w:szCs w:val="24"/>
        </w:rPr>
        <w:t xml:space="preserve">Taking a revolutionary approach, the </w:t>
      </w:r>
      <w:proofErr w:type="spellStart"/>
      <w:r w:rsidR="00397FD8" w:rsidRPr="00DD6763">
        <w:rPr>
          <w:rFonts w:ascii="Times New Roman" w:hAnsi="Times New Roman" w:cs="Times New Roman"/>
          <w:sz w:val="24"/>
          <w:szCs w:val="24"/>
        </w:rPr>
        <w:t>IACtHR</w:t>
      </w:r>
      <w:proofErr w:type="spellEnd"/>
      <w:r w:rsidR="005E5897" w:rsidRPr="00DD6763">
        <w:rPr>
          <w:rFonts w:ascii="Times New Roman" w:hAnsi="Times New Roman" w:cs="Times New Roman"/>
          <w:sz w:val="24"/>
          <w:szCs w:val="24"/>
        </w:rPr>
        <w:t xml:space="preserve"> in an evolving interpretation of C169 relying on the protection of communal property has drawn on this to establish customary international norms regulating FPIC based on </w:t>
      </w:r>
      <w:r w:rsidR="009F7F3D">
        <w:rPr>
          <w:rFonts w:ascii="Times New Roman" w:hAnsi="Times New Roman" w:cs="Times New Roman"/>
          <w:sz w:val="24"/>
          <w:szCs w:val="24"/>
        </w:rPr>
        <w:t>A</w:t>
      </w:r>
      <w:r w:rsidR="00C57E6D">
        <w:rPr>
          <w:rFonts w:ascii="Times New Roman" w:hAnsi="Times New Roman" w:cs="Times New Roman"/>
          <w:sz w:val="24"/>
          <w:szCs w:val="24"/>
        </w:rPr>
        <w:t xml:space="preserve">rticle </w:t>
      </w:r>
      <w:r w:rsidR="005E5897" w:rsidRPr="00DD6763">
        <w:rPr>
          <w:rFonts w:ascii="Times New Roman" w:hAnsi="Times New Roman" w:cs="Times New Roman"/>
          <w:sz w:val="24"/>
          <w:szCs w:val="24"/>
        </w:rPr>
        <w:t>38 of the Statute of the International Court of Justice and on an examination of domestic laws adopted in several countries.</w:t>
      </w:r>
      <w:r w:rsidR="005E5897" w:rsidRPr="00DD6763">
        <w:rPr>
          <w:rStyle w:val="FootnoteReference"/>
          <w:rFonts w:ascii="Times New Roman" w:hAnsi="Times New Roman" w:cs="Times New Roman"/>
          <w:sz w:val="24"/>
          <w:szCs w:val="24"/>
        </w:rPr>
        <w:footnoteReference w:id="135"/>
      </w:r>
      <w:r w:rsidR="005E5897" w:rsidRPr="00DD6763">
        <w:rPr>
          <w:rFonts w:ascii="Times New Roman" w:hAnsi="Times New Roman" w:cs="Times New Roman"/>
          <w:sz w:val="24"/>
          <w:szCs w:val="24"/>
        </w:rPr>
        <w:t xml:space="preserve"> </w:t>
      </w:r>
      <w:r w:rsidR="005E5897" w:rsidRPr="00DD6763">
        <w:rPr>
          <w:rFonts w:ascii="Times New Roman" w:hAnsi="Times New Roman" w:cs="Times New Roman"/>
          <w:sz w:val="24"/>
          <w:szCs w:val="24"/>
          <w:lang w:eastAsia="en-GB"/>
        </w:rPr>
        <w:t xml:space="preserve"> </w:t>
      </w:r>
      <w:r w:rsidRPr="00DD6763">
        <w:rPr>
          <w:rFonts w:ascii="Times New Roman" w:hAnsi="Times New Roman" w:cs="Times New Roman"/>
          <w:sz w:val="24"/>
          <w:szCs w:val="24"/>
        </w:rPr>
        <w:t>The Court has</w:t>
      </w:r>
      <w:r w:rsidR="00A34D60" w:rsidRPr="00DD6763">
        <w:rPr>
          <w:rFonts w:ascii="Times New Roman" w:hAnsi="Times New Roman" w:cs="Times New Roman"/>
          <w:sz w:val="24"/>
          <w:szCs w:val="24"/>
        </w:rPr>
        <w:t xml:space="preserve"> defined</w:t>
      </w:r>
      <w:r w:rsidRPr="00DD6763">
        <w:rPr>
          <w:rFonts w:ascii="Times New Roman" w:hAnsi="Times New Roman" w:cs="Times New Roman"/>
          <w:sz w:val="24"/>
          <w:szCs w:val="24"/>
        </w:rPr>
        <w:t xml:space="preserve"> the standards to be followed for the states to conduct a consultation aimed at obtaining consent</w:t>
      </w:r>
      <w:r w:rsidR="00A34D60" w:rsidRPr="00DD6763">
        <w:rPr>
          <w:rFonts w:ascii="Times New Roman" w:hAnsi="Times New Roman" w:cs="Times New Roman"/>
          <w:sz w:val="24"/>
          <w:szCs w:val="24"/>
        </w:rPr>
        <w:t>,</w:t>
      </w:r>
      <w:r w:rsidRPr="00DD6763">
        <w:rPr>
          <w:rFonts w:ascii="Times New Roman" w:hAnsi="Times New Roman" w:cs="Times New Roman"/>
          <w:sz w:val="24"/>
          <w:szCs w:val="24"/>
        </w:rPr>
        <w:t xml:space="preserve"> without nevertheless establishing a threshold. </w:t>
      </w:r>
      <w:r w:rsidR="00A34D60"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Environmental protection is intertwined with the safeguard of the communal indigenous property in recent cases, </w:t>
      </w:r>
      <w:r w:rsidR="001F09B3" w:rsidRPr="00DD6763">
        <w:rPr>
          <w:rFonts w:ascii="Times New Roman" w:hAnsi="Times New Roman" w:cs="Times New Roman"/>
          <w:sz w:val="24"/>
          <w:szCs w:val="24"/>
        </w:rPr>
        <w:t xml:space="preserve">the Court has </w:t>
      </w:r>
      <w:r w:rsidRPr="00DD6763">
        <w:rPr>
          <w:rFonts w:ascii="Times New Roman" w:hAnsi="Times New Roman" w:cs="Times New Roman"/>
          <w:sz w:val="24"/>
          <w:szCs w:val="24"/>
        </w:rPr>
        <w:t xml:space="preserve">further emphasised that indigenous participation in the environmental and social impact assessment is mandatory but </w:t>
      </w:r>
      <w:r w:rsidR="00A34D60" w:rsidRPr="00DD6763">
        <w:rPr>
          <w:rFonts w:ascii="Times New Roman" w:hAnsi="Times New Roman" w:cs="Times New Roman"/>
          <w:sz w:val="24"/>
          <w:szCs w:val="24"/>
        </w:rPr>
        <w:t>separate from</w:t>
      </w:r>
      <w:r w:rsidRPr="00DD6763">
        <w:rPr>
          <w:rFonts w:ascii="Times New Roman" w:hAnsi="Times New Roman" w:cs="Times New Roman"/>
          <w:sz w:val="24"/>
          <w:szCs w:val="24"/>
        </w:rPr>
        <w:t xml:space="preserve"> prior consent</w:t>
      </w:r>
      <w:r w:rsidR="00A34D60" w:rsidRPr="00DD6763">
        <w:rPr>
          <w:rFonts w:ascii="Times New Roman" w:hAnsi="Times New Roman" w:cs="Times New Roman"/>
          <w:sz w:val="24"/>
          <w:szCs w:val="24"/>
        </w:rPr>
        <w:t xml:space="preserve">. </w:t>
      </w:r>
      <w:r w:rsidR="005E5897" w:rsidRPr="00DD6763">
        <w:rPr>
          <w:rFonts w:ascii="Times New Roman" w:hAnsi="Times New Roman" w:cs="Times New Roman"/>
          <w:sz w:val="24"/>
          <w:szCs w:val="24"/>
        </w:rPr>
        <w:t xml:space="preserve">As the </w:t>
      </w:r>
      <w:proofErr w:type="spellStart"/>
      <w:r w:rsidR="005E5897" w:rsidRPr="00DD6763">
        <w:rPr>
          <w:rFonts w:ascii="Times New Roman" w:hAnsi="Times New Roman" w:cs="Times New Roman"/>
          <w:sz w:val="24"/>
          <w:szCs w:val="24"/>
        </w:rPr>
        <w:t>IACtHR</w:t>
      </w:r>
      <w:proofErr w:type="spellEnd"/>
      <w:r w:rsidR="005E5897" w:rsidRPr="00DD6763">
        <w:rPr>
          <w:rFonts w:ascii="Times New Roman" w:hAnsi="Times New Roman" w:cs="Times New Roman"/>
          <w:sz w:val="24"/>
          <w:szCs w:val="24"/>
        </w:rPr>
        <w:t xml:space="preserve"> stated in </w:t>
      </w:r>
      <w:proofErr w:type="spellStart"/>
      <w:r w:rsidR="005E5897" w:rsidRPr="00DD6763">
        <w:rPr>
          <w:rFonts w:ascii="Times New Roman" w:hAnsi="Times New Roman" w:cs="Times New Roman"/>
          <w:i/>
          <w:sz w:val="24"/>
          <w:szCs w:val="24"/>
        </w:rPr>
        <w:t>Sarayaku</w:t>
      </w:r>
      <w:proofErr w:type="spellEnd"/>
      <w:r w:rsidR="005E5897" w:rsidRPr="00DD6763">
        <w:rPr>
          <w:rFonts w:ascii="Times New Roman" w:hAnsi="Times New Roman" w:cs="Times New Roman"/>
          <w:i/>
          <w:sz w:val="24"/>
          <w:szCs w:val="24"/>
        </w:rPr>
        <w:t xml:space="preserve">, </w:t>
      </w:r>
      <w:r w:rsidR="00D35F6E" w:rsidRPr="00DD6763">
        <w:rPr>
          <w:rFonts w:ascii="Times New Roman" w:hAnsi="Times New Roman" w:cs="Times New Roman"/>
          <w:sz w:val="24"/>
          <w:szCs w:val="24"/>
        </w:rPr>
        <w:t>“</w:t>
      </w:r>
      <w:r w:rsidR="005E5897" w:rsidRPr="00DD6763">
        <w:rPr>
          <w:rFonts w:ascii="Times New Roman" w:hAnsi="Times New Roman" w:cs="Times New Roman"/>
          <w:sz w:val="24"/>
          <w:szCs w:val="24"/>
        </w:rPr>
        <w:t>the right to use and enjoy the territory would be meaningless for indigenous and tribal communities if that right were not connected to the protection of natural resources in the territ</w:t>
      </w:r>
      <w:r w:rsidR="00D35F6E" w:rsidRPr="00DD6763">
        <w:rPr>
          <w:rFonts w:ascii="Times New Roman" w:hAnsi="Times New Roman" w:cs="Times New Roman"/>
          <w:sz w:val="24"/>
          <w:szCs w:val="24"/>
        </w:rPr>
        <w:t>ory</w:t>
      </w:r>
      <w:r w:rsidR="00A13BE2" w:rsidRPr="00DD6763">
        <w:rPr>
          <w:rFonts w:ascii="Times New Roman" w:hAnsi="Times New Roman" w:cs="Times New Roman"/>
          <w:sz w:val="24"/>
          <w:szCs w:val="24"/>
        </w:rPr>
        <w:t>”.</w:t>
      </w:r>
      <w:r w:rsidR="005E5897" w:rsidRPr="00DD6763">
        <w:rPr>
          <w:rStyle w:val="FootnoteReference"/>
          <w:rFonts w:ascii="Times New Roman" w:hAnsi="Times New Roman" w:cs="Times New Roman"/>
          <w:sz w:val="24"/>
          <w:szCs w:val="24"/>
        </w:rPr>
        <w:footnoteReference w:id="136"/>
      </w:r>
    </w:p>
    <w:p w14:paraId="479C4391" w14:textId="662BC96F" w:rsidR="00E23AFE" w:rsidRPr="00DD6763" w:rsidRDefault="002221A2"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In terms of the shortcomings, d</w:t>
      </w:r>
      <w:r w:rsidR="004F5F42" w:rsidRPr="00DD6763">
        <w:rPr>
          <w:rFonts w:ascii="Times New Roman" w:hAnsi="Times New Roman" w:cs="Times New Roman"/>
          <w:sz w:val="24"/>
          <w:szCs w:val="24"/>
        </w:rPr>
        <w:t xml:space="preserve">espite the significant developments </w:t>
      </w:r>
      <w:r w:rsidR="00E23AFE" w:rsidRPr="00DD6763">
        <w:rPr>
          <w:rFonts w:ascii="Times New Roman" w:hAnsi="Times New Roman" w:cs="Times New Roman"/>
          <w:sz w:val="24"/>
          <w:szCs w:val="24"/>
        </w:rPr>
        <w:t>achieved</w:t>
      </w:r>
      <w:r w:rsidR="004F5F42" w:rsidRPr="00DD6763">
        <w:rPr>
          <w:rFonts w:ascii="Times New Roman" w:hAnsi="Times New Roman" w:cs="Times New Roman"/>
          <w:sz w:val="24"/>
          <w:szCs w:val="24"/>
        </w:rPr>
        <w:t xml:space="preserve">, there are still pending issues. </w:t>
      </w:r>
      <w:r w:rsidR="00E23AFE" w:rsidRPr="00DD6763">
        <w:rPr>
          <w:rFonts w:ascii="Times New Roman" w:hAnsi="Times New Roman" w:cs="Times New Roman"/>
          <w:sz w:val="24"/>
          <w:szCs w:val="24"/>
        </w:rPr>
        <w:t>Some of them operate on a theoretical/conceptual plane and concern the interpretation of crucial legal issues. Other go beyond the legal reasoning followed by the Court and refer to the effectiveness of reparation and the implementation of the rulings</w:t>
      </w:r>
      <w:r w:rsidR="00881282" w:rsidRPr="00DD6763">
        <w:rPr>
          <w:rFonts w:ascii="Times New Roman" w:hAnsi="Times New Roman" w:cs="Times New Roman"/>
          <w:sz w:val="24"/>
          <w:szCs w:val="24"/>
        </w:rPr>
        <w:t xml:space="preserve">. </w:t>
      </w:r>
    </w:p>
    <w:p w14:paraId="50D8EAFD" w14:textId="18D05331" w:rsidR="00E23AFE" w:rsidRPr="00DD6763" w:rsidRDefault="00E23AFE"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With regard to the first set of issues, the interpretation of </w:t>
      </w:r>
      <w:r w:rsidR="005E5897" w:rsidRPr="00DD6763">
        <w:rPr>
          <w:rFonts w:ascii="Times New Roman" w:hAnsi="Times New Roman" w:cs="Times New Roman"/>
          <w:sz w:val="24"/>
          <w:szCs w:val="24"/>
        </w:rPr>
        <w:t>FPIC</w:t>
      </w:r>
      <w:r w:rsidRPr="00DD6763">
        <w:rPr>
          <w:rFonts w:ascii="Times New Roman" w:hAnsi="Times New Roman" w:cs="Times New Roman"/>
          <w:sz w:val="24"/>
          <w:szCs w:val="24"/>
        </w:rPr>
        <w:t xml:space="preserve"> is </w:t>
      </w:r>
      <w:r w:rsidR="00BB0EE6" w:rsidRPr="00DD6763">
        <w:rPr>
          <w:rFonts w:ascii="Times New Roman" w:hAnsi="Times New Roman" w:cs="Times New Roman"/>
          <w:sz w:val="24"/>
          <w:szCs w:val="24"/>
        </w:rPr>
        <w:t xml:space="preserve">partially </w:t>
      </w:r>
      <w:r w:rsidR="001413E0" w:rsidRPr="00DD6763">
        <w:rPr>
          <w:rFonts w:ascii="Times New Roman" w:hAnsi="Times New Roman" w:cs="Times New Roman"/>
          <w:sz w:val="24"/>
          <w:szCs w:val="24"/>
        </w:rPr>
        <w:t>clouded by the fact that</w:t>
      </w:r>
      <w:r w:rsidRPr="00DD6763">
        <w:rPr>
          <w:rFonts w:ascii="Times New Roman" w:hAnsi="Times New Roman" w:cs="Times New Roman"/>
          <w:sz w:val="24"/>
          <w:szCs w:val="24"/>
        </w:rPr>
        <w:t xml:space="preserve"> the Court has been </w:t>
      </w:r>
      <w:r w:rsidR="005E5897" w:rsidRPr="00DD6763">
        <w:rPr>
          <w:rFonts w:ascii="Times New Roman" w:hAnsi="Times New Roman" w:cs="Times New Roman"/>
          <w:sz w:val="24"/>
          <w:szCs w:val="24"/>
        </w:rPr>
        <w:t>hesitant</w:t>
      </w:r>
      <w:r w:rsidRPr="00DD6763">
        <w:rPr>
          <w:rFonts w:ascii="Times New Roman" w:hAnsi="Times New Roman" w:cs="Times New Roman"/>
          <w:sz w:val="24"/>
          <w:szCs w:val="24"/>
        </w:rPr>
        <w:t xml:space="preserve"> </w:t>
      </w:r>
      <w:r w:rsidR="00BB0EE6" w:rsidRPr="00DD6763">
        <w:rPr>
          <w:rFonts w:ascii="Times New Roman" w:hAnsi="Times New Roman" w:cs="Times New Roman"/>
          <w:sz w:val="24"/>
          <w:szCs w:val="24"/>
        </w:rPr>
        <w:t xml:space="preserve">about </w:t>
      </w:r>
      <w:r w:rsidRPr="00DD6763">
        <w:rPr>
          <w:rFonts w:ascii="Times New Roman" w:hAnsi="Times New Roman" w:cs="Times New Roman"/>
          <w:sz w:val="24"/>
          <w:szCs w:val="24"/>
        </w:rPr>
        <w:t xml:space="preserve">defining </w:t>
      </w:r>
      <w:r w:rsidR="00072C16" w:rsidRPr="00DD6763">
        <w:rPr>
          <w:rFonts w:ascii="Times New Roman" w:hAnsi="Times New Roman" w:cs="Times New Roman"/>
          <w:sz w:val="24"/>
          <w:szCs w:val="24"/>
        </w:rPr>
        <w:t>its</w:t>
      </w:r>
      <w:r w:rsidR="00BB0EE6" w:rsidRPr="00DD6763">
        <w:rPr>
          <w:rFonts w:ascii="Times New Roman" w:hAnsi="Times New Roman" w:cs="Times New Roman"/>
          <w:sz w:val="24"/>
          <w:szCs w:val="24"/>
        </w:rPr>
        <w:t xml:space="preserve"> nature</w:t>
      </w:r>
      <w:r w:rsidR="000D2AA1" w:rsidRPr="00DD6763">
        <w:rPr>
          <w:rFonts w:ascii="Times New Roman" w:hAnsi="Times New Roman" w:cs="Times New Roman"/>
          <w:sz w:val="24"/>
          <w:szCs w:val="24"/>
        </w:rPr>
        <w:t>, based on self-determination and the principle of non-discrimination</w:t>
      </w:r>
      <w:r w:rsidR="001413E0" w:rsidRPr="00DD6763">
        <w:rPr>
          <w:rFonts w:ascii="Times New Roman" w:hAnsi="Times New Roman" w:cs="Times New Roman"/>
          <w:sz w:val="24"/>
          <w:szCs w:val="24"/>
        </w:rPr>
        <w:t>.</w:t>
      </w:r>
      <w:r w:rsidRPr="00DD6763">
        <w:rPr>
          <w:rFonts w:ascii="Times New Roman" w:hAnsi="Times New Roman" w:cs="Times New Roman"/>
          <w:sz w:val="24"/>
          <w:szCs w:val="24"/>
        </w:rPr>
        <w:t xml:space="preserve"> </w:t>
      </w:r>
      <w:r w:rsidR="00B80D58" w:rsidRPr="00DD6763">
        <w:rPr>
          <w:rFonts w:ascii="Times New Roman" w:hAnsi="Times New Roman" w:cs="Times New Roman"/>
          <w:sz w:val="24"/>
          <w:szCs w:val="24"/>
        </w:rPr>
        <w:t>This is understandable as t</w:t>
      </w:r>
      <w:r w:rsidRPr="00DD6763">
        <w:rPr>
          <w:rFonts w:ascii="Times New Roman" w:hAnsi="Times New Roman" w:cs="Times New Roman"/>
          <w:sz w:val="24"/>
          <w:szCs w:val="24"/>
        </w:rPr>
        <w:t>he nature of FPIC, as an international law norm</w:t>
      </w:r>
      <w:r w:rsidR="00B80D58" w:rsidRPr="00DD6763">
        <w:rPr>
          <w:rFonts w:ascii="Times New Roman" w:hAnsi="Times New Roman" w:cs="Times New Roman"/>
          <w:sz w:val="24"/>
          <w:szCs w:val="24"/>
        </w:rPr>
        <w:t>, is still unset</w:t>
      </w:r>
      <w:r w:rsidR="009F7F3D">
        <w:rPr>
          <w:rFonts w:ascii="Times New Roman" w:hAnsi="Times New Roman" w:cs="Times New Roman"/>
          <w:sz w:val="24"/>
          <w:szCs w:val="24"/>
        </w:rPr>
        <w:t>tled in light of A</w:t>
      </w:r>
      <w:r w:rsidRPr="00DD6763">
        <w:rPr>
          <w:rFonts w:ascii="Times New Roman" w:hAnsi="Times New Roman" w:cs="Times New Roman"/>
          <w:sz w:val="24"/>
          <w:szCs w:val="24"/>
        </w:rPr>
        <w:t>rticle 38</w:t>
      </w:r>
      <w:r w:rsidR="00B80D58" w:rsidRPr="00DD6763">
        <w:rPr>
          <w:rFonts w:ascii="Times New Roman" w:hAnsi="Times New Roman" w:cs="Times New Roman"/>
          <w:sz w:val="24"/>
          <w:szCs w:val="24"/>
        </w:rPr>
        <w:t xml:space="preserve"> of the Statute of the International Court of </w:t>
      </w:r>
      <w:r w:rsidR="00BE76C3" w:rsidRPr="00DD6763">
        <w:rPr>
          <w:rFonts w:ascii="Times New Roman" w:hAnsi="Times New Roman" w:cs="Times New Roman"/>
          <w:sz w:val="24"/>
          <w:szCs w:val="24"/>
        </w:rPr>
        <w:t>Justice, which</w:t>
      </w:r>
      <w:r w:rsidRPr="00DD6763">
        <w:rPr>
          <w:rFonts w:ascii="Times New Roman" w:hAnsi="Times New Roman" w:cs="Times New Roman"/>
          <w:sz w:val="24"/>
          <w:szCs w:val="24"/>
        </w:rPr>
        <w:t xml:space="preserve"> </w:t>
      </w:r>
      <w:r w:rsidR="004B3CA7">
        <w:rPr>
          <w:rFonts w:ascii="Times New Roman" w:hAnsi="Times New Roman" w:cs="Times New Roman"/>
          <w:sz w:val="24"/>
          <w:szCs w:val="24"/>
        </w:rPr>
        <w:t>identifies</w:t>
      </w:r>
      <w:r w:rsidR="004B3CA7"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the sources </w:t>
      </w:r>
      <w:r w:rsidR="003636C9">
        <w:rPr>
          <w:rFonts w:ascii="Times New Roman" w:hAnsi="Times New Roman" w:cs="Times New Roman"/>
          <w:sz w:val="24"/>
          <w:szCs w:val="24"/>
        </w:rPr>
        <w:t>of international law</w:t>
      </w:r>
      <w:r w:rsidRPr="00DD6763">
        <w:rPr>
          <w:rFonts w:ascii="Times New Roman" w:hAnsi="Times New Roman" w:cs="Times New Roman"/>
          <w:sz w:val="24"/>
          <w:szCs w:val="24"/>
        </w:rPr>
        <w:t xml:space="preserve">. </w:t>
      </w:r>
      <w:r w:rsidR="00B80D58" w:rsidRPr="00DD6763">
        <w:rPr>
          <w:rFonts w:ascii="Times New Roman" w:hAnsi="Times New Roman" w:cs="Times New Roman"/>
          <w:sz w:val="24"/>
          <w:szCs w:val="24"/>
        </w:rPr>
        <w:t>The Court has resorted to the p</w:t>
      </w:r>
      <w:r w:rsidRPr="00DD6763">
        <w:rPr>
          <w:rFonts w:ascii="Times New Roman" w:hAnsi="Times New Roman" w:cs="Times New Roman"/>
          <w:sz w:val="24"/>
          <w:szCs w:val="24"/>
        </w:rPr>
        <w:t>rinciples of international law</w:t>
      </w:r>
      <w:r w:rsidR="009F7F3D">
        <w:rPr>
          <w:rFonts w:ascii="Times New Roman" w:hAnsi="Times New Roman" w:cs="Times New Roman"/>
          <w:sz w:val="24"/>
          <w:szCs w:val="24"/>
        </w:rPr>
        <w:t xml:space="preserve"> (A</w:t>
      </w:r>
      <w:r w:rsidR="00727E4C" w:rsidRPr="00DD6763">
        <w:rPr>
          <w:rFonts w:ascii="Times New Roman" w:hAnsi="Times New Roman" w:cs="Times New Roman"/>
          <w:sz w:val="24"/>
          <w:szCs w:val="24"/>
        </w:rPr>
        <w:t>rticle 38.</w:t>
      </w:r>
      <w:r w:rsidR="006331BC">
        <w:rPr>
          <w:rFonts w:ascii="Times New Roman" w:hAnsi="Times New Roman" w:cs="Times New Roman"/>
          <w:sz w:val="24"/>
          <w:szCs w:val="24"/>
        </w:rPr>
        <w:t>1.</w:t>
      </w:r>
      <w:r w:rsidR="00727E4C" w:rsidRPr="00DD6763">
        <w:rPr>
          <w:rFonts w:ascii="Times New Roman" w:hAnsi="Times New Roman" w:cs="Times New Roman"/>
          <w:sz w:val="24"/>
          <w:szCs w:val="24"/>
        </w:rPr>
        <w:t>c)</w:t>
      </w:r>
      <w:r w:rsidR="00BB0EE6" w:rsidRPr="00DD6763">
        <w:rPr>
          <w:rFonts w:ascii="Times New Roman" w:hAnsi="Times New Roman" w:cs="Times New Roman"/>
          <w:sz w:val="24"/>
          <w:szCs w:val="24"/>
        </w:rPr>
        <w:t>,</w:t>
      </w:r>
      <w:r w:rsidR="00B80D58" w:rsidRPr="00DD6763">
        <w:rPr>
          <w:rFonts w:ascii="Times New Roman" w:hAnsi="Times New Roman" w:cs="Times New Roman"/>
          <w:sz w:val="24"/>
          <w:szCs w:val="24"/>
        </w:rPr>
        <w:t xml:space="preserve"> </w:t>
      </w:r>
      <w:r w:rsidR="006237D3">
        <w:rPr>
          <w:rFonts w:ascii="Times New Roman" w:hAnsi="Times New Roman" w:cs="Times New Roman"/>
          <w:sz w:val="24"/>
          <w:szCs w:val="24"/>
        </w:rPr>
        <w:t xml:space="preserve">namely the principles of good faith and non- discrimination, </w:t>
      </w:r>
      <w:r w:rsidR="00B80D58" w:rsidRPr="00DD6763">
        <w:rPr>
          <w:rFonts w:ascii="Times New Roman" w:hAnsi="Times New Roman" w:cs="Times New Roman"/>
          <w:sz w:val="24"/>
          <w:szCs w:val="24"/>
        </w:rPr>
        <w:t xml:space="preserve">with a </w:t>
      </w:r>
      <w:r w:rsidRPr="00DD6763">
        <w:rPr>
          <w:rFonts w:ascii="Times New Roman" w:hAnsi="Times New Roman" w:cs="Times New Roman"/>
          <w:sz w:val="24"/>
          <w:szCs w:val="24"/>
        </w:rPr>
        <w:t>vague</w:t>
      </w:r>
      <w:r w:rsidR="00BB0EE6" w:rsidRPr="00DD6763">
        <w:rPr>
          <w:rFonts w:ascii="Times New Roman" w:hAnsi="Times New Roman" w:cs="Times New Roman"/>
          <w:sz w:val="24"/>
          <w:szCs w:val="24"/>
        </w:rPr>
        <w:t>r</w:t>
      </w:r>
      <w:r w:rsidRPr="00DD6763">
        <w:rPr>
          <w:rFonts w:ascii="Times New Roman" w:hAnsi="Times New Roman" w:cs="Times New Roman"/>
          <w:sz w:val="24"/>
          <w:szCs w:val="24"/>
        </w:rPr>
        <w:t xml:space="preserve"> meaning.</w:t>
      </w:r>
      <w:r w:rsidR="00336D81">
        <w:rPr>
          <w:rStyle w:val="FootnoteReference"/>
          <w:rFonts w:ascii="Times New Roman" w:hAnsi="Times New Roman" w:cs="Times New Roman"/>
          <w:sz w:val="24"/>
          <w:szCs w:val="24"/>
        </w:rPr>
        <w:footnoteReference w:id="137"/>
      </w:r>
      <w:r w:rsidRPr="00DD6763">
        <w:rPr>
          <w:rFonts w:ascii="Times New Roman" w:hAnsi="Times New Roman" w:cs="Times New Roman"/>
          <w:sz w:val="24"/>
          <w:szCs w:val="24"/>
        </w:rPr>
        <w:t xml:space="preserve"> </w:t>
      </w:r>
      <w:r w:rsidR="00BB0EE6" w:rsidRPr="00DD6763">
        <w:rPr>
          <w:rFonts w:ascii="Times New Roman" w:hAnsi="Times New Roman" w:cs="Times New Roman"/>
          <w:sz w:val="24"/>
          <w:szCs w:val="24"/>
        </w:rPr>
        <w:t xml:space="preserve">Its </w:t>
      </w:r>
      <w:r w:rsidR="00B80D58" w:rsidRPr="00DD6763">
        <w:rPr>
          <w:rFonts w:ascii="Times New Roman" w:hAnsi="Times New Roman" w:cs="Times New Roman"/>
          <w:sz w:val="24"/>
          <w:szCs w:val="24"/>
        </w:rPr>
        <w:t>excellent analysis of domestic legislation and case law</w:t>
      </w:r>
      <w:r w:rsidR="00072C16" w:rsidRPr="00DD6763">
        <w:rPr>
          <w:rFonts w:ascii="Times New Roman" w:hAnsi="Times New Roman" w:cs="Times New Roman"/>
          <w:sz w:val="24"/>
          <w:szCs w:val="24"/>
        </w:rPr>
        <w:t>,</w:t>
      </w:r>
      <w:r w:rsidR="00B80D58" w:rsidRPr="00DD6763">
        <w:rPr>
          <w:rFonts w:ascii="Times New Roman" w:hAnsi="Times New Roman" w:cs="Times New Roman"/>
          <w:sz w:val="24"/>
          <w:szCs w:val="24"/>
        </w:rPr>
        <w:t xml:space="preserve"> </w:t>
      </w:r>
      <w:r w:rsidR="00BB0EE6" w:rsidRPr="00DD6763">
        <w:rPr>
          <w:rFonts w:ascii="Times New Roman" w:hAnsi="Times New Roman" w:cs="Times New Roman"/>
          <w:sz w:val="24"/>
          <w:szCs w:val="24"/>
        </w:rPr>
        <w:t>however</w:t>
      </w:r>
      <w:r w:rsidR="00072C16" w:rsidRPr="00DD6763">
        <w:rPr>
          <w:rFonts w:ascii="Times New Roman" w:hAnsi="Times New Roman" w:cs="Times New Roman"/>
          <w:sz w:val="24"/>
          <w:szCs w:val="24"/>
        </w:rPr>
        <w:t>,</w:t>
      </w:r>
      <w:r w:rsidR="00BB0EE6" w:rsidRPr="00DD6763">
        <w:rPr>
          <w:rFonts w:ascii="Times New Roman" w:hAnsi="Times New Roman" w:cs="Times New Roman"/>
          <w:sz w:val="24"/>
          <w:szCs w:val="24"/>
        </w:rPr>
        <w:t xml:space="preserve"> </w:t>
      </w:r>
      <w:r w:rsidR="00B80D58" w:rsidRPr="00DD6763">
        <w:rPr>
          <w:rFonts w:ascii="Times New Roman" w:hAnsi="Times New Roman" w:cs="Times New Roman"/>
          <w:sz w:val="24"/>
          <w:szCs w:val="24"/>
        </w:rPr>
        <w:t xml:space="preserve">indicates that </w:t>
      </w:r>
      <w:r w:rsidR="005F0A8E" w:rsidRPr="00DD6763">
        <w:rPr>
          <w:rFonts w:ascii="Times New Roman" w:hAnsi="Times New Roman" w:cs="Times New Roman"/>
          <w:sz w:val="24"/>
          <w:szCs w:val="24"/>
        </w:rPr>
        <w:t xml:space="preserve">FPIC </w:t>
      </w:r>
      <w:r w:rsidR="005E5897" w:rsidRPr="00DD6763">
        <w:rPr>
          <w:rFonts w:ascii="Times New Roman" w:hAnsi="Times New Roman" w:cs="Times New Roman"/>
          <w:sz w:val="24"/>
          <w:szCs w:val="24"/>
        </w:rPr>
        <w:t xml:space="preserve">is regulated in </w:t>
      </w:r>
      <w:r w:rsidRPr="00DD6763">
        <w:rPr>
          <w:rFonts w:ascii="Times New Roman" w:hAnsi="Times New Roman" w:cs="Times New Roman"/>
          <w:sz w:val="24"/>
          <w:szCs w:val="24"/>
        </w:rPr>
        <w:t xml:space="preserve">customary </w:t>
      </w:r>
      <w:r w:rsidR="005F0A8E" w:rsidRPr="00DD6763">
        <w:rPr>
          <w:rFonts w:ascii="Times New Roman" w:hAnsi="Times New Roman" w:cs="Times New Roman"/>
          <w:sz w:val="24"/>
          <w:szCs w:val="24"/>
        </w:rPr>
        <w:t>international law</w:t>
      </w:r>
      <w:r w:rsidR="009F7F3D">
        <w:rPr>
          <w:rFonts w:ascii="Times New Roman" w:hAnsi="Times New Roman" w:cs="Times New Roman"/>
          <w:sz w:val="24"/>
          <w:szCs w:val="24"/>
        </w:rPr>
        <w:t xml:space="preserve"> (A</w:t>
      </w:r>
      <w:r w:rsidR="00727E4C" w:rsidRPr="00DD6763">
        <w:rPr>
          <w:rFonts w:ascii="Times New Roman" w:hAnsi="Times New Roman" w:cs="Times New Roman"/>
          <w:sz w:val="24"/>
          <w:szCs w:val="24"/>
        </w:rPr>
        <w:t>rticle 38.</w:t>
      </w:r>
      <w:r w:rsidR="004C2A24" w:rsidRPr="00DD6763">
        <w:rPr>
          <w:rFonts w:ascii="Times New Roman" w:hAnsi="Times New Roman" w:cs="Times New Roman"/>
          <w:sz w:val="24"/>
          <w:szCs w:val="24"/>
        </w:rPr>
        <w:t>b</w:t>
      </w:r>
      <w:r w:rsidR="00727E4C" w:rsidRPr="00DD6763">
        <w:rPr>
          <w:rFonts w:ascii="Times New Roman" w:hAnsi="Times New Roman" w:cs="Times New Roman"/>
          <w:sz w:val="24"/>
          <w:szCs w:val="24"/>
        </w:rPr>
        <w:t>)</w:t>
      </w:r>
      <w:r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138"/>
      </w:r>
      <w:r w:rsidRPr="00DD6763">
        <w:rPr>
          <w:rFonts w:ascii="Times New Roman" w:hAnsi="Times New Roman" w:cs="Times New Roman"/>
          <w:sz w:val="24"/>
          <w:szCs w:val="24"/>
        </w:rPr>
        <w:t xml:space="preserve"> </w:t>
      </w:r>
      <w:r w:rsidR="00220282" w:rsidRPr="00DD6763">
        <w:rPr>
          <w:rFonts w:ascii="Times New Roman" w:hAnsi="Times New Roman" w:cs="Times New Roman"/>
          <w:sz w:val="24"/>
          <w:szCs w:val="24"/>
        </w:rPr>
        <w:t xml:space="preserve">The Court’s rulings </w:t>
      </w:r>
      <w:r w:rsidR="00BB0EE6" w:rsidRPr="00DD6763">
        <w:rPr>
          <w:rFonts w:ascii="Times New Roman" w:hAnsi="Times New Roman" w:cs="Times New Roman"/>
          <w:sz w:val="24"/>
          <w:szCs w:val="24"/>
        </w:rPr>
        <w:t xml:space="preserve">act </w:t>
      </w:r>
      <w:r w:rsidR="00220282" w:rsidRPr="00DD6763">
        <w:rPr>
          <w:rFonts w:ascii="Times New Roman" w:hAnsi="Times New Roman" w:cs="Times New Roman"/>
          <w:sz w:val="24"/>
          <w:szCs w:val="24"/>
        </w:rPr>
        <w:t>as vehicles to change the present state of affairs in terms of indigenous rights</w:t>
      </w:r>
      <w:r w:rsidR="009D0C3E" w:rsidRPr="00DD6763">
        <w:rPr>
          <w:rFonts w:ascii="Times New Roman" w:hAnsi="Times New Roman" w:cs="Times New Roman"/>
          <w:sz w:val="24"/>
          <w:szCs w:val="24"/>
        </w:rPr>
        <w:t>, but such a judicial activism has its limitations</w:t>
      </w:r>
      <w:r w:rsidR="00220282" w:rsidRPr="00DD6763">
        <w:rPr>
          <w:rFonts w:ascii="Times New Roman" w:hAnsi="Times New Roman" w:cs="Times New Roman"/>
          <w:sz w:val="24"/>
          <w:szCs w:val="24"/>
        </w:rPr>
        <w:t>.</w:t>
      </w:r>
      <w:r w:rsidR="009D0C3E" w:rsidRPr="00DD6763">
        <w:rPr>
          <w:rFonts w:ascii="Times New Roman" w:hAnsi="Times New Roman" w:cs="Times New Roman"/>
          <w:sz w:val="24"/>
          <w:szCs w:val="24"/>
        </w:rPr>
        <w:t xml:space="preserve"> </w:t>
      </w:r>
      <w:r w:rsidR="005473B0" w:rsidRPr="00DD6763">
        <w:rPr>
          <w:rFonts w:ascii="Times New Roman" w:hAnsi="Times New Roman" w:cs="Times New Roman"/>
          <w:sz w:val="24"/>
          <w:szCs w:val="24"/>
        </w:rPr>
        <w:t xml:space="preserve">Just </w:t>
      </w:r>
      <w:r w:rsidR="00C336D5" w:rsidRPr="00DD6763">
        <w:rPr>
          <w:rFonts w:ascii="Times New Roman" w:hAnsi="Times New Roman" w:cs="Times New Roman"/>
          <w:sz w:val="24"/>
          <w:szCs w:val="24"/>
        </w:rPr>
        <w:t>to mention</w:t>
      </w:r>
      <w:r w:rsidR="00152459" w:rsidRPr="00DD6763">
        <w:rPr>
          <w:rFonts w:ascii="Times New Roman" w:hAnsi="Times New Roman" w:cs="Times New Roman"/>
          <w:sz w:val="24"/>
          <w:szCs w:val="24"/>
        </w:rPr>
        <w:t xml:space="preserve"> a</w:t>
      </w:r>
      <w:r w:rsidR="00C336D5" w:rsidRPr="00DD6763">
        <w:rPr>
          <w:rFonts w:ascii="Times New Roman" w:hAnsi="Times New Roman" w:cs="Times New Roman"/>
          <w:sz w:val="24"/>
          <w:szCs w:val="24"/>
        </w:rPr>
        <w:t xml:space="preserve"> couple of them</w:t>
      </w:r>
      <w:r w:rsidR="005473B0" w:rsidRPr="00DD6763">
        <w:rPr>
          <w:rFonts w:ascii="Times New Roman" w:hAnsi="Times New Roman" w:cs="Times New Roman"/>
          <w:sz w:val="24"/>
          <w:szCs w:val="24"/>
        </w:rPr>
        <w:t>, it depends on the Court’s composition</w:t>
      </w:r>
      <w:r w:rsidR="00152459" w:rsidRPr="00DD6763">
        <w:rPr>
          <w:rFonts w:ascii="Times New Roman" w:hAnsi="Times New Roman" w:cs="Times New Roman"/>
          <w:sz w:val="24"/>
          <w:szCs w:val="24"/>
        </w:rPr>
        <w:t>,</w:t>
      </w:r>
      <w:r w:rsidR="005473B0" w:rsidRPr="00DD6763">
        <w:rPr>
          <w:rFonts w:ascii="Times New Roman" w:hAnsi="Times New Roman" w:cs="Times New Roman"/>
          <w:sz w:val="24"/>
          <w:szCs w:val="24"/>
        </w:rPr>
        <w:t xml:space="preserve"> and ultimately, the positive effect depends to a certain extent on the enforcement of the judgments.</w:t>
      </w:r>
    </w:p>
    <w:p w14:paraId="2CBBD988" w14:textId="56E4C194" w:rsidR="004F5F42" w:rsidRPr="00DD6763" w:rsidRDefault="00B80D58"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lastRenderedPageBreak/>
        <w:t>Regarding the second set of challenges</w:t>
      </w:r>
      <w:r w:rsidR="00BB0EE6" w:rsidRPr="00DD6763">
        <w:rPr>
          <w:rFonts w:ascii="Times New Roman" w:hAnsi="Times New Roman" w:cs="Times New Roman"/>
          <w:sz w:val="24"/>
          <w:szCs w:val="24"/>
        </w:rPr>
        <w:t xml:space="preserve"> (effectiveness of reparation and implementation of rulings)</w:t>
      </w:r>
      <w:r w:rsidRPr="00DD6763">
        <w:rPr>
          <w:rFonts w:ascii="Times New Roman" w:hAnsi="Times New Roman" w:cs="Times New Roman"/>
          <w:sz w:val="24"/>
          <w:szCs w:val="24"/>
        </w:rPr>
        <w:t xml:space="preserve">, </w:t>
      </w:r>
      <w:r w:rsidR="00BE76C3" w:rsidRPr="00DD6763">
        <w:rPr>
          <w:rFonts w:ascii="Times New Roman" w:hAnsi="Times New Roman" w:cs="Times New Roman"/>
          <w:sz w:val="24"/>
          <w:szCs w:val="24"/>
        </w:rPr>
        <w:t>clearly,</w:t>
      </w:r>
      <w:r w:rsidR="004F5F42" w:rsidRPr="00DD6763">
        <w:rPr>
          <w:rFonts w:ascii="Times New Roman" w:hAnsi="Times New Roman" w:cs="Times New Roman"/>
          <w:sz w:val="24"/>
          <w:szCs w:val="24"/>
        </w:rPr>
        <w:t xml:space="preserve"> the sole title does not s</w:t>
      </w:r>
      <w:r w:rsidR="00DC00A1" w:rsidRPr="00DD6763">
        <w:rPr>
          <w:rFonts w:ascii="Times New Roman" w:hAnsi="Times New Roman" w:cs="Times New Roman"/>
          <w:sz w:val="24"/>
          <w:szCs w:val="24"/>
        </w:rPr>
        <w:t>olve the controversy since the s</w:t>
      </w:r>
      <w:r w:rsidR="004F5F42" w:rsidRPr="00DD6763">
        <w:rPr>
          <w:rFonts w:ascii="Times New Roman" w:hAnsi="Times New Roman" w:cs="Times New Roman"/>
          <w:sz w:val="24"/>
          <w:szCs w:val="24"/>
        </w:rPr>
        <w:t xml:space="preserve">tate is the owner of the subsoil. </w:t>
      </w:r>
      <w:r w:rsidR="00BB0EE6" w:rsidRPr="00DD6763">
        <w:rPr>
          <w:rFonts w:ascii="Times New Roman" w:hAnsi="Times New Roman" w:cs="Times New Roman"/>
          <w:sz w:val="24"/>
          <w:szCs w:val="24"/>
        </w:rPr>
        <w:t xml:space="preserve">Achieving </w:t>
      </w:r>
      <w:r w:rsidR="00E61DF6" w:rsidRPr="00DD6763">
        <w:rPr>
          <w:rFonts w:ascii="Times New Roman" w:hAnsi="Times New Roman" w:cs="Times New Roman"/>
          <w:sz w:val="24"/>
          <w:szCs w:val="24"/>
        </w:rPr>
        <w:t xml:space="preserve">compliance with the ruling may take </w:t>
      </w:r>
      <w:r w:rsidR="00BB0EE6" w:rsidRPr="00DD6763">
        <w:rPr>
          <w:rFonts w:ascii="Times New Roman" w:hAnsi="Times New Roman" w:cs="Times New Roman"/>
          <w:sz w:val="24"/>
          <w:szCs w:val="24"/>
        </w:rPr>
        <w:t xml:space="preserve">a </w:t>
      </w:r>
      <w:r w:rsidR="00E61DF6" w:rsidRPr="00DD6763">
        <w:rPr>
          <w:rFonts w:ascii="Times New Roman" w:hAnsi="Times New Roman" w:cs="Times New Roman"/>
          <w:sz w:val="24"/>
          <w:szCs w:val="24"/>
        </w:rPr>
        <w:t>long</w:t>
      </w:r>
      <w:r w:rsidR="00BB0EE6" w:rsidRPr="00DD6763">
        <w:rPr>
          <w:rFonts w:ascii="Times New Roman" w:hAnsi="Times New Roman" w:cs="Times New Roman"/>
          <w:sz w:val="24"/>
          <w:szCs w:val="24"/>
        </w:rPr>
        <w:t xml:space="preserve"> time</w:t>
      </w:r>
      <w:r w:rsidR="00E61DF6" w:rsidRPr="00DD6763">
        <w:rPr>
          <w:rFonts w:ascii="Times New Roman" w:hAnsi="Times New Roman" w:cs="Times New Roman"/>
          <w:sz w:val="24"/>
          <w:szCs w:val="24"/>
        </w:rPr>
        <w:t xml:space="preserve">. </w:t>
      </w:r>
      <w:r w:rsidR="00EC2E8F" w:rsidRPr="00DD6763">
        <w:rPr>
          <w:rFonts w:ascii="Times New Roman" w:hAnsi="Times New Roman" w:cs="Times New Roman"/>
          <w:sz w:val="24"/>
          <w:szCs w:val="24"/>
        </w:rPr>
        <w:t>To illustrate</w:t>
      </w:r>
      <w:r w:rsidR="00BB0EE6" w:rsidRPr="00DD6763">
        <w:rPr>
          <w:rFonts w:ascii="Times New Roman" w:hAnsi="Times New Roman" w:cs="Times New Roman"/>
          <w:sz w:val="24"/>
          <w:szCs w:val="24"/>
        </w:rPr>
        <w:t>:</w:t>
      </w:r>
      <w:r w:rsidR="00EC2E8F" w:rsidRPr="00DD6763">
        <w:rPr>
          <w:rFonts w:ascii="Times New Roman" w:hAnsi="Times New Roman" w:cs="Times New Roman"/>
          <w:sz w:val="24"/>
          <w:szCs w:val="24"/>
        </w:rPr>
        <w:t xml:space="preserve"> i</w:t>
      </w:r>
      <w:r w:rsidR="004F5F42" w:rsidRPr="00DD6763">
        <w:rPr>
          <w:rFonts w:ascii="Times New Roman" w:hAnsi="Times New Roman" w:cs="Times New Roman"/>
          <w:sz w:val="24"/>
          <w:szCs w:val="24"/>
        </w:rPr>
        <w:t xml:space="preserve">n </w:t>
      </w:r>
      <w:proofErr w:type="spellStart"/>
      <w:r w:rsidR="004F5F42" w:rsidRPr="00DD6763">
        <w:rPr>
          <w:rFonts w:ascii="Times New Roman" w:hAnsi="Times New Roman" w:cs="Times New Roman"/>
          <w:i/>
          <w:sz w:val="24"/>
          <w:szCs w:val="24"/>
        </w:rPr>
        <w:t>Awas</w:t>
      </w:r>
      <w:proofErr w:type="spellEnd"/>
      <w:r w:rsidR="004F5F42" w:rsidRPr="00DD6763">
        <w:rPr>
          <w:rFonts w:ascii="Times New Roman" w:hAnsi="Times New Roman" w:cs="Times New Roman"/>
          <w:i/>
          <w:sz w:val="24"/>
          <w:szCs w:val="24"/>
        </w:rPr>
        <w:t xml:space="preserve"> </w:t>
      </w:r>
      <w:proofErr w:type="spellStart"/>
      <w:r w:rsidR="004F5F42" w:rsidRPr="00DD6763">
        <w:rPr>
          <w:rFonts w:ascii="Times New Roman" w:hAnsi="Times New Roman" w:cs="Times New Roman"/>
          <w:i/>
          <w:sz w:val="24"/>
          <w:szCs w:val="24"/>
        </w:rPr>
        <w:t>Tingni</w:t>
      </w:r>
      <w:proofErr w:type="spellEnd"/>
      <w:r w:rsidR="004F5F42" w:rsidRPr="00DD6763">
        <w:rPr>
          <w:rFonts w:ascii="Times New Roman" w:hAnsi="Times New Roman" w:cs="Times New Roman"/>
          <w:i/>
          <w:sz w:val="24"/>
          <w:szCs w:val="24"/>
        </w:rPr>
        <w:t xml:space="preserve"> Community</w:t>
      </w:r>
      <w:r w:rsidR="004F5F42" w:rsidRPr="00DD6763">
        <w:rPr>
          <w:rFonts w:ascii="Times New Roman" w:hAnsi="Times New Roman" w:cs="Times New Roman"/>
          <w:sz w:val="24"/>
          <w:szCs w:val="24"/>
        </w:rPr>
        <w:t xml:space="preserve">, compliance with </w:t>
      </w:r>
      <w:r w:rsidR="00BB0EE6" w:rsidRPr="00DD6763">
        <w:rPr>
          <w:rFonts w:ascii="Times New Roman" w:hAnsi="Times New Roman" w:cs="Times New Roman"/>
          <w:sz w:val="24"/>
          <w:szCs w:val="24"/>
        </w:rPr>
        <w:t xml:space="preserve">the </w:t>
      </w:r>
      <w:r w:rsidR="004F5F42" w:rsidRPr="00DD6763">
        <w:rPr>
          <w:rFonts w:ascii="Times New Roman" w:hAnsi="Times New Roman" w:cs="Times New Roman"/>
          <w:sz w:val="24"/>
          <w:szCs w:val="24"/>
        </w:rPr>
        <w:t xml:space="preserve">judgment, the process of de-marking and </w:t>
      </w:r>
      <w:r w:rsidR="00BB0EE6" w:rsidRPr="00DD6763">
        <w:rPr>
          <w:rFonts w:ascii="Times New Roman" w:hAnsi="Times New Roman" w:cs="Times New Roman"/>
          <w:sz w:val="24"/>
          <w:szCs w:val="24"/>
        </w:rPr>
        <w:t xml:space="preserve">the </w:t>
      </w:r>
      <w:r w:rsidR="004F5F42" w:rsidRPr="00DD6763">
        <w:rPr>
          <w:rFonts w:ascii="Times New Roman" w:hAnsi="Times New Roman" w:cs="Times New Roman"/>
          <w:sz w:val="24"/>
          <w:szCs w:val="24"/>
        </w:rPr>
        <w:t xml:space="preserve">issuing </w:t>
      </w:r>
      <w:r w:rsidR="00BB0EE6" w:rsidRPr="00DD6763">
        <w:rPr>
          <w:rFonts w:ascii="Times New Roman" w:hAnsi="Times New Roman" w:cs="Times New Roman"/>
          <w:sz w:val="24"/>
          <w:szCs w:val="24"/>
        </w:rPr>
        <w:t xml:space="preserve">of </w:t>
      </w:r>
      <w:r w:rsidR="004F5F42" w:rsidRPr="00DD6763">
        <w:rPr>
          <w:rFonts w:ascii="Times New Roman" w:hAnsi="Times New Roman" w:cs="Times New Roman"/>
          <w:sz w:val="24"/>
          <w:szCs w:val="24"/>
        </w:rPr>
        <w:t xml:space="preserve">titles was </w:t>
      </w:r>
      <w:r w:rsidR="00BB0EE6" w:rsidRPr="00DD6763">
        <w:rPr>
          <w:rFonts w:ascii="Times New Roman" w:hAnsi="Times New Roman" w:cs="Times New Roman"/>
          <w:sz w:val="24"/>
          <w:szCs w:val="24"/>
        </w:rPr>
        <w:t xml:space="preserve">not </w:t>
      </w:r>
      <w:r w:rsidR="004F5F42" w:rsidRPr="00DD6763">
        <w:rPr>
          <w:rFonts w:ascii="Times New Roman" w:hAnsi="Times New Roman" w:cs="Times New Roman"/>
          <w:sz w:val="24"/>
          <w:szCs w:val="24"/>
        </w:rPr>
        <w:t xml:space="preserve">completed </w:t>
      </w:r>
      <w:r w:rsidR="00BB0EE6" w:rsidRPr="00DD6763">
        <w:rPr>
          <w:rFonts w:ascii="Times New Roman" w:hAnsi="Times New Roman" w:cs="Times New Roman"/>
          <w:sz w:val="24"/>
          <w:szCs w:val="24"/>
        </w:rPr>
        <w:t xml:space="preserve">until </w:t>
      </w:r>
      <w:r w:rsidR="004F5F42" w:rsidRPr="00DD6763">
        <w:rPr>
          <w:rFonts w:ascii="Times New Roman" w:hAnsi="Times New Roman" w:cs="Times New Roman"/>
          <w:sz w:val="24"/>
          <w:szCs w:val="24"/>
        </w:rPr>
        <w:t>December 2008.</w:t>
      </w:r>
      <w:r w:rsidR="0080035E" w:rsidRPr="00DD6763">
        <w:rPr>
          <w:rStyle w:val="FootnoteReference"/>
          <w:rFonts w:ascii="Times New Roman" w:hAnsi="Times New Roman" w:cs="Times New Roman"/>
          <w:sz w:val="24"/>
          <w:szCs w:val="24"/>
        </w:rPr>
        <w:footnoteReference w:id="139"/>
      </w:r>
      <w:r w:rsidR="004F5F42" w:rsidRPr="00DD6763">
        <w:rPr>
          <w:rFonts w:ascii="Times New Roman" w:hAnsi="Times New Roman" w:cs="Times New Roman"/>
          <w:sz w:val="24"/>
          <w:szCs w:val="24"/>
        </w:rPr>
        <w:t xml:space="preserve"> </w:t>
      </w:r>
      <w:r w:rsidR="00220282" w:rsidRPr="00DD6763">
        <w:rPr>
          <w:rFonts w:ascii="Times New Roman" w:hAnsi="Times New Roman" w:cs="Times New Roman"/>
          <w:sz w:val="24"/>
          <w:szCs w:val="24"/>
        </w:rPr>
        <w:t>Similarly</w:t>
      </w:r>
      <w:r w:rsidR="00CF035D" w:rsidRPr="00DD6763">
        <w:rPr>
          <w:rFonts w:ascii="Times New Roman" w:hAnsi="Times New Roman" w:cs="Times New Roman"/>
          <w:sz w:val="24"/>
          <w:szCs w:val="24"/>
        </w:rPr>
        <w:t xml:space="preserve">, the </w:t>
      </w:r>
      <w:r w:rsidR="00BB0EE6" w:rsidRPr="00DD6763">
        <w:rPr>
          <w:rFonts w:ascii="Times New Roman" w:hAnsi="Times New Roman" w:cs="Times New Roman"/>
          <w:sz w:val="24"/>
          <w:szCs w:val="24"/>
        </w:rPr>
        <w:t xml:space="preserve">provision of </w:t>
      </w:r>
      <w:r w:rsidR="00CF035D" w:rsidRPr="00DD6763">
        <w:rPr>
          <w:rFonts w:ascii="Times New Roman" w:hAnsi="Times New Roman" w:cs="Times New Roman"/>
          <w:sz w:val="24"/>
          <w:szCs w:val="24"/>
        </w:rPr>
        <w:t xml:space="preserve">reparation can prove to be an uphill battle as </w:t>
      </w:r>
      <w:proofErr w:type="spellStart"/>
      <w:r w:rsidR="00CF035D" w:rsidRPr="00DD6763">
        <w:rPr>
          <w:rFonts w:ascii="Times New Roman" w:hAnsi="Times New Roman" w:cs="Times New Roman"/>
          <w:sz w:val="24"/>
          <w:szCs w:val="24"/>
        </w:rPr>
        <w:t>Antkowiak</w:t>
      </w:r>
      <w:proofErr w:type="spellEnd"/>
      <w:r w:rsidR="00EC2E8F" w:rsidRPr="00DD6763">
        <w:rPr>
          <w:rFonts w:ascii="Times New Roman" w:hAnsi="Times New Roman" w:cs="Times New Roman"/>
          <w:sz w:val="24"/>
          <w:szCs w:val="24"/>
        </w:rPr>
        <w:t xml:space="preserve"> demonstrates in </w:t>
      </w:r>
      <w:r w:rsidR="009D0C3E" w:rsidRPr="00DD6763">
        <w:rPr>
          <w:rFonts w:ascii="Times New Roman" w:hAnsi="Times New Roman" w:cs="Times New Roman"/>
          <w:sz w:val="24"/>
          <w:szCs w:val="24"/>
        </w:rPr>
        <w:t xml:space="preserve">the </w:t>
      </w:r>
      <w:proofErr w:type="spellStart"/>
      <w:r w:rsidR="009D0C3E" w:rsidRPr="00DD6763">
        <w:rPr>
          <w:rFonts w:ascii="Times New Roman" w:hAnsi="Times New Roman" w:cs="Times New Roman"/>
          <w:i/>
          <w:iCs/>
          <w:sz w:val="24"/>
          <w:szCs w:val="24"/>
        </w:rPr>
        <w:t>Saramaka</w:t>
      </w:r>
      <w:proofErr w:type="spellEnd"/>
      <w:r w:rsidR="009D0C3E" w:rsidRPr="00DD6763">
        <w:rPr>
          <w:rFonts w:ascii="Times New Roman" w:hAnsi="Times New Roman" w:cs="Times New Roman"/>
          <w:sz w:val="24"/>
          <w:szCs w:val="24"/>
        </w:rPr>
        <w:t xml:space="preserve"> case</w:t>
      </w:r>
      <w:r w:rsidR="0080035E" w:rsidRPr="00DD6763">
        <w:rPr>
          <w:rFonts w:ascii="Times New Roman" w:hAnsi="Times New Roman" w:cs="Times New Roman"/>
          <w:sz w:val="24"/>
          <w:szCs w:val="24"/>
        </w:rPr>
        <w:t>, defining it as</w:t>
      </w:r>
      <w:r w:rsidR="00D35F6E" w:rsidRPr="00DD6763">
        <w:rPr>
          <w:rFonts w:ascii="Times New Roman" w:hAnsi="Times New Roman" w:cs="Times New Roman"/>
          <w:sz w:val="24"/>
          <w:szCs w:val="24"/>
        </w:rPr>
        <w:t xml:space="preserve"> “a legal victory”</w:t>
      </w:r>
      <w:r w:rsidR="001C1351" w:rsidRPr="00DD6763">
        <w:rPr>
          <w:rFonts w:ascii="Times New Roman" w:hAnsi="Times New Roman" w:cs="Times New Roman"/>
          <w:sz w:val="24"/>
          <w:szCs w:val="24"/>
        </w:rPr>
        <w:t xml:space="preserve"> with negative consequences </w:t>
      </w:r>
      <w:r w:rsidR="0080035E" w:rsidRPr="00DD6763">
        <w:rPr>
          <w:rFonts w:ascii="Times New Roman" w:hAnsi="Times New Roman" w:cs="Times New Roman"/>
          <w:sz w:val="24"/>
          <w:szCs w:val="24"/>
        </w:rPr>
        <w:t xml:space="preserve">that stemmed from </w:t>
      </w:r>
      <w:r w:rsidR="00D35F6E" w:rsidRPr="00DD6763">
        <w:rPr>
          <w:rFonts w:ascii="Times New Roman" w:hAnsi="Times New Roman" w:cs="Times New Roman"/>
          <w:sz w:val="24"/>
          <w:szCs w:val="24"/>
        </w:rPr>
        <w:t>“</w:t>
      </w:r>
      <w:r w:rsidR="006718B4" w:rsidRPr="00DD6763">
        <w:rPr>
          <w:rFonts w:ascii="Times New Roman" w:hAnsi="Times New Roman" w:cs="Times New Roman"/>
          <w:sz w:val="24"/>
          <w:szCs w:val="24"/>
        </w:rPr>
        <w:t>a deeper entangl</w:t>
      </w:r>
      <w:r w:rsidR="00BF05AA" w:rsidRPr="00DD6763">
        <w:rPr>
          <w:rFonts w:ascii="Times New Roman" w:hAnsi="Times New Roman" w:cs="Times New Roman"/>
          <w:sz w:val="24"/>
          <w:szCs w:val="24"/>
        </w:rPr>
        <w:t xml:space="preserve">ement in </w:t>
      </w:r>
      <w:proofErr w:type="spellStart"/>
      <w:r w:rsidR="00BF05AA" w:rsidRPr="00DD6763">
        <w:rPr>
          <w:rFonts w:ascii="Times New Roman" w:hAnsi="Times New Roman" w:cs="Times New Roman"/>
          <w:sz w:val="24"/>
          <w:szCs w:val="24"/>
        </w:rPr>
        <w:t>neoliberalisms</w:t>
      </w:r>
      <w:proofErr w:type="spellEnd"/>
      <w:r w:rsidR="00D35F6E" w:rsidRPr="00DD6763">
        <w:rPr>
          <w:rFonts w:ascii="Times New Roman" w:hAnsi="Times New Roman" w:cs="Times New Roman"/>
          <w:sz w:val="24"/>
          <w:szCs w:val="24"/>
        </w:rPr>
        <w:t>”</w:t>
      </w:r>
      <w:r w:rsidR="006718B4" w:rsidRPr="00DD6763">
        <w:rPr>
          <w:rFonts w:ascii="Times New Roman" w:hAnsi="Times New Roman" w:cs="Times New Roman"/>
          <w:sz w:val="24"/>
          <w:szCs w:val="24"/>
        </w:rPr>
        <w:t>.</w:t>
      </w:r>
      <w:r w:rsidR="00F91017" w:rsidRPr="00DD6763">
        <w:rPr>
          <w:rStyle w:val="FootnoteReference"/>
          <w:rFonts w:ascii="Times New Roman" w:hAnsi="Times New Roman" w:cs="Times New Roman"/>
          <w:sz w:val="24"/>
          <w:szCs w:val="24"/>
        </w:rPr>
        <w:footnoteReference w:id="140"/>
      </w:r>
      <w:r w:rsidR="006718B4" w:rsidRPr="00DD6763">
        <w:rPr>
          <w:rFonts w:ascii="Times New Roman" w:hAnsi="Times New Roman" w:cs="Times New Roman"/>
          <w:sz w:val="24"/>
          <w:szCs w:val="24"/>
        </w:rPr>
        <w:t xml:space="preserve"> </w:t>
      </w:r>
      <w:r w:rsidR="00EC2E8F" w:rsidRPr="00DD6763">
        <w:rPr>
          <w:rFonts w:ascii="Times New Roman" w:hAnsi="Times New Roman" w:cs="Times New Roman"/>
          <w:sz w:val="24"/>
          <w:szCs w:val="24"/>
        </w:rPr>
        <w:t xml:space="preserve">The interplay with domestic courts has proved to be constructive but the Court has also </w:t>
      </w:r>
      <w:r w:rsidR="00BB0EE6" w:rsidRPr="00DD6763">
        <w:rPr>
          <w:rFonts w:ascii="Times New Roman" w:hAnsi="Times New Roman" w:cs="Times New Roman"/>
          <w:sz w:val="24"/>
          <w:szCs w:val="24"/>
        </w:rPr>
        <w:t xml:space="preserve">encountered </w:t>
      </w:r>
      <w:r w:rsidR="00EC2E8F" w:rsidRPr="00DD6763">
        <w:rPr>
          <w:rFonts w:ascii="Times New Roman" w:hAnsi="Times New Roman" w:cs="Times New Roman"/>
          <w:sz w:val="24"/>
          <w:szCs w:val="24"/>
        </w:rPr>
        <w:t>resistance</w:t>
      </w:r>
      <w:r w:rsidR="00CF035D" w:rsidRPr="00DD6763">
        <w:rPr>
          <w:rFonts w:ascii="Times New Roman" w:hAnsi="Times New Roman" w:cs="Times New Roman"/>
          <w:sz w:val="24"/>
          <w:szCs w:val="24"/>
        </w:rPr>
        <w:t>.</w:t>
      </w:r>
      <w:r w:rsidR="00EC2E8F" w:rsidRPr="00DD6763">
        <w:rPr>
          <w:rStyle w:val="FootnoteReference"/>
          <w:rFonts w:ascii="Times New Roman" w:hAnsi="Times New Roman" w:cs="Times New Roman"/>
          <w:sz w:val="24"/>
          <w:szCs w:val="24"/>
        </w:rPr>
        <w:footnoteReference w:id="141"/>
      </w:r>
      <w:r w:rsidR="00CF035D" w:rsidRPr="00DD6763">
        <w:rPr>
          <w:rFonts w:ascii="Times New Roman" w:hAnsi="Times New Roman" w:cs="Times New Roman"/>
          <w:sz w:val="24"/>
          <w:szCs w:val="24"/>
        </w:rPr>
        <w:t xml:space="preserve"> </w:t>
      </w:r>
    </w:p>
    <w:p w14:paraId="3D950648" w14:textId="3141A5C5" w:rsidR="00505371" w:rsidRPr="00DD6763" w:rsidRDefault="0049465D" w:rsidP="00D432E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Outside</w:t>
      </w:r>
      <w:r w:rsidR="00505371" w:rsidRPr="00DD6763">
        <w:rPr>
          <w:rFonts w:ascii="Times New Roman" w:hAnsi="Times New Roman" w:cs="Times New Roman"/>
          <w:sz w:val="24"/>
          <w:szCs w:val="24"/>
        </w:rPr>
        <w:t xml:space="preserve"> the </w:t>
      </w:r>
      <w:r w:rsidR="00591D30">
        <w:rPr>
          <w:rFonts w:ascii="Times New Roman" w:hAnsi="Times New Roman" w:cs="Times New Roman"/>
          <w:sz w:val="24"/>
          <w:szCs w:val="24"/>
        </w:rPr>
        <w:t>Inter-American Human Rights System (‘</w:t>
      </w:r>
      <w:r w:rsidR="00505371" w:rsidRPr="00DD6763">
        <w:rPr>
          <w:rFonts w:ascii="Times New Roman" w:hAnsi="Times New Roman" w:cs="Times New Roman"/>
          <w:sz w:val="24"/>
          <w:szCs w:val="24"/>
        </w:rPr>
        <w:t>IAHRS</w:t>
      </w:r>
      <w:r w:rsidR="00591D30">
        <w:rPr>
          <w:rFonts w:ascii="Times New Roman" w:hAnsi="Times New Roman" w:cs="Times New Roman"/>
          <w:sz w:val="24"/>
          <w:szCs w:val="24"/>
        </w:rPr>
        <w:t>’)</w:t>
      </w:r>
      <w:r w:rsidR="00505371" w:rsidRPr="00DD6763">
        <w:rPr>
          <w:rFonts w:ascii="Times New Roman" w:hAnsi="Times New Roman" w:cs="Times New Roman"/>
          <w:sz w:val="24"/>
          <w:szCs w:val="24"/>
        </w:rPr>
        <w:t xml:space="preserve">, the </w:t>
      </w:r>
      <w:r w:rsidRPr="00DD6763">
        <w:rPr>
          <w:rFonts w:ascii="Times New Roman" w:hAnsi="Times New Roman" w:cs="Times New Roman"/>
          <w:sz w:val="24"/>
          <w:szCs w:val="24"/>
        </w:rPr>
        <w:t>African Commission on Human and Peoples’ Rights (‘</w:t>
      </w:r>
      <w:r w:rsidR="002A4591" w:rsidRPr="00DD6763">
        <w:rPr>
          <w:rFonts w:ascii="Times New Roman" w:hAnsi="Times New Roman" w:cs="Times New Roman"/>
          <w:sz w:val="24"/>
          <w:szCs w:val="24"/>
        </w:rPr>
        <w:t>ACHPR</w:t>
      </w:r>
      <w:r w:rsidRPr="00DD6763">
        <w:rPr>
          <w:rFonts w:ascii="Times New Roman" w:hAnsi="Times New Roman" w:cs="Times New Roman"/>
          <w:sz w:val="24"/>
          <w:szCs w:val="24"/>
        </w:rPr>
        <w:t xml:space="preserve">’) </w:t>
      </w:r>
      <w:r w:rsidR="00505371" w:rsidRPr="00DD6763">
        <w:rPr>
          <w:rFonts w:ascii="Times New Roman" w:hAnsi="Times New Roman" w:cs="Times New Roman"/>
          <w:sz w:val="24"/>
          <w:szCs w:val="24"/>
        </w:rPr>
        <w:t xml:space="preserve">has also referred to FPIC, although in a different </w:t>
      </w:r>
      <w:r w:rsidR="006C7081" w:rsidRPr="00DD6763">
        <w:rPr>
          <w:rFonts w:ascii="Times New Roman" w:hAnsi="Times New Roman" w:cs="Times New Roman"/>
          <w:sz w:val="24"/>
          <w:szCs w:val="24"/>
        </w:rPr>
        <w:t>legal setting</w:t>
      </w:r>
      <w:r w:rsidR="00505371" w:rsidRPr="00DD6763">
        <w:rPr>
          <w:rFonts w:ascii="Times New Roman" w:hAnsi="Times New Roman" w:cs="Times New Roman"/>
          <w:sz w:val="24"/>
          <w:szCs w:val="24"/>
        </w:rPr>
        <w:t>.</w:t>
      </w:r>
      <w:r w:rsidR="00505371" w:rsidRPr="00DD6763">
        <w:rPr>
          <w:rStyle w:val="FootnoteReference"/>
          <w:rFonts w:ascii="Times New Roman" w:hAnsi="Times New Roman" w:cs="Times New Roman"/>
          <w:sz w:val="24"/>
          <w:szCs w:val="24"/>
        </w:rPr>
        <w:footnoteReference w:id="142"/>
      </w:r>
      <w:r w:rsidR="00505371" w:rsidRPr="00DD6763">
        <w:rPr>
          <w:rFonts w:ascii="Times New Roman" w:hAnsi="Times New Roman" w:cs="Times New Roman"/>
          <w:sz w:val="24"/>
          <w:szCs w:val="24"/>
        </w:rPr>
        <w:t xml:space="preserve"> In the Advisory Opinion </w:t>
      </w:r>
      <w:r w:rsidR="00BE76C3" w:rsidRPr="00DD6763">
        <w:rPr>
          <w:rFonts w:ascii="Times New Roman" w:hAnsi="Times New Roman" w:cs="Times New Roman"/>
          <w:sz w:val="24"/>
          <w:szCs w:val="24"/>
        </w:rPr>
        <w:t>on</w:t>
      </w:r>
      <w:r w:rsidR="00505371" w:rsidRPr="00DD6763">
        <w:rPr>
          <w:rFonts w:ascii="Times New Roman" w:hAnsi="Times New Roman" w:cs="Times New Roman"/>
          <w:sz w:val="24"/>
          <w:szCs w:val="24"/>
        </w:rPr>
        <w:t xml:space="preserve"> the adoption </w:t>
      </w:r>
      <w:r w:rsidR="00152459" w:rsidRPr="00DD6763">
        <w:rPr>
          <w:rFonts w:ascii="Times New Roman" w:hAnsi="Times New Roman" w:cs="Times New Roman"/>
          <w:sz w:val="24"/>
          <w:szCs w:val="24"/>
        </w:rPr>
        <w:t xml:space="preserve">of </w:t>
      </w:r>
      <w:r w:rsidR="00505371" w:rsidRPr="00DD6763">
        <w:rPr>
          <w:rFonts w:ascii="Times New Roman" w:hAnsi="Times New Roman" w:cs="Times New Roman"/>
          <w:sz w:val="24"/>
          <w:szCs w:val="24"/>
        </w:rPr>
        <w:t xml:space="preserve">UNDRIP issued by the </w:t>
      </w:r>
      <w:r w:rsidR="002A4591" w:rsidRPr="00DD6763">
        <w:rPr>
          <w:rFonts w:ascii="Times New Roman" w:hAnsi="Times New Roman" w:cs="Times New Roman"/>
          <w:sz w:val="24"/>
          <w:szCs w:val="24"/>
        </w:rPr>
        <w:t>ACHPR</w:t>
      </w:r>
      <w:r w:rsidR="00505371" w:rsidRPr="00DD6763">
        <w:rPr>
          <w:rFonts w:ascii="Times New Roman" w:hAnsi="Times New Roman" w:cs="Times New Roman"/>
          <w:sz w:val="24"/>
          <w:szCs w:val="24"/>
        </w:rPr>
        <w:t xml:space="preserve">, </w:t>
      </w:r>
      <w:r w:rsidR="006C7081" w:rsidRPr="00DD6763">
        <w:rPr>
          <w:rFonts w:ascii="Times New Roman" w:hAnsi="Times New Roman" w:cs="Times New Roman"/>
          <w:sz w:val="24"/>
          <w:szCs w:val="24"/>
        </w:rPr>
        <w:t xml:space="preserve">other </w:t>
      </w:r>
      <w:r w:rsidR="00505371" w:rsidRPr="00DD6763">
        <w:rPr>
          <w:rFonts w:ascii="Times New Roman" w:hAnsi="Times New Roman" w:cs="Times New Roman"/>
          <w:sz w:val="24"/>
          <w:szCs w:val="24"/>
        </w:rPr>
        <w:t>points were raised for discussion. Sp</w:t>
      </w:r>
      <w:r w:rsidR="00B330FE" w:rsidRPr="00DD6763">
        <w:rPr>
          <w:rFonts w:ascii="Times New Roman" w:hAnsi="Times New Roman" w:cs="Times New Roman"/>
          <w:sz w:val="24"/>
          <w:szCs w:val="24"/>
        </w:rPr>
        <w:t>ecifically, concerning FPIC,</w:t>
      </w:r>
      <w:r w:rsidR="00505371" w:rsidRPr="00DD6763">
        <w:rPr>
          <w:rFonts w:ascii="Times New Roman" w:hAnsi="Times New Roman" w:cs="Times New Roman"/>
          <w:sz w:val="24"/>
          <w:szCs w:val="24"/>
        </w:rPr>
        <w:t xml:space="preserve"> the </w:t>
      </w:r>
      <w:r w:rsidR="002A4591" w:rsidRPr="00DD6763">
        <w:rPr>
          <w:rFonts w:ascii="Times New Roman" w:hAnsi="Times New Roman" w:cs="Times New Roman"/>
          <w:sz w:val="24"/>
          <w:szCs w:val="24"/>
        </w:rPr>
        <w:t>ACHPR</w:t>
      </w:r>
      <w:r w:rsidR="00505371" w:rsidRPr="00DD6763">
        <w:rPr>
          <w:rFonts w:ascii="Times New Roman" w:hAnsi="Times New Roman" w:cs="Times New Roman"/>
          <w:sz w:val="24"/>
          <w:szCs w:val="24"/>
        </w:rPr>
        <w:t xml:space="preserve"> observed the convergence and similarities between UNDRIP and regional law adopted by the African Union, mentioning as </w:t>
      </w:r>
      <w:r w:rsidR="00152459" w:rsidRPr="00DD6763">
        <w:rPr>
          <w:rFonts w:ascii="Times New Roman" w:hAnsi="Times New Roman" w:cs="Times New Roman"/>
          <w:sz w:val="24"/>
          <w:szCs w:val="24"/>
        </w:rPr>
        <w:t xml:space="preserve">an </w:t>
      </w:r>
      <w:r w:rsidR="00505371" w:rsidRPr="00DD6763">
        <w:rPr>
          <w:rFonts w:ascii="Times New Roman" w:hAnsi="Times New Roman" w:cs="Times New Roman"/>
          <w:sz w:val="24"/>
          <w:szCs w:val="24"/>
        </w:rPr>
        <w:t xml:space="preserve">example the </w:t>
      </w:r>
      <w:r w:rsidR="00505371" w:rsidRPr="00DD6763">
        <w:rPr>
          <w:rStyle w:val="st"/>
          <w:rFonts w:ascii="Times New Roman" w:hAnsi="Times New Roman" w:cs="Times New Roman"/>
          <w:sz w:val="24"/>
          <w:szCs w:val="24"/>
        </w:rPr>
        <w:t>African Convention on the Conservation of Nature and Natur</w:t>
      </w:r>
      <w:r w:rsidR="00E86695" w:rsidRPr="00DD6763">
        <w:rPr>
          <w:rStyle w:val="st"/>
          <w:rFonts w:ascii="Times New Roman" w:hAnsi="Times New Roman" w:cs="Times New Roman"/>
          <w:sz w:val="24"/>
          <w:szCs w:val="24"/>
        </w:rPr>
        <w:t>al Resources whose major objec</w:t>
      </w:r>
      <w:r w:rsidR="00505371" w:rsidRPr="00DD6763">
        <w:rPr>
          <w:rStyle w:val="st"/>
          <w:rFonts w:ascii="Times New Roman" w:hAnsi="Times New Roman" w:cs="Times New Roman"/>
          <w:sz w:val="24"/>
          <w:szCs w:val="24"/>
        </w:rPr>
        <w:t xml:space="preserve">tive is: </w:t>
      </w:r>
      <w:r w:rsidR="00D35F6E" w:rsidRPr="00DD6763">
        <w:rPr>
          <w:rStyle w:val="st"/>
          <w:rFonts w:ascii="Times New Roman" w:hAnsi="Times New Roman" w:cs="Times New Roman"/>
          <w:sz w:val="24"/>
          <w:szCs w:val="24"/>
        </w:rPr>
        <w:t>“</w:t>
      </w:r>
      <w:r w:rsidR="00505371" w:rsidRPr="00DD6763">
        <w:rPr>
          <w:rStyle w:val="st"/>
          <w:rFonts w:ascii="Times New Roman" w:hAnsi="Times New Roman" w:cs="Times New Roman"/>
          <w:sz w:val="24"/>
          <w:szCs w:val="24"/>
        </w:rPr>
        <w:t xml:space="preserve">to harness the natural </w:t>
      </w:r>
      <w:r w:rsidR="002C5F85" w:rsidRPr="00DD6763">
        <w:rPr>
          <w:rStyle w:val="st"/>
          <w:rFonts w:ascii="Times New Roman" w:hAnsi="Times New Roman" w:cs="Times New Roman"/>
          <w:sz w:val="24"/>
          <w:szCs w:val="24"/>
        </w:rPr>
        <w:t>and human resources of our con</w:t>
      </w:r>
      <w:r w:rsidR="00505371" w:rsidRPr="00DD6763">
        <w:rPr>
          <w:rStyle w:val="st"/>
          <w:rFonts w:ascii="Times New Roman" w:hAnsi="Times New Roman" w:cs="Times New Roman"/>
          <w:sz w:val="24"/>
          <w:szCs w:val="24"/>
        </w:rPr>
        <w:t>tinent for the total advancement of our peoples in spheres of human endeavour</w:t>
      </w:r>
      <w:r w:rsidR="00D35F6E" w:rsidRPr="00DD6763">
        <w:rPr>
          <w:rStyle w:val="st"/>
          <w:rFonts w:ascii="Times New Roman" w:hAnsi="Times New Roman" w:cs="Times New Roman"/>
          <w:sz w:val="24"/>
          <w:szCs w:val="24"/>
        </w:rPr>
        <w:t>”</w:t>
      </w:r>
      <w:r w:rsidR="00505371" w:rsidRPr="00DD6763">
        <w:rPr>
          <w:rStyle w:val="st"/>
          <w:rFonts w:ascii="Times New Roman" w:hAnsi="Times New Roman" w:cs="Times New Roman"/>
          <w:sz w:val="24"/>
          <w:szCs w:val="24"/>
        </w:rPr>
        <w:t xml:space="preserve"> (preamble) and which is intended </w:t>
      </w:r>
      <w:r w:rsidR="00D35F6E" w:rsidRPr="00DD6763">
        <w:rPr>
          <w:rStyle w:val="st"/>
          <w:rFonts w:ascii="Times New Roman" w:hAnsi="Times New Roman" w:cs="Times New Roman"/>
          <w:sz w:val="24"/>
          <w:szCs w:val="24"/>
        </w:rPr>
        <w:t>“</w:t>
      </w:r>
      <w:r w:rsidR="00505371" w:rsidRPr="00DD6763">
        <w:rPr>
          <w:rStyle w:val="st"/>
          <w:rFonts w:ascii="Times New Roman" w:hAnsi="Times New Roman" w:cs="Times New Roman"/>
          <w:sz w:val="24"/>
          <w:szCs w:val="24"/>
        </w:rPr>
        <w:t>to preserve the traditional rights and property of local communities and request the prior consent of the communities concerned in respect of all that concerns their access to and use of traditional knowledge</w:t>
      </w:r>
      <w:r w:rsidR="00D35F6E" w:rsidRPr="00DD6763">
        <w:rPr>
          <w:rStyle w:val="st"/>
          <w:rFonts w:ascii="Times New Roman" w:hAnsi="Times New Roman" w:cs="Times New Roman"/>
          <w:sz w:val="24"/>
          <w:szCs w:val="24"/>
        </w:rPr>
        <w:t>”</w:t>
      </w:r>
      <w:r w:rsidR="00505371" w:rsidRPr="00DD6763">
        <w:rPr>
          <w:rStyle w:val="st"/>
          <w:rFonts w:ascii="Times New Roman" w:hAnsi="Times New Roman" w:cs="Times New Roman"/>
          <w:sz w:val="24"/>
          <w:szCs w:val="24"/>
        </w:rPr>
        <w:t>, which is similar to the provisions of Article</w:t>
      </w:r>
      <w:r w:rsidR="00D35F6E" w:rsidRPr="00DD6763">
        <w:rPr>
          <w:rStyle w:val="st"/>
          <w:rFonts w:ascii="Times New Roman" w:hAnsi="Times New Roman" w:cs="Times New Roman"/>
          <w:sz w:val="24"/>
          <w:szCs w:val="24"/>
        </w:rPr>
        <w:t xml:space="preserve"> 10, 11(2), 28(1) and 32 of UNDRIP</w:t>
      </w:r>
      <w:r w:rsidR="00505371" w:rsidRPr="00DD6763">
        <w:rPr>
          <w:rStyle w:val="st"/>
          <w:rFonts w:ascii="Times New Roman" w:hAnsi="Times New Roman" w:cs="Times New Roman"/>
          <w:sz w:val="24"/>
          <w:szCs w:val="24"/>
        </w:rPr>
        <w:t>.</w:t>
      </w:r>
      <w:r w:rsidR="00505371" w:rsidRPr="00DD6763">
        <w:rPr>
          <w:rStyle w:val="FootnoteReference"/>
          <w:rFonts w:ascii="Times New Roman" w:hAnsi="Times New Roman" w:cs="Times New Roman"/>
          <w:sz w:val="24"/>
          <w:szCs w:val="24"/>
        </w:rPr>
        <w:footnoteReference w:id="143"/>
      </w:r>
    </w:p>
    <w:p w14:paraId="191EC3C3" w14:textId="75C4D010" w:rsidR="00505371" w:rsidRPr="00DD6763" w:rsidRDefault="00505371" w:rsidP="004C2A24">
      <w:pPr>
        <w:widowControl w:val="0"/>
        <w:autoSpaceDE w:val="0"/>
        <w:autoSpaceDN w:val="0"/>
        <w:adjustRightInd w:val="0"/>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By way of illustration, it is useful to compare </w:t>
      </w:r>
      <w:r w:rsidR="006C7081" w:rsidRPr="00DD6763">
        <w:rPr>
          <w:rFonts w:ascii="Times New Roman" w:hAnsi="Times New Roman" w:cs="Times New Roman"/>
          <w:sz w:val="24"/>
          <w:szCs w:val="24"/>
        </w:rPr>
        <w:t xml:space="preserve">this </w:t>
      </w:r>
      <w:r w:rsidRPr="00DD6763">
        <w:rPr>
          <w:rFonts w:ascii="Times New Roman" w:hAnsi="Times New Roman" w:cs="Times New Roman"/>
          <w:sz w:val="24"/>
          <w:szCs w:val="24"/>
        </w:rPr>
        <w:t xml:space="preserve">with the protection of environmental rights in the </w:t>
      </w:r>
      <w:r w:rsidR="002A4591" w:rsidRPr="00DD6763">
        <w:rPr>
          <w:rFonts w:ascii="Times New Roman" w:hAnsi="Times New Roman" w:cs="Times New Roman"/>
          <w:sz w:val="24"/>
          <w:szCs w:val="24"/>
        </w:rPr>
        <w:t>ACHPR</w:t>
      </w:r>
      <w:r w:rsidR="00BE76C3" w:rsidRPr="00DD6763">
        <w:rPr>
          <w:rFonts w:ascii="Times New Roman" w:hAnsi="Times New Roman" w:cs="Times New Roman"/>
          <w:sz w:val="24"/>
          <w:szCs w:val="24"/>
        </w:rPr>
        <w:t>, which</w:t>
      </w:r>
      <w:r w:rsidRPr="00DD6763">
        <w:rPr>
          <w:rFonts w:ascii="Times New Roman" w:hAnsi="Times New Roman" w:cs="Times New Roman"/>
          <w:sz w:val="24"/>
          <w:szCs w:val="24"/>
        </w:rPr>
        <w:t xml:space="preserve"> has focused on the rights of indigenous peoples and tribes under the African Charter on Human Rights.</w:t>
      </w:r>
      <w:r w:rsidRPr="00DD6763">
        <w:rPr>
          <w:rStyle w:val="FootnoteReference"/>
          <w:rFonts w:ascii="Times New Roman" w:hAnsi="Times New Roman" w:cs="Times New Roman"/>
          <w:sz w:val="24"/>
          <w:szCs w:val="24"/>
        </w:rPr>
        <w:t xml:space="preserve"> </w:t>
      </w:r>
      <w:r w:rsidRPr="00DD6763">
        <w:rPr>
          <w:rStyle w:val="FootnoteReference"/>
          <w:rFonts w:ascii="Times New Roman" w:hAnsi="Times New Roman" w:cs="Times New Roman"/>
          <w:sz w:val="24"/>
          <w:szCs w:val="24"/>
        </w:rPr>
        <w:footnoteReference w:id="144"/>
      </w:r>
      <w:r w:rsidRPr="00DD6763">
        <w:rPr>
          <w:rFonts w:ascii="Times New Roman" w:hAnsi="Times New Roman" w:cs="Times New Roman"/>
          <w:sz w:val="24"/>
          <w:szCs w:val="24"/>
        </w:rPr>
        <w:t xml:space="preserve"> However, the consideration of </w:t>
      </w:r>
      <w:r w:rsidR="00152459" w:rsidRPr="00DD6763">
        <w:rPr>
          <w:rFonts w:ascii="Times New Roman" w:hAnsi="Times New Roman" w:cs="Times New Roman"/>
          <w:sz w:val="24"/>
          <w:szCs w:val="24"/>
        </w:rPr>
        <w:t xml:space="preserve">either </w:t>
      </w:r>
      <w:r w:rsidRPr="00DD6763">
        <w:rPr>
          <w:rFonts w:ascii="Times New Roman" w:hAnsi="Times New Roman" w:cs="Times New Roman"/>
          <w:sz w:val="24"/>
          <w:szCs w:val="24"/>
        </w:rPr>
        <w:t>FPIC or</w:t>
      </w:r>
      <w:r w:rsidR="00152459" w:rsidRPr="00DD6763">
        <w:rPr>
          <w:rFonts w:ascii="Times New Roman" w:hAnsi="Times New Roman" w:cs="Times New Roman"/>
          <w:sz w:val="24"/>
          <w:szCs w:val="24"/>
        </w:rPr>
        <w:t xml:space="preserve"> of a</w:t>
      </w:r>
      <w:r w:rsidRPr="00DD6763">
        <w:rPr>
          <w:rFonts w:ascii="Times New Roman" w:hAnsi="Times New Roman" w:cs="Times New Roman"/>
          <w:sz w:val="24"/>
          <w:szCs w:val="24"/>
        </w:rPr>
        <w:t xml:space="preserve"> </w:t>
      </w:r>
      <w:r w:rsidR="00152459" w:rsidRPr="00DD6763">
        <w:rPr>
          <w:rFonts w:ascii="Times New Roman" w:hAnsi="Times New Roman" w:cs="Times New Roman"/>
          <w:sz w:val="24"/>
          <w:szCs w:val="24"/>
        </w:rPr>
        <w:t xml:space="preserve">related </w:t>
      </w:r>
      <w:r w:rsidRPr="00DD6763">
        <w:rPr>
          <w:rFonts w:ascii="Times New Roman" w:hAnsi="Times New Roman" w:cs="Times New Roman"/>
          <w:sz w:val="24"/>
          <w:szCs w:val="24"/>
        </w:rPr>
        <w:t>right to consultation has not hitherto achieved a degree of protection</w:t>
      </w:r>
      <w:r w:rsidR="006C7081" w:rsidRPr="00DD6763">
        <w:rPr>
          <w:rFonts w:ascii="Times New Roman" w:hAnsi="Times New Roman" w:cs="Times New Roman"/>
          <w:sz w:val="24"/>
          <w:szCs w:val="24"/>
        </w:rPr>
        <w:t xml:space="preserve"> analogous</w:t>
      </w:r>
      <w:r w:rsidRPr="00DD6763">
        <w:rPr>
          <w:rFonts w:ascii="Times New Roman" w:hAnsi="Times New Roman" w:cs="Times New Roman"/>
          <w:sz w:val="24"/>
          <w:szCs w:val="24"/>
        </w:rPr>
        <w:t xml:space="preserve"> </w:t>
      </w:r>
      <w:r w:rsidR="006C7081" w:rsidRPr="00DD6763">
        <w:rPr>
          <w:rFonts w:ascii="Times New Roman" w:hAnsi="Times New Roman" w:cs="Times New Roman"/>
          <w:sz w:val="24"/>
          <w:szCs w:val="24"/>
        </w:rPr>
        <w:t>to that which it has achieved</w:t>
      </w:r>
      <w:r w:rsidRPr="00DD6763">
        <w:rPr>
          <w:rFonts w:ascii="Times New Roman" w:hAnsi="Times New Roman" w:cs="Times New Roman"/>
          <w:sz w:val="24"/>
          <w:szCs w:val="24"/>
        </w:rPr>
        <w:t xml:space="preserve"> in Inter-American Human Rights law.</w:t>
      </w:r>
      <w:r w:rsidRPr="00DD6763">
        <w:rPr>
          <w:rStyle w:val="FootnoteReference"/>
          <w:rFonts w:ascii="Times New Roman" w:hAnsi="Times New Roman" w:cs="Times New Roman"/>
          <w:sz w:val="24"/>
          <w:szCs w:val="24"/>
        </w:rPr>
        <w:footnoteReference w:id="145"/>
      </w:r>
      <w:r w:rsidRPr="00DD6763">
        <w:rPr>
          <w:rFonts w:ascii="Times New Roman" w:hAnsi="Times New Roman" w:cs="Times New Roman"/>
          <w:sz w:val="24"/>
          <w:szCs w:val="24"/>
        </w:rPr>
        <w:t xml:space="preserve"> </w:t>
      </w:r>
      <w:r w:rsidR="006C7081" w:rsidRPr="00DD6763">
        <w:rPr>
          <w:rFonts w:ascii="Times New Roman" w:hAnsi="Times New Roman" w:cs="Times New Roman"/>
          <w:sz w:val="24"/>
          <w:szCs w:val="24"/>
        </w:rPr>
        <w:t>The reason may be</w:t>
      </w:r>
      <w:r w:rsidRPr="00DD6763">
        <w:rPr>
          <w:rFonts w:ascii="Times New Roman" w:hAnsi="Times New Roman" w:cs="Times New Roman"/>
          <w:sz w:val="24"/>
          <w:szCs w:val="24"/>
        </w:rPr>
        <w:t xml:space="preserve"> that</w:t>
      </w:r>
      <w:r w:rsidR="006C7081" w:rsidRPr="00DD6763">
        <w:rPr>
          <w:rFonts w:ascii="Times New Roman" w:hAnsi="Times New Roman" w:cs="Times New Roman"/>
          <w:sz w:val="24"/>
          <w:szCs w:val="24"/>
        </w:rPr>
        <w:t>,</w:t>
      </w:r>
      <w:r w:rsidRPr="00DD6763">
        <w:rPr>
          <w:rFonts w:ascii="Times New Roman" w:hAnsi="Times New Roman" w:cs="Times New Roman"/>
          <w:sz w:val="24"/>
          <w:szCs w:val="24"/>
        </w:rPr>
        <w:t xml:space="preserve"> as </w:t>
      </w:r>
      <w:proofErr w:type="spellStart"/>
      <w:r w:rsidRPr="00DD6763">
        <w:rPr>
          <w:rFonts w:ascii="Times New Roman" w:hAnsi="Times New Roman" w:cs="Times New Roman"/>
          <w:sz w:val="24"/>
          <w:szCs w:val="24"/>
        </w:rPr>
        <w:t>Udombana</w:t>
      </w:r>
      <w:proofErr w:type="spellEnd"/>
      <w:r w:rsidRPr="00DD6763">
        <w:rPr>
          <w:rFonts w:ascii="Times New Roman" w:hAnsi="Times New Roman" w:cs="Times New Roman"/>
          <w:sz w:val="24"/>
          <w:szCs w:val="24"/>
        </w:rPr>
        <w:t xml:space="preserve"> recalls</w:t>
      </w:r>
      <w:r w:rsidR="006C7081" w:rsidRPr="00DD6763">
        <w:rPr>
          <w:rFonts w:ascii="Times New Roman" w:hAnsi="Times New Roman" w:cs="Times New Roman"/>
          <w:sz w:val="24"/>
          <w:szCs w:val="24"/>
        </w:rPr>
        <w:t>,</w:t>
      </w:r>
      <w:r w:rsidR="00D35F6E" w:rsidRPr="00DD6763">
        <w:rPr>
          <w:rFonts w:ascii="Times New Roman" w:hAnsi="Times New Roman" w:cs="Times New Roman"/>
          <w:sz w:val="24"/>
          <w:szCs w:val="24"/>
        </w:rPr>
        <w:t xml:space="preserve"> “</w:t>
      </w:r>
      <w:r w:rsidRPr="00DD6763">
        <w:rPr>
          <w:rFonts w:ascii="Times New Roman" w:hAnsi="Times New Roman" w:cs="Times New Roman"/>
          <w:sz w:val="24"/>
          <w:szCs w:val="24"/>
        </w:rPr>
        <w:t>determining Africa’s indigenous peoples has been largely controversial</w:t>
      </w:r>
      <w:r w:rsidR="00D35F6E" w:rsidRPr="00DD6763">
        <w:rPr>
          <w:rFonts w:ascii="Times New Roman" w:hAnsi="Times New Roman" w:cs="Times New Roman"/>
          <w:sz w:val="24"/>
          <w:szCs w:val="24"/>
        </w:rPr>
        <w:t>”</w:t>
      </w:r>
      <w:r w:rsidRPr="00DD6763">
        <w:rPr>
          <w:rFonts w:ascii="Times New Roman" w:hAnsi="Times New Roman" w:cs="Times New Roman"/>
          <w:sz w:val="24"/>
          <w:szCs w:val="24"/>
        </w:rPr>
        <w:t>.</w:t>
      </w:r>
      <w:r w:rsidR="00F91017" w:rsidRPr="00DD6763">
        <w:rPr>
          <w:rStyle w:val="FootnoteReference"/>
          <w:rFonts w:ascii="Times New Roman" w:hAnsi="Times New Roman" w:cs="Times New Roman"/>
          <w:sz w:val="24"/>
          <w:szCs w:val="24"/>
        </w:rPr>
        <w:footnoteReference w:id="146"/>
      </w:r>
      <w:r w:rsidRPr="00DD6763">
        <w:rPr>
          <w:rFonts w:ascii="Times New Roman" w:hAnsi="Times New Roman" w:cs="Times New Roman"/>
          <w:sz w:val="24"/>
          <w:szCs w:val="24"/>
        </w:rPr>
        <w:t xml:space="preserve"> The </w:t>
      </w:r>
      <w:r w:rsidR="002A4591" w:rsidRPr="00DD6763">
        <w:rPr>
          <w:rFonts w:ascii="Times New Roman" w:hAnsi="Times New Roman" w:cs="Times New Roman"/>
          <w:sz w:val="24"/>
          <w:szCs w:val="24"/>
        </w:rPr>
        <w:t>ACHPR</w:t>
      </w:r>
      <w:r w:rsidRPr="00DD6763">
        <w:rPr>
          <w:rFonts w:ascii="Times New Roman" w:hAnsi="Times New Roman" w:cs="Times New Roman"/>
          <w:sz w:val="24"/>
          <w:szCs w:val="24"/>
        </w:rPr>
        <w:t>’s definition comprise</w:t>
      </w:r>
      <w:r w:rsidR="006C7081" w:rsidRPr="00DD6763">
        <w:rPr>
          <w:rFonts w:ascii="Times New Roman" w:hAnsi="Times New Roman" w:cs="Times New Roman"/>
          <w:sz w:val="24"/>
          <w:szCs w:val="24"/>
        </w:rPr>
        <w:t>s</w:t>
      </w:r>
      <w:r w:rsidR="00D35F6E"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those particular groups who have been left on the margins of development and who are perceived negatively by dominating mainstream development, whose cultures and ways of life are subject to discrimination and contempt and whose existence </w:t>
      </w:r>
      <w:r w:rsidR="00926390" w:rsidRPr="00DD6763">
        <w:rPr>
          <w:rFonts w:ascii="Times New Roman" w:hAnsi="Times New Roman" w:cs="Times New Roman"/>
          <w:sz w:val="24"/>
          <w:szCs w:val="24"/>
        </w:rPr>
        <w:t>is under threa</w:t>
      </w:r>
      <w:r w:rsidR="00D35F6E" w:rsidRPr="00DD6763">
        <w:rPr>
          <w:rFonts w:ascii="Times New Roman" w:hAnsi="Times New Roman" w:cs="Times New Roman"/>
          <w:sz w:val="24"/>
          <w:szCs w:val="24"/>
        </w:rPr>
        <w:t>t of extinction”</w:t>
      </w:r>
      <w:r w:rsidRPr="00DD6763">
        <w:rPr>
          <w:rFonts w:ascii="Times New Roman" w:hAnsi="Times New Roman" w:cs="Times New Roman"/>
          <w:sz w:val="24"/>
          <w:szCs w:val="24"/>
        </w:rPr>
        <w:t>.</w:t>
      </w:r>
      <w:r w:rsidR="00926390" w:rsidRPr="00DD6763">
        <w:rPr>
          <w:rStyle w:val="FootnoteReference"/>
          <w:rFonts w:ascii="Times New Roman" w:hAnsi="Times New Roman" w:cs="Times New Roman"/>
          <w:sz w:val="24"/>
          <w:szCs w:val="24"/>
        </w:rPr>
        <w:footnoteReference w:id="147"/>
      </w:r>
      <w:r w:rsidRPr="00DD6763">
        <w:rPr>
          <w:rFonts w:ascii="Times New Roman" w:hAnsi="Times New Roman" w:cs="Times New Roman"/>
          <w:sz w:val="24"/>
          <w:szCs w:val="24"/>
        </w:rPr>
        <w:t xml:space="preserve"> </w:t>
      </w:r>
    </w:p>
    <w:p w14:paraId="4C48CDE1" w14:textId="247058EE" w:rsidR="00505371" w:rsidRPr="00DD6763" w:rsidRDefault="00152459" w:rsidP="004C2A24">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lastRenderedPageBreak/>
        <w:t>In p</w:t>
      </w:r>
      <w:r w:rsidR="001E01D6" w:rsidRPr="00DD6763">
        <w:rPr>
          <w:rFonts w:ascii="Times New Roman" w:hAnsi="Times New Roman" w:cs="Times New Roman"/>
          <w:sz w:val="24"/>
          <w:szCs w:val="24"/>
        </w:rPr>
        <w:t>articular</w:t>
      </w:r>
      <w:r w:rsidR="00505371" w:rsidRPr="00DD6763">
        <w:rPr>
          <w:rFonts w:ascii="Times New Roman" w:hAnsi="Times New Roman" w:cs="Times New Roman"/>
          <w:sz w:val="24"/>
          <w:szCs w:val="24"/>
        </w:rPr>
        <w:t xml:space="preserve">, the </w:t>
      </w:r>
      <w:r w:rsidR="002A4591" w:rsidRPr="00DD6763">
        <w:rPr>
          <w:rFonts w:ascii="Times New Roman" w:hAnsi="Times New Roman" w:cs="Times New Roman"/>
          <w:sz w:val="24"/>
          <w:szCs w:val="24"/>
        </w:rPr>
        <w:t xml:space="preserve">ACHPR </w:t>
      </w:r>
      <w:r w:rsidR="00505371" w:rsidRPr="00DD6763">
        <w:rPr>
          <w:rFonts w:ascii="Times New Roman" w:hAnsi="Times New Roman" w:cs="Times New Roman"/>
          <w:sz w:val="24"/>
          <w:szCs w:val="24"/>
        </w:rPr>
        <w:t>has considered that the right to</w:t>
      </w:r>
      <w:r w:rsidR="00D35F6E" w:rsidRPr="00DD6763">
        <w:rPr>
          <w:rFonts w:ascii="Times New Roman" w:hAnsi="Times New Roman" w:cs="Times New Roman"/>
          <w:sz w:val="24"/>
          <w:szCs w:val="24"/>
        </w:rPr>
        <w:t xml:space="preserve"> consultation may be seen as a “</w:t>
      </w:r>
      <w:r w:rsidR="00505371" w:rsidRPr="00DD6763">
        <w:rPr>
          <w:rFonts w:ascii="Times New Roman" w:hAnsi="Times New Roman" w:cs="Times New Roman"/>
          <w:sz w:val="24"/>
          <w:szCs w:val="24"/>
        </w:rPr>
        <w:t>subset of the self-determination or self-management provisions of the African Charter, especially when held in</w:t>
      </w:r>
      <w:r w:rsidR="00926390" w:rsidRPr="00DD6763">
        <w:rPr>
          <w:rFonts w:ascii="Times New Roman" w:hAnsi="Times New Roman" w:cs="Times New Roman"/>
          <w:sz w:val="24"/>
          <w:szCs w:val="24"/>
        </w:rPr>
        <w:t xml:space="preserve"> the light of (…) ILO No</w:t>
      </w:r>
      <w:r w:rsidR="00D35F6E" w:rsidRPr="00DD6763">
        <w:rPr>
          <w:rFonts w:ascii="Times New Roman" w:hAnsi="Times New Roman" w:cs="Times New Roman"/>
          <w:sz w:val="24"/>
          <w:szCs w:val="24"/>
        </w:rPr>
        <w:t>. 169”</w:t>
      </w:r>
      <w:r w:rsidR="00505371" w:rsidRPr="00DD6763">
        <w:rPr>
          <w:rFonts w:ascii="Times New Roman" w:hAnsi="Times New Roman" w:cs="Times New Roman"/>
          <w:sz w:val="24"/>
          <w:szCs w:val="24"/>
        </w:rPr>
        <w:t>.</w:t>
      </w:r>
      <w:r w:rsidR="00926390" w:rsidRPr="00DD6763">
        <w:rPr>
          <w:rStyle w:val="FootnoteReference"/>
          <w:rFonts w:ascii="Times New Roman" w:hAnsi="Times New Roman" w:cs="Times New Roman"/>
          <w:sz w:val="24"/>
          <w:szCs w:val="24"/>
        </w:rPr>
        <w:footnoteReference w:id="148"/>
      </w:r>
      <w:r w:rsidR="00505371" w:rsidRPr="00DD6763">
        <w:rPr>
          <w:rFonts w:ascii="Times New Roman" w:hAnsi="Times New Roman" w:cs="Times New Roman"/>
          <w:sz w:val="24"/>
          <w:szCs w:val="24"/>
        </w:rPr>
        <w:t xml:space="preserve"> Despite this </w:t>
      </w:r>
      <w:r w:rsidR="00BE76C3" w:rsidRPr="00DD6763">
        <w:rPr>
          <w:rFonts w:ascii="Times New Roman" w:hAnsi="Times New Roman" w:cs="Times New Roman"/>
          <w:sz w:val="24"/>
          <w:szCs w:val="24"/>
        </w:rPr>
        <w:t>affirmation,</w:t>
      </w:r>
      <w:r w:rsidR="00D35F6E" w:rsidRPr="00DD6763">
        <w:rPr>
          <w:rFonts w:ascii="Times New Roman" w:hAnsi="Times New Roman" w:cs="Times New Roman"/>
          <w:sz w:val="24"/>
          <w:szCs w:val="24"/>
        </w:rPr>
        <w:t xml:space="preserve"> “</w:t>
      </w:r>
      <w:r w:rsidR="00505371" w:rsidRPr="00DD6763">
        <w:rPr>
          <w:rFonts w:ascii="Times New Roman" w:hAnsi="Times New Roman" w:cs="Times New Roman"/>
          <w:sz w:val="24"/>
          <w:szCs w:val="24"/>
        </w:rPr>
        <w:t>the majority of African States remained unenthusiastic about the idea</w:t>
      </w:r>
      <w:r w:rsidR="00D35F6E" w:rsidRPr="00DD6763">
        <w:rPr>
          <w:rFonts w:ascii="Times New Roman" w:hAnsi="Times New Roman" w:cs="Times New Roman"/>
          <w:sz w:val="24"/>
          <w:szCs w:val="24"/>
        </w:rPr>
        <w:t xml:space="preserve"> of the right to consultation</w:t>
      </w:r>
      <w:r w:rsidR="00A13BE2" w:rsidRPr="00DD6763">
        <w:rPr>
          <w:rFonts w:ascii="Times New Roman" w:hAnsi="Times New Roman" w:cs="Times New Roman"/>
          <w:sz w:val="24"/>
          <w:szCs w:val="24"/>
        </w:rPr>
        <w:t>”.</w:t>
      </w:r>
      <w:r w:rsidR="00926390" w:rsidRPr="00DD6763">
        <w:rPr>
          <w:rStyle w:val="FootnoteReference"/>
          <w:rFonts w:ascii="Times New Roman" w:hAnsi="Times New Roman" w:cs="Times New Roman"/>
          <w:sz w:val="24"/>
          <w:szCs w:val="24"/>
        </w:rPr>
        <w:footnoteReference w:id="149"/>
      </w:r>
      <w:r w:rsidR="00505371" w:rsidRPr="00DD6763">
        <w:rPr>
          <w:rFonts w:ascii="Times New Roman" w:hAnsi="Times New Roman" w:cs="Times New Roman"/>
          <w:sz w:val="24"/>
          <w:szCs w:val="24"/>
        </w:rPr>
        <w:t xml:space="preserve"> However, it is acknowledged that the right to </w:t>
      </w:r>
      <w:r w:rsidR="001E01D6" w:rsidRPr="00DD6763">
        <w:rPr>
          <w:rFonts w:ascii="Times New Roman" w:hAnsi="Times New Roman" w:cs="Times New Roman"/>
          <w:sz w:val="24"/>
          <w:szCs w:val="24"/>
        </w:rPr>
        <w:t>consultation</w:t>
      </w:r>
      <w:r w:rsidR="00505371" w:rsidRPr="00DD6763">
        <w:rPr>
          <w:rFonts w:ascii="Times New Roman" w:hAnsi="Times New Roman" w:cs="Times New Roman"/>
          <w:sz w:val="24"/>
          <w:szCs w:val="24"/>
        </w:rPr>
        <w:t xml:space="preserve"> is particularly crucial </w:t>
      </w:r>
      <w:r w:rsidR="00D35F6E" w:rsidRPr="00DD6763">
        <w:rPr>
          <w:rFonts w:ascii="Times New Roman" w:hAnsi="Times New Roman" w:cs="Times New Roman"/>
          <w:sz w:val="24"/>
          <w:szCs w:val="24"/>
        </w:rPr>
        <w:t>taking into consideration that “</w:t>
      </w:r>
      <w:r w:rsidR="00505371" w:rsidRPr="00DD6763">
        <w:rPr>
          <w:rFonts w:ascii="Times New Roman" w:hAnsi="Times New Roman" w:cs="Times New Roman"/>
          <w:sz w:val="24"/>
          <w:szCs w:val="24"/>
        </w:rPr>
        <w:t>[m]any indigenous Africans have been forcibl</w:t>
      </w:r>
      <w:r w:rsidR="00822BC1" w:rsidRPr="00DD6763">
        <w:rPr>
          <w:rFonts w:ascii="Times New Roman" w:hAnsi="Times New Roman" w:cs="Times New Roman"/>
          <w:sz w:val="24"/>
          <w:szCs w:val="24"/>
        </w:rPr>
        <w:t>y</w:t>
      </w:r>
      <w:r w:rsidR="00505371" w:rsidRPr="00DD6763">
        <w:rPr>
          <w:rFonts w:ascii="Times New Roman" w:hAnsi="Times New Roman" w:cs="Times New Roman"/>
          <w:sz w:val="24"/>
          <w:szCs w:val="24"/>
        </w:rPr>
        <w:t xml:space="preserve"> evicted or displaced due to the so-called large-scale development projects – dam building, energy </w:t>
      </w:r>
      <w:r w:rsidR="00D35F6E" w:rsidRPr="00DD6763">
        <w:rPr>
          <w:rFonts w:ascii="Times New Roman" w:hAnsi="Times New Roman" w:cs="Times New Roman"/>
          <w:sz w:val="24"/>
          <w:szCs w:val="24"/>
        </w:rPr>
        <w:t>projects</w:t>
      </w:r>
      <w:r w:rsidR="00A13BE2" w:rsidRPr="00DD6763">
        <w:rPr>
          <w:rFonts w:ascii="Times New Roman" w:hAnsi="Times New Roman" w:cs="Times New Roman"/>
          <w:sz w:val="24"/>
          <w:szCs w:val="24"/>
        </w:rPr>
        <w:t>”.</w:t>
      </w:r>
      <w:r w:rsidR="00926390" w:rsidRPr="00DD6763">
        <w:rPr>
          <w:rStyle w:val="FootnoteReference"/>
          <w:rFonts w:ascii="Times New Roman" w:hAnsi="Times New Roman" w:cs="Times New Roman"/>
          <w:sz w:val="24"/>
          <w:szCs w:val="24"/>
        </w:rPr>
        <w:footnoteReference w:id="150"/>
      </w:r>
      <w:r w:rsidR="00505371" w:rsidRPr="00DD6763">
        <w:rPr>
          <w:rFonts w:ascii="Times New Roman" w:hAnsi="Times New Roman" w:cs="Times New Roman"/>
          <w:sz w:val="24"/>
          <w:szCs w:val="24"/>
        </w:rPr>
        <w:t xml:space="preserve"> There is a narrower and indirect protection granted by national constitutions which guarantee</w:t>
      </w:r>
      <w:r w:rsidR="006C7081" w:rsidRPr="00DD6763">
        <w:rPr>
          <w:rFonts w:ascii="Times New Roman" w:hAnsi="Times New Roman" w:cs="Times New Roman"/>
          <w:sz w:val="24"/>
          <w:szCs w:val="24"/>
        </w:rPr>
        <w:t>s</w:t>
      </w:r>
      <w:r w:rsidR="00505371" w:rsidRPr="00DD6763">
        <w:rPr>
          <w:rFonts w:ascii="Times New Roman" w:hAnsi="Times New Roman" w:cs="Times New Roman"/>
          <w:sz w:val="24"/>
          <w:szCs w:val="24"/>
        </w:rPr>
        <w:t xml:space="preserve"> the right to participate in governmental affairs and decision-making process</w:t>
      </w:r>
      <w:r w:rsidR="006C7081" w:rsidRPr="00DD6763">
        <w:rPr>
          <w:rFonts w:ascii="Times New Roman" w:hAnsi="Times New Roman" w:cs="Times New Roman"/>
          <w:sz w:val="24"/>
          <w:szCs w:val="24"/>
        </w:rPr>
        <w:t>es</w:t>
      </w:r>
      <w:r w:rsidR="00505371" w:rsidRPr="00DD6763">
        <w:rPr>
          <w:rFonts w:ascii="Times New Roman" w:hAnsi="Times New Roman" w:cs="Times New Roman"/>
          <w:sz w:val="24"/>
          <w:szCs w:val="24"/>
        </w:rPr>
        <w:t>.</w:t>
      </w:r>
      <w:r w:rsidR="00926390" w:rsidRPr="00DD6763">
        <w:rPr>
          <w:rStyle w:val="FootnoteReference"/>
          <w:rFonts w:ascii="Times New Roman" w:hAnsi="Times New Roman" w:cs="Times New Roman"/>
          <w:sz w:val="24"/>
          <w:szCs w:val="24"/>
        </w:rPr>
        <w:footnoteReference w:id="151"/>
      </w:r>
    </w:p>
    <w:p w14:paraId="0C46D894" w14:textId="77777777" w:rsidR="00DD6763" w:rsidRPr="00DD6763" w:rsidRDefault="00505371"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 xml:space="preserve">In </w:t>
      </w:r>
      <w:r w:rsidRPr="00DD6763">
        <w:rPr>
          <w:rFonts w:ascii="Times New Roman" w:hAnsi="Times New Roman" w:cs="Times New Roman"/>
          <w:i/>
          <w:sz w:val="24"/>
          <w:szCs w:val="24"/>
        </w:rPr>
        <w:t xml:space="preserve">Social and Economic Rights Action </w:t>
      </w:r>
      <w:proofErr w:type="spellStart"/>
      <w:r w:rsidRPr="00DD6763">
        <w:rPr>
          <w:rFonts w:ascii="Times New Roman" w:hAnsi="Times New Roman" w:cs="Times New Roman"/>
          <w:i/>
          <w:sz w:val="24"/>
          <w:szCs w:val="24"/>
        </w:rPr>
        <w:t>Center</w:t>
      </w:r>
      <w:proofErr w:type="spellEnd"/>
      <w:r w:rsidRPr="00DD6763">
        <w:rPr>
          <w:rFonts w:ascii="Times New Roman" w:hAnsi="Times New Roman" w:cs="Times New Roman"/>
          <w:i/>
          <w:sz w:val="24"/>
          <w:szCs w:val="24"/>
        </w:rPr>
        <w:t xml:space="preserve"> and </w:t>
      </w:r>
      <w:proofErr w:type="spellStart"/>
      <w:r w:rsidRPr="00DD6763">
        <w:rPr>
          <w:rFonts w:ascii="Times New Roman" w:hAnsi="Times New Roman" w:cs="Times New Roman"/>
          <w:i/>
          <w:sz w:val="24"/>
          <w:szCs w:val="24"/>
        </w:rPr>
        <w:t>Center</w:t>
      </w:r>
      <w:proofErr w:type="spellEnd"/>
      <w:r w:rsidRPr="00DD6763">
        <w:rPr>
          <w:rFonts w:ascii="Times New Roman" w:hAnsi="Times New Roman" w:cs="Times New Roman"/>
          <w:i/>
          <w:sz w:val="24"/>
          <w:szCs w:val="24"/>
        </w:rPr>
        <w:t xml:space="preserve"> for Economic and Social Rights </w:t>
      </w:r>
      <w:r w:rsidRPr="00DD6763">
        <w:rPr>
          <w:rFonts w:ascii="Times New Roman" w:hAnsi="Times New Roman" w:cs="Times New Roman"/>
          <w:sz w:val="24"/>
          <w:szCs w:val="24"/>
        </w:rPr>
        <w:t>v.</w:t>
      </w:r>
      <w:r w:rsidRPr="00DD6763">
        <w:rPr>
          <w:rFonts w:ascii="Times New Roman" w:hAnsi="Times New Roman" w:cs="Times New Roman"/>
          <w:i/>
          <w:sz w:val="24"/>
          <w:szCs w:val="24"/>
        </w:rPr>
        <w:t xml:space="preserve"> Nigeria No. 155/96</w:t>
      </w:r>
      <w:r w:rsidRPr="00DD6763">
        <w:rPr>
          <w:rFonts w:ascii="Times New Roman" w:hAnsi="Times New Roman" w:cs="Times New Roman"/>
          <w:sz w:val="24"/>
          <w:szCs w:val="24"/>
        </w:rPr>
        <w:t xml:space="preserve">, the </w:t>
      </w:r>
      <w:r w:rsidR="002A4591" w:rsidRPr="00DD6763">
        <w:rPr>
          <w:rFonts w:ascii="Times New Roman" w:hAnsi="Times New Roman" w:cs="Times New Roman"/>
          <w:sz w:val="24"/>
          <w:szCs w:val="24"/>
        </w:rPr>
        <w:t>ACHPR</w:t>
      </w:r>
      <w:r w:rsidR="00D35F6E" w:rsidRPr="00DD6763">
        <w:rPr>
          <w:rFonts w:ascii="Times New Roman" w:hAnsi="Times New Roman" w:cs="Times New Roman"/>
          <w:sz w:val="24"/>
          <w:szCs w:val="24"/>
        </w:rPr>
        <w:t xml:space="preserve"> reaffirmed the obligation to “</w:t>
      </w:r>
      <w:r w:rsidRPr="00DD6763">
        <w:rPr>
          <w:rFonts w:ascii="Times New Roman" w:hAnsi="Times New Roman" w:cs="Times New Roman"/>
          <w:sz w:val="24"/>
          <w:szCs w:val="24"/>
        </w:rPr>
        <w:t xml:space="preserve">respect, protect, promote, and fulfil’ human rights (…) the four levels require States to both positively and negatively adhere to these duties and can </w:t>
      </w:r>
      <w:r w:rsidR="00D35F6E" w:rsidRPr="00DD6763">
        <w:rPr>
          <w:rFonts w:ascii="Times New Roman" w:hAnsi="Times New Roman" w:cs="Times New Roman"/>
          <w:sz w:val="24"/>
          <w:szCs w:val="24"/>
        </w:rPr>
        <w:t>be found in the African Charter”</w:t>
      </w:r>
      <w:r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152"/>
      </w:r>
      <w:r w:rsidR="001E01D6"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In the </w:t>
      </w:r>
      <w:proofErr w:type="spellStart"/>
      <w:r w:rsidRPr="00DD6763">
        <w:rPr>
          <w:rFonts w:ascii="Times New Roman" w:hAnsi="Times New Roman" w:cs="Times New Roman"/>
          <w:i/>
          <w:sz w:val="24"/>
          <w:szCs w:val="24"/>
        </w:rPr>
        <w:t>Endorois</w:t>
      </w:r>
      <w:proofErr w:type="spellEnd"/>
      <w:r w:rsidRPr="00DD6763">
        <w:rPr>
          <w:rFonts w:ascii="Times New Roman" w:hAnsi="Times New Roman" w:cs="Times New Roman"/>
          <w:sz w:val="24"/>
          <w:szCs w:val="24"/>
        </w:rPr>
        <w:t xml:space="preserve"> case</w:t>
      </w:r>
      <w:r w:rsidR="008C74EE" w:rsidRPr="00DD6763">
        <w:rPr>
          <w:rFonts w:ascii="Times New Roman" w:hAnsi="Times New Roman" w:cs="Times New Roman"/>
          <w:sz w:val="24"/>
          <w:szCs w:val="24"/>
        </w:rPr>
        <w:t>, concerning forcible evictions,</w:t>
      </w:r>
      <w:r w:rsidRPr="00DD6763">
        <w:rPr>
          <w:rFonts w:ascii="Times New Roman" w:hAnsi="Times New Roman" w:cs="Times New Roman"/>
          <w:sz w:val="24"/>
          <w:szCs w:val="24"/>
        </w:rPr>
        <w:t xml:space="preserve"> the </w:t>
      </w:r>
      <w:r w:rsidR="002A4591" w:rsidRPr="00DD6763">
        <w:rPr>
          <w:rFonts w:ascii="Times New Roman" w:hAnsi="Times New Roman" w:cs="Times New Roman"/>
          <w:sz w:val="24"/>
          <w:szCs w:val="24"/>
        </w:rPr>
        <w:t>ACHPR</w:t>
      </w:r>
      <w:r w:rsidRPr="00DD6763">
        <w:rPr>
          <w:rFonts w:ascii="Times New Roman" w:hAnsi="Times New Roman" w:cs="Times New Roman"/>
          <w:sz w:val="24"/>
          <w:szCs w:val="24"/>
        </w:rPr>
        <w:t xml:space="preserve"> examined whether th</w:t>
      </w:r>
      <w:r w:rsidR="008C74EE" w:rsidRPr="00DD6763">
        <w:rPr>
          <w:rFonts w:ascii="Times New Roman" w:hAnsi="Times New Roman" w:cs="Times New Roman"/>
          <w:sz w:val="24"/>
          <w:szCs w:val="24"/>
        </w:rPr>
        <w:t>e State of Kenya’s creation of a ‘Game Reserve’,</w:t>
      </w:r>
      <w:r w:rsidRPr="00DD6763">
        <w:rPr>
          <w:rFonts w:ascii="Times New Roman" w:hAnsi="Times New Roman" w:cs="Times New Roman"/>
          <w:sz w:val="24"/>
          <w:szCs w:val="24"/>
        </w:rPr>
        <w:t xml:space="preserve"> which displaced some members of the </w:t>
      </w:r>
      <w:proofErr w:type="spellStart"/>
      <w:r w:rsidRPr="00DD6763">
        <w:rPr>
          <w:rFonts w:ascii="Times New Roman" w:hAnsi="Times New Roman" w:cs="Times New Roman"/>
          <w:sz w:val="24"/>
          <w:szCs w:val="24"/>
        </w:rPr>
        <w:t>Endorois</w:t>
      </w:r>
      <w:proofErr w:type="spellEnd"/>
      <w:r w:rsidRPr="00DD6763">
        <w:rPr>
          <w:rFonts w:ascii="Times New Roman" w:hAnsi="Times New Roman" w:cs="Times New Roman"/>
          <w:sz w:val="24"/>
          <w:szCs w:val="24"/>
        </w:rPr>
        <w:t xml:space="preserve"> indigenous community from their ancestral land and restricted the community’s access to it, was consistent with respect for the indigenous community’s rights to their ances</w:t>
      </w:r>
      <w:r w:rsidR="001E01D6" w:rsidRPr="00DD6763">
        <w:rPr>
          <w:rFonts w:ascii="Times New Roman" w:hAnsi="Times New Roman" w:cs="Times New Roman"/>
          <w:sz w:val="24"/>
          <w:szCs w:val="24"/>
        </w:rPr>
        <w:t>tral lands and resources.</w:t>
      </w:r>
      <w:r w:rsidR="00F57618" w:rsidRPr="00DD6763">
        <w:rPr>
          <w:rStyle w:val="FootnoteReference"/>
          <w:rFonts w:ascii="Times New Roman" w:hAnsi="Times New Roman" w:cs="Times New Roman"/>
          <w:sz w:val="24"/>
          <w:szCs w:val="24"/>
        </w:rPr>
        <w:footnoteReference w:id="153"/>
      </w:r>
      <w:r w:rsidR="001E01D6" w:rsidRPr="00DD6763">
        <w:rPr>
          <w:rFonts w:ascii="Times New Roman" w:hAnsi="Times New Roman" w:cs="Times New Roman"/>
          <w:sz w:val="24"/>
          <w:szCs w:val="24"/>
        </w:rPr>
        <w:t xml:space="preserve"> The </w:t>
      </w:r>
      <w:r w:rsidR="002A4591" w:rsidRPr="00DD6763">
        <w:rPr>
          <w:rFonts w:ascii="Times New Roman" w:hAnsi="Times New Roman" w:cs="Times New Roman"/>
          <w:sz w:val="24"/>
          <w:szCs w:val="24"/>
        </w:rPr>
        <w:t xml:space="preserve">ACHPR </w:t>
      </w:r>
      <w:r w:rsidR="001E01D6" w:rsidRPr="00DD6763">
        <w:rPr>
          <w:rFonts w:ascii="Times New Roman" w:hAnsi="Times New Roman" w:cs="Times New Roman"/>
          <w:sz w:val="24"/>
          <w:szCs w:val="24"/>
        </w:rPr>
        <w:t xml:space="preserve">considered then issue of indigenous communities’ rights to their ancestral lands and resources in the context of environmental conservation. </w:t>
      </w:r>
      <w:r w:rsidRPr="00DD6763">
        <w:rPr>
          <w:rFonts w:ascii="Times New Roman" w:hAnsi="Times New Roman" w:cs="Times New Roman"/>
          <w:sz w:val="24"/>
          <w:szCs w:val="24"/>
        </w:rPr>
        <w:t xml:space="preserve">The </w:t>
      </w:r>
      <w:r w:rsidR="002A4591" w:rsidRPr="00DD6763">
        <w:rPr>
          <w:rFonts w:ascii="Times New Roman" w:hAnsi="Times New Roman" w:cs="Times New Roman"/>
          <w:sz w:val="24"/>
          <w:szCs w:val="24"/>
        </w:rPr>
        <w:t xml:space="preserve">ACHPR </w:t>
      </w:r>
      <w:r w:rsidRPr="00DD6763">
        <w:rPr>
          <w:rFonts w:ascii="Times New Roman" w:hAnsi="Times New Roman" w:cs="Times New Roman"/>
          <w:sz w:val="24"/>
          <w:szCs w:val="24"/>
        </w:rPr>
        <w:t>explained that in these types of cases, a State’s limitations on rights must be proportionate to a legitimate need and should be the least restr</w:t>
      </w:r>
      <w:r w:rsidR="00FD1334" w:rsidRPr="00DD6763">
        <w:rPr>
          <w:rFonts w:ascii="Times New Roman" w:hAnsi="Times New Roman" w:cs="Times New Roman"/>
          <w:sz w:val="24"/>
          <w:szCs w:val="24"/>
        </w:rPr>
        <w:t>ictive measures possible</w:t>
      </w:r>
      <w:r w:rsidR="00597AB9" w:rsidRPr="00DD6763">
        <w:rPr>
          <w:rFonts w:ascii="Times New Roman" w:hAnsi="Times New Roman" w:cs="Times New Roman"/>
          <w:sz w:val="24"/>
          <w:szCs w:val="24"/>
        </w:rPr>
        <w:t>.</w:t>
      </w:r>
      <w:r w:rsidR="00597AB9" w:rsidRPr="00DD6763">
        <w:rPr>
          <w:rStyle w:val="FootnoteReference"/>
          <w:rFonts w:ascii="Times New Roman" w:hAnsi="Times New Roman" w:cs="Times New Roman"/>
          <w:sz w:val="24"/>
          <w:szCs w:val="24"/>
        </w:rPr>
        <w:footnoteReference w:id="154"/>
      </w:r>
      <w:r w:rsidRPr="00DD6763">
        <w:rPr>
          <w:rFonts w:ascii="Times New Roman" w:hAnsi="Times New Roman" w:cs="Times New Roman"/>
          <w:sz w:val="24"/>
          <w:szCs w:val="24"/>
        </w:rPr>
        <w:t xml:space="preserve"> The </w:t>
      </w:r>
      <w:r w:rsidR="002A4591" w:rsidRPr="00DD6763">
        <w:rPr>
          <w:rFonts w:ascii="Times New Roman" w:hAnsi="Times New Roman" w:cs="Times New Roman"/>
          <w:sz w:val="24"/>
          <w:szCs w:val="24"/>
        </w:rPr>
        <w:t>ACHPR</w:t>
      </w:r>
      <w:r w:rsidRPr="00DD6763">
        <w:rPr>
          <w:rFonts w:ascii="Times New Roman" w:hAnsi="Times New Roman" w:cs="Times New Roman"/>
          <w:sz w:val="24"/>
          <w:szCs w:val="24"/>
        </w:rPr>
        <w:t xml:space="preserve"> considered that </w:t>
      </w:r>
      <w:r w:rsidR="00D35F6E" w:rsidRPr="00DD6763">
        <w:rPr>
          <w:rFonts w:ascii="Times New Roman" w:hAnsi="Times New Roman" w:cs="Times New Roman"/>
          <w:sz w:val="24"/>
          <w:szCs w:val="24"/>
        </w:rPr>
        <w:t>“</w:t>
      </w:r>
      <w:r w:rsidRPr="00DD6763">
        <w:rPr>
          <w:rFonts w:ascii="Times New Roman" w:hAnsi="Times New Roman" w:cs="Times New Roman"/>
          <w:sz w:val="24"/>
          <w:szCs w:val="24"/>
        </w:rPr>
        <w:t>even if the Game Reserve was a legitimate aim and served a public need, it could have been accomplished by alternative means proportionate to the need</w:t>
      </w:r>
      <w:r w:rsidR="00A13BE2" w:rsidRPr="00DD6763">
        <w:rPr>
          <w:rFonts w:ascii="Times New Roman" w:hAnsi="Times New Roman" w:cs="Times New Roman"/>
          <w:sz w:val="24"/>
          <w:szCs w:val="24"/>
        </w:rPr>
        <w:t>”.</w:t>
      </w:r>
      <w:r w:rsidR="001E01D6" w:rsidRPr="00DD6763">
        <w:rPr>
          <w:rStyle w:val="FootnoteReference"/>
          <w:rFonts w:ascii="Times New Roman" w:hAnsi="Times New Roman" w:cs="Times New Roman"/>
          <w:sz w:val="24"/>
          <w:szCs w:val="24"/>
        </w:rPr>
        <w:footnoteReference w:id="155"/>
      </w:r>
      <w:r w:rsidR="00011A6B" w:rsidRPr="00DD6763">
        <w:rPr>
          <w:rFonts w:ascii="Times New Roman" w:hAnsi="Times New Roman" w:cs="Times New Roman"/>
          <w:sz w:val="24"/>
          <w:szCs w:val="24"/>
        </w:rPr>
        <w:t xml:space="preserve"> It thus, </w:t>
      </w:r>
      <w:r w:rsidRPr="00DD6763">
        <w:rPr>
          <w:rFonts w:ascii="Times New Roman" w:hAnsi="Times New Roman" w:cs="Times New Roman"/>
          <w:sz w:val="24"/>
          <w:szCs w:val="24"/>
        </w:rPr>
        <w:t>concluded</w:t>
      </w:r>
      <w:r w:rsidR="00011A6B" w:rsidRPr="00DD6763">
        <w:rPr>
          <w:rFonts w:ascii="Times New Roman" w:hAnsi="Times New Roman" w:cs="Times New Roman"/>
          <w:sz w:val="24"/>
          <w:szCs w:val="24"/>
        </w:rPr>
        <w:t>,</w:t>
      </w:r>
      <w:r w:rsidRPr="00DD6763">
        <w:rPr>
          <w:rFonts w:ascii="Times New Roman" w:hAnsi="Times New Roman" w:cs="Times New Roman"/>
          <w:sz w:val="24"/>
          <w:szCs w:val="24"/>
        </w:rPr>
        <w:t xml:space="preserve"> that Kenya </w:t>
      </w:r>
    </w:p>
    <w:p w14:paraId="555D2C64" w14:textId="77777777" w:rsidR="00DD6763" w:rsidRPr="00DD6763" w:rsidRDefault="00DD6763" w:rsidP="00341A5B">
      <w:pPr>
        <w:spacing w:after="0" w:line="276" w:lineRule="auto"/>
        <w:jc w:val="both"/>
        <w:rPr>
          <w:rFonts w:ascii="Times New Roman" w:hAnsi="Times New Roman" w:cs="Times New Roman"/>
          <w:sz w:val="24"/>
          <w:szCs w:val="24"/>
        </w:rPr>
      </w:pPr>
    </w:p>
    <w:p w14:paraId="200F19DD" w14:textId="63F9C12E" w:rsidR="00505371" w:rsidRPr="00DD6763" w:rsidRDefault="00FD1334" w:rsidP="00DD6763">
      <w:pPr>
        <w:spacing w:after="0" w:line="276" w:lineRule="auto"/>
        <w:ind w:left="1440"/>
        <w:jc w:val="both"/>
        <w:rPr>
          <w:rFonts w:ascii="Times New Roman" w:hAnsi="Times New Roman" w:cs="Times New Roman"/>
          <w:sz w:val="24"/>
          <w:szCs w:val="24"/>
        </w:rPr>
      </w:pPr>
      <w:r w:rsidRPr="00DD6763">
        <w:rPr>
          <w:rFonts w:ascii="Times New Roman" w:hAnsi="Times New Roman" w:cs="Times New Roman"/>
          <w:sz w:val="24"/>
          <w:szCs w:val="24"/>
        </w:rPr>
        <w:t xml:space="preserve">[b]y forcing the community to live on semi-arid lands without access to medicinal salt licks and other vital resources for the health of their livestock, (…) </w:t>
      </w:r>
      <w:r w:rsidRPr="00DD6763">
        <w:rPr>
          <w:rFonts w:ascii="Times New Roman" w:hAnsi="Times New Roman" w:cs="Times New Roman"/>
          <w:i/>
          <w:sz w:val="24"/>
          <w:szCs w:val="24"/>
        </w:rPr>
        <w:t>had</w:t>
      </w:r>
      <w:r w:rsidRPr="00DD6763">
        <w:rPr>
          <w:rFonts w:ascii="Times New Roman" w:hAnsi="Times New Roman" w:cs="Times New Roman"/>
          <w:sz w:val="24"/>
          <w:szCs w:val="24"/>
        </w:rPr>
        <w:t xml:space="preserve"> created a major threat to the </w:t>
      </w:r>
      <w:proofErr w:type="spellStart"/>
      <w:r w:rsidRPr="00DD6763">
        <w:rPr>
          <w:rFonts w:ascii="Times New Roman" w:hAnsi="Times New Roman" w:cs="Times New Roman"/>
          <w:sz w:val="24"/>
          <w:szCs w:val="24"/>
        </w:rPr>
        <w:t>Endorois</w:t>
      </w:r>
      <w:proofErr w:type="spellEnd"/>
      <w:r w:rsidRPr="00DD6763">
        <w:rPr>
          <w:rFonts w:ascii="Times New Roman" w:hAnsi="Times New Roman" w:cs="Times New Roman"/>
          <w:sz w:val="24"/>
          <w:szCs w:val="24"/>
        </w:rPr>
        <w:t xml:space="preserve"> pastoralist way of life (…) </w:t>
      </w:r>
      <w:r w:rsidRPr="00DD6763">
        <w:rPr>
          <w:rFonts w:ascii="Times New Roman" w:hAnsi="Times New Roman" w:cs="Times New Roman"/>
          <w:i/>
          <w:sz w:val="24"/>
          <w:szCs w:val="24"/>
        </w:rPr>
        <w:t>thus</w:t>
      </w:r>
      <w:r w:rsidRPr="00DD6763">
        <w:rPr>
          <w:rFonts w:ascii="Times New Roman" w:hAnsi="Times New Roman" w:cs="Times New Roman"/>
          <w:sz w:val="24"/>
          <w:szCs w:val="24"/>
        </w:rPr>
        <w:t xml:space="preserve"> the very essence of the </w:t>
      </w:r>
      <w:proofErr w:type="spellStart"/>
      <w:r w:rsidRPr="00DD6763">
        <w:rPr>
          <w:rFonts w:ascii="Times New Roman" w:hAnsi="Times New Roman" w:cs="Times New Roman"/>
          <w:sz w:val="24"/>
          <w:szCs w:val="24"/>
        </w:rPr>
        <w:t>Endorois</w:t>
      </w:r>
      <w:proofErr w:type="spellEnd"/>
      <w:r w:rsidRPr="00DD6763">
        <w:rPr>
          <w:rFonts w:ascii="Times New Roman" w:hAnsi="Times New Roman" w:cs="Times New Roman"/>
          <w:sz w:val="24"/>
          <w:szCs w:val="24"/>
        </w:rPr>
        <w:t>’ right to culture has been denied, rendering the right, to all intents and purposes, illusory</w:t>
      </w:r>
      <w:r w:rsidR="00A13BE2" w:rsidRPr="00DD6763">
        <w:rPr>
          <w:rFonts w:ascii="Times New Roman" w:hAnsi="Times New Roman" w:cs="Times New Roman"/>
          <w:sz w:val="24"/>
          <w:szCs w:val="24"/>
        </w:rPr>
        <w:t>.</w:t>
      </w:r>
      <w:r w:rsidR="00505371" w:rsidRPr="00DD6763">
        <w:rPr>
          <w:rStyle w:val="FootnoteReference"/>
          <w:rFonts w:ascii="Times New Roman" w:hAnsi="Times New Roman" w:cs="Times New Roman"/>
          <w:sz w:val="24"/>
          <w:szCs w:val="24"/>
        </w:rPr>
        <w:footnoteReference w:id="156"/>
      </w:r>
      <w:r w:rsidR="00505371" w:rsidRPr="00DD6763">
        <w:rPr>
          <w:rFonts w:ascii="Times New Roman" w:hAnsi="Times New Roman" w:cs="Times New Roman"/>
          <w:sz w:val="24"/>
          <w:szCs w:val="24"/>
        </w:rPr>
        <w:t xml:space="preserve">  </w:t>
      </w:r>
    </w:p>
    <w:p w14:paraId="2190AF50" w14:textId="77777777" w:rsidR="00DD6763" w:rsidRPr="00DD6763" w:rsidRDefault="00DD6763" w:rsidP="00341A5B">
      <w:pPr>
        <w:spacing w:after="0" w:line="276" w:lineRule="auto"/>
        <w:jc w:val="both"/>
        <w:rPr>
          <w:rFonts w:ascii="Times New Roman" w:hAnsi="Times New Roman" w:cs="Times New Roman"/>
          <w:sz w:val="24"/>
          <w:szCs w:val="24"/>
        </w:rPr>
      </w:pPr>
    </w:p>
    <w:p w14:paraId="4265D6DC" w14:textId="14609A1B" w:rsidR="00B21AB4" w:rsidRPr="00DD6763" w:rsidRDefault="0080035E" w:rsidP="00DD6763">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Albeit not that developed</w:t>
      </w:r>
      <w:r w:rsidR="00402D2D" w:rsidRPr="00DD6763">
        <w:rPr>
          <w:rFonts w:ascii="Times New Roman" w:hAnsi="Times New Roman" w:cs="Times New Roman"/>
          <w:sz w:val="24"/>
          <w:szCs w:val="24"/>
        </w:rPr>
        <w:t xml:space="preserve"> as in the Inter-American System</w:t>
      </w:r>
      <w:r w:rsidRPr="00DD6763">
        <w:rPr>
          <w:rFonts w:ascii="Times New Roman" w:hAnsi="Times New Roman" w:cs="Times New Roman"/>
          <w:sz w:val="24"/>
          <w:szCs w:val="24"/>
        </w:rPr>
        <w:t xml:space="preserve">, </w:t>
      </w:r>
      <w:r w:rsidR="002A4591" w:rsidRPr="00DD6763">
        <w:rPr>
          <w:rFonts w:ascii="Times New Roman" w:hAnsi="Times New Roman" w:cs="Times New Roman"/>
          <w:sz w:val="24"/>
          <w:szCs w:val="24"/>
        </w:rPr>
        <w:t>the practice of African S</w:t>
      </w:r>
      <w:r w:rsidR="00402D2D" w:rsidRPr="00DD6763">
        <w:rPr>
          <w:rFonts w:ascii="Times New Roman" w:hAnsi="Times New Roman" w:cs="Times New Roman"/>
          <w:sz w:val="24"/>
          <w:szCs w:val="24"/>
        </w:rPr>
        <w:t xml:space="preserve">ystem demonstrates that </w:t>
      </w:r>
      <w:r w:rsidRPr="00DD6763">
        <w:rPr>
          <w:rFonts w:ascii="Times New Roman" w:hAnsi="Times New Roman" w:cs="Times New Roman"/>
          <w:sz w:val="24"/>
          <w:szCs w:val="24"/>
        </w:rPr>
        <w:t>a certain regional consensus on the application of C169</w:t>
      </w:r>
      <w:r w:rsidR="00402D2D" w:rsidRPr="00DD6763">
        <w:rPr>
          <w:rFonts w:ascii="Times New Roman" w:hAnsi="Times New Roman" w:cs="Times New Roman"/>
          <w:sz w:val="24"/>
          <w:szCs w:val="24"/>
        </w:rPr>
        <w:t xml:space="preserve"> has been reached</w:t>
      </w:r>
      <w:r w:rsidR="00F530FF" w:rsidRPr="00DD6763">
        <w:rPr>
          <w:rFonts w:ascii="Times New Roman" w:hAnsi="Times New Roman" w:cs="Times New Roman"/>
          <w:sz w:val="24"/>
          <w:szCs w:val="24"/>
        </w:rPr>
        <w:t xml:space="preserve"> </w:t>
      </w:r>
      <w:r w:rsidR="00F530FF" w:rsidRPr="00DD6763">
        <w:rPr>
          <w:rFonts w:ascii="Times New Roman" w:hAnsi="Times New Roman" w:cs="Times New Roman"/>
          <w:sz w:val="24"/>
          <w:szCs w:val="24"/>
        </w:rPr>
        <w:lastRenderedPageBreak/>
        <w:t>with regard to FPIC</w:t>
      </w:r>
      <w:r w:rsidR="00951B78" w:rsidRPr="00DD6763">
        <w:rPr>
          <w:rFonts w:ascii="Times New Roman" w:hAnsi="Times New Roman" w:cs="Times New Roman"/>
          <w:sz w:val="24"/>
          <w:szCs w:val="24"/>
        </w:rPr>
        <w:t xml:space="preserve"> </w:t>
      </w:r>
      <w:r w:rsidR="00B21AB4" w:rsidRPr="00DD6763">
        <w:rPr>
          <w:rFonts w:ascii="Times New Roman" w:hAnsi="Times New Roman" w:cs="Times New Roman"/>
          <w:sz w:val="24"/>
          <w:szCs w:val="24"/>
        </w:rPr>
        <w:t xml:space="preserve">promoted at UN and ILO level, most clearly through UNDRIP which draws together the protection of specific rights of indigenous peoples in a systematic manner. </w:t>
      </w:r>
    </w:p>
    <w:p w14:paraId="57F099CD" w14:textId="1070DFB2" w:rsidR="00B21AB4" w:rsidRPr="00DD6763" w:rsidRDefault="00D42A78" w:rsidP="004C2A24">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In an overall appraisal of the protection of FPIC</w:t>
      </w:r>
      <w:r w:rsidR="00D35F6E" w:rsidRPr="00DD6763">
        <w:rPr>
          <w:rFonts w:ascii="Times New Roman" w:hAnsi="Times New Roman" w:cs="Times New Roman"/>
          <w:sz w:val="24"/>
          <w:szCs w:val="24"/>
        </w:rPr>
        <w:t>.</w:t>
      </w:r>
      <w:r w:rsidRPr="00DD6763">
        <w:rPr>
          <w:rFonts w:ascii="Times New Roman" w:hAnsi="Times New Roman" w:cs="Times New Roman"/>
          <w:sz w:val="24"/>
          <w:szCs w:val="24"/>
        </w:rPr>
        <w:t xml:space="preserve"> A</w:t>
      </w:r>
      <w:r w:rsidR="00B21AB4" w:rsidRPr="00DD6763">
        <w:rPr>
          <w:rFonts w:ascii="Times New Roman" w:hAnsi="Times New Roman" w:cs="Times New Roman"/>
          <w:sz w:val="24"/>
          <w:szCs w:val="24"/>
        </w:rPr>
        <w:t>t the regional level, the Commission and the Court of the IAHRS have developed through case law the related rights to consultation and the protection of</w:t>
      </w:r>
      <w:r w:rsidR="00D35F6E" w:rsidRPr="00DD6763">
        <w:rPr>
          <w:rFonts w:ascii="Times New Roman" w:hAnsi="Times New Roman" w:cs="Times New Roman"/>
          <w:sz w:val="24"/>
          <w:szCs w:val="24"/>
        </w:rPr>
        <w:t xml:space="preserve"> the environment. P</w:t>
      </w:r>
      <w:r w:rsidRPr="00DD6763">
        <w:rPr>
          <w:rFonts w:ascii="Times New Roman" w:hAnsi="Times New Roman" w:cs="Times New Roman"/>
          <w:sz w:val="24"/>
          <w:szCs w:val="24"/>
        </w:rPr>
        <w:t>articular</w:t>
      </w:r>
      <w:r w:rsidR="002A4591" w:rsidRPr="00DD6763">
        <w:rPr>
          <w:rFonts w:ascii="Times New Roman" w:hAnsi="Times New Roman" w:cs="Times New Roman"/>
          <w:sz w:val="24"/>
          <w:szCs w:val="24"/>
        </w:rPr>
        <w:t>ly</w:t>
      </w:r>
      <w:r w:rsidRPr="00DD6763">
        <w:rPr>
          <w:rFonts w:ascii="Times New Roman" w:hAnsi="Times New Roman" w:cs="Times New Roman"/>
          <w:sz w:val="24"/>
          <w:szCs w:val="24"/>
        </w:rPr>
        <w:t xml:space="preserve">, </w:t>
      </w:r>
      <w:r w:rsidR="00B21AB4" w:rsidRPr="00DD6763">
        <w:rPr>
          <w:rFonts w:ascii="Times New Roman" w:hAnsi="Times New Roman" w:cs="Times New Roman"/>
          <w:sz w:val="24"/>
          <w:szCs w:val="24"/>
        </w:rPr>
        <w:t>they have clarified the conflicting rights involved, and identified that indigenous communities should have the right to</w:t>
      </w:r>
      <w:r w:rsidR="004F1BEE" w:rsidRPr="00DD6763">
        <w:rPr>
          <w:rFonts w:ascii="Times New Roman" w:hAnsi="Times New Roman" w:cs="Times New Roman"/>
          <w:sz w:val="24"/>
          <w:szCs w:val="24"/>
        </w:rPr>
        <w:t xml:space="preserve"> FPIC</w:t>
      </w:r>
      <w:r w:rsidR="00B21AB4" w:rsidRPr="00DD6763">
        <w:rPr>
          <w:rFonts w:ascii="Times New Roman" w:hAnsi="Times New Roman" w:cs="Times New Roman"/>
          <w:sz w:val="24"/>
          <w:szCs w:val="24"/>
        </w:rPr>
        <w:t xml:space="preserve">, control over, and even in some cases consent to the development of natural resources, including the territories where these are situated. Furthermore, they should have the right to restoration of the </w:t>
      </w:r>
      <w:r w:rsidR="00B21AB4" w:rsidRPr="00DD6763">
        <w:rPr>
          <w:rFonts w:ascii="Times New Roman" w:hAnsi="Times New Roman" w:cs="Times New Roman"/>
          <w:i/>
          <w:sz w:val="24"/>
          <w:szCs w:val="24"/>
        </w:rPr>
        <w:t>status quo</w:t>
      </w:r>
      <w:r w:rsidR="00B21AB4" w:rsidRPr="00DD6763">
        <w:rPr>
          <w:rFonts w:ascii="Times New Roman" w:hAnsi="Times New Roman" w:cs="Times New Roman"/>
          <w:sz w:val="24"/>
          <w:szCs w:val="24"/>
        </w:rPr>
        <w:t xml:space="preserve"> </w:t>
      </w:r>
      <w:r w:rsidR="00B21AB4" w:rsidRPr="00DD6763">
        <w:rPr>
          <w:rFonts w:ascii="Times New Roman" w:hAnsi="Times New Roman" w:cs="Times New Roman"/>
          <w:i/>
          <w:sz w:val="24"/>
          <w:szCs w:val="24"/>
        </w:rPr>
        <w:t xml:space="preserve">ante </w:t>
      </w:r>
      <w:r w:rsidR="00B21AB4" w:rsidRPr="00DD6763">
        <w:rPr>
          <w:rFonts w:ascii="Times New Roman" w:hAnsi="Times New Roman" w:cs="Times New Roman"/>
          <w:sz w:val="24"/>
          <w:szCs w:val="24"/>
        </w:rPr>
        <w:t>where harmful effects have occurred. However, there remains a long road to travel between ruling that reparation must take place, and ensuring that it is done.</w:t>
      </w:r>
    </w:p>
    <w:p w14:paraId="44492C2F" w14:textId="34AC5F12" w:rsidR="00B21AB4" w:rsidRPr="00DD6763" w:rsidRDefault="00B21AB4" w:rsidP="004C2A24">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The </w:t>
      </w:r>
      <w:r w:rsidR="002A4591" w:rsidRPr="00DD6763">
        <w:rPr>
          <w:rFonts w:ascii="Times New Roman" w:hAnsi="Times New Roman" w:cs="Times New Roman"/>
          <w:sz w:val="24"/>
          <w:szCs w:val="24"/>
        </w:rPr>
        <w:t xml:space="preserve">ACHPR </w:t>
      </w:r>
      <w:r w:rsidRPr="00DD6763">
        <w:rPr>
          <w:rFonts w:ascii="Times New Roman" w:hAnsi="Times New Roman" w:cs="Times New Roman"/>
          <w:sz w:val="24"/>
          <w:szCs w:val="24"/>
        </w:rPr>
        <w:t xml:space="preserve">has also recognised FPIC in discussion, but has yet to realise the extent of related protection achieved under IAHRS, because of among other things the difficulty of identifying Africa’s indigenous peoples. A right to participation has however been accepted, and in some circumstances a right to consultation. The concepts of legitimate need and proportionality have also been recognised by the Commission as relevant to decision-making in cases of environmental conservation. </w:t>
      </w:r>
    </w:p>
    <w:p w14:paraId="44FB80C6" w14:textId="77777777" w:rsidR="0080035E" w:rsidRPr="00DD6763" w:rsidRDefault="0080035E" w:rsidP="00AF2C38">
      <w:pPr>
        <w:spacing w:after="0" w:line="276" w:lineRule="auto"/>
        <w:rPr>
          <w:rFonts w:ascii="Times New Roman" w:hAnsi="Times New Roman" w:cs="Times New Roman"/>
          <w:b/>
          <w:sz w:val="24"/>
          <w:szCs w:val="24"/>
        </w:rPr>
      </w:pPr>
    </w:p>
    <w:p w14:paraId="1E8BFCAD" w14:textId="13A34E0A" w:rsidR="0080035E" w:rsidRPr="00DD6763" w:rsidRDefault="00CF2F49" w:rsidP="004362B0">
      <w:pPr>
        <w:spacing w:after="0" w:line="276" w:lineRule="auto"/>
        <w:jc w:val="both"/>
        <w:outlineLvl w:val="0"/>
        <w:rPr>
          <w:rFonts w:ascii="Times New Roman" w:hAnsi="Times New Roman" w:cs="Times New Roman"/>
          <w:b/>
          <w:i/>
          <w:sz w:val="24"/>
          <w:szCs w:val="24"/>
        </w:rPr>
      </w:pPr>
      <w:r w:rsidRPr="00DD6763">
        <w:rPr>
          <w:rFonts w:ascii="Times New Roman" w:hAnsi="Times New Roman" w:cs="Times New Roman"/>
          <w:b/>
          <w:iCs/>
          <w:sz w:val="24"/>
          <w:szCs w:val="24"/>
        </w:rPr>
        <w:t>3</w:t>
      </w:r>
      <w:r w:rsidR="00505371" w:rsidRPr="00DD6763">
        <w:rPr>
          <w:rFonts w:ascii="Times New Roman" w:hAnsi="Times New Roman" w:cs="Times New Roman"/>
          <w:b/>
          <w:iCs/>
          <w:sz w:val="24"/>
          <w:szCs w:val="24"/>
        </w:rPr>
        <w:t>.2</w:t>
      </w:r>
      <w:r w:rsidR="009122D7" w:rsidRPr="00DD6763">
        <w:rPr>
          <w:rFonts w:ascii="Times New Roman" w:hAnsi="Times New Roman" w:cs="Times New Roman"/>
          <w:b/>
          <w:i/>
          <w:sz w:val="24"/>
          <w:szCs w:val="24"/>
        </w:rPr>
        <w:t xml:space="preserve"> Cases before </w:t>
      </w:r>
      <w:r w:rsidR="00DD6763" w:rsidRPr="00DD6763">
        <w:rPr>
          <w:rFonts w:ascii="Times New Roman" w:hAnsi="Times New Roman" w:cs="Times New Roman"/>
          <w:b/>
          <w:i/>
          <w:sz w:val="24"/>
          <w:szCs w:val="24"/>
        </w:rPr>
        <w:t>International Investment Tribunals</w:t>
      </w:r>
    </w:p>
    <w:p w14:paraId="7B692AD2" w14:textId="77777777" w:rsidR="00BF11E1" w:rsidRPr="00DD6763" w:rsidRDefault="00A63512"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I</w:t>
      </w:r>
      <w:r w:rsidR="009122D7" w:rsidRPr="00DD6763">
        <w:rPr>
          <w:rFonts w:ascii="Times New Roman" w:hAnsi="Times New Roman" w:cs="Times New Roman"/>
          <w:sz w:val="24"/>
          <w:szCs w:val="24"/>
        </w:rPr>
        <w:t>nternational investment tribunals have</w:t>
      </w:r>
      <w:r w:rsidRPr="00DD6763">
        <w:rPr>
          <w:rFonts w:ascii="Times New Roman" w:hAnsi="Times New Roman" w:cs="Times New Roman"/>
          <w:sz w:val="24"/>
          <w:szCs w:val="24"/>
        </w:rPr>
        <w:t xml:space="preserve"> been confronted with cases</w:t>
      </w:r>
      <w:r w:rsidR="009122D7" w:rsidRPr="00DD6763">
        <w:rPr>
          <w:rFonts w:ascii="Times New Roman" w:hAnsi="Times New Roman" w:cs="Times New Roman"/>
          <w:sz w:val="24"/>
          <w:szCs w:val="24"/>
        </w:rPr>
        <w:t xml:space="preserve"> c</w:t>
      </w:r>
      <w:r w:rsidRPr="00DD6763">
        <w:rPr>
          <w:rFonts w:ascii="Times New Roman" w:hAnsi="Times New Roman" w:cs="Times New Roman"/>
          <w:sz w:val="24"/>
          <w:szCs w:val="24"/>
        </w:rPr>
        <w:t>oncerning</w:t>
      </w:r>
      <w:r w:rsidR="009122D7" w:rsidRPr="00DD6763">
        <w:rPr>
          <w:rFonts w:ascii="Times New Roman" w:hAnsi="Times New Roman" w:cs="Times New Roman"/>
          <w:sz w:val="24"/>
          <w:szCs w:val="24"/>
        </w:rPr>
        <w:t xml:space="preserve"> </w:t>
      </w:r>
      <w:r w:rsidR="001C099C" w:rsidRPr="00DD6763">
        <w:rPr>
          <w:rFonts w:ascii="Times New Roman" w:hAnsi="Times New Roman" w:cs="Times New Roman"/>
          <w:sz w:val="24"/>
          <w:szCs w:val="24"/>
        </w:rPr>
        <w:t>indigenous peoples’</w:t>
      </w:r>
      <w:r w:rsidR="009122D7" w:rsidRPr="00DD6763">
        <w:rPr>
          <w:rFonts w:ascii="Times New Roman" w:hAnsi="Times New Roman" w:cs="Times New Roman"/>
          <w:sz w:val="24"/>
          <w:szCs w:val="24"/>
        </w:rPr>
        <w:t xml:space="preserve"> rights. Investment comes often with a downside, as corporations may </w:t>
      </w:r>
      <w:r w:rsidR="006C7081" w:rsidRPr="00DD6763">
        <w:rPr>
          <w:rFonts w:ascii="Times New Roman" w:hAnsi="Times New Roman" w:cs="Times New Roman"/>
          <w:sz w:val="24"/>
          <w:szCs w:val="24"/>
        </w:rPr>
        <w:t xml:space="preserve">engage </w:t>
      </w:r>
      <w:r w:rsidR="009122D7" w:rsidRPr="00DD6763">
        <w:rPr>
          <w:rFonts w:ascii="Times New Roman" w:hAnsi="Times New Roman" w:cs="Times New Roman"/>
          <w:sz w:val="24"/>
          <w:szCs w:val="24"/>
        </w:rPr>
        <w:t xml:space="preserve">in </w:t>
      </w:r>
      <w:r w:rsidR="003D4992" w:rsidRPr="00DD6763">
        <w:rPr>
          <w:rFonts w:ascii="Times New Roman" w:hAnsi="Times New Roman" w:cs="Times New Roman"/>
          <w:sz w:val="24"/>
          <w:szCs w:val="24"/>
        </w:rPr>
        <w:t xml:space="preserve">internationally </w:t>
      </w:r>
      <w:r w:rsidR="009122D7" w:rsidRPr="00DD6763">
        <w:rPr>
          <w:rFonts w:ascii="Times New Roman" w:hAnsi="Times New Roman" w:cs="Times New Roman"/>
          <w:sz w:val="24"/>
          <w:szCs w:val="24"/>
        </w:rPr>
        <w:t xml:space="preserve">wrongful </w:t>
      </w:r>
      <w:r w:rsidR="00BE76C3" w:rsidRPr="00DD6763">
        <w:rPr>
          <w:rFonts w:ascii="Times New Roman" w:hAnsi="Times New Roman" w:cs="Times New Roman"/>
          <w:sz w:val="24"/>
          <w:szCs w:val="24"/>
        </w:rPr>
        <w:t>acts, which</w:t>
      </w:r>
      <w:r w:rsidR="009122D7" w:rsidRPr="00DD6763">
        <w:rPr>
          <w:rFonts w:ascii="Times New Roman" w:hAnsi="Times New Roman" w:cs="Times New Roman"/>
          <w:sz w:val="24"/>
          <w:szCs w:val="24"/>
        </w:rPr>
        <w:t xml:space="preserve"> are not </w:t>
      </w:r>
      <w:r w:rsidR="006C7081" w:rsidRPr="00DD6763">
        <w:rPr>
          <w:rFonts w:ascii="Times New Roman" w:hAnsi="Times New Roman" w:cs="Times New Roman"/>
          <w:sz w:val="24"/>
          <w:szCs w:val="24"/>
        </w:rPr>
        <w:t>(</w:t>
      </w:r>
      <w:r w:rsidR="00BE76C3" w:rsidRPr="00DD6763">
        <w:rPr>
          <w:rFonts w:ascii="Times New Roman" w:hAnsi="Times New Roman" w:cs="Times New Roman"/>
          <w:sz w:val="24"/>
          <w:szCs w:val="24"/>
        </w:rPr>
        <w:t>yet</w:t>
      </w:r>
      <w:r w:rsidR="006C7081" w:rsidRPr="00DD6763">
        <w:rPr>
          <w:rFonts w:ascii="Times New Roman" w:hAnsi="Times New Roman" w:cs="Times New Roman"/>
          <w:sz w:val="24"/>
          <w:szCs w:val="24"/>
        </w:rPr>
        <w:t xml:space="preserve">) </w:t>
      </w:r>
      <w:r w:rsidR="009122D7" w:rsidRPr="00DD6763">
        <w:rPr>
          <w:rFonts w:ascii="Times New Roman" w:hAnsi="Times New Roman" w:cs="Times New Roman"/>
          <w:sz w:val="24"/>
          <w:szCs w:val="24"/>
        </w:rPr>
        <w:t xml:space="preserve">considered to fall under the international responsibility regime. </w:t>
      </w:r>
    </w:p>
    <w:p w14:paraId="0C9CC06A" w14:textId="4DFFAF5A" w:rsidR="00A165A3" w:rsidRPr="00DD6763" w:rsidRDefault="00A44E8B" w:rsidP="004C2A24">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International investment agreements are</w:t>
      </w:r>
      <w:r w:rsidR="004B19A5" w:rsidRPr="00DD6763">
        <w:rPr>
          <w:rFonts w:ascii="Times New Roman" w:hAnsi="Times New Roman" w:cs="Times New Roman"/>
          <w:sz w:val="24"/>
          <w:szCs w:val="24"/>
        </w:rPr>
        <w:t xml:space="preserve"> silent about human rights protection and </w:t>
      </w:r>
      <w:r w:rsidR="003D4992" w:rsidRPr="00DD6763">
        <w:rPr>
          <w:rFonts w:ascii="Times New Roman" w:hAnsi="Times New Roman" w:cs="Times New Roman"/>
          <w:sz w:val="24"/>
          <w:szCs w:val="24"/>
        </w:rPr>
        <w:t xml:space="preserve">do not refer to </w:t>
      </w:r>
      <w:r w:rsidR="00D26434" w:rsidRPr="00DD6763">
        <w:rPr>
          <w:rFonts w:ascii="Times New Roman" w:hAnsi="Times New Roman" w:cs="Times New Roman"/>
          <w:sz w:val="24"/>
          <w:szCs w:val="24"/>
        </w:rPr>
        <w:t>FPIC</w:t>
      </w:r>
      <w:r w:rsidR="003D4992" w:rsidRPr="00DD6763">
        <w:rPr>
          <w:rFonts w:ascii="Times New Roman" w:hAnsi="Times New Roman" w:cs="Times New Roman"/>
          <w:sz w:val="24"/>
          <w:szCs w:val="24"/>
        </w:rPr>
        <w:t xml:space="preserve">. </w:t>
      </w:r>
      <w:r w:rsidR="009122D7" w:rsidRPr="00DD6763">
        <w:rPr>
          <w:rFonts w:ascii="Times New Roman" w:hAnsi="Times New Roman" w:cs="Times New Roman"/>
          <w:sz w:val="24"/>
          <w:szCs w:val="24"/>
        </w:rPr>
        <w:t>The predominant</w:t>
      </w:r>
      <w:r w:rsidR="00D105C3" w:rsidRPr="00DD6763">
        <w:rPr>
          <w:rFonts w:ascii="Times New Roman" w:hAnsi="Times New Roman" w:cs="Times New Roman"/>
          <w:sz w:val="24"/>
          <w:szCs w:val="24"/>
        </w:rPr>
        <w:t xml:space="preserve"> and traditional</w:t>
      </w:r>
      <w:r w:rsidR="00DA775D" w:rsidRPr="00DD6763">
        <w:rPr>
          <w:rFonts w:ascii="Times New Roman" w:hAnsi="Times New Roman" w:cs="Times New Roman"/>
          <w:sz w:val="24"/>
          <w:szCs w:val="24"/>
        </w:rPr>
        <w:t xml:space="preserve"> IIL</w:t>
      </w:r>
      <w:r w:rsidR="00FE5C1B" w:rsidRPr="00DD6763">
        <w:rPr>
          <w:rFonts w:ascii="Times New Roman" w:hAnsi="Times New Roman" w:cs="Times New Roman"/>
          <w:sz w:val="24"/>
          <w:szCs w:val="24"/>
        </w:rPr>
        <w:t xml:space="preserve"> </w:t>
      </w:r>
      <w:r w:rsidR="00D105C3" w:rsidRPr="00DD6763">
        <w:rPr>
          <w:rFonts w:ascii="Times New Roman" w:hAnsi="Times New Roman" w:cs="Times New Roman"/>
          <w:sz w:val="24"/>
          <w:szCs w:val="24"/>
        </w:rPr>
        <w:t xml:space="preserve">literature </w:t>
      </w:r>
      <w:r w:rsidR="00FE5C1B" w:rsidRPr="00DD6763">
        <w:rPr>
          <w:rFonts w:ascii="Times New Roman" w:hAnsi="Times New Roman" w:cs="Times New Roman"/>
          <w:sz w:val="24"/>
          <w:szCs w:val="24"/>
        </w:rPr>
        <w:t xml:space="preserve">(with some exceptions) </w:t>
      </w:r>
      <w:r w:rsidR="009122D7" w:rsidRPr="00DD6763">
        <w:rPr>
          <w:rFonts w:ascii="Times New Roman" w:hAnsi="Times New Roman" w:cs="Times New Roman"/>
          <w:sz w:val="24"/>
          <w:szCs w:val="24"/>
        </w:rPr>
        <w:t>has tend</w:t>
      </w:r>
      <w:r w:rsidR="006C7081" w:rsidRPr="00DD6763">
        <w:rPr>
          <w:rFonts w:ascii="Times New Roman" w:hAnsi="Times New Roman" w:cs="Times New Roman"/>
          <w:sz w:val="24"/>
          <w:szCs w:val="24"/>
        </w:rPr>
        <w:t>ed</w:t>
      </w:r>
      <w:r w:rsidR="009122D7" w:rsidRPr="00DD6763">
        <w:rPr>
          <w:rFonts w:ascii="Times New Roman" w:hAnsi="Times New Roman" w:cs="Times New Roman"/>
          <w:sz w:val="24"/>
          <w:szCs w:val="24"/>
        </w:rPr>
        <w:t xml:space="preserve"> to over</w:t>
      </w:r>
      <w:r w:rsidR="00D105C3" w:rsidRPr="00DD6763">
        <w:rPr>
          <w:rFonts w:ascii="Times New Roman" w:hAnsi="Times New Roman" w:cs="Times New Roman"/>
          <w:sz w:val="24"/>
          <w:szCs w:val="24"/>
        </w:rPr>
        <w:t xml:space="preserve">look </w:t>
      </w:r>
      <w:r w:rsidR="00355BA3" w:rsidRPr="00DD6763">
        <w:rPr>
          <w:rFonts w:ascii="Times New Roman" w:hAnsi="Times New Roman" w:cs="Times New Roman"/>
          <w:sz w:val="24"/>
          <w:szCs w:val="24"/>
        </w:rPr>
        <w:t>FPIC</w:t>
      </w:r>
      <w:r w:rsidR="00D105C3" w:rsidRPr="00DD6763">
        <w:rPr>
          <w:rFonts w:ascii="Times New Roman" w:hAnsi="Times New Roman" w:cs="Times New Roman"/>
          <w:sz w:val="24"/>
          <w:szCs w:val="24"/>
        </w:rPr>
        <w:t>. New approaches are clearly identifying indigenous peoples</w:t>
      </w:r>
      <w:r w:rsidR="006C7081" w:rsidRPr="00DD6763">
        <w:rPr>
          <w:rFonts w:ascii="Times New Roman" w:hAnsi="Times New Roman" w:cs="Times New Roman"/>
          <w:sz w:val="24"/>
          <w:szCs w:val="24"/>
        </w:rPr>
        <w:t>’ rights</w:t>
      </w:r>
      <w:r w:rsidR="00D105C3" w:rsidRPr="00DD6763">
        <w:rPr>
          <w:rFonts w:ascii="Times New Roman" w:hAnsi="Times New Roman" w:cs="Times New Roman"/>
          <w:sz w:val="24"/>
          <w:szCs w:val="24"/>
        </w:rPr>
        <w:t xml:space="preserve"> </w:t>
      </w:r>
      <w:r w:rsidR="00DF0F00" w:rsidRPr="00DD6763">
        <w:rPr>
          <w:rFonts w:ascii="Times New Roman" w:hAnsi="Times New Roman" w:cs="Times New Roman"/>
          <w:sz w:val="24"/>
          <w:szCs w:val="24"/>
        </w:rPr>
        <w:t xml:space="preserve">as one </w:t>
      </w:r>
      <w:r w:rsidR="006C7081" w:rsidRPr="00DD6763">
        <w:rPr>
          <w:rFonts w:ascii="Times New Roman" w:hAnsi="Times New Roman" w:cs="Times New Roman"/>
          <w:sz w:val="24"/>
          <w:szCs w:val="24"/>
        </w:rPr>
        <w:t xml:space="preserve">set </w:t>
      </w:r>
      <w:r w:rsidR="00DF0F00" w:rsidRPr="00DD6763">
        <w:rPr>
          <w:rFonts w:ascii="Times New Roman" w:hAnsi="Times New Roman" w:cs="Times New Roman"/>
          <w:sz w:val="24"/>
          <w:szCs w:val="24"/>
        </w:rPr>
        <w:t>of the potential rights in conflict</w:t>
      </w:r>
      <w:r w:rsidR="00C8567D" w:rsidRPr="00DD6763">
        <w:rPr>
          <w:rFonts w:ascii="Times New Roman" w:hAnsi="Times New Roman" w:cs="Times New Roman"/>
          <w:sz w:val="24"/>
          <w:szCs w:val="24"/>
        </w:rPr>
        <w:t xml:space="preserve"> with investors’ rights</w:t>
      </w:r>
      <w:r w:rsidR="009122D7" w:rsidRPr="00DD6763">
        <w:rPr>
          <w:rFonts w:ascii="Times New Roman" w:hAnsi="Times New Roman" w:cs="Times New Roman"/>
          <w:sz w:val="24"/>
          <w:szCs w:val="24"/>
        </w:rPr>
        <w:t>.</w:t>
      </w:r>
      <w:r w:rsidR="001E01D6" w:rsidRPr="00DD6763">
        <w:rPr>
          <w:rStyle w:val="FootnoteReference"/>
          <w:rFonts w:ascii="Times New Roman" w:hAnsi="Times New Roman" w:cs="Times New Roman"/>
          <w:sz w:val="24"/>
          <w:szCs w:val="24"/>
        </w:rPr>
        <w:footnoteReference w:id="157"/>
      </w:r>
      <w:r w:rsidR="009122D7" w:rsidRPr="00DD6763">
        <w:rPr>
          <w:rFonts w:ascii="Times New Roman" w:hAnsi="Times New Roman" w:cs="Times New Roman"/>
          <w:sz w:val="24"/>
          <w:szCs w:val="24"/>
        </w:rPr>
        <w:t xml:space="preserve"> </w:t>
      </w:r>
      <w:r w:rsidR="00C61D80" w:rsidRPr="00DD6763">
        <w:rPr>
          <w:rFonts w:ascii="Times New Roman" w:hAnsi="Times New Roman" w:cs="Times New Roman"/>
          <w:sz w:val="24"/>
          <w:szCs w:val="24"/>
        </w:rPr>
        <w:t>Almost no International Investment Agreement (IIA) has laid down clauses protecting indigenous rights</w:t>
      </w:r>
      <w:r w:rsidR="001C099C" w:rsidRPr="00DD6763">
        <w:rPr>
          <w:rFonts w:ascii="Times New Roman" w:hAnsi="Times New Roman" w:cs="Times New Roman"/>
          <w:sz w:val="24"/>
          <w:szCs w:val="24"/>
        </w:rPr>
        <w:t xml:space="preserve"> or articulating a preventative process to avoid harmful effects</w:t>
      </w:r>
      <w:r w:rsidR="00C61D80" w:rsidRPr="00DD6763">
        <w:rPr>
          <w:rFonts w:ascii="Times New Roman" w:hAnsi="Times New Roman" w:cs="Times New Roman"/>
          <w:sz w:val="24"/>
          <w:szCs w:val="24"/>
        </w:rPr>
        <w:t>.</w:t>
      </w:r>
      <w:r w:rsidR="00C8567D" w:rsidRPr="00DD6763">
        <w:rPr>
          <w:rStyle w:val="FootnoteReference"/>
          <w:rFonts w:ascii="Times New Roman" w:hAnsi="Times New Roman" w:cs="Times New Roman"/>
          <w:sz w:val="24"/>
          <w:szCs w:val="24"/>
        </w:rPr>
        <w:footnoteReference w:id="158"/>
      </w:r>
      <w:r w:rsidR="00C61D80" w:rsidRPr="00DD6763">
        <w:rPr>
          <w:rFonts w:ascii="Times New Roman" w:hAnsi="Times New Roman" w:cs="Times New Roman"/>
          <w:sz w:val="24"/>
          <w:szCs w:val="24"/>
        </w:rPr>
        <w:t xml:space="preserve"> The CAFTA</w:t>
      </w:r>
      <w:r w:rsidR="006C7081" w:rsidRPr="00DD6763">
        <w:rPr>
          <w:rFonts w:ascii="Times New Roman" w:hAnsi="Times New Roman" w:cs="Times New Roman"/>
          <w:sz w:val="24"/>
          <w:szCs w:val="24"/>
        </w:rPr>
        <w:t>-</w:t>
      </w:r>
      <w:r w:rsidR="00EF5BEF" w:rsidRPr="00DD6763">
        <w:rPr>
          <w:rFonts w:ascii="Times New Roman" w:hAnsi="Times New Roman" w:cs="Times New Roman"/>
          <w:sz w:val="24"/>
          <w:szCs w:val="24"/>
        </w:rPr>
        <w:t>DR’</w:t>
      </w:r>
      <w:r w:rsidR="00C61D80" w:rsidRPr="00DD6763">
        <w:rPr>
          <w:rFonts w:ascii="Times New Roman" w:hAnsi="Times New Roman" w:cs="Times New Roman"/>
          <w:sz w:val="24"/>
          <w:szCs w:val="24"/>
        </w:rPr>
        <w:t>s Citizen Submission Process is one of these few agreements.</w:t>
      </w:r>
      <w:r w:rsidR="00C61D80" w:rsidRPr="00DD6763">
        <w:rPr>
          <w:rStyle w:val="FootnoteReference"/>
          <w:rFonts w:ascii="Times New Roman" w:hAnsi="Times New Roman" w:cs="Times New Roman"/>
          <w:sz w:val="24"/>
          <w:szCs w:val="24"/>
        </w:rPr>
        <w:footnoteReference w:id="159"/>
      </w:r>
      <w:r w:rsidR="00B330FE" w:rsidRPr="00DD6763">
        <w:rPr>
          <w:rFonts w:ascii="Times New Roman" w:hAnsi="Times New Roman" w:cs="Times New Roman"/>
          <w:sz w:val="24"/>
          <w:szCs w:val="24"/>
        </w:rPr>
        <w:t xml:space="preserve"> </w:t>
      </w:r>
      <w:r w:rsidR="00BE76C3" w:rsidRPr="00DD6763">
        <w:rPr>
          <w:rFonts w:ascii="Times New Roman" w:hAnsi="Times New Roman" w:cs="Times New Roman"/>
          <w:sz w:val="24"/>
          <w:szCs w:val="24"/>
        </w:rPr>
        <w:t>In addition</w:t>
      </w:r>
      <w:r w:rsidR="00B330FE" w:rsidRPr="00DD6763">
        <w:rPr>
          <w:rFonts w:ascii="Times New Roman" w:hAnsi="Times New Roman" w:cs="Times New Roman"/>
          <w:sz w:val="24"/>
          <w:szCs w:val="24"/>
        </w:rPr>
        <w:t xml:space="preserve">, </w:t>
      </w:r>
      <w:r w:rsidR="001C099C" w:rsidRPr="00DD6763">
        <w:rPr>
          <w:rFonts w:ascii="Times New Roman" w:hAnsi="Times New Roman" w:cs="Times New Roman"/>
          <w:sz w:val="24"/>
          <w:szCs w:val="24"/>
        </w:rPr>
        <w:t>the World Bank has attempted to draft guidelines in this regard.</w:t>
      </w:r>
      <w:r w:rsidR="00E226D2" w:rsidRPr="00DD6763">
        <w:rPr>
          <w:rStyle w:val="FootnoteReference"/>
          <w:rFonts w:ascii="Times New Roman" w:hAnsi="Times New Roman" w:cs="Times New Roman"/>
          <w:sz w:val="24"/>
          <w:szCs w:val="24"/>
        </w:rPr>
        <w:footnoteReference w:id="160"/>
      </w:r>
      <w:r w:rsidR="001C099C" w:rsidRPr="00DD6763">
        <w:rPr>
          <w:rFonts w:ascii="Times New Roman" w:hAnsi="Times New Roman" w:cs="Times New Roman"/>
          <w:sz w:val="24"/>
          <w:szCs w:val="24"/>
        </w:rPr>
        <w:t xml:space="preserve"> The argument a </w:t>
      </w:r>
      <w:proofErr w:type="spellStart"/>
      <w:r w:rsidR="001C099C" w:rsidRPr="00DD6763">
        <w:rPr>
          <w:rFonts w:ascii="Times New Roman" w:hAnsi="Times New Roman" w:cs="Times New Roman"/>
          <w:i/>
          <w:sz w:val="24"/>
          <w:szCs w:val="24"/>
        </w:rPr>
        <w:t>contrario</w:t>
      </w:r>
      <w:proofErr w:type="spellEnd"/>
      <w:r w:rsidR="001C099C" w:rsidRPr="00DD6763">
        <w:rPr>
          <w:rFonts w:ascii="Times New Roman" w:hAnsi="Times New Roman" w:cs="Times New Roman"/>
          <w:i/>
          <w:sz w:val="24"/>
          <w:szCs w:val="24"/>
        </w:rPr>
        <w:t xml:space="preserve"> </w:t>
      </w:r>
      <w:proofErr w:type="spellStart"/>
      <w:r w:rsidR="001C099C" w:rsidRPr="00DD6763">
        <w:rPr>
          <w:rFonts w:ascii="Times New Roman" w:hAnsi="Times New Roman" w:cs="Times New Roman"/>
          <w:i/>
          <w:sz w:val="24"/>
          <w:szCs w:val="24"/>
        </w:rPr>
        <w:t>sensu</w:t>
      </w:r>
      <w:proofErr w:type="spellEnd"/>
      <w:r w:rsidR="001C099C" w:rsidRPr="00DD6763">
        <w:rPr>
          <w:rFonts w:ascii="Times New Roman" w:hAnsi="Times New Roman" w:cs="Times New Roman"/>
          <w:sz w:val="24"/>
          <w:szCs w:val="24"/>
        </w:rPr>
        <w:t xml:space="preserve"> indicates that investors may contribute to raising the standards of protection and cooperate in demanding compliance with </w:t>
      </w:r>
      <w:r w:rsidR="006C7081" w:rsidRPr="00DD6763">
        <w:rPr>
          <w:rFonts w:ascii="Times New Roman" w:hAnsi="Times New Roman" w:cs="Times New Roman"/>
          <w:sz w:val="24"/>
          <w:szCs w:val="24"/>
        </w:rPr>
        <w:t xml:space="preserve">the </w:t>
      </w:r>
      <w:r w:rsidR="001C099C" w:rsidRPr="00DD6763">
        <w:rPr>
          <w:rFonts w:ascii="Times New Roman" w:hAnsi="Times New Roman" w:cs="Times New Roman"/>
          <w:sz w:val="24"/>
          <w:szCs w:val="24"/>
        </w:rPr>
        <w:t>FPIC legal framework.</w:t>
      </w:r>
    </w:p>
    <w:p w14:paraId="748E5B60" w14:textId="601457AF" w:rsidR="00D8337A" w:rsidRPr="00DD6763" w:rsidRDefault="00D8337A" w:rsidP="004C2A24">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Usually</w:t>
      </w:r>
      <w:r w:rsidR="00BE76C3" w:rsidRPr="00DD6763">
        <w:rPr>
          <w:rFonts w:ascii="Times New Roman" w:hAnsi="Times New Roman" w:cs="Times New Roman"/>
          <w:sz w:val="24"/>
          <w:szCs w:val="24"/>
        </w:rPr>
        <w:t>,</w:t>
      </w:r>
      <w:r w:rsidRPr="00DD6763">
        <w:rPr>
          <w:rFonts w:ascii="Times New Roman" w:hAnsi="Times New Roman" w:cs="Times New Roman"/>
          <w:sz w:val="24"/>
          <w:szCs w:val="24"/>
        </w:rPr>
        <w:t xml:space="preserve"> t</w:t>
      </w:r>
      <w:r w:rsidR="00D105C3" w:rsidRPr="00DD6763">
        <w:rPr>
          <w:rFonts w:ascii="Times New Roman" w:hAnsi="Times New Roman" w:cs="Times New Roman"/>
          <w:sz w:val="24"/>
          <w:szCs w:val="24"/>
        </w:rPr>
        <w:t xml:space="preserve">here is a conflict </w:t>
      </w:r>
      <w:r w:rsidRPr="00DD6763">
        <w:rPr>
          <w:rFonts w:ascii="Times New Roman" w:hAnsi="Times New Roman" w:cs="Times New Roman"/>
          <w:sz w:val="24"/>
          <w:szCs w:val="24"/>
        </w:rPr>
        <w:t>between treatment standards protecting investors</w:t>
      </w:r>
      <w:r w:rsidR="006C7081" w:rsidRPr="00DD6763">
        <w:rPr>
          <w:rFonts w:ascii="Times New Roman" w:hAnsi="Times New Roman" w:cs="Times New Roman"/>
          <w:sz w:val="24"/>
          <w:szCs w:val="24"/>
        </w:rPr>
        <w:t>’</w:t>
      </w:r>
      <w:r w:rsidRPr="00DD6763">
        <w:rPr>
          <w:rFonts w:ascii="Times New Roman" w:hAnsi="Times New Roman" w:cs="Times New Roman"/>
          <w:sz w:val="24"/>
          <w:szCs w:val="24"/>
        </w:rPr>
        <w:t xml:space="preserve"> rights </w:t>
      </w:r>
      <w:r w:rsidR="00C61D80" w:rsidRPr="00DD6763">
        <w:rPr>
          <w:rFonts w:ascii="Times New Roman" w:hAnsi="Times New Roman" w:cs="Times New Roman"/>
          <w:sz w:val="24"/>
          <w:szCs w:val="24"/>
        </w:rPr>
        <w:t>contained in an IIA</w:t>
      </w:r>
      <w:r w:rsidRPr="00DD6763">
        <w:rPr>
          <w:rFonts w:ascii="Times New Roman" w:hAnsi="Times New Roman" w:cs="Times New Roman"/>
          <w:sz w:val="24"/>
          <w:szCs w:val="24"/>
        </w:rPr>
        <w:t xml:space="preserve"> and </w:t>
      </w:r>
      <w:r w:rsidR="006C7081" w:rsidRPr="00DD6763">
        <w:rPr>
          <w:rFonts w:ascii="Times New Roman" w:hAnsi="Times New Roman" w:cs="Times New Roman"/>
          <w:sz w:val="24"/>
          <w:szCs w:val="24"/>
        </w:rPr>
        <w:t xml:space="preserve">an </w:t>
      </w:r>
      <w:r w:rsidRPr="00DD6763">
        <w:rPr>
          <w:rFonts w:ascii="Times New Roman" w:hAnsi="Times New Roman" w:cs="Times New Roman"/>
          <w:sz w:val="24"/>
          <w:szCs w:val="24"/>
        </w:rPr>
        <w:t>FPIC</w:t>
      </w:r>
      <w:r w:rsidR="00C61D80" w:rsidRPr="00DD6763">
        <w:rPr>
          <w:rFonts w:ascii="Times New Roman" w:hAnsi="Times New Roman" w:cs="Times New Roman"/>
          <w:sz w:val="24"/>
          <w:szCs w:val="24"/>
        </w:rPr>
        <w:t xml:space="preserve"> that is often reflected in expropriation by the host state</w:t>
      </w:r>
      <w:r w:rsidRPr="00DD6763">
        <w:rPr>
          <w:rFonts w:ascii="Times New Roman" w:hAnsi="Times New Roman" w:cs="Times New Roman"/>
          <w:sz w:val="24"/>
          <w:szCs w:val="24"/>
        </w:rPr>
        <w:t>.</w:t>
      </w:r>
      <w:r w:rsidR="00A5145F" w:rsidRPr="00DD6763">
        <w:rPr>
          <w:rStyle w:val="FootnoteReference"/>
          <w:rFonts w:ascii="Times New Roman" w:hAnsi="Times New Roman" w:cs="Times New Roman"/>
          <w:sz w:val="24"/>
          <w:szCs w:val="24"/>
        </w:rPr>
        <w:footnoteReference w:id="161"/>
      </w:r>
      <w:r w:rsidRPr="00DD6763">
        <w:rPr>
          <w:rFonts w:ascii="Times New Roman" w:hAnsi="Times New Roman" w:cs="Times New Roman"/>
          <w:sz w:val="24"/>
          <w:szCs w:val="24"/>
        </w:rPr>
        <w:t xml:space="preserve">  </w:t>
      </w:r>
      <w:r w:rsidR="003A3B7C" w:rsidRPr="00DD6763">
        <w:rPr>
          <w:rFonts w:ascii="Times New Roman" w:hAnsi="Times New Roman" w:cs="Times New Roman"/>
          <w:sz w:val="24"/>
          <w:szCs w:val="24"/>
        </w:rPr>
        <w:lastRenderedPageBreak/>
        <w:t xml:space="preserve">Some of these controversies </w:t>
      </w:r>
      <w:r w:rsidRPr="00DD6763">
        <w:rPr>
          <w:rFonts w:ascii="Times New Roman" w:hAnsi="Times New Roman" w:cs="Times New Roman"/>
          <w:sz w:val="24"/>
          <w:szCs w:val="24"/>
        </w:rPr>
        <w:t>have arisen</w:t>
      </w:r>
      <w:r w:rsidR="00DF0F00" w:rsidRPr="00DD6763">
        <w:rPr>
          <w:rFonts w:ascii="Times New Roman" w:hAnsi="Times New Roman" w:cs="Times New Roman"/>
          <w:sz w:val="24"/>
          <w:szCs w:val="24"/>
        </w:rPr>
        <w:t xml:space="preserve"> in cases submitted to </w:t>
      </w:r>
      <w:r w:rsidR="003A3B7C" w:rsidRPr="00DD6763">
        <w:rPr>
          <w:rFonts w:ascii="Times New Roman" w:hAnsi="Times New Roman" w:cs="Times New Roman"/>
          <w:sz w:val="24"/>
          <w:szCs w:val="24"/>
        </w:rPr>
        <w:t>the International Centre for the Settlement of Investment Disputes (ICSID).</w:t>
      </w:r>
      <w:r w:rsidR="00BF11E1" w:rsidRPr="00DD6763">
        <w:rPr>
          <w:rStyle w:val="FootnoteReference"/>
          <w:rFonts w:ascii="Times New Roman" w:hAnsi="Times New Roman" w:cs="Times New Roman"/>
          <w:sz w:val="24"/>
          <w:szCs w:val="24"/>
        </w:rPr>
        <w:footnoteReference w:id="162"/>
      </w:r>
      <w:r w:rsidR="003A3B7C" w:rsidRPr="00DD6763">
        <w:rPr>
          <w:rFonts w:ascii="Times New Roman" w:hAnsi="Times New Roman" w:cs="Times New Roman"/>
          <w:sz w:val="24"/>
          <w:szCs w:val="24"/>
        </w:rPr>
        <w:t xml:space="preserve"> </w:t>
      </w:r>
    </w:p>
    <w:p w14:paraId="14546CE9" w14:textId="77777777" w:rsidR="009122D7" w:rsidRPr="00DD6763" w:rsidRDefault="00A73BEC" w:rsidP="004C2A24">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Some investment tribunals </w:t>
      </w:r>
      <w:r w:rsidR="009122D7" w:rsidRPr="00DD6763">
        <w:rPr>
          <w:rFonts w:ascii="Times New Roman" w:hAnsi="Times New Roman" w:cs="Times New Roman"/>
          <w:sz w:val="24"/>
          <w:szCs w:val="24"/>
        </w:rPr>
        <w:t xml:space="preserve">seem to be missing the point that international investment law does not operate in a vacuum. </w:t>
      </w:r>
      <w:r w:rsidR="00865C28" w:rsidRPr="00DD6763">
        <w:rPr>
          <w:rFonts w:ascii="Times New Roman" w:hAnsi="Times New Roman" w:cs="Times New Roman"/>
          <w:sz w:val="24"/>
          <w:szCs w:val="24"/>
        </w:rPr>
        <w:t>However, FPIC has not been addressed in-depth by international investment tribunals</w:t>
      </w:r>
      <w:r w:rsidR="006C7081" w:rsidRPr="00DD6763">
        <w:rPr>
          <w:rFonts w:ascii="Times New Roman" w:hAnsi="Times New Roman" w:cs="Times New Roman"/>
          <w:sz w:val="24"/>
          <w:szCs w:val="24"/>
        </w:rPr>
        <w:t>,</w:t>
      </w:r>
      <w:r w:rsidR="00865C28" w:rsidRPr="00DD6763">
        <w:rPr>
          <w:rFonts w:ascii="Times New Roman" w:hAnsi="Times New Roman" w:cs="Times New Roman"/>
          <w:sz w:val="24"/>
          <w:szCs w:val="24"/>
        </w:rPr>
        <w:t xml:space="preserve"> whi</w:t>
      </w:r>
      <w:r w:rsidR="00995ADD" w:rsidRPr="00DD6763">
        <w:rPr>
          <w:rFonts w:ascii="Times New Roman" w:hAnsi="Times New Roman" w:cs="Times New Roman"/>
          <w:sz w:val="24"/>
          <w:szCs w:val="24"/>
        </w:rPr>
        <w:t>ch have usually taken a narrow</w:t>
      </w:r>
      <w:r w:rsidR="00865C28" w:rsidRPr="00DD6763">
        <w:rPr>
          <w:rFonts w:ascii="Times New Roman" w:hAnsi="Times New Roman" w:cs="Times New Roman"/>
          <w:sz w:val="24"/>
          <w:szCs w:val="24"/>
        </w:rPr>
        <w:t xml:space="preserve">-minded legalist approach. In addition, there is no binding </w:t>
      </w:r>
      <w:r w:rsidR="006C7081" w:rsidRPr="00DD6763">
        <w:rPr>
          <w:rFonts w:ascii="Times New Roman" w:hAnsi="Times New Roman" w:cs="Times New Roman"/>
          <w:sz w:val="24"/>
          <w:szCs w:val="24"/>
        </w:rPr>
        <w:t xml:space="preserve">system of </w:t>
      </w:r>
      <w:r w:rsidR="00865C28" w:rsidRPr="00DD6763">
        <w:rPr>
          <w:rFonts w:ascii="Times New Roman" w:hAnsi="Times New Roman" w:cs="Times New Roman"/>
          <w:sz w:val="24"/>
          <w:szCs w:val="24"/>
        </w:rPr>
        <w:t xml:space="preserve">precedent in international investment arbitration.  </w:t>
      </w:r>
      <w:r w:rsidR="00995ADD" w:rsidRPr="00DD6763">
        <w:rPr>
          <w:rFonts w:ascii="Times New Roman" w:hAnsi="Times New Roman" w:cs="Times New Roman"/>
          <w:sz w:val="24"/>
          <w:szCs w:val="24"/>
        </w:rPr>
        <w:t>Despite these limitations, s</w:t>
      </w:r>
      <w:r w:rsidR="009122D7" w:rsidRPr="00DD6763">
        <w:rPr>
          <w:rFonts w:ascii="Times New Roman" w:hAnsi="Times New Roman" w:cs="Times New Roman"/>
          <w:sz w:val="24"/>
          <w:szCs w:val="24"/>
        </w:rPr>
        <w:t xml:space="preserve">ome landmark </w:t>
      </w:r>
      <w:r w:rsidR="00995ADD" w:rsidRPr="00DD6763">
        <w:rPr>
          <w:rFonts w:ascii="Times New Roman" w:hAnsi="Times New Roman" w:cs="Times New Roman"/>
          <w:sz w:val="24"/>
          <w:szCs w:val="24"/>
        </w:rPr>
        <w:t xml:space="preserve">investment </w:t>
      </w:r>
      <w:r w:rsidR="009122D7" w:rsidRPr="00DD6763">
        <w:rPr>
          <w:rFonts w:ascii="Times New Roman" w:hAnsi="Times New Roman" w:cs="Times New Roman"/>
          <w:sz w:val="24"/>
          <w:szCs w:val="24"/>
        </w:rPr>
        <w:t>cases</w:t>
      </w:r>
      <w:r w:rsidR="003328CA" w:rsidRPr="00DD6763">
        <w:rPr>
          <w:rFonts w:ascii="Times New Roman" w:hAnsi="Times New Roman" w:cs="Times New Roman"/>
          <w:sz w:val="24"/>
          <w:szCs w:val="24"/>
        </w:rPr>
        <w:t xml:space="preserve"> in which indigenous rights were at stake</w:t>
      </w:r>
      <w:r w:rsidR="00995ADD" w:rsidRPr="00DD6763">
        <w:rPr>
          <w:rFonts w:ascii="Times New Roman" w:hAnsi="Times New Roman" w:cs="Times New Roman"/>
          <w:sz w:val="24"/>
          <w:szCs w:val="24"/>
        </w:rPr>
        <w:t xml:space="preserve"> provide a fertile ground for reflection</w:t>
      </w:r>
      <w:r w:rsidR="003328CA" w:rsidRPr="00DD6763">
        <w:rPr>
          <w:rFonts w:ascii="Times New Roman" w:hAnsi="Times New Roman" w:cs="Times New Roman"/>
          <w:sz w:val="24"/>
          <w:szCs w:val="24"/>
        </w:rPr>
        <w:t>.</w:t>
      </w:r>
      <w:r w:rsidR="00197775" w:rsidRPr="00DD6763">
        <w:rPr>
          <w:rFonts w:ascii="Times New Roman" w:hAnsi="Times New Roman" w:cs="Times New Roman"/>
          <w:sz w:val="24"/>
          <w:szCs w:val="24"/>
        </w:rPr>
        <w:t xml:space="preserve"> From a conceptual standpoint</w:t>
      </w:r>
      <w:r w:rsidR="00995ADD" w:rsidRPr="00DD6763">
        <w:rPr>
          <w:rFonts w:ascii="Times New Roman" w:hAnsi="Times New Roman" w:cs="Times New Roman"/>
          <w:sz w:val="24"/>
          <w:szCs w:val="24"/>
        </w:rPr>
        <w:t>, the common characteristic is</w:t>
      </w:r>
      <w:r w:rsidR="00197775" w:rsidRPr="00DD6763">
        <w:rPr>
          <w:rFonts w:ascii="Times New Roman" w:hAnsi="Times New Roman" w:cs="Times New Roman"/>
          <w:sz w:val="24"/>
          <w:szCs w:val="24"/>
        </w:rPr>
        <w:t xml:space="preserve"> </w:t>
      </w:r>
      <w:r w:rsidR="00995ADD" w:rsidRPr="00DD6763">
        <w:rPr>
          <w:rFonts w:ascii="Times New Roman" w:hAnsi="Times New Roman" w:cs="Times New Roman"/>
          <w:sz w:val="24"/>
          <w:szCs w:val="24"/>
        </w:rPr>
        <w:t>the</w:t>
      </w:r>
      <w:r w:rsidR="00197775" w:rsidRPr="00DD6763">
        <w:rPr>
          <w:rFonts w:ascii="Times New Roman" w:hAnsi="Times New Roman" w:cs="Times New Roman"/>
          <w:sz w:val="24"/>
          <w:szCs w:val="24"/>
        </w:rPr>
        <w:t xml:space="preserve"> tension between a human-rights approach and the emphasis on investment protection.</w:t>
      </w:r>
    </w:p>
    <w:p w14:paraId="6C5217DC" w14:textId="32557B75" w:rsidR="009122D7" w:rsidRPr="00DD6763" w:rsidRDefault="009122D7" w:rsidP="004C2A24">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In </w:t>
      </w:r>
      <w:r w:rsidRPr="00DD6763">
        <w:rPr>
          <w:rFonts w:ascii="Times New Roman" w:hAnsi="Times New Roman" w:cs="Times New Roman"/>
          <w:i/>
          <w:sz w:val="24"/>
          <w:szCs w:val="24"/>
        </w:rPr>
        <w:t xml:space="preserve">Glamis Gold Ltd </w:t>
      </w:r>
      <w:r w:rsidRPr="00DD6763">
        <w:rPr>
          <w:rFonts w:ascii="Times New Roman" w:hAnsi="Times New Roman" w:cs="Times New Roman"/>
          <w:iCs/>
          <w:sz w:val="24"/>
          <w:szCs w:val="24"/>
        </w:rPr>
        <w:t>v</w:t>
      </w:r>
      <w:r w:rsidR="00DD6763" w:rsidRPr="00DD6763">
        <w:rPr>
          <w:rFonts w:ascii="Times New Roman" w:hAnsi="Times New Roman" w:cs="Times New Roman"/>
          <w:i/>
          <w:sz w:val="24"/>
          <w:szCs w:val="24"/>
        </w:rPr>
        <w:t>.</w:t>
      </w:r>
      <w:r w:rsidRPr="00DD6763">
        <w:rPr>
          <w:rFonts w:ascii="Times New Roman" w:hAnsi="Times New Roman" w:cs="Times New Roman"/>
          <w:i/>
          <w:sz w:val="24"/>
          <w:szCs w:val="24"/>
        </w:rPr>
        <w:t xml:space="preserve"> United States</w:t>
      </w:r>
      <w:r w:rsidRPr="00DD6763">
        <w:rPr>
          <w:rFonts w:ascii="Times New Roman" w:hAnsi="Times New Roman" w:cs="Times New Roman"/>
          <w:sz w:val="24"/>
          <w:szCs w:val="24"/>
        </w:rPr>
        <w:t xml:space="preserve"> (2009) the investor claimed that certain federal government actions and California measures requiring backfilling and grading for mining</w:t>
      </w:r>
      <w:r w:rsidR="003C008C" w:rsidRPr="00DD6763">
        <w:rPr>
          <w:rFonts w:ascii="Times New Roman" w:hAnsi="Times New Roman" w:cs="Times New Roman"/>
          <w:sz w:val="24"/>
          <w:szCs w:val="24"/>
        </w:rPr>
        <w:t xml:space="preserve"> operations in the proximity of Quechan </w:t>
      </w:r>
      <w:r w:rsidRPr="00DD6763">
        <w:rPr>
          <w:rFonts w:ascii="Times New Roman" w:hAnsi="Times New Roman" w:cs="Times New Roman"/>
          <w:sz w:val="24"/>
          <w:szCs w:val="24"/>
        </w:rPr>
        <w:t>Native American sacred sites affecting open-pit mining were tantamount to the expropriation of the investments</w:t>
      </w:r>
      <w:r w:rsidR="006C7081" w:rsidRPr="00DD6763">
        <w:rPr>
          <w:rFonts w:ascii="Times New Roman" w:hAnsi="Times New Roman" w:cs="Times New Roman"/>
          <w:sz w:val="24"/>
          <w:szCs w:val="24"/>
        </w:rPr>
        <w:t>,</w:t>
      </w:r>
      <w:r w:rsidRPr="00DD6763">
        <w:rPr>
          <w:rFonts w:ascii="Times New Roman" w:hAnsi="Times New Roman" w:cs="Times New Roman"/>
          <w:sz w:val="24"/>
          <w:szCs w:val="24"/>
        </w:rPr>
        <w:t xml:space="preserve"> in violation of Articles 1110 and 1105 of the NAFTA.</w:t>
      </w:r>
      <w:r w:rsidR="001367A1" w:rsidRPr="00DD6763">
        <w:rPr>
          <w:rStyle w:val="FootnoteReference"/>
          <w:rFonts w:ascii="Times New Roman" w:hAnsi="Times New Roman" w:cs="Times New Roman"/>
          <w:sz w:val="24"/>
          <w:szCs w:val="24"/>
        </w:rPr>
        <w:footnoteReference w:id="163"/>
      </w:r>
      <w:r w:rsidR="002943E3" w:rsidRPr="00DD6763">
        <w:rPr>
          <w:rFonts w:ascii="Times New Roman" w:hAnsi="Times New Roman" w:cs="Times New Roman"/>
          <w:sz w:val="24"/>
          <w:szCs w:val="24"/>
        </w:rPr>
        <w:t xml:space="preserve"> </w:t>
      </w:r>
      <w:r w:rsidR="00330AE0" w:rsidRPr="00DD6763">
        <w:rPr>
          <w:rFonts w:ascii="Times New Roman" w:hAnsi="Times New Roman" w:cs="Times New Roman"/>
          <w:sz w:val="24"/>
          <w:szCs w:val="24"/>
        </w:rPr>
        <w:t xml:space="preserve">During </w:t>
      </w:r>
      <w:r w:rsidRPr="00DD6763">
        <w:rPr>
          <w:rFonts w:ascii="Times New Roman" w:hAnsi="Times New Roman" w:cs="Times New Roman"/>
          <w:sz w:val="24"/>
          <w:szCs w:val="24"/>
        </w:rPr>
        <w:t>the government</w:t>
      </w:r>
      <w:r w:rsidR="00D40FA6" w:rsidRPr="00DD6763">
        <w:rPr>
          <w:rFonts w:ascii="Times New Roman" w:hAnsi="Times New Roman" w:cs="Times New Roman"/>
          <w:sz w:val="24"/>
          <w:szCs w:val="24"/>
        </w:rPr>
        <w:t>-to-</w:t>
      </w:r>
      <w:r w:rsidRPr="00DD6763">
        <w:rPr>
          <w:rFonts w:ascii="Times New Roman" w:hAnsi="Times New Roman" w:cs="Times New Roman"/>
          <w:sz w:val="24"/>
          <w:szCs w:val="24"/>
        </w:rPr>
        <w:t>government consultations with the Quechan, the parties discussed the importance of the area to the Quechan people’s cultural reso</w:t>
      </w:r>
      <w:r w:rsidR="00330AE0" w:rsidRPr="00DD6763">
        <w:rPr>
          <w:rFonts w:ascii="Times New Roman" w:hAnsi="Times New Roman" w:cs="Times New Roman"/>
          <w:sz w:val="24"/>
          <w:szCs w:val="24"/>
        </w:rPr>
        <w:t xml:space="preserve">urces and religious values as well as </w:t>
      </w:r>
      <w:r w:rsidRPr="00DD6763">
        <w:rPr>
          <w:rFonts w:ascii="Times New Roman" w:hAnsi="Times New Roman" w:cs="Times New Roman"/>
          <w:sz w:val="24"/>
          <w:szCs w:val="24"/>
        </w:rPr>
        <w:t>the religious significance of the area</w:t>
      </w:r>
      <w:r w:rsidR="00540CCE" w:rsidRPr="00DD6763">
        <w:rPr>
          <w:rFonts w:ascii="Times New Roman" w:hAnsi="Times New Roman" w:cs="Times New Roman"/>
          <w:sz w:val="24"/>
          <w:szCs w:val="24"/>
        </w:rPr>
        <w:t xml:space="preserve">, which was </w:t>
      </w:r>
      <w:r w:rsidR="00D40FA6" w:rsidRPr="00DD6763">
        <w:rPr>
          <w:rFonts w:ascii="Times New Roman" w:hAnsi="Times New Roman" w:cs="Times New Roman"/>
          <w:sz w:val="24"/>
          <w:szCs w:val="24"/>
        </w:rPr>
        <w:t>comparable</w:t>
      </w:r>
      <w:r w:rsidR="001C099C" w:rsidRPr="00DD6763">
        <w:rPr>
          <w:rFonts w:ascii="Times New Roman" w:hAnsi="Times New Roman" w:cs="Times New Roman"/>
          <w:sz w:val="24"/>
          <w:szCs w:val="24"/>
        </w:rPr>
        <w:t xml:space="preserve"> to ‘Jerusalem or Mecca’</w:t>
      </w:r>
      <w:r w:rsidR="00353E73" w:rsidRPr="00DD6763">
        <w:rPr>
          <w:rFonts w:ascii="Times New Roman" w:hAnsi="Times New Roman" w:cs="Times New Roman"/>
          <w:sz w:val="24"/>
          <w:szCs w:val="24"/>
        </w:rPr>
        <w:t>.</w:t>
      </w:r>
      <w:r w:rsidR="001C099C" w:rsidRPr="00DD6763">
        <w:rPr>
          <w:rStyle w:val="FootnoteReference"/>
          <w:rFonts w:ascii="Times New Roman" w:hAnsi="Times New Roman" w:cs="Times New Roman"/>
          <w:sz w:val="24"/>
          <w:szCs w:val="24"/>
        </w:rPr>
        <w:footnoteReference w:id="164"/>
      </w:r>
      <w:r w:rsidRPr="00DD6763">
        <w:rPr>
          <w:rFonts w:ascii="Times New Roman" w:hAnsi="Times New Roman" w:cs="Times New Roman"/>
          <w:sz w:val="24"/>
          <w:szCs w:val="24"/>
        </w:rPr>
        <w:t xml:space="preserve"> </w:t>
      </w:r>
      <w:r w:rsidR="00353E73" w:rsidRPr="00DD6763">
        <w:rPr>
          <w:rFonts w:ascii="Times New Roman" w:hAnsi="Times New Roman" w:cs="Times New Roman"/>
          <w:sz w:val="24"/>
          <w:szCs w:val="24"/>
        </w:rPr>
        <w:t xml:space="preserve">The Quechan </w:t>
      </w:r>
      <w:r w:rsidRPr="00DD6763">
        <w:rPr>
          <w:rFonts w:ascii="Times New Roman" w:hAnsi="Times New Roman" w:cs="Times New Roman"/>
          <w:sz w:val="24"/>
          <w:szCs w:val="24"/>
        </w:rPr>
        <w:t xml:space="preserve">argued that the </w:t>
      </w:r>
      <w:r w:rsidR="001A4D01" w:rsidRPr="00DD6763">
        <w:rPr>
          <w:rFonts w:ascii="Times New Roman" w:hAnsi="Times New Roman" w:cs="Times New Roman"/>
          <w:sz w:val="24"/>
          <w:szCs w:val="24"/>
        </w:rPr>
        <w:t xml:space="preserve">US Constitution’s </w:t>
      </w:r>
      <w:r w:rsidRPr="00DD6763">
        <w:rPr>
          <w:rFonts w:ascii="Times New Roman" w:hAnsi="Times New Roman" w:cs="Times New Roman"/>
          <w:sz w:val="24"/>
          <w:szCs w:val="24"/>
        </w:rPr>
        <w:t xml:space="preserve">First Amendment protected </w:t>
      </w:r>
      <w:r w:rsidR="00353E73" w:rsidRPr="00DD6763">
        <w:rPr>
          <w:rFonts w:ascii="Times New Roman" w:hAnsi="Times New Roman" w:cs="Times New Roman"/>
          <w:sz w:val="24"/>
          <w:szCs w:val="24"/>
        </w:rPr>
        <w:t>their</w:t>
      </w:r>
      <w:r w:rsidRPr="00DD6763">
        <w:rPr>
          <w:rFonts w:ascii="Times New Roman" w:hAnsi="Times New Roman" w:cs="Times New Roman"/>
          <w:sz w:val="24"/>
          <w:szCs w:val="24"/>
        </w:rPr>
        <w:t xml:space="preserve"> freedom to e</w:t>
      </w:r>
      <w:r w:rsidR="001A4D01" w:rsidRPr="00DD6763">
        <w:rPr>
          <w:rFonts w:ascii="Times New Roman" w:hAnsi="Times New Roman" w:cs="Times New Roman"/>
          <w:sz w:val="24"/>
          <w:szCs w:val="24"/>
        </w:rPr>
        <w:t>xercise their religion</w:t>
      </w:r>
      <w:r w:rsidR="001E01D6" w:rsidRPr="00DD6763">
        <w:rPr>
          <w:rFonts w:ascii="Times New Roman" w:hAnsi="Times New Roman" w:cs="Times New Roman"/>
          <w:sz w:val="24"/>
          <w:szCs w:val="24"/>
        </w:rPr>
        <w:t>.</w:t>
      </w:r>
      <w:r w:rsidR="001E01D6" w:rsidRPr="00DD6763">
        <w:rPr>
          <w:rStyle w:val="FootnoteReference"/>
          <w:rFonts w:ascii="Times New Roman" w:hAnsi="Times New Roman" w:cs="Times New Roman"/>
          <w:sz w:val="24"/>
          <w:szCs w:val="24"/>
        </w:rPr>
        <w:footnoteReference w:id="165"/>
      </w:r>
      <w:r w:rsidR="001E01D6" w:rsidRPr="00DD6763">
        <w:rPr>
          <w:rFonts w:ascii="Times New Roman" w:hAnsi="Times New Roman" w:cs="Times New Roman"/>
          <w:sz w:val="24"/>
          <w:szCs w:val="24"/>
        </w:rPr>
        <w:t xml:space="preserve"> </w:t>
      </w:r>
      <w:r w:rsidR="006F6C65" w:rsidRPr="00DD6763">
        <w:rPr>
          <w:rFonts w:ascii="Times New Roman" w:hAnsi="Times New Roman" w:cs="Times New Roman"/>
          <w:sz w:val="24"/>
          <w:szCs w:val="24"/>
        </w:rPr>
        <w:t>Thus,</w:t>
      </w:r>
      <w:r w:rsidRPr="00DD6763">
        <w:rPr>
          <w:rFonts w:ascii="Times New Roman" w:hAnsi="Times New Roman" w:cs="Times New Roman"/>
          <w:sz w:val="24"/>
          <w:szCs w:val="24"/>
        </w:rPr>
        <w:t xml:space="preserve"> there was a conflict between </w:t>
      </w:r>
      <w:r w:rsidR="009A123C" w:rsidRPr="00DD6763">
        <w:rPr>
          <w:rFonts w:ascii="Times New Roman" w:hAnsi="Times New Roman" w:cs="Times New Roman"/>
          <w:sz w:val="24"/>
          <w:szCs w:val="24"/>
        </w:rPr>
        <w:t>religious rights</w:t>
      </w:r>
      <w:r w:rsidRPr="00DD6763">
        <w:rPr>
          <w:rFonts w:ascii="Times New Roman" w:hAnsi="Times New Roman" w:cs="Times New Roman"/>
          <w:sz w:val="24"/>
          <w:szCs w:val="24"/>
        </w:rPr>
        <w:t xml:space="preserve"> under the </w:t>
      </w:r>
      <w:r w:rsidR="006C7081" w:rsidRPr="00DD6763">
        <w:rPr>
          <w:rFonts w:ascii="Times New Roman" w:hAnsi="Times New Roman" w:cs="Times New Roman"/>
          <w:sz w:val="24"/>
          <w:szCs w:val="24"/>
        </w:rPr>
        <w:t>F</w:t>
      </w:r>
      <w:r w:rsidRPr="00DD6763">
        <w:rPr>
          <w:rFonts w:ascii="Times New Roman" w:hAnsi="Times New Roman" w:cs="Times New Roman"/>
          <w:sz w:val="24"/>
          <w:szCs w:val="24"/>
        </w:rPr>
        <w:t xml:space="preserve">irst </w:t>
      </w:r>
      <w:r w:rsidR="006C7081" w:rsidRPr="00DD6763">
        <w:rPr>
          <w:rFonts w:ascii="Times New Roman" w:hAnsi="Times New Roman" w:cs="Times New Roman"/>
          <w:sz w:val="24"/>
          <w:szCs w:val="24"/>
        </w:rPr>
        <w:t>A</w:t>
      </w:r>
      <w:r w:rsidRPr="00DD6763">
        <w:rPr>
          <w:rFonts w:ascii="Times New Roman" w:hAnsi="Times New Roman" w:cs="Times New Roman"/>
          <w:sz w:val="24"/>
          <w:szCs w:val="24"/>
        </w:rPr>
        <w:t>men</w:t>
      </w:r>
      <w:r w:rsidR="006F6C65" w:rsidRPr="00DD6763">
        <w:rPr>
          <w:rFonts w:ascii="Times New Roman" w:hAnsi="Times New Roman" w:cs="Times New Roman"/>
          <w:sz w:val="24"/>
          <w:szCs w:val="24"/>
        </w:rPr>
        <w:t>dment and mining rights triggered</w:t>
      </w:r>
      <w:r w:rsidRPr="00DD6763">
        <w:rPr>
          <w:rFonts w:ascii="Times New Roman" w:hAnsi="Times New Roman" w:cs="Times New Roman"/>
          <w:sz w:val="24"/>
          <w:szCs w:val="24"/>
        </w:rPr>
        <w:t xml:space="preserve"> by </w:t>
      </w:r>
      <w:r w:rsidR="006F6C65" w:rsidRPr="00DD6763">
        <w:rPr>
          <w:rFonts w:ascii="Times New Roman" w:hAnsi="Times New Roman" w:cs="Times New Roman"/>
          <w:sz w:val="24"/>
          <w:szCs w:val="24"/>
        </w:rPr>
        <w:t>the government’s authorisation for</w:t>
      </w:r>
      <w:r w:rsidRPr="00DD6763">
        <w:rPr>
          <w:rFonts w:ascii="Times New Roman" w:hAnsi="Times New Roman" w:cs="Times New Roman"/>
          <w:sz w:val="24"/>
          <w:szCs w:val="24"/>
        </w:rPr>
        <w:t xml:space="preserve"> the </w:t>
      </w:r>
      <w:r w:rsidR="00BE76C3" w:rsidRPr="00DD6763">
        <w:rPr>
          <w:rFonts w:ascii="Times New Roman" w:hAnsi="Times New Roman" w:cs="Times New Roman"/>
          <w:sz w:val="24"/>
          <w:szCs w:val="24"/>
        </w:rPr>
        <w:t>mining, which</w:t>
      </w:r>
      <w:r w:rsidR="00D35F6E" w:rsidRPr="00DD6763">
        <w:rPr>
          <w:rFonts w:ascii="Times New Roman" w:hAnsi="Times New Roman" w:cs="Times New Roman"/>
          <w:sz w:val="24"/>
          <w:szCs w:val="24"/>
        </w:rPr>
        <w:t>, according to the Quechan, “</w:t>
      </w:r>
      <w:r w:rsidR="006F6C65" w:rsidRPr="00DD6763">
        <w:rPr>
          <w:rFonts w:ascii="Times New Roman" w:hAnsi="Times New Roman" w:cs="Times New Roman"/>
          <w:sz w:val="24"/>
          <w:szCs w:val="24"/>
        </w:rPr>
        <w:t>would</w:t>
      </w:r>
      <w:r w:rsidRPr="00DD6763">
        <w:rPr>
          <w:rFonts w:ascii="Times New Roman" w:hAnsi="Times New Roman" w:cs="Times New Roman"/>
          <w:sz w:val="24"/>
          <w:szCs w:val="24"/>
        </w:rPr>
        <w:t xml:space="preserve"> have violated their rights under the First Amendment and destroyed their ability to practice their religion</w:t>
      </w:r>
      <w:r w:rsidR="00A13BE2" w:rsidRPr="00DD6763">
        <w:rPr>
          <w:rFonts w:ascii="Times New Roman" w:hAnsi="Times New Roman" w:cs="Times New Roman"/>
          <w:sz w:val="24"/>
          <w:szCs w:val="24"/>
        </w:rPr>
        <w:t>”.</w:t>
      </w:r>
      <w:r w:rsidR="001C1351" w:rsidRPr="00DD6763">
        <w:rPr>
          <w:rStyle w:val="FootnoteReference"/>
          <w:rFonts w:ascii="Times New Roman" w:hAnsi="Times New Roman" w:cs="Times New Roman"/>
          <w:sz w:val="24"/>
          <w:szCs w:val="24"/>
        </w:rPr>
        <w:footnoteReference w:id="166"/>
      </w:r>
      <w:r w:rsidR="001C1351" w:rsidRPr="00DD6763">
        <w:rPr>
          <w:rFonts w:ascii="Times New Roman" w:hAnsi="Times New Roman" w:cs="Times New Roman"/>
          <w:sz w:val="24"/>
          <w:szCs w:val="24"/>
        </w:rPr>
        <w:t xml:space="preserve"> </w:t>
      </w:r>
      <w:r w:rsidRPr="00DD6763">
        <w:rPr>
          <w:rFonts w:ascii="Times New Roman" w:hAnsi="Times New Roman" w:cs="Times New Roman"/>
          <w:sz w:val="24"/>
          <w:szCs w:val="24"/>
        </w:rPr>
        <w:t>The state’s position was that in the event of a conflict between religious concerns and mining rights on federal</w:t>
      </w:r>
      <w:r w:rsidR="00806BD2" w:rsidRPr="00DD6763">
        <w:rPr>
          <w:rFonts w:ascii="Times New Roman" w:hAnsi="Times New Roman" w:cs="Times New Roman"/>
          <w:sz w:val="24"/>
          <w:szCs w:val="24"/>
        </w:rPr>
        <w:t xml:space="preserve"> lands, the Mining Law would</w:t>
      </w:r>
      <w:r w:rsidRPr="00DD6763">
        <w:rPr>
          <w:rFonts w:ascii="Times New Roman" w:hAnsi="Times New Roman" w:cs="Times New Roman"/>
          <w:sz w:val="24"/>
          <w:szCs w:val="24"/>
        </w:rPr>
        <w:t xml:space="preserve"> take precedence </w:t>
      </w:r>
      <w:r w:rsidR="00BE76C3" w:rsidRPr="00DD6763">
        <w:rPr>
          <w:rFonts w:ascii="Times New Roman" w:hAnsi="Times New Roman" w:cs="Times New Roman"/>
          <w:sz w:val="24"/>
          <w:szCs w:val="24"/>
        </w:rPr>
        <w:t>and, therefore</w:t>
      </w:r>
      <w:r w:rsidR="009A123C" w:rsidRPr="00DD6763">
        <w:rPr>
          <w:rFonts w:ascii="Times New Roman" w:hAnsi="Times New Roman" w:cs="Times New Roman"/>
          <w:sz w:val="24"/>
          <w:szCs w:val="24"/>
        </w:rPr>
        <w:t>, the</w:t>
      </w:r>
      <w:r w:rsidRPr="00DD6763">
        <w:rPr>
          <w:rFonts w:ascii="Times New Roman" w:hAnsi="Times New Roman" w:cs="Times New Roman"/>
          <w:sz w:val="24"/>
          <w:szCs w:val="24"/>
        </w:rPr>
        <w:t xml:space="preserve"> </w:t>
      </w:r>
      <w:r w:rsidR="00C121E4" w:rsidRPr="00DD6763">
        <w:rPr>
          <w:rFonts w:ascii="Times New Roman" w:hAnsi="Times New Roman" w:cs="Times New Roman"/>
          <w:sz w:val="24"/>
          <w:szCs w:val="24"/>
        </w:rPr>
        <w:t>proposed project would be</w:t>
      </w:r>
      <w:r w:rsidRPr="00DD6763">
        <w:rPr>
          <w:rFonts w:ascii="Times New Roman" w:hAnsi="Times New Roman" w:cs="Times New Roman"/>
          <w:sz w:val="24"/>
          <w:szCs w:val="24"/>
        </w:rPr>
        <w:t xml:space="preserve"> a valid operation.</w:t>
      </w:r>
    </w:p>
    <w:p w14:paraId="246A4BC9" w14:textId="2A7311A2" w:rsidR="009122D7" w:rsidRPr="00DD6763" w:rsidRDefault="009122D7" w:rsidP="004C2A24">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bCs/>
          <w:iCs/>
          <w:sz w:val="24"/>
          <w:szCs w:val="24"/>
        </w:rPr>
        <w:t>When</w:t>
      </w:r>
      <w:r w:rsidR="00117E52" w:rsidRPr="00DD6763">
        <w:rPr>
          <w:rFonts w:ascii="Times New Roman" w:hAnsi="Times New Roman" w:cs="Times New Roman"/>
          <w:bCs/>
          <w:iCs/>
          <w:sz w:val="24"/>
          <w:szCs w:val="24"/>
        </w:rPr>
        <w:t xml:space="preserve"> confronted with the question of indigenous rights, the </w:t>
      </w:r>
      <w:r w:rsidR="00CE7045" w:rsidRPr="00DD6763">
        <w:rPr>
          <w:rFonts w:ascii="Times New Roman" w:hAnsi="Times New Roman" w:cs="Times New Roman"/>
          <w:bCs/>
          <w:iCs/>
          <w:sz w:val="24"/>
          <w:szCs w:val="24"/>
        </w:rPr>
        <w:t xml:space="preserve">arbitral </w:t>
      </w:r>
      <w:r w:rsidR="00117E52" w:rsidRPr="00DD6763">
        <w:rPr>
          <w:rFonts w:ascii="Times New Roman" w:hAnsi="Times New Roman" w:cs="Times New Roman"/>
          <w:bCs/>
          <w:iCs/>
          <w:sz w:val="24"/>
          <w:szCs w:val="24"/>
        </w:rPr>
        <w:t>tribunal</w:t>
      </w:r>
      <w:r w:rsidRPr="00DD6763">
        <w:rPr>
          <w:rFonts w:ascii="Times New Roman" w:hAnsi="Times New Roman" w:cs="Times New Roman"/>
          <w:bCs/>
          <w:iCs/>
          <w:sz w:val="24"/>
          <w:szCs w:val="24"/>
        </w:rPr>
        <w:t xml:space="preserve"> </w:t>
      </w:r>
      <w:r w:rsidRPr="00DD6763">
        <w:rPr>
          <w:rFonts w:ascii="Times New Roman" w:hAnsi="Times New Roman" w:cs="Times New Roman"/>
          <w:sz w:val="24"/>
          <w:szCs w:val="24"/>
        </w:rPr>
        <w:t xml:space="preserve">circumscribed its decision to the </w:t>
      </w:r>
      <w:r w:rsidR="00C121E4" w:rsidRPr="00DD6763">
        <w:rPr>
          <w:rFonts w:ascii="Times New Roman" w:hAnsi="Times New Roman" w:cs="Times New Roman"/>
          <w:sz w:val="24"/>
          <w:szCs w:val="24"/>
        </w:rPr>
        <w:t>main issues presented</w:t>
      </w:r>
      <w:r w:rsidRPr="00DD6763">
        <w:rPr>
          <w:rFonts w:ascii="Times New Roman" w:hAnsi="Times New Roman" w:cs="Times New Roman"/>
          <w:sz w:val="24"/>
          <w:szCs w:val="24"/>
        </w:rPr>
        <w:t>, asserti</w:t>
      </w:r>
      <w:r w:rsidR="00E21AF7" w:rsidRPr="00DD6763">
        <w:rPr>
          <w:rFonts w:ascii="Times New Roman" w:hAnsi="Times New Roman" w:cs="Times New Roman"/>
          <w:sz w:val="24"/>
          <w:szCs w:val="24"/>
        </w:rPr>
        <w:t>ng that</w:t>
      </w:r>
      <w:r w:rsidR="00117E52" w:rsidRPr="00DD6763">
        <w:rPr>
          <w:rFonts w:ascii="Times New Roman" w:hAnsi="Times New Roman" w:cs="Times New Roman"/>
          <w:sz w:val="24"/>
          <w:szCs w:val="24"/>
        </w:rPr>
        <w:t xml:space="preserve"> even if</w:t>
      </w:r>
      <w:r w:rsidR="00D35F6E" w:rsidRPr="00DD6763">
        <w:rPr>
          <w:rFonts w:ascii="Times New Roman" w:hAnsi="Times New Roman" w:cs="Times New Roman"/>
          <w:sz w:val="24"/>
          <w:szCs w:val="24"/>
        </w:rPr>
        <w:t xml:space="preserve"> the decision concerned “</w:t>
      </w:r>
      <w:r w:rsidRPr="00DD6763">
        <w:rPr>
          <w:rFonts w:ascii="Times New Roman" w:hAnsi="Times New Roman" w:cs="Times New Roman"/>
          <w:sz w:val="24"/>
          <w:szCs w:val="24"/>
        </w:rPr>
        <w:t>environmental regulation, the interests of indigenous peoples, and the tension sometimes seen between private rights in property and the need of the State to regulate</w:t>
      </w:r>
      <w:r w:rsidR="00117E52" w:rsidRPr="00DD6763">
        <w:rPr>
          <w:rFonts w:ascii="Times New Roman" w:hAnsi="Times New Roman" w:cs="Times New Roman"/>
          <w:sz w:val="24"/>
          <w:szCs w:val="24"/>
        </w:rPr>
        <w:t xml:space="preserve"> the use of property (…)</w:t>
      </w:r>
      <w:r w:rsidR="00D35F6E" w:rsidRPr="00DD6763">
        <w:rPr>
          <w:rFonts w:ascii="Times New Roman" w:hAnsi="Times New Roman" w:cs="Times New Roman"/>
          <w:sz w:val="24"/>
          <w:szCs w:val="24"/>
        </w:rPr>
        <w:t>”</w:t>
      </w:r>
      <w:r w:rsidR="00B72A59" w:rsidRPr="00DD6763">
        <w:rPr>
          <w:rFonts w:ascii="Times New Roman" w:hAnsi="Times New Roman" w:cs="Times New Roman"/>
          <w:sz w:val="24"/>
          <w:szCs w:val="24"/>
        </w:rPr>
        <w:t xml:space="preserve">; it </w:t>
      </w:r>
      <w:r w:rsidR="00F51229" w:rsidRPr="00DD6763">
        <w:rPr>
          <w:rFonts w:ascii="Times New Roman" w:hAnsi="Times New Roman" w:cs="Times New Roman"/>
          <w:sz w:val="24"/>
          <w:szCs w:val="24"/>
        </w:rPr>
        <w:t>was</w:t>
      </w:r>
      <w:r w:rsidRPr="00DD6763">
        <w:rPr>
          <w:rFonts w:ascii="Times New Roman" w:hAnsi="Times New Roman" w:cs="Times New Roman"/>
          <w:sz w:val="24"/>
          <w:szCs w:val="24"/>
        </w:rPr>
        <w:t xml:space="preserve"> not required to decide many of the most controversial issu</w:t>
      </w:r>
      <w:r w:rsidR="00F51229" w:rsidRPr="00DD6763">
        <w:rPr>
          <w:rFonts w:ascii="Times New Roman" w:hAnsi="Times New Roman" w:cs="Times New Roman"/>
          <w:sz w:val="24"/>
          <w:szCs w:val="24"/>
        </w:rPr>
        <w:t>es raised in the proceedings because</w:t>
      </w:r>
      <w:r w:rsidR="00117E52" w:rsidRPr="00DD6763">
        <w:rPr>
          <w:rFonts w:ascii="Times New Roman" w:hAnsi="Times New Roman" w:cs="Times New Roman"/>
          <w:sz w:val="24"/>
          <w:szCs w:val="24"/>
        </w:rPr>
        <w:t xml:space="preserve"> these</w:t>
      </w:r>
      <w:r w:rsidR="00F51229" w:rsidRPr="00DD6763">
        <w:rPr>
          <w:rFonts w:ascii="Times New Roman" w:hAnsi="Times New Roman" w:cs="Times New Roman"/>
          <w:sz w:val="24"/>
          <w:szCs w:val="24"/>
        </w:rPr>
        <w:t xml:space="preserve"> issues fell </w:t>
      </w:r>
      <w:r w:rsidR="00B72A59" w:rsidRPr="00DD6763">
        <w:rPr>
          <w:rFonts w:ascii="Times New Roman" w:hAnsi="Times New Roman" w:cs="Times New Roman"/>
          <w:sz w:val="24"/>
          <w:szCs w:val="24"/>
        </w:rPr>
        <w:t>outside</w:t>
      </w:r>
      <w:r w:rsidR="00F51229" w:rsidRPr="00DD6763">
        <w:rPr>
          <w:rFonts w:ascii="Times New Roman" w:hAnsi="Times New Roman" w:cs="Times New Roman"/>
          <w:sz w:val="24"/>
          <w:szCs w:val="24"/>
        </w:rPr>
        <w:t xml:space="preserve"> the</w:t>
      </w:r>
      <w:r w:rsidR="00117E52" w:rsidRPr="00DD6763">
        <w:rPr>
          <w:rFonts w:ascii="Times New Roman" w:hAnsi="Times New Roman" w:cs="Times New Roman"/>
          <w:sz w:val="24"/>
          <w:szCs w:val="24"/>
        </w:rPr>
        <w:t xml:space="preserve"> </w:t>
      </w:r>
      <w:r w:rsidRPr="00DD6763">
        <w:rPr>
          <w:rFonts w:ascii="Times New Roman" w:hAnsi="Times New Roman" w:cs="Times New Roman"/>
          <w:sz w:val="24"/>
          <w:szCs w:val="24"/>
        </w:rPr>
        <w:t>case-specific</w:t>
      </w:r>
      <w:r w:rsidR="00F51229" w:rsidRPr="00DD6763">
        <w:rPr>
          <w:rFonts w:ascii="Times New Roman" w:hAnsi="Times New Roman" w:cs="Times New Roman"/>
          <w:sz w:val="24"/>
          <w:szCs w:val="24"/>
        </w:rPr>
        <w:t xml:space="preserve"> mandate</w:t>
      </w:r>
      <w:r w:rsidRPr="00DD6763">
        <w:rPr>
          <w:rFonts w:ascii="Times New Roman" w:hAnsi="Times New Roman" w:cs="Times New Roman"/>
          <w:sz w:val="24"/>
          <w:szCs w:val="24"/>
        </w:rPr>
        <w:t>.</w:t>
      </w:r>
      <w:r w:rsidR="00E21AF7" w:rsidRPr="00DD6763">
        <w:rPr>
          <w:rStyle w:val="FootnoteReference"/>
          <w:rFonts w:ascii="Times New Roman" w:hAnsi="Times New Roman" w:cs="Times New Roman"/>
          <w:sz w:val="24"/>
          <w:szCs w:val="24"/>
        </w:rPr>
        <w:footnoteReference w:id="167"/>
      </w:r>
      <w:r w:rsidR="00C121E4" w:rsidRPr="00DD6763">
        <w:rPr>
          <w:rFonts w:ascii="Times New Roman" w:hAnsi="Times New Roman" w:cs="Times New Roman"/>
          <w:sz w:val="24"/>
          <w:szCs w:val="24"/>
        </w:rPr>
        <w:t xml:space="preserve"> </w:t>
      </w:r>
      <w:r w:rsidR="00C07FA2" w:rsidRPr="00DD6763">
        <w:rPr>
          <w:rFonts w:ascii="Times New Roman" w:hAnsi="Times New Roman" w:cs="Times New Roman"/>
          <w:sz w:val="24"/>
          <w:szCs w:val="24"/>
        </w:rPr>
        <w:t>Although</w:t>
      </w:r>
      <w:r w:rsidR="00C121E4"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there were amicus curiae </w:t>
      </w:r>
      <w:r w:rsidR="00E77A98" w:rsidRPr="00DD6763">
        <w:rPr>
          <w:rFonts w:ascii="Times New Roman" w:hAnsi="Times New Roman" w:cs="Times New Roman"/>
          <w:sz w:val="24"/>
          <w:szCs w:val="24"/>
        </w:rPr>
        <w:t xml:space="preserve">submitted </w:t>
      </w:r>
      <w:r w:rsidRPr="00DD6763">
        <w:rPr>
          <w:rFonts w:ascii="Times New Roman" w:hAnsi="Times New Roman" w:cs="Times New Roman"/>
          <w:sz w:val="24"/>
          <w:szCs w:val="24"/>
        </w:rPr>
        <w:t>by a varied group of interested non-parties</w:t>
      </w:r>
      <w:r w:rsidR="00C07FA2" w:rsidRPr="00DD6763">
        <w:rPr>
          <w:rFonts w:ascii="Times New Roman" w:hAnsi="Times New Roman" w:cs="Times New Roman"/>
          <w:sz w:val="24"/>
          <w:szCs w:val="24"/>
        </w:rPr>
        <w:t>,</w:t>
      </w:r>
      <w:r w:rsidR="00C121E4" w:rsidRPr="00DD6763">
        <w:rPr>
          <w:rFonts w:ascii="Times New Roman" w:hAnsi="Times New Roman" w:cs="Times New Roman"/>
          <w:sz w:val="24"/>
          <w:szCs w:val="24"/>
        </w:rPr>
        <w:t xml:space="preserve"> the tribunal </w:t>
      </w:r>
      <w:r w:rsidR="00115C5E" w:rsidRPr="00DD6763">
        <w:rPr>
          <w:rFonts w:ascii="Times New Roman" w:hAnsi="Times New Roman" w:cs="Times New Roman"/>
          <w:sz w:val="24"/>
          <w:szCs w:val="24"/>
        </w:rPr>
        <w:t>in its</w:t>
      </w:r>
      <w:r w:rsidRPr="00DD6763">
        <w:rPr>
          <w:rFonts w:ascii="Times New Roman" w:hAnsi="Times New Roman" w:cs="Times New Roman"/>
          <w:sz w:val="24"/>
          <w:szCs w:val="24"/>
        </w:rPr>
        <w:t xml:space="preserve"> </w:t>
      </w:r>
      <w:r w:rsidR="009A123C" w:rsidRPr="00DD6763">
        <w:rPr>
          <w:rFonts w:ascii="Times New Roman" w:hAnsi="Times New Roman" w:cs="Times New Roman"/>
          <w:sz w:val="24"/>
          <w:szCs w:val="24"/>
        </w:rPr>
        <w:t xml:space="preserve">decision </w:t>
      </w:r>
      <w:r w:rsidR="00115C5E" w:rsidRPr="00DD6763">
        <w:rPr>
          <w:rFonts w:ascii="Times New Roman" w:hAnsi="Times New Roman" w:cs="Times New Roman"/>
          <w:sz w:val="24"/>
          <w:szCs w:val="24"/>
        </w:rPr>
        <w:t>did</w:t>
      </w:r>
      <w:r w:rsidR="00C121E4" w:rsidRPr="00DD6763">
        <w:rPr>
          <w:rFonts w:ascii="Times New Roman" w:hAnsi="Times New Roman" w:cs="Times New Roman"/>
          <w:sz w:val="24"/>
          <w:szCs w:val="24"/>
        </w:rPr>
        <w:t xml:space="preserve"> not </w:t>
      </w:r>
      <w:r w:rsidR="009A123C" w:rsidRPr="00DD6763">
        <w:rPr>
          <w:rFonts w:ascii="Times New Roman" w:hAnsi="Times New Roman" w:cs="Times New Roman"/>
          <w:sz w:val="24"/>
          <w:szCs w:val="24"/>
        </w:rPr>
        <w:t xml:space="preserve">address </w:t>
      </w:r>
      <w:r w:rsidR="00C121E4" w:rsidRPr="00DD6763">
        <w:rPr>
          <w:rFonts w:ascii="Times New Roman" w:hAnsi="Times New Roman" w:cs="Times New Roman"/>
          <w:sz w:val="24"/>
          <w:szCs w:val="24"/>
        </w:rPr>
        <w:t>the particular questions</w:t>
      </w:r>
      <w:r w:rsidRPr="00DD6763">
        <w:rPr>
          <w:rFonts w:ascii="Times New Roman" w:hAnsi="Times New Roman" w:cs="Times New Roman"/>
          <w:sz w:val="24"/>
          <w:szCs w:val="24"/>
        </w:rPr>
        <w:t xml:space="preserve"> </w:t>
      </w:r>
      <w:r w:rsidR="00B72A59" w:rsidRPr="00DD6763">
        <w:rPr>
          <w:rFonts w:ascii="Times New Roman" w:hAnsi="Times New Roman" w:cs="Times New Roman"/>
          <w:sz w:val="24"/>
          <w:szCs w:val="24"/>
        </w:rPr>
        <w:t>rai</w:t>
      </w:r>
      <w:r w:rsidRPr="00DD6763">
        <w:rPr>
          <w:rFonts w:ascii="Times New Roman" w:hAnsi="Times New Roman" w:cs="Times New Roman"/>
          <w:sz w:val="24"/>
          <w:szCs w:val="24"/>
        </w:rPr>
        <w:t xml:space="preserve">sed by these submissions. </w:t>
      </w:r>
      <w:r w:rsidR="009A123C" w:rsidRPr="00DD6763">
        <w:rPr>
          <w:rFonts w:ascii="Times New Roman" w:hAnsi="Times New Roman" w:cs="Times New Roman"/>
          <w:sz w:val="24"/>
          <w:szCs w:val="24"/>
        </w:rPr>
        <w:t>Ultimately</w:t>
      </w:r>
      <w:r w:rsidR="00CB0149" w:rsidRPr="00DD6763">
        <w:rPr>
          <w:rFonts w:ascii="Times New Roman" w:hAnsi="Times New Roman" w:cs="Times New Roman"/>
          <w:sz w:val="24"/>
          <w:szCs w:val="24"/>
        </w:rPr>
        <w:t xml:space="preserve">, </w:t>
      </w:r>
      <w:r w:rsidR="003D6ABD" w:rsidRPr="00DD6763">
        <w:rPr>
          <w:rFonts w:ascii="Times New Roman" w:hAnsi="Times New Roman" w:cs="Times New Roman"/>
          <w:sz w:val="24"/>
          <w:szCs w:val="24"/>
        </w:rPr>
        <w:t>t</w:t>
      </w:r>
      <w:r w:rsidRPr="00DD6763">
        <w:rPr>
          <w:rFonts w:ascii="Times New Roman" w:hAnsi="Times New Roman" w:cs="Times New Roman"/>
          <w:sz w:val="24"/>
          <w:szCs w:val="24"/>
        </w:rPr>
        <w:t xml:space="preserve">he arbitral tribunal took the view that the host state had not breached the </w:t>
      </w:r>
      <w:r w:rsidR="00BD3A97" w:rsidRPr="00DD6763">
        <w:rPr>
          <w:rFonts w:ascii="Times New Roman" w:hAnsi="Times New Roman" w:cs="Times New Roman"/>
          <w:sz w:val="24"/>
          <w:szCs w:val="24"/>
        </w:rPr>
        <w:t>applicable</w:t>
      </w:r>
      <w:r w:rsidR="003D6ABD" w:rsidRPr="00DD6763">
        <w:rPr>
          <w:rFonts w:ascii="Times New Roman" w:hAnsi="Times New Roman" w:cs="Times New Roman"/>
          <w:sz w:val="24"/>
          <w:szCs w:val="24"/>
        </w:rPr>
        <w:t xml:space="preserve"> bilateral treaty and </w:t>
      </w:r>
      <w:r w:rsidR="00BD3A97" w:rsidRPr="00DD6763">
        <w:rPr>
          <w:rFonts w:ascii="Times New Roman" w:hAnsi="Times New Roman" w:cs="Times New Roman"/>
          <w:sz w:val="24"/>
          <w:szCs w:val="24"/>
        </w:rPr>
        <w:t>dismissed all the foreign investor</w:t>
      </w:r>
      <w:r w:rsidR="003D6ABD" w:rsidRPr="00DD6763">
        <w:rPr>
          <w:rFonts w:ascii="Times New Roman" w:hAnsi="Times New Roman" w:cs="Times New Roman"/>
          <w:sz w:val="24"/>
          <w:szCs w:val="24"/>
        </w:rPr>
        <w:t>’</w:t>
      </w:r>
      <w:r w:rsidR="00BD3A97" w:rsidRPr="00DD6763">
        <w:rPr>
          <w:rFonts w:ascii="Times New Roman" w:hAnsi="Times New Roman" w:cs="Times New Roman"/>
          <w:sz w:val="24"/>
          <w:szCs w:val="24"/>
        </w:rPr>
        <w:t>s</w:t>
      </w:r>
      <w:r w:rsidR="003A34F6" w:rsidRPr="00DD6763">
        <w:rPr>
          <w:rFonts w:ascii="Times New Roman" w:hAnsi="Times New Roman" w:cs="Times New Roman"/>
          <w:sz w:val="24"/>
          <w:szCs w:val="24"/>
        </w:rPr>
        <w:t xml:space="preserve"> claims</w:t>
      </w:r>
      <w:r w:rsidR="00B72A59" w:rsidRPr="00DD6763">
        <w:rPr>
          <w:rFonts w:ascii="Times New Roman" w:hAnsi="Times New Roman" w:cs="Times New Roman"/>
          <w:sz w:val="24"/>
          <w:szCs w:val="24"/>
        </w:rPr>
        <w:t>.</w:t>
      </w:r>
      <w:r w:rsidR="002D6A6A" w:rsidRPr="00DD6763">
        <w:rPr>
          <w:rFonts w:ascii="Times New Roman" w:hAnsi="Times New Roman" w:cs="Times New Roman"/>
          <w:vanish/>
        </w:rPr>
        <w:t>American Declaration.s to nd regional level.ational human rights law, declararions consacrating uspending injuctions by courts.t</w:t>
      </w:r>
      <w:r w:rsidR="003A34F6" w:rsidRPr="00DD6763">
        <w:rPr>
          <w:rFonts w:ascii="Times New Roman" w:hAnsi="Times New Roman" w:cs="Times New Roman"/>
          <w:vanish/>
          <w:sz w:val="24"/>
          <w:szCs w:val="24"/>
        </w:rPr>
        <w:t>...</w:t>
      </w:r>
    </w:p>
    <w:p w14:paraId="71F66A5D" w14:textId="77777777" w:rsidR="00DD6763" w:rsidRPr="00DD6763" w:rsidRDefault="00544D77" w:rsidP="004C2A24">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i/>
          <w:sz w:val="24"/>
          <w:szCs w:val="24"/>
        </w:rPr>
        <w:lastRenderedPageBreak/>
        <w:t>Zimba</w:t>
      </w:r>
      <w:r w:rsidR="003B384C" w:rsidRPr="00DD6763">
        <w:rPr>
          <w:rFonts w:ascii="Times New Roman" w:hAnsi="Times New Roman" w:cs="Times New Roman"/>
          <w:i/>
          <w:sz w:val="24"/>
          <w:szCs w:val="24"/>
        </w:rPr>
        <w:t xml:space="preserve">bwe Border Timbers Limited </w:t>
      </w:r>
      <w:r w:rsidR="003B384C" w:rsidRPr="00DD6763">
        <w:rPr>
          <w:rFonts w:ascii="Times New Roman" w:hAnsi="Times New Roman" w:cs="Times New Roman"/>
          <w:sz w:val="24"/>
          <w:szCs w:val="24"/>
        </w:rPr>
        <w:t>and</w:t>
      </w:r>
      <w:r w:rsidR="003B384C" w:rsidRPr="00DD6763">
        <w:rPr>
          <w:rFonts w:ascii="Times New Roman" w:hAnsi="Times New Roman" w:cs="Times New Roman"/>
          <w:i/>
          <w:sz w:val="24"/>
          <w:szCs w:val="24"/>
        </w:rPr>
        <w:t xml:space="preserve"> O</w:t>
      </w:r>
      <w:r w:rsidRPr="00DD6763">
        <w:rPr>
          <w:rFonts w:ascii="Times New Roman" w:hAnsi="Times New Roman" w:cs="Times New Roman"/>
          <w:i/>
          <w:sz w:val="24"/>
          <w:szCs w:val="24"/>
        </w:rPr>
        <w:t xml:space="preserve">thers </w:t>
      </w:r>
      <w:r w:rsidRPr="00DD6763">
        <w:rPr>
          <w:rFonts w:ascii="Times New Roman" w:hAnsi="Times New Roman" w:cs="Times New Roman"/>
          <w:sz w:val="24"/>
          <w:szCs w:val="24"/>
        </w:rPr>
        <w:t>v.</w:t>
      </w:r>
      <w:r w:rsidRPr="00DD6763">
        <w:rPr>
          <w:rFonts w:ascii="Times New Roman" w:hAnsi="Times New Roman" w:cs="Times New Roman"/>
          <w:i/>
          <w:sz w:val="24"/>
          <w:szCs w:val="24"/>
        </w:rPr>
        <w:t xml:space="preserve"> Republic of Zimbabwe</w:t>
      </w:r>
      <w:r w:rsidRPr="00DD6763">
        <w:rPr>
          <w:rFonts w:ascii="Times New Roman" w:hAnsi="Times New Roman" w:cs="Times New Roman"/>
          <w:sz w:val="24"/>
          <w:szCs w:val="24"/>
        </w:rPr>
        <w:t xml:space="preserve"> </w:t>
      </w:r>
      <w:r w:rsidR="00D71C53" w:rsidRPr="00DD6763">
        <w:rPr>
          <w:rFonts w:ascii="Times New Roman" w:hAnsi="Times New Roman" w:cs="Times New Roman"/>
          <w:sz w:val="24"/>
          <w:szCs w:val="24"/>
        </w:rPr>
        <w:t xml:space="preserve">were </w:t>
      </w:r>
      <w:r w:rsidR="003D6ABD" w:rsidRPr="00DD6763">
        <w:rPr>
          <w:rFonts w:ascii="Times New Roman" w:hAnsi="Times New Roman" w:cs="Times New Roman"/>
          <w:sz w:val="24"/>
          <w:szCs w:val="24"/>
        </w:rPr>
        <w:t xml:space="preserve">joined cases </w:t>
      </w:r>
      <w:r w:rsidR="003A3B7C" w:rsidRPr="00DD6763">
        <w:rPr>
          <w:rFonts w:ascii="Times New Roman" w:hAnsi="Times New Roman" w:cs="Times New Roman"/>
          <w:sz w:val="24"/>
          <w:szCs w:val="24"/>
        </w:rPr>
        <w:t xml:space="preserve">submitted for </w:t>
      </w:r>
      <w:r w:rsidR="00DE2AF3" w:rsidRPr="00DD6763">
        <w:rPr>
          <w:rFonts w:ascii="Times New Roman" w:hAnsi="Times New Roman" w:cs="Times New Roman"/>
          <w:sz w:val="24"/>
          <w:szCs w:val="24"/>
        </w:rPr>
        <w:t>arbitration</w:t>
      </w:r>
      <w:r w:rsidR="003A3B7C" w:rsidRPr="00DD6763">
        <w:rPr>
          <w:rFonts w:ascii="Times New Roman" w:hAnsi="Times New Roman" w:cs="Times New Roman"/>
          <w:sz w:val="24"/>
          <w:szCs w:val="24"/>
        </w:rPr>
        <w:t xml:space="preserve"> before the ICSID </w:t>
      </w:r>
      <w:r w:rsidR="00501515" w:rsidRPr="00DD6763">
        <w:rPr>
          <w:rFonts w:ascii="Times New Roman" w:hAnsi="Times New Roman" w:cs="Times New Roman"/>
          <w:sz w:val="24"/>
          <w:szCs w:val="24"/>
        </w:rPr>
        <w:t>based on</w:t>
      </w:r>
      <w:r w:rsidR="003A3B7C" w:rsidRPr="00DD6763">
        <w:rPr>
          <w:rFonts w:ascii="Times New Roman" w:hAnsi="Times New Roman" w:cs="Times New Roman"/>
          <w:sz w:val="24"/>
          <w:szCs w:val="24"/>
        </w:rPr>
        <w:t xml:space="preserve"> German and Swiss Bilateral Investment </w:t>
      </w:r>
      <w:r w:rsidR="00501515" w:rsidRPr="00DD6763">
        <w:rPr>
          <w:rFonts w:ascii="Times New Roman" w:hAnsi="Times New Roman" w:cs="Times New Roman"/>
          <w:sz w:val="24"/>
          <w:szCs w:val="24"/>
        </w:rPr>
        <w:t>Treaties</w:t>
      </w:r>
      <w:r w:rsidR="003A3B7C" w:rsidRPr="00DD6763">
        <w:rPr>
          <w:rFonts w:ascii="Times New Roman" w:hAnsi="Times New Roman" w:cs="Times New Roman"/>
          <w:sz w:val="24"/>
          <w:szCs w:val="24"/>
        </w:rPr>
        <w:t xml:space="preserve"> with the Republic of Zimbabwe</w:t>
      </w:r>
      <w:r w:rsidR="00F06420" w:rsidRPr="00DD6763">
        <w:rPr>
          <w:rFonts w:ascii="Times New Roman" w:hAnsi="Times New Roman" w:cs="Times New Roman"/>
          <w:sz w:val="24"/>
          <w:szCs w:val="24"/>
        </w:rPr>
        <w:t>.</w:t>
      </w:r>
      <w:r w:rsidR="00091595" w:rsidRPr="00DD6763">
        <w:rPr>
          <w:rStyle w:val="FootnoteReference"/>
          <w:rFonts w:ascii="Times New Roman" w:hAnsi="Times New Roman" w:cs="Times New Roman"/>
          <w:sz w:val="24"/>
          <w:szCs w:val="24"/>
        </w:rPr>
        <w:footnoteReference w:id="168"/>
      </w:r>
      <w:r w:rsidR="003A3B7C" w:rsidRPr="00DD6763">
        <w:rPr>
          <w:rFonts w:ascii="Times New Roman" w:hAnsi="Times New Roman" w:cs="Times New Roman"/>
          <w:sz w:val="24"/>
          <w:szCs w:val="24"/>
        </w:rPr>
        <w:t xml:space="preserve"> </w:t>
      </w:r>
      <w:r w:rsidR="00F06420" w:rsidRPr="00DD6763">
        <w:rPr>
          <w:rFonts w:ascii="Times New Roman" w:hAnsi="Times New Roman" w:cs="Times New Roman"/>
          <w:sz w:val="24"/>
          <w:szCs w:val="24"/>
        </w:rPr>
        <w:t xml:space="preserve">Both cases </w:t>
      </w:r>
      <w:r w:rsidR="00501515" w:rsidRPr="00DD6763">
        <w:rPr>
          <w:rFonts w:ascii="Times New Roman" w:hAnsi="Times New Roman" w:cs="Times New Roman"/>
          <w:sz w:val="24"/>
          <w:szCs w:val="24"/>
        </w:rPr>
        <w:t xml:space="preserve">involved properties </w:t>
      </w:r>
      <w:r w:rsidR="00F06420" w:rsidRPr="00DD6763">
        <w:rPr>
          <w:rFonts w:ascii="Times New Roman" w:hAnsi="Times New Roman" w:cs="Times New Roman"/>
          <w:sz w:val="24"/>
          <w:szCs w:val="24"/>
        </w:rPr>
        <w:t>in Zimbabwe on which the c</w:t>
      </w:r>
      <w:r w:rsidR="00501515" w:rsidRPr="00DD6763">
        <w:rPr>
          <w:rFonts w:ascii="Times New Roman" w:hAnsi="Times New Roman" w:cs="Times New Roman"/>
          <w:sz w:val="24"/>
          <w:szCs w:val="24"/>
        </w:rPr>
        <w:t xml:space="preserve">laimants, European investors, operated timber plantations. The controversy arose </w:t>
      </w:r>
      <w:r w:rsidR="009A123C" w:rsidRPr="00DD6763">
        <w:rPr>
          <w:rFonts w:ascii="Times New Roman" w:hAnsi="Times New Roman" w:cs="Times New Roman"/>
          <w:sz w:val="24"/>
          <w:szCs w:val="24"/>
        </w:rPr>
        <w:t xml:space="preserve">when </w:t>
      </w:r>
      <w:r w:rsidR="00501515" w:rsidRPr="00DD6763">
        <w:rPr>
          <w:rFonts w:ascii="Times New Roman" w:hAnsi="Times New Roman" w:cs="Times New Roman"/>
          <w:sz w:val="24"/>
          <w:szCs w:val="24"/>
        </w:rPr>
        <w:t>the government of Zimbabwe compulsorily acquired these properties as part of its land reform programme.</w:t>
      </w:r>
      <w:r w:rsidR="00212147" w:rsidRPr="00DD6763">
        <w:rPr>
          <w:rStyle w:val="FootnoteReference"/>
          <w:rFonts w:ascii="Times New Roman" w:hAnsi="Times New Roman" w:cs="Times New Roman"/>
          <w:sz w:val="24"/>
          <w:szCs w:val="24"/>
        </w:rPr>
        <w:footnoteReference w:id="169"/>
      </w:r>
      <w:r w:rsidR="001F3678" w:rsidRPr="00DD6763">
        <w:rPr>
          <w:rFonts w:ascii="Times New Roman" w:hAnsi="Times New Roman" w:cs="Times New Roman"/>
          <w:sz w:val="24"/>
          <w:szCs w:val="24"/>
        </w:rPr>
        <w:t xml:space="preserve"> </w:t>
      </w:r>
      <w:r w:rsidR="00501515" w:rsidRPr="00DD6763">
        <w:rPr>
          <w:rFonts w:ascii="Times New Roman" w:hAnsi="Times New Roman" w:cs="Times New Roman"/>
          <w:sz w:val="24"/>
          <w:szCs w:val="24"/>
        </w:rPr>
        <w:t>T</w:t>
      </w:r>
      <w:r w:rsidR="009122D7" w:rsidRPr="00DD6763">
        <w:rPr>
          <w:rFonts w:ascii="Times New Roman" w:hAnsi="Times New Roman" w:cs="Times New Roman"/>
          <w:sz w:val="24"/>
          <w:szCs w:val="24"/>
        </w:rPr>
        <w:t>he NGO ECCHR</w:t>
      </w:r>
      <w:r w:rsidR="001F3678" w:rsidRPr="00DD6763">
        <w:rPr>
          <w:rFonts w:ascii="Times New Roman" w:hAnsi="Times New Roman" w:cs="Times New Roman"/>
          <w:sz w:val="24"/>
          <w:szCs w:val="24"/>
        </w:rPr>
        <w:t xml:space="preserve"> requested permission to file an amicus curiae submission </w:t>
      </w:r>
      <w:r w:rsidR="009122D7" w:rsidRPr="00DD6763">
        <w:rPr>
          <w:rFonts w:ascii="Times New Roman" w:hAnsi="Times New Roman" w:cs="Times New Roman"/>
          <w:sz w:val="24"/>
          <w:szCs w:val="24"/>
        </w:rPr>
        <w:t>to the tribunal. This request was made jointly with the Chiefs of four indigenous communities inhabiting the area of Chimanimani, in south-eastern Zimbabwe</w:t>
      </w:r>
      <w:r w:rsidR="003D3FAF" w:rsidRPr="00DD6763">
        <w:rPr>
          <w:rFonts w:ascii="Times New Roman" w:hAnsi="Times New Roman" w:cs="Times New Roman"/>
          <w:sz w:val="24"/>
          <w:szCs w:val="24"/>
        </w:rPr>
        <w:t>. Even if t</w:t>
      </w:r>
      <w:r w:rsidR="005F2DD5" w:rsidRPr="00DD6763">
        <w:rPr>
          <w:rFonts w:ascii="Times New Roman" w:hAnsi="Times New Roman" w:cs="Times New Roman"/>
          <w:sz w:val="24"/>
          <w:szCs w:val="24"/>
        </w:rPr>
        <w:t>he tribunal rejected</w:t>
      </w:r>
      <w:r w:rsidR="003D3FAF" w:rsidRPr="00DD6763">
        <w:rPr>
          <w:rFonts w:ascii="Times New Roman" w:hAnsi="Times New Roman" w:cs="Times New Roman"/>
          <w:sz w:val="24"/>
          <w:szCs w:val="24"/>
        </w:rPr>
        <w:t xml:space="preserve"> the petition of amicus curiae it acknowledged, </w:t>
      </w:r>
      <w:r w:rsidR="005F2DD5" w:rsidRPr="00DD6763">
        <w:rPr>
          <w:rFonts w:ascii="Times New Roman" w:hAnsi="Times New Roman" w:cs="Times New Roman"/>
          <w:sz w:val="24"/>
          <w:szCs w:val="24"/>
        </w:rPr>
        <w:t xml:space="preserve">as one of the </w:t>
      </w:r>
      <w:r w:rsidR="003D3FAF" w:rsidRPr="00DD6763">
        <w:rPr>
          <w:rFonts w:ascii="Times New Roman" w:hAnsi="Times New Roman" w:cs="Times New Roman"/>
          <w:sz w:val="24"/>
          <w:szCs w:val="24"/>
        </w:rPr>
        <w:t xml:space="preserve">key legal point of this case, </w:t>
      </w:r>
      <w:r w:rsidR="005F2DD5" w:rsidRPr="00DD6763">
        <w:rPr>
          <w:rFonts w:ascii="Times New Roman" w:hAnsi="Times New Roman" w:cs="Times New Roman"/>
          <w:sz w:val="24"/>
          <w:szCs w:val="24"/>
        </w:rPr>
        <w:t>the impact the proceedings may have upon the rights of the affected indigen</w:t>
      </w:r>
      <w:r w:rsidR="003D3FAF" w:rsidRPr="00DD6763">
        <w:rPr>
          <w:rFonts w:ascii="Times New Roman" w:hAnsi="Times New Roman" w:cs="Times New Roman"/>
          <w:sz w:val="24"/>
          <w:szCs w:val="24"/>
        </w:rPr>
        <w:t xml:space="preserve">ous communities finally concluding that </w:t>
      </w:r>
    </w:p>
    <w:p w14:paraId="462CF69F" w14:textId="77777777" w:rsidR="00DD6763" w:rsidRPr="00DD6763" w:rsidRDefault="00DD6763" w:rsidP="004C2A24">
      <w:pPr>
        <w:spacing w:after="0" w:line="276" w:lineRule="auto"/>
        <w:ind w:firstLine="720"/>
        <w:jc w:val="both"/>
        <w:rPr>
          <w:rFonts w:ascii="Times New Roman" w:hAnsi="Times New Roman" w:cs="Times New Roman"/>
          <w:sz w:val="24"/>
          <w:szCs w:val="24"/>
        </w:rPr>
      </w:pPr>
    </w:p>
    <w:p w14:paraId="1CEA110C" w14:textId="0E7ADD0A" w:rsidR="00501515" w:rsidRPr="00DD6763" w:rsidRDefault="005F2DD5" w:rsidP="00DD6763">
      <w:pPr>
        <w:spacing w:after="0" w:line="276" w:lineRule="auto"/>
        <w:ind w:left="720"/>
        <w:jc w:val="both"/>
        <w:rPr>
          <w:rFonts w:ascii="Times New Roman" w:hAnsi="Times New Roman" w:cs="Times New Roman"/>
          <w:sz w:val="24"/>
          <w:szCs w:val="24"/>
        </w:rPr>
      </w:pPr>
      <w:r w:rsidRPr="00DD6763">
        <w:rPr>
          <w:rFonts w:ascii="Times New Roman" w:hAnsi="Times New Roman" w:cs="Times New Roman"/>
          <w:sz w:val="24"/>
          <w:szCs w:val="24"/>
        </w:rPr>
        <w:t>(</w:t>
      </w:r>
      <w:proofErr w:type="spellStart"/>
      <w:r w:rsidRPr="00DD6763">
        <w:rPr>
          <w:rFonts w:ascii="Times New Roman" w:hAnsi="Times New Roman" w:cs="Times New Roman"/>
          <w:sz w:val="24"/>
          <w:szCs w:val="24"/>
        </w:rPr>
        <w:t>t)he</w:t>
      </w:r>
      <w:proofErr w:type="spellEnd"/>
      <w:r w:rsidRPr="00DD6763">
        <w:rPr>
          <w:rFonts w:ascii="Times New Roman" w:hAnsi="Times New Roman" w:cs="Times New Roman"/>
          <w:sz w:val="24"/>
          <w:szCs w:val="24"/>
        </w:rPr>
        <w:t xml:space="preserve"> Petitioners, in effect, seek to make a submission on legal and factual issues that are unrelated to the matters before the Arbitral Tribunals</w:t>
      </w:r>
      <w:r w:rsidR="00A259DC" w:rsidRPr="00DD6763">
        <w:rPr>
          <w:rFonts w:ascii="Times New Roman" w:hAnsi="Times New Roman" w:cs="Times New Roman"/>
          <w:sz w:val="24"/>
          <w:szCs w:val="24"/>
        </w:rPr>
        <w:t xml:space="preserve"> (…) Neither Party has put the identity and/or treatment of indigenous peoples, or the indigenous communities in particular, under international law, including </w:t>
      </w:r>
      <w:r w:rsidR="004D513B" w:rsidRPr="00DD6763">
        <w:rPr>
          <w:rFonts w:ascii="Times New Roman" w:hAnsi="Times New Roman" w:cs="Times New Roman"/>
          <w:sz w:val="24"/>
          <w:szCs w:val="24"/>
        </w:rPr>
        <w:t xml:space="preserve">IHRL </w:t>
      </w:r>
      <w:r w:rsidR="00A259DC" w:rsidRPr="00DD6763">
        <w:rPr>
          <w:rFonts w:ascii="Times New Roman" w:hAnsi="Times New Roman" w:cs="Times New Roman"/>
          <w:sz w:val="24"/>
          <w:szCs w:val="24"/>
        </w:rPr>
        <w:t>on indigenous peoples</w:t>
      </w:r>
      <w:r w:rsidR="00021BFA" w:rsidRPr="00DD6763">
        <w:rPr>
          <w:rFonts w:ascii="Times New Roman" w:hAnsi="Times New Roman" w:cs="Times New Roman"/>
          <w:sz w:val="24"/>
          <w:szCs w:val="24"/>
        </w:rPr>
        <w:t>, in issue in these proceedings</w:t>
      </w:r>
      <w:r w:rsidR="00A13BE2"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170"/>
      </w:r>
    </w:p>
    <w:p w14:paraId="0A68759A" w14:textId="77777777" w:rsidR="00DD6763" w:rsidRPr="00DD6763" w:rsidRDefault="00DD6763" w:rsidP="00DD6763">
      <w:pPr>
        <w:spacing w:after="0" w:line="276" w:lineRule="auto"/>
        <w:jc w:val="both"/>
        <w:rPr>
          <w:rFonts w:ascii="Times New Roman" w:hAnsi="Times New Roman" w:cs="Times New Roman"/>
          <w:sz w:val="24"/>
          <w:szCs w:val="24"/>
        </w:rPr>
      </w:pPr>
    </w:p>
    <w:p w14:paraId="5A9CC795" w14:textId="436E736B" w:rsidR="009122D7" w:rsidRPr="00DD6763" w:rsidRDefault="009122D7" w:rsidP="00DD6763">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 xml:space="preserve">Another </w:t>
      </w:r>
      <w:r w:rsidR="00B74C61" w:rsidRPr="00DD6763">
        <w:rPr>
          <w:rFonts w:ascii="Times New Roman" w:hAnsi="Times New Roman" w:cs="Times New Roman"/>
          <w:sz w:val="24"/>
          <w:szCs w:val="24"/>
        </w:rPr>
        <w:t>high-profile</w:t>
      </w:r>
      <w:r w:rsidRPr="00DD6763">
        <w:rPr>
          <w:rFonts w:ascii="Times New Roman" w:hAnsi="Times New Roman" w:cs="Times New Roman"/>
          <w:sz w:val="24"/>
          <w:szCs w:val="24"/>
        </w:rPr>
        <w:t xml:space="preserve"> arbitration in the Ecuadorian Amazon region was </w:t>
      </w:r>
      <w:r w:rsidRPr="00DD6763">
        <w:rPr>
          <w:rFonts w:ascii="Times New Roman" w:hAnsi="Times New Roman" w:cs="Times New Roman"/>
          <w:i/>
          <w:sz w:val="24"/>
          <w:szCs w:val="24"/>
        </w:rPr>
        <w:t xml:space="preserve">Burlington </w:t>
      </w:r>
      <w:r w:rsidRPr="00DD6763">
        <w:rPr>
          <w:rFonts w:ascii="Times New Roman" w:hAnsi="Times New Roman" w:cs="Times New Roman"/>
          <w:sz w:val="24"/>
          <w:szCs w:val="24"/>
        </w:rPr>
        <w:t>v.</w:t>
      </w:r>
      <w:r w:rsidRPr="00DD6763">
        <w:rPr>
          <w:rFonts w:ascii="Times New Roman" w:hAnsi="Times New Roman" w:cs="Times New Roman"/>
          <w:i/>
          <w:sz w:val="24"/>
          <w:szCs w:val="24"/>
        </w:rPr>
        <w:t xml:space="preserve"> Ecuador</w:t>
      </w:r>
      <w:r w:rsidR="00C50AA8" w:rsidRPr="00DD6763">
        <w:rPr>
          <w:rFonts w:ascii="Times New Roman" w:hAnsi="Times New Roman" w:cs="Times New Roman"/>
          <w:sz w:val="24"/>
          <w:szCs w:val="24"/>
        </w:rPr>
        <w:t xml:space="preserve"> in which indigenous peoples’</w:t>
      </w:r>
      <w:r w:rsidRPr="00DD6763">
        <w:rPr>
          <w:rFonts w:ascii="Times New Roman" w:hAnsi="Times New Roman" w:cs="Times New Roman"/>
          <w:sz w:val="24"/>
          <w:szCs w:val="24"/>
        </w:rPr>
        <w:t xml:space="preserve"> rights were at stake.</w:t>
      </w:r>
      <w:r w:rsidR="0013361C" w:rsidRPr="00DD6763">
        <w:rPr>
          <w:rStyle w:val="FootnoteReference"/>
          <w:rFonts w:ascii="Times New Roman" w:hAnsi="Times New Roman" w:cs="Times New Roman"/>
          <w:sz w:val="24"/>
          <w:szCs w:val="24"/>
        </w:rPr>
        <w:footnoteReference w:id="171"/>
      </w:r>
      <w:r w:rsidRPr="00DD6763">
        <w:rPr>
          <w:rFonts w:ascii="Times New Roman" w:hAnsi="Times New Roman" w:cs="Times New Roman"/>
          <w:sz w:val="24"/>
          <w:szCs w:val="24"/>
        </w:rPr>
        <w:t xml:space="preserve"> </w:t>
      </w:r>
      <w:r w:rsidR="008E10B4" w:rsidRPr="00DD6763">
        <w:rPr>
          <w:rFonts w:ascii="Times New Roman" w:hAnsi="Times New Roman" w:cs="Times New Roman"/>
          <w:sz w:val="24"/>
          <w:szCs w:val="24"/>
        </w:rPr>
        <w:t>Due to t</w:t>
      </w:r>
      <w:r w:rsidRPr="00DD6763">
        <w:rPr>
          <w:rFonts w:ascii="Times New Roman" w:hAnsi="Times New Roman" w:cs="Times New Roman"/>
          <w:sz w:val="24"/>
          <w:szCs w:val="24"/>
        </w:rPr>
        <w:t>he opposition of</w:t>
      </w:r>
      <w:r w:rsidR="008E10B4" w:rsidRPr="00DD6763">
        <w:rPr>
          <w:rFonts w:ascii="Times New Roman" w:hAnsi="Times New Roman" w:cs="Times New Roman"/>
          <w:sz w:val="24"/>
          <w:szCs w:val="24"/>
        </w:rPr>
        <w:t xml:space="preserve"> local indigenous communities, </w:t>
      </w:r>
      <w:r w:rsidRPr="00DD6763">
        <w:rPr>
          <w:rFonts w:ascii="Times New Roman" w:hAnsi="Times New Roman" w:cs="Times New Roman"/>
          <w:sz w:val="24"/>
          <w:szCs w:val="24"/>
        </w:rPr>
        <w:t>the state was sued for not</w:t>
      </w:r>
      <w:r w:rsidR="008E10B4" w:rsidRPr="00DD6763">
        <w:rPr>
          <w:rFonts w:ascii="Times New Roman" w:hAnsi="Times New Roman" w:cs="Times New Roman"/>
          <w:sz w:val="24"/>
          <w:szCs w:val="24"/>
        </w:rPr>
        <w:t xml:space="preserve"> providing the investor with</w:t>
      </w:r>
      <w:r w:rsidRPr="00DD6763">
        <w:rPr>
          <w:rFonts w:ascii="Times New Roman" w:hAnsi="Times New Roman" w:cs="Times New Roman"/>
          <w:sz w:val="24"/>
          <w:szCs w:val="24"/>
        </w:rPr>
        <w:t xml:space="preserve"> adequate protection.</w:t>
      </w:r>
      <w:r w:rsidR="00C50AA8" w:rsidRPr="00DD6763">
        <w:rPr>
          <w:rStyle w:val="FootnoteReference"/>
          <w:rFonts w:ascii="Times New Roman" w:hAnsi="Times New Roman" w:cs="Times New Roman"/>
          <w:sz w:val="24"/>
          <w:szCs w:val="24"/>
        </w:rPr>
        <w:footnoteReference w:id="172"/>
      </w:r>
      <w:r w:rsidRPr="00DD6763">
        <w:rPr>
          <w:rFonts w:ascii="Times New Roman" w:hAnsi="Times New Roman" w:cs="Times New Roman"/>
          <w:sz w:val="24"/>
          <w:szCs w:val="24"/>
        </w:rPr>
        <w:t xml:space="preserve"> However, the arbitral tribunal dismissed the claim on jurisdictional grounds. From a human rights standpoint, the dispute arose as to Ecuador’s responsibility to protect indigenous peoples’ rights.</w:t>
      </w:r>
    </w:p>
    <w:p w14:paraId="2F42988C" w14:textId="30F1D3EF" w:rsidR="00BA4244" w:rsidRPr="00DD6763" w:rsidRDefault="00B21AB4" w:rsidP="004C2A24">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At present, then, there is no effective means by which to pursue FPIC and related rights in the context of international investment tribunals: at best, there are dicta in case law recognising their importance but indicating no direct avenue that would lead to incorporating them within this area of law. </w:t>
      </w:r>
      <w:r w:rsidR="00BA4244" w:rsidRPr="00DD6763">
        <w:rPr>
          <w:rFonts w:ascii="Times New Roman" w:hAnsi="Times New Roman" w:cs="Times New Roman"/>
          <w:sz w:val="24"/>
          <w:szCs w:val="24"/>
        </w:rPr>
        <w:t>Usually, IIAs do not include clauses</w:t>
      </w:r>
      <w:r w:rsidR="00EA73CD" w:rsidRPr="00DD6763">
        <w:rPr>
          <w:rFonts w:ascii="Times New Roman" w:hAnsi="Times New Roman" w:cs="Times New Roman"/>
          <w:sz w:val="24"/>
          <w:szCs w:val="24"/>
        </w:rPr>
        <w:t xml:space="preserve"> on the protection of human rights and there is little engagement of the investment tribunals with human rights issues.</w:t>
      </w:r>
      <w:r w:rsidR="00EA73CD" w:rsidRPr="00DD6763">
        <w:rPr>
          <w:rStyle w:val="FootnoteReference"/>
          <w:rFonts w:ascii="Times New Roman" w:hAnsi="Times New Roman" w:cs="Times New Roman"/>
          <w:sz w:val="24"/>
          <w:szCs w:val="24"/>
        </w:rPr>
        <w:footnoteReference w:id="173"/>
      </w:r>
      <w:r w:rsidR="0026507D" w:rsidRPr="00DD6763">
        <w:rPr>
          <w:rFonts w:ascii="Times New Roman" w:hAnsi="Times New Roman" w:cs="Times New Roman"/>
          <w:sz w:val="24"/>
          <w:szCs w:val="24"/>
        </w:rPr>
        <w:t xml:space="preserve"> </w:t>
      </w:r>
      <w:r w:rsidR="00B00DED" w:rsidRPr="00DD6763">
        <w:rPr>
          <w:rFonts w:ascii="Times New Roman" w:hAnsi="Times New Roman" w:cs="Times New Roman"/>
          <w:sz w:val="24"/>
          <w:szCs w:val="24"/>
        </w:rPr>
        <w:t xml:space="preserve">It is alleged that there is an erosion of rights when a controversy is settled before an arbitral tribunal. </w:t>
      </w:r>
      <w:r w:rsidR="00FC31AA" w:rsidRPr="00DD6763">
        <w:rPr>
          <w:rFonts w:ascii="Times New Roman" w:hAnsi="Times New Roman" w:cs="Times New Roman"/>
          <w:sz w:val="24"/>
          <w:szCs w:val="24"/>
        </w:rPr>
        <w:t xml:space="preserve">Moreover, a </w:t>
      </w:r>
      <w:r w:rsidR="00B74C61" w:rsidRPr="00DD6763">
        <w:rPr>
          <w:rFonts w:ascii="Times New Roman" w:hAnsi="Times New Roman" w:cs="Times New Roman"/>
          <w:sz w:val="24"/>
          <w:szCs w:val="24"/>
        </w:rPr>
        <w:t>long-held</w:t>
      </w:r>
      <w:r w:rsidR="00FC31AA" w:rsidRPr="00DD6763">
        <w:rPr>
          <w:rFonts w:ascii="Times New Roman" w:hAnsi="Times New Roman" w:cs="Times New Roman"/>
          <w:sz w:val="24"/>
          <w:szCs w:val="24"/>
        </w:rPr>
        <w:t xml:space="preserve"> argument indicates that IIAs may reduce the margin of manoeuvre of states to adopt public policies to protect human rights.</w:t>
      </w:r>
      <w:r w:rsidR="00CD3587" w:rsidRPr="00DD6763">
        <w:rPr>
          <w:rFonts w:ascii="Times New Roman" w:hAnsi="Times New Roman" w:cs="Times New Roman"/>
          <w:sz w:val="24"/>
          <w:szCs w:val="24"/>
        </w:rPr>
        <w:t xml:space="preserve"> </w:t>
      </w:r>
      <w:r w:rsidR="00FC31AA" w:rsidRPr="00DD6763">
        <w:rPr>
          <w:rFonts w:ascii="Times New Roman" w:hAnsi="Times New Roman" w:cs="Times New Roman"/>
          <w:sz w:val="24"/>
          <w:szCs w:val="24"/>
        </w:rPr>
        <w:t xml:space="preserve"> </w:t>
      </w:r>
      <w:r w:rsidR="00D26434" w:rsidRPr="00DD6763">
        <w:rPr>
          <w:rFonts w:ascii="Times New Roman" w:hAnsi="Times New Roman" w:cs="Times New Roman"/>
          <w:sz w:val="24"/>
          <w:szCs w:val="24"/>
        </w:rPr>
        <w:t>An</w:t>
      </w:r>
      <w:r w:rsidR="00021BFA" w:rsidRPr="00DD6763">
        <w:rPr>
          <w:rFonts w:ascii="Times New Roman" w:hAnsi="Times New Roman" w:cs="Times New Roman"/>
          <w:sz w:val="24"/>
          <w:szCs w:val="24"/>
        </w:rPr>
        <w:t xml:space="preserve">aya and </w:t>
      </w:r>
      <w:proofErr w:type="spellStart"/>
      <w:r w:rsidR="00021BFA" w:rsidRPr="00DD6763">
        <w:rPr>
          <w:rFonts w:ascii="Times New Roman" w:hAnsi="Times New Roman" w:cs="Times New Roman"/>
          <w:sz w:val="24"/>
          <w:szCs w:val="24"/>
        </w:rPr>
        <w:t>Puig</w:t>
      </w:r>
      <w:proofErr w:type="spellEnd"/>
      <w:r w:rsidR="00021BFA" w:rsidRPr="00DD6763">
        <w:rPr>
          <w:rFonts w:ascii="Times New Roman" w:hAnsi="Times New Roman" w:cs="Times New Roman"/>
          <w:sz w:val="24"/>
          <w:szCs w:val="24"/>
        </w:rPr>
        <w:t xml:space="preserve"> indicate that IIAs “</w:t>
      </w:r>
      <w:r w:rsidR="00D26434" w:rsidRPr="00DD6763">
        <w:rPr>
          <w:rFonts w:ascii="Times New Roman" w:hAnsi="Times New Roman" w:cs="Times New Roman"/>
          <w:sz w:val="24"/>
          <w:szCs w:val="24"/>
        </w:rPr>
        <w:t>provide extensive protections to foreign investors without the adequate policy and regulatory space to ensure</w:t>
      </w:r>
      <w:r w:rsidR="00021BFA" w:rsidRPr="00DD6763">
        <w:rPr>
          <w:rFonts w:ascii="Times New Roman" w:hAnsi="Times New Roman" w:cs="Times New Roman"/>
          <w:sz w:val="24"/>
          <w:szCs w:val="24"/>
        </w:rPr>
        <w:t xml:space="preserve"> the protection of human rights</w:t>
      </w:r>
      <w:r w:rsidR="00A13BE2" w:rsidRPr="00DD6763">
        <w:rPr>
          <w:rFonts w:ascii="Times New Roman" w:hAnsi="Times New Roman" w:cs="Times New Roman"/>
          <w:sz w:val="24"/>
          <w:szCs w:val="24"/>
        </w:rPr>
        <w:t>”.</w:t>
      </w:r>
      <w:r w:rsidR="00D26434" w:rsidRPr="00DD6763">
        <w:rPr>
          <w:rStyle w:val="FootnoteReference"/>
          <w:rFonts w:ascii="Times New Roman" w:hAnsi="Times New Roman" w:cs="Times New Roman"/>
          <w:sz w:val="24"/>
          <w:szCs w:val="24"/>
        </w:rPr>
        <w:footnoteReference w:id="174"/>
      </w:r>
      <w:r w:rsidR="00D26434" w:rsidRPr="00DD6763">
        <w:rPr>
          <w:rFonts w:ascii="Times New Roman" w:hAnsi="Times New Roman" w:cs="Times New Roman"/>
          <w:sz w:val="24"/>
          <w:szCs w:val="24"/>
        </w:rPr>
        <w:t xml:space="preserve"> </w:t>
      </w:r>
      <w:r w:rsidR="0026507D" w:rsidRPr="00DD6763">
        <w:rPr>
          <w:rFonts w:ascii="Times New Roman" w:hAnsi="Times New Roman" w:cs="Times New Roman"/>
          <w:sz w:val="24"/>
          <w:szCs w:val="24"/>
        </w:rPr>
        <w:t xml:space="preserve">Another contentious issue in terms of the conflict between rights is which rights prevail when it comes to the protection of </w:t>
      </w:r>
      <w:r w:rsidR="0026507D" w:rsidRPr="00DD6763">
        <w:rPr>
          <w:rFonts w:ascii="Times New Roman" w:hAnsi="Times New Roman" w:cs="Times New Roman"/>
          <w:sz w:val="24"/>
          <w:szCs w:val="24"/>
        </w:rPr>
        <w:lastRenderedPageBreak/>
        <w:t xml:space="preserve">human rights in </w:t>
      </w:r>
      <w:r w:rsidR="00DA775D" w:rsidRPr="00DD6763">
        <w:rPr>
          <w:rFonts w:ascii="Times New Roman" w:hAnsi="Times New Roman" w:cs="Times New Roman"/>
          <w:sz w:val="24"/>
          <w:szCs w:val="24"/>
        </w:rPr>
        <w:t>IIL</w:t>
      </w:r>
      <w:r w:rsidR="0026507D" w:rsidRPr="00DD6763">
        <w:rPr>
          <w:rFonts w:ascii="Times New Roman" w:hAnsi="Times New Roman" w:cs="Times New Roman"/>
          <w:sz w:val="24"/>
          <w:szCs w:val="24"/>
        </w:rPr>
        <w:t xml:space="preserve">. </w:t>
      </w:r>
      <w:proofErr w:type="spellStart"/>
      <w:r w:rsidR="0026507D" w:rsidRPr="00DD6763">
        <w:rPr>
          <w:rFonts w:ascii="Times New Roman" w:hAnsi="Times New Roman" w:cs="Times New Roman"/>
          <w:sz w:val="24"/>
          <w:szCs w:val="24"/>
        </w:rPr>
        <w:t>Kra</w:t>
      </w:r>
      <w:r w:rsidR="00021BFA" w:rsidRPr="00DD6763">
        <w:rPr>
          <w:rFonts w:ascii="Times New Roman" w:hAnsi="Times New Roman" w:cs="Times New Roman"/>
          <w:sz w:val="24"/>
          <w:szCs w:val="24"/>
        </w:rPr>
        <w:t>jweski</w:t>
      </w:r>
      <w:proofErr w:type="spellEnd"/>
      <w:r w:rsidR="00021BFA" w:rsidRPr="00DD6763">
        <w:rPr>
          <w:rFonts w:ascii="Times New Roman" w:hAnsi="Times New Roman" w:cs="Times New Roman"/>
          <w:sz w:val="24"/>
          <w:szCs w:val="24"/>
        </w:rPr>
        <w:t xml:space="preserve"> points at the fact that “</w:t>
      </w:r>
      <w:r w:rsidR="0026507D" w:rsidRPr="00DD6763">
        <w:rPr>
          <w:rFonts w:ascii="Times New Roman" w:hAnsi="Times New Roman" w:cs="Times New Roman"/>
          <w:sz w:val="24"/>
          <w:szCs w:val="24"/>
        </w:rPr>
        <w:t>potential conflicts between trade and investment policies and human rights obligations (…</w:t>
      </w:r>
      <w:r w:rsidR="00B21F40" w:rsidRPr="00DD6763">
        <w:rPr>
          <w:rFonts w:ascii="Times New Roman" w:hAnsi="Times New Roman" w:cs="Times New Roman"/>
          <w:sz w:val="24"/>
          <w:szCs w:val="24"/>
        </w:rPr>
        <w:t>) could be avoided or solve</w:t>
      </w:r>
      <w:r w:rsidR="0026507D" w:rsidRPr="00DD6763">
        <w:rPr>
          <w:rFonts w:ascii="Times New Roman" w:hAnsi="Times New Roman" w:cs="Times New Roman"/>
          <w:sz w:val="24"/>
          <w:szCs w:val="24"/>
        </w:rPr>
        <w:t xml:space="preserve">d if human rights </w:t>
      </w:r>
      <w:r w:rsidR="00021BFA" w:rsidRPr="00DD6763">
        <w:rPr>
          <w:rFonts w:ascii="Times New Roman" w:hAnsi="Times New Roman" w:cs="Times New Roman"/>
          <w:sz w:val="24"/>
          <w:szCs w:val="24"/>
        </w:rPr>
        <w:t>would always have a higher rank</w:t>
      </w:r>
      <w:r w:rsidR="00A13BE2" w:rsidRPr="00DD6763">
        <w:rPr>
          <w:rFonts w:ascii="Times New Roman" w:hAnsi="Times New Roman" w:cs="Times New Roman"/>
          <w:sz w:val="24"/>
          <w:szCs w:val="24"/>
        </w:rPr>
        <w:t>”.</w:t>
      </w:r>
      <w:r w:rsidR="008C3A9E" w:rsidRPr="00DD6763">
        <w:rPr>
          <w:rStyle w:val="FootnoteReference"/>
          <w:rFonts w:ascii="Times New Roman" w:hAnsi="Times New Roman" w:cs="Times New Roman"/>
          <w:sz w:val="24"/>
          <w:szCs w:val="24"/>
        </w:rPr>
        <w:footnoteReference w:id="175"/>
      </w:r>
      <w:r w:rsidR="0026507D" w:rsidRPr="00DD6763">
        <w:rPr>
          <w:rFonts w:ascii="Times New Roman" w:hAnsi="Times New Roman" w:cs="Times New Roman"/>
          <w:sz w:val="24"/>
          <w:szCs w:val="24"/>
        </w:rPr>
        <w:t xml:space="preserve"> Although </w:t>
      </w:r>
      <w:r w:rsidR="0026507D" w:rsidRPr="00DD6763">
        <w:rPr>
          <w:rFonts w:ascii="Times New Roman" w:hAnsi="Times New Roman" w:cs="Times New Roman"/>
          <w:i/>
          <w:sz w:val="24"/>
          <w:szCs w:val="24"/>
        </w:rPr>
        <w:t xml:space="preserve">de </w:t>
      </w:r>
      <w:proofErr w:type="spellStart"/>
      <w:r w:rsidR="0026507D" w:rsidRPr="00DD6763">
        <w:rPr>
          <w:rFonts w:ascii="Times New Roman" w:hAnsi="Times New Roman" w:cs="Times New Roman"/>
          <w:i/>
          <w:sz w:val="24"/>
          <w:szCs w:val="24"/>
        </w:rPr>
        <w:t>lege</w:t>
      </w:r>
      <w:proofErr w:type="spellEnd"/>
      <w:r w:rsidR="0026507D" w:rsidRPr="00DD6763">
        <w:rPr>
          <w:rFonts w:ascii="Times New Roman" w:hAnsi="Times New Roman" w:cs="Times New Roman"/>
          <w:i/>
          <w:sz w:val="24"/>
          <w:szCs w:val="24"/>
        </w:rPr>
        <w:t xml:space="preserve"> </w:t>
      </w:r>
      <w:proofErr w:type="spellStart"/>
      <w:r w:rsidR="0026507D" w:rsidRPr="00DD6763">
        <w:rPr>
          <w:rFonts w:ascii="Times New Roman" w:hAnsi="Times New Roman" w:cs="Times New Roman"/>
          <w:i/>
          <w:sz w:val="24"/>
          <w:szCs w:val="24"/>
        </w:rPr>
        <w:t>lata</w:t>
      </w:r>
      <w:proofErr w:type="spellEnd"/>
      <w:r w:rsidR="0026507D" w:rsidRPr="00DD6763">
        <w:rPr>
          <w:rFonts w:ascii="Times New Roman" w:hAnsi="Times New Roman" w:cs="Times New Roman"/>
          <w:sz w:val="24"/>
          <w:szCs w:val="24"/>
        </w:rPr>
        <w:t xml:space="preserve"> </w:t>
      </w:r>
      <w:r w:rsidR="00021BFA" w:rsidRPr="00DD6763">
        <w:rPr>
          <w:rFonts w:ascii="Times New Roman" w:hAnsi="Times New Roman" w:cs="Times New Roman"/>
          <w:sz w:val="24"/>
          <w:szCs w:val="24"/>
        </w:rPr>
        <w:t>“</w:t>
      </w:r>
      <w:r w:rsidR="0026507D" w:rsidRPr="00DD6763">
        <w:rPr>
          <w:rFonts w:ascii="Times New Roman" w:hAnsi="Times New Roman" w:cs="Times New Roman"/>
          <w:sz w:val="24"/>
          <w:szCs w:val="24"/>
        </w:rPr>
        <w:t xml:space="preserve">there is no clear </w:t>
      </w:r>
      <w:r w:rsidR="00B21F40" w:rsidRPr="00DD6763">
        <w:rPr>
          <w:rFonts w:ascii="Times New Roman" w:hAnsi="Times New Roman" w:cs="Times New Roman"/>
          <w:sz w:val="24"/>
          <w:szCs w:val="24"/>
        </w:rPr>
        <w:t xml:space="preserve">and coherent practice establishing </w:t>
      </w:r>
      <w:r w:rsidR="0026507D" w:rsidRPr="00DD6763">
        <w:rPr>
          <w:rFonts w:ascii="Times New Roman" w:hAnsi="Times New Roman" w:cs="Times New Roman"/>
          <w:sz w:val="24"/>
          <w:szCs w:val="24"/>
        </w:rPr>
        <w:t>hierarchy in favour of human rights obligations</w:t>
      </w:r>
      <w:r w:rsidR="00021BFA" w:rsidRPr="00DD6763">
        <w:rPr>
          <w:rFonts w:ascii="Times New Roman" w:hAnsi="Times New Roman" w:cs="Times New Roman"/>
          <w:sz w:val="24"/>
          <w:szCs w:val="24"/>
        </w:rPr>
        <w:t>”</w:t>
      </w:r>
      <w:r w:rsidR="00B21F40" w:rsidRPr="00DD6763">
        <w:rPr>
          <w:rFonts w:ascii="Times New Roman" w:hAnsi="Times New Roman" w:cs="Times New Roman"/>
          <w:sz w:val="24"/>
          <w:szCs w:val="24"/>
        </w:rPr>
        <w:t xml:space="preserve">, the </w:t>
      </w:r>
      <w:proofErr w:type="spellStart"/>
      <w:r w:rsidR="00B21F40" w:rsidRPr="00DD6763">
        <w:rPr>
          <w:rFonts w:ascii="Times New Roman" w:hAnsi="Times New Roman" w:cs="Times New Roman"/>
          <w:sz w:val="24"/>
          <w:szCs w:val="24"/>
        </w:rPr>
        <w:t>IACtHR</w:t>
      </w:r>
      <w:proofErr w:type="spellEnd"/>
      <w:r w:rsidR="00B21F40" w:rsidRPr="00DD6763">
        <w:rPr>
          <w:rFonts w:ascii="Times New Roman" w:hAnsi="Times New Roman" w:cs="Times New Roman"/>
          <w:sz w:val="24"/>
          <w:szCs w:val="24"/>
        </w:rPr>
        <w:t xml:space="preserve"> has drawn a sort informal hierarchy, as reflected in </w:t>
      </w:r>
      <w:proofErr w:type="spellStart"/>
      <w:r w:rsidR="00086BE7" w:rsidRPr="00DD6763">
        <w:rPr>
          <w:rFonts w:ascii="Times New Roman" w:hAnsi="Times New Roman" w:cs="Times New Roman"/>
          <w:i/>
          <w:sz w:val="24"/>
          <w:szCs w:val="24"/>
        </w:rPr>
        <w:t>Sawhoya</w:t>
      </w:r>
      <w:r w:rsidR="00B21F40" w:rsidRPr="00DD6763">
        <w:rPr>
          <w:rFonts w:ascii="Times New Roman" w:hAnsi="Times New Roman" w:cs="Times New Roman"/>
          <w:i/>
          <w:sz w:val="24"/>
          <w:szCs w:val="24"/>
        </w:rPr>
        <w:t>maxa</w:t>
      </w:r>
      <w:proofErr w:type="spellEnd"/>
      <w:r w:rsidR="00B21F40" w:rsidRPr="00DD6763">
        <w:rPr>
          <w:rFonts w:ascii="Times New Roman" w:hAnsi="Times New Roman" w:cs="Times New Roman"/>
          <w:sz w:val="24"/>
          <w:szCs w:val="24"/>
        </w:rPr>
        <w:t>.</w:t>
      </w:r>
      <w:r w:rsidR="00B21F40" w:rsidRPr="00DD6763">
        <w:rPr>
          <w:rStyle w:val="FootnoteReference"/>
          <w:rFonts w:ascii="Times New Roman" w:hAnsi="Times New Roman" w:cs="Times New Roman"/>
          <w:sz w:val="24"/>
          <w:szCs w:val="24"/>
        </w:rPr>
        <w:footnoteReference w:id="176"/>
      </w:r>
    </w:p>
    <w:p w14:paraId="645FC50D" w14:textId="4A06F2A4" w:rsidR="0024717C" w:rsidRPr="00DD6763" w:rsidRDefault="001F3678" w:rsidP="004C2A24">
      <w:pPr>
        <w:widowControl w:val="0"/>
        <w:autoSpaceDE w:val="0"/>
        <w:autoSpaceDN w:val="0"/>
        <w:adjustRightInd w:val="0"/>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The </w:t>
      </w:r>
      <w:r w:rsidR="007D684F" w:rsidRPr="00DD6763">
        <w:rPr>
          <w:rFonts w:ascii="Times New Roman" w:hAnsi="Times New Roman" w:cs="Times New Roman"/>
          <w:sz w:val="24"/>
          <w:szCs w:val="24"/>
        </w:rPr>
        <w:t xml:space="preserve">open </w:t>
      </w:r>
      <w:r w:rsidRPr="00DD6763">
        <w:rPr>
          <w:rFonts w:ascii="Times New Roman" w:hAnsi="Times New Roman" w:cs="Times New Roman"/>
          <w:sz w:val="24"/>
          <w:szCs w:val="24"/>
        </w:rPr>
        <w:t xml:space="preserve">question is how to </w:t>
      </w:r>
      <w:r w:rsidR="00622C07" w:rsidRPr="00DD6763">
        <w:rPr>
          <w:rFonts w:ascii="Times New Roman" w:hAnsi="Times New Roman" w:cs="Times New Roman"/>
          <w:sz w:val="24"/>
          <w:szCs w:val="24"/>
        </w:rPr>
        <w:t>accommodate</w:t>
      </w:r>
      <w:r w:rsidR="009122D7" w:rsidRPr="00DD6763">
        <w:rPr>
          <w:rFonts w:ascii="Times New Roman" w:hAnsi="Times New Roman" w:cs="Times New Roman"/>
          <w:sz w:val="24"/>
          <w:szCs w:val="24"/>
        </w:rPr>
        <w:t xml:space="preserve"> FPIC </w:t>
      </w:r>
      <w:r w:rsidR="008E10B4" w:rsidRPr="00DD6763">
        <w:rPr>
          <w:rFonts w:ascii="Times New Roman" w:hAnsi="Times New Roman" w:cs="Times New Roman"/>
          <w:sz w:val="24"/>
          <w:szCs w:val="24"/>
        </w:rPr>
        <w:t xml:space="preserve">in investment arbitration. </w:t>
      </w:r>
      <w:r w:rsidRPr="00DD6763">
        <w:rPr>
          <w:rFonts w:ascii="Times New Roman" w:hAnsi="Times New Roman" w:cs="Times New Roman"/>
          <w:sz w:val="24"/>
          <w:szCs w:val="24"/>
        </w:rPr>
        <w:t>There are various possible avenues. First, a realistic option</w:t>
      </w:r>
      <w:r w:rsidR="008E10B4" w:rsidRPr="00DD6763">
        <w:rPr>
          <w:rFonts w:ascii="Times New Roman" w:hAnsi="Times New Roman" w:cs="Times New Roman"/>
          <w:sz w:val="24"/>
          <w:szCs w:val="24"/>
        </w:rPr>
        <w:t xml:space="preserve"> would be </w:t>
      </w:r>
      <w:r w:rsidR="00865C28" w:rsidRPr="00DD6763">
        <w:rPr>
          <w:rFonts w:ascii="Times New Roman" w:hAnsi="Times New Roman" w:cs="Times New Roman"/>
          <w:sz w:val="24"/>
          <w:szCs w:val="24"/>
        </w:rPr>
        <w:t>via the legal framework</w:t>
      </w:r>
      <w:r w:rsidR="002D2CA5" w:rsidRPr="00DD6763">
        <w:rPr>
          <w:rFonts w:ascii="Times New Roman" w:hAnsi="Times New Roman" w:cs="Times New Roman"/>
          <w:sz w:val="24"/>
          <w:szCs w:val="24"/>
        </w:rPr>
        <w:t xml:space="preserve"> applicable to regulate investments</w:t>
      </w:r>
      <w:r w:rsidR="002D7E84" w:rsidRPr="00DD6763">
        <w:rPr>
          <w:rFonts w:ascii="Times New Roman" w:hAnsi="Times New Roman" w:cs="Times New Roman"/>
          <w:sz w:val="24"/>
          <w:szCs w:val="24"/>
        </w:rPr>
        <w:t>, comprising both domestic law and international law</w:t>
      </w:r>
      <w:r w:rsidR="002D2CA5" w:rsidRPr="00DD6763">
        <w:rPr>
          <w:rFonts w:ascii="Times New Roman" w:hAnsi="Times New Roman" w:cs="Times New Roman"/>
          <w:sz w:val="24"/>
          <w:szCs w:val="24"/>
        </w:rPr>
        <w:t xml:space="preserve">.  </w:t>
      </w:r>
      <w:r w:rsidR="002D7E84" w:rsidRPr="00DD6763">
        <w:rPr>
          <w:rFonts w:ascii="Times New Roman" w:hAnsi="Times New Roman" w:cs="Times New Roman"/>
          <w:sz w:val="24"/>
          <w:szCs w:val="24"/>
        </w:rPr>
        <w:t xml:space="preserve">As regards national law, </w:t>
      </w:r>
      <w:r w:rsidR="00B00DED" w:rsidRPr="00DD6763">
        <w:rPr>
          <w:rFonts w:ascii="Times New Roman" w:hAnsi="Times New Roman" w:cs="Times New Roman"/>
          <w:sz w:val="24"/>
          <w:szCs w:val="24"/>
        </w:rPr>
        <w:t>it</w:t>
      </w:r>
      <w:r w:rsidR="002D7E84" w:rsidRPr="00DD6763">
        <w:rPr>
          <w:rFonts w:ascii="Times New Roman" w:hAnsi="Times New Roman" w:cs="Times New Roman"/>
          <w:sz w:val="24"/>
          <w:szCs w:val="24"/>
        </w:rPr>
        <w:t xml:space="preserve"> is settled i</w:t>
      </w:r>
      <w:r w:rsidRPr="00DD6763">
        <w:rPr>
          <w:rFonts w:ascii="Times New Roman" w:hAnsi="Times New Roman" w:cs="Times New Roman"/>
          <w:sz w:val="24"/>
          <w:szCs w:val="24"/>
        </w:rPr>
        <w:t xml:space="preserve">n </w:t>
      </w:r>
      <w:r w:rsidR="00DA775D" w:rsidRPr="00DD6763">
        <w:rPr>
          <w:rFonts w:ascii="Times New Roman" w:hAnsi="Times New Roman" w:cs="Times New Roman"/>
          <w:sz w:val="24"/>
          <w:szCs w:val="24"/>
        </w:rPr>
        <w:t>IIL</w:t>
      </w:r>
      <w:r w:rsidR="002D7E84" w:rsidRPr="00DD6763">
        <w:rPr>
          <w:rFonts w:ascii="Times New Roman" w:hAnsi="Times New Roman" w:cs="Times New Roman"/>
          <w:sz w:val="24"/>
          <w:szCs w:val="24"/>
        </w:rPr>
        <w:t xml:space="preserve"> </w:t>
      </w:r>
      <w:r w:rsidR="00865C28" w:rsidRPr="00DD6763">
        <w:rPr>
          <w:rFonts w:ascii="Times New Roman" w:hAnsi="Times New Roman" w:cs="Times New Roman"/>
          <w:sz w:val="24"/>
          <w:szCs w:val="24"/>
        </w:rPr>
        <w:t>that only investments made in accordance to the host state’s legislation</w:t>
      </w:r>
      <w:r w:rsidR="000B175D" w:rsidRPr="00DD6763">
        <w:rPr>
          <w:rFonts w:ascii="Times New Roman" w:hAnsi="Times New Roman" w:cs="Times New Roman"/>
          <w:sz w:val="24"/>
          <w:szCs w:val="24"/>
        </w:rPr>
        <w:t xml:space="preserve"> (which comprises not only the provisions regulating on foreign investment but also all the relevant provisions applicable)</w:t>
      </w:r>
      <w:r w:rsidR="000B175D" w:rsidRPr="00DD6763">
        <w:rPr>
          <w:rStyle w:val="FootnoteReference"/>
          <w:rFonts w:ascii="Times New Roman" w:hAnsi="Times New Roman" w:cs="Times New Roman"/>
          <w:sz w:val="24"/>
          <w:szCs w:val="24"/>
        </w:rPr>
        <w:t xml:space="preserve"> </w:t>
      </w:r>
      <w:r w:rsidR="000B175D" w:rsidRPr="00DD6763">
        <w:rPr>
          <w:rStyle w:val="FootnoteReference"/>
          <w:rFonts w:ascii="Times New Roman" w:hAnsi="Times New Roman" w:cs="Times New Roman"/>
          <w:sz w:val="24"/>
          <w:szCs w:val="24"/>
        </w:rPr>
        <w:footnoteReference w:id="177"/>
      </w:r>
      <w:r w:rsidR="00865C28" w:rsidRPr="00DD6763">
        <w:rPr>
          <w:rFonts w:ascii="Times New Roman" w:hAnsi="Times New Roman" w:cs="Times New Roman"/>
          <w:sz w:val="24"/>
          <w:szCs w:val="24"/>
        </w:rPr>
        <w:t xml:space="preserve"> enjoy protection under the respective IIA.</w:t>
      </w:r>
      <w:r w:rsidR="003B384C" w:rsidRPr="00DD6763">
        <w:rPr>
          <w:rStyle w:val="FootnoteReference"/>
          <w:rFonts w:ascii="Times New Roman" w:hAnsi="Times New Roman" w:cs="Times New Roman"/>
          <w:sz w:val="24"/>
          <w:szCs w:val="24"/>
        </w:rPr>
        <w:footnoteReference w:id="178"/>
      </w:r>
      <w:r w:rsidR="00865C28" w:rsidRPr="00DD6763">
        <w:rPr>
          <w:rFonts w:ascii="Times New Roman" w:hAnsi="Times New Roman" w:cs="Times New Roman"/>
          <w:sz w:val="24"/>
          <w:szCs w:val="24"/>
        </w:rPr>
        <w:t xml:space="preserve"> </w:t>
      </w:r>
      <w:r w:rsidR="000B175D" w:rsidRPr="00DD6763">
        <w:rPr>
          <w:rFonts w:ascii="Times New Roman" w:hAnsi="Times New Roman" w:cs="Times New Roman"/>
          <w:sz w:val="24"/>
          <w:szCs w:val="24"/>
        </w:rPr>
        <w:t>C</w:t>
      </w:r>
      <w:r w:rsidR="00865C28" w:rsidRPr="00DD6763">
        <w:rPr>
          <w:rFonts w:ascii="Times New Roman" w:hAnsi="Times New Roman" w:cs="Times New Roman"/>
          <w:sz w:val="24"/>
          <w:szCs w:val="24"/>
        </w:rPr>
        <w:t xml:space="preserve">ompliance with </w:t>
      </w:r>
      <w:r w:rsidR="000B175D" w:rsidRPr="00DD6763">
        <w:rPr>
          <w:rFonts w:ascii="Times New Roman" w:hAnsi="Times New Roman" w:cs="Times New Roman"/>
          <w:sz w:val="24"/>
          <w:szCs w:val="24"/>
        </w:rPr>
        <w:t>domestic law regulating consultation and FPIC</w:t>
      </w:r>
      <w:r w:rsidR="00865C28" w:rsidRPr="00DD6763">
        <w:rPr>
          <w:rFonts w:ascii="Times New Roman" w:hAnsi="Times New Roman" w:cs="Times New Roman"/>
          <w:sz w:val="24"/>
          <w:szCs w:val="24"/>
        </w:rPr>
        <w:t xml:space="preserve"> </w:t>
      </w:r>
      <w:r w:rsidR="000B175D" w:rsidRPr="00DD6763">
        <w:rPr>
          <w:rFonts w:ascii="Times New Roman" w:hAnsi="Times New Roman" w:cs="Times New Roman"/>
          <w:sz w:val="24"/>
          <w:szCs w:val="24"/>
        </w:rPr>
        <w:t xml:space="preserve">thus </w:t>
      </w:r>
      <w:r w:rsidR="00865C28" w:rsidRPr="00DD6763">
        <w:rPr>
          <w:rFonts w:ascii="Times New Roman" w:hAnsi="Times New Roman" w:cs="Times New Roman"/>
          <w:sz w:val="24"/>
          <w:szCs w:val="24"/>
        </w:rPr>
        <w:t>would constitute a requirement for the investment to be lawful</w:t>
      </w:r>
      <w:r w:rsidR="000B175D" w:rsidRPr="00DD6763">
        <w:rPr>
          <w:rFonts w:ascii="Times New Roman" w:hAnsi="Times New Roman" w:cs="Times New Roman"/>
          <w:sz w:val="24"/>
          <w:szCs w:val="24"/>
        </w:rPr>
        <w:t>, which failure may give rise to a claim of illegality against the foreign investor</w:t>
      </w:r>
      <w:r w:rsidR="00865C28" w:rsidRPr="00DD6763">
        <w:rPr>
          <w:rFonts w:ascii="Times New Roman" w:hAnsi="Times New Roman" w:cs="Times New Roman"/>
          <w:sz w:val="24"/>
          <w:szCs w:val="24"/>
        </w:rPr>
        <w:t>.</w:t>
      </w:r>
      <w:r w:rsidR="000B175D" w:rsidRPr="00DD6763">
        <w:rPr>
          <w:rStyle w:val="FootnoteReference"/>
          <w:rFonts w:ascii="Times New Roman" w:hAnsi="Times New Roman" w:cs="Times New Roman"/>
          <w:sz w:val="24"/>
          <w:szCs w:val="24"/>
        </w:rPr>
        <w:footnoteReference w:id="179"/>
      </w:r>
      <w:r w:rsidR="00A5145F" w:rsidRPr="00DD6763">
        <w:rPr>
          <w:rFonts w:ascii="Times New Roman" w:hAnsi="Times New Roman" w:cs="Times New Roman"/>
          <w:sz w:val="24"/>
          <w:szCs w:val="24"/>
        </w:rPr>
        <w:t xml:space="preserve"> </w:t>
      </w:r>
      <w:r w:rsidR="000B175D" w:rsidRPr="00DD6763">
        <w:rPr>
          <w:rFonts w:ascii="Times New Roman" w:hAnsi="Times New Roman" w:cs="Times New Roman"/>
          <w:sz w:val="24"/>
          <w:szCs w:val="24"/>
        </w:rPr>
        <w:t>International investment arbitration</w:t>
      </w:r>
      <w:r w:rsidR="0024717C" w:rsidRPr="00DD6763">
        <w:rPr>
          <w:rFonts w:ascii="Times New Roman" w:hAnsi="Times New Roman" w:cs="Times New Roman"/>
          <w:sz w:val="24"/>
          <w:szCs w:val="24"/>
        </w:rPr>
        <w:t xml:space="preserve"> </w:t>
      </w:r>
      <w:r w:rsidR="000B175D" w:rsidRPr="00DD6763">
        <w:rPr>
          <w:rFonts w:ascii="Times New Roman" w:hAnsi="Times New Roman" w:cs="Times New Roman"/>
          <w:sz w:val="24"/>
          <w:szCs w:val="24"/>
        </w:rPr>
        <w:t>practice relating to corruption cases</w:t>
      </w:r>
      <w:r w:rsidR="00A5145F" w:rsidRPr="00DD6763">
        <w:rPr>
          <w:rFonts w:ascii="Times New Roman" w:hAnsi="Times New Roman" w:cs="Times New Roman"/>
          <w:sz w:val="24"/>
          <w:szCs w:val="24"/>
        </w:rPr>
        <w:t xml:space="preserve"> </w:t>
      </w:r>
      <w:r w:rsidR="0024717C" w:rsidRPr="00DD6763">
        <w:rPr>
          <w:rFonts w:ascii="Times New Roman" w:hAnsi="Times New Roman" w:cs="Times New Roman"/>
          <w:sz w:val="24"/>
          <w:szCs w:val="24"/>
        </w:rPr>
        <w:t>that supports this arguments</w:t>
      </w:r>
      <w:r w:rsidR="00A5145F" w:rsidRPr="00DD6763">
        <w:rPr>
          <w:rFonts w:ascii="Times New Roman" w:hAnsi="Times New Roman" w:cs="Times New Roman"/>
          <w:sz w:val="24"/>
          <w:szCs w:val="24"/>
        </w:rPr>
        <w:t>.</w:t>
      </w:r>
      <w:r w:rsidR="0024717C" w:rsidRPr="00DD6763">
        <w:rPr>
          <w:rStyle w:val="FootnoteReference"/>
          <w:rFonts w:ascii="Times New Roman" w:hAnsi="Times New Roman" w:cs="Times New Roman"/>
          <w:sz w:val="24"/>
          <w:szCs w:val="24"/>
        </w:rPr>
        <w:footnoteReference w:id="180"/>
      </w:r>
      <w:r w:rsidR="00865C28" w:rsidRPr="00DD6763">
        <w:rPr>
          <w:rFonts w:ascii="Times New Roman" w:hAnsi="Times New Roman" w:cs="Times New Roman"/>
          <w:sz w:val="24"/>
          <w:szCs w:val="24"/>
        </w:rPr>
        <w:t xml:space="preserve"> </w:t>
      </w:r>
      <w:r w:rsidR="002D2CA5" w:rsidRPr="00DD6763">
        <w:rPr>
          <w:rFonts w:ascii="Times New Roman" w:hAnsi="Times New Roman" w:cs="Times New Roman"/>
          <w:sz w:val="24"/>
          <w:szCs w:val="24"/>
        </w:rPr>
        <w:t xml:space="preserve"> </w:t>
      </w:r>
      <w:r w:rsidR="0024717C" w:rsidRPr="00DD6763">
        <w:rPr>
          <w:rFonts w:ascii="Times New Roman" w:hAnsi="Times New Roman" w:cs="Times New Roman"/>
          <w:sz w:val="24"/>
          <w:szCs w:val="24"/>
        </w:rPr>
        <w:t xml:space="preserve">In relation to the international law framework, </w:t>
      </w:r>
      <w:r w:rsidR="00865C28" w:rsidRPr="00DD6763">
        <w:rPr>
          <w:rFonts w:ascii="Times New Roman" w:hAnsi="Times New Roman" w:cs="Times New Roman"/>
          <w:sz w:val="24"/>
          <w:szCs w:val="24"/>
        </w:rPr>
        <w:t xml:space="preserve">the applicable law </w:t>
      </w:r>
      <w:r w:rsidR="009A123C" w:rsidRPr="00DD6763">
        <w:rPr>
          <w:rFonts w:ascii="Times New Roman" w:hAnsi="Times New Roman" w:cs="Times New Roman"/>
          <w:sz w:val="24"/>
          <w:szCs w:val="24"/>
        </w:rPr>
        <w:t>defined</w:t>
      </w:r>
      <w:r w:rsidR="002D2CA5" w:rsidRPr="00DD6763">
        <w:rPr>
          <w:rFonts w:ascii="Times New Roman" w:hAnsi="Times New Roman" w:cs="Times New Roman"/>
          <w:sz w:val="24"/>
          <w:szCs w:val="24"/>
        </w:rPr>
        <w:t xml:space="preserve"> in the IIA</w:t>
      </w:r>
      <w:r w:rsidR="006D2212" w:rsidRPr="00DD6763">
        <w:rPr>
          <w:rFonts w:ascii="Times New Roman" w:hAnsi="Times New Roman" w:cs="Times New Roman"/>
          <w:sz w:val="24"/>
          <w:szCs w:val="24"/>
        </w:rPr>
        <w:t xml:space="preserve"> includes international law</w:t>
      </w:r>
      <w:r w:rsidR="00FC31AA" w:rsidRPr="00DD6763">
        <w:rPr>
          <w:rFonts w:ascii="Times New Roman" w:hAnsi="Times New Roman" w:cs="Times New Roman"/>
          <w:sz w:val="24"/>
          <w:szCs w:val="24"/>
        </w:rPr>
        <w:t xml:space="preserve"> as </w:t>
      </w:r>
      <w:r w:rsidR="00D17DB2" w:rsidRPr="00DD6763">
        <w:rPr>
          <w:rFonts w:ascii="Times New Roman" w:hAnsi="Times New Roman" w:cs="Times New Roman"/>
          <w:sz w:val="24"/>
          <w:szCs w:val="24"/>
        </w:rPr>
        <w:t>a whole and based on Article 31.</w:t>
      </w:r>
      <w:r w:rsidR="00CB1B0E" w:rsidRPr="00DD6763">
        <w:rPr>
          <w:rFonts w:ascii="Times New Roman" w:hAnsi="Times New Roman" w:cs="Times New Roman"/>
          <w:sz w:val="24"/>
          <w:szCs w:val="24"/>
        </w:rPr>
        <w:t>3</w:t>
      </w:r>
      <w:r w:rsidR="00D17DB2" w:rsidRPr="00DD6763">
        <w:rPr>
          <w:rFonts w:ascii="Times New Roman" w:hAnsi="Times New Roman" w:cs="Times New Roman"/>
          <w:sz w:val="24"/>
          <w:szCs w:val="24"/>
        </w:rPr>
        <w:t>.</w:t>
      </w:r>
      <w:r w:rsidR="00FC31AA" w:rsidRPr="00DD6763">
        <w:rPr>
          <w:rFonts w:ascii="Times New Roman" w:hAnsi="Times New Roman" w:cs="Times New Roman"/>
          <w:sz w:val="24"/>
          <w:szCs w:val="24"/>
        </w:rPr>
        <w:t xml:space="preserve">c) of the </w:t>
      </w:r>
      <w:r w:rsidR="00CB1B0E" w:rsidRPr="00DD6763">
        <w:rPr>
          <w:rFonts w:ascii="Times New Roman" w:hAnsi="Times New Roman" w:cs="Times New Roman"/>
          <w:sz w:val="24"/>
          <w:szCs w:val="24"/>
        </w:rPr>
        <w:t>VCLT</w:t>
      </w:r>
      <w:r w:rsidR="00CB1B0E" w:rsidRPr="00DD6763">
        <w:rPr>
          <w:rStyle w:val="FootnoteReference"/>
          <w:rFonts w:ascii="Times New Roman" w:hAnsi="Times New Roman" w:cs="Times New Roman"/>
          <w:sz w:val="24"/>
          <w:szCs w:val="24"/>
        </w:rPr>
        <w:footnoteReference w:id="181"/>
      </w:r>
      <w:r w:rsidR="00FC31AA" w:rsidRPr="00DD6763">
        <w:rPr>
          <w:rFonts w:ascii="Times New Roman" w:hAnsi="Times New Roman" w:cs="Times New Roman"/>
          <w:sz w:val="24"/>
          <w:szCs w:val="24"/>
        </w:rPr>
        <w:t xml:space="preserve"> investment tribunal could take into consideration </w:t>
      </w:r>
      <w:r w:rsidR="008F6DAA" w:rsidRPr="00DD6763">
        <w:rPr>
          <w:rFonts w:ascii="Times New Roman" w:hAnsi="Times New Roman" w:cs="Times New Roman"/>
          <w:sz w:val="24"/>
          <w:szCs w:val="24"/>
        </w:rPr>
        <w:t>IHRL</w:t>
      </w:r>
      <w:r w:rsidR="009122D7" w:rsidRPr="00DD6763">
        <w:rPr>
          <w:rFonts w:ascii="Times New Roman" w:hAnsi="Times New Roman" w:cs="Times New Roman"/>
          <w:sz w:val="24"/>
          <w:szCs w:val="24"/>
        </w:rPr>
        <w:t>.</w:t>
      </w:r>
      <w:r w:rsidR="00FC31AA" w:rsidRPr="00DD6763">
        <w:rPr>
          <w:rStyle w:val="FootnoteReference"/>
          <w:rFonts w:ascii="Times New Roman" w:hAnsi="Times New Roman" w:cs="Times New Roman"/>
          <w:sz w:val="24"/>
          <w:szCs w:val="24"/>
        </w:rPr>
        <w:footnoteReference w:id="182"/>
      </w:r>
      <w:r w:rsidR="009122D7" w:rsidRPr="00DD6763">
        <w:rPr>
          <w:rFonts w:ascii="Times New Roman" w:hAnsi="Times New Roman" w:cs="Times New Roman"/>
          <w:sz w:val="24"/>
          <w:szCs w:val="24"/>
        </w:rPr>
        <w:t xml:space="preserve"> </w:t>
      </w:r>
      <w:r w:rsidR="00865C28" w:rsidRPr="00DD6763">
        <w:rPr>
          <w:rFonts w:ascii="Times New Roman" w:hAnsi="Times New Roman" w:cs="Times New Roman"/>
          <w:sz w:val="24"/>
          <w:szCs w:val="24"/>
        </w:rPr>
        <w:t>A</w:t>
      </w:r>
      <w:r w:rsidR="00FC31AA" w:rsidRPr="00DD6763">
        <w:rPr>
          <w:rFonts w:ascii="Times New Roman" w:hAnsi="Times New Roman" w:cs="Times New Roman"/>
          <w:sz w:val="24"/>
          <w:szCs w:val="24"/>
        </w:rPr>
        <w:t xml:space="preserve">ssuming that FPIC is </w:t>
      </w:r>
      <w:r w:rsidR="008E10B4" w:rsidRPr="00DD6763">
        <w:rPr>
          <w:rFonts w:ascii="Times New Roman" w:hAnsi="Times New Roman" w:cs="Times New Roman"/>
          <w:sz w:val="24"/>
          <w:szCs w:val="24"/>
        </w:rPr>
        <w:t>regulated in customary international law</w:t>
      </w:r>
      <w:r w:rsidR="009A123C" w:rsidRPr="00DD6763">
        <w:rPr>
          <w:rFonts w:ascii="Times New Roman" w:hAnsi="Times New Roman" w:cs="Times New Roman"/>
          <w:sz w:val="24"/>
          <w:szCs w:val="24"/>
        </w:rPr>
        <w:t>,</w:t>
      </w:r>
      <w:r w:rsidR="008E10B4" w:rsidRPr="00DD6763">
        <w:rPr>
          <w:rFonts w:ascii="Times New Roman" w:hAnsi="Times New Roman" w:cs="Times New Roman"/>
          <w:sz w:val="24"/>
          <w:szCs w:val="24"/>
        </w:rPr>
        <w:t xml:space="preserve"> as discussed above</w:t>
      </w:r>
      <w:r w:rsidR="009A123C" w:rsidRPr="00DD6763">
        <w:rPr>
          <w:rFonts w:ascii="Times New Roman" w:hAnsi="Times New Roman" w:cs="Times New Roman"/>
          <w:sz w:val="24"/>
          <w:szCs w:val="24"/>
        </w:rPr>
        <w:t>,</w:t>
      </w:r>
      <w:r w:rsidR="008E10B4" w:rsidRPr="00DD6763">
        <w:rPr>
          <w:rFonts w:ascii="Times New Roman" w:hAnsi="Times New Roman" w:cs="Times New Roman"/>
          <w:sz w:val="24"/>
          <w:szCs w:val="24"/>
        </w:rPr>
        <w:t xml:space="preserve"> it would become immediately applicable</w:t>
      </w:r>
      <w:r w:rsidR="0024717C" w:rsidRPr="00DD6763">
        <w:rPr>
          <w:rFonts w:ascii="Times New Roman" w:hAnsi="Times New Roman" w:cs="Times New Roman"/>
          <w:sz w:val="24"/>
          <w:szCs w:val="24"/>
        </w:rPr>
        <w:t>.</w:t>
      </w:r>
      <w:r w:rsidR="00A5145F" w:rsidRPr="00DD6763">
        <w:rPr>
          <w:rFonts w:ascii="Times New Roman" w:hAnsi="Times New Roman" w:cs="Times New Roman"/>
          <w:sz w:val="24"/>
          <w:szCs w:val="24"/>
        </w:rPr>
        <w:t xml:space="preserve"> </w:t>
      </w:r>
      <w:r w:rsidR="0024717C" w:rsidRPr="00DD6763">
        <w:rPr>
          <w:rFonts w:ascii="Times New Roman" w:hAnsi="Times New Roman" w:cs="Times New Roman"/>
          <w:sz w:val="24"/>
          <w:szCs w:val="24"/>
        </w:rPr>
        <w:t xml:space="preserve"> </w:t>
      </w:r>
    </w:p>
    <w:p w14:paraId="104DE9DE" w14:textId="472B194C" w:rsidR="00347C4C" w:rsidRPr="00DD6763" w:rsidRDefault="002D2CA5" w:rsidP="004C2A24">
      <w:pPr>
        <w:widowControl w:val="0"/>
        <w:autoSpaceDE w:val="0"/>
        <w:autoSpaceDN w:val="0"/>
        <w:adjustRightInd w:val="0"/>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Second</w:t>
      </w:r>
      <w:r w:rsidR="00865C28" w:rsidRPr="00DD6763">
        <w:rPr>
          <w:rFonts w:ascii="Times New Roman" w:hAnsi="Times New Roman" w:cs="Times New Roman"/>
          <w:sz w:val="24"/>
          <w:szCs w:val="24"/>
        </w:rPr>
        <w:t>, there are different procedural channels to introduce FPIC</w:t>
      </w:r>
      <w:r w:rsidR="0026507D" w:rsidRPr="00DD6763">
        <w:rPr>
          <w:rFonts w:ascii="Times New Roman" w:hAnsi="Times New Roman" w:cs="Times New Roman"/>
          <w:sz w:val="24"/>
          <w:szCs w:val="24"/>
        </w:rPr>
        <w:t xml:space="preserve"> as a substantive </w:t>
      </w:r>
      <w:r w:rsidR="006D2212" w:rsidRPr="00DD6763">
        <w:rPr>
          <w:rFonts w:ascii="Times New Roman" w:hAnsi="Times New Roman" w:cs="Times New Roman"/>
          <w:sz w:val="24"/>
          <w:szCs w:val="24"/>
        </w:rPr>
        <w:t xml:space="preserve">law </w:t>
      </w:r>
      <w:r w:rsidR="0026507D" w:rsidRPr="00DD6763">
        <w:rPr>
          <w:rFonts w:ascii="Times New Roman" w:hAnsi="Times New Roman" w:cs="Times New Roman"/>
          <w:sz w:val="24"/>
          <w:szCs w:val="24"/>
        </w:rPr>
        <w:t>issue to be addressed by the investment tribunal</w:t>
      </w:r>
      <w:r w:rsidR="00865C28" w:rsidRPr="00DD6763">
        <w:rPr>
          <w:rFonts w:ascii="Times New Roman" w:hAnsi="Times New Roman" w:cs="Times New Roman"/>
          <w:sz w:val="24"/>
          <w:szCs w:val="24"/>
        </w:rPr>
        <w:t xml:space="preserve">. </w:t>
      </w:r>
      <w:r w:rsidR="00B0345F" w:rsidRPr="00DD6763">
        <w:rPr>
          <w:rFonts w:ascii="Times New Roman" w:hAnsi="Times New Roman" w:cs="Times New Roman"/>
          <w:sz w:val="24"/>
          <w:szCs w:val="24"/>
        </w:rPr>
        <w:t xml:space="preserve">In </w:t>
      </w:r>
      <w:r w:rsidR="00DA775D" w:rsidRPr="00DD6763">
        <w:rPr>
          <w:rFonts w:ascii="Times New Roman" w:hAnsi="Times New Roman" w:cs="Times New Roman"/>
          <w:sz w:val="24"/>
          <w:szCs w:val="24"/>
        </w:rPr>
        <w:t>IIL</w:t>
      </w:r>
      <w:r w:rsidR="00B0345F" w:rsidRPr="00DD6763">
        <w:rPr>
          <w:rFonts w:ascii="Times New Roman" w:hAnsi="Times New Roman" w:cs="Times New Roman"/>
          <w:sz w:val="24"/>
          <w:szCs w:val="24"/>
        </w:rPr>
        <w:t xml:space="preserve">, recently adopted procedural rules </w:t>
      </w:r>
      <w:r w:rsidR="00370301" w:rsidRPr="00DD6763">
        <w:rPr>
          <w:rFonts w:ascii="Times New Roman" w:hAnsi="Times New Roman" w:cs="Times New Roman"/>
          <w:sz w:val="24"/>
          <w:szCs w:val="24"/>
        </w:rPr>
        <w:t xml:space="preserve">on transparency </w:t>
      </w:r>
      <w:r w:rsidR="00B0345F" w:rsidRPr="00DD6763">
        <w:rPr>
          <w:rFonts w:ascii="Times New Roman" w:hAnsi="Times New Roman" w:cs="Times New Roman"/>
          <w:sz w:val="24"/>
          <w:szCs w:val="24"/>
        </w:rPr>
        <w:t>regulate third party intervention, granting the possibility to submit amicus curiae files. This procedural dimension of FPIC is analysed in detail below.</w:t>
      </w:r>
    </w:p>
    <w:p w14:paraId="1811A42C" w14:textId="03C5556D" w:rsidR="00626869" w:rsidRPr="00DD6763" w:rsidRDefault="00626869" w:rsidP="00C0087D">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Overall, arbitral tribunals are less prone to investigate human rights or environmental damage allegations when it comes to indigenous rights</w:t>
      </w:r>
      <w:r w:rsidR="00122B2B" w:rsidRPr="00DD6763">
        <w:rPr>
          <w:rFonts w:ascii="Times New Roman" w:hAnsi="Times New Roman" w:cs="Times New Roman"/>
          <w:sz w:val="24"/>
          <w:szCs w:val="24"/>
        </w:rPr>
        <w:t>. T</w:t>
      </w:r>
      <w:r w:rsidR="00A5145F" w:rsidRPr="00DD6763">
        <w:rPr>
          <w:rFonts w:ascii="Times New Roman" w:hAnsi="Times New Roman" w:cs="Times New Roman"/>
          <w:sz w:val="24"/>
          <w:szCs w:val="24"/>
        </w:rPr>
        <w:t xml:space="preserve">he main reason </w:t>
      </w:r>
      <w:r w:rsidR="004B19A5" w:rsidRPr="00DD6763">
        <w:rPr>
          <w:rFonts w:ascii="Times New Roman" w:hAnsi="Times New Roman" w:cs="Times New Roman"/>
          <w:sz w:val="24"/>
          <w:szCs w:val="24"/>
        </w:rPr>
        <w:t xml:space="preserve">behind this reluctance </w:t>
      </w:r>
      <w:r w:rsidR="00A5145F" w:rsidRPr="00DD6763">
        <w:rPr>
          <w:rFonts w:ascii="Times New Roman" w:hAnsi="Times New Roman" w:cs="Times New Roman"/>
          <w:sz w:val="24"/>
          <w:szCs w:val="24"/>
        </w:rPr>
        <w:t xml:space="preserve">is that human rights considerations are </w:t>
      </w:r>
      <w:r w:rsidR="00122B2B" w:rsidRPr="00DD6763">
        <w:rPr>
          <w:rFonts w:ascii="Times New Roman" w:hAnsi="Times New Roman" w:cs="Times New Roman"/>
          <w:sz w:val="24"/>
          <w:szCs w:val="24"/>
        </w:rPr>
        <w:t>neither regulated in IIAs nor</w:t>
      </w:r>
      <w:r w:rsidR="00A5145F" w:rsidRPr="00DD6763">
        <w:rPr>
          <w:rFonts w:ascii="Times New Roman" w:hAnsi="Times New Roman" w:cs="Times New Roman"/>
          <w:sz w:val="24"/>
          <w:szCs w:val="24"/>
        </w:rPr>
        <w:t xml:space="preserve"> comprised within the arbitrators’</w:t>
      </w:r>
      <w:r w:rsidR="004B19A5" w:rsidRPr="00DD6763">
        <w:rPr>
          <w:rFonts w:ascii="Times New Roman" w:hAnsi="Times New Roman" w:cs="Times New Roman"/>
          <w:sz w:val="24"/>
          <w:szCs w:val="24"/>
        </w:rPr>
        <w:t xml:space="preserve"> </w:t>
      </w:r>
      <w:r w:rsidR="00122B2B" w:rsidRPr="00DD6763">
        <w:rPr>
          <w:rFonts w:ascii="Times New Roman" w:hAnsi="Times New Roman" w:cs="Times New Roman"/>
          <w:sz w:val="24"/>
          <w:szCs w:val="24"/>
        </w:rPr>
        <w:t>mandate. I</w:t>
      </w:r>
      <w:r w:rsidRPr="00DD6763">
        <w:rPr>
          <w:rFonts w:ascii="Times New Roman" w:hAnsi="Times New Roman" w:cs="Times New Roman"/>
          <w:sz w:val="24"/>
          <w:szCs w:val="24"/>
        </w:rPr>
        <w:t>n general, they circumscribe the scope of their analysis, limiting it to the cla</w:t>
      </w:r>
      <w:r w:rsidR="004B19A5" w:rsidRPr="00DD6763">
        <w:rPr>
          <w:rFonts w:ascii="Times New Roman" w:hAnsi="Times New Roman" w:cs="Times New Roman"/>
          <w:sz w:val="24"/>
          <w:szCs w:val="24"/>
        </w:rPr>
        <w:t xml:space="preserve">ims contained in the pleadings. </w:t>
      </w:r>
      <w:r w:rsidR="00122B2B" w:rsidRPr="00DD6763">
        <w:rPr>
          <w:rFonts w:ascii="Times New Roman" w:hAnsi="Times New Roman" w:cs="Times New Roman"/>
          <w:sz w:val="24"/>
          <w:szCs w:val="24"/>
        </w:rPr>
        <w:t xml:space="preserve">Hence, as it stands, the international investment system is not an adequate judicial resource to protect </w:t>
      </w:r>
      <w:r w:rsidR="00A5145F" w:rsidRPr="00DD6763">
        <w:rPr>
          <w:rFonts w:ascii="Times New Roman" w:hAnsi="Times New Roman" w:cs="Times New Roman"/>
          <w:sz w:val="24"/>
          <w:szCs w:val="24"/>
        </w:rPr>
        <w:t>communal property rights of indigenous com</w:t>
      </w:r>
      <w:r w:rsidR="004B19A5" w:rsidRPr="00DD6763">
        <w:rPr>
          <w:rFonts w:ascii="Times New Roman" w:hAnsi="Times New Roman" w:cs="Times New Roman"/>
          <w:sz w:val="24"/>
          <w:szCs w:val="24"/>
        </w:rPr>
        <w:t>munities</w:t>
      </w:r>
      <w:r w:rsidRPr="00DD6763">
        <w:rPr>
          <w:rFonts w:ascii="Times New Roman" w:hAnsi="Times New Roman" w:cs="Times New Roman"/>
          <w:sz w:val="24"/>
          <w:szCs w:val="24"/>
        </w:rPr>
        <w:t xml:space="preserve">, </w:t>
      </w:r>
      <w:r w:rsidR="00122B2B" w:rsidRPr="00DD6763">
        <w:rPr>
          <w:rFonts w:ascii="Times New Roman" w:hAnsi="Times New Roman" w:cs="Times New Roman"/>
          <w:sz w:val="24"/>
          <w:szCs w:val="24"/>
        </w:rPr>
        <w:t>right to consultation and FPIC</w:t>
      </w:r>
      <w:r w:rsidRPr="00DD6763">
        <w:rPr>
          <w:rFonts w:ascii="Times New Roman" w:hAnsi="Times New Roman" w:cs="Times New Roman"/>
          <w:sz w:val="24"/>
          <w:szCs w:val="24"/>
        </w:rPr>
        <w:t xml:space="preserve">. </w:t>
      </w:r>
    </w:p>
    <w:p w14:paraId="77D3DA23" w14:textId="3ADBE261" w:rsidR="00AB71EF" w:rsidRPr="00DD6763" w:rsidRDefault="00AB71EF" w:rsidP="00AF2C38">
      <w:pPr>
        <w:spacing w:after="0" w:line="276" w:lineRule="auto"/>
        <w:rPr>
          <w:rFonts w:ascii="Times New Roman" w:hAnsi="Times New Roman" w:cs="Times New Roman"/>
          <w:sz w:val="24"/>
          <w:szCs w:val="24"/>
        </w:rPr>
      </w:pPr>
    </w:p>
    <w:p w14:paraId="20887968" w14:textId="77777777" w:rsidR="00DD6763" w:rsidRPr="00DD6763" w:rsidRDefault="00DD6763" w:rsidP="00AF2C38">
      <w:pPr>
        <w:spacing w:after="0" w:line="276" w:lineRule="auto"/>
        <w:rPr>
          <w:rFonts w:ascii="Times New Roman" w:hAnsi="Times New Roman" w:cs="Times New Roman"/>
          <w:sz w:val="24"/>
          <w:szCs w:val="24"/>
        </w:rPr>
      </w:pPr>
    </w:p>
    <w:p w14:paraId="15646CB9" w14:textId="7B1B7EEE" w:rsidR="009122D7" w:rsidRPr="00DD6763" w:rsidRDefault="00CF2F49" w:rsidP="004362B0">
      <w:pPr>
        <w:spacing w:after="0" w:line="276" w:lineRule="auto"/>
        <w:outlineLvl w:val="0"/>
        <w:rPr>
          <w:rFonts w:ascii="Times New Roman" w:hAnsi="Times New Roman" w:cs="Times New Roman"/>
          <w:b/>
          <w:sz w:val="24"/>
          <w:szCs w:val="24"/>
        </w:rPr>
      </w:pPr>
      <w:r w:rsidRPr="00DD6763">
        <w:rPr>
          <w:rFonts w:ascii="Times New Roman" w:hAnsi="Times New Roman" w:cs="Times New Roman"/>
          <w:b/>
          <w:sz w:val="24"/>
          <w:szCs w:val="24"/>
        </w:rPr>
        <w:lastRenderedPageBreak/>
        <w:t>4</w:t>
      </w:r>
      <w:r w:rsidR="009122D7" w:rsidRPr="00DD6763">
        <w:rPr>
          <w:rFonts w:ascii="Times New Roman" w:hAnsi="Times New Roman" w:cs="Times New Roman"/>
          <w:b/>
          <w:sz w:val="24"/>
          <w:szCs w:val="24"/>
        </w:rPr>
        <w:t xml:space="preserve"> Discussion: </w:t>
      </w:r>
      <w:r w:rsidR="00E14F1E" w:rsidRPr="00DD6763">
        <w:rPr>
          <w:rFonts w:ascii="Times New Roman" w:hAnsi="Times New Roman" w:cs="Times New Roman"/>
          <w:b/>
          <w:sz w:val="24"/>
          <w:szCs w:val="24"/>
        </w:rPr>
        <w:t xml:space="preserve">Two </w:t>
      </w:r>
      <w:r w:rsidR="00DD6763" w:rsidRPr="00DD6763">
        <w:rPr>
          <w:rFonts w:ascii="Times New Roman" w:hAnsi="Times New Roman" w:cs="Times New Roman"/>
          <w:b/>
          <w:sz w:val="24"/>
          <w:szCs w:val="24"/>
        </w:rPr>
        <w:t xml:space="preserve">Sides </w:t>
      </w:r>
      <w:r w:rsidR="009122D7" w:rsidRPr="00DD6763">
        <w:rPr>
          <w:rFonts w:ascii="Times New Roman" w:hAnsi="Times New Roman" w:cs="Times New Roman"/>
          <w:b/>
          <w:sz w:val="24"/>
          <w:szCs w:val="24"/>
        </w:rPr>
        <w:t xml:space="preserve">of the </w:t>
      </w:r>
      <w:r w:rsidR="00DD6763" w:rsidRPr="00DD6763">
        <w:rPr>
          <w:rFonts w:ascii="Times New Roman" w:hAnsi="Times New Roman" w:cs="Times New Roman"/>
          <w:b/>
          <w:sz w:val="24"/>
          <w:szCs w:val="24"/>
        </w:rPr>
        <w:t>Same Coin?</w:t>
      </w:r>
    </w:p>
    <w:p w14:paraId="48ABC05C" w14:textId="77777777" w:rsidR="00302754" w:rsidRPr="00DD6763" w:rsidRDefault="00302754" w:rsidP="00AF2C38">
      <w:pPr>
        <w:spacing w:after="0" w:line="276" w:lineRule="auto"/>
        <w:rPr>
          <w:rFonts w:ascii="Times New Roman" w:hAnsi="Times New Roman" w:cs="Times New Roman"/>
          <w:b/>
          <w:sz w:val="24"/>
          <w:szCs w:val="24"/>
        </w:rPr>
      </w:pPr>
    </w:p>
    <w:p w14:paraId="7FFF6A60" w14:textId="1EB58217" w:rsidR="00A319CC" w:rsidRPr="00DD6763" w:rsidRDefault="005127D1" w:rsidP="00341A5B">
      <w:pPr>
        <w:widowControl w:val="0"/>
        <w:autoSpaceDE w:val="0"/>
        <w:autoSpaceDN w:val="0"/>
        <w:adjustRightInd w:val="0"/>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The a</w:t>
      </w:r>
      <w:r w:rsidR="009122D7" w:rsidRPr="00DD6763">
        <w:rPr>
          <w:rFonts w:ascii="Times New Roman" w:hAnsi="Times New Roman" w:cs="Times New Roman"/>
          <w:sz w:val="24"/>
          <w:szCs w:val="24"/>
        </w:rPr>
        <w:t xml:space="preserve">nalysis </w:t>
      </w:r>
      <w:r w:rsidR="009A123C" w:rsidRPr="00DD6763">
        <w:rPr>
          <w:rFonts w:ascii="Times New Roman" w:hAnsi="Times New Roman" w:cs="Times New Roman"/>
          <w:sz w:val="24"/>
          <w:szCs w:val="24"/>
        </w:rPr>
        <w:t xml:space="preserve">here </w:t>
      </w:r>
      <w:r w:rsidRPr="00DD6763">
        <w:rPr>
          <w:rFonts w:ascii="Times New Roman" w:hAnsi="Times New Roman" w:cs="Times New Roman"/>
          <w:sz w:val="24"/>
          <w:szCs w:val="24"/>
        </w:rPr>
        <w:t xml:space="preserve">of the </w:t>
      </w:r>
      <w:r w:rsidR="009A123C" w:rsidRPr="00DD6763">
        <w:rPr>
          <w:rFonts w:ascii="Times New Roman" w:hAnsi="Times New Roman" w:cs="Times New Roman"/>
          <w:sz w:val="24"/>
          <w:szCs w:val="24"/>
        </w:rPr>
        <w:t>key case law in these two</w:t>
      </w:r>
      <w:r w:rsidR="007E5118" w:rsidRPr="00DD6763">
        <w:rPr>
          <w:rFonts w:ascii="Times New Roman" w:hAnsi="Times New Roman" w:cs="Times New Roman"/>
          <w:sz w:val="24"/>
          <w:szCs w:val="24"/>
        </w:rPr>
        <w:t xml:space="preserve"> region</w:t>
      </w:r>
      <w:r w:rsidR="0028118C" w:rsidRPr="00DD6763">
        <w:rPr>
          <w:rFonts w:ascii="Times New Roman" w:hAnsi="Times New Roman" w:cs="Times New Roman"/>
          <w:sz w:val="24"/>
          <w:szCs w:val="24"/>
        </w:rPr>
        <w:t xml:space="preserve">s (namely Latin America and Africa) </w:t>
      </w:r>
      <w:r w:rsidRPr="00DD6763">
        <w:rPr>
          <w:rFonts w:ascii="Times New Roman" w:hAnsi="Times New Roman" w:cs="Times New Roman"/>
          <w:sz w:val="24"/>
          <w:szCs w:val="24"/>
        </w:rPr>
        <w:t xml:space="preserve">allows us to </w:t>
      </w:r>
      <w:r w:rsidR="00657A07" w:rsidRPr="00DD6763">
        <w:rPr>
          <w:rFonts w:ascii="Times New Roman" w:hAnsi="Times New Roman" w:cs="Times New Roman"/>
          <w:sz w:val="24"/>
          <w:szCs w:val="24"/>
        </w:rPr>
        <w:t>examine the qu</w:t>
      </w:r>
      <w:r w:rsidR="004E139A" w:rsidRPr="00DD6763">
        <w:rPr>
          <w:rFonts w:ascii="Times New Roman" w:hAnsi="Times New Roman" w:cs="Times New Roman"/>
          <w:sz w:val="24"/>
          <w:szCs w:val="24"/>
        </w:rPr>
        <w:t>estion of the nature of FPIC as well as</w:t>
      </w:r>
      <w:r w:rsidR="000350CB" w:rsidRPr="00DD6763">
        <w:rPr>
          <w:rFonts w:ascii="Times New Roman" w:hAnsi="Times New Roman" w:cs="Times New Roman"/>
          <w:sz w:val="24"/>
          <w:szCs w:val="24"/>
        </w:rPr>
        <w:t xml:space="preserve"> to reflect on</w:t>
      </w:r>
      <w:r w:rsidR="00657A07" w:rsidRPr="00DD6763">
        <w:rPr>
          <w:rFonts w:ascii="Times New Roman" w:hAnsi="Times New Roman" w:cs="Times New Roman"/>
          <w:sz w:val="24"/>
          <w:szCs w:val="24"/>
        </w:rPr>
        <w:t xml:space="preserve"> the obstacles</w:t>
      </w:r>
      <w:r w:rsidR="0028118C" w:rsidRPr="00DD6763">
        <w:rPr>
          <w:rFonts w:ascii="Times New Roman" w:hAnsi="Times New Roman" w:cs="Times New Roman"/>
          <w:sz w:val="24"/>
          <w:szCs w:val="24"/>
        </w:rPr>
        <w:t xml:space="preserve"> experienced in</w:t>
      </w:r>
      <w:r w:rsidR="00657A07" w:rsidRPr="00DD6763">
        <w:rPr>
          <w:rFonts w:ascii="Times New Roman" w:hAnsi="Times New Roman" w:cs="Times New Roman"/>
          <w:sz w:val="24"/>
          <w:szCs w:val="24"/>
        </w:rPr>
        <w:t xml:space="preserve"> </w:t>
      </w:r>
      <w:r w:rsidR="009A123C" w:rsidRPr="00DD6763">
        <w:rPr>
          <w:rFonts w:ascii="Times New Roman" w:hAnsi="Times New Roman" w:cs="Times New Roman"/>
          <w:sz w:val="24"/>
          <w:szCs w:val="24"/>
        </w:rPr>
        <w:t xml:space="preserve">its </w:t>
      </w:r>
      <w:r w:rsidR="00657A07" w:rsidRPr="00DD6763">
        <w:rPr>
          <w:rFonts w:ascii="Times New Roman" w:hAnsi="Times New Roman" w:cs="Times New Roman"/>
          <w:sz w:val="24"/>
          <w:szCs w:val="24"/>
        </w:rPr>
        <w:t xml:space="preserve">implementation. </w:t>
      </w:r>
      <w:r w:rsidR="00F23046" w:rsidRPr="00DD6763">
        <w:rPr>
          <w:rFonts w:ascii="Times New Roman" w:hAnsi="Times New Roman" w:cs="Times New Roman"/>
          <w:sz w:val="24"/>
          <w:szCs w:val="24"/>
        </w:rPr>
        <w:t xml:space="preserve">FPIC is multifaceted and its implementation involves </w:t>
      </w:r>
      <w:r w:rsidR="009A123C" w:rsidRPr="00DD6763">
        <w:rPr>
          <w:rFonts w:ascii="Times New Roman" w:hAnsi="Times New Roman" w:cs="Times New Roman"/>
          <w:sz w:val="24"/>
          <w:szCs w:val="24"/>
        </w:rPr>
        <w:t xml:space="preserve">both </w:t>
      </w:r>
      <w:r w:rsidR="00A319CC" w:rsidRPr="00DD6763">
        <w:rPr>
          <w:rFonts w:ascii="Times New Roman" w:hAnsi="Times New Roman" w:cs="Times New Roman"/>
          <w:sz w:val="24"/>
          <w:szCs w:val="24"/>
        </w:rPr>
        <w:t xml:space="preserve">procedural and substantive </w:t>
      </w:r>
      <w:r w:rsidR="00F23046" w:rsidRPr="00DD6763">
        <w:rPr>
          <w:rFonts w:ascii="Times New Roman" w:hAnsi="Times New Roman" w:cs="Times New Roman"/>
          <w:sz w:val="24"/>
          <w:szCs w:val="24"/>
        </w:rPr>
        <w:t>aspects.</w:t>
      </w:r>
      <w:r w:rsidR="00A319CC" w:rsidRPr="00DD6763">
        <w:rPr>
          <w:rFonts w:ascii="Times New Roman" w:hAnsi="Times New Roman" w:cs="Times New Roman"/>
          <w:sz w:val="24"/>
          <w:szCs w:val="24"/>
        </w:rPr>
        <w:t xml:space="preserve"> </w:t>
      </w:r>
      <w:r w:rsidR="00FD34CE" w:rsidRPr="00DD6763">
        <w:rPr>
          <w:rFonts w:ascii="Times New Roman" w:hAnsi="Times New Roman" w:cs="Times New Roman"/>
          <w:sz w:val="24"/>
          <w:szCs w:val="24"/>
        </w:rPr>
        <w:t>T</w:t>
      </w:r>
      <w:r w:rsidR="0072452F" w:rsidRPr="00DD6763">
        <w:rPr>
          <w:rFonts w:ascii="Times New Roman" w:hAnsi="Times New Roman" w:cs="Times New Roman"/>
          <w:sz w:val="24"/>
          <w:szCs w:val="24"/>
        </w:rPr>
        <w:t xml:space="preserve">he set of </w:t>
      </w:r>
      <w:r w:rsidR="00F949C3" w:rsidRPr="00DD6763">
        <w:rPr>
          <w:rFonts w:ascii="Times New Roman" w:hAnsi="Times New Roman" w:cs="Times New Roman"/>
          <w:sz w:val="24"/>
          <w:szCs w:val="24"/>
        </w:rPr>
        <w:t>principles that together can achieve its successful implementation</w:t>
      </w:r>
      <w:r w:rsidR="0072452F" w:rsidRPr="00DD6763">
        <w:rPr>
          <w:rFonts w:ascii="Times New Roman" w:hAnsi="Times New Roman" w:cs="Times New Roman"/>
          <w:sz w:val="24"/>
          <w:szCs w:val="24"/>
        </w:rPr>
        <w:t xml:space="preserve"> </w:t>
      </w:r>
      <w:r w:rsidR="005B5358" w:rsidRPr="00DD6763">
        <w:rPr>
          <w:rFonts w:ascii="Times New Roman" w:hAnsi="Times New Roman" w:cs="Times New Roman"/>
          <w:sz w:val="24"/>
          <w:szCs w:val="24"/>
        </w:rPr>
        <w:t>must</w:t>
      </w:r>
      <w:r w:rsidR="0072452F" w:rsidRPr="00DD6763">
        <w:rPr>
          <w:rFonts w:ascii="Times New Roman" w:hAnsi="Times New Roman" w:cs="Times New Roman"/>
          <w:sz w:val="24"/>
          <w:szCs w:val="24"/>
        </w:rPr>
        <w:t xml:space="preserve"> be drawn from several distinct areas of law and formulated as fundamental rights and procedural rules which underpin FPIC. </w:t>
      </w:r>
    </w:p>
    <w:p w14:paraId="04A0E6BB" w14:textId="70BAF3AF" w:rsidR="00EB6E48" w:rsidRPr="00DD6763" w:rsidRDefault="00531624" w:rsidP="00D26A17">
      <w:pPr>
        <w:widowControl w:val="0"/>
        <w:autoSpaceDE w:val="0"/>
        <w:autoSpaceDN w:val="0"/>
        <w:adjustRightInd w:val="0"/>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The cases previously examined</w:t>
      </w:r>
      <w:r w:rsidR="00E41DB8" w:rsidRPr="00DD6763">
        <w:rPr>
          <w:rFonts w:ascii="Times New Roman" w:hAnsi="Times New Roman" w:cs="Times New Roman"/>
          <w:sz w:val="24"/>
          <w:szCs w:val="24"/>
        </w:rPr>
        <w:t xml:space="preserve"> are complex </w:t>
      </w:r>
      <w:r w:rsidRPr="00DD6763">
        <w:rPr>
          <w:rFonts w:ascii="Times New Roman" w:hAnsi="Times New Roman" w:cs="Times New Roman"/>
          <w:sz w:val="24"/>
          <w:szCs w:val="24"/>
        </w:rPr>
        <w:t xml:space="preserve">and </w:t>
      </w:r>
      <w:r w:rsidR="00E41DB8" w:rsidRPr="00DD6763">
        <w:rPr>
          <w:rFonts w:ascii="Times New Roman" w:hAnsi="Times New Roman" w:cs="Times New Roman"/>
          <w:sz w:val="24"/>
          <w:szCs w:val="24"/>
        </w:rPr>
        <w:t>constitute notable examples of fragmentation between different areas of international law</w:t>
      </w:r>
      <w:r w:rsidR="002607B1" w:rsidRPr="00DD6763">
        <w:rPr>
          <w:rFonts w:ascii="Times New Roman" w:hAnsi="Times New Roman" w:cs="Times New Roman"/>
          <w:sz w:val="24"/>
          <w:szCs w:val="24"/>
        </w:rPr>
        <w:t xml:space="preserve">. </w:t>
      </w:r>
      <w:r w:rsidR="00D71618" w:rsidRPr="00DD6763">
        <w:rPr>
          <w:rFonts w:ascii="Times New Roman" w:hAnsi="Times New Roman" w:cs="Times New Roman"/>
          <w:sz w:val="24"/>
          <w:szCs w:val="24"/>
        </w:rPr>
        <w:t>A</w:t>
      </w:r>
      <w:r w:rsidR="002607B1" w:rsidRPr="00DD6763">
        <w:rPr>
          <w:rFonts w:ascii="Times New Roman" w:hAnsi="Times New Roman" w:cs="Times New Roman"/>
          <w:sz w:val="24"/>
          <w:szCs w:val="24"/>
        </w:rPr>
        <w:t xml:space="preserve">rticle 31 (3) c of the </w:t>
      </w:r>
      <w:r w:rsidR="00CB1B0E" w:rsidRPr="00DD6763">
        <w:rPr>
          <w:rFonts w:ascii="Times New Roman" w:hAnsi="Times New Roman" w:cs="Times New Roman"/>
          <w:sz w:val="24"/>
          <w:szCs w:val="24"/>
        </w:rPr>
        <w:t>VCLT</w:t>
      </w:r>
      <w:r w:rsidR="002607B1" w:rsidRPr="00DD6763">
        <w:rPr>
          <w:rFonts w:ascii="Times New Roman" w:hAnsi="Times New Roman" w:cs="Times New Roman"/>
          <w:sz w:val="24"/>
          <w:szCs w:val="24"/>
        </w:rPr>
        <w:t xml:space="preserve"> presents an invaluable tool for the integration of international law in international judicial decision</w:t>
      </w:r>
      <w:r w:rsidR="009A123C" w:rsidRPr="00DD6763">
        <w:rPr>
          <w:rFonts w:ascii="Times New Roman" w:hAnsi="Times New Roman" w:cs="Times New Roman"/>
          <w:sz w:val="24"/>
          <w:szCs w:val="24"/>
        </w:rPr>
        <w:t>-</w:t>
      </w:r>
      <w:r w:rsidR="002607B1" w:rsidRPr="00DD6763">
        <w:rPr>
          <w:rFonts w:ascii="Times New Roman" w:hAnsi="Times New Roman" w:cs="Times New Roman"/>
          <w:sz w:val="24"/>
          <w:szCs w:val="24"/>
        </w:rPr>
        <w:t>making as it claims that treaty provisions should not be interpreted in isolation</w:t>
      </w:r>
      <w:r w:rsidR="00CB1B0E" w:rsidRPr="00DD6763">
        <w:rPr>
          <w:rFonts w:ascii="Times New Roman" w:hAnsi="Times New Roman" w:cs="Times New Roman"/>
          <w:sz w:val="24"/>
          <w:szCs w:val="24"/>
        </w:rPr>
        <w:t>.</w:t>
      </w:r>
      <w:r w:rsidR="00CB1B0E" w:rsidRPr="00DD6763">
        <w:rPr>
          <w:rStyle w:val="FootnoteReference"/>
          <w:rFonts w:ascii="Times New Roman" w:hAnsi="Times New Roman" w:cs="Times New Roman"/>
          <w:sz w:val="24"/>
          <w:szCs w:val="24"/>
        </w:rPr>
        <w:footnoteReference w:id="183"/>
      </w:r>
      <w:r w:rsidR="00CB1B0E" w:rsidRPr="00DD6763">
        <w:rPr>
          <w:rFonts w:ascii="Times New Roman" w:hAnsi="Times New Roman" w:cs="Times New Roman"/>
          <w:sz w:val="24"/>
          <w:szCs w:val="24"/>
        </w:rPr>
        <w:t xml:space="preserve"> </w:t>
      </w:r>
      <w:r w:rsidR="00E41DB8" w:rsidRPr="00DD6763">
        <w:rPr>
          <w:rFonts w:ascii="Times New Roman" w:hAnsi="Times New Roman" w:cs="Times New Roman"/>
          <w:sz w:val="24"/>
          <w:szCs w:val="24"/>
        </w:rPr>
        <w:t xml:space="preserve">Applying or ignoring certain norms </w:t>
      </w:r>
      <w:r w:rsidR="009A123C" w:rsidRPr="00DD6763">
        <w:rPr>
          <w:rFonts w:ascii="Times New Roman" w:hAnsi="Times New Roman" w:cs="Times New Roman"/>
          <w:sz w:val="24"/>
          <w:szCs w:val="24"/>
        </w:rPr>
        <w:t xml:space="preserve">has </w:t>
      </w:r>
      <w:r w:rsidR="00E41DB8" w:rsidRPr="00DD6763">
        <w:rPr>
          <w:rFonts w:ascii="Times New Roman" w:hAnsi="Times New Roman" w:cs="Times New Roman"/>
          <w:sz w:val="24"/>
          <w:szCs w:val="24"/>
        </w:rPr>
        <w:t xml:space="preserve">practical consequences for different </w:t>
      </w:r>
      <w:r w:rsidR="001758B7" w:rsidRPr="00DD6763">
        <w:rPr>
          <w:rFonts w:ascii="Times New Roman" w:hAnsi="Times New Roman" w:cs="Times New Roman"/>
          <w:sz w:val="24"/>
          <w:szCs w:val="24"/>
        </w:rPr>
        <w:t xml:space="preserve">legal </w:t>
      </w:r>
      <w:r w:rsidR="00E41DB8" w:rsidRPr="00DD6763">
        <w:rPr>
          <w:rFonts w:ascii="Times New Roman" w:hAnsi="Times New Roman" w:cs="Times New Roman"/>
          <w:sz w:val="24"/>
          <w:szCs w:val="24"/>
        </w:rPr>
        <w:t>sub-systems</w:t>
      </w:r>
      <w:r w:rsidR="009A123C" w:rsidRPr="00DD6763">
        <w:rPr>
          <w:rFonts w:ascii="Times New Roman" w:hAnsi="Times New Roman" w:cs="Times New Roman"/>
          <w:sz w:val="24"/>
          <w:szCs w:val="24"/>
        </w:rPr>
        <w:t>,</w:t>
      </w:r>
      <w:r w:rsidR="00E41DB8" w:rsidRPr="00DD6763">
        <w:rPr>
          <w:rFonts w:ascii="Times New Roman" w:hAnsi="Times New Roman" w:cs="Times New Roman"/>
          <w:sz w:val="24"/>
          <w:szCs w:val="24"/>
        </w:rPr>
        <w:t xml:space="preserve"> </w:t>
      </w:r>
      <w:r w:rsidR="009A123C" w:rsidRPr="00DD6763">
        <w:rPr>
          <w:rFonts w:ascii="Times New Roman" w:hAnsi="Times New Roman" w:cs="Times New Roman"/>
          <w:sz w:val="24"/>
          <w:szCs w:val="24"/>
        </w:rPr>
        <w:t xml:space="preserve">risking </w:t>
      </w:r>
      <w:r w:rsidR="00E41DB8" w:rsidRPr="00DD6763">
        <w:rPr>
          <w:rFonts w:ascii="Times New Roman" w:hAnsi="Times New Roman" w:cs="Times New Roman"/>
          <w:sz w:val="24"/>
          <w:szCs w:val="24"/>
        </w:rPr>
        <w:t>different results.</w:t>
      </w:r>
      <w:r w:rsidR="001758B7" w:rsidRPr="00DD6763">
        <w:rPr>
          <w:rFonts w:ascii="Times New Roman" w:hAnsi="Times New Roman" w:cs="Times New Roman"/>
          <w:sz w:val="24"/>
          <w:szCs w:val="24"/>
        </w:rPr>
        <w:t xml:space="preserve"> Namely,</w:t>
      </w:r>
      <w:r w:rsidR="00E41DB8" w:rsidRPr="00DD6763">
        <w:rPr>
          <w:rFonts w:ascii="Times New Roman" w:hAnsi="Times New Roman" w:cs="Times New Roman"/>
          <w:sz w:val="24"/>
          <w:szCs w:val="24"/>
        </w:rPr>
        <w:t xml:space="preserve"> </w:t>
      </w:r>
      <w:r w:rsidR="001758B7" w:rsidRPr="00DD6763">
        <w:rPr>
          <w:rFonts w:ascii="Times New Roman" w:hAnsi="Times New Roman" w:cs="Times New Roman"/>
          <w:sz w:val="24"/>
          <w:szCs w:val="24"/>
        </w:rPr>
        <w:t>a</w:t>
      </w:r>
      <w:r w:rsidR="00FA7CF4" w:rsidRPr="00DD6763">
        <w:rPr>
          <w:rFonts w:ascii="Times New Roman" w:hAnsi="Times New Roman" w:cs="Times New Roman"/>
          <w:sz w:val="24"/>
          <w:szCs w:val="24"/>
        </w:rPr>
        <w:t xml:space="preserve"> </w:t>
      </w:r>
      <w:r w:rsidR="00BE76C3" w:rsidRPr="00DD6763">
        <w:rPr>
          <w:rFonts w:ascii="Times New Roman" w:hAnsi="Times New Roman" w:cs="Times New Roman"/>
          <w:sz w:val="24"/>
          <w:szCs w:val="24"/>
        </w:rPr>
        <w:t>contextual</w:t>
      </w:r>
      <w:r w:rsidR="00FA7CF4" w:rsidRPr="00DD6763">
        <w:rPr>
          <w:rFonts w:ascii="Times New Roman" w:hAnsi="Times New Roman" w:cs="Times New Roman"/>
          <w:sz w:val="24"/>
          <w:szCs w:val="24"/>
        </w:rPr>
        <w:t xml:space="preserve"> interpretation would help </w:t>
      </w:r>
      <w:r w:rsidR="009A123C" w:rsidRPr="00DD6763">
        <w:rPr>
          <w:rFonts w:ascii="Times New Roman" w:hAnsi="Times New Roman" w:cs="Times New Roman"/>
          <w:sz w:val="24"/>
          <w:szCs w:val="24"/>
        </w:rPr>
        <w:t xml:space="preserve">in </w:t>
      </w:r>
      <w:r w:rsidR="00FA7CF4" w:rsidRPr="00DD6763">
        <w:rPr>
          <w:rFonts w:ascii="Times New Roman" w:hAnsi="Times New Roman" w:cs="Times New Roman"/>
          <w:sz w:val="24"/>
          <w:szCs w:val="24"/>
        </w:rPr>
        <w:t xml:space="preserve">reconciling or bridging the </w:t>
      </w:r>
      <w:r w:rsidR="009A123C" w:rsidRPr="00DD6763">
        <w:rPr>
          <w:rFonts w:ascii="Times New Roman" w:hAnsi="Times New Roman" w:cs="Times New Roman"/>
          <w:sz w:val="24"/>
          <w:szCs w:val="24"/>
        </w:rPr>
        <w:t xml:space="preserve">various </w:t>
      </w:r>
      <w:r w:rsidR="00FA7CF4" w:rsidRPr="00DD6763">
        <w:rPr>
          <w:rFonts w:ascii="Times New Roman" w:hAnsi="Times New Roman" w:cs="Times New Roman"/>
          <w:sz w:val="24"/>
          <w:szCs w:val="24"/>
        </w:rPr>
        <w:t xml:space="preserve">areas of international law. </w:t>
      </w:r>
      <w:r w:rsidR="00E41DB8" w:rsidRPr="00DD6763">
        <w:rPr>
          <w:rFonts w:ascii="Times New Roman" w:hAnsi="Times New Roman" w:cs="Times New Roman"/>
          <w:sz w:val="24"/>
          <w:szCs w:val="24"/>
        </w:rPr>
        <w:t xml:space="preserve">Nevertheless, the reservations </w:t>
      </w:r>
      <w:r w:rsidR="002607B1" w:rsidRPr="00DD6763">
        <w:rPr>
          <w:rFonts w:ascii="Times New Roman" w:hAnsi="Times New Roman" w:cs="Times New Roman"/>
          <w:sz w:val="24"/>
          <w:szCs w:val="24"/>
        </w:rPr>
        <w:t xml:space="preserve">expressed by international courts and tribunals </w:t>
      </w:r>
      <w:r w:rsidR="00E41DB8" w:rsidRPr="00DD6763">
        <w:rPr>
          <w:rFonts w:ascii="Times New Roman" w:hAnsi="Times New Roman" w:cs="Times New Roman"/>
          <w:sz w:val="24"/>
          <w:szCs w:val="24"/>
        </w:rPr>
        <w:t>in opening up a self-contained</w:t>
      </w:r>
      <w:r w:rsidR="002607B1" w:rsidRPr="00DD6763">
        <w:rPr>
          <w:rFonts w:ascii="Times New Roman" w:hAnsi="Times New Roman" w:cs="Times New Roman"/>
          <w:sz w:val="24"/>
          <w:szCs w:val="24"/>
        </w:rPr>
        <w:t xml:space="preserve"> </w:t>
      </w:r>
      <w:r w:rsidR="001758B7" w:rsidRPr="00DD6763">
        <w:rPr>
          <w:rFonts w:ascii="Times New Roman" w:hAnsi="Times New Roman" w:cs="Times New Roman"/>
          <w:sz w:val="24"/>
          <w:szCs w:val="24"/>
        </w:rPr>
        <w:t xml:space="preserve">regime </w:t>
      </w:r>
      <w:r w:rsidR="002607B1" w:rsidRPr="00DD6763">
        <w:rPr>
          <w:rFonts w:ascii="Times New Roman" w:hAnsi="Times New Roman" w:cs="Times New Roman"/>
          <w:sz w:val="24"/>
          <w:szCs w:val="24"/>
        </w:rPr>
        <w:t xml:space="preserve">(be that </w:t>
      </w:r>
      <w:r w:rsidR="008F6DAA" w:rsidRPr="00DD6763">
        <w:rPr>
          <w:rFonts w:ascii="Times New Roman" w:hAnsi="Times New Roman" w:cs="Times New Roman"/>
          <w:sz w:val="24"/>
          <w:szCs w:val="24"/>
        </w:rPr>
        <w:t>IHRL</w:t>
      </w:r>
      <w:r w:rsidR="002607B1" w:rsidRPr="00DD6763">
        <w:rPr>
          <w:rFonts w:ascii="Times New Roman" w:hAnsi="Times New Roman" w:cs="Times New Roman"/>
          <w:sz w:val="24"/>
          <w:szCs w:val="24"/>
        </w:rPr>
        <w:t xml:space="preserve"> or </w:t>
      </w:r>
      <w:r w:rsidR="00DA775D" w:rsidRPr="00DD6763">
        <w:rPr>
          <w:rFonts w:ascii="Times New Roman" w:hAnsi="Times New Roman" w:cs="Times New Roman"/>
          <w:sz w:val="24"/>
          <w:szCs w:val="24"/>
        </w:rPr>
        <w:t>IIL</w:t>
      </w:r>
      <w:r w:rsidR="002607B1" w:rsidRPr="00DD6763">
        <w:rPr>
          <w:rFonts w:ascii="Times New Roman" w:hAnsi="Times New Roman" w:cs="Times New Roman"/>
          <w:sz w:val="24"/>
          <w:szCs w:val="24"/>
        </w:rPr>
        <w:t>)</w:t>
      </w:r>
      <w:r w:rsidR="00E41DB8" w:rsidRPr="00DD6763">
        <w:rPr>
          <w:rFonts w:ascii="Times New Roman" w:hAnsi="Times New Roman" w:cs="Times New Roman"/>
          <w:sz w:val="24"/>
          <w:szCs w:val="24"/>
        </w:rPr>
        <w:t xml:space="preserve"> may thwart this aim.</w:t>
      </w:r>
    </w:p>
    <w:p w14:paraId="1706D6A7" w14:textId="3FCCCF8C" w:rsidR="003D1379" w:rsidRPr="00DD6763" w:rsidRDefault="000D48CD" w:rsidP="00D26A17">
      <w:pPr>
        <w:widowControl w:val="0"/>
        <w:autoSpaceDE w:val="0"/>
        <w:autoSpaceDN w:val="0"/>
        <w:adjustRightInd w:val="0"/>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Amongst international case law and </w:t>
      </w:r>
      <w:r w:rsidR="00F23046" w:rsidRPr="00DD6763">
        <w:rPr>
          <w:rFonts w:ascii="Times New Roman" w:hAnsi="Times New Roman" w:cs="Times New Roman"/>
          <w:sz w:val="24"/>
          <w:szCs w:val="24"/>
        </w:rPr>
        <w:t>d</w:t>
      </w:r>
      <w:r w:rsidR="00657A07" w:rsidRPr="00DD6763">
        <w:rPr>
          <w:rFonts w:ascii="Times New Roman" w:hAnsi="Times New Roman" w:cs="Times New Roman"/>
          <w:sz w:val="24"/>
          <w:szCs w:val="24"/>
        </w:rPr>
        <w:t xml:space="preserve">ifferent theoretical foundations </w:t>
      </w:r>
      <w:r w:rsidR="00F23046" w:rsidRPr="00DD6763">
        <w:rPr>
          <w:rFonts w:ascii="Times New Roman" w:hAnsi="Times New Roman" w:cs="Times New Roman"/>
          <w:sz w:val="24"/>
          <w:szCs w:val="24"/>
        </w:rPr>
        <w:t xml:space="preserve">that </w:t>
      </w:r>
      <w:r w:rsidR="00657A07" w:rsidRPr="00DD6763">
        <w:rPr>
          <w:rFonts w:ascii="Times New Roman" w:hAnsi="Times New Roman" w:cs="Times New Roman"/>
          <w:sz w:val="24"/>
          <w:szCs w:val="24"/>
        </w:rPr>
        <w:t>have contributed to shape FPIC</w:t>
      </w:r>
      <w:r w:rsidR="00F23046" w:rsidRPr="00DD6763">
        <w:rPr>
          <w:rFonts w:ascii="Times New Roman" w:hAnsi="Times New Roman" w:cs="Times New Roman"/>
          <w:sz w:val="24"/>
          <w:szCs w:val="24"/>
        </w:rPr>
        <w:t xml:space="preserve">, </w:t>
      </w:r>
      <w:r w:rsidR="008F6DAA" w:rsidRPr="00DD6763">
        <w:rPr>
          <w:rFonts w:ascii="Times New Roman" w:hAnsi="Times New Roman" w:cs="Times New Roman"/>
          <w:sz w:val="24"/>
          <w:szCs w:val="24"/>
        </w:rPr>
        <w:t>IHRL</w:t>
      </w:r>
      <w:r w:rsidRPr="00DD6763">
        <w:rPr>
          <w:rFonts w:ascii="Times New Roman" w:hAnsi="Times New Roman" w:cs="Times New Roman"/>
          <w:sz w:val="24"/>
          <w:szCs w:val="24"/>
        </w:rPr>
        <w:t xml:space="preserve"> is</w:t>
      </w:r>
      <w:r w:rsidR="00F23046" w:rsidRPr="00DD6763">
        <w:rPr>
          <w:rFonts w:ascii="Times New Roman" w:hAnsi="Times New Roman" w:cs="Times New Roman"/>
          <w:sz w:val="24"/>
          <w:szCs w:val="24"/>
        </w:rPr>
        <w:t xml:space="preserve"> central</w:t>
      </w:r>
      <w:r w:rsidR="00657A07"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FPIC is a human right </w:t>
      </w:r>
      <w:r w:rsidR="00657A07" w:rsidRPr="00DD6763">
        <w:rPr>
          <w:rFonts w:ascii="Times New Roman" w:hAnsi="Times New Roman" w:cs="Times New Roman"/>
          <w:sz w:val="24"/>
          <w:szCs w:val="24"/>
        </w:rPr>
        <w:t>rooted</w:t>
      </w:r>
      <w:r w:rsidR="00E023F6" w:rsidRPr="00DD6763">
        <w:rPr>
          <w:rFonts w:ascii="Times New Roman" w:hAnsi="Times New Roman" w:cs="Times New Roman"/>
          <w:sz w:val="24"/>
          <w:szCs w:val="24"/>
        </w:rPr>
        <w:t xml:space="preserve"> in</w:t>
      </w:r>
      <w:r w:rsidR="005B5358" w:rsidRPr="00DD6763">
        <w:rPr>
          <w:rFonts w:ascii="Times New Roman" w:hAnsi="Times New Roman" w:cs="Times New Roman"/>
          <w:sz w:val="24"/>
          <w:szCs w:val="24"/>
        </w:rPr>
        <w:t xml:space="preserve"> and</w:t>
      </w:r>
      <w:r w:rsidR="00E023F6" w:rsidRPr="00DD6763">
        <w:rPr>
          <w:rFonts w:ascii="Times New Roman" w:hAnsi="Times New Roman" w:cs="Times New Roman"/>
          <w:sz w:val="24"/>
          <w:szCs w:val="24"/>
        </w:rPr>
        <w:t xml:space="preserve"> heav</w:t>
      </w:r>
      <w:r w:rsidR="00EB6E48" w:rsidRPr="00DD6763">
        <w:rPr>
          <w:rFonts w:ascii="Times New Roman" w:hAnsi="Times New Roman" w:cs="Times New Roman"/>
          <w:sz w:val="24"/>
          <w:szCs w:val="24"/>
        </w:rPr>
        <w:t>il</w:t>
      </w:r>
      <w:r w:rsidR="00E023F6" w:rsidRPr="00DD6763">
        <w:rPr>
          <w:rFonts w:ascii="Times New Roman" w:hAnsi="Times New Roman" w:cs="Times New Roman"/>
          <w:sz w:val="24"/>
          <w:szCs w:val="24"/>
        </w:rPr>
        <w:t>y reliant on other rights</w:t>
      </w:r>
      <w:r w:rsidR="00657A07" w:rsidRPr="00DD6763">
        <w:rPr>
          <w:rFonts w:ascii="Times New Roman" w:hAnsi="Times New Roman" w:cs="Times New Roman"/>
          <w:sz w:val="24"/>
          <w:szCs w:val="24"/>
        </w:rPr>
        <w:t xml:space="preserve"> </w:t>
      </w:r>
      <w:r w:rsidR="00C5521C" w:rsidRPr="00DD6763">
        <w:rPr>
          <w:rFonts w:ascii="Times New Roman" w:hAnsi="Times New Roman" w:cs="Times New Roman"/>
          <w:sz w:val="24"/>
          <w:szCs w:val="24"/>
        </w:rPr>
        <w:t xml:space="preserve">mainly, </w:t>
      </w:r>
      <w:r w:rsidR="00657A07" w:rsidRPr="00DD6763">
        <w:rPr>
          <w:rFonts w:ascii="Times New Roman" w:hAnsi="Times New Roman" w:cs="Times New Roman"/>
          <w:sz w:val="24"/>
          <w:szCs w:val="24"/>
        </w:rPr>
        <w:t>self-determination as a founding principle of indigenous peoples’ rights</w:t>
      </w:r>
      <w:r w:rsidRPr="00DD6763">
        <w:rPr>
          <w:rFonts w:ascii="Times New Roman" w:hAnsi="Times New Roman" w:cs="Times New Roman"/>
          <w:sz w:val="24"/>
          <w:szCs w:val="24"/>
        </w:rPr>
        <w:t xml:space="preserve"> and the right to cultural identity</w:t>
      </w:r>
      <w:r w:rsidR="006F0EC4" w:rsidRPr="00DD6763">
        <w:rPr>
          <w:rFonts w:ascii="Times New Roman" w:hAnsi="Times New Roman" w:cs="Times New Roman"/>
          <w:sz w:val="24"/>
          <w:szCs w:val="24"/>
        </w:rPr>
        <w:t xml:space="preserve">. </w:t>
      </w:r>
      <w:r w:rsidR="00FA7CF4" w:rsidRPr="00DD6763">
        <w:rPr>
          <w:rFonts w:ascii="Times New Roman" w:hAnsi="Times New Roman" w:cs="Times New Roman"/>
          <w:sz w:val="24"/>
          <w:szCs w:val="24"/>
        </w:rPr>
        <w:t xml:space="preserve">From a strictly legal </w:t>
      </w:r>
      <w:r w:rsidR="00EB26C4" w:rsidRPr="00DD6763">
        <w:rPr>
          <w:rFonts w:ascii="Times New Roman" w:hAnsi="Times New Roman" w:cs="Times New Roman"/>
          <w:sz w:val="24"/>
          <w:szCs w:val="24"/>
        </w:rPr>
        <w:t xml:space="preserve">and </w:t>
      </w:r>
      <w:r w:rsidR="00EB26C4" w:rsidRPr="00DD6763">
        <w:rPr>
          <w:rFonts w:ascii="Times New Roman" w:hAnsi="Times New Roman" w:cs="Times New Roman"/>
          <w:i/>
          <w:sz w:val="24"/>
          <w:szCs w:val="24"/>
        </w:rPr>
        <w:t xml:space="preserve">de </w:t>
      </w:r>
      <w:proofErr w:type="spellStart"/>
      <w:r w:rsidR="00EB26C4" w:rsidRPr="00DD6763">
        <w:rPr>
          <w:rFonts w:ascii="Times New Roman" w:hAnsi="Times New Roman" w:cs="Times New Roman"/>
          <w:i/>
          <w:sz w:val="24"/>
          <w:szCs w:val="24"/>
        </w:rPr>
        <w:t>lege</w:t>
      </w:r>
      <w:proofErr w:type="spellEnd"/>
      <w:r w:rsidR="00EB26C4" w:rsidRPr="00DD6763">
        <w:rPr>
          <w:rFonts w:ascii="Times New Roman" w:hAnsi="Times New Roman" w:cs="Times New Roman"/>
          <w:i/>
          <w:sz w:val="24"/>
          <w:szCs w:val="24"/>
        </w:rPr>
        <w:t xml:space="preserve"> </w:t>
      </w:r>
      <w:proofErr w:type="spellStart"/>
      <w:r w:rsidR="00EB26C4" w:rsidRPr="00DD6763">
        <w:rPr>
          <w:rFonts w:ascii="Times New Roman" w:hAnsi="Times New Roman" w:cs="Times New Roman"/>
          <w:i/>
          <w:sz w:val="24"/>
          <w:szCs w:val="24"/>
        </w:rPr>
        <w:t>lata</w:t>
      </w:r>
      <w:proofErr w:type="spellEnd"/>
      <w:r w:rsidR="00EB26C4" w:rsidRPr="00DD6763">
        <w:rPr>
          <w:rFonts w:ascii="Times New Roman" w:hAnsi="Times New Roman" w:cs="Times New Roman"/>
          <w:sz w:val="24"/>
          <w:szCs w:val="24"/>
        </w:rPr>
        <w:t xml:space="preserve"> </w:t>
      </w:r>
      <w:r w:rsidR="00FA7CF4" w:rsidRPr="00DD6763">
        <w:rPr>
          <w:rFonts w:ascii="Times New Roman" w:hAnsi="Times New Roman" w:cs="Times New Roman"/>
          <w:sz w:val="24"/>
          <w:szCs w:val="24"/>
        </w:rPr>
        <w:t>standpoint, there is a</w:t>
      </w:r>
      <w:r w:rsidR="003D1379" w:rsidRPr="00DD6763">
        <w:rPr>
          <w:rFonts w:ascii="Times New Roman" w:hAnsi="Times New Roman" w:cs="Times New Roman"/>
          <w:sz w:val="24"/>
          <w:szCs w:val="24"/>
        </w:rPr>
        <w:t xml:space="preserve"> consensus on </w:t>
      </w:r>
      <w:r w:rsidR="00FA7CF4" w:rsidRPr="00DD6763">
        <w:rPr>
          <w:rFonts w:ascii="Times New Roman" w:hAnsi="Times New Roman" w:cs="Times New Roman"/>
          <w:sz w:val="24"/>
          <w:szCs w:val="24"/>
        </w:rPr>
        <w:t xml:space="preserve">FPIC </w:t>
      </w:r>
      <w:r w:rsidR="003D1379" w:rsidRPr="00DD6763">
        <w:rPr>
          <w:rFonts w:ascii="Times New Roman" w:hAnsi="Times New Roman" w:cs="Times New Roman"/>
          <w:sz w:val="24"/>
          <w:szCs w:val="24"/>
        </w:rPr>
        <w:t xml:space="preserve">which </w:t>
      </w:r>
      <w:r w:rsidR="00FA7CF4" w:rsidRPr="00DD6763">
        <w:rPr>
          <w:rFonts w:ascii="Times New Roman" w:hAnsi="Times New Roman" w:cs="Times New Roman"/>
          <w:sz w:val="24"/>
          <w:szCs w:val="24"/>
        </w:rPr>
        <w:t>is reflected in the different rulings</w:t>
      </w:r>
      <w:r w:rsidR="0044706E" w:rsidRPr="00DD6763">
        <w:rPr>
          <w:rFonts w:ascii="Times New Roman" w:hAnsi="Times New Roman" w:cs="Times New Roman"/>
          <w:sz w:val="24"/>
          <w:szCs w:val="24"/>
        </w:rPr>
        <w:t xml:space="preserve"> that apply the norms guaranteeing </w:t>
      </w:r>
      <w:r w:rsidR="00EB26C4" w:rsidRPr="00DD6763">
        <w:rPr>
          <w:rFonts w:ascii="Times New Roman" w:hAnsi="Times New Roman" w:cs="Times New Roman"/>
          <w:sz w:val="24"/>
          <w:szCs w:val="24"/>
        </w:rPr>
        <w:t xml:space="preserve">such </w:t>
      </w:r>
      <w:r w:rsidR="0044706E" w:rsidRPr="00DD6763">
        <w:rPr>
          <w:rFonts w:ascii="Times New Roman" w:hAnsi="Times New Roman" w:cs="Times New Roman"/>
          <w:sz w:val="24"/>
          <w:szCs w:val="24"/>
        </w:rPr>
        <w:t>rights</w:t>
      </w:r>
      <w:r w:rsidR="00FA7CF4" w:rsidRPr="00DD6763">
        <w:rPr>
          <w:rFonts w:ascii="Times New Roman" w:hAnsi="Times New Roman" w:cs="Times New Roman"/>
          <w:sz w:val="24"/>
          <w:szCs w:val="24"/>
        </w:rPr>
        <w:t xml:space="preserve">. </w:t>
      </w:r>
    </w:p>
    <w:p w14:paraId="3C538D5D" w14:textId="3B663174" w:rsidR="004C17A6" w:rsidRPr="00DD6763" w:rsidRDefault="003D1379" w:rsidP="00D26A17">
      <w:pPr>
        <w:widowControl w:val="0"/>
        <w:autoSpaceDE w:val="0"/>
        <w:autoSpaceDN w:val="0"/>
        <w:adjustRightInd w:val="0"/>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As occurs in other areas of international law</w:t>
      </w:r>
      <w:r w:rsidR="00BA3944" w:rsidRPr="00DD6763">
        <w:rPr>
          <w:rFonts w:ascii="Times New Roman" w:hAnsi="Times New Roman" w:cs="Times New Roman"/>
          <w:sz w:val="24"/>
          <w:szCs w:val="24"/>
        </w:rPr>
        <w:t>,</w:t>
      </w:r>
      <w:r w:rsidRPr="00DD6763">
        <w:rPr>
          <w:rFonts w:ascii="Times New Roman" w:hAnsi="Times New Roman" w:cs="Times New Roman"/>
          <w:sz w:val="24"/>
          <w:szCs w:val="24"/>
        </w:rPr>
        <w:t xml:space="preserve"> implementation gaps remain. S</w:t>
      </w:r>
      <w:r w:rsidR="00FA7CF4" w:rsidRPr="00DD6763">
        <w:rPr>
          <w:rFonts w:ascii="Times New Roman" w:hAnsi="Times New Roman" w:cs="Times New Roman"/>
          <w:sz w:val="24"/>
          <w:szCs w:val="24"/>
        </w:rPr>
        <w:t xml:space="preserve">cholars </w:t>
      </w:r>
      <w:r w:rsidR="00B74C61">
        <w:rPr>
          <w:rFonts w:ascii="Times New Roman" w:hAnsi="Times New Roman" w:cs="Times New Roman"/>
          <w:sz w:val="24"/>
          <w:szCs w:val="24"/>
        </w:rPr>
        <w:t xml:space="preserve">such as </w:t>
      </w:r>
      <w:r w:rsidR="00626869" w:rsidRPr="00DD6763">
        <w:rPr>
          <w:rFonts w:ascii="Times New Roman" w:hAnsi="Times New Roman" w:cs="Times New Roman"/>
          <w:sz w:val="24"/>
          <w:szCs w:val="24"/>
        </w:rPr>
        <w:t>Rodríguez-</w:t>
      </w:r>
      <w:proofErr w:type="spellStart"/>
      <w:r w:rsidR="00FA7CF4" w:rsidRPr="00DD6763">
        <w:rPr>
          <w:rFonts w:ascii="Times New Roman" w:hAnsi="Times New Roman" w:cs="Times New Roman"/>
          <w:sz w:val="24"/>
          <w:szCs w:val="24"/>
        </w:rPr>
        <w:t>Garavito</w:t>
      </w:r>
      <w:proofErr w:type="spellEnd"/>
      <w:r w:rsidR="00FC328B" w:rsidRPr="00DD6763">
        <w:rPr>
          <w:rFonts w:ascii="Times New Roman" w:hAnsi="Times New Roman" w:cs="Times New Roman"/>
          <w:sz w:val="24"/>
          <w:szCs w:val="24"/>
        </w:rPr>
        <w:t>, Schilling-</w:t>
      </w:r>
      <w:proofErr w:type="spellStart"/>
      <w:r w:rsidR="00FA7CF4" w:rsidRPr="00DD6763">
        <w:rPr>
          <w:rFonts w:ascii="Times New Roman" w:hAnsi="Times New Roman" w:cs="Times New Roman"/>
          <w:sz w:val="24"/>
          <w:szCs w:val="24"/>
        </w:rPr>
        <w:t>Vacaflor</w:t>
      </w:r>
      <w:proofErr w:type="spellEnd"/>
      <w:r w:rsidR="00FC328B" w:rsidRPr="00DD6763">
        <w:rPr>
          <w:rFonts w:ascii="Times New Roman" w:hAnsi="Times New Roman" w:cs="Times New Roman"/>
          <w:sz w:val="24"/>
          <w:szCs w:val="24"/>
        </w:rPr>
        <w:t xml:space="preserve"> and </w:t>
      </w:r>
      <w:proofErr w:type="spellStart"/>
      <w:r w:rsidR="00FC328B" w:rsidRPr="00DD6763">
        <w:rPr>
          <w:rFonts w:ascii="Times New Roman" w:hAnsi="Times New Roman" w:cs="Times New Roman"/>
          <w:sz w:val="24"/>
          <w:szCs w:val="24"/>
        </w:rPr>
        <w:t>Grugel</w:t>
      </w:r>
      <w:proofErr w:type="spellEnd"/>
      <w:r w:rsidR="00FA7CF4" w:rsidRPr="00DD6763">
        <w:rPr>
          <w:rFonts w:ascii="Times New Roman" w:hAnsi="Times New Roman" w:cs="Times New Roman"/>
          <w:sz w:val="24"/>
          <w:szCs w:val="24"/>
        </w:rPr>
        <w:t xml:space="preserve"> have provided a more interdisciplinary analysis </w:t>
      </w:r>
      <w:r w:rsidR="004E3EBD" w:rsidRPr="00DD6763">
        <w:rPr>
          <w:rFonts w:ascii="Times New Roman" w:hAnsi="Times New Roman" w:cs="Times New Roman"/>
          <w:sz w:val="24"/>
          <w:szCs w:val="24"/>
        </w:rPr>
        <w:t xml:space="preserve">identifying </w:t>
      </w:r>
      <w:r w:rsidR="00FA7CF4" w:rsidRPr="00DD6763">
        <w:rPr>
          <w:rFonts w:ascii="Times New Roman" w:hAnsi="Times New Roman" w:cs="Times New Roman"/>
          <w:sz w:val="24"/>
          <w:szCs w:val="24"/>
        </w:rPr>
        <w:t xml:space="preserve">the contradictions and weaknesses of </w:t>
      </w:r>
      <w:r w:rsidR="000D48CD" w:rsidRPr="00DD6763">
        <w:rPr>
          <w:rFonts w:ascii="Times New Roman" w:hAnsi="Times New Roman" w:cs="Times New Roman"/>
          <w:sz w:val="24"/>
          <w:szCs w:val="24"/>
        </w:rPr>
        <w:t>protection afforded in state practice</w:t>
      </w:r>
      <w:r w:rsidR="00FA7CF4" w:rsidRPr="00DD6763">
        <w:rPr>
          <w:rFonts w:ascii="Times New Roman" w:hAnsi="Times New Roman" w:cs="Times New Roman"/>
          <w:sz w:val="24"/>
          <w:szCs w:val="24"/>
        </w:rPr>
        <w:t xml:space="preserve">. Referring to </w:t>
      </w:r>
      <w:r w:rsidR="00926390" w:rsidRPr="00DD6763">
        <w:rPr>
          <w:rFonts w:ascii="Times New Roman" w:hAnsi="Times New Roman" w:cs="Times New Roman"/>
          <w:sz w:val="24"/>
          <w:szCs w:val="24"/>
        </w:rPr>
        <w:t xml:space="preserve">the application of C169 </w:t>
      </w:r>
      <w:r w:rsidR="00FA7CF4" w:rsidRPr="00DD6763">
        <w:rPr>
          <w:rFonts w:ascii="Times New Roman" w:hAnsi="Times New Roman" w:cs="Times New Roman"/>
          <w:sz w:val="24"/>
          <w:szCs w:val="24"/>
        </w:rPr>
        <w:t>in the Andean region</w:t>
      </w:r>
      <w:r w:rsidR="004E3EBD" w:rsidRPr="00DD6763">
        <w:rPr>
          <w:rFonts w:ascii="Times New Roman" w:hAnsi="Times New Roman" w:cs="Times New Roman"/>
          <w:sz w:val="24"/>
          <w:szCs w:val="24"/>
        </w:rPr>
        <w:t xml:space="preserve">, they have recognised </w:t>
      </w:r>
      <w:r w:rsidR="003260FA" w:rsidRPr="00DD6763">
        <w:rPr>
          <w:rFonts w:ascii="Times New Roman" w:hAnsi="Times New Roman" w:cs="Times New Roman"/>
          <w:sz w:val="24"/>
          <w:szCs w:val="24"/>
        </w:rPr>
        <w:t>“</w:t>
      </w:r>
      <w:r w:rsidR="00FA7CF4" w:rsidRPr="00DD6763">
        <w:rPr>
          <w:rFonts w:ascii="Times New Roman" w:hAnsi="Times New Roman" w:cs="Times New Roman"/>
          <w:sz w:val="24"/>
          <w:szCs w:val="24"/>
        </w:rPr>
        <w:t>ambiguous effects on indigenous peoples’ ri</w:t>
      </w:r>
      <w:r w:rsidR="003260FA" w:rsidRPr="00DD6763">
        <w:rPr>
          <w:rFonts w:ascii="Times New Roman" w:hAnsi="Times New Roman" w:cs="Times New Roman"/>
          <w:sz w:val="24"/>
          <w:szCs w:val="24"/>
        </w:rPr>
        <w:t>ghts and environmental justice”</w:t>
      </w:r>
      <w:r w:rsidR="00FA7CF4" w:rsidRPr="00DD6763">
        <w:rPr>
          <w:rFonts w:ascii="Times New Roman" w:hAnsi="Times New Roman" w:cs="Times New Roman"/>
          <w:sz w:val="24"/>
          <w:szCs w:val="24"/>
        </w:rPr>
        <w:t>.</w:t>
      </w:r>
      <w:r w:rsidR="00926390" w:rsidRPr="00DD6763">
        <w:rPr>
          <w:rStyle w:val="FootnoteReference"/>
          <w:rFonts w:ascii="Times New Roman" w:hAnsi="Times New Roman" w:cs="Times New Roman"/>
          <w:sz w:val="24"/>
          <w:szCs w:val="24"/>
        </w:rPr>
        <w:footnoteReference w:id="184"/>
      </w:r>
      <w:r w:rsidR="00165509" w:rsidRPr="00DD6763">
        <w:rPr>
          <w:rFonts w:ascii="Times New Roman" w:hAnsi="Times New Roman" w:cs="Times New Roman"/>
          <w:sz w:val="24"/>
          <w:szCs w:val="24"/>
        </w:rPr>
        <w:t xml:space="preserve"> </w:t>
      </w:r>
      <w:r w:rsidR="00FA7CF4" w:rsidRPr="00DD6763">
        <w:rPr>
          <w:rFonts w:ascii="Times New Roman" w:hAnsi="Times New Roman" w:cs="Times New Roman"/>
          <w:sz w:val="24"/>
          <w:szCs w:val="24"/>
        </w:rPr>
        <w:t>According to Rodríguez-</w:t>
      </w:r>
      <w:proofErr w:type="spellStart"/>
      <w:r w:rsidR="00FA7CF4" w:rsidRPr="00DD6763">
        <w:rPr>
          <w:rFonts w:ascii="Times New Roman" w:hAnsi="Times New Roman" w:cs="Times New Roman"/>
          <w:sz w:val="24"/>
          <w:szCs w:val="24"/>
        </w:rPr>
        <w:t>Garavito</w:t>
      </w:r>
      <w:proofErr w:type="spellEnd"/>
      <w:r w:rsidR="00FA7CF4" w:rsidRPr="00DD6763">
        <w:rPr>
          <w:rFonts w:ascii="Times New Roman" w:hAnsi="Times New Roman" w:cs="Times New Roman"/>
          <w:sz w:val="24"/>
          <w:szCs w:val="24"/>
        </w:rPr>
        <w:t xml:space="preserve"> there are different interpretations of FPIC that can be observed in </w:t>
      </w:r>
      <w:r w:rsidRPr="00DD6763">
        <w:rPr>
          <w:rFonts w:ascii="Times New Roman" w:hAnsi="Times New Roman" w:cs="Times New Roman"/>
          <w:sz w:val="24"/>
          <w:szCs w:val="24"/>
        </w:rPr>
        <w:t xml:space="preserve">state </w:t>
      </w:r>
      <w:r w:rsidR="00FA7CF4" w:rsidRPr="00DD6763">
        <w:rPr>
          <w:rFonts w:ascii="Times New Roman" w:hAnsi="Times New Roman" w:cs="Times New Roman"/>
          <w:sz w:val="24"/>
          <w:szCs w:val="24"/>
        </w:rPr>
        <w:t>practice</w:t>
      </w:r>
      <w:r w:rsidR="00015FA6" w:rsidRPr="00DD6763">
        <w:rPr>
          <w:rFonts w:ascii="Times New Roman" w:hAnsi="Times New Roman" w:cs="Times New Roman"/>
          <w:sz w:val="24"/>
          <w:szCs w:val="24"/>
        </w:rPr>
        <w:t xml:space="preserve">, </w:t>
      </w:r>
      <w:r w:rsidRPr="00DD6763">
        <w:rPr>
          <w:rFonts w:ascii="Times New Roman" w:hAnsi="Times New Roman" w:cs="Times New Roman"/>
          <w:sz w:val="24"/>
          <w:szCs w:val="24"/>
        </w:rPr>
        <w:t xml:space="preserve">which </w:t>
      </w:r>
      <w:r w:rsidR="001057F8" w:rsidRPr="00DD6763">
        <w:rPr>
          <w:rFonts w:ascii="Times New Roman" w:hAnsi="Times New Roman" w:cs="Times New Roman"/>
          <w:sz w:val="24"/>
          <w:szCs w:val="24"/>
        </w:rPr>
        <w:t xml:space="preserve">vary </w:t>
      </w:r>
      <w:r w:rsidRPr="00DD6763">
        <w:rPr>
          <w:rFonts w:ascii="Times New Roman" w:hAnsi="Times New Roman" w:cs="Times New Roman"/>
          <w:sz w:val="24"/>
          <w:szCs w:val="24"/>
        </w:rPr>
        <w:t xml:space="preserve">from </w:t>
      </w:r>
      <w:r w:rsidR="00015FA6" w:rsidRPr="00DD6763">
        <w:rPr>
          <w:rFonts w:ascii="Times New Roman" w:hAnsi="Times New Roman" w:cs="Times New Roman"/>
          <w:sz w:val="24"/>
          <w:szCs w:val="24"/>
        </w:rPr>
        <w:t>essentially weak</w:t>
      </w:r>
      <w:r w:rsidRPr="00DD6763">
        <w:rPr>
          <w:rFonts w:ascii="Times New Roman" w:hAnsi="Times New Roman" w:cs="Times New Roman"/>
          <w:sz w:val="24"/>
          <w:szCs w:val="24"/>
        </w:rPr>
        <w:t xml:space="preserve"> to</w:t>
      </w:r>
      <w:r w:rsidR="00165509" w:rsidRPr="00DD6763">
        <w:rPr>
          <w:rFonts w:ascii="Times New Roman" w:hAnsi="Times New Roman" w:cs="Times New Roman"/>
          <w:sz w:val="24"/>
          <w:szCs w:val="24"/>
        </w:rPr>
        <w:t xml:space="preserve"> </w:t>
      </w:r>
      <w:r w:rsidR="00015FA6" w:rsidRPr="00DD6763">
        <w:rPr>
          <w:rFonts w:ascii="Times New Roman" w:hAnsi="Times New Roman" w:cs="Times New Roman"/>
          <w:sz w:val="24"/>
          <w:szCs w:val="24"/>
        </w:rPr>
        <w:t>strong</w:t>
      </w:r>
      <w:r w:rsidR="00165509" w:rsidRPr="00DD6763">
        <w:rPr>
          <w:rFonts w:ascii="Times New Roman" w:hAnsi="Times New Roman" w:cs="Times New Roman"/>
          <w:sz w:val="24"/>
          <w:szCs w:val="24"/>
        </w:rPr>
        <w:t xml:space="preserve"> interpretations</w:t>
      </w:r>
      <w:r w:rsidR="00015FA6" w:rsidRPr="00DD6763">
        <w:rPr>
          <w:rFonts w:ascii="Times New Roman" w:hAnsi="Times New Roman" w:cs="Times New Roman"/>
          <w:sz w:val="24"/>
          <w:szCs w:val="24"/>
        </w:rPr>
        <w:t xml:space="preserve"> of C169</w:t>
      </w:r>
      <w:r w:rsidR="00FA7CF4" w:rsidRPr="00DD6763">
        <w:rPr>
          <w:rFonts w:ascii="Times New Roman" w:hAnsi="Times New Roman" w:cs="Times New Roman"/>
          <w:sz w:val="24"/>
          <w:szCs w:val="24"/>
        </w:rPr>
        <w:t>.</w:t>
      </w:r>
      <w:r w:rsidR="00015FA6" w:rsidRPr="00DD6763">
        <w:rPr>
          <w:rStyle w:val="FootnoteReference"/>
          <w:rFonts w:ascii="Times New Roman" w:hAnsi="Times New Roman" w:cs="Times New Roman"/>
          <w:sz w:val="24"/>
          <w:szCs w:val="24"/>
        </w:rPr>
        <w:footnoteReference w:id="185"/>
      </w:r>
      <w:r w:rsidRPr="00DD6763">
        <w:rPr>
          <w:rFonts w:ascii="Times New Roman" w:hAnsi="Times New Roman" w:cs="Times New Roman"/>
          <w:sz w:val="24"/>
          <w:szCs w:val="24"/>
        </w:rPr>
        <w:t xml:space="preserve"> P</w:t>
      </w:r>
      <w:r w:rsidR="004C17A6" w:rsidRPr="00DD6763">
        <w:rPr>
          <w:rFonts w:ascii="Times New Roman" w:hAnsi="Times New Roman" w:cs="Times New Roman"/>
          <w:sz w:val="24"/>
          <w:szCs w:val="24"/>
        </w:rPr>
        <w:t>roblems arising from the implementation of the right to consultation are noticeable, as Schilling-</w:t>
      </w:r>
      <w:proofErr w:type="spellStart"/>
      <w:r w:rsidR="004C17A6" w:rsidRPr="00DD6763">
        <w:rPr>
          <w:rFonts w:ascii="Times New Roman" w:hAnsi="Times New Roman" w:cs="Times New Roman"/>
          <w:sz w:val="24"/>
          <w:szCs w:val="24"/>
        </w:rPr>
        <w:t>Vacaflor</w:t>
      </w:r>
      <w:proofErr w:type="spellEnd"/>
      <w:r w:rsidR="004C17A6" w:rsidRPr="00DD6763">
        <w:rPr>
          <w:rFonts w:ascii="Times New Roman" w:hAnsi="Times New Roman" w:cs="Times New Roman"/>
          <w:sz w:val="24"/>
          <w:szCs w:val="24"/>
        </w:rPr>
        <w:t xml:space="preserve"> and </w:t>
      </w:r>
      <w:proofErr w:type="spellStart"/>
      <w:r w:rsidR="004C17A6" w:rsidRPr="00DD6763">
        <w:rPr>
          <w:rFonts w:ascii="Times New Roman" w:hAnsi="Times New Roman" w:cs="Times New Roman"/>
          <w:sz w:val="24"/>
          <w:szCs w:val="24"/>
        </w:rPr>
        <w:t>Gruegel</w:t>
      </w:r>
      <w:proofErr w:type="spellEnd"/>
      <w:r w:rsidR="004C17A6" w:rsidRPr="00DD6763">
        <w:rPr>
          <w:rFonts w:ascii="Times New Roman" w:hAnsi="Times New Roman" w:cs="Times New Roman"/>
          <w:sz w:val="24"/>
          <w:szCs w:val="24"/>
        </w:rPr>
        <w:t xml:space="preserve"> have demonstrated in their respective studies of the several consultations that have taken place in Bolivia in the hydrocarbon sector.</w:t>
      </w:r>
      <w:r w:rsidR="004C17A6" w:rsidRPr="00DD6763">
        <w:rPr>
          <w:rStyle w:val="FootnoteReference"/>
          <w:rFonts w:ascii="Times New Roman" w:hAnsi="Times New Roman" w:cs="Times New Roman"/>
          <w:sz w:val="24"/>
          <w:szCs w:val="24"/>
        </w:rPr>
        <w:footnoteReference w:id="186"/>
      </w:r>
      <w:r w:rsidR="004C17A6" w:rsidRPr="00DD6763">
        <w:rPr>
          <w:rFonts w:ascii="Times New Roman" w:hAnsi="Times New Roman" w:cs="Times New Roman"/>
          <w:sz w:val="24"/>
          <w:szCs w:val="24"/>
        </w:rPr>
        <w:t xml:space="preserve"> Both studies have pinpointed serious shortcomings in consultation practices.</w:t>
      </w:r>
      <w:r w:rsidR="004C17A6" w:rsidRPr="00DD6763">
        <w:rPr>
          <w:rStyle w:val="FootnoteReference"/>
          <w:rFonts w:ascii="Times New Roman" w:hAnsi="Times New Roman" w:cs="Times New Roman"/>
          <w:sz w:val="24"/>
          <w:szCs w:val="24"/>
        </w:rPr>
        <w:footnoteReference w:id="187"/>
      </w:r>
      <w:r w:rsidR="004C17A6" w:rsidRPr="00DD6763">
        <w:rPr>
          <w:rFonts w:ascii="Times New Roman" w:hAnsi="Times New Roman" w:cs="Times New Roman"/>
          <w:sz w:val="24"/>
          <w:szCs w:val="24"/>
        </w:rPr>
        <w:t xml:space="preserve"> Schilling-</w:t>
      </w:r>
      <w:proofErr w:type="spellStart"/>
      <w:r w:rsidR="004C17A6" w:rsidRPr="00DD6763">
        <w:rPr>
          <w:rFonts w:ascii="Times New Roman" w:hAnsi="Times New Roman" w:cs="Times New Roman"/>
          <w:sz w:val="24"/>
          <w:szCs w:val="24"/>
        </w:rPr>
        <w:t>Vacaflor</w:t>
      </w:r>
      <w:proofErr w:type="spellEnd"/>
      <w:r w:rsidR="004C17A6" w:rsidRPr="00DD6763">
        <w:rPr>
          <w:rFonts w:ascii="Times New Roman" w:hAnsi="Times New Roman" w:cs="Times New Roman"/>
          <w:sz w:val="24"/>
          <w:szCs w:val="24"/>
        </w:rPr>
        <w:t>, in particular, allude</w:t>
      </w:r>
      <w:r w:rsidR="00D54EA3" w:rsidRPr="00DD6763">
        <w:rPr>
          <w:rFonts w:ascii="Times New Roman" w:hAnsi="Times New Roman" w:cs="Times New Roman"/>
          <w:sz w:val="24"/>
          <w:szCs w:val="24"/>
        </w:rPr>
        <w:t>s</w:t>
      </w:r>
      <w:r w:rsidR="003260FA" w:rsidRPr="00DD6763">
        <w:rPr>
          <w:rFonts w:ascii="Times New Roman" w:hAnsi="Times New Roman" w:cs="Times New Roman"/>
          <w:sz w:val="24"/>
          <w:szCs w:val="24"/>
        </w:rPr>
        <w:t xml:space="preserve"> to the “information hurdle” and other “</w:t>
      </w:r>
      <w:r w:rsidR="004C17A6" w:rsidRPr="00DD6763">
        <w:rPr>
          <w:rFonts w:ascii="Times New Roman" w:hAnsi="Times New Roman" w:cs="Times New Roman"/>
          <w:sz w:val="24"/>
          <w:szCs w:val="24"/>
        </w:rPr>
        <w:t>irregularities, the limited decision-making power of affected local populations and the lack of transparency rega</w:t>
      </w:r>
      <w:r w:rsidR="003260FA" w:rsidRPr="00DD6763">
        <w:rPr>
          <w:rFonts w:ascii="Times New Roman" w:hAnsi="Times New Roman" w:cs="Times New Roman"/>
          <w:sz w:val="24"/>
          <w:szCs w:val="24"/>
        </w:rPr>
        <w:t>rding the compensation payments</w:t>
      </w:r>
      <w:r w:rsidR="00A13BE2" w:rsidRPr="00DD6763">
        <w:rPr>
          <w:rFonts w:ascii="Times New Roman" w:hAnsi="Times New Roman" w:cs="Times New Roman"/>
          <w:sz w:val="24"/>
          <w:szCs w:val="24"/>
        </w:rPr>
        <w:t>”.</w:t>
      </w:r>
      <w:r w:rsidR="004C17A6" w:rsidRPr="00DD6763">
        <w:rPr>
          <w:rStyle w:val="FootnoteReference"/>
          <w:rFonts w:ascii="Times New Roman" w:hAnsi="Times New Roman" w:cs="Times New Roman"/>
          <w:sz w:val="24"/>
          <w:szCs w:val="24"/>
        </w:rPr>
        <w:footnoteReference w:id="188"/>
      </w:r>
    </w:p>
    <w:p w14:paraId="45793259" w14:textId="729F62AF" w:rsidR="009122D7" w:rsidRPr="00DD6763" w:rsidRDefault="00FA7CF4" w:rsidP="00D26A1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lastRenderedPageBreak/>
        <w:t xml:space="preserve">Thus, </w:t>
      </w:r>
      <w:r w:rsidR="00CF3BF6" w:rsidRPr="00DD6763">
        <w:rPr>
          <w:rFonts w:ascii="Times New Roman" w:hAnsi="Times New Roman" w:cs="Times New Roman"/>
          <w:sz w:val="24"/>
          <w:szCs w:val="24"/>
        </w:rPr>
        <w:t xml:space="preserve">one might argue </w:t>
      </w:r>
      <w:r w:rsidR="001057F8" w:rsidRPr="00DD6763">
        <w:rPr>
          <w:rFonts w:ascii="Times New Roman" w:hAnsi="Times New Roman" w:cs="Times New Roman"/>
          <w:i/>
          <w:sz w:val="24"/>
          <w:szCs w:val="24"/>
        </w:rPr>
        <w:t xml:space="preserve">de </w:t>
      </w:r>
      <w:proofErr w:type="spellStart"/>
      <w:r w:rsidR="001057F8" w:rsidRPr="00DD6763">
        <w:rPr>
          <w:rFonts w:ascii="Times New Roman" w:hAnsi="Times New Roman" w:cs="Times New Roman"/>
          <w:i/>
          <w:sz w:val="24"/>
          <w:szCs w:val="24"/>
        </w:rPr>
        <w:t>lege</w:t>
      </w:r>
      <w:proofErr w:type="spellEnd"/>
      <w:r w:rsidR="001057F8" w:rsidRPr="00DD6763">
        <w:rPr>
          <w:rFonts w:ascii="Times New Roman" w:hAnsi="Times New Roman" w:cs="Times New Roman"/>
          <w:i/>
          <w:sz w:val="24"/>
          <w:szCs w:val="24"/>
        </w:rPr>
        <w:t xml:space="preserve"> </w:t>
      </w:r>
      <w:proofErr w:type="spellStart"/>
      <w:r w:rsidR="001057F8" w:rsidRPr="00DD6763">
        <w:rPr>
          <w:rFonts w:ascii="Times New Roman" w:hAnsi="Times New Roman" w:cs="Times New Roman"/>
          <w:i/>
          <w:sz w:val="24"/>
          <w:szCs w:val="24"/>
        </w:rPr>
        <w:t>ferenda</w:t>
      </w:r>
      <w:proofErr w:type="spellEnd"/>
      <w:r w:rsidR="001057F8" w:rsidRPr="00DD6763">
        <w:rPr>
          <w:rFonts w:ascii="Times New Roman" w:hAnsi="Times New Roman" w:cs="Times New Roman"/>
          <w:sz w:val="24"/>
          <w:szCs w:val="24"/>
        </w:rPr>
        <w:t xml:space="preserve"> </w:t>
      </w:r>
      <w:r w:rsidR="00CF3BF6" w:rsidRPr="00DD6763">
        <w:rPr>
          <w:rFonts w:ascii="Times New Roman" w:hAnsi="Times New Roman" w:cs="Times New Roman"/>
          <w:sz w:val="24"/>
          <w:szCs w:val="24"/>
        </w:rPr>
        <w:t>that the present legal understanding of FPIC should be reformulated and understood as a stand-alone principle or second-order right.</w:t>
      </w:r>
      <w:r w:rsidR="00E023F6" w:rsidRPr="00DD6763">
        <w:rPr>
          <w:rFonts w:ascii="Times New Roman" w:hAnsi="Times New Roman" w:cs="Times New Roman"/>
          <w:sz w:val="24"/>
          <w:szCs w:val="24"/>
        </w:rPr>
        <w:t xml:space="preserve"> The underpinning argument </w:t>
      </w:r>
      <w:r w:rsidR="00EB6E48" w:rsidRPr="00DD6763">
        <w:rPr>
          <w:rFonts w:ascii="Times New Roman" w:hAnsi="Times New Roman" w:cs="Times New Roman"/>
          <w:sz w:val="24"/>
          <w:szCs w:val="24"/>
        </w:rPr>
        <w:t xml:space="preserve">for such </w:t>
      </w:r>
      <w:r w:rsidR="004E3EBD" w:rsidRPr="00DD6763">
        <w:rPr>
          <w:rFonts w:ascii="Times New Roman" w:hAnsi="Times New Roman" w:cs="Times New Roman"/>
          <w:sz w:val="24"/>
          <w:szCs w:val="24"/>
        </w:rPr>
        <w:t xml:space="preserve">a </w:t>
      </w:r>
      <w:r w:rsidR="00EB6E48" w:rsidRPr="00DD6763">
        <w:rPr>
          <w:rFonts w:ascii="Times New Roman" w:hAnsi="Times New Roman" w:cs="Times New Roman"/>
          <w:sz w:val="24"/>
          <w:szCs w:val="24"/>
        </w:rPr>
        <w:t xml:space="preserve">stance </w:t>
      </w:r>
      <w:r w:rsidR="006F0EC4" w:rsidRPr="00DD6763">
        <w:rPr>
          <w:rFonts w:ascii="Times New Roman" w:hAnsi="Times New Roman" w:cs="Times New Roman"/>
          <w:sz w:val="24"/>
          <w:szCs w:val="24"/>
        </w:rPr>
        <w:t>is the acknowledgement</w:t>
      </w:r>
      <w:r w:rsidR="00EB6E48" w:rsidRPr="00DD6763">
        <w:rPr>
          <w:rFonts w:ascii="Times New Roman" w:hAnsi="Times New Roman" w:cs="Times New Roman"/>
          <w:sz w:val="24"/>
          <w:szCs w:val="24"/>
        </w:rPr>
        <w:t xml:space="preserve"> </w:t>
      </w:r>
      <w:r w:rsidR="00D71618" w:rsidRPr="00DD6763">
        <w:rPr>
          <w:rFonts w:ascii="Times New Roman" w:hAnsi="Times New Roman" w:cs="Times New Roman"/>
          <w:sz w:val="24"/>
          <w:szCs w:val="24"/>
        </w:rPr>
        <w:t xml:space="preserve">of </w:t>
      </w:r>
      <w:r w:rsidR="00EB6E48" w:rsidRPr="00DD6763">
        <w:rPr>
          <w:rFonts w:ascii="Times New Roman" w:hAnsi="Times New Roman" w:cs="Times New Roman"/>
          <w:sz w:val="24"/>
          <w:szCs w:val="24"/>
        </w:rPr>
        <w:t xml:space="preserve">the </w:t>
      </w:r>
      <w:r w:rsidR="00CF3BF6" w:rsidRPr="00DD6763">
        <w:rPr>
          <w:rFonts w:ascii="Times New Roman" w:hAnsi="Times New Roman" w:cs="Times New Roman"/>
          <w:sz w:val="24"/>
          <w:szCs w:val="24"/>
        </w:rPr>
        <w:t xml:space="preserve">current </w:t>
      </w:r>
      <w:r w:rsidR="006F0EC4" w:rsidRPr="00DD6763">
        <w:rPr>
          <w:rFonts w:ascii="Times New Roman" w:hAnsi="Times New Roman" w:cs="Times New Roman"/>
          <w:sz w:val="24"/>
          <w:szCs w:val="24"/>
        </w:rPr>
        <w:t xml:space="preserve">limits of </w:t>
      </w:r>
      <w:r w:rsidR="004E3EBD" w:rsidRPr="00DD6763">
        <w:rPr>
          <w:rFonts w:ascii="Times New Roman" w:hAnsi="Times New Roman" w:cs="Times New Roman"/>
          <w:sz w:val="24"/>
          <w:szCs w:val="24"/>
        </w:rPr>
        <w:t xml:space="preserve">its </w:t>
      </w:r>
      <w:r w:rsidR="006F0EC4" w:rsidRPr="00DD6763">
        <w:rPr>
          <w:rFonts w:ascii="Times New Roman" w:hAnsi="Times New Roman" w:cs="Times New Roman"/>
          <w:sz w:val="24"/>
          <w:szCs w:val="24"/>
        </w:rPr>
        <w:t xml:space="preserve">interpretation and the need to </w:t>
      </w:r>
      <w:r w:rsidR="00EB6E48" w:rsidRPr="00DD6763">
        <w:rPr>
          <w:rFonts w:ascii="Times New Roman" w:hAnsi="Times New Roman" w:cs="Times New Roman"/>
          <w:sz w:val="24"/>
          <w:szCs w:val="24"/>
        </w:rPr>
        <w:t>secur</w:t>
      </w:r>
      <w:r w:rsidR="004E3EBD" w:rsidRPr="00DD6763">
        <w:rPr>
          <w:rFonts w:ascii="Times New Roman" w:hAnsi="Times New Roman" w:cs="Times New Roman"/>
          <w:sz w:val="24"/>
          <w:szCs w:val="24"/>
        </w:rPr>
        <w:t>e</w:t>
      </w:r>
      <w:r w:rsidR="00EB6E48" w:rsidRPr="00DD6763">
        <w:rPr>
          <w:rFonts w:ascii="Times New Roman" w:hAnsi="Times New Roman" w:cs="Times New Roman"/>
          <w:sz w:val="24"/>
          <w:szCs w:val="24"/>
        </w:rPr>
        <w:t xml:space="preserve"> protection </w:t>
      </w:r>
      <w:r w:rsidR="006F0EC4" w:rsidRPr="00DD6763">
        <w:rPr>
          <w:rFonts w:ascii="Times New Roman" w:hAnsi="Times New Roman" w:cs="Times New Roman"/>
          <w:sz w:val="24"/>
          <w:szCs w:val="24"/>
        </w:rPr>
        <w:t>other than that obtained under</w:t>
      </w:r>
      <w:r w:rsidR="00EB6E48" w:rsidRPr="00DD6763">
        <w:rPr>
          <w:rFonts w:ascii="Times New Roman" w:hAnsi="Times New Roman" w:cs="Times New Roman"/>
          <w:sz w:val="24"/>
          <w:szCs w:val="24"/>
        </w:rPr>
        <w:t xml:space="preserve"> </w:t>
      </w:r>
      <w:r w:rsidR="00CF3BF6" w:rsidRPr="00DD6763">
        <w:rPr>
          <w:rFonts w:ascii="Times New Roman" w:hAnsi="Times New Roman" w:cs="Times New Roman"/>
          <w:sz w:val="24"/>
          <w:szCs w:val="24"/>
        </w:rPr>
        <w:t xml:space="preserve">existing </w:t>
      </w:r>
      <w:r w:rsidR="00EB6E48" w:rsidRPr="00DD6763">
        <w:rPr>
          <w:rFonts w:ascii="Times New Roman" w:hAnsi="Times New Roman" w:cs="Times New Roman"/>
          <w:sz w:val="24"/>
          <w:szCs w:val="24"/>
        </w:rPr>
        <w:t>human rights</w:t>
      </w:r>
      <w:r w:rsidR="006F0EC4" w:rsidRPr="00DD6763">
        <w:rPr>
          <w:rFonts w:ascii="Times New Roman" w:hAnsi="Times New Roman" w:cs="Times New Roman"/>
          <w:sz w:val="24"/>
          <w:szCs w:val="24"/>
        </w:rPr>
        <w:t xml:space="preserve"> </w:t>
      </w:r>
      <w:r w:rsidR="001057F8" w:rsidRPr="00DD6763">
        <w:rPr>
          <w:rFonts w:ascii="Times New Roman" w:hAnsi="Times New Roman" w:cs="Times New Roman"/>
          <w:sz w:val="24"/>
          <w:szCs w:val="24"/>
        </w:rPr>
        <w:t>systems</w:t>
      </w:r>
      <w:r w:rsidR="00EB6E48" w:rsidRPr="00DD6763">
        <w:rPr>
          <w:rFonts w:ascii="Times New Roman" w:hAnsi="Times New Roman" w:cs="Times New Roman"/>
          <w:sz w:val="24"/>
          <w:szCs w:val="24"/>
        </w:rPr>
        <w:t xml:space="preserve">. </w:t>
      </w:r>
      <w:r w:rsidR="001057F8" w:rsidRPr="00DD6763">
        <w:rPr>
          <w:rFonts w:ascii="Times New Roman" w:hAnsi="Times New Roman" w:cs="Times New Roman"/>
          <w:sz w:val="24"/>
          <w:szCs w:val="24"/>
        </w:rPr>
        <w:t xml:space="preserve"> </w:t>
      </w:r>
      <w:r w:rsidR="006F0EC4" w:rsidRPr="00DD6763">
        <w:rPr>
          <w:rFonts w:ascii="Times New Roman" w:hAnsi="Times New Roman" w:cs="Times New Roman"/>
          <w:sz w:val="24"/>
          <w:szCs w:val="24"/>
        </w:rPr>
        <w:t>Taking into consideration the implementation deficit stemming from the cases</w:t>
      </w:r>
      <w:r w:rsidR="004E3EBD" w:rsidRPr="00DD6763">
        <w:rPr>
          <w:rFonts w:ascii="Times New Roman" w:hAnsi="Times New Roman" w:cs="Times New Roman"/>
          <w:sz w:val="24"/>
          <w:szCs w:val="24"/>
        </w:rPr>
        <w:t xml:space="preserve"> we have seen </w:t>
      </w:r>
      <w:r w:rsidR="00CB058F" w:rsidRPr="00DD6763">
        <w:rPr>
          <w:rFonts w:ascii="Times New Roman" w:hAnsi="Times New Roman" w:cs="Times New Roman"/>
          <w:sz w:val="24"/>
          <w:szCs w:val="24"/>
        </w:rPr>
        <w:t>above;</w:t>
      </w:r>
      <w:r w:rsidR="006F0EC4" w:rsidRPr="00DD6763">
        <w:rPr>
          <w:rFonts w:ascii="Times New Roman" w:hAnsi="Times New Roman" w:cs="Times New Roman"/>
          <w:sz w:val="24"/>
          <w:szCs w:val="24"/>
        </w:rPr>
        <w:t xml:space="preserve"> a</w:t>
      </w:r>
      <w:r w:rsidR="00E023F6" w:rsidRPr="00DD6763">
        <w:rPr>
          <w:rFonts w:ascii="Times New Roman" w:hAnsi="Times New Roman" w:cs="Times New Roman"/>
          <w:sz w:val="24"/>
          <w:szCs w:val="24"/>
        </w:rPr>
        <w:t xml:space="preserve"> more realistic approach</w:t>
      </w:r>
      <w:r w:rsidR="006F0EC4" w:rsidRPr="00DD6763">
        <w:rPr>
          <w:rFonts w:ascii="Times New Roman" w:hAnsi="Times New Roman" w:cs="Times New Roman"/>
          <w:sz w:val="24"/>
          <w:szCs w:val="24"/>
        </w:rPr>
        <w:t xml:space="preserve"> seems to be in order</w:t>
      </w:r>
      <w:r w:rsidR="00F73507" w:rsidRPr="00DD6763">
        <w:rPr>
          <w:rFonts w:ascii="Times New Roman" w:hAnsi="Times New Roman" w:cs="Times New Roman"/>
          <w:sz w:val="24"/>
          <w:szCs w:val="24"/>
        </w:rPr>
        <w:t xml:space="preserve">. </w:t>
      </w:r>
      <w:r w:rsidR="00CF3BF6" w:rsidRPr="00DD6763">
        <w:rPr>
          <w:rFonts w:ascii="Times New Roman" w:hAnsi="Times New Roman" w:cs="Times New Roman"/>
          <w:sz w:val="24"/>
          <w:szCs w:val="24"/>
        </w:rPr>
        <w:t>This approach would set out more clearly and more extensively the body of principles and procedural rules which together would promote an effective formulation of FPIC</w:t>
      </w:r>
      <w:r w:rsidR="00081B2F" w:rsidRPr="00DD6763">
        <w:rPr>
          <w:rFonts w:ascii="Times New Roman" w:hAnsi="Times New Roman" w:cs="Times New Roman"/>
          <w:sz w:val="24"/>
          <w:szCs w:val="24"/>
        </w:rPr>
        <w:t>,</w:t>
      </w:r>
      <w:r w:rsidR="00CF3BF6" w:rsidRPr="00DD6763">
        <w:rPr>
          <w:rFonts w:ascii="Times New Roman" w:hAnsi="Times New Roman" w:cs="Times New Roman"/>
          <w:sz w:val="24"/>
          <w:szCs w:val="24"/>
        </w:rPr>
        <w:t xml:space="preserve"> capable of being applied throughout the various arenas where indigenous peoples have sought to assert it, which range from the familiar setting of human rights courts to the less obvious but nonetheless crucial setting of international investment tribunals.</w:t>
      </w:r>
    </w:p>
    <w:p w14:paraId="293C6D81" w14:textId="0331EECE" w:rsidR="009122D7" w:rsidRPr="00DD6763" w:rsidRDefault="00BB5E4D" w:rsidP="00D26A17">
      <w:pPr>
        <w:widowControl w:val="0"/>
        <w:autoSpaceDE w:val="0"/>
        <w:autoSpaceDN w:val="0"/>
        <w:adjustRightInd w:val="0"/>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A shift in this regard</w:t>
      </w:r>
      <w:r w:rsidR="00BA3944" w:rsidRPr="00DD6763">
        <w:rPr>
          <w:rFonts w:ascii="Times New Roman" w:hAnsi="Times New Roman" w:cs="Times New Roman"/>
          <w:sz w:val="24"/>
          <w:szCs w:val="24"/>
        </w:rPr>
        <w:t xml:space="preserve"> in theory and law</w:t>
      </w:r>
      <w:r w:rsidRPr="00DD6763">
        <w:rPr>
          <w:rFonts w:ascii="Times New Roman" w:hAnsi="Times New Roman" w:cs="Times New Roman"/>
          <w:sz w:val="24"/>
          <w:szCs w:val="24"/>
        </w:rPr>
        <w:t xml:space="preserve"> could be observed </w:t>
      </w:r>
      <w:r w:rsidR="005A06F6" w:rsidRPr="00DD6763">
        <w:rPr>
          <w:rFonts w:ascii="Times New Roman" w:hAnsi="Times New Roman" w:cs="Times New Roman"/>
          <w:sz w:val="24"/>
          <w:szCs w:val="24"/>
        </w:rPr>
        <w:t>i</w:t>
      </w:r>
      <w:r w:rsidR="00E5680B" w:rsidRPr="00DD6763">
        <w:rPr>
          <w:rFonts w:ascii="Times New Roman" w:hAnsi="Times New Roman" w:cs="Times New Roman"/>
          <w:sz w:val="24"/>
          <w:szCs w:val="24"/>
        </w:rPr>
        <w:t xml:space="preserve">n </w:t>
      </w:r>
      <w:r w:rsidR="00BE76C3" w:rsidRPr="00DD6763">
        <w:rPr>
          <w:rFonts w:ascii="Times New Roman" w:hAnsi="Times New Roman" w:cs="Times New Roman"/>
          <w:sz w:val="24"/>
          <w:szCs w:val="24"/>
        </w:rPr>
        <w:t>an</w:t>
      </w:r>
      <w:r w:rsidR="00E5680B" w:rsidRPr="00DD6763">
        <w:rPr>
          <w:rFonts w:ascii="Times New Roman" w:hAnsi="Times New Roman" w:cs="Times New Roman"/>
          <w:sz w:val="24"/>
          <w:szCs w:val="24"/>
        </w:rPr>
        <w:t xml:space="preserve"> attempt to accommodate t</w:t>
      </w:r>
      <w:r w:rsidR="00D54EA3" w:rsidRPr="00DD6763">
        <w:rPr>
          <w:rFonts w:ascii="Times New Roman" w:hAnsi="Times New Roman" w:cs="Times New Roman"/>
          <w:sz w:val="24"/>
          <w:szCs w:val="24"/>
        </w:rPr>
        <w:t>he protection of indigenous people</w:t>
      </w:r>
      <w:r w:rsidR="00E5680B" w:rsidRPr="00DD6763">
        <w:rPr>
          <w:rFonts w:ascii="Times New Roman" w:hAnsi="Times New Roman" w:cs="Times New Roman"/>
          <w:sz w:val="24"/>
          <w:szCs w:val="24"/>
        </w:rPr>
        <w:t>s</w:t>
      </w:r>
      <w:r w:rsidR="00D54EA3" w:rsidRPr="00DD6763">
        <w:rPr>
          <w:rFonts w:ascii="Times New Roman" w:hAnsi="Times New Roman" w:cs="Times New Roman"/>
          <w:sz w:val="24"/>
          <w:szCs w:val="24"/>
        </w:rPr>
        <w:t>’ rights</w:t>
      </w:r>
      <w:r w:rsidR="006F3226" w:rsidRPr="00DD6763">
        <w:rPr>
          <w:rFonts w:ascii="Times New Roman" w:hAnsi="Times New Roman" w:cs="Times New Roman"/>
          <w:sz w:val="24"/>
          <w:szCs w:val="24"/>
        </w:rPr>
        <w:t xml:space="preserve"> particularly</w:t>
      </w:r>
      <w:r w:rsidR="006F722C" w:rsidRPr="00DD6763">
        <w:rPr>
          <w:rFonts w:ascii="Times New Roman" w:hAnsi="Times New Roman" w:cs="Times New Roman"/>
          <w:sz w:val="24"/>
          <w:szCs w:val="24"/>
        </w:rPr>
        <w:t>,</w:t>
      </w:r>
      <w:r w:rsidR="006F3226" w:rsidRPr="00DD6763">
        <w:rPr>
          <w:rFonts w:ascii="Times New Roman" w:hAnsi="Times New Roman" w:cs="Times New Roman"/>
          <w:sz w:val="24"/>
          <w:szCs w:val="24"/>
        </w:rPr>
        <w:t xml:space="preserve"> the right to property</w:t>
      </w:r>
      <w:r w:rsidR="006F722C" w:rsidRPr="00DD6763">
        <w:rPr>
          <w:rFonts w:ascii="Times New Roman" w:hAnsi="Times New Roman" w:cs="Times New Roman"/>
          <w:sz w:val="24"/>
          <w:szCs w:val="24"/>
        </w:rPr>
        <w:t>,</w:t>
      </w:r>
      <w:r w:rsidR="00E5680B" w:rsidRPr="00DD6763">
        <w:rPr>
          <w:rFonts w:ascii="Times New Roman" w:hAnsi="Times New Roman" w:cs="Times New Roman"/>
          <w:sz w:val="24"/>
          <w:szCs w:val="24"/>
        </w:rPr>
        <w:t xml:space="preserve"> in the framework of </w:t>
      </w:r>
      <w:r w:rsidR="00DA775D" w:rsidRPr="00DD6763">
        <w:rPr>
          <w:rFonts w:ascii="Times New Roman" w:hAnsi="Times New Roman" w:cs="Times New Roman"/>
          <w:sz w:val="24"/>
          <w:szCs w:val="24"/>
        </w:rPr>
        <w:t>IIL</w:t>
      </w:r>
      <w:r w:rsidR="005A06F6" w:rsidRPr="00DD6763">
        <w:rPr>
          <w:rFonts w:ascii="Times New Roman" w:hAnsi="Times New Roman" w:cs="Times New Roman"/>
          <w:sz w:val="24"/>
          <w:szCs w:val="24"/>
        </w:rPr>
        <w:t>.</w:t>
      </w:r>
      <w:r w:rsidR="005A06F6" w:rsidRPr="00DD6763">
        <w:rPr>
          <w:rStyle w:val="FootnoteReference"/>
          <w:rFonts w:ascii="Times New Roman" w:hAnsi="Times New Roman" w:cs="Times New Roman"/>
          <w:sz w:val="24"/>
          <w:szCs w:val="24"/>
        </w:rPr>
        <w:footnoteReference w:id="189"/>
      </w:r>
      <w:r w:rsidR="00E5680B" w:rsidRPr="00DD6763">
        <w:rPr>
          <w:rFonts w:ascii="Times New Roman" w:hAnsi="Times New Roman" w:cs="Times New Roman"/>
          <w:sz w:val="24"/>
          <w:szCs w:val="24"/>
        </w:rPr>
        <w:t xml:space="preserve"> </w:t>
      </w:r>
      <w:r w:rsidR="0014168C" w:rsidRPr="00DD6763">
        <w:rPr>
          <w:rFonts w:ascii="Times New Roman" w:hAnsi="Times New Roman" w:cs="Times New Roman"/>
          <w:sz w:val="24"/>
          <w:szCs w:val="24"/>
        </w:rPr>
        <w:t>From a theoretical viewpoint,</w:t>
      </w:r>
      <w:r w:rsidR="00E5680B" w:rsidRPr="00DD6763">
        <w:rPr>
          <w:rFonts w:ascii="Times New Roman" w:hAnsi="Times New Roman" w:cs="Times New Roman"/>
          <w:sz w:val="24"/>
          <w:szCs w:val="24"/>
        </w:rPr>
        <w:t xml:space="preserve"> </w:t>
      </w:r>
      <w:r w:rsidR="00BE76C3" w:rsidRPr="00DD6763">
        <w:rPr>
          <w:rFonts w:ascii="Times New Roman" w:hAnsi="Times New Roman" w:cs="Times New Roman"/>
          <w:sz w:val="24"/>
          <w:szCs w:val="24"/>
        </w:rPr>
        <w:t xml:space="preserve">Hirsch puts </w:t>
      </w:r>
      <w:r w:rsidR="00CF3BF6" w:rsidRPr="00DD6763">
        <w:rPr>
          <w:rFonts w:ascii="Times New Roman" w:hAnsi="Times New Roman" w:cs="Times New Roman"/>
          <w:sz w:val="24"/>
          <w:szCs w:val="24"/>
        </w:rPr>
        <w:t xml:space="preserve">forward </w:t>
      </w:r>
      <w:r w:rsidR="00BE76C3" w:rsidRPr="00DD6763">
        <w:rPr>
          <w:rFonts w:ascii="Times New Roman" w:hAnsi="Times New Roman" w:cs="Times New Roman"/>
          <w:sz w:val="24"/>
          <w:szCs w:val="24"/>
        </w:rPr>
        <w:t xml:space="preserve">a more reasonable approach to the question </w:t>
      </w:r>
      <w:r w:rsidR="00626869" w:rsidRPr="00DD6763">
        <w:rPr>
          <w:rFonts w:ascii="Times New Roman" w:hAnsi="Times New Roman" w:cs="Times New Roman"/>
          <w:sz w:val="24"/>
          <w:szCs w:val="24"/>
        </w:rPr>
        <w:t xml:space="preserve">from the </w:t>
      </w:r>
      <w:r w:rsidR="00CF3BF6" w:rsidRPr="00DD6763">
        <w:rPr>
          <w:rFonts w:ascii="Times New Roman" w:hAnsi="Times New Roman" w:cs="Times New Roman"/>
          <w:sz w:val="24"/>
          <w:szCs w:val="24"/>
        </w:rPr>
        <w:t xml:space="preserve">perspective of the </w:t>
      </w:r>
      <w:r w:rsidR="00626869" w:rsidRPr="00DD6763">
        <w:rPr>
          <w:rFonts w:ascii="Times New Roman" w:hAnsi="Times New Roman" w:cs="Times New Roman"/>
          <w:sz w:val="24"/>
          <w:szCs w:val="24"/>
        </w:rPr>
        <w:t>sociology of international law</w:t>
      </w:r>
      <w:r w:rsidR="00D903F3" w:rsidRPr="00DD6763">
        <w:rPr>
          <w:rFonts w:ascii="Times New Roman" w:hAnsi="Times New Roman" w:cs="Times New Roman"/>
          <w:sz w:val="24"/>
          <w:szCs w:val="24"/>
        </w:rPr>
        <w:t>, analysing the socio-legal elements involved in the relations between HRL and IIL</w:t>
      </w:r>
      <w:r w:rsidR="00E5680B" w:rsidRPr="00DD6763">
        <w:rPr>
          <w:rFonts w:ascii="Times New Roman" w:hAnsi="Times New Roman" w:cs="Times New Roman"/>
          <w:sz w:val="24"/>
          <w:szCs w:val="24"/>
        </w:rPr>
        <w:t>.</w:t>
      </w:r>
      <w:r w:rsidR="0025297F" w:rsidRPr="00DD6763">
        <w:rPr>
          <w:rStyle w:val="FootnoteReference"/>
          <w:rFonts w:ascii="Times New Roman" w:hAnsi="Times New Roman" w:cs="Times New Roman"/>
          <w:sz w:val="24"/>
          <w:szCs w:val="24"/>
        </w:rPr>
        <w:footnoteReference w:id="190"/>
      </w:r>
      <w:r w:rsidR="0014168C" w:rsidRPr="00DD6763">
        <w:rPr>
          <w:rFonts w:ascii="Times New Roman" w:hAnsi="Times New Roman" w:cs="Times New Roman"/>
          <w:sz w:val="24"/>
          <w:szCs w:val="24"/>
        </w:rPr>
        <w:t xml:space="preserve"> In an attempt to change the current regulatory framework, </w:t>
      </w:r>
      <w:proofErr w:type="spellStart"/>
      <w:r w:rsidR="0014168C" w:rsidRPr="00DD6763">
        <w:rPr>
          <w:rFonts w:ascii="Times New Roman" w:hAnsi="Times New Roman" w:cs="Times New Roman"/>
          <w:sz w:val="24"/>
          <w:szCs w:val="24"/>
        </w:rPr>
        <w:t>Krajweski</w:t>
      </w:r>
      <w:proofErr w:type="spellEnd"/>
      <w:r w:rsidR="0014168C" w:rsidRPr="00DD6763">
        <w:rPr>
          <w:rFonts w:ascii="Times New Roman" w:hAnsi="Times New Roman" w:cs="Times New Roman"/>
          <w:sz w:val="24"/>
          <w:szCs w:val="24"/>
        </w:rPr>
        <w:t xml:space="preserve"> advocates for the introduction of human rights model clauses in future IIAs: supremacy clause </w:t>
      </w:r>
      <w:r w:rsidR="004B3CA7">
        <w:rPr>
          <w:rFonts w:ascii="Times New Roman" w:hAnsi="Times New Roman" w:cs="Times New Roman"/>
          <w:sz w:val="24"/>
          <w:szCs w:val="24"/>
        </w:rPr>
        <w:t xml:space="preserve">guaranteeing the prevalence of human rights provisions </w:t>
      </w:r>
      <w:r w:rsidR="0014168C" w:rsidRPr="00DD6763">
        <w:rPr>
          <w:rFonts w:ascii="Times New Roman" w:hAnsi="Times New Roman" w:cs="Times New Roman"/>
          <w:sz w:val="24"/>
          <w:szCs w:val="24"/>
        </w:rPr>
        <w:t>(</w:t>
      </w:r>
      <w:r w:rsidR="00C0087D" w:rsidRPr="00DD6763">
        <w:rPr>
          <w:rFonts w:ascii="Times New Roman" w:hAnsi="Times New Roman" w:cs="Times New Roman"/>
          <w:sz w:val="24"/>
          <w:szCs w:val="24"/>
        </w:rPr>
        <w:t xml:space="preserve">with different formulations), </w:t>
      </w:r>
      <w:r w:rsidR="0014168C" w:rsidRPr="00DD6763">
        <w:rPr>
          <w:rFonts w:ascii="Times New Roman" w:hAnsi="Times New Roman" w:cs="Times New Roman"/>
          <w:sz w:val="24"/>
          <w:szCs w:val="24"/>
        </w:rPr>
        <w:t>a clause ensuring the observance of human rights in dispute settlement proceedings and a clause incorporating human rights obligations.</w:t>
      </w:r>
      <w:r w:rsidR="0014168C" w:rsidRPr="00DD6763">
        <w:rPr>
          <w:rStyle w:val="FootnoteReference"/>
          <w:rFonts w:ascii="Times New Roman" w:hAnsi="Times New Roman" w:cs="Times New Roman"/>
          <w:sz w:val="24"/>
          <w:szCs w:val="24"/>
        </w:rPr>
        <w:footnoteReference w:id="191"/>
      </w:r>
    </w:p>
    <w:p w14:paraId="0B83227B" w14:textId="6799B5BA" w:rsidR="00750860" w:rsidRPr="00DD6763" w:rsidRDefault="00750860" w:rsidP="00D26A17">
      <w:pPr>
        <w:widowControl w:val="0"/>
        <w:autoSpaceDE w:val="0"/>
        <w:autoSpaceDN w:val="0"/>
        <w:adjustRightInd w:val="0"/>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A joint analysis of the cases reveals some key procedural aspects of particular interest</w:t>
      </w:r>
      <w:r w:rsidR="00D17BA9" w:rsidRPr="00DD6763">
        <w:rPr>
          <w:rFonts w:ascii="Times New Roman" w:hAnsi="Times New Roman" w:cs="Times New Roman"/>
          <w:sz w:val="24"/>
          <w:szCs w:val="24"/>
        </w:rPr>
        <w:t xml:space="preserve"> for an effective implementation of FPIC</w:t>
      </w:r>
      <w:r w:rsidRPr="00DD6763">
        <w:rPr>
          <w:rFonts w:ascii="Times New Roman" w:hAnsi="Times New Roman" w:cs="Times New Roman"/>
          <w:sz w:val="24"/>
          <w:szCs w:val="24"/>
        </w:rPr>
        <w:t xml:space="preserve">. First, access to justice in </w:t>
      </w:r>
      <w:r w:rsidR="00DA775D" w:rsidRPr="00DD6763">
        <w:rPr>
          <w:rFonts w:ascii="Times New Roman" w:hAnsi="Times New Roman" w:cs="Times New Roman"/>
          <w:sz w:val="24"/>
          <w:szCs w:val="24"/>
        </w:rPr>
        <w:t>IIL</w:t>
      </w:r>
      <w:r w:rsidRPr="00DD6763">
        <w:rPr>
          <w:rFonts w:ascii="Times New Roman" w:hAnsi="Times New Roman" w:cs="Times New Roman"/>
          <w:sz w:val="24"/>
          <w:szCs w:val="24"/>
        </w:rPr>
        <w:t xml:space="preserve"> relates to a more general and fundamental principle, which is the rule of law.</w:t>
      </w:r>
      <w:r w:rsidR="00890901" w:rsidRPr="00DD6763">
        <w:rPr>
          <w:rFonts w:ascii="Times New Roman" w:hAnsi="Times New Roman" w:cs="Times New Roman"/>
          <w:sz w:val="24"/>
          <w:szCs w:val="24"/>
        </w:rPr>
        <w:t xml:space="preserve"> In other </w:t>
      </w:r>
      <w:r w:rsidR="00BE19E8" w:rsidRPr="00DD6763">
        <w:rPr>
          <w:rFonts w:ascii="Times New Roman" w:hAnsi="Times New Roman" w:cs="Times New Roman"/>
          <w:sz w:val="24"/>
          <w:szCs w:val="24"/>
        </w:rPr>
        <w:t>words,</w:t>
      </w:r>
      <w:r w:rsidR="00890901" w:rsidRPr="00DD6763">
        <w:rPr>
          <w:rFonts w:ascii="Times New Roman" w:hAnsi="Times New Roman" w:cs="Times New Roman"/>
          <w:sz w:val="24"/>
          <w:szCs w:val="24"/>
        </w:rPr>
        <w:t xml:space="preserve"> the</w:t>
      </w:r>
      <w:r w:rsidR="003260FA" w:rsidRPr="00DD6763">
        <w:rPr>
          <w:rFonts w:ascii="Times New Roman" w:hAnsi="Times New Roman" w:cs="Times New Roman"/>
          <w:sz w:val="24"/>
          <w:szCs w:val="24"/>
        </w:rPr>
        <w:t xml:space="preserve"> “</w:t>
      </w:r>
      <w:r w:rsidRPr="00DD6763">
        <w:rPr>
          <w:rFonts w:ascii="Times New Roman" w:hAnsi="Times New Roman" w:cs="Times New Roman"/>
          <w:sz w:val="24"/>
          <w:szCs w:val="24"/>
        </w:rPr>
        <w:t>[</w:t>
      </w:r>
      <w:proofErr w:type="spellStart"/>
      <w:r w:rsidRPr="00DD6763">
        <w:rPr>
          <w:rFonts w:ascii="Times New Roman" w:hAnsi="Times New Roman" w:cs="Times New Roman"/>
          <w:sz w:val="24"/>
          <w:szCs w:val="24"/>
        </w:rPr>
        <w:t>i</w:t>
      </w:r>
      <w:proofErr w:type="spellEnd"/>
      <w:r w:rsidRPr="00DD6763">
        <w:rPr>
          <w:rFonts w:ascii="Times New Roman" w:hAnsi="Times New Roman" w:cs="Times New Roman"/>
          <w:sz w:val="24"/>
          <w:szCs w:val="24"/>
        </w:rPr>
        <w:t>]</w:t>
      </w:r>
      <w:proofErr w:type="spellStart"/>
      <w:r w:rsidRPr="00DD6763">
        <w:rPr>
          <w:rFonts w:ascii="Times New Roman" w:hAnsi="Times New Roman" w:cs="Times New Roman"/>
          <w:sz w:val="24"/>
          <w:szCs w:val="24"/>
        </w:rPr>
        <w:t>mpartial</w:t>
      </w:r>
      <w:proofErr w:type="spellEnd"/>
      <w:r w:rsidRPr="00DD6763">
        <w:rPr>
          <w:rFonts w:ascii="Times New Roman" w:hAnsi="Times New Roman" w:cs="Times New Roman"/>
          <w:sz w:val="24"/>
          <w:szCs w:val="24"/>
        </w:rPr>
        <w:t xml:space="preserve"> protection by independent judges of equal rights of citizens </w:t>
      </w:r>
      <w:r w:rsidR="00890901" w:rsidRPr="00DD6763">
        <w:rPr>
          <w:rFonts w:ascii="Times New Roman" w:hAnsi="Times New Roman" w:cs="Times New Roman"/>
          <w:sz w:val="24"/>
          <w:szCs w:val="24"/>
        </w:rPr>
        <w:t xml:space="preserve">(…) </w:t>
      </w:r>
      <w:r w:rsidR="003260FA" w:rsidRPr="00DD6763">
        <w:rPr>
          <w:rFonts w:ascii="Times New Roman" w:hAnsi="Times New Roman" w:cs="Times New Roman"/>
          <w:sz w:val="24"/>
          <w:szCs w:val="24"/>
        </w:rPr>
        <w:t>and the ‘rule of law’</w:t>
      </w:r>
      <w:r w:rsidRPr="00DD6763">
        <w:rPr>
          <w:rFonts w:ascii="Times New Roman" w:hAnsi="Times New Roman" w:cs="Times New Roman"/>
          <w:sz w:val="24"/>
          <w:szCs w:val="24"/>
        </w:rPr>
        <w:t xml:space="preserve"> </w:t>
      </w:r>
      <w:r w:rsidR="00890901" w:rsidRPr="00DD6763">
        <w:rPr>
          <w:rFonts w:ascii="Times New Roman" w:hAnsi="Times New Roman" w:cs="Times New Roman"/>
          <w:sz w:val="24"/>
          <w:szCs w:val="24"/>
        </w:rPr>
        <w:t xml:space="preserve">(…) </w:t>
      </w:r>
      <w:r w:rsidRPr="00DD6763">
        <w:rPr>
          <w:rFonts w:ascii="Times New Roman" w:hAnsi="Times New Roman" w:cs="Times New Roman"/>
          <w:sz w:val="24"/>
          <w:szCs w:val="24"/>
        </w:rPr>
        <w:t>is increasingly recognized in constitution</w:t>
      </w:r>
      <w:r w:rsidR="003260FA" w:rsidRPr="00DD6763">
        <w:rPr>
          <w:rFonts w:ascii="Times New Roman" w:hAnsi="Times New Roman" w:cs="Times New Roman"/>
          <w:sz w:val="24"/>
          <w:szCs w:val="24"/>
        </w:rPr>
        <w:t>al law and HRL as a human right</w:t>
      </w:r>
      <w:r w:rsidR="00A13BE2" w:rsidRPr="00DD6763">
        <w:rPr>
          <w:rFonts w:ascii="Times New Roman" w:hAnsi="Times New Roman" w:cs="Times New Roman"/>
          <w:sz w:val="24"/>
          <w:szCs w:val="24"/>
        </w:rPr>
        <w:t>”.</w:t>
      </w:r>
      <w:r w:rsidRPr="00DD6763">
        <w:rPr>
          <w:rStyle w:val="FootnoteReference"/>
          <w:rFonts w:ascii="Times New Roman" w:hAnsi="Times New Roman" w:cs="Times New Roman"/>
          <w:sz w:val="24"/>
          <w:szCs w:val="24"/>
        </w:rPr>
        <w:footnoteReference w:id="192"/>
      </w:r>
      <w:r w:rsidRPr="00DD6763">
        <w:rPr>
          <w:rFonts w:ascii="Times New Roman" w:hAnsi="Times New Roman" w:cs="Times New Roman"/>
          <w:sz w:val="24"/>
          <w:szCs w:val="24"/>
        </w:rPr>
        <w:t xml:space="preserve"> Certainly</w:t>
      </w:r>
      <w:r w:rsidR="00890901" w:rsidRPr="00DD6763">
        <w:rPr>
          <w:rFonts w:ascii="Times New Roman" w:hAnsi="Times New Roman" w:cs="Times New Roman"/>
          <w:sz w:val="24"/>
          <w:szCs w:val="24"/>
        </w:rPr>
        <w:t>,</w:t>
      </w:r>
      <w:r w:rsidRPr="00DD6763">
        <w:rPr>
          <w:rFonts w:ascii="Times New Roman" w:hAnsi="Times New Roman" w:cs="Times New Roman"/>
          <w:sz w:val="24"/>
          <w:szCs w:val="24"/>
        </w:rPr>
        <w:t xml:space="preserve"> </w:t>
      </w:r>
      <w:r w:rsidR="00890901" w:rsidRPr="00DD6763">
        <w:rPr>
          <w:rFonts w:ascii="Times New Roman" w:hAnsi="Times New Roman" w:cs="Times New Roman"/>
          <w:sz w:val="24"/>
          <w:szCs w:val="24"/>
        </w:rPr>
        <w:t>there are disparities in the access</w:t>
      </w:r>
      <w:r w:rsidRPr="00DD6763">
        <w:rPr>
          <w:rFonts w:ascii="Times New Roman" w:hAnsi="Times New Roman" w:cs="Times New Roman"/>
          <w:sz w:val="24"/>
          <w:szCs w:val="24"/>
        </w:rPr>
        <w:t xml:space="preserve"> </w:t>
      </w:r>
      <w:r w:rsidR="00890901" w:rsidRPr="00DD6763">
        <w:rPr>
          <w:rFonts w:ascii="Times New Roman" w:hAnsi="Times New Roman" w:cs="Times New Roman"/>
          <w:sz w:val="24"/>
          <w:szCs w:val="24"/>
        </w:rPr>
        <w:t xml:space="preserve">to justice </w:t>
      </w:r>
      <w:r w:rsidRPr="00DD6763">
        <w:rPr>
          <w:rFonts w:ascii="Times New Roman" w:hAnsi="Times New Roman" w:cs="Times New Roman"/>
          <w:sz w:val="24"/>
          <w:szCs w:val="24"/>
        </w:rPr>
        <w:t xml:space="preserve">because indigenous communities have only limited international legal standing. To make matters even more complicated, international litigation may be scattered across jurisdictions and across normally unconnected areas of law. </w:t>
      </w:r>
      <w:r w:rsidR="00890901" w:rsidRPr="00DD6763">
        <w:rPr>
          <w:rFonts w:ascii="Times New Roman" w:hAnsi="Times New Roman" w:cs="Times New Roman"/>
          <w:sz w:val="24"/>
          <w:szCs w:val="24"/>
        </w:rPr>
        <w:t xml:space="preserve">FPIC cases are highly complex and concern not only legal disputes, but often environmental conflicts which go beyond law. </w:t>
      </w:r>
      <w:r w:rsidRPr="00DD6763">
        <w:rPr>
          <w:rFonts w:ascii="Times New Roman" w:hAnsi="Times New Roman" w:cs="Times New Roman"/>
          <w:sz w:val="24"/>
          <w:szCs w:val="24"/>
        </w:rPr>
        <w:t xml:space="preserve">A lengthy process and </w:t>
      </w:r>
      <w:r w:rsidR="00890901" w:rsidRPr="00DD6763">
        <w:rPr>
          <w:rFonts w:ascii="Times New Roman" w:hAnsi="Times New Roman" w:cs="Times New Roman"/>
          <w:sz w:val="24"/>
          <w:szCs w:val="24"/>
        </w:rPr>
        <w:t xml:space="preserve">a </w:t>
      </w:r>
      <w:r w:rsidRPr="00DD6763">
        <w:rPr>
          <w:rFonts w:ascii="Times New Roman" w:hAnsi="Times New Roman" w:cs="Times New Roman"/>
          <w:sz w:val="24"/>
          <w:szCs w:val="24"/>
        </w:rPr>
        <w:t xml:space="preserve">lack of legal standing may end up eroding </w:t>
      </w:r>
      <w:r w:rsidR="0014168C" w:rsidRPr="00DD6763">
        <w:rPr>
          <w:rFonts w:ascii="Times New Roman" w:hAnsi="Times New Roman" w:cs="Times New Roman"/>
          <w:sz w:val="24"/>
          <w:szCs w:val="24"/>
        </w:rPr>
        <w:t xml:space="preserve">indigenous peoples and </w:t>
      </w:r>
      <w:r w:rsidRPr="00DD6763">
        <w:rPr>
          <w:rFonts w:ascii="Times New Roman" w:hAnsi="Times New Roman" w:cs="Times New Roman"/>
          <w:sz w:val="24"/>
          <w:szCs w:val="24"/>
        </w:rPr>
        <w:t>environmental rights.</w:t>
      </w:r>
    </w:p>
    <w:p w14:paraId="40CE87B3" w14:textId="25F21A70" w:rsidR="00750860" w:rsidRPr="00DD6763" w:rsidRDefault="00750860" w:rsidP="00D26A1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Second, the timing and the uniqueness of the consultation</w:t>
      </w:r>
      <w:r w:rsidR="00890901" w:rsidRPr="00DD6763">
        <w:rPr>
          <w:rFonts w:ascii="Times New Roman" w:hAnsi="Times New Roman" w:cs="Times New Roman"/>
          <w:sz w:val="24"/>
          <w:szCs w:val="24"/>
        </w:rPr>
        <w:t xml:space="preserve"> determine the effectiveness of the process. </w:t>
      </w:r>
      <w:r w:rsidR="000D48CD" w:rsidRPr="00DD6763">
        <w:rPr>
          <w:rFonts w:ascii="Times New Roman" w:hAnsi="Times New Roman" w:cs="Times New Roman"/>
          <w:sz w:val="24"/>
          <w:szCs w:val="24"/>
        </w:rPr>
        <w:t>Procedurally, t</w:t>
      </w:r>
      <w:r w:rsidRPr="00DD6763">
        <w:rPr>
          <w:rFonts w:ascii="Times New Roman" w:hAnsi="Times New Roman" w:cs="Times New Roman"/>
          <w:sz w:val="24"/>
          <w:szCs w:val="24"/>
        </w:rPr>
        <w:t xml:space="preserve">iming is everything when it comes to FPIC. The consultation should be organised before the relevant investment or infrastructure project takes place and it </w:t>
      </w:r>
      <w:r w:rsidRPr="00DD6763">
        <w:rPr>
          <w:rFonts w:ascii="Times New Roman" w:hAnsi="Times New Roman" w:cs="Times New Roman"/>
          <w:sz w:val="24"/>
          <w:szCs w:val="24"/>
        </w:rPr>
        <w:lastRenderedPageBreak/>
        <w:t xml:space="preserve">substantially differs from the EIA. The ‘post’ consultation is not </w:t>
      </w:r>
      <w:r w:rsidR="00BE76C3" w:rsidRPr="00DD6763">
        <w:rPr>
          <w:rFonts w:ascii="Times New Roman" w:hAnsi="Times New Roman" w:cs="Times New Roman"/>
          <w:sz w:val="24"/>
          <w:szCs w:val="24"/>
        </w:rPr>
        <w:t>effective,</w:t>
      </w:r>
      <w:r w:rsidRPr="00DD6763">
        <w:rPr>
          <w:rFonts w:ascii="Times New Roman" w:hAnsi="Times New Roman" w:cs="Times New Roman"/>
          <w:sz w:val="24"/>
          <w:szCs w:val="24"/>
        </w:rPr>
        <w:t xml:space="preserve"> as it may not prevent environmental damages in indigenous lands from happening.</w:t>
      </w:r>
      <w:r w:rsidRPr="00DD6763">
        <w:rPr>
          <w:rStyle w:val="FootnoteReference"/>
          <w:rFonts w:ascii="Times New Roman" w:hAnsi="Times New Roman" w:cs="Times New Roman"/>
          <w:sz w:val="24"/>
          <w:szCs w:val="24"/>
        </w:rPr>
        <w:footnoteReference w:id="193"/>
      </w:r>
      <w:r w:rsidRPr="00DD6763">
        <w:rPr>
          <w:rFonts w:ascii="Times New Roman" w:hAnsi="Times New Roman" w:cs="Times New Roman"/>
          <w:sz w:val="24"/>
          <w:szCs w:val="24"/>
        </w:rPr>
        <w:t xml:space="preserve"> </w:t>
      </w:r>
    </w:p>
    <w:p w14:paraId="4E38AEA6" w14:textId="193163DB" w:rsidR="00750860" w:rsidRPr="00DD6763" w:rsidRDefault="00750860" w:rsidP="00D26A1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Third, as for the </w:t>
      </w:r>
      <w:r w:rsidRPr="00DD6763">
        <w:rPr>
          <w:rFonts w:ascii="Times New Roman" w:hAnsi="Times New Roman" w:cs="Times New Roman"/>
          <w:i/>
          <w:iCs/>
          <w:sz w:val="24"/>
          <w:szCs w:val="24"/>
        </w:rPr>
        <w:t>amicus curiae</w:t>
      </w:r>
      <w:r w:rsidRPr="00DD6763">
        <w:rPr>
          <w:rFonts w:ascii="Times New Roman" w:hAnsi="Times New Roman" w:cs="Times New Roman"/>
          <w:sz w:val="24"/>
          <w:szCs w:val="24"/>
        </w:rPr>
        <w:t xml:space="preserve"> briefs, following the tendency to guarantee more transparency in </w:t>
      </w:r>
      <w:r w:rsidR="00DA775D" w:rsidRPr="00DD6763">
        <w:rPr>
          <w:rFonts w:ascii="Times New Roman" w:hAnsi="Times New Roman" w:cs="Times New Roman"/>
          <w:sz w:val="24"/>
          <w:szCs w:val="24"/>
        </w:rPr>
        <w:t>IIL</w:t>
      </w:r>
      <w:r w:rsidRPr="00DD6763">
        <w:rPr>
          <w:rFonts w:ascii="Times New Roman" w:hAnsi="Times New Roman" w:cs="Times New Roman"/>
          <w:sz w:val="24"/>
          <w:szCs w:val="24"/>
        </w:rPr>
        <w:t xml:space="preserve">, indigenous peoples can file amicus curiae briefs </w:t>
      </w:r>
      <w:r w:rsidR="00890901" w:rsidRPr="00DD6763">
        <w:rPr>
          <w:rFonts w:ascii="Times New Roman" w:hAnsi="Times New Roman" w:cs="Times New Roman"/>
          <w:sz w:val="24"/>
          <w:szCs w:val="24"/>
        </w:rPr>
        <w:t xml:space="preserve">as </w:t>
      </w:r>
      <w:r w:rsidRPr="00DD6763">
        <w:rPr>
          <w:rFonts w:ascii="Times New Roman" w:hAnsi="Times New Roman" w:cs="Times New Roman"/>
          <w:sz w:val="24"/>
          <w:szCs w:val="24"/>
        </w:rPr>
        <w:t>a new channel for their voice to be heard in investment cases.</w:t>
      </w:r>
      <w:r w:rsidR="00890901" w:rsidRPr="00DD6763">
        <w:rPr>
          <w:rStyle w:val="FootnoteReference"/>
          <w:rFonts w:ascii="Times New Roman" w:hAnsi="Times New Roman" w:cs="Times New Roman"/>
          <w:sz w:val="24"/>
          <w:szCs w:val="24"/>
        </w:rPr>
        <w:footnoteReference w:id="194"/>
      </w:r>
      <w:r w:rsidRPr="00DD6763">
        <w:rPr>
          <w:rFonts w:ascii="Times New Roman" w:hAnsi="Times New Roman" w:cs="Times New Roman"/>
          <w:sz w:val="24"/>
          <w:szCs w:val="24"/>
        </w:rPr>
        <w:t xml:space="preserve"> Nevertheless, the effect can be limited as the submissions cannot alter or affect the parties’ rights and the arbitral tribunal shall decide what arguments it takes on board.</w:t>
      </w:r>
      <w:r w:rsidR="003B3367" w:rsidRPr="00DD6763">
        <w:rPr>
          <w:rStyle w:val="FootnoteReference"/>
          <w:rFonts w:ascii="Times New Roman" w:hAnsi="Times New Roman" w:cs="Times New Roman"/>
          <w:sz w:val="24"/>
          <w:szCs w:val="24"/>
        </w:rPr>
        <w:footnoteReference w:id="195"/>
      </w:r>
      <w:r w:rsidRPr="00DD6763">
        <w:rPr>
          <w:rFonts w:ascii="Times New Roman" w:hAnsi="Times New Roman" w:cs="Times New Roman"/>
          <w:sz w:val="24"/>
          <w:szCs w:val="24"/>
        </w:rPr>
        <w:t xml:space="preserve"> Yet, in any </w:t>
      </w:r>
      <w:r w:rsidR="00BE76C3" w:rsidRPr="00DD6763">
        <w:rPr>
          <w:rFonts w:ascii="Times New Roman" w:hAnsi="Times New Roman" w:cs="Times New Roman"/>
          <w:sz w:val="24"/>
          <w:szCs w:val="24"/>
        </w:rPr>
        <w:t>case,</w:t>
      </w:r>
      <w:r w:rsidRPr="00DD6763">
        <w:rPr>
          <w:rFonts w:ascii="Times New Roman" w:hAnsi="Times New Roman" w:cs="Times New Roman"/>
          <w:sz w:val="24"/>
          <w:szCs w:val="24"/>
        </w:rPr>
        <w:t xml:space="preserve"> there is no acknowledgement of violation of rights or award of compensation for damages.</w:t>
      </w:r>
    </w:p>
    <w:p w14:paraId="6F91013A" w14:textId="77777777" w:rsidR="00750860" w:rsidRPr="00DD6763" w:rsidRDefault="00750860" w:rsidP="00D26A1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Fourth, </w:t>
      </w:r>
      <w:r w:rsidR="003B3367" w:rsidRPr="00DD6763">
        <w:rPr>
          <w:rFonts w:ascii="Times New Roman" w:hAnsi="Times New Roman" w:cs="Times New Roman"/>
          <w:sz w:val="24"/>
          <w:szCs w:val="24"/>
        </w:rPr>
        <w:t xml:space="preserve">concerning the </w:t>
      </w:r>
      <w:r w:rsidRPr="00DD6763">
        <w:rPr>
          <w:rFonts w:ascii="Times New Roman" w:hAnsi="Times New Roman" w:cs="Times New Roman"/>
          <w:sz w:val="24"/>
          <w:szCs w:val="24"/>
        </w:rPr>
        <w:t>petitions before human rights regional bodies</w:t>
      </w:r>
      <w:r w:rsidR="003B3367" w:rsidRPr="00DD6763">
        <w:rPr>
          <w:rFonts w:ascii="Times New Roman" w:hAnsi="Times New Roman" w:cs="Times New Roman"/>
          <w:sz w:val="24"/>
          <w:szCs w:val="24"/>
        </w:rPr>
        <w:t xml:space="preserve">, at least in Latin America </w:t>
      </w:r>
      <w:r w:rsidRPr="00DD6763">
        <w:rPr>
          <w:rFonts w:ascii="Times New Roman" w:hAnsi="Times New Roman" w:cs="Times New Roman"/>
          <w:sz w:val="24"/>
          <w:szCs w:val="24"/>
        </w:rPr>
        <w:t xml:space="preserve">the filing of applications to the Commission (and eventually taking the case to the Court) appears to be the main procedural channel when it comes to the violation of FPIC. Obviously, the UN mechanisms are used in a complementary manner. </w:t>
      </w:r>
      <w:r w:rsidR="003B3367" w:rsidRPr="00DD6763">
        <w:rPr>
          <w:rFonts w:ascii="Times New Roman" w:hAnsi="Times New Roman" w:cs="Times New Roman"/>
          <w:sz w:val="24"/>
          <w:szCs w:val="24"/>
        </w:rPr>
        <w:t>As a significant development, in Africa</w:t>
      </w:r>
      <w:r w:rsidRPr="00DD6763">
        <w:rPr>
          <w:rFonts w:ascii="Times New Roman" w:hAnsi="Times New Roman" w:cs="Times New Roman"/>
          <w:sz w:val="24"/>
          <w:szCs w:val="24"/>
        </w:rPr>
        <w:t xml:space="preserve"> the role of the Commission has increased in recent years coveri</w:t>
      </w:r>
      <w:r w:rsidR="000F1837" w:rsidRPr="00DD6763">
        <w:rPr>
          <w:rFonts w:ascii="Times New Roman" w:hAnsi="Times New Roman" w:cs="Times New Roman"/>
          <w:sz w:val="24"/>
          <w:szCs w:val="24"/>
        </w:rPr>
        <w:t xml:space="preserve">ng relevant issues relating </w:t>
      </w:r>
      <w:r w:rsidRPr="00DD6763">
        <w:rPr>
          <w:rFonts w:ascii="Times New Roman" w:hAnsi="Times New Roman" w:cs="Times New Roman"/>
          <w:sz w:val="24"/>
          <w:szCs w:val="24"/>
        </w:rPr>
        <w:t xml:space="preserve">to the implementation of FPIC. </w:t>
      </w:r>
    </w:p>
    <w:p w14:paraId="28E8EFA1" w14:textId="77777777" w:rsidR="00750860" w:rsidRPr="00DD6763" w:rsidRDefault="00750860" w:rsidP="00D26A1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Fifth, and with regard to other possible procedural tools that may contribute to the protection of FPIC, one can mention </w:t>
      </w:r>
      <w:r w:rsidR="003B3367" w:rsidRPr="00DD6763">
        <w:rPr>
          <w:rFonts w:ascii="Times New Roman" w:hAnsi="Times New Roman" w:cs="Times New Roman"/>
          <w:sz w:val="24"/>
          <w:szCs w:val="24"/>
        </w:rPr>
        <w:t xml:space="preserve">the adoption of </w:t>
      </w:r>
      <w:r w:rsidRPr="00DD6763">
        <w:rPr>
          <w:rFonts w:ascii="Times New Roman" w:hAnsi="Times New Roman" w:cs="Times New Roman"/>
          <w:sz w:val="24"/>
          <w:szCs w:val="24"/>
        </w:rPr>
        <w:t>pre</w:t>
      </w:r>
      <w:r w:rsidR="003B3367" w:rsidRPr="00DD6763">
        <w:rPr>
          <w:rFonts w:ascii="Times New Roman" w:hAnsi="Times New Roman" w:cs="Times New Roman"/>
          <w:sz w:val="24"/>
          <w:szCs w:val="24"/>
        </w:rPr>
        <w:t xml:space="preserve">cautionary or </w:t>
      </w:r>
      <w:r w:rsidRPr="00DD6763">
        <w:rPr>
          <w:rFonts w:ascii="Times New Roman" w:hAnsi="Times New Roman" w:cs="Times New Roman"/>
          <w:sz w:val="24"/>
          <w:szCs w:val="24"/>
        </w:rPr>
        <w:t>provisional measures</w:t>
      </w:r>
      <w:r w:rsidR="003B3367" w:rsidRPr="00DD6763">
        <w:rPr>
          <w:rFonts w:ascii="Times New Roman" w:hAnsi="Times New Roman" w:cs="Times New Roman"/>
          <w:sz w:val="24"/>
          <w:szCs w:val="24"/>
        </w:rPr>
        <w:t xml:space="preserve"> where </w:t>
      </w:r>
      <w:r w:rsidR="00A55952" w:rsidRPr="00DD6763">
        <w:rPr>
          <w:rFonts w:ascii="Times New Roman" w:hAnsi="Times New Roman" w:cs="Times New Roman"/>
          <w:sz w:val="24"/>
          <w:szCs w:val="24"/>
        </w:rPr>
        <w:t xml:space="preserve">those are </w:t>
      </w:r>
      <w:r w:rsidR="003B3367" w:rsidRPr="00DD6763">
        <w:rPr>
          <w:rFonts w:ascii="Times New Roman" w:hAnsi="Times New Roman" w:cs="Times New Roman"/>
          <w:sz w:val="24"/>
          <w:szCs w:val="24"/>
        </w:rPr>
        <w:t>available</w:t>
      </w:r>
      <w:r w:rsidRPr="00DD6763">
        <w:rPr>
          <w:rFonts w:ascii="Times New Roman" w:hAnsi="Times New Roman" w:cs="Times New Roman"/>
          <w:sz w:val="24"/>
          <w:szCs w:val="24"/>
        </w:rPr>
        <w:t>.</w:t>
      </w:r>
      <w:r w:rsidR="003B3367" w:rsidRPr="00DD6763">
        <w:rPr>
          <w:rStyle w:val="FootnoteReference"/>
          <w:rFonts w:ascii="Times New Roman" w:hAnsi="Times New Roman" w:cs="Times New Roman"/>
          <w:sz w:val="24"/>
          <w:szCs w:val="24"/>
        </w:rPr>
        <w:footnoteReference w:id="196"/>
      </w:r>
      <w:r w:rsidRPr="00DD6763">
        <w:rPr>
          <w:rFonts w:ascii="Times New Roman" w:hAnsi="Times New Roman" w:cs="Times New Roman"/>
          <w:sz w:val="24"/>
          <w:szCs w:val="24"/>
        </w:rPr>
        <w:t xml:space="preserve"> This is the only means within the international dimension to avoid a worsening of the </w:t>
      </w:r>
      <w:r w:rsidR="00BE76C3" w:rsidRPr="00DD6763">
        <w:rPr>
          <w:rFonts w:ascii="Times New Roman" w:hAnsi="Times New Roman" w:cs="Times New Roman"/>
          <w:sz w:val="24"/>
          <w:szCs w:val="24"/>
        </w:rPr>
        <w:t>situation, which</w:t>
      </w:r>
      <w:r w:rsidRPr="00DD6763">
        <w:rPr>
          <w:rFonts w:ascii="Times New Roman" w:hAnsi="Times New Roman" w:cs="Times New Roman"/>
          <w:sz w:val="24"/>
          <w:szCs w:val="24"/>
        </w:rPr>
        <w:t xml:space="preserve"> may render the outcome of the ruling illusory. Petitioners, victims and their counsels should be aware and active to request the adoption of such measures. </w:t>
      </w:r>
    </w:p>
    <w:p w14:paraId="5A1B024B" w14:textId="1C820225" w:rsidR="00AC344B" w:rsidRPr="00DD6763" w:rsidRDefault="00750860" w:rsidP="00D26A17">
      <w:pPr>
        <w:widowControl w:val="0"/>
        <w:autoSpaceDE w:val="0"/>
        <w:autoSpaceDN w:val="0"/>
        <w:adjustRightInd w:val="0"/>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Additionally, there are </w:t>
      </w:r>
      <w:r w:rsidRPr="00DD6763">
        <w:rPr>
          <w:rStyle w:val="st"/>
          <w:rFonts w:ascii="Times New Roman" w:hAnsi="Times New Roman" w:cs="Times New Roman"/>
          <w:sz w:val="24"/>
          <w:szCs w:val="24"/>
        </w:rPr>
        <w:t xml:space="preserve">other measures for protecting both indigenous people and their </w:t>
      </w:r>
      <w:r w:rsidRPr="00DD6763">
        <w:rPr>
          <w:rStyle w:val="Emphasis"/>
          <w:rFonts w:ascii="Times New Roman" w:hAnsi="Times New Roman" w:cs="Times New Roman"/>
          <w:i w:val="0"/>
          <w:sz w:val="24"/>
          <w:szCs w:val="24"/>
        </w:rPr>
        <w:t>environment</w:t>
      </w:r>
      <w:r w:rsidRPr="00DD6763">
        <w:rPr>
          <w:rStyle w:val="st"/>
          <w:rFonts w:ascii="Times New Roman" w:hAnsi="Times New Roman" w:cs="Times New Roman"/>
          <w:sz w:val="24"/>
          <w:szCs w:val="24"/>
        </w:rPr>
        <w:t xml:space="preserve"> </w:t>
      </w:r>
      <w:r w:rsidR="00A55952" w:rsidRPr="00DD6763">
        <w:rPr>
          <w:rStyle w:val="st"/>
          <w:rFonts w:ascii="Times New Roman" w:hAnsi="Times New Roman" w:cs="Times New Roman"/>
          <w:sz w:val="24"/>
          <w:szCs w:val="24"/>
        </w:rPr>
        <w:t xml:space="preserve">that </w:t>
      </w:r>
      <w:r w:rsidRPr="00DD6763">
        <w:rPr>
          <w:rStyle w:val="st"/>
          <w:rFonts w:ascii="Times New Roman" w:hAnsi="Times New Roman" w:cs="Times New Roman"/>
          <w:sz w:val="24"/>
          <w:szCs w:val="24"/>
        </w:rPr>
        <w:t>can be effectively used by international bodies, such as</w:t>
      </w:r>
      <w:r w:rsidRPr="00DD6763">
        <w:rPr>
          <w:rFonts w:ascii="Times New Roman" w:hAnsi="Times New Roman" w:cs="Times New Roman"/>
          <w:sz w:val="24"/>
          <w:szCs w:val="24"/>
        </w:rPr>
        <w:t xml:space="preserve"> expert witnesses, on-site visits and specialised studies and reports. As a further step to effectively understand the context of the case, reliance on expert witnesses (anthropologists or historians) may help to develop an authentic dialogue with another system of social and legal norms. Another innovative measure adopted by the </w:t>
      </w:r>
      <w:proofErr w:type="spellStart"/>
      <w:r w:rsidRPr="00DD6763">
        <w:rPr>
          <w:rFonts w:ascii="Times New Roman" w:hAnsi="Times New Roman" w:cs="Times New Roman"/>
          <w:sz w:val="24"/>
          <w:szCs w:val="24"/>
        </w:rPr>
        <w:t>IACtHR</w:t>
      </w:r>
      <w:proofErr w:type="spellEnd"/>
      <w:r w:rsidRPr="00DD6763">
        <w:rPr>
          <w:rFonts w:ascii="Times New Roman" w:hAnsi="Times New Roman" w:cs="Times New Roman"/>
          <w:sz w:val="24"/>
          <w:szCs w:val="24"/>
        </w:rPr>
        <w:t xml:space="preserve"> consists of </w:t>
      </w:r>
      <w:r w:rsidRPr="00DD6763">
        <w:rPr>
          <w:rFonts w:ascii="Times New Roman" w:hAnsi="Times New Roman" w:cs="Times New Roman"/>
          <w:i/>
          <w:sz w:val="24"/>
          <w:szCs w:val="24"/>
        </w:rPr>
        <w:t>in loco</w:t>
      </w:r>
      <w:r w:rsidRPr="00DD6763">
        <w:rPr>
          <w:rFonts w:ascii="Times New Roman" w:hAnsi="Times New Roman" w:cs="Times New Roman"/>
          <w:sz w:val="24"/>
          <w:szCs w:val="24"/>
        </w:rPr>
        <w:t xml:space="preserve"> visits. </w:t>
      </w:r>
      <w:r w:rsidR="00A55952" w:rsidRPr="00DD6763">
        <w:rPr>
          <w:rFonts w:ascii="Times New Roman" w:hAnsi="Times New Roman" w:cs="Times New Roman"/>
          <w:sz w:val="24"/>
          <w:szCs w:val="24"/>
        </w:rPr>
        <w:t>Finally, t</w:t>
      </w:r>
      <w:r w:rsidRPr="00DD6763">
        <w:rPr>
          <w:rFonts w:ascii="Times New Roman" w:hAnsi="Times New Roman" w:cs="Times New Roman"/>
          <w:sz w:val="24"/>
          <w:szCs w:val="24"/>
        </w:rPr>
        <w:t>he adoption of specialised reports is contributing a great deal in this respect</w:t>
      </w:r>
      <w:r w:rsidR="00A55952" w:rsidRPr="00DD6763">
        <w:rPr>
          <w:rFonts w:ascii="Times New Roman" w:hAnsi="Times New Roman" w:cs="Times New Roman"/>
          <w:sz w:val="24"/>
          <w:szCs w:val="24"/>
        </w:rPr>
        <w:t xml:space="preserve"> as they raise awareness about the current situation of indigenous peoples and increasing pressure on the States</w:t>
      </w:r>
      <w:r w:rsidR="00FB6E0F" w:rsidRPr="00DD6763">
        <w:rPr>
          <w:rFonts w:ascii="Times New Roman" w:hAnsi="Times New Roman" w:cs="Times New Roman"/>
          <w:sz w:val="24"/>
          <w:szCs w:val="24"/>
        </w:rPr>
        <w:t xml:space="preserve"> to comply with </w:t>
      </w:r>
      <w:r w:rsidR="00AC344B" w:rsidRPr="00DD6763">
        <w:rPr>
          <w:rFonts w:ascii="Times New Roman" w:hAnsi="Times New Roman" w:cs="Times New Roman"/>
          <w:sz w:val="24"/>
          <w:szCs w:val="24"/>
        </w:rPr>
        <w:t>international law</w:t>
      </w:r>
      <w:r w:rsidRPr="00DD6763">
        <w:rPr>
          <w:rFonts w:ascii="Times New Roman" w:hAnsi="Times New Roman" w:cs="Times New Roman"/>
          <w:sz w:val="24"/>
          <w:szCs w:val="24"/>
        </w:rPr>
        <w:t>.</w:t>
      </w:r>
      <w:r w:rsidR="0014168C" w:rsidRPr="00DD6763">
        <w:rPr>
          <w:rFonts w:ascii="Times New Roman" w:hAnsi="Times New Roman" w:cs="Times New Roman"/>
          <w:sz w:val="24"/>
          <w:szCs w:val="24"/>
        </w:rPr>
        <w:t xml:space="preserve"> </w:t>
      </w:r>
      <w:r w:rsidR="00AC344B" w:rsidRPr="00DD6763">
        <w:rPr>
          <w:rFonts w:ascii="Times New Roman" w:hAnsi="Times New Roman" w:cs="Times New Roman"/>
          <w:sz w:val="24"/>
          <w:szCs w:val="24"/>
        </w:rPr>
        <w:t>The possibility of articulating restorative measures could be used in negotiations to enhance the bargaining power of indigenous peoples. These strategies increase the transaction costs that weaker parties have to pay to engage</w:t>
      </w:r>
      <w:r w:rsidR="00AC344B" w:rsidRPr="00DD6763">
        <w:rPr>
          <w:rFonts w:ascii="Times New Roman" w:hAnsi="Times New Roman" w:cs="Times New Roman"/>
          <w:i/>
          <w:sz w:val="24"/>
          <w:szCs w:val="24"/>
        </w:rPr>
        <w:t xml:space="preserve"> </w:t>
      </w:r>
      <w:r w:rsidR="00AC344B" w:rsidRPr="00DD6763">
        <w:rPr>
          <w:rFonts w:ascii="Times New Roman" w:hAnsi="Times New Roman" w:cs="Times New Roman"/>
          <w:sz w:val="24"/>
          <w:szCs w:val="24"/>
        </w:rPr>
        <w:t xml:space="preserve">in arbitration proceedings to form a coalition that could more effectively bargain with their more powerful counterparts. </w:t>
      </w:r>
    </w:p>
    <w:p w14:paraId="36B7AA55" w14:textId="42268A9A" w:rsidR="009122D7" w:rsidRPr="00DD6763" w:rsidRDefault="00EB48C7" w:rsidP="00D26A17">
      <w:pPr>
        <w:spacing w:after="0" w:line="276" w:lineRule="auto"/>
        <w:ind w:firstLine="720"/>
        <w:jc w:val="both"/>
        <w:rPr>
          <w:sz w:val="20"/>
          <w:szCs w:val="20"/>
        </w:rPr>
      </w:pPr>
      <w:r w:rsidRPr="00DD6763">
        <w:rPr>
          <w:rFonts w:ascii="Times New Roman" w:hAnsi="Times New Roman" w:cs="Times New Roman"/>
          <w:sz w:val="24"/>
          <w:szCs w:val="24"/>
        </w:rPr>
        <w:t>In sum, international human rights instruments reflect consensus towards the recognition of FPIC as a right. No state would formally</w:t>
      </w:r>
      <w:r w:rsidR="001D565C" w:rsidRPr="00DD6763">
        <w:rPr>
          <w:rFonts w:ascii="Times New Roman" w:hAnsi="Times New Roman" w:cs="Times New Roman"/>
          <w:sz w:val="24"/>
          <w:szCs w:val="24"/>
        </w:rPr>
        <w:t xml:space="preserve"> oppose to UNDRIP. </w:t>
      </w:r>
      <w:r w:rsidR="00AC344B" w:rsidRPr="00DD6763">
        <w:rPr>
          <w:rFonts w:ascii="Times New Roman" w:hAnsi="Times New Roman" w:cs="Times New Roman"/>
          <w:sz w:val="24"/>
          <w:szCs w:val="24"/>
        </w:rPr>
        <w:t xml:space="preserve">In an overall appraisal of the current </w:t>
      </w:r>
      <w:r w:rsidRPr="00DD6763">
        <w:rPr>
          <w:rFonts w:ascii="Times New Roman" w:hAnsi="Times New Roman" w:cs="Times New Roman"/>
          <w:sz w:val="24"/>
          <w:szCs w:val="24"/>
        </w:rPr>
        <w:t xml:space="preserve">state </w:t>
      </w:r>
      <w:r w:rsidR="00AC344B" w:rsidRPr="00DD6763">
        <w:rPr>
          <w:rFonts w:ascii="Times New Roman" w:hAnsi="Times New Roman" w:cs="Times New Roman"/>
          <w:sz w:val="24"/>
          <w:szCs w:val="24"/>
        </w:rPr>
        <w:t xml:space="preserve">practice and case law, </w:t>
      </w:r>
      <w:r w:rsidRPr="00DD6763">
        <w:rPr>
          <w:rFonts w:ascii="Times New Roman" w:hAnsi="Times New Roman" w:cs="Times New Roman"/>
          <w:sz w:val="24"/>
          <w:szCs w:val="24"/>
        </w:rPr>
        <w:t>o</w:t>
      </w:r>
      <w:r w:rsidR="007802C7" w:rsidRPr="00DD6763">
        <w:rPr>
          <w:rFonts w:ascii="Times New Roman" w:hAnsi="Times New Roman" w:cs="Times New Roman"/>
          <w:sz w:val="24"/>
          <w:szCs w:val="24"/>
        </w:rPr>
        <w:t xml:space="preserve">ne can observe a gradually, albeit slowly, opening-up </w:t>
      </w:r>
      <w:r w:rsidR="00EE51F5" w:rsidRPr="00DD6763">
        <w:rPr>
          <w:rFonts w:ascii="Times New Roman" w:hAnsi="Times New Roman" w:cs="Times New Roman"/>
          <w:sz w:val="24"/>
          <w:szCs w:val="24"/>
        </w:rPr>
        <w:t xml:space="preserve">in the practice of international courts and tribunals </w:t>
      </w:r>
      <w:r w:rsidR="007802C7" w:rsidRPr="00DD6763">
        <w:rPr>
          <w:rFonts w:ascii="Times New Roman" w:hAnsi="Times New Roman" w:cs="Times New Roman"/>
          <w:sz w:val="24"/>
          <w:szCs w:val="24"/>
        </w:rPr>
        <w:t xml:space="preserve">to customary law. </w:t>
      </w:r>
      <w:r w:rsidR="00EA5B84" w:rsidRPr="00DD6763">
        <w:rPr>
          <w:rFonts w:ascii="Times New Roman" w:hAnsi="Times New Roman" w:cs="Times New Roman"/>
          <w:sz w:val="24"/>
          <w:szCs w:val="24"/>
        </w:rPr>
        <w:t xml:space="preserve">There is </w:t>
      </w:r>
      <w:r w:rsidR="00EA5B84" w:rsidRPr="00DD6763">
        <w:rPr>
          <w:rFonts w:ascii="Times New Roman" w:hAnsi="Times New Roman" w:cs="Times New Roman"/>
          <w:sz w:val="24"/>
          <w:szCs w:val="24"/>
        </w:rPr>
        <w:lastRenderedPageBreak/>
        <w:t xml:space="preserve">however an extensive archipelago of narrowly focused and poorly coordinated </w:t>
      </w:r>
      <w:r w:rsidR="001826F0" w:rsidRPr="00DD6763">
        <w:rPr>
          <w:rFonts w:ascii="Times New Roman" w:hAnsi="Times New Roman" w:cs="Times New Roman"/>
          <w:sz w:val="24"/>
          <w:szCs w:val="24"/>
        </w:rPr>
        <w:t>international law norms</w:t>
      </w:r>
      <w:r w:rsidR="007802C7" w:rsidRPr="00DD6763">
        <w:rPr>
          <w:rFonts w:ascii="Times New Roman" w:hAnsi="Times New Roman" w:cs="Times New Roman"/>
          <w:sz w:val="24"/>
          <w:szCs w:val="24"/>
        </w:rPr>
        <w:t xml:space="preserve">. </w:t>
      </w:r>
      <w:r w:rsidR="00C5359C" w:rsidRPr="00DD6763">
        <w:rPr>
          <w:rFonts w:ascii="Times New Roman" w:hAnsi="Times New Roman" w:cs="Times New Roman"/>
          <w:sz w:val="24"/>
          <w:szCs w:val="24"/>
        </w:rPr>
        <w:t>The need to devise effective means to guarantee FPIC is still there</w:t>
      </w:r>
      <w:r w:rsidR="00081B2F" w:rsidRPr="00DD6763">
        <w:rPr>
          <w:rFonts w:ascii="Times New Roman" w:hAnsi="Times New Roman" w:cs="Times New Roman"/>
          <w:sz w:val="24"/>
          <w:szCs w:val="24"/>
        </w:rPr>
        <w:t xml:space="preserve">. </w:t>
      </w:r>
      <w:r w:rsidR="007802C7" w:rsidRPr="00DD6763">
        <w:rPr>
          <w:rFonts w:ascii="Times New Roman" w:hAnsi="Times New Roman" w:cs="Times New Roman"/>
          <w:sz w:val="24"/>
          <w:szCs w:val="24"/>
        </w:rPr>
        <w:t>A</w:t>
      </w:r>
      <w:r w:rsidR="00EA5B84" w:rsidRPr="00DD6763">
        <w:rPr>
          <w:rFonts w:ascii="Times New Roman" w:hAnsi="Times New Roman" w:cs="Times New Roman"/>
          <w:sz w:val="24"/>
          <w:szCs w:val="24"/>
        </w:rPr>
        <w:t xml:space="preserve">t the minimum, </w:t>
      </w:r>
      <w:r w:rsidRPr="00DD6763">
        <w:rPr>
          <w:rFonts w:ascii="Times New Roman" w:hAnsi="Times New Roman" w:cs="Times New Roman"/>
          <w:sz w:val="24"/>
          <w:szCs w:val="24"/>
        </w:rPr>
        <w:t xml:space="preserve">a </w:t>
      </w:r>
      <w:r w:rsidR="00F238E9" w:rsidRPr="00DD6763">
        <w:rPr>
          <w:rFonts w:ascii="Times New Roman" w:hAnsi="Times New Roman" w:cs="Times New Roman"/>
          <w:sz w:val="24"/>
          <w:szCs w:val="24"/>
        </w:rPr>
        <w:t xml:space="preserve">clear understanding of the right, a permanent </w:t>
      </w:r>
      <w:r w:rsidR="00EA5B84" w:rsidRPr="00DD6763">
        <w:rPr>
          <w:rFonts w:ascii="Times New Roman" w:hAnsi="Times New Roman" w:cs="Times New Roman"/>
          <w:sz w:val="24"/>
          <w:szCs w:val="24"/>
        </w:rPr>
        <w:t>oversig</w:t>
      </w:r>
      <w:r w:rsidR="00F238E9" w:rsidRPr="00DD6763">
        <w:rPr>
          <w:rFonts w:ascii="Times New Roman" w:hAnsi="Times New Roman" w:cs="Times New Roman"/>
          <w:sz w:val="24"/>
          <w:szCs w:val="24"/>
        </w:rPr>
        <w:t>ht and access to legal advice by indigenous communities are</w:t>
      </w:r>
      <w:r w:rsidR="00EA5B84" w:rsidRPr="00DD6763">
        <w:rPr>
          <w:rFonts w:ascii="Times New Roman" w:hAnsi="Times New Roman" w:cs="Times New Roman"/>
          <w:sz w:val="24"/>
          <w:szCs w:val="24"/>
        </w:rPr>
        <w:t xml:space="preserve"> sorely needed.</w:t>
      </w:r>
    </w:p>
    <w:p w14:paraId="3F0E5DD0" w14:textId="3FAF9BA3" w:rsidR="009122D7" w:rsidRPr="00DD6763" w:rsidRDefault="009122D7" w:rsidP="00DD6763">
      <w:pPr>
        <w:spacing w:after="0" w:line="276" w:lineRule="auto"/>
        <w:ind w:firstLine="720"/>
        <w:rPr>
          <w:rFonts w:ascii="Times New Roman" w:hAnsi="Times New Roman" w:cs="Times New Roman"/>
          <w:sz w:val="24"/>
          <w:szCs w:val="24"/>
        </w:rPr>
      </w:pPr>
    </w:p>
    <w:p w14:paraId="4EF29DB2" w14:textId="77777777" w:rsidR="00DD6763" w:rsidRPr="00DD6763" w:rsidRDefault="00DD6763" w:rsidP="00DD6763">
      <w:pPr>
        <w:spacing w:after="0" w:line="276" w:lineRule="auto"/>
        <w:ind w:firstLine="720"/>
        <w:rPr>
          <w:rFonts w:ascii="Times New Roman" w:hAnsi="Times New Roman" w:cs="Times New Roman"/>
          <w:sz w:val="24"/>
          <w:szCs w:val="24"/>
        </w:rPr>
      </w:pPr>
    </w:p>
    <w:p w14:paraId="2531D3B9" w14:textId="18307A08" w:rsidR="009122D7" w:rsidRPr="00DD6763" w:rsidRDefault="00CF2F49" w:rsidP="004362B0">
      <w:pPr>
        <w:spacing w:after="0" w:line="276" w:lineRule="auto"/>
        <w:outlineLvl w:val="0"/>
        <w:rPr>
          <w:rFonts w:ascii="Times New Roman" w:hAnsi="Times New Roman" w:cs="Times New Roman"/>
          <w:b/>
          <w:sz w:val="24"/>
          <w:szCs w:val="24"/>
        </w:rPr>
      </w:pPr>
      <w:r w:rsidRPr="00DD6763">
        <w:rPr>
          <w:rFonts w:ascii="Times New Roman" w:hAnsi="Times New Roman" w:cs="Times New Roman"/>
          <w:b/>
          <w:sz w:val="24"/>
          <w:szCs w:val="24"/>
        </w:rPr>
        <w:t>5</w:t>
      </w:r>
      <w:r w:rsidR="00C5359C" w:rsidRPr="00DD6763">
        <w:rPr>
          <w:rFonts w:ascii="Times New Roman" w:hAnsi="Times New Roman" w:cs="Times New Roman"/>
          <w:b/>
          <w:sz w:val="24"/>
          <w:szCs w:val="24"/>
        </w:rPr>
        <w:t xml:space="preserve"> Conclusion</w:t>
      </w:r>
      <w:r w:rsidR="009122D7" w:rsidRPr="00DD6763">
        <w:rPr>
          <w:rFonts w:ascii="Times New Roman" w:hAnsi="Times New Roman" w:cs="Times New Roman"/>
          <w:b/>
          <w:sz w:val="24"/>
          <w:szCs w:val="24"/>
        </w:rPr>
        <w:t>s</w:t>
      </w:r>
    </w:p>
    <w:p w14:paraId="03942DE9" w14:textId="77777777" w:rsidR="009122D7" w:rsidRPr="00DD6763" w:rsidRDefault="009122D7" w:rsidP="00AF2C38">
      <w:pPr>
        <w:spacing w:after="0" w:line="276" w:lineRule="auto"/>
        <w:rPr>
          <w:rFonts w:ascii="Times New Roman" w:hAnsi="Times New Roman" w:cs="Times New Roman"/>
          <w:b/>
          <w:sz w:val="24"/>
          <w:szCs w:val="24"/>
        </w:rPr>
      </w:pPr>
    </w:p>
    <w:p w14:paraId="5675FA02" w14:textId="2598EE8F" w:rsidR="00204386" w:rsidRPr="00DD6763" w:rsidRDefault="004B7174" w:rsidP="00341A5B">
      <w:pPr>
        <w:spacing w:after="0" w:line="276" w:lineRule="auto"/>
        <w:jc w:val="both"/>
        <w:rPr>
          <w:rFonts w:ascii="Times New Roman" w:hAnsi="Times New Roman" w:cs="Times New Roman"/>
          <w:sz w:val="24"/>
          <w:szCs w:val="24"/>
        </w:rPr>
      </w:pPr>
      <w:r w:rsidRPr="00DD6763">
        <w:rPr>
          <w:rFonts w:ascii="Times New Roman" w:hAnsi="Times New Roman" w:cs="Times New Roman"/>
          <w:sz w:val="24"/>
          <w:szCs w:val="24"/>
        </w:rPr>
        <w:t>While</w:t>
      </w:r>
      <w:r w:rsidR="00412D90" w:rsidRPr="00DD6763">
        <w:rPr>
          <w:rFonts w:ascii="Times New Roman" w:hAnsi="Times New Roman" w:cs="Times New Roman"/>
          <w:sz w:val="24"/>
          <w:szCs w:val="24"/>
        </w:rPr>
        <w:t xml:space="preserve"> </w:t>
      </w:r>
      <w:r w:rsidR="00370301" w:rsidRPr="00DD6763">
        <w:rPr>
          <w:rFonts w:ascii="Times New Roman" w:hAnsi="Times New Roman" w:cs="Times New Roman"/>
          <w:sz w:val="24"/>
          <w:szCs w:val="24"/>
        </w:rPr>
        <w:t xml:space="preserve">at present </w:t>
      </w:r>
      <w:r w:rsidR="00D06D2C" w:rsidRPr="00DD6763">
        <w:rPr>
          <w:rFonts w:ascii="Times New Roman" w:hAnsi="Times New Roman" w:cs="Times New Roman"/>
          <w:sz w:val="24"/>
          <w:szCs w:val="24"/>
        </w:rPr>
        <w:t xml:space="preserve">the formulation of FPIC </w:t>
      </w:r>
      <w:r w:rsidR="0043087A" w:rsidRPr="00C41A9F">
        <w:rPr>
          <w:rFonts w:ascii="Times New Roman" w:hAnsi="Times New Roman" w:cs="Times New Roman"/>
          <w:sz w:val="24"/>
          <w:szCs w:val="24"/>
        </w:rPr>
        <w:t>seems to have gained</w:t>
      </w:r>
      <w:r w:rsidR="00D06D2C" w:rsidRPr="00DD6763">
        <w:rPr>
          <w:rFonts w:ascii="Times New Roman" w:hAnsi="Times New Roman" w:cs="Times New Roman"/>
          <w:sz w:val="24"/>
          <w:szCs w:val="24"/>
        </w:rPr>
        <w:t xml:space="preserve"> </w:t>
      </w:r>
      <w:r w:rsidR="0043087A">
        <w:rPr>
          <w:rFonts w:ascii="Times New Roman" w:hAnsi="Times New Roman" w:cs="Times New Roman"/>
          <w:sz w:val="24"/>
          <w:szCs w:val="24"/>
        </w:rPr>
        <w:t xml:space="preserve">momentum </w:t>
      </w:r>
      <w:r w:rsidR="00D06D2C" w:rsidRPr="00DD6763">
        <w:rPr>
          <w:rFonts w:ascii="Times New Roman" w:hAnsi="Times New Roman" w:cs="Times New Roman"/>
          <w:sz w:val="24"/>
          <w:szCs w:val="24"/>
        </w:rPr>
        <w:t xml:space="preserve">in </w:t>
      </w:r>
      <w:r w:rsidR="0043087A">
        <w:rPr>
          <w:rFonts w:ascii="Times New Roman" w:hAnsi="Times New Roman" w:cs="Times New Roman"/>
          <w:sz w:val="24"/>
          <w:szCs w:val="24"/>
        </w:rPr>
        <w:t xml:space="preserve">terms of </w:t>
      </w:r>
      <w:r w:rsidR="00D06D2C" w:rsidRPr="00DD6763">
        <w:rPr>
          <w:rFonts w:ascii="Times New Roman" w:hAnsi="Times New Roman" w:cs="Times New Roman"/>
          <w:sz w:val="24"/>
          <w:szCs w:val="24"/>
        </w:rPr>
        <w:t xml:space="preserve">legal instruments which regulate the process, </w:t>
      </w:r>
      <w:r w:rsidR="00380994" w:rsidRPr="00DD6763">
        <w:rPr>
          <w:rFonts w:ascii="Times New Roman" w:hAnsi="Times New Roman" w:cs="Times New Roman"/>
          <w:sz w:val="24"/>
          <w:szCs w:val="24"/>
        </w:rPr>
        <w:t xml:space="preserve">both </w:t>
      </w:r>
      <w:r w:rsidR="00D06D2C" w:rsidRPr="00DD6763">
        <w:rPr>
          <w:rFonts w:ascii="Times New Roman" w:hAnsi="Times New Roman" w:cs="Times New Roman"/>
          <w:sz w:val="24"/>
          <w:szCs w:val="24"/>
        </w:rPr>
        <w:t>its implementation</w:t>
      </w:r>
      <w:r w:rsidR="004200B9" w:rsidRPr="00DD6763">
        <w:rPr>
          <w:rFonts w:ascii="Times New Roman" w:hAnsi="Times New Roman" w:cs="Times New Roman"/>
          <w:sz w:val="24"/>
          <w:szCs w:val="24"/>
        </w:rPr>
        <w:t xml:space="preserve"> </w:t>
      </w:r>
      <w:r w:rsidR="00380994" w:rsidRPr="00DD6763">
        <w:rPr>
          <w:rFonts w:ascii="Times New Roman" w:hAnsi="Times New Roman" w:cs="Times New Roman"/>
          <w:sz w:val="24"/>
          <w:szCs w:val="24"/>
        </w:rPr>
        <w:t xml:space="preserve">in traditional fora and the attempts to assert it in new arenas such as investment law </w:t>
      </w:r>
      <w:r w:rsidR="004200B9" w:rsidRPr="00DD6763">
        <w:rPr>
          <w:rFonts w:ascii="Times New Roman" w:hAnsi="Times New Roman" w:cs="Times New Roman"/>
          <w:sz w:val="24"/>
          <w:szCs w:val="24"/>
        </w:rPr>
        <w:t>ha</w:t>
      </w:r>
      <w:r w:rsidR="00380994" w:rsidRPr="00DD6763">
        <w:rPr>
          <w:rFonts w:ascii="Times New Roman" w:hAnsi="Times New Roman" w:cs="Times New Roman"/>
          <w:sz w:val="24"/>
          <w:szCs w:val="24"/>
        </w:rPr>
        <w:t>ve</w:t>
      </w:r>
      <w:r w:rsidR="004200B9" w:rsidRPr="00DD6763">
        <w:rPr>
          <w:rFonts w:ascii="Times New Roman" w:hAnsi="Times New Roman" w:cs="Times New Roman"/>
          <w:sz w:val="24"/>
          <w:szCs w:val="24"/>
        </w:rPr>
        <w:t xml:space="preserve"> revealed several obstacles</w:t>
      </w:r>
      <w:r w:rsidR="00E750C5" w:rsidRPr="00DD6763">
        <w:rPr>
          <w:rFonts w:ascii="Times New Roman" w:hAnsi="Times New Roman" w:cs="Times New Roman"/>
          <w:sz w:val="24"/>
          <w:szCs w:val="24"/>
        </w:rPr>
        <w:t xml:space="preserve"> such as</w:t>
      </w:r>
      <w:r w:rsidR="0014168C" w:rsidRPr="00DD6763">
        <w:rPr>
          <w:rFonts w:ascii="Times New Roman" w:hAnsi="Times New Roman" w:cs="Times New Roman"/>
          <w:sz w:val="24"/>
          <w:szCs w:val="24"/>
        </w:rPr>
        <w:t>:</w:t>
      </w:r>
      <w:r w:rsidR="00E750C5" w:rsidRPr="00DD6763">
        <w:rPr>
          <w:rFonts w:ascii="Times New Roman" w:hAnsi="Times New Roman" w:cs="Times New Roman"/>
          <w:sz w:val="24"/>
          <w:szCs w:val="24"/>
        </w:rPr>
        <w:t xml:space="preserve"> the lack of a </w:t>
      </w:r>
      <w:r w:rsidR="00167537" w:rsidRPr="00DD6763">
        <w:rPr>
          <w:rFonts w:ascii="Times New Roman" w:hAnsi="Times New Roman" w:cs="Times New Roman"/>
          <w:sz w:val="24"/>
          <w:szCs w:val="24"/>
        </w:rPr>
        <w:t xml:space="preserve">homogeneous </w:t>
      </w:r>
      <w:r w:rsidR="00E750C5" w:rsidRPr="00DD6763">
        <w:rPr>
          <w:rFonts w:ascii="Times New Roman" w:hAnsi="Times New Roman" w:cs="Times New Roman"/>
          <w:sz w:val="24"/>
          <w:szCs w:val="24"/>
        </w:rPr>
        <w:t>approach</w:t>
      </w:r>
      <w:r w:rsidR="00204386" w:rsidRPr="00DD6763">
        <w:rPr>
          <w:rFonts w:ascii="Times New Roman" w:hAnsi="Times New Roman" w:cs="Times New Roman"/>
          <w:sz w:val="24"/>
          <w:szCs w:val="24"/>
        </w:rPr>
        <w:t xml:space="preserve">, the confusion between different procedural aspects, the delayed response to the breach of the right and the inappropriate timing to conduct the consultation. </w:t>
      </w:r>
    </w:p>
    <w:p w14:paraId="0704FCFD" w14:textId="77777777" w:rsidR="00204386" w:rsidRPr="00DD6763" w:rsidRDefault="002F0BAC" w:rsidP="00D26A1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Due to the changing face of international law and the increasing role of non-state actors, t</w:t>
      </w:r>
      <w:r w:rsidR="00D06D2C" w:rsidRPr="00DD6763">
        <w:rPr>
          <w:rFonts w:ascii="Times New Roman" w:hAnsi="Times New Roman" w:cs="Times New Roman"/>
          <w:sz w:val="24"/>
          <w:szCs w:val="24"/>
        </w:rPr>
        <w:t>h</w:t>
      </w:r>
      <w:r w:rsidR="00204386" w:rsidRPr="00DD6763">
        <w:rPr>
          <w:rFonts w:ascii="Times New Roman" w:hAnsi="Times New Roman" w:cs="Times New Roman"/>
          <w:sz w:val="24"/>
          <w:szCs w:val="24"/>
        </w:rPr>
        <w:t>e irruption of private corporations acting in the fiel</w:t>
      </w:r>
      <w:r w:rsidRPr="00DD6763">
        <w:rPr>
          <w:rFonts w:ascii="Times New Roman" w:hAnsi="Times New Roman" w:cs="Times New Roman"/>
          <w:sz w:val="24"/>
          <w:szCs w:val="24"/>
        </w:rPr>
        <w:t>d has made matters even more complex</w:t>
      </w:r>
      <w:r w:rsidR="00D06D2C" w:rsidRPr="00DD6763">
        <w:rPr>
          <w:rFonts w:ascii="Times New Roman" w:hAnsi="Times New Roman" w:cs="Times New Roman"/>
          <w:sz w:val="24"/>
          <w:szCs w:val="24"/>
        </w:rPr>
        <w:t>.</w:t>
      </w:r>
      <w:r w:rsidR="00C9293E" w:rsidRPr="00DD6763">
        <w:rPr>
          <w:rFonts w:ascii="Times New Roman" w:hAnsi="Times New Roman" w:cs="Times New Roman"/>
          <w:sz w:val="24"/>
          <w:szCs w:val="24"/>
        </w:rPr>
        <w:t xml:space="preserve"> </w:t>
      </w:r>
      <w:r w:rsidR="00EE51F5" w:rsidRPr="00DD6763">
        <w:rPr>
          <w:rFonts w:ascii="Times New Roman" w:hAnsi="Times New Roman" w:cs="Times New Roman"/>
          <w:sz w:val="24"/>
          <w:szCs w:val="24"/>
        </w:rPr>
        <w:t>International l</w:t>
      </w:r>
      <w:r w:rsidR="00A51DF8" w:rsidRPr="00DD6763">
        <w:rPr>
          <w:rFonts w:ascii="Times New Roman" w:hAnsi="Times New Roman" w:cs="Times New Roman"/>
          <w:sz w:val="24"/>
          <w:szCs w:val="24"/>
        </w:rPr>
        <w:t>aw cannot remain</w:t>
      </w:r>
      <w:r w:rsidR="00C9293E" w:rsidRPr="00DD6763">
        <w:rPr>
          <w:rFonts w:ascii="Times New Roman" w:hAnsi="Times New Roman" w:cs="Times New Roman"/>
          <w:sz w:val="24"/>
          <w:szCs w:val="24"/>
        </w:rPr>
        <w:t xml:space="preserve"> aloof </w:t>
      </w:r>
      <w:r w:rsidR="00412D90" w:rsidRPr="00DD6763">
        <w:rPr>
          <w:rFonts w:ascii="Times New Roman" w:hAnsi="Times New Roman" w:cs="Times New Roman"/>
          <w:sz w:val="24"/>
          <w:szCs w:val="24"/>
        </w:rPr>
        <w:t xml:space="preserve">from </w:t>
      </w:r>
      <w:r w:rsidR="00A51DF8" w:rsidRPr="00DD6763">
        <w:rPr>
          <w:rFonts w:ascii="Times New Roman" w:hAnsi="Times New Roman" w:cs="Times New Roman"/>
          <w:sz w:val="24"/>
          <w:szCs w:val="24"/>
        </w:rPr>
        <w:t>this phenomenon</w:t>
      </w:r>
      <w:r w:rsidR="00C9293E" w:rsidRPr="00DD6763">
        <w:rPr>
          <w:rFonts w:ascii="Times New Roman" w:hAnsi="Times New Roman" w:cs="Times New Roman"/>
          <w:sz w:val="24"/>
          <w:szCs w:val="24"/>
        </w:rPr>
        <w:t xml:space="preserve">. </w:t>
      </w:r>
      <w:r w:rsidR="00C9293E" w:rsidRPr="00DD6763">
        <w:rPr>
          <w:rFonts w:ascii="Times New Roman" w:eastAsia="Times New Roman" w:hAnsi="Times New Roman" w:cs="Times New Roman"/>
          <w:sz w:val="24"/>
          <w:szCs w:val="24"/>
          <w:lang w:eastAsia="en-GB"/>
        </w:rPr>
        <w:t>Indeed, effectiveness is at the centre of the problem.</w:t>
      </w:r>
      <w:r w:rsidR="00C9293E" w:rsidRPr="00DD6763">
        <w:rPr>
          <w:rFonts w:ascii="Times New Roman" w:hAnsi="Times New Roman" w:cs="Times New Roman"/>
          <w:sz w:val="24"/>
          <w:szCs w:val="24"/>
        </w:rPr>
        <w:t xml:space="preserve"> </w:t>
      </w:r>
    </w:p>
    <w:p w14:paraId="656A3CB7" w14:textId="5299E360" w:rsidR="00AB71EF" w:rsidRPr="00DD6763" w:rsidRDefault="00FF735B" w:rsidP="00D26A1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The jurisprudence of the </w:t>
      </w:r>
      <w:proofErr w:type="spellStart"/>
      <w:r w:rsidRPr="00DD6763">
        <w:rPr>
          <w:rFonts w:ascii="Times New Roman" w:hAnsi="Times New Roman" w:cs="Times New Roman"/>
          <w:sz w:val="24"/>
          <w:szCs w:val="24"/>
        </w:rPr>
        <w:t>IACtHR</w:t>
      </w:r>
      <w:proofErr w:type="spellEnd"/>
      <w:r w:rsidRPr="00DD6763">
        <w:rPr>
          <w:rFonts w:ascii="Times New Roman" w:hAnsi="Times New Roman" w:cs="Times New Roman"/>
          <w:sz w:val="24"/>
          <w:szCs w:val="24"/>
        </w:rPr>
        <w:t xml:space="preserve"> has paved the way for the </w:t>
      </w:r>
      <w:r w:rsidR="00A567DF" w:rsidRPr="00DD6763">
        <w:rPr>
          <w:rFonts w:ascii="Times New Roman" w:hAnsi="Times New Roman" w:cs="Times New Roman"/>
          <w:sz w:val="24"/>
          <w:szCs w:val="24"/>
        </w:rPr>
        <w:t>safeguard</w:t>
      </w:r>
      <w:r w:rsidRPr="00DD6763">
        <w:rPr>
          <w:rFonts w:ascii="Times New Roman" w:hAnsi="Times New Roman" w:cs="Times New Roman"/>
          <w:sz w:val="24"/>
          <w:szCs w:val="24"/>
        </w:rPr>
        <w:t xml:space="preserve"> of FPIC and </w:t>
      </w:r>
      <w:r w:rsidR="00380994" w:rsidRPr="00DD6763">
        <w:rPr>
          <w:rFonts w:ascii="Times New Roman" w:hAnsi="Times New Roman" w:cs="Times New Roman"/>
          <w:sz w:val="24"/>
          <w:szCs w:val="24"/>
        </w:rPr>
        <w:t xml:space="preserve">related rights, and has </w:t>
      </w:r>
      <w:r w:rsidRPr="00DD6763">
        <w:rPr>
          <w:rFonts w:ascii="Times New Roman" w:hAnsi="Times New Roman" w:cs="Times New Roman"/>
          <w:sz w:val="24"/>
          <w:szCs w:val="24"/>
        </w:rPr>
        <w:t xml:space="preserve">harnessed its evolution. However, one should be aware of the limitations of the ‘expansive effect’ of C169. </w:t>
      </w:r>
      <w:r w:rsidR="00AB71EF" w:rsidRPr="00DD6763">
        <w:rPr>
          <w:rFonts w:ascii="Times New Roman" w:hAnsi="Times New Roman" w:cs="Times New Roman"/>
          <w:sz w:val="24"/>
          <w:szCs w:val="24"/>
        </w:rPr>
        <w:t xml:space="preserve">The </w:t>
      </w:r>
      <w:proofErr w:type="spellStart"/>
      <w:r w:rsidR="00AB71EF" w:rsidRPr="00DD6763">
        <w:rPr>
          <w:rFonts w:ascii="Times New Roman" w:hAnsi="Times New Roman" w:cs="Times New Roman"/>
          <w:sz w:val="24"/>
          <w:szCs w:val="24"/>
        </w:rPr>
        <w:t>IACtHR</w:t>
      </w:r>
      <w:proofErr w:type="spellEnd"/>
      <w:r w:rsidR="00AB71EF" w:rsidRPr="00DD6763">
        <w:rPr>
          <w:rFonts w:ascii="Times New Roman" w:hAnsi="Times New Roman" w:cs="Times New Roman"/>
          <w:sz w:val="24"/>
          <w:szCs w:val="24"/>
        </w:rPr>
        <w:t xml:space="preserve"> has construed the notion of indigenous rights linking them to the right to property,</w:t>
      </w:r>
      <w:r w:rsidR="00EE51F5" w:rsidRPr="00DD6763">
        <w:rPr>
          <w:rFonts w:ascii="Times New Roman" w:hAnsi="Times New Roman" w:cs="Times New Roman"/>
          <w:sz w:val="24"/>
          <w:szCs w:val="24"/>
        </w:rPr>
        <w:t xml:space="preserve"> interpreted in a cultural context,</w:t>
      </w:r>
      <w:r w:rsidR="00AB71EF" w:rsidRPr="00DD6763">
        <w:rPr>
          <w:rFonts w:ascii="Times New Roman" w:hAnsi="Times New Roman" w:cs="Times New Roman"/>
          <w:sz w:val="24"/>
          <w:szCs w:val="24"/>
        </w:rPr>
        <w:t xml:space="preserve"> being the delimitation and restitution of the property </w:t>
      </w:r>
      <w:r w:rsidR="00380994" w:rsidRPr="00DD6763">
        <w:rPr>
          <w:rFonts w:ascii="Times New Roman" w:hAnsi="Times New Roman" w:cs="Times New Roman"/>
          <w:sz w:val="24"/>
          <w:szCs w:val="24"/>
        </w:rPr>
        <w:t xml:space="preserve">in </w:t>
      </w:r>
      <w:r w:rsidR="00AB71EF" w:rsidRPr="00DD6763">
        <w:rPr>
          <w:rFonts w:ascii="Times New Roman" w:hAnsi="Times New Roman" w:cs="Times New Roman"/>
          <w:sz w:val="24"/>
          <w:szCs w:val="24"/>
        </w:rPr>
        <w:t xml:space="preserve">the common manner of reparation. The </w:t>
      </w:r>
      <w:proofErr w:type="spellStart"/>
      <w:r w:rsidR="00AB71EF" w:rsidRPr="00DD6763">
        <w:rPr>
          <w:rFonts w:ascii="Times New Roman" w:hAnsi="Times New Roman" w:cs="Times New Roman"/>
          <w:sz w:val="24"/>
          <w:szCs w:val="24"/>
        </w:rPr>
        <w:t>IACtHR</w:t>
      </w:r>
      <w:proofErr w:type="spellEnd"/>
      <w:r w:rsidR="00AB71EF" w:rsidRPr="00DD6763">
        <w:rPr>
          <w:rFonts w:ascii="Times New Roman" w:hAnsi="Times New Roman" w:cs="Times New Roman"/>
          <w:sz w:val="24"/>
          <w:szCs w:val="24"/>
        </w:rPr>
        <w:t xml:space="preserve"> has been reluctant to provide a general response: it follows a case-by-case analysis and it has clearly stated that it cannot adjudicate disputes between private parties such as those in </w:t>
      </w:r>
      <w:proofErr w:type="spellStart"/>
      <w:r w:rsidR="00AB71EF" w:rsidRPr="00DD6763">
        <w:rPr>
          <w:rFonts w:ascii="Times New Roman" w:hAnsi="Times New Roman" w:cs="Times New Roman"/>
          <w:i/>
          <w:sz w:val="24"/>
          <w:szCs w:val="24"/>
        </w:rPr>
        <w:t>Sawhoyamaxa</w:t>
      </w:r>
      <w:proofErr w:type="spellEnd"/>
      <w:r w:rsidR="00AB71EF" w:rsidRPr="00DD6763">
        <w:rPr>
          <w:rFonts w:ascii="Times New Roman" w:hAnsi="Times New Roman" w:cs="Times New Roman"/>
          <w:i/>
          <w:sz w:val="24"/>
          <w:szCs w:val="24"/>
        </w:rPr>
        <w:t xml:space="preserve"> Community</w:t>
      </w:r>
      <w:r w:rsidR="00AB71EF" w:rsidRPr="00DD6763">
        <w:rPr>
          <w:rFonts w:ascii="Times New Roman" w:hAnsi="Times New Roman" w:cs="Times New Roman"/>
          <w:sz w:val="24"/>
          <w:szCs w:val="24"/>
        </w:rPr>
        <w:t>.</w:t>
      </w:r>
    </w:p>
    <w:p w14:paraId="37A82B45" w14:textId="7AFD7FA2" w:rsidR="00FF735B" w:rsidRPr="00DD6763" w:rsidRDefault="00FF735B" w:rsidP="00D26A1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Investment tribunals</w:t>
      </w:r>
      <w:r w:rsidR="00CF310A" w:rsidRPr="00DD6763">
        <w:rPr>
          <w:rFonts w:ascii="Times New Roman" w:hAnsi="Times New Roman" w:cs="Times New Roman"/>
          <w:sz w:val="24"/>
          <w:szCs w:val="24"/>
        </w:rPr>
        <w:t xml:space="preserve"> have taken a distinctive look </w:t>
      </w:r>
      <w:r w:rsidR="00380994" w:rsidRPr="00DD6763">
        <w:rPr>
          <w:rFonts w:ascii="Times New Roman" w:hAnsi="Times New Roman" w:cs="Times New Roman"/>
          <w:sz w:val="24"/>
          <w:szCs w:val="24"/>
        </w:rPr>
        <w:t xml:space="preserve">at </w:t>
      </w:r>
      <w:r w:rsidR="00CF310A" w:rsidRPr="00DD6763">
        <w:rPr>
          <w:rFonts w:ascii="Times New Roman" w:hAnsi="Times New Roman" w:cs="Times New Roman"/>
          <w:sz w:val="24"/>
          <w:szCs w:val="24"/>
        </w:rPr>
        <w:t xml:space="preserve">the issue of consultation, </w:t>
      </w:r>
      <w:r w:rsidR="00380994" w:rsidRPr="00DD6763">
        <w:rPr>
          <w:rFonts w:ascii="Times New Roman" w:hAnsi="Times New Roman" w:cs="Times New Roman"/>
          <w:sz w:val="24"/>
          <w:szCs w:val="24"/>
        </w:rPr>
        <w:t xml:space="preserve">but as yet have been </w:t>
      </w:r>
      <w:r w:rsidR="00A567DF" w:rsidRPr="00DD6763">
        <w:rPr>
          <w:rFonts w:ascii="Times New Roman" w:hAnsi="Times New Roman" w:cs="Times New Roman"/>
          <w:sz w:val="24"/>
          <w:szCs w:val="24"/>
        </w:rPr>
        <w:t>hesitant to accommodate FPIC in the framework of investment protection.</w:t>
      </w:r>
      <w:r w:rsidR="00CF310A" w:rsidRPr="00DD6763">
        <w:rPr>
          <w:rFonts w:ascii="Times New Roman" w:hAnsi="Times New Roman" w:cs="Times New Roman"/>
          <w:sz w:val="24"/>
          <w:szCs w:val="24"/>
        </w:rPr>
        <w:t xml:space="preserve"> </w:t>
      </w:r>
      <w:r w:rsidR="00380994" w:rsidRPr="00DD6763">
        <w:rPr>
          <w:rFonts w:ascii="Times New Roman" w:hAnsi="Times New Roman" w:cs="Times New Roman"/>
          <w:sz w:val="24"/>
          <w:szCs w:val="24"/>
        </w:rPr>
        <w:t xml:space="preserve">Conceiving of FPIC more broadly as the apex of a panoply of fundamental rights and procedural rules would enable a core set of qualities to be identified. Some of these could then be defined expressly as aspects of FPIC in argument before investment tribunals, as a means of creating a link from the narrow interpretative context of investment law more effectively to a legal formulation of the broader needs of indigenous peoples. </w:t>
      </w:r>
      <w:r w:rsidR="00204386" w:rsidRPr="00DD6763">
        <w:rPr>
          <w:rFonts w:ascii="Times New Roman" w:hAnsi="Times New Roman" w:cs="Times New Roman"/>
          <w:sz w:val="24"/>
          <w:szCs w:val="24"/>
        </w:rPr>
        <w:t xml:space="preserve">The efforts made in the context of specific disputes demonstrate that the responsibility to fulfil FPIC rests with the host state, but the foreign investor should respect </w:t>
      </w:r>
      <w:r w:rsidR="00370301" w:rsidRPr="00DD6763">
        <w:rPr>
          <w:rFonts w:ascii="Times New Roman" w:hAnsi="Times New Roman" w:cs="Times New Roman"/>
          <w:sz w:val="24"/>
          <w:szCs w:val="24"/>
        </w:rPr>
        <w:t>FPIC</w:t>
      </w:r>
      <w:r w:rsidR="00204386" w:rsidRPr="00DD6763">
        <w:rPr>
          <w:rFonts w:ascii="Times New Roman" w:hAnsi="Times New Roman" w:cs="Times New Roman"/>
          <w:sz w:val="24"/>
          <w:szCs w:val="24"/>
        </w:rPr>
        <w:t xml:space="preserve"> and observe the national and international legal framework applicable to regulate the investment.</w:t>
      </w:r>
    </w:p>
    <w:p w14:paraId="4990DA65" w14:textId="74B4BCED" w:rsidR="00FF735B" w:rsidRPr="00DD6763" w:rsidRDefault="005E0EC1" w:rsidP="00D26A17">
      <w:pPr>
        <w:spacing w:after="0" w:line="276" w:lineRule="auto"/>
        <w:ind w:firstLine="720"/>
        <w:jc w:val="both"/>
        <w:rPr>
          <w:rFonts w:ascii="Times New Roman" w:hAnsi="Times New Roman" w:cs="Times New Roman"/>
          <w:sz w:val="24"/>
          <w:szCs w:val="24"/>
        </w:rPr>
      </w:pPr>
      <w:r w:rsidRPr="00DD6763">
        <w:rPr>
          <w:rFonts w:ascii="Times New Roman" w:hAnsi="Times New Roman" w:cs="Times New Roman"/>
          <w:sz w:val="24"/>
          <w:szCs w:val="24"/>
        </w:rPr>
        <w:t xml:space="preserve">Although several unresolved questions persist, a light </w:t>
      </w:r>
      <w:r w:rsidR="00380994" w:rsidRPr="00DD6763">
        <w:rPr>
          <w:rFonts w:ascii="Times New Roman" w:hAnsi="Times New Roman" w:cs="Times New Roman"/>
          <w:sz w:val="24"/>
          <w:szCs w:val="24"/>
        </w:rPr>
        <w:t xml:space="preserve">at </w:t>
      </w:r>
      <w:r w:rsidRPr="00DD6763">
        <w:rPr>
          <w:rFonts w:ascii="Times New Roman" w:hAnsi="Times New Roman" w:cs="Times New Roman"/>
          <w:sz w:val="24"/>
          <w:szCs w:val="24"/>
        </w:rPr>
        <w:t>the end of the tunnel</w:t>
      </w:r>
      <w:r w:rsidR="00EE51F5" w:rsidRPr="00DD6763">
        <w:rPr>
          <w:rFonts w:ascii="Times New Roman" w:hAnsi="Times New Roman" w:cs="Times New Roman"/>
          <w:sz w:val="24"/>
          <w:szCs w:val="24"/>
        </w:rPr>
        <w:t xml:space="preserve"> may be seen as</w:t>
      </w:r>
      <w:r w:rsidRPr="00DD6763">
        <w:rPr>
          <w:rFonts w:ascii="Times New Roman" w:hAnsi="Times New Roman" w:cs="Times New Roman"/>
          <w:sz w:val="24"/>
          <w:szCs w:val="24"/>
        </w:rPr>
        <w:t xml:space="preserve"> certain progress has been achieved. </w:t>
      </w:r>
      <w:r w:rsidR="00CF310A" w:rsidRPr="00DD6763">
        <w:rPr>
          <w:rFonts w:ascii="Times New Roman" w:hAnsi="Times New Roman" w:cs="Times New Roman"/>
          <w:sz w:val="24"/>
          <w:szCs w:val="24"/>
        </w:rPr>
        <w:t xml:space="preserve">As argued in the article, </w:t>
      </w:r>
      <w:r w:rsidRPr="00DD6763">
        <w:rPr>
          <w:rFonts w:ascii="Times New Roman" w:hAnsi="Times New Roman" w:cs="Times New Roman"/>
          <w:sz w:val="24"/>
          <w:szCs w:val="24"/>
        </w:rPr>
        <w:t>we may extract certain common elements from the litigation before human rights courts and investment tribunals</w:t>
      </w:r>
      <w:r w:rsidR="00EE51F5" w:rsidRPr="00DD6763">
        <w:rPr>
          <w:rFonts w:ascii="Times New Roman" w:hAnsi="Times New Roman" w:cs="Times New Roman"/>
          <w:sz w:val="24"/>
          <w:szCs w:val="24"/>
        </w:rPr>
        <w:t xml:space="preserve"> as discussed in the previous section</w:t>
      </w:r>
      <w:r w:rsidRPr="00DD6763">
        <w:rPr>
          <w:rFonts w:ascii="Times New Roman" w:hAnsi="Times New Roman" w:cs="Times New Roman"/>
          <w:sz w:val="24"/>
          <w:szCs w:val="24"/>
        </w:rPr>
        <w:t xml:space="preserve">. </w:t>
      </w:r>
      <w:r w:rsidR="00A567DF" w:rsidRPr="00DD6763">
        <w:rPr>
          <w:rFonts w:ascii="Times New Roman" w:hAnsi="Times New Roman" w:cs="Times New Roman"/>
          <w:sz w:val="24"/>
          <w:szCs w:val="24"/>
        </w:rPr>
        <w:t xml:space="preserve">An alternative </w:t>
      </w:r>
      <w:r w:rsidR="00FF735B" w:rsidRPr="00DD6763">
        <w:rPr>
          <w:rFonts w:ascii="Times New Roman" w:hAnsi="Times New Roman" w:cs="Times New Roman"/>
          <w:sz w:val="24"/>
          <w:szCs w:val="24"/>
        </w:rPr>
        <w:t xml:space="preserve">formulation of FPIC </w:t>
      </w:r>
      <w:r w:rsidR="00A567DF" w:rsidRPr="00DD6763">
        <w:rPr>
          <w:rFonts w:ascii="Times New Roman" w:hAnsi="Times New Roman" w:cs="Times New Roman"/>
          <w:sz w:val="24"/>
          <w:szCs w:val="24"/>
        </w:rPr>
        <w:t xml:space="preserve">militates for the recognition of its </w:t>
      </w:r>
      <w:r w:rsidR="00FF735B" w:rsidRPr="00DD6763">
        <w:rPr>
          <w:rFonts w:ascii="Times New Roman" w:hAnsi="Times New Roman" w:cs="Times New Roman"/>
          <w:i/>
          <w:iCs/>
          <w:sz w:val="24"/>
          <w:szCs w:val="24"/>
        </w:rPr>
        <w:t>sui generis</w:t>
      </w:r>
      <w:r w:rsidR="00FF735B" w:rsidRPr="00DD6763">
        <w:rPr>
          <w:rFonts w:ascii="Times New Roman" w:hAnsi="Times New Roman" w:cs="Times New Roman"/>
          <w:sz w:val="24"/>
          <w:szCs w:val="24"/>
        </w:rPr>
        <w:t xml:space="preserve"> nature rooted in human rights law but yet comprising specific obligations stemming from customary international law.</w:t>
      </w:r>
    </w:p>
    <w:sectPr w:rsidR="00FF735B" w:rsidRPr="00DD676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18C28" w14:textId="77777777" w:rsidR="000241B1" w:rsidRDefault="000241B1" w:rsidP="009122D7">
      <w:pPr>
        <w:spacing w:after="0" w:line="240" w:lineRule="auto"/>
      </w:pPr>
      <w:r>
        <w:separator/>
      </w:r>
    </w:p>
  </w:endnote>
  <w:endnote w:type="continuationSeparator" w:id="0">
    <w:p w14:paraId="2F78C0DF" w14:textId="77777777" w:rsidR="000241B1" w:rsidRDefault="000241B1" w:rsidP="0091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07396"/>
      <w:docPartObj>
        <w:docPartGallery w:val="Page Numbers (Bottom of Page)"/>
        <w:docPartUnique/>
      </w:docPartObj>
    </w:sdtPr>
    <w:sdtEndPr>
      <w:rPr>
        <w:rFonts w:ascii="Times New Roman" w:hAnsi="Times New Roman" w:cs="Times New Roman"/>
        <w:noProof/>
      </w:rPr>
    </w:sdtEndPr>
    <w:sdtContent>
      <w:p w14:paraId="408F534E" w14:textId="181B1D1D" w:rsidR="00DE3CB2" w:rsidRPr="00E2596E" w:rsidRDefault="00DE3CB2">
        <w:pPr>
          <w:pStyle w:val="Footer"/>
          <w:jc w:val="center"/>
          <w:rPr>
            <w:rFonts w:ascii="Times New Roman" w:hAnsi="Times New Roman" w:cs="Times New Roman"/>
          </w:rPr>
        </w:pPr>
        <w:r w:rsidRPr="00E2596E">
          <w:rPr>
            <w:rFonts w:ascii="Times New Roman" w:hAnsi="Times New Roman" w:cs="Times New Roman"/>
          </w:rPr>
          <w:fldChar w:fldCharType="begin"/>
        </w:r>
        <w:r w:rsidRPr="00E2596E">
          <w:rPr>
            <w:rFonts w:ascii="Times New Roman" w:hAnsi="Times New Roman" w:cs="Times New Roman"/>
          </w:rPr>
          <w:instrText xml:space="preserve"> PAGE   \* MERGEFORMAT </w:instrText>
        </w:r>
        <w:r w:rsidRPr="00E2596E">
          <w:rPr>
            <w:rFonts w:ascii="Times New Roman" w:hAnsi="Times New Roman" w:cs="Times New Roman"/>
          </w:rPr>
          <w:fldChar w:fldCharType="separate"/>
        </w:r>
        <w:r w:rsidR="009F7F3D">
          <w:rPr>
            <w:rFonts w:ascii="Times New Roman" w:hAnsi="Times New Roman" w:cs="Times New Roman"/>
            <w:noProof/>
          </w:rPr>
          <w:t>2</w:t>
        </w:r>
        <w:r w:rsidRPr="00E2596E">
          <w:rPr>
            <w:rFonts w:ascii="Times New Roman" w:hAnsi="Times New Roman" w:cs="Times New Roman"/>
            <w:noProof/>
          </w:rPr>
          <w:fldChar w:fldCharType="end"/>
        </w:r>
      </w:p>
    </w:sdtContent>
  </w:sdt>
  <w:p w14:paraId="557BB4C5" w14:textId="77777777" w:rsidR="00DE3CB2" w:rsidRDefault="00DE3C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10A47C" w14:textId="77777777" w:rsidR="000241B1" w:rsidRDefault="000241B1" w:rsidP="009122D7">
      <w:pPr>
        <w:spacing w:after="0" w:line="240" w:lineRule="auto"/>
      </w:pPr>
      <w:r>
        <w:separator/>
      </w:r>
    </w:p>
  </w:footnote>
  <w:footnote w:type="continuationSeparator" w:id="0">
    <w:p w14:paraId="69BF33E3" w14:textId="77777777" w:rsidR="000241B1" w:rsidRDefault="000241B1" w:rsidP="009122D7">
      <w:pPr>
        <w:spacing w:after="0" w:line="240" w:lineRule="auto"/>
      </w:pPr>
      <w:r>
        <w:continuationSeparator/>
      </w:r>
    </w:p>
  </w:footnote>
  <w:footnote w:id="1">
    <w:p w14:paraId="75E4E68F" w14:textId="0643417F" w:rsidR="00DE3CB2" w:rsidRPr="00FA76F5" w:rsidRDefault="00DE3CB2" w:rsidP="00A656C9">
      <w:pPr>
        <w:pStyle w:val="FootnoteText"/>
        <w:jc w:val="both"/>
        <w:rPr>
          <w:rFonts w:ascii="Times New Roman" w:hAnsi="Times New Roman" w:cs="Times New Roman"/>
        </w:rPr>
      </w:pPr>
      <w:r w:rsidRPr="00FA76F5">
        <w:rPr>
          <w:rStyle w:val="FootnoteReference"/>
          <w:rFonts w:ascii="Times New Roman" w:hAnsi="Times New Roman" w:cs="Times New Roman"/>
        </w:rPr>
        <w:footnoteRef/>
      </w:r>
      <w:r w:rsidRPr="00FA76F5">
        <w:rPr>
          <w:rFonts w:ascii="Times New Roman" w:hAnsi="Times New Roman" w:cs="Times New Roman"/>
        </w:rPr>
        <w:t xml:space="preserve"> </w:t>
      </w:r>
      <w:r>
        <w:rPr>
          <w:rFonts w:ascii="Times New Roman" w:hAnsi="Times New Roman" w:cs="Times New Roman"/>
        </w:rPr>
        <w:t xml:space="preserve">For an analysis of the background case law and previous state practice, see </w:t>
      </w:r>
      <w:r w:rsidRPr="00FA76F5">
        <w:rPr>
          <w:rFonts w:ascii="Times New Roman" w:hAnsi="Times New Roman" w:cs="Times New Roman"/>
        </w:rPr>
        <w:t xml:space="preserve">P. </w:t>
      </w:r>
      <w:proofErr w:type="spellStart"/>
      <w:r w:rsidRPr="00FA76F5">
        <w:rPr>
          <w:rFonts w:ascii="Times New Roman" w:hAnsi="Times New Roman" w:cs="Times New Roman"/>
        </w:rPr>
        <w:t>Tamang</w:t>
      </w:r>
      <w:proofErr w:type="spellEnd"/>
      <w:r w:rsidRPr="00FA76F5">
        <w:rPr>
          <w:rFonts w:ascii="Times New Roman" w:hAnsi="Times New Roman" w:cs="Times New Roman"/>
        </w:rPr>
        <w:t xml:space="preserve">, </w:t>
      </w:r>
      <w:r>
        <w:rPr>
          <w:rFonts w:ascii="Times New Roman" w:hAnsi="Times New Roman" w:cs="Times New Roman"/>
        </w:rPr>
        <w:t>‘</w:t>
      </w:r>
      <w:r w:rsidRPr="00FA76F5">
        <w:rPr>
          <w:rFonts w:ascii="Times New Roman" w:hAnsi="Times New Roman" w:cs="Times New Roman"/>
        </w:rPr>
        <w:t>An Overview of the Principle of Free, Prior and Informed Consent and Indigenous Peoples in International and Domestic Law and Practices</w:t>
      </w:r>
      <w:r>
        <w:rPr>
          <w:rFonts w:ascii="Times New Roman" w:hAnsi="Times New Roman" w:cs="Times New Roman"/>
        </w:rPr>
        <w:t>’</w:t>
      </w:r>
      <w:r w:rsidRPr="00FA76F5">
        <w:rPr>
          <w:rFonts w:ascii="Times New Roman" w:hAnsi="Times New Roman" w:cs="Times New Roman"/>
        </w:rPr>
        <w:t>, Workshop on Free, Prior and Informed Consent (New York, 17-19 January 2005), United Nations PFII/2004/WS.2/8, p. 3.</w:t>
      </w:r>
      <w:r w:rsidRPr="00FA76F5" w:rsidDel="00A656C9">
        <w:rPr>
          <w:rFonts w:ascii="Times New Roman" w:hAnsi="Times New Roman" w:cs="Times New Roman"/>
        </w:rPr>
        <w:t xml:space="preserve"> </w:t>
      </w:r>
    </w:p>
  </w:footnote>
  <w:footnote w:id="2">
    <w:p w14:paraId="2F24C358" w14:textId="706BE2D0" w:rsidR="00DE3CB2" w:rsidRPr="00FA76F5" w:rsidRDefault="00DE3CB2" w:rsidP="00FA76F5">
      <w:pPr>
        <w:pStyle w:val="FootnoteText"/>
        <w:jc w:val="both"/>
        <w:rPr>
          <w:rFonts w:ascii="Times New Roman" w:hAnsi="Times New Roman" w:cs="Times New Roman"/>
        </w:rPr>
      </w:pPr>
      <w:r w:rsidRPr="00FA76F5">
        <w:rPr>
          <w:rStyle w:val="FootnoteReference"/>
          <w:rFonts w:ascii="Times New Roman" w:hAnsi="Times New Roman" w:cs="Times New Roman"/>
        </w:rPr>
        <w:footnoteRef/>
      </w:r>
      <w:r w:rsidRPr="00FA76F5">
        <w:rPr>
          <w:rFonts w:ascii="Times New Roman" w:hAnsi="Times New Roman" w:cs="Times New Roman"/>
        </w:rPr>
        <w:t xml:space="preserve"> </w:t>
      </w:r>
      <w:r>
        <w:rPr>
          <w:rFonts w:ascii="Times New Roman" w:hAnsi="Times New Roman" w:cs="Times New Roman"/>
        </w:rPr>
        <w:t xml:space="preserve">See, amongst others: </w:t>
      </w:r>
      <w:r w:rsidRPr="003621B8">
        <w:rPr>
          <w:rFonts w:ascii="Times New Roman" w:hAnsi="Times New Roman" w:cs="Times New Roman"/>
        </w:rPr>
        <w:t>Report of the Special Rapporteur on the rights of indigenous peoples, James Anaya A/HRC/21/47, 6 July 2012, para. 4</w:t>
      </w:r>
      <w:r>
        <w:rPr>
          <w:rFonts w:ascii="Times New Roman" w:hAnsi="Times New Roman" w:cs="Times New Roman"/>
        </w:rPr>
        <w:t xml:space="preserve">9; </w:t>
      </w:r>
      <w:r w:rsidRPr="00E91A79">
        <w:rPr>
          <w:rFonts w:ascii="Times New Roman" w:hAnsi="Times New Roman" w:cs="Times New Roman"/>
        </w:rPr>
        <w:t xml:space="preserve">Expert Mechanism on the Rights of Indigenous Peoples </w:t>
      </w:r>
      <w:r w:rsidRPr="00FB26B0">
        <w:rPr>
          <w:rFonts w:ascii="Times New Roman" w:hAnsi="Times New Roman" w:cs="Times New Roman"/>
        </w:rPr>
        <w:t xml:space="preserve">Final report of the study on indigenous peoples and the right to participate in decision-making, </w:t>
      </w:r>
      <w:r w:rsidRPr="00E91A79">
        <w:rPr>
          <w:rFonts w:ascii="Times New Roman" w:hAnsi="Times New Roman" w:cs="Times New Roman"/>
        </w:rPr>
        <w:t>A/HRC/EMRIP/2010/2</w:t>
      </w:r>
      <w:r>
        <w:rPr>
          <w:rFonts w:ascii="Times New Roman" w:hAnsi="Times New Roman" w:cs="Times New Roman"/>
        </w:rPr>
        <w:t xml:space="preserve">, </w:t>
      </w:r>
      <w:r w:rsidRPr="00FB26B0">
        <w:rPr>
          <w:rFonts w:ascii="Times New Roman" w:hAnsi="Times New Roman" w:cs="Times New Roman"/>
        </w:rPr>
        <w:t>11-15 July 2011</w:t>
      </w:r>
      <w:r>
        <w:rPr>
          <w:rFonts w:ascii="Times New Roman" w:hAnsi="Times New Roman" w:cs="Times New Roman"/>
        </w:rPr>
        <w:t>, paras.</w:t>
      </w:r>
      <w:r w:rsidRPr="00F73194">
        <w:t xml:space="preserve"> </w:t>
      </w:r>
      <w:r w:rsidRPr="00F73194">
        <w:rPr>
          <w:rFonts w:ascii="Times New Roman" w:hAnsi="Times New Roman" w:cs="Times New Roman"/>
        </w:rPr>
        <w:t>66–</w:t>
      </w:r>
      <w:proofErr w:type="gramStart"/>
      <w:r w:rsidRPr="00F73194">
        <w:rPr>
          <w:rFonts w:ascii="Times New Roman" w:hAnsi="Times New Roman" w:cs="Times New Roman"/>
        </w:rPr>
        <w:t>72</w:t>
      </w:r>
      <w:r>
        <w:rPr>
          <w:rFonts w:ascii="Times New Roman" w:hAnsi="Times New Roman" w:cs="Times New Roman"/>
        </w:rPr>
        <w:t xml:space="preserve">  and</w:t>
      </w:r>
      <w:proofErr w:type="gramEnd"/>
      <w:r>
        <w:rPr>
          <w:rFonts w:ascii="Times New Roman" w:hAnsi="Times New Roman" w:cs="Times New Roman"/>
        </w:rPr>
        <w:t xml:space="preserve"> </w:t>
      </w:r>
      <w:r w:rsidRPr="00FA76F5">
        <w:rPr>
          <w:rFonts w:ascii="Times New Roman" w:hAnsi="Times New Roman" w:cs="Times New Roman"/>
        </w:rPr>
        <w:t>UN Workshop on Indigenous Peoples, Private Sector Natural Resource, Energy</w:t>
      </w:r>
      <w:r>
        <w:rPr>
          <w:rFonts w:ascii="Times New Roman" w:hAnsi="Times New Roman" w:cs="Times New Roman"/>
        </w:rPr>
        <w:t xml:space="preserve"> </w:t>
      </w:r>
      <w:r w:rsidRPr="00FA76F5">
        <w:rPr>
          <w:rFonts w:ascii="Times New Roman" w:hAnsi="Times New Roman" w:cs="Times New Roman"/>
        </w:rPr>
        <w:t>and Mining Companies and Human Righ</w:t>
      </w:r>
      <w:r w:rsidRPr="00A656C9">
        <w:rPr>
          <w:rFonts w:ascii="Times New Roman" w:hAnsi="Times New Roman" w:cs="Times New Roman"/>
        </w:rPr>
        <w:t>ts, held in Geneva from 5-7 December</w:t>
      </w:r>
      <w:r w:rsidRPr="00FA76F5">
        <w:rPr>
          <w:rFonts w:ascii="Times New Roman" w:hAnsi="Times New Roman" w:cs="Times New Roman"/>
        </w:rPr>
        <w:t xml:space="preserve"> 2001</w:t>
      </w:r>
      <w:r>
        <w:rPr>
          <w:rFonts w:ascii="Times New Roman" w:hAnsi="Times New Roman" w:cs="Times New Roman"/>
        </w:rPr>
        <w:t>,</w:t>
      </w:r>
      <w:r w:rsidRPr="00FA76F5">
        <w:rPr>
          <w:rFonts w:ascii="Times New Roman" w:hAnsi="Times New Roman" w:cs="Times New Roman"/>
        </w:rPr>
        <w:t xml:space="preserve"> E/CN.4/Sub.2/AC.4/ 2002/3, para. 52.</w:t>
      </w:r>
    </w:p>
  </w:footnote>
  <w:footnote w:id="3">
    <w:p w14:paraId="733F4B3A" w14:textId="0C586DE4" w:rsidR="00DE3CB2" w:rsidRPr="00B20CC7" w:rsidRDefault="00DE3CB2" w:rsidP="00B20CC7">
      <w:pPr>
        <w:pStyle w:val="FootnoteText"/>
        <w:jc w:val="both"/>
        <w:rPr>
          <w:rFonts w:ascii="Times New Roman" w:hAnsi="Times New Roman" w:cs="Times New Roman"/>
        </w:rPr>
      </w:pPr>
      <w:r w:rsidRPr="00B20CC7">
        <w:rPr>
          <w:rStyle w:val="FootnoteReference"/>
          <w:rFonts w:ascii="Times New Roman" w:hAnsi="Times New Roman" w:cs="Times New Roman"/>
        </w:rPr>
        <w:footnoteRef/>
      </w:r>
      <w:r w:rsidRPr="00B20CC7">
        <w:rPr>
          <w:rFonts w:ascii="Times New Roman" w:hAnsi="Times New Roman" w:cs="Times New Roman"/>
        </w:rPr>
        <w:t xml:space="preserve"> As of 30 September 2017, ILO Convention 169 has been ratified by 22 states, mainly Latin American states.</w:t>
      </w:r>
    </w:p>
  </w:footnote>
  <w:footnote w:id="4">
    <w:p w14:paraId="431BD121" w14:textId="1B54C8B3" w:rsidR="00DE3CB2" w:rsidRPr="00A656C9" w:rsidRDefault="00DE3CB2" w:rsidP="00B9033F">
      <w:pPr>
        <w:pStyle w:val="FootnoteText"/>
        <w:jc w:val="both"/>
        <w:rPr>
          <w:rFonts w:ascii="Times New Roman" w:hAnsi="Times New Roman" w:cs="Times New Roman"/>
        </w:rPr>
      </w:pPr>
      <w:r w:rsidRPr="00A656C9">
        <w:rPr>
          <w:rStyle w:val="FootnoteReference"/>
          <w:rFonts w:ascii="Times New Roman" w:hAnsi="Times New Roman" w:cs="Times New Roman"/>
        </w:rPr>
        <w:footnoteRef/>
      </w:r>
      <w:r w:rsidRPr="00A656C9">
        <w:rPr>
          <w:rFonts w:ascii="Times New Roman" w:hAnsi="Times New Roman" w:cs="Times New Roman"/>
        </w:rPr>
        <w:t xml:space="preserve"> V. </w:t>
      </w:r>
      <w:proofErr w:type="spellStart"/>
      <w:r w:rsidRPr="00A656C9">
        <w:rPr>
          <w:rFonts w:ascii="Times New Roman" w:hAnsi="Times New Roman" w:cs="Times New Roman"/>
        </w:rPr>
        <w:t>Mantouvalou</w:t>
      </w:r>
      <w:proofErr w:type="spellEnd"/>
      <w:r w:rsidRPr="00A656C9">
        <w:rPr>
          <w:rFonts w:ascii="Times New Roman" w:hAnsi="Times New Roman" w:cs="Times New Roman"/>
        </w:rPr>
        <w:t xml:space="preserve">, ‘Are Labour Rights Human Rights?’, 3 </w:t>
      </w:r>
      <w:r w:rsidRPr="00A656C9">
        <w:rPr>
          <w:rFonts w:ascii="Times New Roman" w:hAnsi="Times New Roman" w:cs="Times New Roman"/>
          <w:i/>
        </w:rPr>
        <w:t>European Labour Law Journal</w:t>
      </w:r>
      <w:r w:rsidRPr="00A656C9">
        <w:rPr>
          <w:rFonts w:ascii="Times New Roman" w:hAnsi="Times New Roman" w:cs="Times New Roman"/>
        </w:rPr>
        <w:t xml:space="preserve"> (2012) p. 151.</w:t>
      </w:r>
    </w:p>
  </w:footnote>
  <w:footnote w:id="5">
    <w:p w14:paraId="67330567" w14:textId="6F2C25B7" w:rsidR="00DE3CB2" w:rsidRPr="001E10F3" w:rsidRDefault="00DE3CB2" w:rsidP="00B9033F">
      <w:pPr>
        <w:pStyle w:val="FootnoteText"/>
        <w:jc w:val="both"/>
        <w:rPr>
          <w:rFonts w:ascii="Times New Roman" w:hAnsi="Times New Roman" w:cs="Times New Roman"/>
          <w:lang w:val="es-ES"/>
        </w:rPr>
      </w:pPr>
      <w:r w:rsidRPr="00A656C9">
        <w:rPr>
          <w:rStyle w:val="FootnoteReference"/>
          <w:rFonts w:ascii="Times New Roman" w:hAnsi="Times New Roman" w:cs="Times New Roman"/>
        </w:rPr>
        <w:footnoteRef/>
      </w:r>
      <w:r w:rsidRPr="00A656C9">
        <w:rPr>
          <w:rFonts w:ascii="Times New Roman" w:hAnsi="Times New Roman" w:cs="Times New Roman"/>
          <w:lang w:val="es-ES"/>
        </w:rPr>
        <w:t xml:space="preserve"> International </w:t>
      </w:r>
      <w:proofErr w:type="spellStart"/>
      <w:r w:rsidRPr="00A656C9">
        <w:rPr>
          <w:rFonts w:ascii="Times New Roman" w:hAnsi="Times New Roman" w:cs="Times New Roman"/>
          <w:lang w:val="es-ES"/>
        </w:rPr>
        <w:t>Labour</w:t>
      </w:r>
      <w:proofErr w:type="spellEnd"/>
      <w:r w:rsidRPr="00A656C9">
        <w:rPr>
          <w:rFonts w:ascii="Times New Roman" w:hAnsi="Times New Roman" w:cs="Times New Roman"/>
          <w:lang w:val="es-ES"/>
        </w:rPr>
        <w:t xml:space="preserve"> </w:t>
      </w:r>
      <w:proofErr w:type="spellStart"/>
      <w:r w:rsidRPr="00A656C9">
        <w:rPr>
          <w:rFonts w:ascii="Times New Roman" w:hAnsi="Times New Roman" w:cs="Times New Roman"/>
          <w:lang w:val="es-ES"/>
        </w:rPr>
        <w:t>Organisation</w:t>
      </w:r>
      <w:proofErr w:type="spellEnd"/>
      <w:r w:rsidRPr="00A656C9">
        <w:rPr>
          <w:rFonts w:ascii="Times New Roman" w:hAnsi="Times New Roman" w:cs="Times New Roman"/>
          <w:lang w:val="es-ES"/>
        </w:rPr>
        <w:t xml:space="preserve">, </w:t>
      </w:r>
      <w:r w:rsidRPr="00A656C9">
        <w:rPr>
          <w:rFonts w:ascii="Times New Roman" w:hAnsi="Times New Roman" w:cs="Times New Roman"/>
          <w:i/>
          <w:lang w:val="es-ES"/>
        </w:rPr>
        <w:t xml:space="preserve">La aplicación del Convenio Núm. 169 por tribunales nacionales e internacionales en América Latina </w:t>
      </w:r>
      <w:r w:rsidRPr="00A656C9">
        <w:rPr>
          <w:rFonts w:ascii="Times New Roman" w:hAnsi="Times New Roman" w:cs="Times New Roman"/>
          <w:lang w:val="es-ES"/>
        </w:rPr>
        <w:t>(ILO, Geneva,</w:t>
      </w:r>
      <w:r w:rsidRPr="001E10F3">
        <w:rPr>
          <w:rFonts w:ascii="Times New Roman" w:hAnsi="Times New Roman" w:cs="Times New Roman"/>
          <w:lang w:val="es-ES"/>
        </w:rPr>
        <w:t xml:space="preserve"> 2009).</w:t>
      </w:r>
    </w:p>
  </w:footnote>
  <w:footnote w:id="6">
    <w:p w14:paraId="503F45FF" w14:textId="0E5C509E"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International Labour Organisation, </w:t>
      </w:r>
      <w:r w:rsidRPr="007C3AB4">
        <w:rPr>
          <w:rFonts w:ascii="Times New Roman" w:hAnsi="Times New Roman" w:cs="Times New Roman"/>
          <w:i/>
        </w:rPr>
        <w:t>ILO Convention on Indigenous and Tribal Peoples: A Manual</w:t>
      </w:r>
      <w:r w:rsidRPr="007C3AB4">
        <w:rPr>
          <w:rFonts w:ascii="Times New Roman" w:hAnsi="Times New Roman" w:cs="Times New Roman"/>
        </w:rPr>
        <w:t xml:space="preserve"> (ILO</w:t>
      </w:r>
      <w:r>
        <w:rPr>
          <w:rFonts w:ascii="Times New Roman" w:hAnsi="Times New Roman" w:cs="Times New Roman"/>
        </w:rPr>
        <w:t xml:space="preserve">, </w:t>
      </w:r>
      <w:r w:rsidRPr="00E52C03">
        <w:rPr>
          <w:rFonts w:ascii="Times New Roman" w:hAnsi="Times New Roman" w:cs="Times New Roman"/>
        </w:rPr>
        <w:t>Geneva,</w:t>
      </w:r>
      <w:r w:rsidRPr="007C3AB4">
        <w:rPr>
          <w:rFonts w:ascii="Times New Roman" w:hAnsi="Times New Roman" w:cs="Times New Roman"/>
        </w:rPr>
        <w:t xml:space="preserve"> 2003).</w:t>
      </w:r>
    </w:p>
  </w:footnote>
  <w:footnote w:id="7">
    <w:p w14:paraId="2B634006" w14:textId="390E239F"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Pr>
          <w:rFonts w:ascii="Times New Roman" w:hAnsi="Times New Roman" w:cs="Times New Roman"/>
        </w:rPr>
        <w:t>On</w:t>
      </w:r>
      <w:r w:rsidRPr="007C3AB4">
        <w:rPr>
          <w:rFonts w:ascii="Times New Roman" w:hAnsi="Times New Roman" w:cs="Times New Roman"/>
        </w:rPr>
        <w:t xml:space="preserve"> the proliferation of inter</w:t>
      </w:r>
      <w:r>
        <w:rPr>
          <w:rFonts w:ascii="Times New Roman" w:hAnsi="Times New Roman" w:cs="Times New Roman"/>
        </w:rPr>
        <w:t xml:space="preserve">national tribunals and courts, </w:t>
      </w:r>
      <w:r w:rsidRPr="006709D8">
        <w:rPr>
          <w:rFonts w:ascii="Times New Roman" w:hAnsi="Times New Roman" w:cs="Times New Roman"/>
          <w:i/>
        </w:rPr>
        <w:t>see</w:t>
      </w:r>
      <w:r>
        <w:rPr>
          <w:rFonts w:ascii="Times New Roman" w:hAnsi="Times New Roman" w:cs="Times New Roman"/>
        </w:rPr>
        <w:t xml:space="preserve"> K.J. Alter, ‘The Multiplication o</w:t>
      </w:r>
      <w:r w:rsidRPr="007C3AB4">
        <w:rPr>
          <w:rFonts w:ascii="Times New Roman" w:hAnsi="Times New Roman" w:cs="Times New Roman"/>
        </w:rPr>
        <w:t>f International Courts and Tribunals after the end of the Cold</w:t>
      </w:r>
      <w:r>
        <w:rPr>
          <w:rFonts w:ascii="Times New Roman" w:hAnsi="Times New Roman" w:cs="Times New Roman"/>
        </w:rPr>
        <w:t xml:space="preserve"> War’, in C. Romano, K.J. Alter and</w:t>
      </w:r>
      <w:r w:rsidRPr="007C3AB4">
        <w:rPr>
          <w:rFonts w:ascii="Times New Roman" w:hAnsi="Times New Roman" w:cs="Times New Roman"/>
        </w:rPr>
        <w:t xml:space="preserve"> Y. </w:t>
      </w:r>
      <w:proofErr w:type="spellStart"/>
      <w:r w:rsidRPr="007C3AB4">
        <w:rPr>
          <w:rFonts w:ascii="Times New Roman" w:hAnsi="Times New Roman" w:cs="Times New Roman"/>
        </w:rPr>
        <w:t>Shany</w:t>
      </w:r>
      <w:proofErr w:type="spellEnd"/>
      <w:r w:rsidRPr="007C3AB4">
        <w:rPr>
          <w:rFonts w:ascii="Times New Roman" w:hAnsi="Times New Roman" w:cs="Times New Roman"/>
        </w:rPr>
        <w:t xml:space="preserve"> (ed</w:t>
      </w:r>
      <w:r>
        <w:rPr>
          <w:rFonts w:ascii="Times New Roman" w:hAnsi="Times New Roman" w:cs="Times New Roman"/>
        </w:rPr>
        <w:t>s</w:t>
      </w:r>
      <w:r w:rsidRPr="007C3AB4">
        <w:rPr>
          <w:rFonts w:ascii="Times New Roman" w:hAnsi="Times New Roman" w:cs="Times New Roman"/>
        </w:rPr>
        <w:t xml:space="preserve">.), </w:t>
      </w:r>
      <w:r w:rsidRPr="007C3AB4">
        <w:rPr>
          <w:rFonts w:ascii="Times New Roman" w:hAnsi="Times New Roman" w:cs="Times New Roman"/>
          <w:i/>
        </w:rPr>
        <w:t>The Oxford Handbook of International Adjudication</w:t>
      </w:r>
      <w:r w:rsidRPr="007C3AB4">
        <w:rPr>
          <w:rFonts w:ascii="Times New Roman" w:hAnsi="Times New Roman" w:cs="Times New Roman"/>
        </w:rPr>
        <w:t xml:space="preserve"> (O</w:t>
      </w:r>
      <w:r>
        <w:rPr>
          <w:rFonts w:ascii="Times New Roman" w:hAnsi="Times New Roman" w:cs="Times New Roman"/>
        </w:rPr>
        <w:t>xford University Press, Oxford</w:t>
      </w:r>
      <w:r w:rsidRPr="007C3AB4">
        <w:rPr>
          <w:rFonts w:ascii="Times New Roman" w:hAnsi="Times New Roman" w:cs="Times New Roman"/>
        </w:rPr>
        <w:t>, 2014), pp. 64-89.</w:t>
      </w:r>
    </w:p>
  </w:footnote>
  <w:footnote w:id="8">
    <w:p w14:paraId="14DF99DE" w14:textId="1F9BBEE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A. </w:t>
      </w:r>
      <w:proofErr w:type="spellStart"/>
      <w:r w:rsidRPr="007C3AB4">
        <w:rPr>
          <w:rFonts w:ascii="Times New Roman" w:hAnsi="Times New Roman" w:cs="Times New Roman"/>
        </w:rPr>
        <w:t>Xanthaki</w:t>
      </w:r>
      <w:proofErr w:type="spellEnd"/>
      <w:r w:rsidRPr="007C3AB4">
        <w:rPr>
          <w:rFonts w:ascii="Times New Roman" w:hAnsi="Times New Roman" w:cs="Times New Roman"/>
        </w:rPr>
        <w:t xml:space="preserve">, </w:t>
      </w:r>
      <w:r w:rsidRPr="007C3AB4">
        <w:rPr>
          <w:rFonts w:ascii="Times New Roman" w:hAnsi="Times New Roman" w:cs="Times New Roman"/>
          <w:i/>
        </w:rPr>
        <w:t>Indigenous Rights and United Nations Standards: Self-Determination, Culture and Land</w:t>
      </w:r>
      <w:r w:rsidRPr="007C3AB4">
        <w:rPr>
          <w:rFonts w:ascii="Times New Roman" w:hAnsi="Times New Roman" w:cs="Times New Roman"/>
        </w:rPr>
        <w:t xml:space="preserve"> (Cambridge University Press, Cambridge 2007).</w:t>
      </w:r>
    </w:p>
  </w:footnote>
  <w:footnote w:id="9">
    <w:p w14:paraId="4390C05D" w14:textId="0D915D18" w:rsidR="00DE3CB2" w:rsidRPr="00FA76F5" w:rsidRDefault="00DE3CB2" w:rsidP="00FA76F5">
      <w:pPr>
        <w:pStyle w:val="FootnoteText"/>
        <w:jc w:val="both"/>
        <w:rPr>
          <w:rFonts w:ascii="Times New Roman" w:hAnsi="Times New Roman" w:cs="Times New Roman"/>
        </w:rPr>
      </w:pPr>
      <w:r w:rsidRPr="00FA76F5">
        <w:rPr>
          <w:rStyle w:val="FootnoteReference"/>
          <w:rFonts w:ascii="Times New Roman" w:hAnsi="Times New Roman" w:cs="Times New Roman"/>
        </w:rPr>
        <w:footnoteRef/>
      </w:r>
      <w:r w:rsidRPr="00FA76F5">
        <w:rPr>
          <w:rFonts w:ascii="Times New Roman" w:hAnsi="Times New Roman" w:cs="Times New Roman"/>
        </w:rPr>
        <w:t xml:space="preserve"> P. </w:t>
      </w:r>
      <w:proofErr w:type="spellStart"/>
      <w:r w:rsidRPr="00FA76F5">
        <w:rPr>
          <w:rFonts w:ascii="Times New Roman" w:hAnsi="Times New Roman" w:cs="Times New Roman"/>
        </w:rPr>
        <w:t>Birnie</w:t>
      </w:r>
      <w:proofErr w:type="spellEnd"/>
      <w:r w:rsidRPr="00FA76F5">
        <w:rPr>
          <w:rFonts w:ascii="Times New Roman" w:hAnsi="Times New Roman" w:cs="Times New Roman"/>
        </w:rPr>
        <w:t xml:space="preserve">, A. Boyle and C. </w:t>
      </w:r>
      <w:proofErr w:type="spellStart"/>
      <w:r w:rsidRPr="00FA76F5">
        <w:rPr>
          <w:rFonts w:ascii="Times New Roman" w:hAnsi="Times New Roman" w:cs="Times New Roman"/>
        </w:rPr>
        <w:t>Redgwell</w:t>
      </w:r>
      <w:proofErr w:type="spellEnd"/>
      <w:r w:rsidRPr="00FA76F5">
        <w:rPr>
          <w:rFonts w:ascii="Times New Roman" w:hAnsi="Times New Roman" w:cs="Times New Roman"/>
        </w:rPr>
        <w:t xml:space="preserve">, </w:t>
      </w:r>
      <w:r w:rsidRPr="0049562E">
        <w:rPr>
          <w:rFonts w:ascii="Times New Roman" w:hAnsi="Times New Roman" w:cs="Times New Roman"/>
          <w:i/>
        </w:rPr>
        <w:t>International Law and the Environment</w:t>
      </w:r>
      <w:r w:rsidRPr="00FA76F5">
        <w:rPr>
          <w:rFonts w:ascii="Times New Roman" w:hAnsi="Times New Roman" w:cs="Times New Roman"/>
        </w:rPr>
        <w:t xml:space="preserve"> (3</w:t>
      </w:r>
      <w:r w:rsidRPr="00FA76F5">
        <w:rPr>
          <w:rFonts w:ascii="Times New Roman" w:hAnsi="Times New Roman" w:cs="Times New Roman"/>
          <w:vertAlign w:val="superscript"/>
        </w:rPr>
        <w:t>rd</w:t>
      </w:r>
      <w:r w:rsidRPr="00FA76F5">
        <w:rPr>
          <w:rFonts w:ascii="Times New Roman" w:hAnsi="Times New Roman" w:cs="Times New Roman"/>
        </w:rPr>
        <w:t xml:space="preserve"> Edition, Oxford University Press</w:t>
      </w:r>
      <w:r>
        <w:rPr>
          <w:rFonts w:ascii="Times New Roman" w:hAnsi="Times New Roman" w:cs="Times New Roman"/>
        </w:rPr>
        <w:t>, Oxford,</w:t>
      </w:r>
      <w:r w:rsidRPr="00FA76F5">
        <w:rPr>
          <w:rFonts w:ascii="Times New Roman" w:hAnsi="Times New Roman" w:cs="Times New Roman"/>
        </w:rPr>
        <w:t xml:space="preserve"> 2009) p. 272.</w:t>
      </w:r>
    </w:p>
  </w:footnote>
  <w:footnote w:id="10">
    <w:p w14:paraId="199BF1EF" w14:textId="0952489B"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P. Schwarz, ‘Sustainable Devel</w:t>
      </w:r>
      <w:r>
        <w:rPr>
          <w:rFonts w:ascii="Times New Roman" w:hAnsi="Times New Roman" w:cs="Times New Roman"/>
        </w:rPr>
        <w:t>opment in International Law’, 5</w:t>
      </w:r>
      <w:r w:rsidRPr="007C3AB4">
        <w:rPr>
          <w:rFonts w:ascii="Times New Roman" w:hAnsi="Times New Roman" w:cs="Times New Roman"/>
        </w:rPr>
        <w:t xml:space="preserve">(1) </w:t>
      </w:r>
      <w:r w:rsidRPr="007C3AB4">
        <w:rPr>
          <w:rFonts w:ascii="Times New Roman" w:hAnsi="Times New Roman" w:cs="Times New Roman"/>
          <w:i/>
        </w:rPr>
        <w:t>Non-St. Actors &amp; Int'l L.</w:t>
      </w:r>
      <w:r>
        <w:rPr>
          <w:rFonts w:ascii="Times New Roman" w:hAnsi="Times New Roman" w:cs="Times New Roman"/>
        </w:rPr>
        <w:t xml:space="preserve"> (2005)</w:t>
      </w:r>
      <w:r w:rsidRPr="007C3AB4">
        <w:rPr>
          <w:rFonts w:ascii="Times New Roman" w:hAnsi="Times New Roman" w:cs="Times New Roman"/>
        </w:rPr>
        <w:t xml:space="preserve"> pp. 127-152.</w:t>
      </w:r>
    </w:p>
  </w:footnote>
  <w:footnote w:id="11">
    <w:p w14:paraId="3E597E5B" w14:textId="604F5F8C"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J. </w:t>
      </w:r>
      <w:proofErr w:type="spellStart"/>
      <w:r w:rsidRPr="007C3AB4">
        <w:rPr>
          <w:rFonts w:ascii="Times New Roman" w:hAnsi="Times New Roman" w:cs="Times New Roman"/>
        </w:rPr>
        <w:t>Vanhulst</w:t>
      </w:r>
      <w:proofErr w:type="spellEnd"/>
      <w:r w:rsidRPr="007C3AB4">
        <w:rPr>
          <w:rFonts w:ascii="Times New Roman" w:hAnsi="Times New Roman" w:cs="Times New Roman"/>
        </w:rPr>
        <w:t>, ‘</w:t>
      </w:r>
      <w:proofErr w:type="spellStart"/>
      <w:r w:rsidRPr="007C3AB4">
        <w:rPr>
          <w:rFonts w:ascii="Times New Roman" w:hAnsi="Times New Roman" w:cs="Times New Roman"/>
        </w:rPr>
        <w:t>Buen</w:t>
      </w:r>
      <w:proofErr w:type="spellEnd"/>
      <w:r w:rsidRPr="007C3AB4">
        <w:rPr>
          <w:rFonts w:ascii="Times New Roman" w:hAnsi="Times New Roman" w:cs="Times New Roman"/>
        </w:rPr>
        <w:t xml:space="preserve"> </w:t>
      </w:r>
      <w:proofErr w:type="spellStart"/>
      <w:r w:rsidRPr="007C3AB4">
        <w:rPr>
          <w:rFonts w:ascii="Times New Roman" w:hAnsi="Times New Roman" w:cs="Times New Roman"/>
        </w:rPr>
        <w:t>vivir</w:t>
      </w:r>
      <w:proofErr w:type="spellEnd"/>
      <w:r w:rsidRPr="007C3AB4">
        <w:rPr>
          <w:rFonts w:ascii="Times New Roman" w:hAnsi="Times New Roman" w:cs="Times New Roman"/>
        </w:rPr>
        <w:t>: Emergent Discourse within or beyond Sustainable Development?’, 101 </w:t>
      </w:r>
      <w:r w:rsidRPr="007C3AB4">
        <w:rPr>
          <w:rFonts w:ascii="Times New Roman" w:hAnsi="Times New Roman" w:cs="Times New Roman"/>
          <w:i/>
          <w:iCs/>
        </w:rPr>
        <w:t>Ecological Economics</w:t>
      </w:r>
      <w:r w:rsidRPr="007C3AB4">
        <w:rPr>
          <w:rFonts w:ascii="Times New Roman" w:hAnsi="Times New Roman" w:cs="Times New Roman"/>
        </w:rPr>
        <w:t xml:space="preserve"> (2014) pp. 54-63.</w:t>
      </w:r>
    </w:p>
  </w:footnote>
  <w:footnote w:id="12">
    <w:p w14:paraId="737BBA2D" w14:textId="1D041070" w:rsidR="00DE3CB2" w:rsidRPr="00C41A9F" w:rsidRDefault="00DE3CB2" w:rsidP="000D5012">
      <w:pPr>
        <w:pStyle w:val="FootnoteText"/>
        <w:jc w:val="both"/>
        <w:rPr>
          <w:rFonts w:ascii="Times New Roman" w:hAnsi="Times New Roman" w:cs="Times New Roman"/>
          <w:lang w:val="it-IT"/>
        </w:rPr>
      </w:pPr>
      <w:r w:rsidRPr="00C41A9F">
        <w:rPr>
          <w:rStyle w:val="FootnoteReference"/>
          <w:rFonts w:ascii="Times New Roman" w:hAnsi="Times New Roman" w:cs="Times New Roman"/>
        </w:rPr>
        <w:footnoteRef/>
      </w:r>
      <w:r w:rsidRPr="00C41A9F">
        <w:rPr>
          <w:rFonts w:ascii="Times New Roman" w:hAnsi="Times New Roman" w:cs="Times New Roman"/>
          <w:lang w:val="it-IT"/>
        </w:rPr>
        <w:t xml:space="preserve"> </w:t>
      </w:r>
      <w:proofErr w:type="spellStart"/>
      <w:r w:rsidRPr="00B56D2F">
        <w:rPr>
          <w:rFonts w:ascii="Times New Roman" w:hAnsi="Times New Roman" w:cs="Times New Roman"/>
          <w:lang w:val="it-IT"/>
        </w:rPr>
        <w:t>Xanthaki</w:t>
      </w:r>
      <w:proofErr w:type="spellEnd"/>
      <w:r w:rsidRPr="00B56D2F">
        <w:rPr>
          <w:rFonts w:ascii="Times New Roman" w:hAnsi="Times New Roman" w:cs="Times New Roman"/>
          <w:lang w:val="it-IT"/>
        </w:rPr>
        <w:t xml:space="preserve">, </w:t>
      </w:r>
      <w:proofErr w:type="spellStart"/>
      <w:r w:rsidRPr="00B56D2F">
        <w:rPr>
          <w:rFonts w:ascii="Times New Roman" w:hAnsi="Times New Roman" w:cs="Times New Roman"/>
          <w:i/>
          <w:lang w:val="it-IT"/>
        </w:rPr>
        <w:t>supra</w:t>
      </w:r>
      <w:proofErr w:type="spellEnd"/>
      <w:r w:rsidRPr="00B56D2F">
        <w:rPr>
          <w:rFonts w:ascii="Times New Roman" w:hAnsi="Times New Roman" w:cs="Times New Roman"/>
          <w:lang w:val="it-IT"/>
        </w:rPr>
        <w:t xml:space="preserve"> note 8, p. 253.</w:t>
      </w:r>
    </w:p>
  </w:footnote>
  <w:footnote w:id="13">
    <w:p w14:paraId="464AC08D" w14:textId="48736FC2" w:rsidR="00DE3CB2" w:rsidRPr="00533EFE" w:rsidRDefault="00DE3CB2">
      <w:pPr>
        <w:pStyle w:val="FootnoteText"/>
        <w:rPr>
          <w:rFonts w:ascii="Times New Roman" w:hAnsi="Times New Roman" w:cs="Times New Roman"/>
          <w:lang w:val="it-IT"/>
        </w:rPr>
      </w:pPr>
      <w:r w:rsidRPr="00FA76F5">
        <w:rPr>
          <w:rStyle w:val="FootnoteReference"/>
          <w:rFonts w:ascii="Times New Roman" w:hAnsi="Times New Roman" w:cs="Times New Roman"/>
        </w:rPr>
        <w:footnoteRef/>
      </w:r>
      <w:r w:rsidRPr="00533EFE">
        <w:rPr>
          <w:rFonts w:ascii="Times New Roman" w:hAnsi="Times New Roman" w:cs="Times New Roman"/>
          <w:lang w:val="it-IT"/>
        </w:rPr>
        <w:t xml:space="preserve"> </w:t>
      </w:r>
      <w:r>
        <w:rPr>
          <w:rFonts w:ascii="Times New Roman" w:hAnsi="Times New Roman" w:cs="Times New Roman"/>
          <w:lang w:val="it-IT"/>
        </w:rPr>
        <w:t xml:space="preserve">Ibid., </w:t>
      </w:r>
      <w:r w:rsidRPr="00533EFE">
        <w:rPr>
          <w:rFonts w:ascii="Times New Roman" w:hAnsi="Times New Roman" w:cs="Times New Roman"/>
          <w:lang w:val="it-IT"/>
        </w:rPr>
        <w:t xml:space="preserve">p. 255 </w:t>
      </w:r>
      <w:r w:rsidRPr="00533EFE">
        <w:rPr>
          <w:rFonts w:ascii="Times New Roman" w:hAnsi="Times New Roman" w:cs="Times New Roman"/>
          <w:i/>
          <w:lang w:val="it-IT"/>
        </w:rPr>
        <w:t>in fine</w:t>
      </w:r>
      <w:r w:rsidRPr="00533EFE">
        <w:rPr>
          <w:rFonts w:ascii="Times New Roman" w:hAnsi="Times New Roman" w:cs="Times New Roman"/>
          <w:lang w:val="it-IT"/>
        </w:rPr>
        <w:t>.</w:t>
      </w:r>
    </w:p>
  </w:footnote>
  <w:footnote w:id="14">
    <w:p w14:paraId="5BE240E2" w14:textId="0E44BC8D" w:rsidR="00DE3CB2" w:rsidRPr="00FA76F5" w:rsidRDefault="00DE3CB2" w:rsidP="00FA76F5">
      <w:pPr>
        <w:pStyle w:val="FootnoteText"/>
        <w:jc w:val="both"/>
        <w:rPr>
          <w:rFonts w:ascii="Times New Roman" w:hAnsi="Times New Roman" w:cs="Times New Roman"/>
        </w:rPr>
      </w:pPr>
      <w:r w:rsidRPr="00FA76F5">
        <w:rPr>
          <w:rStyle w:val="FootnoteReference"/>
          <w:rFonts w:ascii="Times New Roman" w:hAnsi="Times New Roman" w:cs="Times New Roman"/>
        </w:rPr>
        <w:footnoteRef/>
      </w:r>
      <w:r>
        <w:rPr>
          <w:rFonts w:ascii="Times New Roman" w:hAnsi="Times New Roman" w:cs="Times New Roman"/>
        </w:rPr>
        <w:t xml:space="preserve"> This is the view expressed, for instance, in the following reports:  CERD</w:t>
      </w:r>
      <w:r w:rsidRPr="00FA76F5">
        <w:rPr>
          <w:rFonts w:ascii="Times New Roman" w:hAnsi="Times New Roman" w:cs="Times New Roman"/>
        </w:rPr>
        <w:t xml:space="preserve"> </w:t>
      </w:r>
      <w:r>
        <w:rPr>
          <w:rFonts w:ascii="Times New Roman" w:hAnsi="Times New Roman" w:cs="Times New Roman"/>
        </w:rPr>
        <w:t>UN</w:t>
      </w:r>
      <w:r w:rsidRPr="00641EA2">
        <w:rPr>
          <w:rFonts w:ascii="Times New Roman" w:hAnsi="Times New Roman" w:cs="Times New Roman"/>
        </w:rPr>
        <w:t xml:space="preserve"> Doc. CERD/C/62/CO/2</w:t>
      </w:r>
      <w:r>
        <w:rPr>
          <w:rFonts w:ascii="Times New Roman" w:hAnsi="Times New Roman" w:cs="Times New Roman"/>
        </w:rPr>
        <w:t>, Consideration o</w:t>
      </w:r>
      <w:r w:rsidRPr="003D0D03">
        <w:rPr>
          <w:rFonts w:ascii="Times New Roman" w:hAnsi="Times New Roman" w:cs="Times New Roman"/>
        </w:rPr>
        <w:t>f Repo</w:t>
      </w:r>
      <w:r>
        <w:rPr>
          <w:rFonts w:ascii="Times New Roman" w:hAnsi="Times New Roman" w:cs="Times New Roman"/>
        </w:rPr>
        <w:t xml:space="preserve">rts submitted by States Parties under </w:t>
      </w:r>
      <w:bookmarkStart w:id="0" w:name="_GoBack"/>
      <w:r>
        <w:rPr>
          <w:rFonts w:ascii="Times New Roman" w:hAnsi="Times New Roman" w:cs="Times New Roman"/>
        </w:rPr>
        <w:t>article</w:t>
      </w:r>
      <w:bookmarkEnd w:id="0"/>
      <w:r>
        <w:rPr>
          <w:rFonts w:ascii="Times New Roman" w:hAnsi="Times New Roman" w:cs="Times New Roman"/>
        </w:rPr>
        <w:t xml:space="preserve"> 9 of t</w:t>
      </w:r>
      <w:r w:rsidRPr="003D0D03">
        <w:rPr>
          <w:rFonts w:ascii="Times New Roman" w:hAnsi="Times New Roman" w:cs="Times New Roman"/>
        </w:rPr>
        <w:t>he Convention</w:t>
      </w:r>
      <w:r>
        <w:rPr>
          <w:rFonts w:ascii="Times New Roman" w:hAnsi="Times New Roman" w:cs="Times New Roman"/>
        </w:rPr>
        <w:t xml:space="preserve">, </w:t>
      </w:r>
      <w:r w:rsidRPr="00EF5AC7">
        <w:rPr>
          <w:rFonts w:ascii="Times New Roman" w:hAnsi="Times New Roman" w:cs="Times New Roman"/>
        </w:rPr>
        <w:t>Concluding observ</w:t>
      </w:r>
      <w:r>
        <w:rPr>
          <w:rFonts w:ascii="Times New Roman" w:hAnsi="Times New Roman" w:cs="Times New Roman"/>
        </w:rPr>
        <w:t xml:space="preserve">ations of the Committee on the </w:t>
      </w:r>
      <w:r w:rsidRPr="00EF5AC7">
        <w:rPr>
          <w:rFonts w:ascii="Times New Roman" w:hAnsi="Times New Roman" w:cs="Times New Roman"/>
        </w:rPr>
        <w:t>Elimination of Racial Discrimination</w:t>
      </w:r>
      <w:r>
        <w:rPr>
          <w:rFonts w:ascii="Times New Roman" w:hAnsi="Times New Roman" w:cs="Times New Roman"/>
        </w:rPr>
        <w:t xml:space="preserve">, Ecuador, 2 June 2013, para. 16 and </w:t>
      </w:r>
      <w:r w:rsidRPr="00B378A9">
        <w:rPr>
          <w:rFonts w:ascii="Times New Roman" w:hAnsi="Times New Roman" w:cs="Times New Roman"/>
        </w:rPr>
        <w:t>Report of the Spec</w:t>
      </w:r>
      <w:r>
        <w:rPr>
          <w:rFonts w:ascii="Times New Roman" w:hAnsi="Times New Roman" w:cs="Times New Roman"/>
        </w:rPr>
        <w:t xml:space="preserve">ial Rapporteur on the rights of </w:t>
      </w:r>
      <w:r w:rsidRPr="00B378A9">
        <w:rPr>
          <w:rFonts w:ascii="Times New Roman" w:hAnsi="Times New Roman" w:cs="Times New Roman"/>
        </w:rPr>
        <w:t>indigenous peoples, James Anaya</w:t>
      </w:r>
      <w:r>
        <w:rPr>
          <w:rFonts w:ascii="Times New Roman" w:hAnsi="Times New Roman" w:cs="Times New Roman"/>
        </w:rPr>
        <w:t xml:space="preserve"> </w:t>
      </w:r>
      <w:r w:rsidRPr="00F70E56">
        <w:rPr>
          <w:rFonts w:ascii="Times New Roman" w:hAnsi="Times New Roman" w:cs="Times New Roman"/>
        </w:rPr>
        <w:t>A/HRC/21/47</w:t>
      </w:r>
      <w:r>
        <w:rPr>
          <w:rFonts w:ascii="Times New Roman" w:hAnsi="Times New Roman" w:cs="Times New Roman"/>
        </w:rPr>
        <w:t xml:space="preserve">, 6 July 2012, para. 48. Space precludes an exhaustive examination of the legal instruments. For a detailed analysis of the jurisprudence of international bodies, </w:t>
      </w:r>
      <w:r w:rsidRPr="006709D8">
        <w:rPr>
          <w:rFonts w:ascii="Times New Roman" w:hAnsi="Times New Roman" w:cs="Times New Roman"/>
          <w:i/>
        </w:rPr>
        <w:t>see</w:t>
      </w:r>
      <w:r>
        <w:rPr>
          <w:rFonts w:ascii="Times New Roman" w:hAnsi="Times New Roman" w:cs="Times New Roman"/>
        </w:rPr>
        <w:t xml:space="preserve"> section 3.</w:t>
      </w:r>
    </w:p>
  </w:footnote>
  <w:footnote w:id="15">
    <w:p w14:paraId="4C19161F" w14:textId="17889619" w:rsidR="00DE3CB2" w:rsidRPr="00FA76F5" w:rsidRDefault="00DE3CB2" w:rsidP="00FA76F5">
      <w:pPr>
        <w:pStyle w:val="FootnoteText"/>
        <w:jc w:val="both"/>
        <w:rPr>
          <w:rFonts w:ascii="Times New Roman" w:hAnsi="Times New Roman" w:cs="Times New Roman"/>
        </w:rPr>
      </w:pPr>
      <w:r w:rsidRPr="00FA76F5">
        <w:rPr>
          <w:rStyle w:val="FootnoteReference"/>
          <w:rFonts w:ascii="Times New Roman" w:hAnsi="Times New Roman" w:cs="Times New Roman"/>
        </w:rPr>
        <w:footnoteRef/>
      </w:r>
      <w:r w:rsidRPr="00FA76F5">
        <w:rPr>
          <w:rFonts w:ascii="Times New Roman" w:hAnsi="Times New Roman" w:cs="Times New Roman"/>
        </w:rPr>
        <w:t xml:space="preserve"> </w:t>
      </w:r>
      <w:proofErr w:type="spellStart"/>
      <w:r w:rsidRPr="007C3AB4">
        <w:rPr>
          <w:rFonts w:ascii="Times New Roman" w:hAnsi="Times New Roman" w:cs="Times New Roman"/>
          <w:i/>
        </w:rPr>
        <w:t>Saramaka</w:t>
      </w:r>
      <w:proofErr w:type="spellEnd"/>
      <w:r w:rsidRPr="007C3AB4">
        <w:rPr>
          <w:rFonts w:ascii="Times New Roman" w:hAnsi="Times New Roman" w:cs="Times New Roman"/>
          <w:i/>
        </w:rPr>
        <w:t xml:space="preserve"> People </w:t>
      </w:r>
      <w:r w:rsidRPr="00982811">
        <w:rPr>
          <w:rFonts w:ascii="Times New Roman" w:hAnsi="Times New Roman" w:cs="Times New Roman"/>
        </w:rPr>
        <w:t>v.</w:t>
      </w:r>
      <w:r w:rsidRPr="007C3AB4">
        <w:rPr>
          <w:rFonts w:ascii="Times New Roman" w:hAnsi="Times New Roman" w:cs="Times New Roman"/>
          <w:i/>
        </w:rPr>
        <w:t xml:space="preserve"> Suriname</w:t>
      </w:r>
      <w:r w:rsidRPr="007C3AB4">
        <w:rPr>
          <w:rFonts w:ascii="Times New Roman" w:hAnsi="Times New Roman" w:cs="Times New Roman"/>
        </w:rPr>
        <w:t xml:space="preserve">, </w:t>
      </w:r>
      <w:r>
        <w:rPr>
          <w:rFonts w:ascii="Times New Roman" w:hAnsi="Times New Roman" w:cs="Times New Roman"/>
        </w:rPr>
        <w:t>28 November</w:t>
      </w:r>
      <w:r w:rsidRPr="007C3AB4">
        <w:rPr>
          <w:rFonts w:ascii="Times New Roman" w:hAnsi="Times New Roman" w:cs="Times New Roman"/>
        </w:rPr>
        <w:t xml:space="preserve"> 2007</w:t>
      </w:r>
      <w:r>
        <w:rPr>
          <w:rFonts w:ascii="Times New Roman" w:hAnsi="Times New Roman" w:cs="Times New Roman"/>
        </w:rPr>
        <w:t xml:space="preserve">, </w:t>
      </w:r>
      <w:r w:rsidRPr="007C3AB4">
        <w:rPr>
          <w:rFonts w:ascii="Times New Roman" w:hAnsi="Times New Roman" w:cs="Times New Roman"/>
        </w:rPr>
        <w:t>I/A Court H.R., Preliminary Objections, Merits, Rep</w:t>
      </w:r>
      <w:r>
        <w:rPr>
          <w:rFonts w:ascii="Times New Roman" w:hAnsi="Times New Roman" w:cs="Times New Roman"/>
        </w:rPr>
        <w:t>arations, and Costs, Judgment, Series C No. 172</w:t>
      </w:r>
      <w:r w:rsidRPr="00641EA2">
        <w:rPr>
          <w:rFonts w:ascii="Times New Roman" w:hAnsi="Times New Roman" w:cs="Times New Roman"/>
        </w:rPr>
        <w:t>, p</w:t>
      </w:r>
      <w:r w:rsidRPr="00FA76F5">
        <w:rPr>
          <w:rFonts w:ascii="Times New Roman" w:hAnsi="Times New Roman" w:cs="Times New Roman"/>
        </w:rPr>
        <w:t>aras</w:t>
      </w:r>
      <w:r w:rsidRPr="00641EA2">
        <w:rPr>
          <w:rFonts w:ascii="Times New Roman" w:hAnsi="Times New Roman" w:cs="Times New Roman"/>
        </w:rPr>
        <w:t>.</w:t>
      </w:r>
      <w:r w:rsidRPr="00FA76F5">
        <w:rPr>
          <w:rFonts w:ascii="Times New Roman" w:hAnsi="Times New Roman" w:cs="Times New Roman"/>
        </w:rPr>
        <w:t xml:space="preserve"> 134-137.</w:t>
      </w:r>
    </w:p>
  </w:footnote>
  <w:footnote w:id="16">
    <w:p w14:paraId="1E6A4D88" w14:textId="04A29CE7" w:rsidR="00DE3CB2" w:rsidRPr="00FA76F5" w:rsidRDefault="00DE3CB2" w:rsidP="00B9033F">
      <w:pPr>
        <w:pStyle w:val="FootnoteText"/>
        <w:jc w:val="both"/>
        <w:rPr>
          <w:rFonts w:ascii="Times New Roman" w:hAnsi="Times New Roman" w:cs="Times New Roman"/>
        </w:rPr>
      </w:pPr>
      <w:r w:rsidRPr="00D834E0">
        <w:rPr>
          <w:rStyle w:val="FootnoteReference"/>
          <w:rFonts w:ascii="Times New Roman" w:hAnsi="Times New Roman" w:cs="Times New Roman"/>
        </w:rPr>
        <w:footnoteRef/>
      </w:r>
      <w:r w:rsidRPr="00D834E0">
        <w:rPr>
          <w:rFonts w:ascii="Times New Roman" w:hAnsi="Times New Roman" w:cs="Times New Roman"/>
        </w:rPr>
        <w:t xml:space="preserve"> ILO Convention No. 169 concerning Indigenous and Tribal Peoples in Independent Countries, signed 27 June 1989, entry into force: 5 September 1991. </w:t>
      </w:r>
      <w:r w:rsidRPr="00D911B8">
        <w:rPr>
          <w:rFonts w:ascii="Times New Roman" w:hAnsi="Times New Roman" w:cs="Times New Roman"/>
        </w:rPr>
        <w:t>This Convention replaced Convention 107 (1959) representing a shift from an ‘assimilation paradigm’ to a new paradigm based on respect for th</w:t>
      </w:r>
      <w:r w:rsidRPr="00641EA2">
        <w:rPr>
          <w:rFonts w:ascii="Times New Roman" w:hAnsi="Times New Roman" w:cs="Times New Roman"/>
        </w:rPr>
        <w:t xml:space="preserve">e identity of the indigenous population. C. Rodriguez </w:t>
      </w:r>
      <w:proofErr w:type="spellStart"/>
      <w:r w:rsidRPr="00641EA2">
        <w:rPr>
          <w:rFonts w:ascii="Times New Roman" w:hAnsi="Times New Roman" w:cs="Times New Roman"/>
        </w:rPr>
        <w:t>Garavito</w:t>
      </w:r>
      <w:proofErr w:type="spellEnd"/>
      <w:r w:rsidRPr="00641EA2">
        <w:rPr>
          <w:rFonts w:ascii="Times New Roman" w:hAnsi="Times New Roman" w:cs="Times New Roman"/>
        </w:rPr>
        <w:t>, ‘Ethnicity.gov: Global Governance, Indigenous Peoples, and the Right to Prior Consultation in Social Minefields’</w:t>
      </w:r>
      <w:r w:rsidRPr="00A656C9">
        <w:rPr>
          <w:rFonts w:ascii="Times New Roman" w:hAnsi="Times New Roman" w:cs="Times New Roman"/>
        </w:rPr>
        <w:t>, 18</w:t>
      </w:r>
      <w:r>
        <w:rPr>
          <w:rFonts w:ascii="Times New Roman" w:hAnsi="Times New Roman" w:cs="Times New Roman"/>
        </w:rPr>
        <w:t>:1</w:t>
      </w:r>
      <w:r w:rsidRPr="00A656C9">
        <w:rPr>
          <w:rFonts w:ascii="Times New Roman" w:hAnsi="Times New Roman" w:cs="Times New Roman"/>
        </w:rPr>
        <w:t xml:space="preserve"> </w:t>
      </w:r>
      <w:r w:rsidRPr="00A656C9">
        <w:rPr>
          <w:rFonts w:ascii="Times New Roman" w:hAnsi="Times New Roman" w:cs="Times New Roman"/>
          <w:i/>
        </w:rPr>
        <w:t>Indiana Journal of Global Legal Studies</w:t>
      </w:r>
      <w:r>
        <w:rPr>
          <w:rFonts w:ascii="Times New Roman" w:hAnsi="Times New Roman" w:cs="Times New Roman"/>
        </w:rPr>
        <w:t xml:space="preserve"> (2010)</w:t>
      </w:r>
      <w:r w:rsidRPr="00A656C9">
        <w:rPr>
          <w:rFonts w:ascii="Times New Roman" w:hAnsi="Times New Roman" w:cs="Times New Roman"/>
        </w:rPr>
        <w:t xml:space="preserve"> pp. 1-44. C. </w:t>
      </w:r>
      <w:proofErr w:type="spellStart"/>
      <w:r w:rsidRPr="00A656C9">
        <w:rPr>
          <w:rFonts w:ascii="Times New Roman" w:hAnsi="Times New Roman" w:cs="Times New Roman"/>
        </w:rPr>
        <w:t>Courtis</w:t>
      </w:r>
      <w:proofErr w:type="spellEnd"/>
      <w:r w:rsidRPr="00A656C9">
        <w:rPr>
          <w:rFonts w:ascii="Times New Roman" w:hAnsi="Times New Roman" w:cs="Times New Roman"/>
        </w:rPr>
        <w:t>, ‘Notes on the Implementation by Latin American Courts of the ILO Conventio</w:t>
      </w:r>
      <w:r>
        <w:rPr>
          <w:rFonts w:ascii="Times New Roman" w:hAnsi="Times New Roman" w:cs="Times New Roman"/>
        </w:rPr>
        <w:t xml:space="preserve">n 169 on Indigenous Peoples’ </w:t>
      </w:r>
      <w:r w:rsidRPr="00FA76F5">
        <w:rPr>
          <w:rFonts w:ascii="Times New Roman" w:hAnsi="Times New Roman" w:cs="Times New Roman"/>
        </w:rPr>
        <w:t>6</w:t>
      </w:r>
      <w:r>
        <w:rPr>
          <w:rFonts w:ascii="Times New Roman" w:hAnsi="Times New Roman" w:cs="Times New Roman"/>
        </w:rPr>
        <w:t>:10</w:t>
      </w:r>
      <w:r w:rsidRPr="00FA76F5">
        <w:rPr>
          <w:rFonts w:ascii="Times New Roman" w:hAnsi="Times New Roman" w:cs="Times New Roman"/>
        </w:rPr>
        <w:t xml:space="preserve"> </w:t>
      </w:r>
      <w:r w:rsidRPr="00FA76F5">
        <w:rPr>
          <w:rFonts w:ascii="Times New Roman" w:hAnsi="Times New Roman" w:cs="Times New Roman"/>
          <w:i/>
        </w:rPr>
        <w:t>Sur International Journal on Human Rights</w:t>
      </w:r>
      <w:r w:rsidRPr="00FA76F5">
        <w:rPr>
          <w:rFonts w:ascii="Times New Roman" w:hAnsi="Times New Roman" w:cs="Times New Roman"/>
        </w:rPr>
        <w:t xml:space="preserve"> (2009) pp. 53-78.</w:t>
      </w:r>
    </w:p>
  </w:footnote>
  <w:footnote w:id="17">
    <w:p w14:paraId="4F8F58E6" w14:textId="6EE939E0" w:rsidR="00DE3CB2" w:rsidRPr="00D911B8" w:rsidRDefault="00DE3CB2" w:rsidP="00B9033F">
      <w:pPr>
        <w:pStyle w:val="FootnoteText"/>
        <w:jc w:val="both"/>
        <w:rPr>
          <w:rFonts w:ascii="Times New Roman" w:hAnsi="Times New Roman" w:cs="Times New Roman"/>
        </w:rPr>
      </w:pPr>
      <w:r w:rsidRPr="00D834E0">
        <w:rPr>
          <w:rStyle w:val="FootnoteReference"/>
          <w:rFonts w:ascii="Times New Roman" w:hAnsi="Times New Roman" w:cs="Times New Roman"/>
        </w:rPr>
        <w:footnoteRef/>
      </w:r>
      <w:r w:rsidRPr="00D834E0">
        <w:rPr>
          <w:rFonts w:ascii="Times New Roman" w:hAnsi="Times New Roman" w:cs="Times New Roman"/>
        </w:rPr>
        <w:t xml:space="preserve"> For a detailed study of the </w:t>
      </w:r>
      <w:proofErr w:type="spellStart"/>
      <w:r w:rsidRPr="00D834E0">
        <w:rPr>
          <w:rFonts w:ascii="Times New Roman" w:hAnsi="Times New Roman" w:cs="Times New Roman"/>
        </w:rPr>
        <w:t>travaux</w:t>
      </w:r>
      <w:proofErr w:type="spellEnd"/>
      <w:r w:rsidRPr="00D834E0">
        <w:rPr>
          <w:rFonts w:ascii="Times New Roman" w:hAnsi="Times New Roman" w:cs="Times New Roman"/>
        </w:rPr>
        <w:t xml:space="preserve"> </w:t>
      </w:r>
      <w:proofErr w:type="spellStart"/>
      <w:r w:rsidRPr="00D834E0">
        <w:rPr>
          <w:rFonts w:ascii="Times New Roman" w:hAnsi="Times New Roman" w:cs="Times New Roman"/>
        </w:rPr>
        <w:t>preparatoires</w:t>
      </w:r>
      <w:proofErr w:type="spellEnd"/>
      <w:r w:rsidRPr="00D834E0">
        <w:rPr>
          <w:rFonts w:ascii="Times New Roman" w:hAnsi="Times New Roman" w:cs="Times New Roman"/>
        </w:rPr>
        <w:t xml:space="preserve">, </w:t>
      </w:r>
      <w:r w:rsidRPr="006709D8">
        <w:rPr>
          <w:rFonts w:ascii="Times New Roman" w:hAnsi="Times New Roman" w:cs="Times New Roman"/>
          <w:i/>
        </w:rPr>
        <w:t>see</w:t>
      </w:r>
      <w:r w:rsidRPr="00D834E0">
        <w:rPr>
          <w:rFonts w:ascii="Times New Roman" w:hAnsi="Times New Roman" w:cs="Times New Roman"/>
        </w:rPr>
        <w:t xml:space="preserve"> L. </w:t>
      </w:r>
      <w:proofErr w:type="spellStart"/>
      <w:r w:rsidRPr="00D834E0">
        <w:rPr>
          <w:rFonts w:ascii="Times New Roman" w:hAnsi="Times New Roman" w:cs="Times New Roman"/>
        </w:rPr>
        <w:t>Swepston</w:t>
      </w:r>
      <w:proofErr w:type="spellEnd"/>
      <w:r w:rsidRPr="00D834E0">
        <w:rPr>
          <w:rFonts w:ascii="Times New Roman" w:hAnsi="Times New Roman" w:cs="Times New Roman"/>
        </w:rPr>
        <w:t xml:space="preserve">, </w:t>
      </w:r>
      <w:r w:rsidRPr="00D834E0">
        <w:rPr>
          <w:rFonts w:ascii="Times New Roman" w:hAnsi="Times New Roman" w:cs="Times New Roman"/>
          <w:i/>
        </w:rPr>
        <w:t xml:space="preserve">The Foundations of Modern International Law on Indigenous and Tribal Peoples, </w:t>
      </w:r>
      <w:r w:rsidRPr="00D911B8">
        <w:rPr>
          <w:rFonts w:ascii="Times New Roman" w:hAnsi="Times New Roman" w:cs="Times New Roman"/>
        </w:rPr>
        <w:t>Vol. I (Brill, Leiden, 2015).</w:t>
      </w:r>
    </w:p>
  </w:footnote>
  <w:footnote w:id="18">
    <w:p w14:paraId="2270CBEE" w14:textId="374EA504" w:rsidR="00DE3CB2" w:rsidRPr="00D834E0" w:rsidRDefault="00DE3CB2" w:rsidP="00B9033F">
      <w:pPr>
        <w:pStyle w:val="FootnoteText"/>
        <w:jc w:val="both"/>
        <w:rPr>
          <w:rFonts w:ascii="Times New Roman" w:hAnsi="Times New Roman" w:cs="Times New Roman"/>
        </w:rPr>
      </w:pPr>
      <w:r w:rsidRPr="00D834E0">
        <w:rPr>
          <w:rStyle w:val="FootnoteReference"/>
          <w:rFonts w:ascii="Times New Roman" w:hAnsi="Times New Roman" w:cs="Times New Roman"/>
        </w:rPr>
        <w:footnoteRef/>
      </w:r>
      <w:r w:rsidRPr="00D834E0">
        <w:rPr>
          <w:rFonts w:ascii="Times New Roman" w:hAnsi="Times New Roman" w:cs="Times New Roman"/>
        </w:rPr>
        <w:t xml:space="preserve"> </w:t>
      </w:r>
      <w:proofErr w:type="spellStart"/>
      <w:r w:rsidRPr="00D834E0">
        <w:rPr>
          <w:rFonts w:ascii="Times New Roman" w:hAnsi="Times New Roman" w:cs="Times New Roman"/>
        </w:rPr>
        <w:t>Mantouvalou</w:t>
      </w:r>
      <w:proofErr w:type="spellEnd"/>
      <w:r>
        <w:rPr>
          <w:rFonts w:ascii="Times New Roman" w:hAnsi="Times New Roman" w:cs="Times New Roman"/>
        </w:rPr>
        <w:t>,</w:t>
      </w:r>
      <w:r w:rsidRPr="00D834E0">
        <w:rPr>
          <w:rFonts w:ascii="Times New Roman" w:hAnsi="Times New Roman" w:cs="Times New Roman"/>
        </w:rPr>
        <w:t xml:space="preserve"> </w:t>
      </w:r>
      <w:r w:rsidRPr="00D834E0">
        <w:rPr>
          <w:rFonts w:ascii="Times New Roman" w:hAnsi="Times New Roman" w:cs="Times New Roman"/>
          <w:i/>
        </w:rPr>
        <w:t xml:space="preserve">supra </w:t>
      </w:r>
      <w:r>
        <w:rPr>
          <w:rFonts w:ascii="Times New Roman" w:hAnsi="Times New Roman" w:cs="Times New Roman"/>
        </w:rPr>
        <w:t>note 4</w:t>
      </w:r>
      <w:r w:rsidRPr="00D834E0">
        <w:rPr>
          <w:rFonts w:ascii="Times New Roman" w:hAnsi="Times New Roman" w:cs="Times New Roman"/>
        </w:rPr>
        <w:t>, pp. 4-5.</w:t>
      </w:r>
    </w:p>
  </w:footnote>
  <w:footnote w:id="19">
    <w:p w14:paraId="36F37C16" w14:textId="57ECA799"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L</w:t>
      </w:r>
      <w:r>
        <w:rPr>
          <w:rFonts w:ascii="Times New Roman" w:hAnsi="Times New Roman" w:cs="Times New Roman"/>
        </w:rPr>
        <w:t>.</w:t>
      </w:r>
      <w:r w:rsidRPr="007C3AB4">
        <w:rPr>
          <w:rFonts w:ascii="Times New Roman" w:hAnsi="Times New Roman" w:cs="Times New Roman"/>
        </w:rPr>
        <w:t xml:space="preserve"> Rodríguez-</w:t>
      </w:r>
      <w:proofErr w:type="spellStart"/>
      <w:r w:rsidRPr="007C3AB4">
        <w:rPr>
          <w:rFonts w:ascii="Times New Roman" w:hAnsi="Times New Roman" w:cs="Times New Roman"/>
        </w:rPr>
        <w:t>Piñero</w:t>
      </w:r>
      <w:proofErr w:type="spellEnd"/>
      <w:r w:rsidRPr="007C3AB4">
        <w:rPr>
          <w:rFonts w:ascii="Times New Roman" w:hAnsi="Times New Roman" w:cs="Times New Roman"/>
        </w:rPr>
        <w:t xml:space="preserve">, </w:t>
      </w:r>
      <w:r w:rsidRPr="007C3AB4">
        <w:rPr>
          <w:rFonts w:ascii="Times New Roman" w:hAnsi="Times New Roman" w:cs="Times New Roman"/>
          <w:i/>
        </w:rPr>
        <w:t xml:space="preserve">Indigenous Peoples, </w:t>
      </w:r>
      <w:proofErr w:type="spellStart"/>
      <w:r w:rsidRPr="007C3AB4">
        <w:rPr>
          <w:rFonts w:ascii="Times New Roman" w:hAnsi="Times New Roman" w:cs="Times New Roman"/>
          <w:i/>
        </w:rPr>
        <w:t>Postcolonialism</w:t>
      </w:r>
      <w:proofErr w:type="spellEnd"/>
      <w:r w:rsidRPr="007C3AB4">
        <w:rPr>
          <w:rFonts w:ascii="Times New Roman" w:hAnsi="Times New Roman" w:cs="Times New Roman"/>
          <w:i/>
        </w:rPr>
        <w:t>, and International Law - The ILO Regime (1919-1989)</w:t>
      </w:r>
      <w:r w:rsidRPr="007C3AB4">
        <w:rPr>
          <w:rFonts w:ascii="Times New Roman" w:hAnsi="Times New Roman" w:cs="Times New Roman"/>
        </w:rPr>
        <w:t xml:space="preserve"> (Oxford University Press, Oxford,</w:t>
      </w:r>
      <w:r>
        <w:rPr>
          <w:rFonts w:ascii="Times New Roman" w:hAnsi="Times New Roman" w:cs="Times New Roman"/>
        </w:rPr>
        <w:t xml:space="preserve"> 2005). In Chapter 9, ‘</w:t>
      </w:r>
      <w:r w:rsidRPr="007C3AB4">
        <w:rPr>
          <w:rFonts w:ascii="Times New Roman" w:hAnsi="Times New Roman" w:cs="Times New Roman"/>
        </w:rPr>
        <w:t>The Language of Rights: Conventio</w:t>
      </w:r>
      <w:r>
        <w:rPr>
          <w:rFonts w:ascii="Times New Roman" w:hAnsi="Times New Roman" w:cs="Times New Roman"/>
        </w:rPr>
        <w:t>n No 169 (1989)’, pp. 291-331, t</w:t>
      </w:r>
      <w:r w:rsidRPr="007C3AB4">
        <w:rPr>
          <w:rFonts w:ascii="Times New Roman" w:hAnsi="Times New Roman" w:cs="Times New Roman"/>
        </w:rPr>
        <w:t>he author d</w:t>
      </w:r>
      <w:r>
        <w:rPr>
          <w:rFonts w:ascii="Times New Roman" w:hAnsi="Times New Roman" w:cs="Times New Roman"/>
        </w:rPr>
        <w:t>escribes this theoretical shift</w:t>
      </w:r>
      <w:r w:rsidRPr="007C3AB4">
        <w:rPr>
          <w:rFonts w:ascii="Times New Roman" w:hAnsi="Times New Roman" w:cs="Times New Roman"/>
        </w:rPr>
        <w:t xml:space="preserve">. </w:t>
      </w:r>
    </w:p>
  </w:footnote>
  <w:footnote w:id="20">
    <w:p w14:paraId="7AC59428" w14:textId="717E12BD"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C169, </w:t>
      </w:r>
      <w:r w:rsidRPr="00533EFE">
        <w:rPr>
          <w:rFonts w:ascii="Times New Roman" w:hAnsi="Times New Roman" w:cs="Times New Roman"/>
          <w:i/>
        </w:rPr>
        <w:t>supra</w:t>
      </w:r>
      <w:r>
        <w:rPr>
          <w:rFonts w:ascii="Times New Roman" w:hAnsi="Times New Roman" w:cs="Times New Roman"/>
        </w:rPr>
        <w:t xml:space="preserve"> note 16, Art. </w:t>
      </w:r>
      <w:r w:rsidRPr="007C3AB4">
        <w:rPr>
          <w:rFonts w:ascii="Times New Roman" w:hAnsi="Times New Roman" w:cs="Times New Roman"/>
        </w:rPr>
        <w:t xml:space="preserve"> 16. </w:t>
      </w:r>
    </w:p>
  </w:footnote>
  <w:footnote w:id="21">
    <w:p w14:paraId="11B9A5E9" w14:textId="29EB975F"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ILO, </w:t>
      </w:r>
      <w:r w:rsidRPr="007C3AB4">
        <w:rPr>
          <w:rFonts w:ascii="Times New Roman" w:hAnsi="Times New Roman" w:cs="Times New Roman"/>
          <w:i/>
        </w:rPr>
        <w:t>Understanding the Indigenous and Tribal Peoples Convention, 1989 -No. 169</w:t>
      </w:r>
      <w:r w:rsidRPr="007C3AB4">
        <w:rPr>
          <w:rFonts w:ascii="Times New Roman" w:hAnsi="Times New Roman" w:cs="Times New Roman"/>
        </w:rPr>
        <w:t xml:space="preserve"> (International Labour Organization, Geneva, 2013).</w:t>
      </w:r>
    </w:p>
  </w:footnote>
  <w:footnote w:id="22">
    <w:p w14:paraId="71CC8A91" w14:textId="757E82A3"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Y. </w:t>
      </w:r>
      <w:proofErr w:type="spellStart"/>
      <w:r w:rsidRPr="007C3AB4">
        <w:rPr>
          <w:rFonts w:ascii="Times New Roman" w:hAnsi="Times New Roman" w:cs="Times New Roman"/>
        </w:rPr>
        <w:t>Dahan</w:t>
      </w:r>
      <w:proofErr w:type="spellEnd"/>
      <w:r w:rsidRPr="007C3AB4">
        <w:rPr>
          <w:rFonts w:ascii="Times New Roman" w:hAnsi="Times New Roman" w:cs="Times New Roman"/>
        </w:rPr>
        <w:t xml:space="preserve">, H. Lerner &amp; F. </w:t>
      </w:r>
      <w:proofErr w:type="spellStart"/>
      <w:r w:rsidRPr="007C3AB4">
        <w:rPr>
          <w:rFonts w:ascii="Times New Roman" w:hAnsi="Times New Roman" w:cs="Times New Roman"/>
        </w:rPr>
        <w:t>Milman</w:t>
      </w:r>
      <w:proofErr w:type="spellEnd"/>
      <w:r w:rsidRPr="007C3AB4">
        <w:rPr>
          <w:rFonts w:ascii="Times New Roman" w:hAnsi="Times New Roman" w:cs="Times New Roman"/>
        </w:rPr>
        <w:t xml:space="preserve">-Sivan, ‘Shared Responsibility and the International Labour Organization’, 34 </w:t>
      </w:r>
      <w:r w:rsidRPr="007C3AB4">
        <w:rPr>
          <w:rFonts w:ascii="Times New Roman" w:hAnsi="Times New Roman" w:cs="Times New Roman"/>
          <w:i/>
        </w:rPr>
        <w:t>Mich. J. Int'l L.</w:t>
      </w:r>
      <w:r>
        <w:rPr>
          <w:rFonts w:ascii="Times New Roman" w:hAnsi="Times New Roman" w:cs="Times New Roman"/>
        </w:rPr>
        <w:t xml:space="preserve"> 675 (2013)</w:t>
      </w:r>
      <w:r w:rsidRPr="007C3AB4">
        <w:rPr>
          <w:rFonts w:ascii="Times New Roman" w:hAnsi="Times New Roman" w:cs="Times New Roman"/>
        </w:rPr>
        <w:t xml:space="preserve"> pp. 675-743. Report of the Committee set up to examine the representation alleging non-observance by the Government of Peru of the Indigenous and Tribal Peoples Convention, 1989 (No. 169), made under </w:t>
      </w:r>
      <w:r>
        <w:rPr>
          <w:rFonts w:ascii="Times New Roman" w:hAnsi="Times New Roman" w:cs="Times New Roman"/>
        </w:rPr>
        <w:t xml:space="preserve">Art. </w:t>
      </w:r>
      <w:r w:rsidRPr="007C3AB4">
        <w:rPr>
          <w:rFonts w:ascii="Times New Roman" w:hAnsi="Times New Roman" w:cs="Times New Roman"/>
        </w:rPr>
        <w:t xml:space="preserve"> 24 of the ILO Constitution by the International Trade Union Confederation (ITUC), the Trade Union Confederation of the Americas (TUCA) and the Autonomous Workers’ Confederation of Peru (CATP). Report of the Committee set up to examine the representation alleging non-observance by the Government of Chile of the Indigenous and Tribal Peoples Convention, 1989 (No. 169), made under </w:t>
      </w:r>
      <w:r>
        <w:rPr>
          <w:rFonts w:ascii="Times New Roman" w:hAnsi="Times New Roman" w:cs="Times New Roman"/>
        </w:rPr>
        <w:t xml:space="preserve">Art. </w:t>
      </w:r>
      <w:r w:rsidRPr="007C3AB4">
        <w:rPr>
          <w:rFonts w:ascii="Times New Roman" w:hAnsi="Times New Roman" w:cs="Times New Roman"/>
        </w:rPr>
        <w:t xml:space="preserve"> 24 of the ILO Constitution by the First Inter-Enterprise Trade Union of </w:t>
      </w:r>
      <w:proofErr w:type="spellStart"/>
      <w:r w:rsidRPr="007C3AB4">
        <w:rPr>
          <w:rFonts w:ascii="Times New Roman" w:hAnsi="Times New Roman" w:cs="Times New Roman"/>
        </w:rPr>
        <w:t>Mapuche</w:t>
      </w:r>
      <w:proofErr w:type="spellEnd"/>
      <w:r w:rsidRPr="007C3AB4">
        <w:rPr>
          <w:rFonts w:ascii="Times New Roman" w:hAnsi="Times New Roman" w:cs="Times New Roman"/>
        </w:rPr>
        <w:t xml:space="preserve"> Bakers of Santiago.</w:t>
      </w:r>
    </w:p>
  </w:footnote>
  <w:footnote w:id="23">
    <w:p w14:paraId="6CE8B7D4" w14:textId="2BD4A6AD"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w:t>
      </w:r>
      <w:r w:rsidRPr="00AE451F">
        <w:rPr>
          <w:rFonts w:ascii="Times New Roman" w:hAnsi="Times New Roman" w:cs="Times New Roman"/>
          <w:i/>
        </w:rPr>
        <w:t>bid.</w:t>
      </w:r>
    </w:p>
  </w:footnote>
  <w:footnote w:id="24">
    <w:p w14:paraId="77F55172" w14:textId="798BB3BF"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ADRIP, </w:t>
      </w:r>
      <w:r>
        <w:rPr>
          <w:rFonts w:ascii="Times New Roman" w:hAnsi="Times New Roman" w:cs="Times New Roman"/>
        </w:rPr>
        <w:t xml:space="preserve">Art. </w:t>
      </w:r>
      <w:r w:rsidRPr="007C3AB4">
        <w:rPr>
          <w:rFonts w:ascii="Times New Roman" w:hAnsi="Times New Roman" w:cs="Times New Roman"/>
        </w:rPr>
        <w:t xml:space="preserve"> XIII.2.</w:t>
      </w:r>
    </w:p>
  </w:footnote>
  <w:footnote w:id="25">
    <w:p w14:paraId="18174720" w14:textId="6CD7C488"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ADRIP, </w:t>
      </w:r>
      <w:r>
        <w:rPr>
          <w:rFonts w:ascii="Times New Roman" w:hAnsi="Times New Roman" w:cs="Times New Roman"/>
        </w:rPr>
        <w:t xml:space="preserve">Art. </w:t>
      </w:r>
      <w:r w:rsidRPr="007C3AB4">
        <w:rPr>
          <w:rFonts w:ascii="Times New Roman" w:hAnsi="Times New Roman" w:cs="Times New Roman"/>
        </w:rPr>
        <w:t xml:space="preserve"> XXIII.2.</w:t>
      </w:r>
    </w:p>
  </w:footnote>
  <w:footnote w:id="26">
    <w:p w14:paraId="371D2F18" w14:textId="2DE3185C"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ADRIP, </w:t>
      </w:r>
      <w:r>
        <w:rPr>
          <w:rFonts w:ascii="Times New Roman" w:hAnsi="Times New Roman" w:cs="Times New Roman"/>
        </w:rPr>
        <w:t xml:space="preserve">Art. </w:t>
      </w:r>
      <w:r w:rsidRPr="007C3AB4">
        <w:rPr>
          <w:rFonts w:ascii="Times New Roman" w:hAnsi="Times New Roman" w:cs="Times New Roman"/>
        </w:rPr>
        <w:t xml:space="preserve"> XVIII.3.</w:t>
      </w:r>
    </w:p>
  </w:footnote>
  <w:footnote w:id="27">
    <w:p w14:paraId="653F0B18" w14:textId="37F28BE2"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proofErr w:type="spellStart"/>
      <w:r w:rsidRPr="007C3AB4">
        <w:rPr>
          <w:rFonts w:ascii="Times New Roman" w:hAnsi="Times New Roman" w:cs="Times New Roman"/>
          <w:i/>
        </w:rPr>
        <w:t>Sarayaku</w:t>
      </w:r>
      <w:proofErr w:type="spellEnd"/>
      <w:r w:rsidRPr="007C3AB4">
        <w:rPr>
          <w:rFonts w:ascii="Times New Roman" w:hAnsi="Times New Roman" w:cs="Times New Roman"/>
          <w:i/>
        </w:rPr>
        <w:t xml:space="preserve"> </w:t>
      </w:r>
      <w:r w:rsidRPr="00982811">
        <w:rPr>
          <w:rFonts w:ascii="Times New Roman" w:hAnsi="Times New Roman" w:cs="Times New Roman"/>
          <w:iCs/>
        </w:rPr>
        <w:t>v.</w:t>
      </w:r>
      <w:r w:rsidRPr="007C3AB4">
        <w:rPr>
          <w:rFonts w:ascii="Times New Roman" w:hAnsi="Times New Roman" w:cs="Times New Roman"/>
          <w:i/>
        </w:rPr>
        <w:t xml:space="preserve"> Ecuador - Merits and Costs</w:t>
      </w:r>
      <w:r w:rsidRPr="007C3AB4">
        <w:rPr>
          <w:rFonts w:ascii="Times New Roman" w:hAnsi="Times New Roman" w:cs="Times New Roman"/>
        </w:rPr>
        <w:t>, I/A Court H.R., Judgment of 27 Jun. 2012, Series C No. 245, para</w:t>
      </w:r>
      <w:r>
        <w:rPr>
          <w:rFonts w:ascii="Times New Roman" w:hAnsi="Times New Roman" w:cs="Times New Roman"/>
        </w:rPr>
        <w:t>.</w:t>
      </w:r>
      <w:r w:rsidRPr="007C3AB4">
        <w:rPr>
          <w:rFonts w:ascii="Times New Roman" w:hAnsi="Times New Roman" w:cs="Times New Roman"/>
        </w:rPr>
        <w:t xml:space="preserve"> 159 and paras. 212 to 217.</w:t>
      </w:r>
    </w:p>
  </w:footnote>
  <w:footnote w:id="28">
    <w:p w14:paraId="13346FBF" w14:textId="1BE33E6D"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M. </w:t>
      </w:r>
      <w:proofErr w:type="spellStart"/>
      <w:r>
        <w:rPr>
          <w:rFonts w:ascii="Times New Roman" w:hAnsi="Times New Roman" w:cs="Times New Roman"/>
        </w:rPr>
        <w:t>Barelli</w:t>
      </w:r>
      <w:proofErr w:type="spellEnd"/>
      <w:r>
        <w:rPr>
          <w:rFonts w:ascii="Times New Roman" w:hAnsi="Times New Roman" w:cs="Times New Roman"/>
        </w:rPr>
        <w:t xml:space="preserve">, </w:t>
      </w:r>
      <w:r w:rsidRPr="007C3AB4">
        <w:rPr>
          <w:rFonts w:ascii="Times New Roman" w:hAnsi="Times New Roman" w:cs="Times New Roman"/>
        </w:rPr>
        <w:t>‘Free, prior and informed consent in the aftermath of the UN Declaration on the Rights of Indigenous Peoples: developments and challenges ahead’, 16:1</w:t>
      </w:r>
      <w:r>
        <w:rPr>
          <w:rFonts w:ascii="Times New Roman" w:hAnsi="Times New Roman" w:cs="Times New Roman"/>
        </w:rPr>
        <w:t xml:space="preserve"> </w:t>
      </w:r>
      <w:r w:rsidRPr="007C3AB4">
        <w:rPr>
          <w:rFonts w:ascii="Times New Roman" w:hAnsi="Times New Roman" w:cs="Times New Roman"/>
          <w:i/>
        </w:rPr>
        <w:t>The International Journal of Human Rights</w:t>
      </w:r>
      <w:r>
        <w:rPr>
          <w:rFonts w:ascii="Times New Roman" w:hAnsi="Times New Roman" w:cs="Times New Roman"/>
        </w:rPr>
        <w:t xml:space="preserve"> (2016)</w:t>
      </w:r>
      <w:r w:rsidRPr="007C3AB4">
        <w:rPr>
          <w:rFonts w:ascii="Times New Roman" w:hAnsi="Times New Roman" w:cs="Times New Roman"/>
        </w:rPr>
        <w:t xml:space="preserve"> pp. 1-24.</w:t>
      </w:r>
    </w:p>
  </w:footnote>
  <w:footnote w:id="29">
    <w:p w14:paraId="049935D5" w14:textId="0D8585F3" w:rsidR="00DE3CB2" w:rsidRPr="007C3AB4" w:rsidRDefault="00DE3CB2" w:rsidP="00FF7581">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Pr>
          <w:rFonts w:ascii="Times New Roman" w:hAnsi="Times New Roman" w:cs="Times New Roman"/>
        </w:rPr>
        <w:t>J. S. Phillips, “</w:t>
      </w:r>
      <w:r w:rsidRPr="00FF7581">
        <w:rPr>
          <w:rFonts w:ascii="Times New Roman" w:hAnsi="Times New Roman" w:cs="Times New Roman"/>
        </w:rPr>
        <w:t xml:space="preserve">The rights of indigenous </w:t>
      </w:r>
      <w:r>
        <w:rPr>
          <w:rFonts w:ascii="Times New Roman" w:hAnsi="Times New Roman" w:cs="Times New Roman"/>
        </w:rPr>
        <w:t xml:space="preserve">peoples under international law”, 26:2 </w:t>
      </w:r>
      <w:r w:rsidRPr="00533EFE">
        <w:rPr>
          <w:rFonts w:ascii="Times New Roman" w:hAnsi="Times New Roman" w:cs="Times New Roman"/>
          <w:i/>
        </w:rPr>
        <w:t>Global Bioethics</w:t>
      </w:r>
      <w:r>
        <w:rPr>
          <w:rFonts w:ascii="Times New Roman" w:hAnsi="Times New Roman" w:cs="Times New Roman"/>
        </w:rPr>
        <w:t xml:space="preserve"> (</w:t>
      </w:r>
      <w:r w:rsidRPr="00FF7581">
        <w:rPr>
          <w:rFonts w:ascii="Times New Roman" w:hAnsi="Times New Roman" w:cs="Times New Roman"/>
        </w:rPr>
        <w:t>2015</w:t>
      </w:r>
      <w:r>
        <w:rPr>
          <w:rFonts w:ascii="Times New Roman" w:hAnsi="Times New Roman" w:cs="Times New Roman"/>
        </w:rPr>
        <w:t xml:space="preserve">) pp. 120-127, p. 120. </w:t>
      </w:r>
      <w:r w:rsidRPr="00FF7581">
        <w:rPr>
          <w:rFonts w:ascii="Times New Roman" w:hAnsi="Times New Roman" w:cs="Times New Roman"/>
        </w:rPr>
        <w:t xml:space="preserve"> </w:t>
      </w:r>
      <w:r w:rsidRPr="006709D8">
        <w:rPr>
          <w:rFonts w:ascii="Times New Roman" w:hAnsi="Times New Roman" w:cs="Times New Roman"/>
          <w:i/>
        </w:rPr>
        <w:t>See</w:t>
      </w:r>
      <w:r>
        <w:rPr>
          <w:rFonts w:ascii="Times New Roman" w:hAnsi="Times New Roman" w:cs="Times New Roman"/>
        </w:rPr>
        <w:t xml:space="preserve"> also </w:t>
      </w:r>
      <w:r w:rsidRPr="007C3AB4">
        <w:rPr>
          <w:rFonts w:ascii="Times New Roman" w:hAnsi="Times New Roman" w:cs="Times New Roman"/>
        </w:rPr>
        <w:t xml:space="preserve">J. Anaya, </w:t>
      </w:r>
      <w:r w:rsidRPr="007C3AB4">
        <w:rPr>
          <w:rFonts w:ascii="Times New Roman" w:hAnsi="Times New Roman" w:cs="Times New Roman"/>
          <w:i/>
        </w:rPr>
        <w:t>International human rights and indigenous peoples</w:t>
      </w:r>
      <w:r>
        <w:rPr>
          <w:rFonts w:ascii="Times New Roman" w:hAnsi="Times New Roman" w:cs="Times New Roman"/>
        </w:rPr>
        <w:t xml:space="preserve"> </w:t>
      </w:r>
      <w:r w:rsidRPr="007C3AB4">
        <w:rPr>
          <w:rFonts w:ascii="Times New Roman" w:hAnsi="Times New Roman" w:cs="Times New Roman"/>
        </w:rPr>
        <w:t>(Kluwer Publications, New York, 2009) pp. 79–82, 124, 151.</w:t>
      </w:r>
    </w:p>
  </w:footnote>
  <w:footnote w:id="30">
    <w:p w14:paraId="04B2D1D9" w14:textId="343B163E" w:rsidR="00DE3CB2" w:rsidRPr="00DB5EA2"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R. </w:t>
      </w:r>
      <w:proofErr w:type="spellStart"/>
      <w:r w:rsidRPr="007C3AB4">
        <w:rPr>
          <w:rFonts w:ascii="Times New Roman" w:hAnsi="Times New Roman" w:cs="Times New Roman"/>
        </w:rPr>
        <w:t>McCorquodale</w:t>
      </w:r>
      <w:proofErr w:type="spellEnd"/>
      <w:r w:rsidRPr="007C3AB4">
        <w:rPr>
          <w:rFonts w:ascii="Times New Roman" w:hAnsi="Times New Roman" w:cs="Times New Roman"/>
        </w:rPr>
        <w:t xml:space="preserve">, ‘Group Rights’ in </w:t>
      </w:r>
      <w:proofErr w:type="spellStart"/>
      <w:r w:rsidRPr="007C3AB4">
        <w:rPr>
          <w:rFonts w:ascii="Times New Roman" w:hAnsi="Times New Roman" w:cs="Times New Roman"/>
        </w:rPr>
        <w:t>Moeckli</w:t>
      </w:r>
      <w:proofErr w:type="spellEnd"/>
      <w:r w:rsidRPr="007C3AB4">
        <w:rPr>
          <w:rFonts w:ascii="Times New Roman" w:hAnsi="Times New Roman" w:cs="Times New Roman"/>
        </w:rPr>
        <w:t xml:space="preserve">, Shah and </w:t>
      </w:r>
      <w:proofErr w:type="spellStart"/>
      <w:r w:rsidRPr="007C3AB4">
        <w:rPr>
          <w:rFonts w:ascii="Times New Roman" w:hAnsi="Times New Roman" w:cs="Times New Roman"/>
        </w:rPr>
        <w:t>Sivakumaran</w:t>
      </w:r>
      <w:proofErr w:type="spellEnd"/>
      <w:r w:rsidRPr="007C3AB4">
        <w:rPr>
          <w:rFonts w:ascii="Times New Roman" w:hAnsi="Times New Roman" w:cs="Times New Roman"/>
        </w:rPr>
        <w:t xml:space="preserve"> (</w:t>
      </w:r>
      <w:proofErr w:type="spellStart"/>
      <w:r w:rsidRPr="007C3AB4">
        <w:rPr>
          <w:rFonts w:ascii="Times New Roman" w:hAnsi="Times New Roman" w:cs="Times New Roman"/>
        </w:rPr>
        <w:t>ed</w:t>
      </w:r>
      <w:r>
        <w:rPr>
          <w:rFonts w:ascii="Times New Roman" w:hAnsi="Times New Roman" w:cs="Times New Roman"/>
        </w:rPr>
        <w:t>s</w:t>
      </w:r>
      <w:proofErr w:type="spellEnd"/>
      <w:r w:rsidRPr="007C3AB4">
        <w:rPr>
          <w:rFonts w:ascii="Times New Roman" w:hAnsi="Times New Roman" w:cs="Times New Roman"/>
        </w:rPr>
        <w:t xml:space="preserve">), </w:t>
      </w:r>
      <w:r w:rsidRPr="00AE451F">
        <w:rPr>
          <w:rFonts w:ascii="Times New Roman" w:hAnsi="Times New Roman" w:cs="Times New Roman"/>
          <w:i/>
        </w:rPr>
        <w:t>International Human Rights Law</w:t>
      </w:r>
      <w:r w:rsidRPr="007C3AB4">
        <w:rPr>
          <w:rFonts w:ascii="Times New Roman" w:hAnsi="Times New Roman" w:cs="Times New Roman"/>
        </w:rPr>
        <w:t xml:space="preserve"> (2</w:t>
      </w:r>
      <w:r w:rsidRPr="00DB5EA2">
        <w:rPr>
          <w:rFonts w:ascii="Times New Roman" w:hAnsi="Times New Roman" w:cs="Times New Roman"/>
          <w:vertAlign w:val="superscript"/>
        </w:rPr>
        <w:t>nd</w:t>
      </w:r>
      <w:r w:rsidRPr="00DB5EA2">
        <w:rPr>
          <w:rFonts w:ascii="Times New Roman" w:hAnsi="Times New Roman" w:cs="Times New Roman"/>
        </w:rPr>
        <w:t xml:space="preserve"> Ed, Oxford University Press, Oxford, 2013) </w:t>
      </w:r>
      <w:r>
        <w:rPr>
          <w:rFonts w:ascii="Times New Roman" w:hAnsi="Times New Roman" w:cs="Times New Roman"/>
        </w:rPr>
        <w:t>pp. 333-355, p.</w:t>
      </w:r>
      <w:r w:rsidRPr="00DB5EA2">
        <w:rPr>
          <w:rFonts w:ascii="Times New Roman" w:hAnsi="Times New Roman" w:cs="Times New Roman"/>
        </w:rPr>
        <w:t xml:space="preserve"> 353. </w:t>
      </w:r>
    </w:p>
  </w:footnote>
  <w:footnote w:id="31">
    <w:p w14:paraId="481FDB7F" w14:textId="31BBCB36" w:rsidR="00DE3CB2" w:rsidRPr="007C3AB4" w:rsidRDefault="00DE3CB2" w:rsidP="00B9033F">
      <w:pPr>
        <w:pStyle w:val="FootnoteText"/>
        <w:jc w:val="both"/>
        <w:rPr>
          <w:rFonts w:ascii="Times New Roman" w:hAnsi="Times New Roman" w:cs="Times New Roman"/>
        </w:rPr>
      </w:pPr>
      <w:r w:rsidRPr="00DB5EA2">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Sarayaku</w:t>
      </w:r>
      <w:proofErr w:type="spellEnd"/>
      <w:r>
        <w:rPr>
          <w:rFonts w:ascii="Times New Roman" w:hAnsi="Times New Roman" w:cs="Times New Roman"/>
        </w:rPr>
        <w:t xml:space="preserve">, </w:t>
      </w:r>
      <w:r w:rsidRPr="00533EFE">
        <w:rPr>
          <w:rFonts w:ascii="Times New Roman" w:hAnsi="Times New Roman" w:cs="Times New Roman"/>
          <w:i/>
        </w:rPr>
        <w:t>supra</w:t>
      </w:r>
      <w:r>
        <w:rPr>
          <w:rFonts w:ascii="Times New Roman" w:hAnsi="Times New Roman" w:cs="Times New Roman"/>
        </w:rPr>
        <w:t xml:space="preserve"> note 27, para.</w:t>
      </w:r>
      <w:r w:rsidRPr="00DB5EA2">
        <w:rPr>
          <w:rFonts w:ascii="Times New Roman" w:hAnsi="Times New Roman" w:cs="Times New Roman"/>
        </w:rPr>
        <w:t xml:space="preserve"> 128.</w:t>
      </w:r>
    </w:p>
  </w:footnote>
  <w:footnote w:id="32">
    <w:p w14:paraId="0530232C" w14:textId="610F49BE"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The Court found a violation of the right to communal property </w:t>
      </w:r>
      <w:r>
        <w:rPr>
          <w:rFonts w:ascii="Times New Roman" w:hAnsi="Times New Roman" w:cs="Times New Roman"/>
        </w:rPr>
        <w:t>pursuant to</w:t>
      </w:r>
      <w:r w:rsidRPr="007C3AB4">
        <w:rPr>
          <w:rFonts w:ascii="Times New Roman" w:hAnsi="Times New Roman" w:cs="Times New Roman"/>
        </w:rPr>
        <w:t xml:space="preserve"> </w:t>
      </w:r>
      <w:r>
        <w:rPr>
          <w:rFonts w:ascii="Times New Roman" w:hAnsi="Times New Roman" w:cs="Times New Roman"/>
        </w:rPr>
        <w:t xml:space="preserve">Art. </w:t>
      </w:r>
      <w:r w:rsidRPr="007C3AB4">
        <w:rPr>
          <w:rFonts w:ascii="Times New Roman" w:hAnsi="Times New Roman" w:cs="Times New Roman"/>
        </w:rPr>
        <w:t xml:space="preserve"> 21 of the Convention, in relation to the rig</w:t>
      </w:r>
      <w:r>
        <w:rPr>
          <w:rFonts w:ascii="Times New Roman" w:hAnsi="Times New Roman" w:cs="Times New Roman"/>
        </w:rPr>
        <w:t xml:space="preserve">ht to cultural identity, in </w:t>
      </w:r>
      <w:r w:rsidRPr="007C3AB4">
        <w:rPr>
          <w:rFonts w:ascii="Times New Roman" w:hAnsi="Times New Roman" w:cs="Times New Roman"/>
        </w:rPr>
        <w:t xml:space="preserve">terms of </w:t>
      </w:r>
      <w:r>
        <w:rPr>
          <w:rFonts w:ascii="Times New Roman" w:hAnsi="Times New Roman" w:cs="Times New Roman"/>
        </w:rPr>
        <w:t xml:space="preserve">Art. </w:t>
      </w:r>
      <w:r w:rsidRPr="007C3AB4">
        <w:rPr>
          <w:rFonts w:ascii="Times New Roman" w:hAnsi="Times New Roman" w:cs="Times New Roman"/>
        </w:rPr>
        <w:t xml:space="preserve">s 1(1) and (2) of </w:t>
      </w:r>
      <w:r>
        <w:rPr>
          <w:rFonts w:ascii="Times New Roman" w:hAnsi="Times New Roman" w:cs="Times New Roman"/>
        </w:rPr>
        <w:t>the American Convention</w:t>
      </w:r>
      <w:r w:rsidRPr="007C3AB4">
        <w:rPr>
          <w:rFonts w:ascii="Times New Roman" w:hAnsi="Times New Roman" w:cs="Times New Roman"/>
        </w:rPr>
        <w:t>, para</w:t>
      </w:r>
      <w:r>
        <w:rPr>
          <w:rFonts w:ascii="Times New Roman" w:hAnsi="Times New Roman" w:cs="Times New Roman"/>
        </w:rPr>
        <w:t>.</w:t>
      </w:r>
      <w:r w:rsidRPr="007C3AB4">
        <w:rPr>
          <w:rFonts w:ascii="Times New Roman" w:hAnsi="Times New Roman" w:cs="Times New Roman"/>
        </w:rPr>
        <w:t xml:space="preserve"> 232.</w:t>
      </w:r>
    </w:p>
  </w:footnote>
  <w:footnote w:id="33">
    <w:p w14:paraId="0CE08058" w14:textId="4E54C15F" w:rsidR="00DE3CB2" w:rsidRPr="007D7B0A" w:rsidRDefault="00DE3CB2" w:rsidP="00B9033F">
      <w:pPr>
        <w:pStyle w:val="FootnoteText"/>
        <w:jc w:val="both"/>
        <w:rPr>
          <w:rFonts w:ascii="Times New Roman" w:hAnsi="Times New Roman" w:cs="Times New Roman"/>
        </w:rPr>
      </w:pPr>
      <w:r w:rsidRPr="007D7B0A">
        <w:rPr>
          <w:rStyle w:val="FootnoteReference"/>
          <w:rFonts w:ascii="Times New Roman" w:hAnsi="Times New Roman" w:cs="Times New Roman"/>
        </w:rPr>
        <w:footnoteRef/>
      </w:r>
      <w:r>
        <w:rPr>
          <w:rFonts w:ascii="Times New Roman" w:hAnsi="Times New Roman" w:cs="Times New Roman"/>
        </w:rPr>
        <w:t xml:space="preserve"> S.J. Anaya</w:t>
      </w:r>
      <w:r w:rsidRPr="007D7B0A">
        <w:rPr>
          <w:rFonts w:ascii="Times New Roman" w:hAnsi="Times New Roman" w:cs="Times New Roman"/>
        </w:rPr>
        <w:t xml:space="preserve"> and S. </w:t>
      </w:r>
      <w:proofErr w:type="spellStart"/>
      <w:r w:rsidRPr="007D7B0A">
        <w:rPr>
          <w:rFonts w:ascii="Times New Roman" w:hAnsi="Times New Roman" w:cs="Times New Roman"/>
        </w:rPr>
        <w:t>Puig</w:t>
      </w:r>
      <w:proofErr w:type="spellEnd"/>
      <w:r w:rsidRPr="007D7B0A">
        <w:rPr>
          <w:rFonts w:ascii="Times New Roman" w:hAnsi="Times New Roman" w:cs="Times New Roman"/>
        </w:rPr>
        <w:t>,</w:t>
      </w:r>
      <w:r w:rsidRPr="00B9033F">
        <w:rPr>
          <w:rFonts w:ascii="Times New Roman" w:hAnsi="Times New Roman" w:cs="Times New Roman"/>
        </w:rPr>
        <w:t xml:space="preserve"> </w:t>
      </w:r>
      <w:hyperlink r:id="rId1" w:history="1">
        <w:r w:rsidRPr="00B9033F">
          <w:rPr>
            <w:rStyle w:val="Hyperlink"/>
            <w:rFonts w:ascii="Times New Roman" w:hAnsi="Times New Roman" w:cs="Times New Roman"/>
            <w:color w:val="auto"/>
            <w:u w:val="none"/>
          </w:rPr>
          <w:t>‘Mitigating State Sovereignty: The Duty to Consult with Indigenous Peoples’</w:t>
        </w:r>
      </w:hyperlink>
      <w:r>
        <w:rPr>
          <w:rStyle w:val="Hyperlink"/>
          <w:rFonts w:ascii="Times New Roman" w:hAnsi="Times New Roman" w:cs="Times New Roman"/>
          <w:color w:val="auto"/>
          <w:u w:val="none"/>
        </w:rPr>
        <w:t>,</w:t>
      </w:r>
      <w:r w:rsidRPr="007D7B0A">
        <w:rPr>
          <w:rFonts w:ascii="Times New Roman" w:hAnsi="Times New Roman" w:cs="Times New Roman"/>
        </w:rPr>
        <w:t xml:space="preserve"> </w:t>
      </w:r>
      <w:r w:rsidRPr="00B9033F">
        <w:rPr>
          <w:rFonts w:ascii="Times New Roman" w:hAnsi="Times New Roman" w:cs="Times New Roman"/>
          <w:iCs/>
        </w:rPr>
        <w:t xml:space="preserve">67 </w:t>
      </w:r>
      <w:r w:rsidRPr="00812B1E">
        <w:rPr>
          <w:rFonts w:ascii="Times New Roman" w:hAnsi="Times New Roman" w:cs="Times New Roman"/>
          <w:i/>
        </w:rPr>
        <w:t xml:space="preserve">University of Toronto Law Journal </w:t>
      </w:r>
      <w:r>
        <w:rPr>
          <w:rFonts w:ascii="Times New Roman" w:hAnsi="Times New Roman" w:cs="Times New Roman"/>
        </w:rPr>
        <w:t>(2016</w:t>
      </w:r>
      <w:r w:rsidRPr="00812B1E">
        <w:rPr>
          <w:rFonts w:ascii="Times New Roman" w:hAnsi="Times New Roman" w:cs="Times New Roman"/>
        </w:rPr>
        <w:t>)</w:t>
      </w:r>
      <w:r w:rsidRPr="007D7B0A">
        <w:rPr>
          <w:rFonts w:ascii="Times New Roman" w:hAnsi="Times New Roman" w:cs="Times New Roman"/>
        </w:rPr>
        <w:t xml:space="preserve"> </w:t>
      </w:r>
      <w:r>
        <w:rPr>
          <w:rFonts w:ascii="Times New Roman" w:hAnsi="Times New Roman" w:cs="Times New Roman"/>
        </w:rPr>
        <w:t xml:space="preserve">pp. </w:t>
      </w:r>
      <w:r w:rsidRPr="007D7B0A">
        <w:rPr>
          <w:rFonts w:ascii="Times New Roman" w:hAnsi="Times New Roman" w:cs="Times New Roman"/>
        </w:rPr>
        <w:t xml:space="preserve">16-42. </w:t>
      </w:r>
    </w:p>
  </w:footnote>
  <w:footnote w:id="34">
    <w:p w14:paraId="678FC876" w14:textId="31D179BC" w:rsidR="00DE3CB2" w:rsidRPr="00DA775D" w:rsidRDefault="00DE3CB2" w:rsidP="00B9033F">
      <w:pPr>
        <w:pStyle w:val="FootnoteText"/>
        <w:jc w:val="both"/>
        <w:rPr>
          <w:rFonts w:ascii="Times New Roman" w:hAnsi="Times New Roman" w:cs="Times New Roman"/>
        </w:rPr>
      </w:pPr>
      <w:r w:rsidRPr="007D7B0A">
        <w:rPr>
          <w:rStyle w:val="FootnoteReference"/>
          <w:rFonts w:ascii="Times New Roman" w:hAnsi="Times New Roman" w:cs="Times New Roman"/>
        </w:rPr>
        <w:footnoteRef/>
      </w:r>
      <w:r w:rsidRPr="00DA775D">
        <w:rPr>
          <w:rFonts w:ascii="Times New Roman" w:hAnsi="Times New Roman" w:cs="Times New Roman"/>
        </w:rPr>
        <w:t xml:space="preserve"> </w:t>
      </w:r>
      <w:proofErr w:type="spellStart"/>
      <w:r w:rsidRPr="007D7B0A">
        <w:rPr>
          <w:rFonts w:ascii="Times New Roman" w:hAnsi="Times New Roman" w:cs="Times New Roman"/>
        </w:rPr>
        <w:t>Xanthaki</w:t>
      </w:r>
      <w:proofErr w:type="spellEnd"/>
      <w:r>
        <w:rPr>
          <w:rFonts w:ascii="Times New Roman" w:hAnsi="Times New Roman" w:cs="Times New Roman"/>
        </w:rPr>
        <w:t xml:space="preserve">, </w:t>
      </w:r>
      <w:r w:rsidRPr="00B9033F">
        <w:rPr>
          <w:rFonts w:ascii="Times New Roman" w:hAnsi="Times New Roman" w:cs="Times New Roman"/>
          <w:i/>
          <w:iCs/>
        </w:rPr>
        <w:t xml:space="preserve">supra </w:t>
      </w:r>
      <w:r>
        <w:rPr>
          <w:rFonts w:ascii="Times New Roman" w:hAnsi="Times New Roman" w:cs="Times New Roman"/>
        </w:rPr>
        <w:t>note 8, p.</w:t>
      </w:r>
      <w:r w:rsidRPr="00DA775D">
        <w:rPr>
          <w:rFonts w:ascii="Times New Roman" w:hAnsi="Times New Roman" w:cs="Times New Roman"/>
        </w:rPr>
        <w:t xml:space="preserve"> 255.</w:t>
      </w:r>
    </w:p>
  </w:footnote>
  <w:footnote w:id="35">
    <w:p w14:paraId="643C7101" w14:textId="75E949E2" w:rsidR="00DE3CB2" w:rsidRPr="00581101" w:rsidRDefault="00DE3CB2" w:rsidP="00B9033F">
      <w:pPr>
        <w:pStyle w:val="FootnoteText"/>
        <w:jc w:val="both"/>
        <w:rPr>
          <w:rFonts w:ascii="Times New Roman" w:hAnsi="Times New Roman" w:cs="Times New Roman"/>
          <w:i/>
        </w:rPr>
      </w:pPr>
      <w:r w:rsidRPr="007D7B0A">
        <w:rPr>
          <w:rStyle w:val="FootnoteReference"/>
          <w:rFonts w:ascii="Times New Roman" w:hAnsi="Times New Roman" w:cs="Times New Roman"/>
        </w:rPr>
        <w:footnoteRef/>
      </w:r>
      <w:r w:rsidRPr="007D7B0A">
        <w:rPr>
          <w:rFonts w:ascii="Times New Roman" w:hAnsi="Times New Roman" w:cs="Times New Roman"/>
        </w:rPr>
        <w:t xml:space="preserve"> K. Masaki, ‘Recognition or Misrecognition? Pitfalls of Indigenous Peoples Free, Prior, and Informed Consent (FPIC)’, in S. Hickey and D </w:t>
      </w:r>
      <w:proofErr w:type="spellStart"/>
      <w:r w:rsidRPr="007D7B0A">
        <w:rPr>
          <w:rFonts w:ascii="Times New Roman" w:hAnsi="Times New Roman" w:cs="Times New Roman"/>
        </w:rPr>
        <w:t>Mitlin</w:t>
      </w:r>
      <w:proofErr w:type="spellEnd"/>
      <w:r>
        <w:rPr>
          <w:rFonts w:ascii="Times New Roman" w:hAnsi="Times New Roman" w:cs="Times New Roman"/>
        </w:rPr>
        <w:t xml:space="preserve"> (eds.)</w:t>
      </w:r>
      <w:r w:rsidRPr="007D7B0A">
        <w:rPr>
          <w:rFonts w:ascii="Times New Roman" w:hAnsi="Times New Roman" w:cs="Times New Roman"/>
        </w:rPr>
        <w:t xml:space="preserve">, </w:t>
      </w:r>
      <w:r w:rsidRPr="007D7B0A">
        <w:rPr>
          <w:rFonts w:ascii="Times New Roman" w:hAnsi="Times New Roman" w:cs="Times New Roman"/>
          <w:i/>
        </w:rPr>
        <w:t>Rights-Based Approa</w:t>
      </w:r>
      <w:r>
        <w:rPr>
          <w:rFonts w:ascii="Times New Roman" w:hAnsi="Times New Roman" w:cs="Times New Roman"/>
          <w:i/>
        </w:rPr>
        <w:t>ches to Development: Exploring t</w:t>
      </w:r>
      <w:r w:rsidRPr="007D7B0A">
        <w:rPr>
          <w:rFonts w:ascii="Times New Roman" w:hAnsi="Times New Roman" w:cs="Times New Roman"/>
          <w:i/>
        </w:rPr>
        <w:t>he Potential Pitfalls</w:t>
      </w:r>
      <w:r w:rsidRPr="007D7B0A">
        <w:rPr>
          <w:rFonts w:ascii="Times New Roman" w:hAnsi="Times New Roman" w:cs="Times New Roman"/>
        </w:rPr>
        <w:t xml:space="preserve"> (</w:t>
      </w:r>
      <w:proofErr w:type="spellStart"/>
      <w:r w:rsidRPr="007D7B0A">
        <w:rPr>
          <w:rFonts w:ascii="Times New Roman" w:hAnsi="Times New Roman" w:cs="Times New Roman"/>
        </w:rPr>
        <w:t>Kumarian</w:t>
      </w:r>
      <w:proofErr w:type="spellEnd"/>
      <w:r w:rsidRPr="007D7B0A">
        <w:rPr>
          <w:rFonts w:ascii="Times New Roman" w:hAnsi="Times New Roman" w:cs="Times New Roman"/>
        </w:rPr>
        <w:t xml:space="preserve"> Press, Sterling, VA, </w:t>
      </w:r>
      <w:proofErr w:type="gramStart"/>
      <w:r w:rsidRPr="007D7B0A">
        <w:rPr>
          <w:rFonts w:ascii="Times New Roman" w:hAnsi="Times New Roman" w:cs="Times New Roman"/>
        </w:rPr>
        <w:t>2009)</w:t>
      </w:r>
      <w:r>
        <w:rPr>
          <w:rFonts w:ascii="Times New Roman" w:hAnsi="Times New Roman" w:cs="Times New Roman"/>
        </w:rPr>
        <w:t>p.</w:t>
      </w:r>
      <w:proofErr w:type="gramEnd"/>
      <w:r>
        <w:rPr>
          <w:rFonts w:ascii="Times New Roman" w:hAnsi="Times New Roman" w:cs="Times New Roman"/>
        </w:rPr>
        <w:t xml:space="preserve"> 69</w:t>
      </w:r>
      <w:r w:rsidRPr="007D7B0A">
        <w:rPr>
          <w:rFonts w:ascii="Times New Roman" w:hAnsi="Times New Roman" w:cs="Times New Roman"/>
        </w:rPr>
        <w:t>.</w:t>
      </w:r>
    </w:p>
  </w:footnote>
  <w:footnote w:id="36">
    <w:p w14:paraId="77AC3DE0" w14:textId="3A9633FC"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w:t>
      </w:r>
      <w:r w:rsidRPr="003A06FD">
        <w:rPr>
          <w:rFonts w:ascii="Times New Roman" w:hAnsi="Times New Roman" w:cs="Times New Roman"/>
        </w:rPr>
        <w:t>S</w:t>
      </w:r>
      <w:r>
        <w:rPr>
          <w:rFonts w:ascii="Times New Roman" w:hAnsi="Times New Roman" w:cs="Times New Roman"/>
        </w:rPr>
        <w:t>.</w:t>
      </w:r>
      <w:r w:rsidRPr="003A06FD">
        <w:rPr>
          <w:rFonts w:ascii="Times New Roman" w:hAnsi="Times New Roman" w:cs="Times New Roman"/>
        </w:rPr>
        <w:t>J</w:t>
      </w:r>
      <w:r>
        <w:rPr>
          <w:rFonts w:ascii="Times New Roman" w:hAnsi="Times New Roman" w:cs="Times New Roman"/>
        </w:rPr>
        <w:t>.</w:t>
      </w:r>
      <w:r w:rsidRPr="003A06FD">
        <w:rPr>
          <w:rFonts w:ascii="Times New Roman" w:hAnsi="Times New Roman" w:cs="Times New Roman"/>
        </w:rPr>
        <w:t xml:space="preserve"> Anaya, ‘Reparations for Neglect of Indigenous Land Rights at the Intersection of Domestic and International Law-The Maya Cases in the Supreme Court of Belize’, in F. </w:t>
      </w:r>
      <w:proofErr w:type="spellStart"/>
      <w:r w:rsidRPr="003A06FD">
        <w:rPr>
          <w:rFonts w:ascii="Times New Roman" w:hAnsi="Times New Roman" w:cs="Times New Roman"/>
        </w:rPr>
        <w:t>Lenzerini</w:t>
      </w:r>
      <w:proofErr w:type="spellEnd"/>
      <w:r w:rsidRPr="003A06FD">
        <w:rPr>
          <w:rFonts w:ascii="Times New Roman" w:hAnsi="Times New Roman" w:cs="Times New Roman"/>
        </w:rPr>
        <w:t xml:space="preserve"> (ed.) </w:t>
      </w:r>
      <w:r w:rsidRPr="003A06FD">
        <w:rPr>
          <w:rFonts w:ascii="Times New Roman" w:hAnsi="Times New Roman" w:cs="Times New Roman"/>
          <w:i/>
        </w:rPr>
        <w:t>Reparations for Indigenous Peoples: International and Comparative Perspectives</w:t>
      </w:r>
      <w:r w:rsidRPr="003A06FD">
        <w:rPr>
          <w:rFonts w:ascii="Times New Roman" w:hAnsi="Times New Roman" w:cs="Times New Roman"/>
        </w:rPr>
        <w:t xml:space="preserve"> (Oxford University Press, Oxford, 2009)</w:t>
      </w:r>
      <w:r w:rsidRPr="007C3AB4">
        <w:rPr>
          <w:rFonts w:ascii="Times New Roman" w:hAnsi="Times New Roman" w:cs="Times New Roman"/>
        </w:rPr>
        <w:t xml:space="preserve">. </w:t>
      </w:r>
      <w:r w:rsidRPr="006709D8">
        <w:rPr>
          <w:rFonts w:ascii="Times New Roman" w:hAnsi="Times New Roman" w:cs="Times New Roman"/>
          <w:i/>
        </w:rPr>
        <w:t>See</w:t>
      </w:r>
      <w:r>
        <w:rPr>
          <w:rFonts w:ascii="Times New Roman" w:hAnsi="Times New Roman" w:cs="Times New Roman"/>
        </w:rPr>
        <w:t xml:space="preserve"> also S.J. </w:t>
      </w:r>
      <w:r w:rsidRPr="007C3AB4">
        <w:rPr>
          <w:rFonts w:ascii="Times New Roman" w:hAnsi="Times New Roman" w:cs="Times New Roman"/>
        </w:rPr>
        <w:t>Anaya, ‘Ind</w:t>
      </w:r>
      <w:r>
        <w:rPr>
          <w:rFonts w:ascii="Times New Roman" w:hAnsi="Times New Roman" w:cs="Times New Roman"/>
        </w:rPr>
        <w:t>igenous Peoples’ participatory rights in relation to d</w:t>
      </w:r>
      <w:r w:rsidRPr="007C3AB4">
        <w:rPr>
          <w:rFonts w:ascii="Times New Roman" w:hAnsi="Times New Roman" w:cs="Times New Roman"/>
        </w:rPr>
        <w:t>ecisions abou</w:t>
      </w:r>
      <w:r>
        <w:rPr>
          <w:rFonts w:ascii="Times New Roman" w:hAnsi="Times New Roman" w:cs="Times New Roman"/>
        </w:rPr>
        <w:t>t natural resource extraction: the more fundamental issue of what rights Indigenous Peoples have in lands and r</w:t>
      </w:r>
      <w:r w:rsidRPr="007C3AB4">
        <w:rPr>
          <w:rFonts w:ascii="Times New Roman" w:hAnsi="Times New Roman" w:cs="Times New Roman"/>
        </w:rPr>
        <w:t xml:space="preserve">esources’, 22 </w:t>
      </w:r>
      <w:r w:rsidRPr="007C3AB4">
        <w:rPr>
          <w:rFonts w:ascii="Times New Roman" w:hAnsi="Times New Roman" w:cs="Times New Roman"/>
          <w:i/>
        </w:rPr>
        <w:t>ARIZ. J. INT'L &amp; COMP. L.</w:t>
      </w:r>
      <w:r w:rsidRPr="007C3AB4">
        <w:rPr>
          <w:rFonts w:ascii="Times New Roman" w:hAnsi="Times New Roman" w:cs="Times New Roman"/>
        </w:rPr>
        <w:t xml:space="preserve"> 7 (2005) pp. 567-8.</w:t>
      </w:r>
    </w:p>
  </w:footnote>
  <w:footnote w:id="37">
    <w:p w14:paraId="45094D88" w14:textId="317BB8C8"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hyperlink r:id="rId2" w:history="1">
        <w:r w:rsidRPr="00B9033F">
          <w:rPr>
            <w:rStyle w:val="Hyperlink"/>
            <w:rFonts w:ascii="Times New Roman" w:hAnsi="Times New Roman" w:cs="Times New Roman"/>
            <w:color w:val="auto"/>
            <w:u w:val="none"/>
          </w:rPr>
          <w:t>OECD Guidelines for Multinational Enterprises (OECD 2011</w:t>
        </w:r>
      </w:hyperlink>
      <w:r w:rsidRPr="00B9033F">
        <w:rPr>
          <w:rFonts w:ascii="Times New Roman" w:hAnsi="Times New Roman" w:cs="Times New Roman"/>
        </w:rPr>
        <w:t xml:space="preserve">) and </w:t>
      </w:r>
      <w:hyperlink r:id="rId3" w:history="1">
        <w:r w:rsidRPr="00B9033F">
          <w:rPr>
            <w:rStyle w:val="Hyperlink"/>
            <w:rFonts w:ascii="Times New Roman" w:hAnsi="Times New Roman" w:cs="Times New Roman"/>
            <w:color w:val="auto"/>
            <w:u w:val="none"/>
          </w:rPr>
          <w:t>UN Guiding Principles on Business and Human Rights (UN 2011)</w:t>
        </w:r>
      </w:hyperlink>
      <w:r w:rsidRPr="00B9033F">
        <w:rPr>
          <w:rFonts w:ascii="Times New Roman" w:hAnsi="Times New Roman" w:cs="Times New Roman"/>
        </w:rPr>
        <w:t>.</w:t>
      </w:r>
    </w:p>
  </w:footnote>
  <w:footnote w:id="38">
    <w:p w14:paraId="1C26D504" w14:textId="4B71A03F"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CERD adopted and opened for signature and ratification by General Assembly resolution 2106 (XX) of 21 December 1965</w:t>
      </w:r>
      <w:r>
        <w:rPr>
          <w:rFonts w:ascii="Times New Roman" w:hAnsi="Times New Roman" w:cs="Times New Roman"/>
        </w:rPr>
        <w:t>,</w:t>
      </w:r>
      <w:r w:rsidRPr="007C3AB4">
        <w:rPr>
          <w:rFonts w:ascii="Times New Roman" w:hAnsi="Times New Roman" w:cs="Times New Roman"/>
        </w:rPr>
        <w:t xml:space="preserve"> </w:t>
      </w:r>
      <w:r>
        <w:rPr>
          <w:rFonts w:ascii="Times New Roman" w:hAnsi="Times New Roman" w:cs="Times New Roman"/>
        </w:rPr>
        <w:t>entry into force 4 January 1969</w:t>
      </w:r>
      <w:r w:rsidRPr="007C3AB4">
        <w:rPr>
          <w:rFonts w:ascii="Times New Roman" w:hAnsi="Times New Roman" w:cs="Times New Roman"/>
        </w:rPr>
        <w:t>.</w:t>
      </w:r>
    </w:p>
  </w:footnote>
  <w:footnote w:id="39">
    <w:p w14:paraId="0420F017" w14:textId="0FDD3682"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C169, </w:t>
      </w:r>
      <w:r>
        <w:rPr>
          <w:rFonts w:ascii="Times New Roman" w:hAnsi="Times New Roman" w:cs="Times New Roman"/>
        </w:rPr>
        <w:t xml:space="preserve">Art. </w:t>
      </w:r>
      <w:r w:rsidRPr="007C3AB4">
        <w:rPr>
          <w:rFonts w:ascii="Times New Roman" w:hAnsi="Times New Roman" w:cs="Times New Roman"/>
        </w:rPr>
        <w:t xml:space="preserve"> 6.1. a.</w:t>
      </w:r>
    </w:p>
  </w:footnote>
  <w:footnote w:id="40">
    <w:p w14:paraId="7EA7542E" w14:textId="5FB746DB"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C169, </w:t>
      </w:r>
      <w:r>
        <w:rPr>
          <w:rFonts w:ascii="Times New Roman" w:hAnsi="Times New Roman" w:cs="Times New Roman"/>
        </w:rPr>
        <w:t xml:space="preserve">Art. </w:t>
      </w:r>
      <w:r w:rsidRPr="007C3AB4">
        <w:rPr>
          <w:rFonts w:ascii="Times New Roman" w:hAnsi="Times New Roman" w:cs="Times New Roman"/>
        </w:rPr>
        <w:t xml:space="preserve"> 17.</w:t>
      </w:r>
    </w:p>
  </w:footnote>
  <w:footnote w:id="41">
    <w:p w14:paraId="745560E5" w14:textId="051110EA"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ILO, </w:t>
      </w:r>
      <w:r w:rsidRPr="002B4818">
        <w:rPr>
          <w:rFonts w:ascii="Times New Roman" w:hAnsi="Times New Roman" w:cs="Times New Roman"/>
          <w:i/>
        </w:rPr>
        <w:t>Understanding the Indigenous and Tribal Peoples Convention, 189</w:t>
      </w:r>
      <w:r w:rsidRPr="007C3AB4">
        <w:rPr>
          <w:rFonts w:ascii="Times New Roman" w:hAnsi="Times New Roman" w:cs="Times New Roman"/>
        </w:rPr>
        <w:t xml:space="preserve"> (United Nations, Geneva, 2013).</w:t>
      </w:r>
    </w:p>
  </w:footnote>
  <w:footnote w:id="42">
    <w:p w14:paraId="0A731885" w14:textId="64066D7C"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C169, </w:t>
      </w:r>
      <w:r>
        <w:rPr>
          <w:rFonts w:ascii="Times New Roman" w:hAnsi="Times New Roman" w:cs="Times New Roman"/>
        </w:rPr>
        <w:t xml:space="preserve">Art. </w:t>
      </w:r>
      <w:r w:rsidRPr="007C3AB4">
        <w:rPr>
          <w:rFonts w:ascii="Times New Roman" w:hAnsi="Times New Roman" w:cs="Times New Roman"/>
        </w:rPr>
        <w:t xml:space="preserve"> 15.2.</w:t>
      </w:r>
    </w:p>
  </w:footnote>
  <w:footnote w:id="43">
    <w:p w14:paraId="7C806C5F" w14:textId="5FC41B75"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C169, </w:t>
      </w:r>
      <w:r>
        <w:rPr>
          <w:rFonts w:ascii="Times New Roman" w:hAnsi="Times New Roman" w:cs="Times New Roman"/>
        </w:rPr>
        <w:t xml:space="preserve">Art. </w:t>
      </w:r>
      <w:r w:rsidRPr="007C3AB4">
        <w:rPr>
          <w:rFonts w:ascii="Times New Roman" w:hAnsi="Times New Roman" w:cs="Times New Roman"/>
        </w:rPr>
        <w:t xml:space="preserve"> 16.</w:t>
      </w:r>
    </w:p>
  </w:footnote>
  <w:footnote w:id="44">
    <w:p w14:paraId="0A5BEA88" w14:textId="7777777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E52C03">
        <w:rPr>
          <w:rFonts w:ascii="Times New Roman" w:hAnsi="Times New Roman" w:cs="Times New Roman"/>
          <w:i/>
        </w:rPr>
        <w:t>Ibid.</w:t>
      </w:r>
    </w:p>
  </w:footnote>
  <w:footnote w:id="45">
    <w:p w14:paraId="76C32841" w14:textId="23A85AFF" w:rsidR="00DE3CB2" w:rsidRPr="00533EFE" w:rsidRDefault="00DE3CB2" w:rsidP="00B9033F">
      <w:pPr>
        <w:pStyle w:val="FootnoteText"/>
        <w:jc w:val="both"/>
        <w:rPr>
          <w:rFonts w:ascii="Times New Roman" w:hAnsi="Times New Roman" w:cs="Times New Roman"/>
          <w:lang w:val="es-ES"/>
        </w:rPr>
      </w:pPr>
      <w:r w:rsidRPr="007C3AB4">
        <w:rPr>
          <w:rStyle w:val="FootnoteReference"/>
          <w:rFonts w:ascii="Times New Roman" w:eastAsia="Times New Roman" w:hAnsi="Times New Roman" w:cs="Times New Roman"/>
          <w:lang w:eastAsia="en-GB"/>
        </w:rPr>
        <w:footnoteRef/>
      </w:r>
      <w:r w:rsidRPr="007C3AB4">
        <w:rPr>
          <w:rStyle w:val="FootnoteReference"/>
          <w:rFonts w:ascii="Times New Roman" w:eastAsia="Times New Roman" w:hAnsi="Times New Roman" w:cs="Times New Roman"/>
          <w:lang w:eastAsia="en-GB"/>
        </w:rPr>
        <w:t xml:space="preserve"> </w:t>
      </w:r>
      <w:r w:rsidRPr="007C3AB4">
        <w:rPr>
          <w:rFonts w:ascii="Times New Roman" w:eastAsia="Times New Roman" w:hAnsi="Times New Roman" w:cs="Times New Roman"/>
          <w:lang w:eastAsia="en-GB"/>
        </w:rPr>
        <w:t xml:space="preserve">D. Lea, </w:t>
      </w:r>
      <w:r w:rsidRPr="007C3AB4">
        <w:rPr>
          <w:rFonts w:ascii="Times New Roman" w:eastAsia="Times New Roman" w:hAnsi="Times New Roman" w:cs="Times New Roman"/>
          <w:i/>
          <w:lang w:eastAsia="en-GB"/>
        </w:rPr>
        <w:t>Property Rights, Indigenous People and the Developing World</w:t>
      </w:r>
      <w:r w:rsidRPr="007C3AB4">
        <w:rPr>
          <w:rFonts w:ascii="Times New Roman" w:eastAsia="Times New Roman" w:hAnsi="Times New Roman" w:cs="Times New Roman"/>
          <w:lang w:eastAsia="en-GB"/>
        </w:rPr>
        <w:t xml:space="preserve"> </w:t>
      </w:r>
      <w:proofErr w:type="gramStart"/>
      <w:dir w:val="ltr">
        <w:r>
          <w:rPr>
            <w:rFonts w:ascii="Times New Roman" w:eastAsia="Times New Roman" w:hAnsi="Times New Roman" w:cs="Times New Roman"/>
            <w:lang w:eastAsia="en-GB"/>
          </w:rPr>
          <w:t>(</w:t>
        </w:r>
        <w:proofErr w:type="gramEnd"/>
        <w:r>
          <w:rPr>
            <w:rFonts w:ascii="Times New Roman" w:eastAsia="Times New Roman" w:hAnsi="Times New Roman" w:cs="Times New Roman"/>
            <w:lang w:eastAsia="en-GB"/>
          </w:rPr>
          <w:t>Brill, Leiden, 2008</w:t>
        </w:r>
        <w:r>
          <w:rPr>
            <w:rFonts w:ascii="Times New Roman" w:eastAsia="Times New Roman" w:hAnsi="Times New Roman" w:cs="Times New Roman"/>
            <w:lang w:eastAsia="en-GB"/>
          </w:rPr>
          <w:t xml:space="preserve">‬), p. </w:t>
        </w:r>
        <w:r w:rsidRPr="007C3AB4">
          <w:rPr>
            <w:rFonts w:ascii="Times New Roman" w:eastAsia="Times New Roman" w:hAnsi="Times New Roman" w:cs="Times New Roman"/>
            <w:lang w:eastAsia="en-GB"/>
          </w:rPr>
          <w:t>‬</w:t>
        </w:r>
        <w:r w:rsidRPr="00533EFE">
          <w:rPr>
            <w:rFonts w:ascii="Times New Roman" w:hAnsi="Times New Roman" w:cs="Times New Roman"/>
            <w:lang w:val="es-ES"/>
          </w:rPr>
          <w:t>51.</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rFonts w:ascii="Times New Roman" w:hAnsi="Times New Roman" w:cs="Times New Roman"/>
            <w:lang w:val="es-ES"/>
          </w:rPr>
          <w:t>‬</w:t>
        </w:r>
        <w:r w:rsidRPr="00533EFE">
          <w:rPr>
            <w:lang w:val="es-ES"/>
          </w:rPr>
          <w:t>‬</w:t>
        </w:r>
        <w:r w:rsidRPr="00533EFE">
          <w:rPr>
            <w:lang w:val="es-ES"/>
          </w:rPr>
          <w:t>‬</w:t>
        </w:r>
        <w:r w:rsidRPr="00533EFE">
          <w:rPr>
            <w:lang w:val="es-ES"/>
          </w:rPr>
          <w:t>‬</w:t>
        </w:r>
        <w:r w:rsidRPr="00533EFE">
          <w:rPr>
            <w:lang w:val="es-ES"/>
          </w:rPr>
          <w:t>‬</w:t>
        </w:r>
        <w:r w:rsidRPr="00533EFE">
          <w:rPr>
            <w:lang w:val="es-ES"/>
          </w:rPr>
          <w:t>‬</w:t>
        </w:r>
        <w:r w:rsidRPr="00533EFE">
          <w:rPr>
            <w:lang w:val="es-ES"/>
          </w:rPr>
          <w:t>‬</w:t>
        </w:r>
        <w:r w:rsidRPr="00533EFE">
          <w:rPr>
            <w:lang w:val="es-ES"/>
          </w:rPr>
          <w:t>‬</w:t>
        </w:r>
        <w:r w:rsidRPr="00533EFE">
          <w:rPr>
            <w:lang w:val="es-ES"/>
          </w:rPr>
          <w:t>‬</w:t>
        </w:r>
        <w:r w:rsidRPr="00533EFE">
          <w:rPr>
            <w:lang w:val="es-ES"/>
          </w:rPr>
          <w:t>‬</w:t>
        </w:r>
        <w:r w:rsidRPr="00533EFE">
          <w:rPr>
            <w:lang w:val="es-ES"/>
          </w:rPr>
          <w:t>‬</w:t>
        </w:r>
        <w:r w:rsidRPr="00533EFE">
          <w:rPr>
            <w:lang w:val="es-ES"/>
          </w:rPr>
          <w:t>‬</w:t>
        </w:r>
        <w:r w:rsidRPr="00533EFE">
          <w:rPr>
            <w:lang w:val="es-ES"/>
          </w:rPr>
          <w:t>‬</w:t>
        </w:r>
        <w:r>
          <w:t>‬</w:t>
        </w:r>
        <w:r>
          <w:t>‬</w:t>
        </w:r>
        <w:r>
          <w:t>‬</w:t>
        </w:r>
        <w:r>
          <w:t>‬</w:t>
        </w:r>
        <w:r>
          <w:t>‬</w:t>
        </w:r>
        <w:r>
          <w:t>‬</w:t>
        </w:r>
        <w:r>
          <w:t>‬</w:t>
        </w:r>
      </w:dir>
    </w:p>
  </w:footnote>
  <w:footnote w:id="46">
    <w:p w14:paraId="55543083" w14:textId="7005BFC6" w:rsidR="00DE3CB2" w:rsidRPr="002B4818" w:rsidRDefault="00DE3CB2" w:rsidP="00B9033F">
      <w:pPr>
        <w:pStyle w:val="FootnoteText"/>
        <w:jc w:val="both"/>
        <w:rPr>
          <w:rFonts w:ascii="Times New Roman" w:hAnsi="Times New Roman" w:cs="Times New Roman"/>
          <w:b/>
          <w:lang w:val="es-ES"/>
        </w:rPr>
      </w:pPr>
      <w:r w:rsidRPr="007C3AB4">
        <w:rPr>
          <w:rStyle w:val="FootnoteReference"/>
          <w:rFonts w:ascii="Times New Roman" w:hAnsi="Times New Roman" w:cs="Times New Roman"/>
        </w:rPr>
        <w:footnoteRef/>
      </w:r>
      <w:r w:rsidRPr="007C3AB4">
        <w:rPr>
          <w:rFonts w:ascii="Times New Roman" w:hAnsi="Times New Roman" w:cs="Times New Roman"/>
          <w:lang w:val="es-ES"/>
        </w:rPr>
        <w:t xml:space="preserve"> </w:t>
      </w:r>
      <w:r w:rsidRPr="004115F5">
        <w:rPr>
          <w:rFonts w:ascii="Times New Roman" w:hAnsi="Times New Roman" w:cs="Times New Roman"/>
          <w:lang w:val="es-ES"/>
        </w:rPr>
        <w:t>L. Rodríguez-Piñero Royo, ‘Las agresiones del desarrollo: pueblos indígenas, normas internacionales e industrias extractivas’, 11</w:t>
      </w:r>
      <w:r>
        <w:rPr>
          <w:rFonts w:ascii="Times New Roman" w:hAnsi="Times New Roman" w:cs="Times New Roman"/>
          <w:lang w:val="es-ES"/>
        </w:rPr>
        <w:t xml:space="preserve"> </w:t>
      </w:r>
      <w:r w:rsidRPr="004115F5">
        <w:rPr>
          <w:rFonts w:ascii="Times New Roman" w:hAnsi="Times New Roman" w:cs="Times New Roman"/>
          <w:i/>
          <w:lang w:val="es-ES"/>
        </w:rPr>
        <w:t>Relaciones internacionales: Revista académica cuatrimestral de publicación electrónica</w:t>
      </w:r>
      <w:r>
        <w:rPr>
          <w:rFonts w:ascii="Times New Roman" w:hAnsi="Times New Roman" w:cs="Times New Roman"/>
          <w:lang w:val="es-ES"/>
        </w:rPr>
        <w:t xml:space="preserve"> (</w:t>
      </w:r>
      <w:r w:rsidRPr="004115F5">
        <w:rPr>
          <w:rFonts w:ascii="Times New Roman" w:hAnsi="Times New Roman" w:cs="Times New Roman"/>
          <w:lang w:val="es-ES"/>
        </w:rPr>
        <w:t>2009</w:t>
      </w:r>
      <w:r>
        <w:rPr>
          <w:rFonts w:ascii="Times New Roman" w:hAnsi="Times New Roman" w:cs="Times New Roman"/>
          <w:lang w:val="es-ES"/>
        </w:rPr>
        <w:t xml:space="preserve">) pp. </w:t>
      </w:r>
      <w:r w:rsidRPr="00D731A1">
        <w:rPr>
          <w:rFonts w:ascii="Times New Roman" w:hAnsi="Times New Roman" w:cs="Times New Roman"/>
          <w:lang w:val="es-ES"/>
        </w:rPr>
        <w:t>43-78</w:t>
      </w:r>
      <w:r w:rsidRPr="004115F5">
        <w:rPr>
          <w:rFonts w:ascii="Times New Roman" w:hAnsi="Times New Roman" w:cs="Times New Roman"/>
          <w:lang w:val="es-ES"/>
        </w:rPr>
        <w:t>.</w:t>
      </w:r>
    </w:p>
  </w:footnote>
  <w:footnote w:id="47">
    <w:p w14:paraId="19D5E9B5" w14:textId="75AF658A"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B. Kingsbury, ‘Indigenous Peoples and the Environment’, in D. K. Anton, D. L. Shelton</w:t>
      </w:r>
      <w:r>
        <w:rPr>
          <w:rFonts w:ascii="Times New Roman" w:hAnsi="Times New Roman" w:cs="Times New Roman"/>
        </w:rPr>
        <w:t xml:space="preserve"> (eds.)</w:t>
      </w:r>
      <w:r w:rsidRPr="007C3AB4">
        <w:rPr>
          <w:rFonts w:ascii="Times New Roman" w:hAnsi="Times New Roman" w:cs="Times New Roman"/>
        </w:rPr>
        <w:t>,</w:t>
      </w:r>
      <w:r w:rsidRPr="007C3AB4">
        <w:rPr>
          <w:rFonts w:ascii="Times New Roman" w:hAnsi="Times New Roman" w:cs="Times New Roman"/>
          <w:i/>
        </w:rPr>
        <w:t xml:space="preserve"> Environmental Protection and Human Rights</w:t>
      </w:r>
      <w:r w:rsidRPr="007C3AB4">
        <w:rPr>
          <w:rFonts w:ascii="Times New Roman" w:hAnsi="Times New Roman" w:cs="Times New Roman"/>
        </w:rPr>
        <w:t xml:space="preserve"> (Cambridge University Press, Cambr</w:t>
      </w:r>
      <w:r>
        <w:rPr>
          <w:rFonts w:ascii="Times New Roman" w:hAnsi="Times New Roman" w:cs="Times New Roman"/>
        </w:rPr>
        <w:t>idge, 2011) p.</w:t>
      </w:r>
      <w:r w:rsidRPr="007C3AB4">
        <w:rPr>
          <w:rFonts w:ascii="Times New Roman" w:hAnsi="Times New Roman" w:cs="Times New Roman"/>
        </w:rPr>
        <w:t xml:space="preserve"> 545. C. Chi </w:t>
      </w:r>
      <w:proofErr w:type="spellStart"/>
      <w:r w:rsidRPr="007C3AB4">
        <w:rPr>
          <w:rFonts w:ascii="Times New Roman" w:hAnsi="Times New Roman" w:cs="Times New Roman"/>
        </w:rPr>
        <w:t>Ngang</w:t>
      </w:r>
      <w:proofErr w:type="spellEnd"/>
      <w:r w:rsidRPr="007C3AB4">
        <w:rPr>
          <w:rFonts w:ascii="Times New Roman" w:hAnsi="Times New Roman" w:cs="Times New Roman"/>
        </w:rPr>
        <w:t xml:space="preserve">, ‘Indigenous Peoples’ Right to Sustainable Development and the Green Economy Agenda’, 44(4) </w:t>
      </w:r>
      <w:r w:rsidRPr="007C3AB4">
        <w:rPr>
          <w:rFonts w:ascii="Times New Roman" w:hAnsi="Times New Roman" w:cs="Times New Roman"/>
          <w:i/>
        </w:rPr>
        <w:t>Africa Insight</w:t>
      </w:r>
      <w:r>
        <w:rPr>
          <w:rFonts w:ascii="Times New Roman" w:hAnsi="Times New Roman" w:cs="Times New Roman"/>
        </w:rPr>
        <w:t xml:space="preserve"> (2015)</w:t>
      </w:r>
      <w:r w:rsidRPr="007C3AB4">
        <w:rPr>
          <w:rFonts w:ascii="Times New Roman" w:hAnsi="Times New Roman" w:cs="Times New Roman"/>
        </w:rPr>
        <w:t xml:space="preserve"> pp. 31-46.</w:t>
      </w:r>
    </w:p>
  </w:footnote>
  <w:footnote w:id="48">
    <w:p w14:paraId="3E738F9C" w14:textId="11C45AEA" w:rsidR="00DE3CB2" w:rsidRPr="007C3AB4" w:rsidRDefault="00DE3CB2" w:rsidP="00B9033F">
      <w:pPr>
        <w:pStyle w:val="FootnoteText"/>
        <w:jc w:val="both"/>
        <w:rPr>
          <w:rFonts w:ascii="Times New Roman" w:hAnsi="Times New Roman" w:cs="Times New Roman"/>
          <w:i/>
        </w:rPr>
      </w:pPr>
      <w:r w:rsidRPr="007C3AB4">
        <w:rPr>
          <w:rStyle w:val="FootnoteReference"/>
          <w:rFonts w:ascii="Times New Roman" w:hAnsi="Times New Roman" w:cs="Times New Roman"/>
        </w:rPr>
        <w:footnoteRef/>
      </w:r>
      <w:r w:rsidRPr="007C3AB4">
        <w:rPr>
          <w:rFonts w:ascii="Times New Roman" w:hAnsi="Times New Roman" w:cs="Times New Roman"/>
        </w:rPr>
        <w:t xml:space="preserve"> U.N. Conference on Environment and Development, U.N. Doc. A</w:t>
      </w:r>
      <w:proofErr w:type="gramStart"/>
      <w:r w:rsidRPr="007C3AB4">
        <w:rPr>
          <w:rFonts w:ascii="Times New Roman" w:hAnsi="Times New Roman" w:cs="Times New Roman"/>
        </w:rPr>
        <w:t>/.CONF</w:t>
      </w:r>
      <w:proofErr w:type="gramEnd"/>
      <w:r w:rsidRPr="007C3AB4">
        <w:rPr>
          <w:rFonts w:ascii="Times New Roman" w:hAnsi="Times New Roman" w:cs="Times New Roman"/>
        </w:rPr>
        <w:t xml:space="preserve">,151/26 (1992), Agenda 21, </w:t>
      </w:r>
      <w:r>
        <w:rPr>
          <w:rFonts w:ascii="Times New Roman" w:hAnsi="Times New Roman" w:cs="Times New Roman"/>
        </w:rPr>
        <w:t>C</w:t>
      </w:r>
      <w:r w:rsidRPr="007C3AB4">
        <w:rPr>
          <w:rFonts w:ascii="Times New Roman" w:hAnsi="Times New Roman" w:cs="Times New Roman"/>
        </w:rPr>
        <w:t xml:space="preserve">h. 26.1. D. Freestone, ‘The Road from Rio: International Environmental </w:t>
      </w:r>
      <w:r>
        <w:rPr>
          <w:rFonts w:ascii="Times New Roman" w:hAnsi="Times New Roman" w:cs="Times New Roman"/>
        </w:rPr>
        <w:t>Law after the Earth Summit’, 6:2</w:t>
      </w:r>
      <w:r w:rsidRPr="007C3AB4">
        <w:rPr>
          <w:rFonts w:ascii="Times New Roman" w:hAnsi="Times New Roman" w:cs="Times New Roman"/>
        </w:rPr>
        <w:t xml:space="preserve"> </w:t>
      </w:r>
      <w:r w:rsidRPr="007C3AB4">
        <w:rPr>
          <w:rFonts w:ascii="Times New Roman" w:hAnsi="Times New Roman" w:cs="Times New Roman"/>
          <w:i/>
        </w:rPr>
        <w:t>J Environmental Law</w:t>
      </w:r>
      <w:r>
        <w:rPr>
          <w:rFonts w:ascii="Times New Roman" w:hAnsi="Times New Roman" w:cs="Times New Roman"/>
        </w:rPr>
        <w:t xml:space="preserve"> (1994)</w:t>
      </w:r>
      <w:r w:rsidRPr="007C3AB4">
        <w:rPr>
          <w:rFonts w:ascii="Times New Roman" w:hAnsi="Times New Roman" w:cs="Times New Roman"/>
        </w:rPr>
        <w:t xml:space="preserve"> pp. 193-218. J. Viñuales, </w:t>
      </w:r>
      <w:r w:rsidRPr="007C3AB4">
        <w:rPr>
          <w:rFonts w:ascii="Times New Roman" w:hAnsi="Times New Roman" w:cs="Times New Roman"/>
          <w:i/>
        </w:rPr>
        <w:t>The Rio Declaration on Environment and Development: A Commentary</w:t>
      </w:r>
      <w:r w:rsidRPr="007C3AB4">
        <w:rPr>
          <w:rFonts w:ascii="Times New Roman" w:hAnsi="Times New Roman" w:cs="Times New Roman"/>
        </w:rPr>
        <w:t xml:space="preserve"> (Oxford University Press, Oxford</w:t>
      </w:r>
      <w:r>
        <w:rPr>
          <w:rFonts w:ascii="Times New Roman" w:hAnsi="Times New Roman" w:cs="Times New Roman"/>
        </w:rPr>
        <w:t xml:space="preserve">, </w:t>
      </w:r>
      <w:r w:rsidRPr="007C3AB4">
        <w:rPr>
          <w:rFonts w:ascii="Times New Roman" w:hAnsi="Times New Roman" w:cs="Times New Roman"/>
        </w:rPr>
        <w:t>2016).</w:t>
      </w:r>
    </w:p>
  </w:footnote>
  <w:footnote w:id="49">
    <w:p w14:paraId="725918C1" w14:textId="16A46473" w:rsidR="00DE3CB2" w:rsidRPr="00E52C03" w:rsidRDefault="00DE3CB2" w:rsidP="00B9033F">
      <w:pPr>
        <w:pStyle w:val="FootnoteText"/>
        <w:jc w:val="both"/>
        <w:rPr>
          <w:rFonts w:ascii="Times New Roman" w:hAnsi="Times New Roman" w:cs="Times New Roman"/>
          <w:lang w:val="it-IT"/>
        </w:rPr>
      </w:pPr>
      <w:r w:rsidRPr="007C3AB4">
        <w:rPr>
          <w:rStyle w:val="FootnoteReference"/>
          <w:rFonts w:ascii="Times New Roman" w:hAnsi="Times New Roman" w:cs="Times New Roman"/>
        </w:rPr>
        <w:footnoteRef/>
      </w:r>
      <w:r w:rsidRPr="007C3AB4">
        <w:rPr>
          <w:rFonts w:ascii="Times New Roman" w:hAnsi="Times New Roman" w:cs="Times New Roman"/>
          <w:lang w:val="it-IT"/>
        </w:rPr>
        <w:t xml:space="preserve"> U.N. Doc. A/CONF.151/26 (</w:t>
      </w:r>
      <w:r>
        <w:rPr>
          <w:rFonts w:ascii="Times New Roman" w:hAnsi="Times New Roman" w:cs="Times New Roman"/>
          <w:lang w:val="it-IT"/>
        </w:rPr>
        <w:t>1992), UN 1992 Rio Conference</w:t>
      </w:r>
      <w:r w:rsidRPr="00E52C03">
        <w:rPr>
          <w:rFonts w:ascii="Times New Roman" w:hAnsi="Times New Roman" w:cs="Times New Roman"/>
          <w:lang w:val="it-IT"/>
        </w:rPr>
        <w:t>.</w:t>
      </w:r>
    </w:p>
  </w:footnote>
  <w:footnote w:id="50">
    <w:p w14:paraId="463F8A0B" w14:textId="75AF45E5"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D. Shelton, ‘Principle 22’ in J. Viñuales (ed</w:t>
      </w:r>
      <w:r>
        <w:rPr>
          <w:rFonts w:ascii="Times New Roman" w:hAnsi="Times New Roman" w:cs="Times New Roman"/>
        </w:rPr>
        <w:t>.</w:t>
      </w:r>
      <w:r w:rsidRPr="007C3AB4">
        <w:rPr>
          <w:rFonts w:ascii="Times New Roman" w:hAnsi="Times New Roman" w:cs="Times New Roman"/>
        </w:rPr>
        <w:t xml:space="preserve">), </w:t>
      </w:r>
      <w:r w:rsidRPr="007C3AB4">
        <w:rPr>
          <w:rFonts w:ascii="Times New Roman" w:hAnsi="Times New Roman" w:cs="Times New Roman"/>
          <w:i/>
        </w:rPr>
        <w:t>The Rio Declaration on Environment and Development: A Commentary</w:t>
      </w:r>
      <w:r w:rsidRPr="007C3AB4">
        <w:rPr>
          <w:rFonts w:ascii="Times New Roman" w:hAnsi="Times New Roman" w:cs="Times New Roman"/>
        </w:rPr>
        <w:t xml:space="preserve"> (Oxford University Press</w:t>
      </w:r>
      <w:r>
        <w:rPr>
          <w:rFonts w:ascii="Times New Roman" w:hAnsi="Times New Roman" w:cs="Times New Roman"/>
        </w:rPr>
        <w:t xml:space="preserve">, Oxford, 2016) pp. 541-556, p. </w:t>
      </w:r>
      <w:r w:rsidRPr="007C3AB4">
        <w:rPr>
          <w:rFonts w:ascii="Times New Roman" w:hAnsi="Times New Roman" w:cs="Times New Roman"/>
        </w:rPr>
        <w:t>544.</w:t>
      </w:r>
    </w:p>
  </w:footnote>
  <w:footnote w:id="51">
    <w:p w14:paraId="54CC8D08" w14:textId="528879FA"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Barelli</w:t>
      </w:r>
      <w:proofErr w:type="spellEnd"/>
      <w:r>
        <w:rPr>
          <w:rFonts w:ascii="Times New Roman" w:hAnsi="Times New Roman" w:cs="Times New Roman"/>
        </w:rPr>
        <w:t xml:space="preserve">, </w:t>
      </w:r>
      <w:r w:rsidRPr="00DC084C">
        <w:rPr>
          <w:rFonts w:ascii="Times New Roman" w:hAnsi="Times New Roman" w:cs="Times New Roman"/>
          <w:i/>
        </w:rPr>
        <w:t>supra</w:t>
      </w:r>
      <w:r>
        <w:rPr>
          <w:rFonts w:ascii="Times New Roman" w:hAnsi="Times New Roman" w:cs="Times New Roman"/>
        </w:rPr>
        <w:t xml:space="preserve"> note 28</w:t>
      </w:r>
      <w:r w:rsidRPr="007C3AB4">
        <w:rPr>
          <w:rFonts w:ascii="Times New Roman" w:hAnsi="Times New Roman" w:cs="Times New Roman"/>
        </w:rPr>
        <w:t>.</w:t>
      </w:r>
    </w:p>
  </w:footnote>
  <w:footnote w:id="52">
    <w:p w14:paraId="4E93C301" w14:textId="7F3E565A"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UN 2012 Rio + Conference, Final Document, A/RES/66/288 - The Future We Want, para</w:t>
      </w:r>
      <w:r>
        <w:rPr>
          <w:rFonts w:ascii="Times New Roman" w:hAnsi="Times New Roman" w:cs="Times New Roman"/>
        </w:rPr>
        <w:t>.</w:t>
      </w:r>
      <w:r w:rsidRPr="007C3AB4">
        <w:rPr>
          <w:rFonts w:ascii="Times New Roman" w:hAnsi="Times New Roman" w:cs="Times New Roman"/>
        </w:rPr>
        <w:t xml:space="preserve"> 49.</w:t>
      </w:r>
    </w:p>
  </w:footnote>
  <w:footnote w:id="53">
    <w:p w14:paraId="4F9D2F1F" w14:textId="22C253DB" w:rsidR="00DE3CB2" w:rsidRPr="00DB5EA2"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DB5EA2">
        <w:rPr>
          <w:rFonts w:ascii="Times New Roman" w:hAnsi="Times New Roman" w:cs="Times New Roman"/>
        </w:rPr>
        <w:t xml:space="preserve"> </w:t>
      </w:r>
      <w:proofErr w:type="spellStart"/>
      <w:r w:rsidRPr="00DB5EA2">
        <w:rPr>
          <w:rFonts w:ascii="Times New Roman" w:hAnsi="Times New Roman" w:cs="Times New Roman"/>
        </w:rPr>
        <w:t>Barelli</w:t>
      </w:r>
      <w:proofErr w:type="spellEnd"/>
      <w:r>
        <w:rPr>
          <w:rFonts w:ascii="Times New Roman" w:hAnsi="Times New Roman" w:cs="Times New Roman"/>
        </w:rPr>
        <w:t>,</w:t>
      </w:r>
      <w:r w:rsidRPr="00DB5EA2">
        <w:rPr>
          <w:rFonts w:ascii="Times New Roman" w:hAnsi="Times New Roman" w:cs="Times New Roman"/>
        </w:rPr>
        <w:t xml:space="preserve"> </w:t>
      </w:r>
      <w:r w:rsidRPr="00DC084C">
        <w:rPr>
          <w:rFonts w:ascii="Times New Roman" w:hAnsi="Times New Roman" w:cs="Times New Roman"/>
          <w:i/>
        </w:rPr>
        <w:t>supra</w:t>
      </w:r>
      <w:r>
        <w:rPr>
          <w:rFonts w:ascii="Times New Roman" w:hAnsi="Times New Roman" w:cs="Times New Roman"/>
        </w:rPr>
        <w:t xml:space="preserve"> note 28, p.</w:t>
      </w:r>
      <w:r w:rsidRPr="00DB5EA2">
        <w:rPr>
          <w:rFonts w:ascii="Times New Roman" w:hAnsi="Times New Roman" w:cs="Times New Roman"/>
        </w:rPr>
        <w:t xml:space="preserve"> 3.</w:t>
      </w:r>
    </w:p>
  </w:footnote>
  <w:footnote w:id="54">
    <w:p w14:paraId="5C258BE1" w14:textId="34E08791"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w:t>
      </w:r>
      <w:r w:rsidRPr="007C3AB4">
        <w:rPr>
          <w:rFonts w:ascii="Times New Roman" w:hAnsi="Times New Roman" w:cs="Times New Roman"/>
        </w:rPr>
        <w:t xml:space="preserve">P.M. </w:t>
      </w:r>
      <w:proofErr w:type="spellStart"/>
      <w:r w:rsidRPr="007C3AB4">
        <w:rPr>
          <w:rFonts w:ascii="Times New Roman" w:hAnsi="Times New Roman" w:cs="Times New Roman"/>
        </w:rPr>
        <w:t>Dupuy</w:t>
      </w:r>
      <w:proofErr w:type="spellEnd"/>
      <w:r>
        <w:rPr>
          <w:rFonts w:ascii="Times New Roman" w:hAnsi="Times New Roman" w:cs="Times New Roman"/>
        </w:rPr>
        <w:t xml:space="preserve"> and J. Vi</w:t>
      </w:r>
      <w:r w:rsidRPr="007C3AB4">
        <w:rPr>
          <w:rFonts w:ascii="Times New Roman" w:hAnsi="Times New Roman" w:cs="Times New Roman"/>
        </w:rPr>
        <w:t xml:space="preserve">ñuales, </w:t>
      </w:r>
      <w:r w:rsidRPr="007C3AB4">
        <w:rPr>
          <w:rFonts w:ascii="Times New Roman" w:hAnsi="Times New Roman" w:cs="Times New Roman"/>
          <w:i/>
        </w:rPr>
        <w:t>International Environmental Law</w:t>
      </w:r>
      <w:r w:rsidRPr="007C3AB4">
        <w:rPr>
          <w:rFonts w:ascii="Times New Roman" w:hAnsi="Times New Roman" w:cs="Times New Roman"/>
        </w:rPr>
        <w:t xml:space="preserve"> (Cambridge University Press, Cambridge</w:t>
      </w:r>
      <w:r>
        <w:rPr>
          <w:rFonts w:ascii="Times New Roman" w:hAnsi="Times New Roman" w:cs="Times New Roman"/>
        </w:rPr>
        <w:t xml:space="preserve">, </w:t>
      </w:r>
      <w:r w:rsidRPr="007C3AB4">
        <w:rPr>
          <w:rFonts w:ascii="Times New Roman" w:hAnsi="Times New Roman" w:cs="Times New Roman"/>
        </w:rPr>
        <w:t>2015)</w:t>
      </w:r>
      <w:r>
        <w:rPr>
          <w:rFonts w:ascii="Times New Roman" w:hAnsi="Times New Roman" w:cs="Times New Roman"/>
        </w:rPr>
        <w:t xml:space="preserve"> p.</w:t>
      </w:r>
      <w:r w:rsidRPr="007C3AB4">
        <w:rPr>
          <w:rFonts w:ascii="Times New Roman" w:hAnsi="Times New Roman" w:cs="Times New Roman"/>
        </w:rPr>
        <w:t xml:space="preserve"> 67.</w:t>
      </w:r>
    </w:p>
  </w:footnote>
  <w:footnote w:id="55">
    <w:p w14:paraId="27742BDA" w14:textId="24BDA73C"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D. </w:t>
      </w:r>
      <w:proofErr w:type="spellStart"/>
      <w:r w:rsidRPr="007C3AB4">
        <w:rPr>
          <w:rFonts w:ascii="Times New Roman" w:hAnsi="Times New Roman" w:cs="Times New Roman"/>
        </w:rPr>
        <w:t>Lertzman</w:t>
      </w:r>
      <w:proofErr w:type="spellEnd"/>
      <w:r w:rsidRPr="007C3AB4">
        <w:rPr>
          <w:rFonts w:ascii="Times New Roman" w:hAnsi="Times New Roman" w:cs="Times New Roman"/>
        </w:rPr>
        <w:t xml:space="preserve"> and H. </w:t>
      </w:r>
      <w:proofErr w:type="spellStart"/>
      <w:r w:rsidRPr="007C3AB4">
        <w:rPr>
          <w:rFonts w:ascii="Times New Roman" w:hAnsi="Times New Roman" w:cs="Times New Roman"/>
        </w:rPr>
        <w:t>Vredenburg</w:t>
      </w:r>
      <w:proofErr w:type="spellEnd"/>
      <w:r w:rsidRPr="007C3AB4">
        <w:rPr>
          <w:rFonts w:ascii="Times New Roman" w:hAnsi="Times New Roman" w:cs="Times New Roman"/>
        </w:rPr>
        <w:t xml:space="preserve">, ‘Indigenous Peoples, Resource Extraction and Sustainable Development: An Ethical Approach’, 56 (3) </w:t>
      </w:r>
      <w:r w:rsidRPr="007C3AB4">
        <w:rPr>
          <w:rFonts w:ascii="Times New Roman" w:hAnsi="Times New Roman" w:cs="Times New Roman"/>
          <w:i/>
        </w:rPr>
        <w:t>Journal of Business Ethics</w:t>
      </w:r>
      <w:r>
        <w:rPr>
          <w:rFonts w:ascii="Times New Roman" w:hAnsi="Times New Roman" w:cs="Times New Roman"/>
        </w:rPr>
        <w:t xml:space="preserve"> (</w:t>
      </w:r>
      <w:proofErr w:type="gramStart"/>
      <w:r>
        <w:rPr>
          <w:rFonts w:ascii="Times New Roman" w:hAnsi="Times New Roman" w:cs="Times New Roman"/>
        </w:rPr>
        <w:t>2005)</w:t>
      </w:r>
      <w:r w:rsidRPr="007C3AB4">
        <w:rPr>
          <w:rFonts w:ascii="Times New Roman" w:hAnsi="Times New Roman" w:cs="Times New Roman"/>
        </w:rPr>
        <w:t>pp.</w:t>
      </w:r>
      <w:proofErr w:type="gramEnd"/>
      <w:r w:rsidRPr="007C3AB4">
        <w:rPr>
          <w:rFonts w:ascii="Times New Roman" w:hAnsi="Times New Roman" w:cs="Times New Roman"/>
        </w:rPr>
        <w:t xml:space="preserve"> 239-254. </w:t>
      </w:r>
    </w:p>
  </w:footnote>
  <w:footnote w:id="56">
    <w:p w14:paraId="2EC3205D" w14:textId="3A5DFB91"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w:t>
      </w:r>
      <w:proofErr w:type="spellStart"/>
      <w:r w:rsidRPr="007C3AB4">
        <w:rPr>
          <w:rFonts w:ascii="Times New Roman" w:hAnsi="Times New Roman" w:cs="Times New Roman"/>
        </w:rPr>
        <w:t>Dupuy</w:t>
      </w:r>
      <w:proofErr w:type="spellEnd"/>
      <w:r>
        <w:rPr>
          <w:rFonts w:ascii="Times New Roman" w:hAnsi="Times New Roman" w:cs="Times New Roman"/>
        </w:rPr>
        <w:t xml:space="preserve"> and Vi</w:t>
      </w:r>
      <w:r w:rsidRPr="007C3AB4">
        <w:rPr>
          <w:rFonts w:ascii="Times New Roman" w:hAnsi="Times New Roman" w:cs="Times New Roman"/>
        </w:rPr>
        <w:t xml:space="preserve">ñuales, </w:t>
      </w:r>
      <w:r>
        <w:rPr>
          <w:rFonts w:ascii="Times New Roman" w:hAnsi="Times New Roman" w:cs="Times New Roman"/>
          <w:i/>
        </w:rPr>
        <w:t xml:space="preserve">supra </w:t>
      </w:r>
      <w:r>
        <w:rPr>
          <w:rFonts w:ascii="Times New Roman" w:hAnsi="Times New Roman" w:cs="Times New Roman"/>
        </w:rPr>
        <w:t xml:space="preserve">note 54, p. </w:t>
      </w:r>
      <w:r w:rsidRPr="007C3AB4">
        <w:rPr>
          <w:rFonts w:ascii="Times New Roman" w:hAnsi="Times New Roman" w:cs="Times New Roman"/>
        </w:rPr>
        <w:t xml:space="preserve">66. As the authors emphasise, prior informed consent has different meanings in </w:t>
      </w:r>
      <w:r>
        <w:rPr>
          <w:rFonts w:ascii="Times New Roman" w:hAnsi="Times New Roman" w:cs="Times New Roman"/>
        </w:rPr>
        <w:t>IEL</w:t>
      </w:r>
      <w:r w:rsidRPr="007C3AB4">
        <w:rPr>
          <w:rFonts w:ascii="Times New Roman" w:hAnsi="Times New Roman" w:cs="Times New Roman"/>
        </w:rPr>
        <w:t>.</w:t>
      </w:r>
    </w:p>
  </w:footnote>
  <w:footnote w:id="57">
    <w:p w14:paraId="0EBD6548" w14:textId="16F37D22" w:rsidR="00DE3CB2" w:rsidRPr="007C3AB4" w:rsidRDefault="00DE3CB2" w:rsidP="00B9033F">
      <w:pPr>
        <w:pStyle w:val="FootnoteText"/>
        <w:jc w:val="both"/>
        <w:rPr>
          <w:rFonts w:ascii="Times New Roman" w:hAnsi="Times New Roman" w:cs="Times New Roman"/>
        </w:rPr>
      </w:pPr>
      <w:r w:rsidRPr="00C90791">
        <w:rPr>
          <w:rStyle w:val="FootnoteReference"/>
          <w:rFonts w:ascii="Times New Roman" w:hAnsi="Times New Roman" w:cs="Times New Roman"/>
        </w:rPr>
        <w:footnoteRef/>
      </w:r>
      <w:r w:rsidRPr="00C90791">
        <w:rPr>
          <w:rFonts w:ascii="Times New Roman" w:hAnsi="Times New Roman" w:cs="Times New Roman"/>
        </w:rPr>
        <w:t xml:space="preserve"> T. Ward, ‘The Right to Free, Prior, and Informed Consent: Indigenous Peoples' Participation Rights</w:t>
      </w:r>
      <w:r>
        <w:rPr>
          <w:rFonts w:ascii="Times New Roman" w:hAnsi="Times New Roman" w:cs="Times New Roman"/>
        </w:rPr>
        <w:t xml:space="preserve"> within International Law’, 10:2</w:t>
      </w:r>
      <w:r w:rsidRPr="00C90791">
        <w:rPr>
          <w:rFonts w:ascii="Times New Roman" w:hAnsi="Times New Roman" w:cs="Times New Roman"/>
        </w:rPr>
        <w:t xml:space="preserve"> </w:t>
      </w:r>
      <w:r w:rsidRPr="00C90791">
        <w:rPr>
          <w:rFonts w:ascii="Times New Roman" w:hAnsi="Times New Roman" w:cs="Times New Roman"/>
          <w:i/>
        </w:rPr>
        <w:t xml:space="preserve">Nw. J. Int'l Hum. </w:t>
      </w:r>
      <w:proofErr w:type="spellStart"/>
      <w:r w:rsidRPr="00C90791">
        <w:rPr>
          <w:rFonts w:ascii="Times New Roman" w:hAnsi="Times New Roman" w:cs="Times New Roman"/>
          <w:i/>
        </w:rPr>
        <w:t>Rts</w:t>
      </w:r>
      <w:proofErr w:type="spellEnd"/>
      <w:r w:rsidRPr="00C90791">
        <w:rPr>
          <w:rFonts w:ascii="Times New Roman" w:hAnsi="Times New Roman" w:cs="Times New Roman"/>
          <w:i/>
        </w:rPr>
        <w:t>.</w:t>
      </w:r>
      <w:r>
        <w:rPr>
          <w:rFonts w:ascii="Times New Roman" w:hAnsi="Times New Roman" w:cs="Times New Roman"/>
        </w:rPr>
        <w:t xml:space="preserve"> (2011)</w:t>
      </w:r>
      <w:r w:rsidRPr="00C90791">
        <w:rPr>
          <w:rFonts w:ascii="Times New Roman" w:hAnsi="Times New Roman" w:cs="Times New Roman"/>
        </w:rPr>
        <w:t xml:space="preserve"> pp. 54-84.</w:t>
      </w:r>
    </w:p>
  </w:footnote>
  <w:footnote w:id="58">
    <w:p w14:paraId="12E3384D" w14:textId="64269274"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The Cartagena Protocol on Biosafety to the Convent</w:t>
      </w:r>
      <w:r>
        <w:rPr>
          <w:rFonts w:ascii="Times New Roman" w:hAnsi="Times New Roman" w:cs="Times New Roman"/>
        </w:rPr>
        <w:t xml:space="preserve">ion on Biological Diversity, </w:t>
      </w:r>
      <w:r w:rsidRPr="007C3AB4">
        <w:rPr>
          <w:rFonts w:ascii="Times New Roman" w:hAnsi="Times New Roman" w:cs="Times New Roman"/>
        </w:rPr>
        <w:t>adopted on 29 January 2000</w:t>
      </w:r>
      <w:r>
        <w:rPr>
          <w:rFonts w:ascii="Times New Roman" w:hAnsi="Times New Roman" w:cs="Times New Roman"/>
        </w:rPr>
        <w:t xml:space="preserve">, entry into force </w:t>
      </w:r>
      <w:r w:rsidRPr="007C3AB4">
        <w:rPr>
          <w:rFonts w:ascii="Times New Roman" w:hAnsi="Times New Roman" w:cs="Times New Roman"/>
        </w:rPr>
        <w:t>11 September 2003.</w:t>
      </w:r>
    </w:p>
  </w:footnote>
  <w:footnote w:id="59">
    <w:p w14:paraId="331B3744" w14:textId="7777777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Human Rights Council, Report of the Special Rapporteur on the rights of indigenous peoples, James Anaya: Extractive industries and indigenous peoples, UN Doc. A/ HRC/24/41 (1 July 2013), para. 32.</w:t>
      </w:r>
    </w:p>
  </w:footnote>
  <w:footnote w:id="60">
    <w:p w14:paraId="3A417EBA" w14:textId="1106992A" w:rsidR="00DE3CB2" w:rsidRPr="007C3AB4" w:rsidRDefault="00DE3CB2" w:rsidP="00B9033F">
      <w:pPr>
        <w:pStyle w:val="FootnoteText"/>
        <w:jc w:val="both"/>
        <w:rPr>
          <w:rFonts w:ascii="Times New Roman" w:hAnsi="Times New Roman" w:cs="Times New Roman"/>
          <w:lang w:val="en-US"/>
        </w:rPr>
      </w:pPr>
      <w:r w:rsidRPr="007C3AB4">
        <w:rPr>
          <w:rStyle w:val="FootnoteReference"/>
          <w:rFonts w:ascii="Times New Roman" w:eastAsia="Times New Roman" w:hAnsi="Times New Roman" w:cs="Times New Roman"/>
          <w:lang w:eastAsia="en-GB"/>
        </w:rPr>
        <w:footnoteRef/>
      </w:r>
      <w:r w:rsidRPr="007C3AB4">
        <w:rPr>
          <w:rStyle w:val="FootnoteReference"/>
          <w:rFonts w:ascii="Times New Roman" w:eastAsia="Times New Roman" w:hAnsi="Times New Roman" w:cs="Times New Roman"/>
          <w:lang w:eastAsia="en-GB"/>
        </w:rPr>
        <w:t xml:space="preserve"> </w:t>
      </w:r>
      <w:r>
        <w:rPr>
          <w:rFonts w:ascii="Times New Roman" w:hAnsi="Times New Roman" w:cs="Times New Roman"/>
          <w:lang w:val="en-US"/>
        </w:rPr>
        <w:t xml:space="preserve">Lea, </w:t>
      </w:r>
      <w:r w:rsidRPr="00DC084C">
        <w:rPr>
          <w:rFonts w:ascii="Times New Roman" w:hAnsi="Times New Roman" w:cs="Times New Roman"/>
          <w:i/>
          <w:lang w:val="en-US"/>
        </w:rPr>
        <w:t>supra</w:t>
      </w:r>
      <w:r>
        <w:rPr>
          <w:rFonts w:ascii="Times New Roman" w:hAnsi="Times New Roman" w:cs="Times New Roman"/>
          <w:lang w:val="en-US"/>
        </w:rPr>
        <w:t xml:space="preserve"> note 45, pp. </w:t>
      </w:r>
      <w:r w:rsidRPr="007C3AB4">
        <w:rPr>
          <w:rFonts w:ascii="Times New Roman" w:hAnsi="Times New Roman" w:cs="Times New Roman"/>
          <w:lang w:val="en-US"/>
        </w:rPr>
        <w:t>31 and 87.</w:t>
      </w:r>
    </w:p>
  </w:footnote>
  <w:footnote w:id="61">
    <w:p w14:paraId="279B6015" w14:textId="7F1755D1" w:rsidR="00DE3CB2" w:rsidRPr="00EB0D24" w:rsidRDefault="00DE3CB2" w:rsidP="00B9033F">
      <w:pPr>
        <w:pStyle w:val="FootnoteText"/>
        <w:jc w:val="both"/>
        <w:rPr>
          <w:rFonts w:ascii="Times New Roman" w:hAnsi="Times New Roman" w:cs="Times New Roman"/>
        </w:rPr>
      </w:pPr>
      <w:r w:rsidRPr="00EB0D24">
        <w:rPr>
          <w:rStyle w:val="FootnoteReference"/>
          <w:rFonts w:ascii="Times New Roman" w:hAnsi="Times New Roman" w:cs="Times New Roman"/>
        </w:rPr>
        <w:footnoteRef/>
      </w:r>
      <w:r w:rsidRPr="00EB0D24">
        <w:rPr>
          <w:rFonts w:ascii="Times New Roman" w:hAnsi="Times New Roman" w:cs="Times New Roman"/>
        </w:rPr>
        <w:t xml:space="preserve"> UN-REDD, </w:t>
      </w:r>
      <w:r w:rsidRPr="00EB0D24">
        <w:rPr>
          <w:rFonts w:ascii="Times New Roman" w:hAnsi="Times New Roman" w:cs="Times New Roman"/>
          <w:i/>
        </w:rPr>
        <w:t>Programme Guidelines on Free, Prior and Informed Consent</w:t>
      </w:r>
      <w:r w:rsidRPr="00EB0D24">
        <w:rPr>
          <w:rFonts w:ascii="Times New Roman" w:hAnsi="Times New Roman" w:cs="Times New Roman"/>
        </w:rPr>
        <w:t xml:space="preserve"> (2013); United Nations, </w:t>
      </w:r>
      <w:r w:rsidRPr="00EB0D24">
        <w:rPr>
          <w:rFonts w:ascii="Times New Roman" w:hAnsi="Times New Roman" w:cs="Times New Roman"/>
          <w:i/>
        </w:rPr>
        <w:t>Reports of the Working Group on the issue of human rights and transnational corporations and other business enterprises</w:t>
      </w:r>
      <w:r w:rsidRPr="00EB0D24">
        <w:rPr>
          <w:rFonts w:ascii="Times New Roman" w:hAnsi="Times New Roman" w:cs="Times New Roman"/>
        </w:rPr>
        <w:t xml:space="preserve"> (2013).</w:t>
      </w:r>
    </w:p>
  </w:footnote>
  <w:footnote w:id="62">
    <w:p w14:paraId="1C62A13E" w14:textId="1AC56F4F" w:rsidR="00DE3CB2" w:rsidRPr="007C3AB4" w:rsidRDefault="00DE3CB2" w:rsidP="00B9033F">
      <w:pPr>
        <w:pStyle w:val="NormalWeb"/>
        <w:spacing w:before="0" w:beforeAutospacing="0" w:after="0" w:afterAutospacing="0"/>
        <w:jc w:val="both"/>
        <w:rPr>
          <w:rFonts w:eastAsiaTheme="minorHAnsi"/>
          <w:sz w:val="20"/>
          <w:szCs w:val="20"/>
          <w:lang w:val="en-US" w:eastAsia="en-US"/>
        </w:rPr>
      </w:pPr>
      <w:r w:rsidRPr="007C3AB4">
        <w:rPr>
          <w:rStyle w:val="FootnoteReference"/>
          <w:sz w:val="20"/>
          <w:szCs w:val="20"/>
        </w:rPr>
        <w:footnoteRef/>
      </w:r>
      <w:r w:rsidRPr="007C3AB4">
        <w:rPr>
          <w:sz w:val="20"/>
          <w:szCs w:val="20"/>
        </w:rPr>
        <w:t xml:space="preserve"> </w:t>
      </w:r>
      <w:r w:rsidRPr="007C3AB4">
        <w:rPr>
          <w:rFonts w:eastAsiaTheme="minorHAnsi"/>
          <w:sz w:val="20"/>
          <w:szCs w:val="20"/>
          <w:lang w:val="en-US" w:eastAsia="en-US"/>
        </w:rPr>
        <w:t xml:space="preserve">A. </w:t>
      </w:r>
      <w:proofErr w:type="spellStart"/>
      <w:r w:rsidRPr="007C3AB4">
        <w:rPr>
          <w:rFonts w:eastAsiaTheme="minorHAnsi"/>
          <w:sz w:val="20"/>
          <w:szCs w:val="20"/>
          <w:lang w:val="en-US" w:eastAsia="en-US"/>
        </w:rPr>
        <w:t>Ramasastry</w:t>
      </w:r>
      <w:proofErr w:type="spellEnd"/>
      <w:r w:rsidRPr="007C3AB4">
        <w:rPr>
          <w:rFonts w:eastAsiaTheme="minorHAnsi"/>
          <w:sz w:val="20"/>
          <w:szCs w:val="20"/>
          <w:lang w:val="en-US" w:eastAsia="en-US"/>
        </w:rPr>
        <w:t xml:space="preserve"> and D. Cassel, ‘White Paper: Options for a Treaty on Business and Human Rights</w:t>
      </w:r>
      <w:r>
        <w:rPr>
          <w:rFonts w:eastAsiaTheme="minorHAnsi"/>
          <w:sz w:val="20"/>
          <w:szCs w:val="20"/>
          <w:lang w:val="en-US" w:eastAsia="en-US"/>
        </w:rPr>
        <w:t>’, 6:1</w:t>
      </w:r>
      <w:r w:rsidRPr="007C3AB4">
        <w:rPr>
          <w:rFonts w:eastAsiaTheme="minorHAnsi"/>
          <w:sz w:val="20"/>
          <w:szCs w:val="20"/>
          <w:lang w:val="en-US" w:eastAsia="en-US"/>
        </w:rPr>
        <w:t xml:space="preserve"> </w:t>
      </w:r>
      <w:r w:rsidRPr="007C3AB4">
        <w:rPr>
          <w:rFonts w:eastAsiaTheme="minorHAnsi"/>
          <w:i/>
          <w:sz w:val="20"/>
          <w:szCs w:val="20"/>
          <w:lang w:val="en-US" w:eastAsia="en-US"/>
        </w:rPr>
        <w:t>Notre Dame Journal of International &amp; Comparative Law</w:t>
      </w:r>
      <w:r w:rsidRPr="007C3AB4">
        <w:rPr>
          <w:rFonts w:eastAsiaTheme="minorHAnsi"/>
          <w:sz w:val="20"/>
          <w:szCs w:val="20"/>
          <w:lang w:val="en-US" w:eastAsia="en-US"/>
        </w:rPr>
        <w:t xml:space="preserve"> (2016) pp. 1-50.</w:t>
      </w:r>
    </w:p>
  </w:footnote>
  <w:footnote w:id="63">
    <w:p w14:paraId="07B005D2" w14:textId="6A9BBD8E"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Human Rights Council, </w:t>
      </w:r>
      <w:r w:rsidRPr="007C3AB4">
        <w:rPr>
          <w:rFonts w:ascii="Times New Roman" w:hAnsi="Times New Roman" w:cs="Times New Roman"/>
          <w:i/>
        </w:rPr>
        <w:t>Report of the Special Rapporteur on the human rights obligations related to environmentally sound management and disposal of hazardous substances and waste</w:t>
      </w:r>
      <w:r w:rsidRPr="007C3AB4">
        <w:rPr>
          <w:rFonts w:ascii="Times New Roman" w:hAnsi="Times New Roman" w:cs="Times New Roman"/>
        </w:rPr>
        <w:t>, U</w:t>
      </w:r>
      <w:r>
        <w:rPr>
          <w:rFonts w:ascii="Times New Roman" w:hAnsi="Times New Roman" w:cs="Times New Roman"/>
        </w:rPr>
        <w:t>N Doc. A/HRC/21/48 (2 July 2012)</w:t>
      </w:r>
      <w:r w:rsidRPr="007C3AB4">
        <w:rPr>
          <w:rFonts w:ascii="Times New Roman" w:hAnsi="Times New Roman" w:cs="Times New Roman"/>
        </w:rPr>
        <w:t xml:space="preserve"> para. 70(d).</w:t>
      </w:r>
    </w:p>
  </w:footnote>
  <w:footnote w:id="64">
    <w:p w14:paraId="0F1AA829" w14:textId="6AB3115B"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Human Rights Council, </w:t>
      </w:r>
      <w:r w:rsidRPr="007C3AB4">
        <w:rPr>
          <w:rFonts w:ascii="Times New Roman" w:hAnsi="Times New Roman" w:cs="Times New Roman"/>
          <w:i/>
        </w:rPr>
        <w:t>Report of the Special Rapporteur on the rights of indigenous peoples</w:t>
      </w:r>
      <w:r w:rsidRPr="007C3AB4">
        <w:rPr>
          <w:rFonts w:ascii="Times New Roman" w:hAnsi="Times New Roman" w:cs="Times New Roman"/>
        </w:rPr>
        <w:t>, James Anaya, U</w:t>
      </w:r>
      <w:r>
        <w:rPr>
          <w:rFonts w:ascii="Times New Roman" w:hAnsi="Times New Roman" w:cs="Times New Roman"/>
        </w:rPr>
        <w:t xml:space="preserve">N </w:t>
      </w:r>
      <w:proofErr w:type="spellStart"/>
      <w:r>
        <w:rPr>
          <w:rFonts w:ascii="Times New Roman" w:hAnsi="Times New Roman" w:cs="Times New Roman"/>
        </w:rPr>
        <w:t>Doc.A</w:t>
      </w:r>
      <w:proofErr w:type="spellEnd"/>
      <w:r>
        <w:rPr>
          <w:rFonts w:ascii="Times New Roman" w:hAnsi="Times New Roman" w:cs="Times New Roman"/>
        </w:rPr>
        <w:t>/HRC/21/47 (6 July 2012)</w:t>
      </w:r>
      <w:r w:rsidRPr="007C3AB4">
        <w:rPr>
          <w:rFonts w:ascii="Times New Roman" w:hAnsi="Times New Roman" w:cs="Times New Roman"/>
        </w:rPr>
        <w:t xml:space="preserve"> para. 61.</w:t>
      </w:r>
    </w:p>
  </w:footnote>
  <w:footnote w:id="65">
    <w:p w14:paraId="01D5A860" w14:textId="27884C79"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A. K. Lehr and G.A. Smith, </w:t>
      </w:r>
      <w:hyperlink r:id="rId4" w:history="1">
        <w:r w:rsidRPr="007C3AB4">
          <w:rPr>
            <w:rStyle w:val="Hyperlink"/>
            <w:rFonts w:ascii="Times New Roman" w:hAnsi="Times New Roman" w:cs="Times New Roman"/>
            <w:i/>
          </w:rPr>
          <w:t>Implementing a Corporate Free, Prior, and Informed Consent Policy: Benefits and Challenges</w:t>
        </w:r>
      </w:hyperlink>
      <w:r>
        <w:rPr>
          <w:rFonts w:ascii="Times New Roman" w:hAnsi="Times New Roman" w:cs="Times New Roman"/>
        </w:rPr>
        <w:t xml:space="preserve"> </w:t>
      </w:r>
      <w:r w:rsidRPr="007C3AB4">
        <w:rPr>
          <w:rFonts w:ascii="Times New Roman" w:hAnsi="Times New Roman" w:cs="Times New Roman"/>
        </w:rPr>
        <w:t>(</w:t>
      </w:r>
      <w:r>
        <w:rPr>
          <w:rFonts w:ascii="Times New Roman" w:hAnsi="Times New Roman" w:cs="Times New Roman"/>
        </w:rPr>
        <w:t xml:space="preserve">Foley Hoag LLP, </w:t>
      </w:r>
      <w:r w:rsidRPr="007C3AB4">
        <w:rPr>
          <w:rFonts w:ascii="Times New Roman" w:hAnsi="Times New Roman" w:cs="Times New Roman"/>
        </w:rPr>
        <w:t>Boston/Washington,</w:t>
      </w:r>
      <w:r>
        <w:rPr>
          <w:rFonts w:ascii="Times New Roman" w:hAnsi="Times New Roman" w:cs="Times New Roman"/>
        </w:rPr>
        <w:t xml:space="preserve"> D.C., 2010) p.</w:t>
      </w:r>
      <w:r w:rsidRPr="007C3AB4">
        <w:rPr>
          <w:rFonts w:ascii="Times New Roman" w:hAnsi="Times New Roman" w:cs="Times New Roman"/>
        </w:rPr>
        <w:t xml:space="preserve"> 8.</w:t>
      </w:r>
    </w:p>
  </w:footnote>
  <w:footnote w:id="66">
    <w:p w14:paraId="43A9F49F" w14:textId="3DE49810"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Human Rights Council, </w:t>
      </w:r>
      <w:r w:rsidRPr="007C3AB4">
        <w:rPr>
          <w:rFonts w:ascii="Times New Roman" w:hAnsi="Times New Roman" w:cs="Times New Roman"/>
          <w:i/>
        </w:rPr>
        <w:t>Report of the Working Group on the issue of human rights and transnational corporations and other business enterprises</w:t>
      </w:r>
      <w:r w:rsidRPr="007C3AB4">
        <w:rPr>
          <w:rFonts w:ascii="Times New Roman" w:hAnsi="Times New Roman" w:cs="Times New Roman"/>
        </w:rPr>
        <w:t>, UN D</w:t>
      </w:r>
      <w:r>
        <w:rPr>
          <w:rFonts w:ascii="Times New Roman" w:hAnsi="Times New Roman" w:cs="Times New Roman"/>
        </w:rPr>
        <w:t>oc. A/HRC/23/32 (14 March 2013)</w:t>
      </w:r>
      <w:r w:rsidRPr="007C3AB4">
        <w:rPr>
          <w:rFonts w:ascii="Times New Roman" w:hAnsi="Times New Roman" w:cs="Times New Roman"/>
        </w:rPr>
        <w:t xml:space="preserve"> para. 53</w:t>
      </w:r>
    </w:p>
  </w:footnote>
  <w:footnote w:id="67">
    <w:p w14:paraId="54FE29BC" w14:textId="6E463A4B"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ECLAC, </w:t>
      </w:r>
      <w:hyperlink r:id="rId5" w:history="1">
        <w:r w:rsidRPr="007C3AB4">
          <w:rPr>
            <w:rStyle w:val="Hyperlink"/>
            <w:rFonts w:ascii="Times New Roman" w:hAnsi="Times New Roman" w:cs="Times New Roman"/>
            <w:i/>
          </w:rPr>
          <w:t>Guaranteeing indigenous people's rights in Latin America. Progress in the past decade and remaining challenges</w:t>
        </w:r>
      </w:hyperlink>
      <w:r>
        <w:rPr>
          <w:rFonts w:ascii="Times New Roman" w:hAnsi="Times New Roman" w:cs="Times New Roman"/>
        </w:rPr>
        <w:t xml:space="preserve"> (Santiago 2014) p.</w:t>
      </w:r>
      <w:r w:rsidRPr="007C3AB4">
        <w:rPr>
          <w:rFonts w:ascii="Times New Roman" w:hAnsi="Times New Roman" w:cs="Times New Roman"/>
        </w:rPr>
        <w:t xml:space="preserve"> 5.</w:t>
      </w:r>
    </w:p>
  </w:footnote>
  <w:footnote w:id="68">
    <w:p w14:paraId="0ED09347" w14:textId="5AE8E932"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J. </w:t>
      </w:r>
      <w:proofErr w:type="spellStart"/>
      <w:r w:rsidRPr="007C3AB4">
        <w:rPr>
          <w:rFonts w:ascii="Times New Roman" w:hAnsi="Times New Roman" w:cs="Times New Roman"/>
        </w:rPr>
        <w:t>Pauwelyn</w:t>
      </w:r>
      <w:proofErr w:type="spellEnd"/>
      <w:r w:rsidRPr="007C3AB4">
        <w:rPr>
          <w:rFonts w:ascii="Times New Roman" w:hAnsi="Times New Roman" w:cs="Times New Roman"/>
        </w:rPr>
        <w:t>, ‘The Rule of Law without the Rule of Lawyers? Why Investment Arbitrators are from Mars, Trade Adjudicat</w:t>
      </w:r>
      <w:r>
        <w:rPr>
          <w:rFonts w:ascii="Times New Roman" w:hAnsi="Times New Roman" w:cs="Times New Roman"/>
        </w:rPr>
        <w:t xml:space="preserve">ors are from Venus’, 109 </w:t>
      </w:r>
      <w:r w:rsidRPr="00D879D2">
        <w:rPr>
          <w:rFonts w:ascii="Times New Roman" w:hAnsi="Times New Roman" w:cs="Times New Roman"/>
          <w:i/>
        </w:rPr>
        <w:t>A.J.I.L.</w:t>
      </w:r>
      <w:r w:rsidRPr="00D879D2">
        <w:rPr>
          <w:rFonts w:ascii="Times New Roman" w:hAnsi="Times New Roman" w:cs="Times New Roman"/>
        </w:rPr>
        <w:t xml:space="preserve"> </w:t>
      </w:r>
      <w:r>
        <w:rPr>
          <w:rFonts w:ascii="Times New Roman" w:hAnsi="Times New Roman" w:cs="Times New Roman"/>
        </w:rPr>
        <w:t xml:space="preserve">(2015) p. </w:t>
      </w:r>
      <w:r w:rsidRPr="00D879D2">
        <w:rPr>
          <w:rFonts w:ascii="Times New Roman" w:hAnsi="Times New Roman" w:cs="Times New Roman"/>
        </w:rPr>
        <w:t>761</w:t>
      </w:r>
      <w:r>
        <w:rPr>
          <w:rFonts w:ascii="Times New Roman" w:hAnsi="Times New Roman" w:cs="Times New Roman"/>
        </w:rPr>
        <w:t>.</w:t>
      </w:r>
      <w:r w:rsidRPr="00D879D2">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vanish/>
          <w:sz w:val="24"/>
          <w:szCs w:val="24"/>
        </w:rPr>
        <w:t>"ould always have a higher rank’IP.e author  Aarhuss and to foster the participation of stakeholders in the compliance system, l</w:t>
      </w:r>
    </w:p>
  </w:footnote>
  <w:footnote w:id="69">
    <w:p w14:paraId="72AED6C4" w14:textId="3B003D04"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A. </w:t>
      </w:r>
      <w:proofErr w:type="spellStart"/>
      <w:r w:rsidRPr="007C3AB4">
        <w:rPr>
          <w:rFonts w:ascii="Times New Roman" w:hAnsi="Times New Roman" w:cs="Times New Roman"/>
        </w:rPr>
        <w:t>Kulick</w:t>
      </w:r>
      <w:proofErr w:type="spellEnd"/>
      <w:r w:rsidRPr="007C3AB4">
        <w:rPr>
          <w:rFonts w:ascii="Times New Roman" w:hAnsi="Times New Roman" w:cs="Times New Roman"/>
        </w:rPr>
        <w:t xml:space="preserve">, </w:t>
      </w:r>
      <w:r w:rsidRPr="007C3AB4">
        <w:rPr>
          <w:rFonts w:ascii="Times New Roman" w:hAnsi="Times New Roman" w:cs="Times New Roman"/>
          <w:i/>
        </w:rPr>
        <w:t>Global Public Interest in International Investment Law</w:t>
      </w:r>
      <w:r w:rsidRPr="007C3AB4">
        <w:rPr>
          <w:rFonts w:ascii="Times New Roman" w:hAnsi="Times New Roman" w:cs="Times New Roman"/>
        </w:rPr>
        <w:t xml:space="preserve"> (Cambridge Univers</w:t>
      </w:r>
      <w:r>
        <w:rPr>
          <w:rFonts w:ascii="Times New Roman" w:hAnsi="Times New Roman" w:cs="Times New Roman"/>
        </w:rPr>
        <w:t>ity Press, Cambridge, 2013)</w:t>
      </w:r>
      <w:r w:rsidRPr="007C3AB4">
        <w:rPr>
          <w:rFonts w:ascii="Times New Roman" w:hAnsi="Times New Roman" w:cs="Times New Roman"/>
        </w:rPr>
        <w:t xml:space="preserve"> pp. 225-271.</w:t>
      </w:r>
    </w:p>
  </w:footnote>
  <w:footnote w:id="70">
    <w:p w14:paraId="38722473" w14:textId="77777777" w:rsidR="00DE3CB2" w:rsidRPr="002B4818" w:rsidRDefault="00DE3CB2" w:rsidP="00B9033F">
      <w:pPr>
        <w:pStyle w:val="FootnoteText"/>
        <w:jc w:val="both"/>
        <w:rPr>
          <w:rFonts w:ascii="Times New Roman" w:hAnsi="Times New Roman" w:cs="Times New Roman"/>
          <w:b/>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sidRPr="00EA6613">
        <w:rPr>
          <w:rFonts w:ascii="Times New Roman" w:hAnsi="Times New Roman" w:cs="Times New Roman"/>
        </w:rPr>
        <w:t xml:space="preserve">The Expert Mechanism on the Rights of Indigenous Peoples (EMRIP) was established by the Human Rights Council, the UN’s main human rights body, in 2007 under </w:t>
      </w:r>
      <w:hyperlink r:id="rId6" w:history="1">
        <w:r w:rsidRPr="00EA6613">
          <w:rPr>
            <w:rFonts w:ascii="Times New Roman" w:hAnsi="Times New Roman" w:cs="Times New Roman"/>
          </w:rPr>
          <w:t>Resolution 6/36</w:t>
        </w:r>
      </w:hyperlink>
      <w:r w:rsidRPr="00EA6613">
        <w:rPr>
          <w:rFonts w:ascii="Times New Roman" w:hAnsi="Times New Roman" w:cs="Times New Roman"/>
        </w:rPr>
        <w:t xml:space="preserve"> as a subsidiary body of the Council.</w:t>
      </w:r>
    </w:p>
  </w:footnote>
  <w:footnote w:id="71">
    <w:p w14:paraId="2ACABB11" w14:textId="71FAD2C5"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sidRPr="006709D8">
        <w:rPr>
          <w:rFonts w:ascii="Times New Roman" w:hAnsi="Times New Roman" w:cs="Times New Roman"/>
          <w:i/>
        </w:rPr>
        <w:t>See</w:t>
      </w:r>
      <w:r>
        <w:rPr>
          <w:rFonts w:ascii="Times New Roman" w:hAnsi="Times New Roman" w:cs="Times New Roman"/>
        </w:rPr>
        <w:t xml:space="preserve"> Human Rights Council, </w:t>
      </w:r>
      <w:r w:rsidRPr="001E739A">
        <w:rPr>
          <w:rFonts w:ascii="Times New Roman" w:hAnsi="Times New Roman" w:cs="Times New Roman"/>
          <w:i/>
          <w:iCs/>
        </w:rPr>
        <w:t>Report of the Special Rapporteur on the rights of indigenous peoples, James Anaya: Extractive industries and indigenous peoples</w:t>
      </w:r>
      <w:r>
        <w:rPr>
          <w:rFonts w:ascii="Times New Roman" w:hAnsi="Times New Roman" w:cs="Times New Roman"/>
        </w:rPr>
        <w:t xml:space="preserve">, UN Doc. A/ HRC/24/41 (1 July 2013) para. 32. </w:t>
      </w:r>
    </w:p>
  </w:footnote>
  <w:footnote w:id="72">
    <w:p w14:paraId="0DED2460" w14:textId="7777777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6709D8">
        <w:rPr>
          <w:rFonts w:ascii="Times New Roman" w:hAnsi="Times New Roman" w:cs="Times New Roman"/>
          <w:i/>
        </w:rPr>
        <w:t>See</w:t>
      </w:r>
      <w:r w:rsidRPr="007C3AB4">
        <w:rPr>
          <w:rFonts w:ascii="Times New Roman" w:hAnsi="Times New Roman" w:cs="Times New Roman"/>
        </w:rPr>
        <w:t xml:space="preserve"> Human Rights Committee, </w:t>
      </w:r>
      <w:r w:rsidRPr="007C3AB4">
        <w:rPr>
          <w:rFonts w:ascii="Times New Roman" w:hAnsi="Times New Roman" w:cs="Times New Roman"/>
          <w:i/>
        </w:rPr>
        <w:t xml:space="preserve">L.E. </w:t>
      </w:r>
      <w:proofErr w:type="spellStart"/>
      <w:r w:rsidRPr="007C3AB4">
        <w:rPr>
          <w:rFonts w:ascii="Times New Roman" w:hAnsi="Times New Roman" w:cs="Times New Roman"/>
          <w:i/>
        </w:rPr>
        <w:t>Länsmann</w:t>
      </w:r>
      <w:proofErr w:type="spellEnd"/>
      <w:r w:rsidRPr="007C3AB4">
        <w:rPr>
          <w:rFonts w:ascii="Times New Roman" w:hAnsi="Times New Roman" w:cs="Times New Roman"/>
          <w:i/>
        </w:rPr>
        <w:t xml:space="preserve"> </w:t>
      </w:r>
      <w:r w:rsidRPr="00982811">
        <w:rPr>
          <w:rFonts w:ascii="Times New Roman" w:hAnsi="Times New Roman" w:cs="Times New Roman"/>
        </w:rPr>
        <w:t>v.</w:t>
      </w:r>
      <w:r w:rsidRPr="007C3AB4">
        <w:rPr>
          <w:rFonts w:ascii="Times New Roman" w:hAnsi="Times New Roman" w:cs="Times New Roman"/>
          <w:i/>
        </w:rPr>
        <w:t xml:space="preserve"> Finland</w:t>
      </w:r>
      <w:r w:rsidRPr="007C3AB4">
        <w:rPr>
          <w:rFonts w:ascii="Times New Roman" w:hAnsi="Times New Roman" w:cs="Times New Roman"/>
        </w:rPr>
        <w:t xml:space="preserve">, Communication Nº 671/1995, CCPR/C/58/D/671/1995; </w:t>
      </w:r>
      <w:proofErr w:type="spellStart"/>
      <w:r w:rsidRPr="007C3AB4">
        <w:rPr>
          <w:rFonts w:ascii="Times New Roman" w:hAnsi="Times New Roman" w:cs="Times New Roman"/>
          <w:i/>
        </w:rPr>
        <w:t>Ominayak</w:t>
      </w:r>
      <w:proofErr w:type="spellEnd"/>
      <w:r w:rsidRPr="007C3AB4">
        <w:rPr>
          <w:rFonts w:ascii="Times New Roman" w:hAnsi="Times New Roman" w:cs="Times New Roman"/>
          <w:i/>
        </w:rPr>
        <w:t xml:space="preserve"> Chief of the Lubicon Lake Band of Cree </w:t>
      </w:r>
      <w:r w:rsidRPr="00982811">
        <w:rPr>
          <w:rFonts w:ascii="Times New Roman" w:hAnsi="Times New Roman" w:cs="Times New Roman"/>
        </w:rPr>
        <w:t>v.</w:t>
      </w:r>
      <w:r w:rsidRPr="007C3AB4">
        <w:rPr>
          <w:rFonts w:ascii="Times New Roman" w:hAnsi="Times New Roman" w:cs="Times New Roman"/>
          <w:i/>
        </w:rPr>
        <w:t xml:space="preserve"> Canada</w:t>
      </w:r>
      <w:r w:rsidRPr="007C3AB4">
        <w:rPr>
          <w:rFonts w:ascii="Times New Roman" w:hAnsi="Times New Roman" w:cs="Times New Roman"/>
        </w:rPr>
        <w:t>, Communication Nº 167/1984.</w:t>
      </w:r>
    </w:p>
  </w:footnote>
  <w:footnote w:id="73">
    <w:p w14:paraId="5D992D1F" w14:textId="17399AA9" w:rsidR="00DE3CB2" w:rsidRPr="00E52C03" w:rsidRDefault="00DE3CB2" w:rsidP="00B9033F">
      <w:pPr>
        <w:widowControl w:val="0"/>
        <w:autoSpaceDE w:val="0"/>
        <w:autoSpaceDN w:val="0"/>
        <w:adjustRightInd w:val="0"/>
        <w:spacing w:after="0" w:line="240" w:lineRule="auto"/>
        <w:jc w:val="both"/>
        <w:rPr>
          <w:rFonts w:ascii="Times New Roman" w:hAnsi="Times New Roman" w:cs="Times New Roman"/>
          <w:sz w:val="20"/>
          <w:szCs w:val="20"/>
          <w:lang w:val="it-IT"/>
        </w:rPr>
      </w:pPr>
      <w:r w:rsidRPr="007C3AB4">
        <w:rPr>
          <w:rStyle w:val="FootnoteReference"/>
          <w:rFonts w:ascii="Times New Roman" w:hAnsi="Times New Roman" w:cs="Times New Roman"/>
          <w:sz w:val="20"/>
          <w:szCs w:val="20"/>
        </w:rPr>
        <w:footnoteRef/>
      </w:r>
      <w:r>
        <w:rPr>
          <w:rStyle w:val="FootnoteReference"/>
          <w:rFonts w:ascii="Times New Roman" w:hAnsi="Times New Roman" w:cs="Times New Roman"/>
          <w:sz w:val="20"/>
          <w:szCs w:val="20"/>
        </w:rPr>
        <w:t xml:space="preserve"> </w:t>
      </w:r>
      <w:r>
        <w:rPr>
          <w:rFonts w:ascii="Times New Roman" w:hAnsi="Times New Roman" w:cs="Times New Roman"/>
          <w:sz w:val="20"/>
          <w:szCs w:val="20"/>
        </w:rPr>
        <w:t>Human Rights Council</w:t>
      </w:r>
      <w:r w:rsidRPr="007C3AB4">
        <w:rPr>
          <w:rFonts w:ascii="Times New Roman" w:hAnsi="Times New Roman" w:cs="Times New Roman"/>
          <w:sz w:val="20"/>
          <w:szCs w:val="20"/>
        </w:rPr>
        <w:t xml:space="preserve">, </w:t>
      </w:r>
      <w:r w:rsidRPr="001E739A">
        <w:rPr>
          <w:rFonts w:ascii="Times New Roman" w:hAnsi="Times New Roman" w:cs="Times New Roman"/>
          <w:i/>
          <w:sz w:val="20"/>
          <w:szCs w:val="20"/>
        </w:rPr>
        <w:t>CCPR General Comment No. 23: Art.  27 (Rights of Minorities)</w:t>
      </w:r>
      <w:r w:rsidRPr="007C3AB4">
        <w:rPr>
          <w:rFonts w:ascii="Times New Roman" w:hAnsi="Times New Roman" w:cs="Times New Roman"/>
          <w:sz w:val="20"/>
          <w:szCs w:val="20"/>
        </w:rPr>
        <w:t>, 8 Ap</w:t>
      </w:r>
      <w:r>
        <w:rPr>
          <w:rFonts w:ascii="Times New Roman" w:hAnsi="Times New Roman" w:cs="Times New Roman"/>
          <w:sz w:val="20"/>
          <w:szCs w:val="20"/>
        </w:rPr>
        <w:t xml:space="preserve">ril 1994, CCPR/C/21/Rev.1/Add.5, </w:t>
      </w:r>
      <w:r w:rsidRPr="007C3AB4">
        <w:rPr>
          <w:rFonts w:ascii="Times New Roman" w:hAnsi="Times New Roman" w:cs="Times New Roman"/>
          <w:sz w:val="20"/>
          <w:szCs w:val="20"/>
        </w:rPr>
        <w:t>para</w:t>
      </w:r>
      <w:r>
        <w:rPr>
          <w:rFonts w:ascii="Times New Roman" w:hAnsi="Times New Roman" w:cs="Times New Roman"/>
          <w:sz w:val="20"/>
          <w:szCs w:val="20"/>
        </w:rPr>
        <w:t xml:space="preserve">. </w:t>
      </w:r>
      <w:r w:rsidRPr="00E52C03">
        <w:rPr>
          <w:rFonts w:ascii="Times New Roman" w:hAnsi="Times New Roman" w:cs="Times New Roman"/>
          <w:sz w:val="20"/>
          <w:szCs w:val="20"/>
          <w:lang w:val="it-IT"/>
        </w:rPr>
        <w:t>7.</w:t>
      </w:r>
    </w:p>
  </w:footnote>
  <w:footnote w:id="74">
    <w:p w14:paraId="66C1F79F" w14:textId="2920C9E0"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1E739A">
        <w:rPr>
          <w:rFonts w:ascii="Times New Roman" w:hAnsi="Times New Roman" w:cs="Times New Roman"/>
        </w:rPr>
        <w:t xml:space="preserve"> Human Rights Council, Communication No. 1457/2006, </w:t>
      </w:r>
      <w:proofErr w:type="spellStart"/>
      <w:r w:rsidRPr="001E739A">
        <w:rPr>
          <w:rFonts w:ascii="Times New Roman" w:hAnsi="Times New Roman" w:cs="Times New Roman"/>
          <w:i/>
        </w:rPr>
        <w:t>Ángela</w:t>
      </w:r>
      <w:proofErr w:type="spellEnd"/>
      <w:r w:rsidRPr="001E739A">
        <w:rPr>
          <w:rFonts w:ascii="Times New Roman" w:hAnsi="Times New Roman" w:cs="Times New Roman"/>
          <w:i/>
        </w:rPr>
        <w:t xml:space="preserve"> </w:t>
      </w:r>
      <w:proofErr w:type="spellStart"/>
      <w:r w:rsidRPr="001E739A">
        <w:rPr>
          <w:rFonts w:ascii="Times New Roman" w:hAnsi="Times New Roman" w:cs="Times New Roman"/>
          <w:i/>
        </w:rPr>
        <w:t>Poma</w:t>
      </w:r>
      <w:proofErr w:type="spellEnd"/>
      <w:r w:rsidRPr="001E739A">
        <w:rPr>
          <w:rFonts w:ascii="Times New Roman" w:hAnsi="Times New Roman" w:cs="Times New Roman"/>
          <w:i/>
        </w:rPr>
        <w:t xml:space="preserve"> </w:t>
      </w:r>
      <w:proofErr w:type="spellStart"/>
      <w:r w:rsidRPr="001E739A">
        <w:rPr>
          <w:rFonts w:ascii="Times New Roman" w:hAnsi="Times New Roman" w:cs="Times New Roman"/>
          <w:i/>
        </w:rPr>
        <w:t>Poma</w:t>
      </w:r>
      <w:proofErr w:type="spellEnd"/>
      <w:r w:rsidRPr="001E739A">
        <w:rPr>
          <w:rFonts w:ascii="Times New Roman" w:hAnsi="Times New Roman" w:cs="Times New Roman"/>
          <w:i/>
        </w:rPr>
        <w:t xml:space="preserve"> </w:t>
      </w:r>
      <w:r w:rsidRPr="001E739A">
        <w:rPr>
          <w:rFonts w:ascii="Times New Roman" w:hAnsi="Times New Roman" w:cs="Times New Roman"/>
        </w:rPr>
        <w:t>v.</w:t>
      </w:r>
      <w:r w:rsidRPr="001E739A">
        <w:rPr>
          <w:rFonts w:ascii="Times New Roman" w:hAnsi="Times New Roman" w:cs="Times New Roman"/>
          <w:i/>
        </w:rPr>
        <w:t xml:space="preserve"> Peru</w:t>
      </w:r>
      <w:r w:rsidRPr="001E739A">
        <w:rPr>
          <w:rFonts w:ascii="Times New Roman" w:hAnsi="Times New Roman" w:cs="Times New Roman"/>
        </w:rPr>
        <w:t xml:space="preserve">, </w:t>
      </w:r>
      <w:r w:rsidRPr="007C3AB4">
        <w:rPr>
          <w:rFonts w:ascii="Times New Roman" w:hAnsi="Times New Roman" w:cs="Times New Roman"/>
        </w:rPr>
        <w:t>27 March 2009</w:t>
      </w:r>
      <w:r w:rsidRPr="001E739A">
        <w:rPr>
          <w:rFonts w:ascii="Times New Roman" w:hAnsi="Times New Roman" w:cs="Times New Roman"/>
        </w:rPr>
        <w:t xml:space="preserve">U.N. Doc. </w:t>
      </w:r>
      <w:r>
        <w:rPr>
          <w:rFonts w:ascii="Times New Roman" w:hAnsi="Times New Roman" w:cs="Times New Roman"/>
        </w:rPr>
        <w:t>CCPR/C/95/D/1457/2006</w:t>
      </w:r>
      <w:r w:rsidRPr="007C3AB4">
        <w:rPr>
          <w:rFonts w:ascii="Times New Roman" w:hAnsi="Times New Roman" w:cs="Times New Roman"/>
        </w:rPr>
        <w:t>.</w:t>
      </w:r>
      <w:r>
        <w:rPr>
          <w:rFonts w:ascii="Times New Roman" w:hAnsi="Times New Roman" w:cs="Times New Roman"/>
        </w:rPr>
        <w:tab/>
        <w:t xml:space="preserve"> </w:t>
      </w:r>
    </w:p>
  </w:footnote>
  <w:footnote w:id="75">
    <w:p w14:paraId="649DF31A" w14:textId="1D40CA39"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sidRPr="00EA6613">
        <w:rPr>
          <w:rFonts w:ascii="Times New Roman" w:hAnsi="Times New Roman" w:cs="Times New Roman"/>
        </w:rPr>
        <w:t>CESCR</w:t>
      </w:r>
      <w:r>
        <w:rPr>
          <w:rFonts w:ascii="Times New Roman" w:hAnsi="Times New Roman" w:cs="Times New Roman"/>
        </w:rPr>
        <w:t>, General Comment No. 21, 21 December 2009,</w:t>
      </w:r>
      <w:r w:rsidRPr="001E739A">
        <w:rPr>
          <w:rFonts w:ascii="Times New Roman" w:hAnsi="Times New Roman" w:cs="Times New Roman"/>
        </w:rPr>
        <w:t xml:space="preserve"> </w:t>
      </w:r>
      <w:r>
        <w:rPr>
          <w:rFonts w:ascii="Times New Roman" w:hAnsi="Times New Roman" w:cs="Times New Roman"/>
        </w:rPr>
        <w:t>E/C.12/GC/21.</w:t>
      </w:r>
    </w:p>
  </w:footnote>
  <w:footnote w:id="76">
    <w:p w14:paraId="64E5BAB3" w14:textId="64F7F38B"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Pr>
          <w:rFonts w:ascii="Times New Roman" w:hAnsi="Times New Roman" w:cs="Times New Roman"/>
        </w:rPr>
        <w:t xml:space="preserve">CERD, </w:t>
      </w:r>
      <w:r w:rsidRPr="008E5A14">
        <w:rPr>
          <w:rFonts w:ascii="Times New Roman" w:hAnsi="Times New Roman" w:cs="Times New Roman"/>
        </w:rPr>
        <w:t>General Recommendation 23, Rights of indigenous peoples (Fifty-first session, 1997), U.N. Doc. A/52/18, annex V at 122 (1997)</w:t>
      </w:r>
      <w:r>
        <w:rPr>
          <w:rFonts w:ascii="Times New Roman" w:hAnsi="Times New Roman" w:cs="Times New Roman"/>
        </w:rPr>
        <w:t>.</w:t>
      </w:r>
    </w:p>
  </w:footnote>
  <w:footnote w:id="77">
    <w:p w14:paraId="4E2360C3" w14:textId="4B2752C1" w:rsidR="00DE3CB2" w:rsidRPr="00E52C03"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Concluding observations Australia CERD/C/56/Misc.42/rev.3. </w:t>
      </w:r>
      <w:r w:rsidRPr="007C3AB4">
        <w:rPr>
          <w:rFonts w:ascii="Times New Roman" w:hAnsi="Times New Roman" w:cs="Times New Roman"/>
          <w:lang w:val="es-ES"/>
        </w:rPr>
        <w:t>24/03/2000 para</w:t>
      </w:r>
      <w:r>
        <w:rPr>
          <w:rFonts w:ascii="Times New Roman" w:hAnsi="Times New Roman" w:cs="Times New Roman"/>
          <w:lang w:val="es-ES"/>
        </w:rPr>
        <w:t>.</w:t>
      </w:r>
      <w:r w:rsidRPr="007C3AB4">
        <w:rPr>
          <w:rFonts w:ascii="Times New Roman" w:hAnsi="Times New Roman" w:cs="Times New Roman"/>
          <w:lang w:val="es-ES"/>
        </w:rPr>
        <w:t xml:space="preserve"> 9 and </w:t>
      </w:r>
      <w:proofErr w:type="spellStart"/>
      <w:r w:rsidRPr="007C3AB4">
        <w:rPr>
          <w:rFonts w:ascii="Times New Roman" w:hAnsi="Times New Roman" w:cs="Times New Roman"/>
          <w:lang w:val="es-ES"/>
        </w:rPr>
        <w:t>Botswana</w:t>
      </w:r>
      <w:proofErr w:type="spellEnd"/>
      <w:r w:rsidRPr="007C3AB4">
        <w:rPr>
          <w:rFonts w:ascii="Times New Roman" w:hAnsi="Times New Roman" w:cs="Times New Roman"/>
          <w:lang w:val="es-ES"/>
        </w:rPr>
        <w:t xml:space="preserve"> UN </w:t>
      </w:r>
      <w:proofErr w:type="spellStart"/>
      <w:r w:rsidRPr="007C3AB4">
        <w:rPr>
          <w:rFonts w:ascii="Times New Roman" w:hAnsi="Times New Roman" w:cs="Times New Roman"/>
          <w:lang w:val="es-ES"/>
        </w:rPr>
        <w:t>D</w:t>
      </w:r>
      <w:r>
        <w:rPr>
          <w:rFonts w:ascii="Times New Roman" w:hAnsi="Times New Roman" w:cs="Times New Roman"/>
          <w:lang w:val="es-ES"/>
        </w:rPr>
        <w:t>oc.A</w:t>
      </w:r>
      <w:proofErr w:type="spellEnd"/>
      <w:r>
        <w:rPr>
          <w:rFonts w:ascii="Times New Roman" w:hAnsi="Times New Roman" w:cs="Times New Roman"/>
          <w:lang w:val="es-ES"/>
        </w:rPr>
        <w:t xml:space="preserve">/57/18, 23/08/2002, para. </w:t>
      </w:r>
      <w:r w:rsidRPr="00E52C03">
        <w:rPr>
          <w:rFonts w:ascii="Times New Roman" w:hAnsi="Times New Roman" w:cs="Times New Roman"/>
        </w:rPr>
        <w:t>304.</w:t>
      </w:r>
    </w:p>
  </w:footnote>
  <w:footnote w:id="78">
    <w:p w14:paraId="19627A6F" w14:textId="71224CD2"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Pr>
          <w:rFonts w:ascii="Times New Roman" w:hAnsi="Times New Roman" w:cs="Times New Roman"/>
        </w:rPr>
        <w:t xml:space="preserve">CERD, </w:t>
      </w:r>
      <w:r w:rsidRPr="007C3AB4">
        <w:rPr>
          <w:rFonts w:ascii="Times New Roman" w:hAnsi="Times New Roman" w:cs="Times New Roman"/>
        </w:rPr>
        <w:t>Concluding ob</w:t>
      </w:r>
      <w:r>
        <w:rPr>
          <w:rFonts w:ascii="Times New Roman" w:hAnsi="Times New Roman" w:cs="Times New Roman"/>
        </w:rPr>
        <w:t xml:space="preserve">servations (CERD/C/USA/CO/6) </w:t>
      </w:r>
      <w:r w:rsidRPr="007C3AB4">
        <w:rPr>
          <w:rFonts w:ascii="Times New Roman" w:hAnsi="Times New Roman" w:cs="Times New Roman"/>
        </w:rPr>
        <w:t>March 2008.</w:t>
      </w:r>
    </w:p>
  </w:footnote>
  <w:footnote w:id="79">
    <w:p w14:paraId="5864EB95" w14:textId="32EA7D93"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B05D9F">
        <w:rPr>
          <w:rFonts w:ascii="Times New Roman" w:hAnsi="Times New Roman" w:cs="Times New Roman"/>
          <w:i/>
        </w:rPr>
        <w:t>Case 7664 (Nicaragua),</w:t>
      </w:r>
      <w:r w:rsidRPr="007C3AB4">
        <w:rPr>
          <w:rFonts w:ascii="Times New Roman" w:hAnsi="Times New Roman" w:cs="Times New Roman"/>
        </w:rPr>
        <w:t xml:space="preserve"> </w:t>
      </w:r>
      <w:r>
        <w:rPr>
          <w:rFonts w:ascii="Times New Roman" w:hAnsi="Times New Roman" w:cs="Times New Roman"/>
        </w:rPr>
        <w:t>IACHR</w:t>
      </w:r>
      <w:r w:rsidRPr="007C3AB4">
        <w:rPr>
          <w:rFonts w:ascii="Times New Roman" w:hAnsi="Times New Roman" w:cs="Times New Roman"/>
        </w:rPr>
        <w:t>., Report on the Situation of a Segment of the Nicaraguan Population of Miskito Origin, OEA/</w:t>
      </w:r>
      <w:proofErr w:type="spellStart"/>
      <w:r w:rsidRPr="007C3AB4">
        <w:rPr>
          <w:rFonts w:ascii="Times New Roman" w:hAnsi="Times New Roman" w:cs="Times New Roman"/>
        </w:rPr>
        <w:t>Ser.L</w:t>
      </w:r>
      <w:proofErr w:type="spellEnd"/>
      <w:r w:rsidRPr="007C3AB4">
        <w:rPr>
          <w:rFonts w:ascii="Times New Roman" w:hAnsi="Times New Roman" w:cs="Times New Roman"/>
        </w:rPr>
        <w:t>/V/II</w:t>
      </w:r>
      <w:r>
        <w:rPr>
          <w:rFonts w:ascii="Times New Roman" w:hAnsi="Times New Roman" w:cs="Times New Roman"/>
        </w:rPr>
        <w:t xml:space="preserve">.62, doc. 10 rev 3 </w:t>
      </w:r>
      <w:r w:rsidRPr="007C3AB4">
        <w:rPr>
          <w:rFonts w:ascii="Times New Roman" w:hAnsi="Times New Roman" w:cs="Times New Roman"/>
        </w:rPr>
        <w:t>(1983)</w:t>
      </w:r>
      <w:r>
        <w:rPr>
          <w:rFonts w:ascii="Times New Roman" w:hAnsi="Times New Roman" w:cs="Times New Roman"/>
        </w:rPr>
        <w:t xml:space="preserve"> p.</w:t>
      </w:r>
      <w:r w:rsidRPr="007C3AB4">
        <w:rPr>
          <w:rFonts w:ascii="Times New Roman" w:hAnsi="Times New Roman" w:cs="Times New Roman"/>
        </w:rPr>
        <w:t xml:space="preserve"> 76-78, 81; </w:t>
      </w:r>
      <w:r w:rsidRPr="00B05D9F">
        <w:rPr>
          <w:rFonts w:ascii="Times New Roman" w:hAnsi="Times New Roman" w:cs="Times New Roman"/>
          <w:i/>
        </w:rPr>
        <w:t>Case 7615 (Brazil)</w:t>
      </w:r>
      <w:r w:rsidRPr="007C3AB4">
        <w:rPr>
          <w:rFonts w:ascii="Times New Roman" w:hAnsi="Times New Roman" w:cs="Times New Roman"/>
        </w:rPr>
        <w:t xml:space="preserve">, </w:t>
      </w:r>
      <w:r>
        <w:rPr>
          <w:rFonts w:ascii="Times New Roman" w:hAnsi="Times New Roman" w:cs="Times New Roman"/>
        </w:rPr>
        <w:t>IACHR</w:t>
      </w:r>
      <w:r w:rsidRPr="007C3AB4">
        <w:rPr>
          <w:rFonts w:ascii="Times New Roman" w:hAnsi="Times New Roman" w:cs="Times New Roman"/>
        </w:rPr>
        <w:t>, OEA/</w:t>
      </w:r>
      <w:proofErr w:type="spellStart"/>
      <w:r w:rsidRPr="007C3AB4">
        <w:rPr>
          <w:rFonts w:ascii="Times New Roman" w:hAnsi="Times New Roman" w:cs="Times New Roman"/>
        </w:rPr>
        <w:t>Ser.L</w:t>
      </w:r>
      <w:proofErr w:type="spellEnd"/>
      <w:r w:rsidRPr="007C3AB4">
        <w:rPr>
          <w:rFonts w:ascii="Times New Roman" w:hAnsi="Times New Roman" w:cs="Times New Roman"/>
        </w:rPr>
        <w:t>/V.II.66, doc. 10, rev.1, (1985)</w:t>
      </w:r>
      <w:r>
        <w:rPr>
          <w:rFonts w:ascii="Times New Roman" w:hAnsi="Times New Roman" w:cs="Times New Roman"/>
        </w:rPr>
        <w:t xml:space="preserve"> pp.</w:t>
      </w:r>
      <w:r w:rsidRPr="007C3AB4">
        <w:rPr>
          <w:rFonts w:ascii="Times New Roman" w:hAnsi="Times New Roman" w:cs="Times New Roman"/>
        </w:rPr>
        <w:t xml:space="preserve"> 24, 31; IACHR, Report on the Situation of Human Rights in Ecuador, OEA/</w:t>
      </w:r>
      <w:proofErr w:type="spellStart"/>
      <w:r w:rsidRPr="007C3AB4">
        <w:rPr>
          <w:rFonts w:ascii="Times New Roman" w:hAnsi="Times New Roman" w:cs="Times New Roman"/>
        </w:rPr>
        <w:t>Ser.L</w:t>
      </w:r>
      <w:proofErr w:type="spellEnd"/>
      <w:r w:rsidRPr="007C3AB4">
        <w:rPr>
          <w:rFonts w:ascii="Times New Roman" w:hAnsi="Times New Roman" w:cs="Times New Roman"/>
        </w:rPr>
        <w:t>/V/II.96 Doc. 10 rev. 1 (</w:t>
      </w:r>
      <w:r>
        <w:rPr>
          <w:rFonts w:ascii="Times New Roman" w:hAnsi="Times New Roman" w:cs="Times New Roman"/>
        </w:rPr>
        <w:t xml:space="preserve">24 </w:t>
      </w:r>
      <w:r w:rsidRPr="007C3AB4">
        <w:rPr>
          <w:rFonts w:ascii="Times New Roman" w:hAnsi="Times New Roman" w:cs="Times New Roman"/>
        </w:rPr>
        <w:t>April 1997), at 103-4.</w:t>
      </w:r>
    </w:p>
  </w:footnote>
  <w:footnote w:id="80">
    <w:p w14:paraId="6D76F6DC" w14:textId="043EB3C8" w:rsidR="00DE3CB2" w:rsidRPr="007C3AB4" w:rsidRDefault="00DE3CB2" w:rsidP="00B9033F">
      <w:pPr>
        <w:spacing w:after="0" w:line="240" w:lineRule="auto"/>
        <w:jc w:val="both"/>
        <w:rPr>
          <w:rFonts w:ascii="Times New Roman" w:hAnsi="Times New Roman" w:cs="Times New Roman"/>
          <w:sz w:val="20"/>
          <w:szCs w:val="20"/>
        </w:rPr>
      </w:pPr>
      <w:r w:rsidRPr="007C3AB4">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7C3AB4">
        <w:rPr>
          <w:rFonts w:ascii="Times New Roman" w:hAnsi="Times New Roman" w:cs="Times New Roman"/>
          <w:i/>
          <w:sz w:val="20"/>
          <w:szCs w:val="20"/>
        </w:rPr>
        <w:t xml:space="preserve">Maya indigenous community of the Toledo District </w:t>
      </w:r>
      <w:r w:rsidRPr="00982811">
        <w:rPr>
          <w:rFonts w:ascii="Times New Roman" w:hAnsi="Times New Roman" w:cs="Times New Roman"/>
          <w:sz w:val="20"/>
          <w:szCs w:val="20"/>
        </w:rPr>
        <w:t>v.</w:t>
      </w:r>
      <w:r w:rsidRPr="007C3AB4">
        <w:rPr>
          <w:rFonts w:ascii="Times New Roman" w:hAnsi="Times New Roman" w:cs="Times New Roman"/>
          <w:i/>
          <w:sz w:val="20"/>
          <w:szCs w:val="20"/>
        </w:rPr>
        <w:t xml:space="preserve"> Belize</w:t>
      </w:r>
      <w:r w:rsidRPr="007C3AB4">
        <w:rPr>
          <w:rFonts w:ascii="Times New Roman" w:hAnsi="Times New Roman" w:cs="Times New Roman"/>
          <w:sz w:val="20"/>
          <w:szCs w:val="20"/>
        </w:rPr>
        <w:t>, Case 12.053, Petitioners’ application August 7, 1998</w:t>
      </w:r>
      <w:r>
        <w:rPr>
          <w:rFonts w:ascii="Times New Roman" w:hAnsi="Times New Roman" w:cs="Times New Roman"/>
          <w:sz w:val="20"/>
          <w:szCs w:val="20"/>
        </w:rPr>
        <w:t>,</w:t>
      </w:r>
      <w:r w:rsidRPr="00B05D9F">
        <w:rPr>
          <w:rFonts w:ascii="Times New Roman" w:hAnsi="Times New Roman" w:cs="Times New Roman"/>
          <w:sz w:val="20"/>
          <w:szCs w:val="20"/>
        </w:rPr>
        <w:t xml:space="preserve"> </w:t>
      </w:r>
      <w:r w:rsidRPr="007C3AB4">
        <w:rPr>
          <w:rFonts w:ascii="Times New Roman" w:hAnsi="Times New Roman" w:cs="Times New Roman"/>
          <w:sz w:val="20"/>
          <w:szCs w:val="20"/>
        </w:rPr>
        <w:t>IACHR, p. 30, paras. 102-108. The Charter was adopted by the Heads of government of the State members of the Caribbean Community on February 19, 1997.</w:t>
      </w:r>
    </w:p>
  </w:footnote>
  <w:footnote w:id="81">
    <w:p w14:paraId="07E938D5" w14:textId="27760A50" w:rsidR="00DE3CB2" w:rsidRPr="007C3AB4" w:rsidRDefault="00DE3CB2" w:rsidP="00B9033F">
      <w:pPr>
        <w:pStyle w:val="FootnoteText"/>
        <w:jc w:val="both"/>
        <w:rPr>
          <w:rFonts w:ascii="Times New Roman" w:hAnsi="Times New Roman" w:cs="Times New Roman"/>
          <w:lang w:val="en-US"/>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7C3AB4">
        <w:rPr>
          <w:rFonts w:ascii="Times New Roman" w:hAnsi="Times New Roman" w:cs="Times New Roman"/>
          <w:i/>
          <w:vanish/>
          <w:lang w:val="en-US"/>
        </w:rPr>
        <w:t>n Human Ahe African Commission oat ranceremedies available to deal with pollution?cal aspects.erested in Higher Education Associ</w:t>
      </w:r>
      <w:r w:rsidRPr="007C3AB4">
        <w:rPr>
          <w:rFonts w:ascii="Times New Roman" w:hAnsi="Times New Roman" w:cs="Times New Roman"/>
          <w:i/>
          <w:lang w:val="en-US"/>
        </w:rPr>
        <w:t xml:space="preserve">Communities of the </w:t>
      </w:r>
      <w:proofErr w:type="spellStart"/>
      <w:r w:rsidRPr="007C3AB4">
        <w:rPr>
          <w:rFonts w:ascii="Times New Roman" w:hAnsi="Times New Roman" w:cs="Times New Roman"/>
          <w:i/>
          <w:lang w:val="en-US"/>
        </w:rPr>
        <w:t>Sipakepense</w:t>
      </w:r>
      <w:proofErr w:type="spellEnd"/>
      <w:r w:rsidRPr="007C3AB4">
        <w:rPr>
          <w:rFonts w:ascii="Times New Roman" w:hAnsi="Times New Roman" w:cs="Times New Roman"/>
          <w:i/>
          <w:lang w:val="en-US"/>
        </w:rPr>
        <w:t xml:space="preserve"> and Mam Mayan People of the Municipalities of </w:t>
      </w:r>
      <w:proofErr w:type="spellStart"/>
      <w:r w:rsidRPr="007C3AB4">
        <w:rPr>
          <w:rFonts w:ascii="Times New Roman" w:hAnsi="Times New Roman" w:cs="Times New Roman"/>
          <w:i/>
          <w:lang w:val="en-US"/>
        </w:rPr>
        <w:t>Sipacapa</w:t>
      </w:r>
      <w:proofErr w:type="spellEnd"/>
      <w:r w:rsidRPr="007C3AB4">
        <w:rPr>
          <w:rFonts w:ascii="Times New Roman" w:hAnsi="Times New Roman" w:cs="Times New Roman"/>
          <w:i/>
          <w:lang w:val="en-US"/>
        </w:rPr>
        <w:t xml:space="preserve"> and San Miguel </w:t>
      </w:r>
      <w:proofErr w:type="spellStart"/>
      <w:r w:rsidRPr="007C3AB4">
        <w:rPr>
          <w:rFonts w:ascii="Times New Roman" w:hAnsi="Times New Roman" w:cs="Times New Roman"/>
          <w:i/>
          <w:lang w:val="en-US"/>
        </w:rPr>
        <w:t>Ixtahuacán</w:t>
      </w:r>
      <w:proofErr w:type="spellEnd"/>
      <w:r w:rsidRPr="007C3AB4">
        <w:rPr>
          <w:rFonts w:ascii="Times New Roman" w:hAnsi="Times New Roman" w:cs="Times New Roman"/>
          <w:i/>
          <w:lang w:val="en-US"/>
        </w:rPr>
        <w:t xml:space="preserve"> Guatemala</w:t>
      </w:r>
      <w:r>
        <w:rPr>
          <w:rFonts w:ascii="Times New Roman" w:hAnsi="Times New Roman" w:cs="Times New Roman"/>
          <w:lang w:val="en-US"/>
        </w:rPr>
        <w:t xml:space="preserve">, </w:t>
      </w:r>
      <w:r w:rsidRPr="007C3AB4">
        <w:rPr>
          <w:rFonts w:ascii="Times New Roman" w:hAnsi="Times New Roman" w:cs="Times New Roman"/>
          <w:lang w:val="en-US"/>
        </w:rPr>
        <w:t>20</w:t>
      </w:r>
      <w:r>
        <w:rPr>
          <w:rFonts w:ascii="Times New Roman" w:hAnsi="Times New Roman" w:cs="Times New Roman"/>
          <w:lang w:val="en-US"/>
        </w:rPr>
        <w:t xml:space="preserve"> </w:t>
      </w:r>
      <w:r w:rsidRPr="007C3AB4">
        <w:rPr>
          <w:rFonts w:ascii="Times New Roman" w:hAnsi="Times New Roman" w:cs="Times New Roman"/>
          <w:lang w:val="en-US"/>
        </w:rPr>
        <w:t>May</w:t>
      </w:r>
      <w:r>
        <w:rPr>
          <w:rFonts w:ascii="Times New Roman" w:hAnsi="Times New Roman" w:cs="Times New Roman"/>
          <w:lang w:val="en-US"/>
        </w:rPr>
        <w:t xml:space="preserve"> 2010, Precautionary Measures, </w:t>
      </w:r>
      <w:r w:rsidRPr="007C3AB4">
        <w:rPr>
          <w:rFonts w:ascii="Times New Roman" w:hAnsi="Times New Roman" w:cs="Times New Roman"/>
        </w:rPr>
        <w:t>IACHR,</w:t>
      </w:r>
      <w:r>
        <w:rPr>
          <w:rFonts w:ascii="Times New Roman" w:hAnsi="Times New Roman" w:cs="Times New Roman"/>
        </w:rPr>
        <w:t xml:space="preserve"> </w:t>
      </w:r>
      <w:r w:rsidRPr="007C3AB4">
        <w:rPr>
          <w:rFonts w:ascii="Times New Roman" w:hAnsi="Times New Roman" w:cs="Times New Roman"/>
          <w:lang w:val="en-US"/>
        </w:rPr>
        <w:t>Orde</w:t>
      </w:r>
      <w:r>
        <w:rPr>
          <w:rFonts w:ascii="Times New Roman" w:hAnsi="Times New Roman" w:cs="Times New Roman"/>
          <w:lang w:val="en-US"/>
        </w:rPr>
        <w:t xml:space="preserve">r of the </w:t>
      </w:r>
      <w:proofErr w:type="spellStart"/>
      <w:r>
        <w:rPr>
          <w:rFonts w:ascii="Times New Roman" w:hAnsi="Times New Roman" w:cs="Times New Roman"/>
          <w:lang w:val="en-US"/>
        </w:rPr>
        <w:t>Comm’n</w:t>
      </w:r>
      <w:proofErr w:type="spellEnd"/>
      <w:r>
        <w:rPr>
          <w:rFonts w:ascii="Times New Roman" w:hAnsi="Times New Roman" w:cs="Times New Roman"/>
          <w:lang w:val="en-US"/>
        </w:rPr>
        <w:t>, No. PM 260-07</w:t>
      </w:r>
      <w:r w:rsidRPr="007C3AB4">
        <w:rPr>
          <w:rFonts w:ascii="Times New Roman" w:hAnsi="Times New Roman" w:cs="Times New Roman"/>
          <w:lang w:val="en-US"/>
        </w:rPr>
        <w:t xml:space="preserve">.  </w:t>
      </w:r>
    </w:p>
  </w:footnote>
  <w:footnote w:id="82">
    <w:p w14:paraId="1935EDDE" w14:textId="4E861202" w:rsidR="00DE3CB2" w:rsidRPr="007C3AB4" w:rsidRDefault="00DE3CB2" w:rsidP="00B9033F">
      <w:pPr>
        <w:spacing w:after="0" w:line="240" w:lineRule="auto"/>
        <w:jc w:val="both"/>
        <w:rPr>
          <w:rFonts w:ascii="Times New Roman" w:hAnsi="Times New Roman" w:cs="Times New Roman"/>
          <w:sz w:val="20"/>
          <w:szCs w:val="20"/>
          <w:lang w:val="en-US"/>
        </w:rPr>
      </w:pPr>
      <w:r w:rsidRPr="007C3AB4">
        <w:rPr>
          <w:rFonts w:ascii="Times New Roman" w:hAnsi="Times New Roman" w:cs="Times New Roman"/>
          <w:sz w:val="20"/>
          <w:szCs w:val="20"/>
          <w:lang w:val="en-US"/>
        </w:rPr>
        <w:footnoteRef/>
      </w:r>
      <w:r w:rsidRPr="007C3AB4">
        <w:rPr>
          <w:rFonts w:ascii="Times New Roman" w:hAnsi="Times New Roman" w:cs="Times New Roman"/>
          <w:sz w:val="20"/>
          <w:szCs w:val="20"/>
          <w:lang w:val="en-US"/>
        </w:rPr>
        <w:t xml:space="preserve"> </w:t>
      </w:r>
      <w:r w:rsidRPr="007C3AB4">
        <w:rPr>
          <w:rFonts w:ascii="Times New Roman" w:hAnsi="Times New Roman" w:cs="Times New Roman"/>
          <w:i/>
          <w:sz w:val="20"/>
          <w:szCs w:val="20"/>
          <w:lang w:val="en-US"/>
        </w:rPr>
        <w:t xml:space="preserve">Report on Admissibility Communities of the </w:t>
      </w:r>
      <w:proofErr w:type="spellStart"/>
      <w:r w:rsidRPr="007C3AB4">
        <w:rPr>
          <w:rFonts w:ascii="Times New Roman" w:hAnsi="Times New Roman" w:cs="Times New Roman"/>
          <w:i/>
          <w:sz w:val="20"/>
          <w:szCs w:val="20"/>
          <w:lang w:val="en-US"/>
        </w:rPr>
        <w:t>Sipakepense</w:t>
      </w:r>
      <w:proofErr w:type="spellEnd"/>
      <w:r w:rsidRPr="007C3AB4">
        <w:rPr>
          <w:rFonts w:ascii="Times New Roman" w:hAnsi="Times New Roman" w:cs="Times New Roman"/>
          <w:i/>
          <w:sz w:val="20"/>
          <w:szCs w:val="20"/>
          <w:lang w:val="en-US"/>
        </w:rPr>
        <w:t xml:space="preserve"> and Mam Mayan People of The Municipalities of </w:t>
      </w:r>
      <w:proofErr w:type="spellStart"/>
      <w:r w:rsidRPr="007C3AB4">
        <w:rPr>
          <w:rFonts w:ascii="Times New Roman" w:hAnsi="Times New Roman" w:cs="Times New Roman"/>
          <w:i/>
          <w:sz w:val="20"/>
          <w:szCs w:val="20"/>
          <w:lang w:val="en-US"/>
        </w:rPr>
        <w:t>Sipacapa</w:t>
      </w:r>
      <w:proofErr w:type="spellEnd"/>
      <w:r w:rsidRPr="007C3AB4">
        <w:rPr>
          <w:rFonts w:ascii="Times New Roman" w:hAnsi="Times New Roman" w:cs="Times New Roman"/>
          <w:i/>
          <w:sz w:val="20"/>
          <w:szCs w:val="20"/>
          <w:lang w:val="en-US"/>
        </w:rPr>
        <w:t xml:space="preserve"> and San Miguel </w:t>
      </w:r>
      <w:proofErr w:type="spellStart"/>
      <w:r w:rsidRPr="007C3AB4">
        <w:rPr>
          <w:rFonts w:ascii="Times New Roman" w:hAnsi="Times New Roman" w:cs="Times New Roman"/>
          <w:i/>
          <w:sz w:val="20"/>
          <w:szCs w:val="20"/>
          <w:lang w:val="en-US"/>
        </w:rPr>
        <w:t>Ixtahuacán</w:t>
      </w:r>
      <w:proofErr w:type="spellEnd"/>
      <w:r w:rsidRPr="007C3AB4">
        <w:rPr>
          <w:rFonts w:ascii="Times New Roman" w:hAnsi="Times New Roman" w:cs="Times New Roman"/>
          <w:i/>
          <w:sz w:val="20"/>
          <w:szCs w:val="20"/>
          <w:lang w:val="en-US"/>
        </w:rPr>
        <w:t xml:space="preserve"> Guatemala</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3 April 2014, </w:t>
      </w:r>
      <w:r w:rsidRPr="007C3AB4">
        <w:rPr>
          <w:rFonts w:ascii="Times New Roman" w:hAnsi="Times New Roman" w:cs="Times New Roman"/>
          <w:sz w:val="20"/>
          <w:szCs w:val="20"/>
          <w:lang w:val="en-US"/>
        </w:rPr>
        <w:t>IACHR, Rep</w:t>
      </w:r>
      <w:r>
        <w:rPr>
          <w:rFonts w:ascii="Times New Roman" w:hAnsi="Times New Roman" w:cs="Times New Roman"/>
          <w:sz w:val="20"/>
          <w:szCs w:val="20"/>
          <w:lang w:val="en-US"/>
        </w:rPr>
        <w:t>ort No. 20/14, Petition 1566-07</w:t>
      </w:r>
      <w:r w:rsidRPr="007C3AB4">
        <w:rPr>
          <w:rFonts w:ascii="Times New Roman" w:hAnsi="Times New Roman" w:cs="Times New Roman"/>
          <w:sz w:val="20"/>
          <w:szCs w:val="20"/>
          <w:lang w:val="en-US"/>
        </w:rPr>
        <w:t xml:space="preserve">.  </w:t>
      </w:r>
    </w:p>
  </w:footnote>
  <w:footnote w:id="83">
    <w:p w14:paraId="44F310C0" w14:textId="7563021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Pr>
          <w:rFonts w:ascii="Times New Roman" w:hAnsi="Times New Roman" w:cs="Times New Roman"/>
          <w:i/>
        </w:rPr>
        <w:t>I</w:t>
      </w:r>
      <w:r w:rsidRPr="00D879D2">
        <w:rPr>
          <w:rFonts w:ascii="Times New Roman" w:hAnsi="Times New Roman" w:cs="Times New Roman"/>
          <w:i/>
        </w:rPr>
        <w:t>bid</w:t>
      </w:r>
      <w:r w:rsidRPr="007C3AB4">
        <w:rPr>
          <w:rFonts w:ascii="Times New Roman" w:hAnsi="Times New Roman" w:cs="Times New Roman"/>
        </w:rPr>
        <w:t>, para</w:t>
      </w:r>
      <w:r>
        <w:rPr>
          <w:rFonts w:ascii="Times New Roman" w:hAnsi="Times New Roman" w:cs="Times New Roman"/>
        </w:rPr>
        <w:t>.</w:t>
      </w:r>
      <w:r w:rsidRPr="007C3AB4">
        <w:rPr>
          <w:rFonts w:ascii="Times New Roman" w:hAnsi="Times New Roman" w:cs="Times New Roman"/>
        </w:rPr>
        <w:t xml:space="preserve"> 52.</w:t>
      </w:r>
    </w:p>
  </w:footnote>
  <w:footnote w:id="84">
    <w:p w14:paraId="3BD66AF2" w14:textId="49440544"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7C3AB4">
        <w:rPr>
          <w:rFonts w:ascii="Times New Roman" w:hAnsi="Times New Roman" w:cs="Times New Roman"/>
          <w:i/>
          <w:lang w:val="en-US"/>
        </w:rPr>
        <w:t xml:space="preserve">Friendly Settlement, Mercedes Julia </w:t>
      </w:r>
      <w:proofErr w:type="spellStart"/>
      <w:r w:rsidRPr="007C3AB4">
        <w:rPr>
          <w:rFonts w:ascii="Times New Roman" w:hAnsi="Times New Roman" w:cs="Times New Roman"/>
          <w:i/>
          <w:lang w:val="en-US"/>
        </w:rPr>
        <w:t>Huenteao</w:t>
      </w:r>
      <w:proofErr w:type="spellEnd"/>
      <w:r w:rsidRPr="007C3AB4">
        <w:rPr>
          <w:rFonts w:ascii="Times New Roman" w:hAnsi="Times New Roman" w:cs="Times New Roman"/>
          <w:i/>
          <w:lang w:val="en-US"/>
        </w:rPr>
        <w:t xml:space="preserve"> </w:t>
      </w:r>
      <w:proofErr w:type="spellStart"/>
      <w:r w:rsidRPr="007C3AB4">
        <w:rPr>
          <w:rFonts w:ascii="Times New Roman" w:hAnsi="Times New Roman" w:cs="Times New Roman"/>
          <w:i/>
          <w:lang w:val="en-US"/>
        </w:rPr>
        <w:t>Beroiza</w:t>
      </w:r>
      <w:proofErr w:type="spellEnd"/>
      <w:r w:rsidRPr="007C3AB4">
        <w:rPr>
          <w:rFonts w:ascii="Times New Roman" w:hAnsi="Times New Roman" w:cs="Times New Roman"/>
          <w:i/>
          <w:lang w:val="en-US"/>
        </w:rPr>
        <w:t xml:space="preserve"> et al. </w:t>
      </w:r>
      <w:r w:rsidRPr="00982811">
        <w:rPr>
          <w:rFonts w:ascii="Times New Roman" w:hAnsi="Times New Roman" w:cs="Times New Roman"/>
          <w:lang w:val="en-US"/>
        </w:rPr>
        <w:t>v.</w:t>
      </w:r>
      <w:r w:rsidRPr="007C3AB4">
        <w:rPr>
          <w:rFonts w:ascii="Times New Roman" w:hAnsi="Times New Roman" w:cs="Times New Roman"/>
          <w:i/>
          <w:lang w:val="en-US"/>
        </w:rPr>
        <w:t xml:space="preserve"> Chile</w:t>
      </w:r>
      <w:r>
        <w:rPr>
          <w:rFonts w:ascii="Times New Roman" w:hAnsi="Times New Roman" w:cs="Times New Roman"/>
          <w:lang w:val="en-US"/>
        </w:rPr>
        <w:t xml:space="preserve">, </w:t>
      </w:r>
      <w:r w:rsidRPr="007C3AB4">
        <w:rPr>
          <w:rFonts w:ascii="Times New Roman" w:hAnsi="Times New Roman" w:cs="Times New Roman"/>
          <w:lang w:val="en-US"/>
        </w:rPr>
        <w:t xml:space="preserve">11 </w:t>
      </w:r>
      <w:proofErr w:type="gramStart"/>
      <w:r w:rsidRPr="007C3AB4">
        <w:rPr>
          <w:rFonts w:ascii="Times New Roman" w:hAnsi="Times New Roman" w:cs="Times New Roman"/>
          <w:lang w:val="en-US"/>
        </w:rPr>
        <w:t>March,</w:t>
      </w:r>
      <w:proofErr w:type="gramEnd"/>
      <w:r w:rsidRPr="007C3AB4">
        <w:rPr>
          <w:rFonts w:ascii="Times New Roman" w:hAnsi="Times New Roman" w:cs="Times New Roman"/>
          <w:lang w:val="en-US"/>
        </w:rPr>
        <w:t xml:space="preserve"> 2004</w:t>
      </w:r>
      <w:r>
        <w:rPr>
          <w:rFonts w:ascii="Times New Roman" w:hAnsi="Times New Roman" w:cs="Times New Roman"/>
          <w:lang w:val="en-US"/>
        </w:rPr>
        <w:t xml:space="preserve">, </w:t>
      </w:r>
      <w:r w:rsidRPr="007C3AB4">
        <w:rPr>
          <w:rFonts w:ascii="Times New Roman" w:hAnsi="Times New Roman" w:cs="Times New Roman"/>
          <w:lang w:val="en-US"/>
        </w:rPr>
        <w:t>IACHR,</w:t>
      </w:r>
      <w:r>
        <w:rPr>
          <w:rFonts w:ascii="Times New Roman" w:hAnsi="Times New Roman" w:cs="Times New Roman"/>
          <w:lang w:val="en-US"/>
        </w:rPr>
        <w:t xml:space="preserve"> </w:t>
      </w:r>
      <w:r w:rsidRPr="007C3AB4">
        <w:rPr>
          <w:rFonts w:ascii="Times New Roman" w:hAnsi="Times New Roman" w:cs="Times New Roman"/>
          <w:lang w:val="en-US"/>
        </w:rPr>
        <w:t>Rep</w:t>
      </w:r>
      <w:r>
        <w:rPr>
          <w:rFonts w:ascii="Times New Roman" w:hAnsi="Times New Roman" w:cs="Times New Roman"/>
          <w:lang w:val="en-US"/>
        </w:rPr>
        <w:t>ort n. 30/04, Petition 4617/02.</w:t>
      </w:r>
    </w:p>
  </w:footnote>
  <w:footnote w:id="85">
    <w:p w14:paraId="2BD18D8C" w14:textId="7777777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E52C03">
        <w:rPr>
          <w:rFonts w:ascii="Times New Roman" w:hAnsi="Times New Roman" w:cs="Times New Roman"/>
          <w:i/>
        </w:rPr>
        <w:t>Ibid.</w:t>
      </w:r>
    </w:p>
  </w:footnote>
  <w:footnote w:id="86">
    <w:p w14:paraId="21300037" w14:textId="0D4E29E6"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7C3AB4">
        <w:rPr>
          <w:rFonts w:ascii="Times New Roman" w:hAnsi="Times New Roman" w:cs="Times New Roman"/>
          <w:i/>
        </w:rPr>
        <w:t xml:space="preserve">Maya Indigenous Community of the Toledo District </w:t>
      </w:r>
      <w:r w:rsidRPr="00982811">
        <w:rPr>
          <w:rFonts w:ascii="Times New Roman" w:hAnsi="Times New Roman" w:cs="Times New Roman"/>
        </w:rPr>
        <w:t>v.</w:t>
      </w:r>
      <w:r w:rsidRPr="007C3AB4">
        <w:rPr>
          <w:rFonts w:ascii="Times New Roman" w:hAnsi="Times New Roman" w:cs="Times New Roman"/>
          <w:i/>
        </w:rPr>
        <w:t xml:space="preserve"> Belize</w:t>
      </w:r>
      <w:r w:rsidRPr="007C3AB4">
        <w:rPr>
          <w:rFonts w:ascii="Times New Roman" w:hAnsi="Times New Roman" w:cs="Times New Roman"/>
        </w:rPr>
        <w:t xml:space="preserve">, </w:t>
      </w:r>
      <w:r>
        <w:rPr>
          <w:rFonts w:ascii="Times New Roman" w:hAnsi="Times New Roman" w:cs="Times New Roman"/>
        </w:rPr>
        <w:t xml:space="preserve">12 October 2004, </w:t>
      </w:r>
      <w:r w:rsidRPr="007C3AB4">
        <w:rPr>
          <w:rFonts w:ascii="Times New Roman" w:hAnsi="Times New Roman" w:cs="Times New Roman"/>
        </w:rPr>
        <w:t>IACHR, Case 12.053, Report No. 40/04, Inter-Am. C.H.R., OEA/</w:t>
      </w:r>
      <w:proofErr w:type="spellStart"/>
      <w:r>
        <w:rPr>
          <w:rFonts w:ascii="Times New Roman" w:hAnsi="Times New Roman" w:cs="Times New Roman"/>
        </w:rPr>
        <w:t>Ser.L</w:t>
      </w:r>
      <w:proofErr w:type="spellEnd"/>
      <w:r>
        <w:rPr>
          <w:rFonts w:ascii="Times New Roman" w:hAnsi="Times New Roman" w:cs="Times New Roman"/>
        </w:rPr>
        <w:t>/V/II.122 Doc. 5 rev. 1, para. 727</w:t>
      </w:r>
      <w:r w:rsidRPr="007C3AB4">
        <w:rPr>
          <w:rFonts w:ascii="Times New Roman" w:hAnsi="Times New Roman" w:cs="Times New Roman"/>
        </w:rPr>
        <w:t xml:space="preserve">. </w:t>
      </w:r>
      <w:r w:rsidRPr="006709D8">
        <w:rPr>
          <w:rFonts w:ascii="Times New Roman" w:hAnsi="Times New Roman" w:cs="Times New Roman"/>
          <w:i/>
        </w:rPr>
        <w:t>See</w:t>
      </w:r>
      <w:r w:rsidRPr="007C3AB4">
        <w:rPr>
          <w:rFonts w:ascii="Times New Roman" w:hAnsi="Times New Roman" w:cs="Times New Roman"/>
        </w:rPr>
        <w:t xml:space="preserve"> </w:t>
      </w:r>
      <w:r>
        <w:rPr>
          <w:rFonts w:ascii="Times New Roman" w:hAnsi="Times New Roman" w:cs="Times New Roman"/>
          <w:lang w:val="en-US"/>
        </w:rPr>
        <w:t>Arts.</w:t>
      </w:r>
      <w:r w:rsidRPr="007C3AB4">
        <w:rPr>
          <w:rFonts w:ascii="Times New Roman" w:hAnsi="Times New Roman" w:cs="Times New Roman"/>
          <w:lang w:val="en-US"/>
        </w:rPr>
        <w:t xml:space="preserve"> I, II, III, VI, XI, XVIII, XX and XXIII of the American Convention.</w:t>
      </w:r>
    </w:p>
  </w:footnote>
  <w:footnote w:id="87">
    <w:p w14:paraId="4984F4FA" w14:textId="00A09D12" w:rsidR="00DE3CB2" w:rsidRPr="007C3AB4" w:rsidRDefault="00DE3CB2" w:rsidP="00B9033F">
      <w:pPr>
        <w:spacing w:after="0" w:line="240" w:lineRule="auto"/>
        <w:jc w:val="both"/>
        <w:rPr>
          <w:rFonts w:ascii="Times New Roman" w:hAnsi="Times New Roman" w:cs="Times New Roman"/>
          <w:sz w:val="20"/>
          <w:szCs w:val="20"/>
          <w:lang w:val="es-ES"/>
        </w:rPr>
      </w:pPr>
      <w:r w:rsidRPr="007C3AB4">
        <w:rPr>
          <w:rStyle w:val="FootnoteReference"/>
          <w:rFonts w:ascii="Times New Roman" w:hAnsi="Times New Roman" w:cs="Times New Roman"/>
          <w:sz w:val="20"/>
          <w:szCs w:val="20"/>
        </w:rPr>
        <w:footnoteRef/>
      </w:r>
      <w:r w:rsidRPr="007C3AB4">
        <w:rPr>
          <w:rStyle w:val="FootnoteReference"/>
          <w:rFonts w:ascii="Times New Roman" w:hAnsi="Times New Roman" w:cs="Times New Roman"/>
          <w:sz w:val="20"/>
          <w:szCs w:val="20"/>
          <w:lang w:val="es-ES"/>
        </w:rPr>
        <w:t xml:space="preserve"> </w:t>
      </w:r>
      <w:proofErr w:type="spellStart"/>
      <w:r>
        <w:rPr>
          <w:rFonts w:ascii="Times New Roman" w:hAnsi="Times New Roman" w:cs="Times New Roman"/>
          <w:i/>
          <w:sz w:val="20"/>
          <w:szCs w:val="20"/>
          <w:lang w:val="es-ES"/>
        </w:rPr>
        <w:t>I</w:t>
      </w:r>
      <w:r w:rsidRPr="00D879D2">
        <w:rPr>
          <w:rFonts w:ascii="Times New Roman" w:hAnsi="Times New Roman" w:cs="Times New Roman"/>
          <w:i/>
          <w:sz w:val="20"/>
          <w:szCs w:val="20"/>
          <w:lang w:val="es-ES"/>
        </w:rPr>
        <w:t>bid</w:t>
      </w:r>
      <w:proofErr w:type="spellEnd"/>
      <w:r w:rsidRPr="007C3AB4">
        <w:rPr>
          <w:rFonts w:ascii="Times New Roman" w:hAnsi="Times New Roman" w:cs="Times New Roman"/>
          <w:sz w:val="20"/>
          <w:szCs w:val="20"/>
          <w:lang w:val="es-ES"/>
        </w:rPr>
        <w:t>, para</w:t>
      </w:r>
      <w:r>
        <w:rPr>
          <w:rFonts w:ascii="Times New Roman" w:hAnsi="Times New Roman" w:cs="Times New Roman"/>
          <w:sz w:val="20"/>
          <w:szCs w:val="20"/>
          <w:lang w:val="es-ES"/>
        </w:rPr>
        <w:t>.</w:t>
      </w:r>
      <w:r w:rsidRPr="007C3AB4">
        <w:rPr>
          <w:rFonts w:ascii="Times New Roman" w:hAnsi="Times New Roman" w:cs="Times New Roman"/>
          <w:sz w:val="20"/>
          <w:szCs w:val="20"/>
          <w:lang w:val="es-ES"/>
        </w:rPr>
        <w:t xml:space="preserve"> 197(1).</w:t>
      </w:r>
    </w:p>
  </w:footnote>
  <w:footnote w:id="88">
    <w:p w14:paraId="67520A84" w14:textId="2F2A8B5C"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lang w:val="es-ES"/>
        </w:rPr>
        <w:t>Sarayaku</w:t>
      </w:r>
      <w:proofErr w:type="spellEnd"/>
      <w:r>
        <w:rPr>
          <w:rFonts w:ascii="Times New Roman" w:hAnsi="Times New Roman" w:cs="Times New Roman"/>
          <w:lang w:val="es-ES"/>
        </w:rPr>
        <w:t xml:space="preserve">, </w:t>
      </w:r>
      <w:r w:rsidRPr="00D879D2">
        <w:rPr>
          <w:rFonts w:ascii="Times New Roman" w:hAnsi="Times New Roman" w:cs="Times New Roman"/>
          <w:i/>
          <w:lang w:val="es-ES"/>
        </w:rPr>
        <w:t>supra</w:t>
      </w:r>
      <w:r>
        <w:rPr>
          <w:rFonts w:ascii="Times New Roman" w:hAnsi="Times New Roman" w:cs="Times New Roman"/>
          <w:lang w:val="es-ES"/>
        </w:rPr>
        <w:t xml:space="preserve"> note 27, para. 112</w:t>
      </w:r>
      <w:r w:rsidRPr="007C3AB4">
        <w:rPr>
          <w:rFonts w:ascii="Times New Roman" w:hAnsi="Times New Roman" w:cs="Times New Roman"/>
          <w:lang w:val="es-ES"/>
        </w:rPr>
        <w:t>.</w:t>
      </w:r>
    </w:p>
  </w:footnote>
  <w:footnote w:id="89">
    <w:p w14:paraId="0CB7011A" w14:textId="77777777"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lang w:val="es-ES"/>
        </w:rPr>
        <w:t xml:space="preserve"> </w:t>
      </w:r>
      <w:r w:rsidRPr="007C3AB4">
        <w:rPr>
          <w:rFonts w:ascii="Times New Roman" w:hAnsi="Times New Roman" w:cs="Times New Roman"/>
          <w:lang w:val="es-ES"/>
        </w:rPr>
        <w:t xml:space="preserve">B. Olmos Giupponi, ‘La protección de los derechos de los afrodescendientes en el espacio euro-latinoamericano’, </w:t>
      </w:r>
      <w:proofErr w:type="gramStart"/>
      <w:r w:rsidRPr="007C3AB4">
        <w:rPr>
          <w:rFonts w:ascii="Times New Roman" w:hAnsi="Times New Roman" w:cs="Times New Roman"/>
          <w:lang w:val="es-ES"/>
        </w:rPr>
        <w:t>1:I</w:t>
      </w:r>
      <w:proofErr w:type="gramEnd"/>
      <w:r w:rsidRPr="007C3AB4">
        <w:rPr>
          <w:rFonts w:ascii="Times New Roman" w:hAnsi="Times New Roman" w:cs="Times New Roman"/>
          <w:lang w:val="es-ES"/>
        </w:rPr>
        <w:t xml:space="preserve"> </w:t>
      </w:r>
      <w:r w:rsidRPr="007C3AB4">
        <w:rPr>
          <w:rFonts w:ascii="Times New Roman" w:hAnsi="Times New Roman" w:cs="Times New Roman"/>
          <w:i/>
          <w:lang w:val="es-ES"/>
        </w:rPr>
        <w:t>REIB: Revista Electrónica Iberoamericana</w:t>
      </w:r>
      <w:r w:rsidRPr="007C3AB4">
        <w:rPr>
          <w:rFonts w:ascii="Times New Roman" w:hAnsi="Times New Roman" w:cs="Times New Roman"/>
          <w:lang w:val="es-ES"/>
        </w:rPr>
        <w:t xml:space="preserve"> (2007) pp. 75-88. </w:t>
      </w:r>
    </w:p>
  </w:footnote>
  <w:footnote w:id="90">
    <w:p w14:paraId="558C6F5A" w14:textId="3B99A1E6" w:rsidR="00DE3CB2" w:rsidRPr="007625AC" w:rsidRDefault="00DE3CB2" w:rsidP="00B9033F">
      <w:pPr>
        <w:pStyle w:val="FootnoteText"/>
        <w:jc w:val="both"/>
        <w:rPr>
          <w:rFonts w:ascii="Times New Roman" w:hAnsi="Times New Roman" w:cs="Times New Roman"/>
        </w:rPr>
      </w:pPr>
      <w:r w:rsidRPr="007625AC">
        <w:rPr>
          <w:rStyle w:val="FootnoteReference"/>
          <w:rFonts w:ascii="Times New Roman" w:hAnsi="Times New Roman" w:cs="Times New Roman"/>
        </w:rPr>
        <w:footnoteRef/>
      </w:r>
      <w:r w:rsidRPr="007625AC">
        <w:rPr>
          <w:rFonts w:ascii="Times New Roman" w:hAnsi="Times New Roman" w:cs="Times New Roman"/>
        </w:rPr>
        <w:t xml:space="preserve"> </w:t>
      </w:r>
      <w:proofErr w:type="spellStart"/>
      <w:r w:rsidRPr="007C3AB4">
        <w:rPr>
          <w:rFonts w:ascii="Times New Roman" w:hAnsi="Times New Roman" w:cs="Times New Roman"/>
          <w:i/>
        </w:rPr>
        <w:t>Mayagna</w:t>
      </w:r>
      <w:proofErr w:type="spellEnd"/>
      <w:r w:rsidRPr="007C3AB4">
        <w:rPr>
          <w:rFonts w:ascii="Times New Roman" w:hAnsi="Times New Roman" w:cs="Times New Roman"/>
          <w:i/>
        </w:rPr>
        <w:t xml:space="preserve"> (Sumo) </w:t>
      </w:r>
      <w:proofErr w:type="spellStart"/>
      <w:r w:rsidRPr="007C3AB4">
        <w:rPr>
          <w:rFonts w:ascii="Times New Roman" w:hAnsi="Times New Roman" w:cs="Times New Roman"/>
          <w:i/>
        </w:rPr>
        <w:t>Awas</w:t>
      </w:r>
      <w:proofErr w:type="spellEnd"/>
      <w:r w:rsidRPr="007C3AB4">
        <w:rPr>
          <w:rFonts w:ascii="Times New Roman" w:hAnsi="Times New Roman" w:cs="Times New Roman"/>
          <w:i/>
        </w:rPr>
        <w:t xml:space="preserve"> </w:t>
      </w:r>
      <w:proofErr w:type="spellStart"/>
      <w:r w:rsidRPr="007C3AB4">
        <w:rPr>
          <w:rFonts w:ascii="Times New Roman" w:hAnsi="Times New Roman" w:cs="Times New Roman"/>
          <w:i/>
        </w:rPr>
        <w:t>Tingni</w:t>
      </w:r>
      <w:proofErr w:type="spellEnd"/>
      <w:r w:rsidRPr="007C3AB4">
        <w:rPr>
          <w:rFonts w:ascii="Times New Roman" w:hAnsi="Times New Roman" w:cs="Times New Roman"/>
          <w:i/>
        </w:rPr>
        <w:t xml:space="preserve"> Community </w:t>
      </w:r>
      <w:r w:rsidRPr="00982811">
        <w:rPr>
          <w:rFonts w:ascii="Times New Roman" w:hAnsi="Times New Roman" w:cs="Times New Roman"/>
        </w:rPr>
        <w:t>v.</w:t>
      </w:r>
      <w:r w:rsidRPr="007C3AB4">
        <w:rPr>
          <w:rFonts w:ascii="Times New Roman" w:hAnsi="Times New Roman" w:cs="Times New Roman"/>
          <w:i/>
        </w:rPr>
        <w:t xml:space="preserve"> Nicaragua</w:t>
      </w:r>
      <w:r w:rsidRPr="007C3AB4">
        <w:rPr>
          <w:rFonts w:ascii="Times New Roman" w:hAnsi="Times New Roman" w:cs="Times New Roman"/>
        </w:rPr>
        <w:t>, Merits, Reparations</w:t>
      </w:r>
      <w:r>
        <w:rPr>
          <w:rFonts w:ascii="Times New Roman" w:hAnsi="Times New Roman" w:cs="Times New Roman"/>
        </w:rPr>
        <w:t>, and Costs, 31 August</w:t>
      </w:r>
      <w:r w:rsidRPr="007C3AB4">
        <w:rPr>
          <w:rFonts w:ascii="Times New Roman" w:hAnsi="Times New Roman" w:cs="Times New Roman"/>
        </w:rPr>
        <w:t xml:space="preserve"> 2001, I/A Court H.R., </w:t>
      </w:r>
      <w:r>
        <w:rPr>
          <w:rFonts w:ascii="Times New Roman" w:hAnsi="Times New Roman" w:cs="Times New Roman"/>
        </w:rPr>
        <w:t>Judgment,</w:t>
      </w:r>
      <w:r w:rsidRPr="007625AC">
        <w:rPr>
          <w:rFonts w:ascii="Times New Roman" w:hAnsi="Times New Roman" w:cs="Times New Roman"/>
        </w:rPr>
        <w:t xml:space="preserve"> para</w:t>
      </w:r>
      <w:r>
        <w:rPr>
          <w:rFonts w:ascii="Times New Roman" w:hAnsi="Times New Roman" w:cs="Times New Roman"/>
        </w:rPr>
        <w:t>.</w:t>
      </w:r>
      <w:r w:rsidRPr="007625AC">
        <w:rPr>
          <w:rFonts w:ascii="Times New Roman" w:hAnsi="Times New Roman" w:cs="Times New Roman"/>
        </w:rPr>
        <w:t xml:space="preserve"> 146.</w:t>
      </w:r>
    </w:p>
  </w:footnote>
  <w:footnote w:id="91">
    <w:p w14:paraId="28D7EBD1" w14:textId="2E994A5F"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7C3AB4">
        <w:rPr>
          <w:rFonts w:ascii="Times New Roman" w:hAnsi="Times New Roman" w:cs="Times New Roman"/>
        </w:rPr>
        <w:t xml:space="preserve">G. </w:t>
      </w:r>
      <w:proofErr w:type="spellStart"/>
      <w:r w:rsidRPr="007C3AB4">
        <w:rPr>
          <w:rFonts w:ascii="Times New Roman" w:hAnsi="Times New Roman" w:cs="Times New Roman"/>
        </w:rPr>
        <w:t>Citroni</w:t>
      </w:r>
      <w:proofErr w:type="spellEnd"/>
      <w:r w:rsidRPr="007C3AB4">
        <w:rPr>
          <w:rFonts w:ascii="Times New Roman" w:hAnsi="Times New Roman" w:cs="Times New Roman"/>
        </w:rPr>
        <w:t xml:space="preserve"> and K. Quintana Osuna, ‘Reparations for Indigenous Peoples in the Case Law of the Inter-Americ</w:t>
      </w:r>
      <w:r>
        <w:rPr>
          <w:rFonts w:ascii="Times New Roman" w:hAnsi="Times New Roman" w:cs="Times New Roman"/>
        </w:rPr>
        <w:t xml:space="preserve">an Court of Human Rights’ in </w:t>
      </w:r>
      <w:proofErr w:type="spellStart"/>
      <w:r w:rsidRPr="007C3AB4">
        <w:rPr>
          <w:rFonts w:ascii="Times New Roman" w:hAnsi="Times New Roman" w:cs="Times New Roman"/>
        </w:rPr>
        <w:t>Lenzerini</w:t>
      </w:r>
      <w:proofErr w:type="spellEnd"/>
      <w:r>
        <w:rPr>
          <w:rFonts w:ascii="Times New Roman" w:hAnsi="Times New Roman" w:cs="Times New Roman"/>
        </w:rPr>
        <w:t>,</w:t>
      </w:r>
      <w:r w:rsidRPr="007C3AB4">
        <w:rPr>
          <w:rFonts w:ascii="Times New Roman" w:hAnsi="Times New Roman" w:cs="Times New Roman"/>
        </w:rPr>
        <w:t xml:space="preserve"> </w:t>
      </w:r>
      <w:r w:rsidRPr="00D879D2">
        <w:rPr>
          <w:rFonts w:ascii="Times New Roman" w:hAnsi="Times New Roman" w:cs="Times New Roman"/>
          <w:i/>
        </w:rPr>
        <w:t>supra</w:t>
      </w:r>
      <w:r>
        <w:rPr>
          <w:rFonts w:ascii="Times New Roman" w:hAnsi="Times New Roman" w:cs="Times New Roman"/>
        </w:rPr>
        <w:t xml:space="preserve"> note 36, p.</w:t>
      </w:r>
      <w:r w:rsidRPr="007C3AB4">
        <w:rPr>
          <w:rFonts w:ascii="Times New Roman" w:hAnsi="Times New Roman" w:cs="Times New Roman"/>
        </w:rPr>
        <w:t xml:space="preserve"> 319.</w:t>
      </w:r>
    </w:p>
  </w:footnote>
  <w:footnote w:id="92">
    <w:p w14:paraId="3CDB146A" w14:textId="182CD4D6" w:rsidR="00DE3CB2" w:rsidRPr="007C3AB4" w:rsidRDefault="00DE3CB2" w:rsidP="00B9033F">
      <w:pPr>
        <w:spacing w:after="0" w:line="240" w:lineRule="auto"/>
        <w:jc w:val="both"/>
        <w:rPr>
          <w:rFonts w:ascii="Times New Roman" w:hAnsi="Times New Roman" w:cs="Times New Roman"/>
          <w:sz w:val="20"/>
          <w:szCs w:val="20"/>
          <w:lang w:val="en"/>
        </w:rPr>
      </w:pPr>
      <w:r w:rsidRPr="007C3AB4">
        <w:rPr>
          <w:rStyle w:val="FootnoteReference"/>
          <w:rFonts w:ascii="Times New Roman" w:hAnsi="Times New Roman" w:cs="Times New Roman"/>
          <w:sz w:val="20"/>
          <w:szCs w:val="20"/>
        </w:rPr>
        <w:footnoteRef/>
      </w:r>
      <w:r w:rsidRPr="007C3AB4">
        <w:rPr>
          <w:rStyle w:val="FootnoteReference"/>
          <w:rFonts w:ascii="Times New Roman" w:hAnsi="Times New Roman" w:cs="Times New Roman"/>
          <w:sz w:val="20"/>
          <w:szCs w:val="20"/>
        </w:rPr>
        <w:t xml:space="preserve"> </w:t>
      </w:r>
      <w:r w:rsidRPr="004362B3">
        <w:rPr>
          <w:rFonts w:ascii="Times New Roman" w:hAnsi="Times New Roman" w:cs="Times New Roman"/>
          <w:i/>
          <w:sz w:val="20"/>
          <w:szCs w:val="20"/>
        </w:rPr>
        <w:t>See also</w:t>
      </w:r>
      <w:r w:rsidRPr="007C3AB4">
        <w:rPr>
          <w:rFonts w:ascii="Times New Roman" w:hAnsi="Times New Roman" w:cs="Times New Roman"/>
          <w:sz w:val="20"/>
          <w:szCs w:val="20"/>
        </w:rPr>
        <w:t xml:space="preserve"> </w:t>
      </w:r>
      <w:proofErr w:type="spellStart"/>
      <w:r>
        <w:rPr>
          <w:rFonts w:ascii="Times New Roman" w:hAnsi="Times New Roman" w:cs="Times New Roman"/>
          <w:i/>
          <w:sz w:val="20"/>
          <w:szCs w:val="20"/>
        </w:rPr>
        <w:t>Awas</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Tingni</w:t>
      </w:r>
      <w:proofErr w:type="spellEnd"/>
      <w:r>
        <w:rPr>
          <w:rFonts w:ascii="Times New Roman" w:hAnsi="Times New Roman" w:cs="Times New Roman"/>
          <w:iCs/>
          <w:sz w:val="20"/>
          <w:szCs w:val="20"/>
        </w:rPr>
        <w:t>,</w:t>
      </w:r>
      <w:r>
        <w:rPr>
          <w:rFonts w:ascii="Times New Roman" w:hAnsi="Times New Roman" w:cs="Times New Roman"/>
          <w:i/>
          <w:sz w:val="20"/>
          <w:szCs w:val="20"/>
        </w:rPr>
        <w:t xml:space="preserve"> </w:t>
      </w:r>
      <w:r w:rsidRPr="004362B3">
        <w:rPr>
          <w:rFonts w:ascii="Times New Roman" w:hAnsi="Times New Roman" w:cs="Times New Roman"/>
          <w:i/>
          <w:sz w:val="20"/>
          <w:szCs w:val="20"/>
        </w:rPr>
        <w:t>supra</w:t>
      </w:r>
      <w:r>
        <w:rPr>
          <w:rFonts w:ascii="Times New Roman" w:hAnsi="Times New Roman" w:cs="Times New Roman"/>
          <w:sz w:val="20"/>
          <w:szCs w:val="20"/>
        </w:rPr>
        <w:t xml:space="preserve"> note 90, </w:t>
      </w:r>
      <w:r w:rsidRPr="000F2667">
        <w:rPr>
          <w:rFonts w:ascii="Times New Roman" w:hAnsi="Times New Roman" w:cs="Times New Roman"/>
          <w:sz w:val="20"/>
          <w:szCs w:val="20"/>
        </w:rPr>
        <w:t>para</w:t>
      </w:r>
      <w:r>
        <w:rPr>
          <w:rFonts w:ascii="Times New Roman" w:hAnsi="Times New Roman" w:cs="Times New Roman"/>
          <w:sz w:val="20"/>
          <w:szCs w:val="20"/>
        </w:rPr>
        <w:t>.</w:t>
      </w:r>
      <w:r w:rsidRPr="000F2667">
        <w:rPr>
          <w:rFonts w:ascii="Times New Roman" w:hAnsi="Times New Roman" w:cs="Times New Roman"/>
          <w:sz w:val="20"/>
          <w:szCs w:val="20"/>
        </w:rPr>
        <w:t xml:space="preserve"> 149</w:t>
      </w:r>
      <w:r>
        <w:rPr>
          <w:rFonts w:ascii="Times New Roman" w:hAnsi="Times New Roman" w:cs="Times New Roman"/>
          <w:sz w:val="20"/>
          <w:szCs w:val="20"/>
        </w:rPr>
        <w:t xml:space="preserve">; </w:t>
      </w:r>
      <w:r w:rsidRPr="004362B3">
        <w:rPr>
          <w:rFonts w:ascii="Times New Roman" w:hAnsi="Times New Roman" w:cs="Times New Roman"/>
          <w:i/>
          <w:sz w:val="20"/>
          <w:szCs w:val="20"/>
        </w:rPr>
        <w:t xml:space="preserve">Case of the </w:t>
      </w:r>
      <w:proofErr w:type="spellStart"/>
      <w:r w:rsidRPr="004362B3">
        <w:rPr>
          <w:rFonts w:ascii="Times New Roman" w:hAnsi="Times New Roman" w:cs="Times New Roman"/>
          <w:i/>
          <w:sz w:val="20"/>
          <w:szCs w:val="20"/>
        </w:rPr>
        <w:t>Sawhoyamaxa</w:t>
      </w:r>
      <w:proofErr w:type="spellEnd"/>
      <w:r w:rsidRPr="004362B3">
        <w:rPr>
          <w:rFonts w:ascii="Times New Roman" w:hAnsi="Times New Roman" w:cs="Times New Roman"/>
          <w:i/>
          <w:sz w:val="20"/>
          <w:szCs w:val="20"/>
        </w:rPr>
        <w:t xml:space="preserve"> Indigenous Community v. Paraguay, Merits, Reparations, and Costs, </w:t>
      </w:r>
      <w:r w:rsidRPr="004362B3">
        <w:rPr>
          <w:rFonts w:ascii="Times New Roman" w:hAnsi="Times New Roman" w:cs="Times New Roman"/>
          <w:sz w:val="20"/>
          <w:szCs w:val="20"/>
        </w:rPr>
        <w:t>I/A Court H.R.,</w:t>
      </w:r>
      <w:r w:rsidRPr="004362B3">
        <w:rPr>
          <w:rFonts w:ascii="Times New Roman" w:hAnsi="Times New Roman" w:cs="Times New Roman"/>
          <w:i/>
          <w:sz w:val="20"/>
          <w:szCs w:val="20"/>
        </w:rPr>
        <w:t xml:space="preserve"> </w:t>
      </w:r>
      <w:r w:rsidRPr="004362B3">
        <w:rPr>
          <w:rFonts w:ascii="Times New Roman" w:hAnsi="Times New Roman" w:cs="Times New Roman"/>
          <w:sz w:val="20"/>
          <w:szCs w:val="20"/>
        </w:rPr>
        <w:t>29 March 2006</w:t>
      </w:r>
      <w:r w:rsidRPr="004362B3">
        <w:rPr>
          <w:rFonts w:ascii="Times New Roman" w:hAnsi="Times New Roman" w:cs="Times New Roman"/>
          <w:i/>
          <w:sz w:val="20"/>
          <w:szCs w:val="20"/>
        </w:rPr>
        <w:t xml:space="preserve">, </w:t>
      </w:r>
      <w:r w:rsidRPr="004362B3">
        <w:rPr>
          <w:rFonts w:ascii="Times New Roman" w:hAnsi="Times New Roman" w:cs="Times New Roman"/>
          <w:sz w:val="20"/>
          <w:szCs w:val="20"/>
        </w:rPr>
        <w:t>Judgment, Series C No. 146,</w:t>
      </w:r>
      <w:r>
        <w:rPr>
          <w:rFonts w:ascii="Times New Roman" w:hAnsi="Times New Roman" w:cs="Times New Roman"/>
          <w:sz w:val="20"/>
          <w:szCs w:val="20"/>
        </w:rPr>
        <w:t xml:space="preserve"> </w:t>
      </w:r>
      <w:r w:rsidRPr="007C3AB4">
        <w:rPr>
          <w:rFonts w:ascii="Times New Roman" w:hAnsi="Times New Roman" w:cs="Times New Roman"/>
          <w:sz w:val="20"/>
          <w:szCs w:val="20"/>
        </w:rPr>
        <w:t>para</w:t>
      </w:r>
      <w:r>
        <w:rPr>
          <w:rFonts w:ascii="Times New Roman" w:hAnsi="Times New Roman" w:cs="Times New Roman"/>
          <w:sz w:val="20"/>
          <w:szCs w:val="20"/>
        </w:rPr>
        <w:t>.</w:t>
      </w:r>
      <w:r w:rsidRPr="007C3AB4">
        <w:rPr>
          <w:rFonts w:ascii="Times New Roman" w:hAnsi="Times New Roman" w:cs="Times New Roman"/>
          <w:sz w:val="20"/>
          <w:szCs w:val="20"/>
        </w:rPr>
        <w:t xml:space="preserve"> </w:t>
      </w:r>
      <w:r w:rsidRPr="004362B3">
        <w:rPr>
          <w:rFonts w:ascii="Times New Roman" w:hAnsi="Times New Roman" w:cs="Times New Roman"/>
          <w:sz w:val="20"/>
          <w:szCs w:val="20"/>
        </w:rPr>
        <w:t xml:space="preserve">131 and </w:t>
      </w:r>
      <w:proofErr w:type="spellStart"/>
      <w:r w:rsidRPr="004362B3">
        <w:rPr>
          <w:rFonts w:ascii="Times New Roman" w:hAnsi="Times New Roman" w:cs="Times New Roman"/>
          <w:i/>
          <w:sz w:val="20"/>
          <w:szCs w:val="20"/>
        </w:rPr>
        <w:t>Comunidad</w:t>
      </w:r>
      <w:proofErr w:type="spellEnd"/>
      <w:r w:rsidRPr="004362B3">
        <w:rPr>
          <w:rFonts w:ascii="Times New Roman" w:hAnsi="Times New Roman" w:cs="Times New Roman"/>
          <w:i/>
          <w:sz w:val="20"/>
          <w:szCs w:val="20"/>
        </w:rPr>
        <w:t xml:space="preserve"> </w:t>
      </w:r>
      <w:proofErr w:type="spellStart"/>
      <w:r w:rsidRPr="004362B3">
        <w:rPr>
          <w:rFonts w:ascii="Times New Roman" w:hAnsi="Times New Roman" w:cs="Times New Roman"/>
          <w:i/>
          <w:sz w:val="20"/>
          <w:szCs w:val="20"/>
        </w:rPr>
        <w:t>Indígena</w:t>
      </w:r>
      <w:proofErr w:type="spellEnd"/>
      <w:r w:rsidRPr="004362B3">
        <w:rPr>
          <w:rFonts w:ascii="Times New Roman" w:hAnsi="Times New Roman" w:cs="Times New Roman"/>
          <w:i/>
          <w:sz w:val="20"/>
          <w:szCs w:val="20"/>
        </w:rPr>
        <w:t xml:space="preserve"> </w:t>
      </w:r>
      <w:proofErr w:type="spellStart"/>
      <w:r w:rsidRPr="004362B3">
        <w:rPr>
          <w:rFonts w:ascii="Times New Roman" w:hAnsi="Times New Roman" w:cs="Times New Roman"/>
          <w:i/>
          <w:sz w:val="20"/>
          <w:szCs w:val="20"/>
        </w:rPr>
        <w:t>Sarayaku</w:t>
      </w:r>
      <w:proofErr w:type="spellEnd"/>
      <w:r w:rsidRPr="004362B3">
        <w:rPr>
          <w:rFonts w:ascii="Times New Roman" w:hAnsi="Times New Roman" w:cs="Times New Roman"/>
          <w:i/>
          <w:sz w:val="20"/>
          <w:szCs w:val="20"/>
        </w:rPr>
        <w:t xml:space="preserve"> </w:t>
      </w:r>
      <w:r w:rsidRPr="004362B3">
        <w:rPr>
          <w:rFonts w:ascii="Times New Roman" w:hAnsi="Times New Roman" w:cs="Times New Roman"/>
          <w:sz w:val="20"/>
          <w:szCs w:val="20"/>
        </w:rPr>
        <w:t>(Spanish only), 17 June 2005,</w:t>
      </w:r>
      <w:r w:rsidRPr="004362B3">
        <w:rPr>
          <w:rFonts w:ascii="Times New Roman" w:hAnsi="Times New Roman" w:cs="Times New Roman"/>
          <w:i/>
          <w:sz w:val="20"/>
          <w:szCs w:val="20"/>
        </w:rPr>
        <w:t xml:space="preserve"> </w:t>
      </w:r>
      <w:r w:rsidRPr="004362B3">
        <w:rPr>
          <w:rFonts w:ascii="Times New Roman" w:hAnsi="Times New Roman" w:cs="Times New Roman"/>
          <w:sz w:val="20"/>
          <w:szCs w:val="20"/>
        </w:rPr>
        <w:t>I/A Court H.R.,</w:t>
      </w:r>
      <w:r w:rsidRPr="004362B3">
        <w:rPr>
          <w:rFonts w:ascii="Times New Roman" w:hAnsi="Times New Roman" w:cs="Times New Roman"/>
          <w:i/>
          <w:sz w:val="20"/>
          <w:szCs w:val="20"/>
        </w:rPr>
        <w:t xml:space="preserve"> </w:t>
      </w:r>
      <w:r w:rsidRPr="004362B3">
        <w:rPr>
          <w:rFonts w:ascii="Times New Roman" w:hAnsi="Times New Roman" w:cs="Times New Roman"/>
          <w:sz w:val="20"/>
          <w:szCs w:val="20"/>
        </w:rPr>
        <w:t xml:space="preserve">Provisional Measures, para. </w:t>
      </w:r>
      <w:r w:rsidRPr="007C3AB4">
        <w:rPr>
          <w:rFonts w:ascii="Times New Roman" w:hAnsi="Times New Roman" w:cs="Times New Roman"/>
          <w:sz w:val="20"/>
          <w:szCs w:val="20"/>
        </w:rPr>
        <w:t>9.</w:t>
      </w:r>
      <w:r w:rsidRPr="007C3AB4">
        <w:rPr>
          <w:rFonts w:ascii="Times New Roman" w:hAnsi="Times New Roman" w:cs="Times New Roman"/>
          <w:sz w:val="20"/>
          <w:szCs w:val="20"/>
          <w:lang w:val="en"/>
        </w:rPr>
        <w:t xml:space="preserve"> </w:t>
      </w:r>
    </w:p>
  </w:footnote>
  <w:footnote w:id="93">
    <w:p w14:paraId="3BAB0C90" w14:textId="25D16F8A"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proofErr w:type="spellStart"/>
      <w:r w:rsidRPr="007C3AB4">
        <w:rPr>
          <w:rFonts w:ascii="Times New Roman" w:hAnsi="Times New Roman" w:cs="Times New Roman"/>
          <w:i/>
        </w:rPr>
        <w:t>Aloeboetoe</w:t>
      </w:r>
      <w:proofErr w:type="spellEnd"/>
      <w:r w:rsidRPr="007C3AB4">
        <w:rPr>
          <w:rFonts w:ascii="Times New Roman" w:hAnsi="Times New Roman" w:cs="Times New Roman"/>
          <w:i/>
        </w:rPr>
        <w:t xml:space="preserve"> et al </w:t>
      </w:r>
      <w:r w:rsidRPr="00B74C61">
        <w:rPr>
          <w:rFonts w:ascii="Times New Roman" w:hAnsi="Times New Roman" w:cs="Times New Roman"/>
          <w:iCs/>
        </w:rPr>
        <w:t>v.</w:t>
      </w:r>
      <w:r w:rsidRPr="007C3AB4">
        <w:rPr>
          <w:rFonts w:ascii="Times New Roman" w:hAnsi="Times New Roman" w:cs="Times New Roman"/>
          <w:i/>
        </w:rPr>
        <w:t xml:space="preserve"> Suriname</w:t>
      </w:r>
      <w:r w:rsidRPr="007C3AB4">
        <w:rPr>
          <w:rFonts w:ascii="Times New Roman" w:hAnsi="Times New Roman" w:cs="Times New Roman"/>
        </w:rPr>
        <w:t xml:space="preserve">, </w:t>
      </w:r>
      <w:r>
        <w:rPr>
          <w:rFonts w:ascii="Times New Roman" w:hAnsi="Times New Roman" w:cs="Times New Roman"/>
        </w:rPr>
        <w:t xml:space="preserve">4 </w:t>
      </w:r>
      <w:r w:rsidRPr="007C3AB4">
        <w:rPr>
          <w:rFonts w:ascii="Times New Roman" w:hAnsi="Times New Roman" w:cs="Times New Roman"/>
        </w:rPr>
        <w:t>December 1991</w:t>
      </w:r>
      <w:r>
        <w:rPr>
          <w:rFonts w:ascii="Times New Roman" w:hAnsi="Times New Roman" w:cs="Times New Roman"/>
        </w:rPr>
        <w:t xml:space="preserve">, </w:t>
      </w:r>
      <w:r w:rsidRPr="007C3AB4">
        <w:rPr>
          <w:rFonts w:ascii="Times New Roman" w:hAnsi="Times New Roman" w:cs="Times New Roman"/>
        </w:rPr>
        <w:t xml:space="preserve">I/A Court H.R., </w:t>
      </w:r>
      <w:r>
        <w:rPr>
          <w:rFonts w:ascii="Times New Roman" w:hAnsi="Times New Roman" w:cs="Times New Roman"/>
        </w:rPr>
        <w:t>Judgment,</w:t>
      </w:r>
      <w:r w:rsidRPr="007C3AB4">
        <w:rPr>
          <w:rFonts w:ascii="Times New Roman" w:hAnsi="Times New Roman" w:cs="Times New Roman"/>
        </w:rPr>
        <w:t xml:space="preserve"> Series C No. 11, para</w:t>
      </w:r>
      <w:r>
        <w:rPr>
          <w:rFonts w:ascii="Times New Roman" w:hAnsi="Times New Roman" w:cs="Times New Roman"/>
        </w:rPr>
        <w:t>.</w:t>
      </w:r>
      <w:r w:rsidRPr="007C3AB4">
        <w:rPr>
          <w:rFonts w:ascii="Times New Roman" w:hAnsi="Times New Roman" w:cs="Times New Roman"/>
        </w:rPr>
        <w:t xml:space="preserve"> 61.</w:t>
      </w:r>
    </w:p>
  </w:footnote>
  <w:footnote w:id="94">
    <w:p w14:paraId="2C0DB2ED" w14:textId="693E9291" w:rsidR="00DE3CB2" w:rsidRPr="007C3AB4" w:rsidRDefault="00DE3CB2" w:rsidP="00B9033F">
      <w:pPr>
        <w:spacing w:after="0" w:line="240" w:lineRule="auto"/>
        <w:jc w:val="both"/>
        <w:rPr>
          <w:rFonts w:ascii="Times New Roman" w:hAnsi="Times New Roman" w:cs="Times New Roman"/>
          <w:sz w:val="20"/>
          <w:szCs w:val="20"/>
        </w:rPr>
      </w:pPr>
      <w:r w:rsidRPr="004362B3">
        <w:rPr>
          <w:rStyle w:val="FootnoteReference"/>
          <w:rFonts w:ascii="Times New Roman" w:hAnsi="Times New Roman" w:cs="Times New Roman"/>
          <w:sz w:val="20"/>
          <w:szCs w:val="20"/>
        </w:rPr>
        <w:footnoteRef/>
      </w:r>
      <w:r w:rsidRPr="007C3AB4">
        <w:rPr>
          <w:rFonts w:ascii="Times New Roman" w:hAnsi="Times New Roman" w:cs="Times New Roman"/>
          <w:sz w:val="20"/>
          <w:szCs w:val="20"/>
        </w:rPr>
        <w:t xml:space="preserve"> </w:t>
      </w:r>
      <w:proofErr w:type="spellStart"/>
      <w:r w:rsidRPr="007C3AB4">
        <w:rPr>
          <w:rFonts w:ascii="Times New Roman" w:hAnsi="Times New Roman" w:cs="Times New Roman"/>
          <w:i/>
          <w:sz w:val="20"/>
          <w:szCs w:val="20"/>
        </w:rPr>
        <w:t>Saramaka</w:t>
      </w:r>
      <w:proofErr w:type="spellEnd"/>
      <w:r>
        <w:rPr>
          <w:rFonts w:ascii="Times New Roman" w:hAnsi="Times New Roman" w:cs="Times New Roman"/>
          <w:i/>
          <w:sz w:val="20"/>
          <w:szCs w:val="20"/>
        </w:rPr>
        <w:t>,</w:t>
      </w:r>
      <w:r w:rsidRPr="007C3AB4">
        <w:rPr>
          <w:rFonts w:ascii="Times New Roman" w:hAnsi="Times New Roman" w:cs="Times New Roman"/>
          <w:i/>
          <w:sz w:val="20"/>
          <w:szCs w:val="20"/>
        </w:rPr>
        <w:t xml:space="preserve"> </w:t>
      </w:r>
      <w:r>
        <w:rPr>
          <w:rFonts w:ascii="Times New Roman" w:hAnsi="Times New Roman" w:cs="Times New Roman"/>
          <w:i/>
          <w:sz w:val="20"/>
          <w:szCs w:val="20"/>
        </w:rPr>
        <w:t xml:space="preserve">supra </w:t>
      </w:r>
      <w:r>
        <w:rPr>
          <w:rFonts w:ascii="Times New Roman" w:hAnsi="Times New Roman" w:cs="Times New Roman"/>
          <w:sz w:val="20"/>
          <w:szCs w:val="20"/>
        </w:rPr>
        <w:t>note 15</w:t>
      </w:r>
      <w:r w:rsidRPr="007C3AB4">
        <w:rPr>
          <w:rFonts w:ascii="Times New Roman" w:hAnsi="Times New Roman" w:cs="Times New Roman"/>
          <w:sz w:val="20"/>
          <w:szCs w:val="20"/>
        </w:rPr>
        <w:t>, para</w:t>
      </w:r>
      <w:r>
        <w:rPr>
          <w:rFonts w:ascii="Times New Roman" w:hAnsi="Times New Roman" w:cs="Times New Roman"/>
          <w:sz w:val="20"/>
          <w:szCs w:val="20"/>
        </w:rPr>
        <w:t>.</w:t>
      </w:r>
      <w:r w:rsidRPr="007C3AB4">
        <w:rPr>
          <w:rFonts w:ascii="Times New Roman" w:hAnsi="Times New Roman" w:cs="Times New Roman"/>
          <w:sz w:val="20"/>
          <w:szCs w:val="20"/>
        </w:rPr>
        <w:t xml:space="preserve"> 93. L. Brunner, ‘The Rise of Peoples’ Rights in the Americas: The </w:t>
      </w:r>
      <w:proofErr w:type="spellStart"/>
      <w:r w:rsidRPr="007C3AB4">
        <w:rPr>
          <w:rFonts w:ascii="Times New Roman" w:hAnsi="Times New Roman" w:cs="Times New Roman"/>
          <w:sz w:val="20"/>
          <w:szCs w:val="20"/>
        </w:rPr>
        <w:t>Saramaka</w:t>
      </w:r>
      <w:proofErr w:type="spellEnd"/>
      <w:r w:rsidRPr="007C3AB4">
        <w:rPr>
          <w:rFonts w:ascii="Times New Roman" w:hAnsi="Times New Roman" w:cs="Times New Roman"/>
          <w:sz w:val="20"/>
          <w:szCs w:val="20"/>
        </w:rPr>
        <w:t xml:space="preserve"> People Decision of the Inter-American Court of Human Rights’, 7 </w:t>
      </w:r>
      <w:r w:rsidRPr="00D879D2">
        <w:rPr>
          <w:rFonts w:ascii="Times New Roman" w:hAnsi="Times New Roman" w:cs="Times New Roman"/>
          <w:i/>
          <w:sz w:val="20"/>
          <w:szCs w:val="20"/>
        </w:rPr>
        <w:t>Chinese J. Int’l L.</w:t>
      </w:r>
      <w:r w:rsidRPr="007C3AB4">
        <w:rPr>
          <w:rFonts w:ascii="Times New Roman" w:hAnsi="Times New Roman" w:cs="Times New Roman"/>
          <w:sz w:val="20"/>
          <w:szCs w:val="20"/>
        </w:rPr>
        <w:t xml:space="preserve"> 699, 708 (2008) pp. 99-711.</w:t>
      </w:r>
    </w:p>
  </w:footnote>
  <w:footnote w:id="95">
    <w:p w14:paraId="2495F3EF" w14:textId="686F439C" w:rsidR="00DE3CB2" w:rsidRPr="007C3AB4" w:rsidRDefault="00DE3CB2" w:rsidP="00B9033F">
      <w:pPr>
        <w:tabs>
          <w:tab w:val="left" w:pos="7888"/>
        </w:tabs>
        <w:spacing w:after="0" w:line="240" w:lineRule="auto"/>
        <w:jc w:val="both"/>
        <w:rPr>
          <w:rFonts w:ascii="Times New Roman" w:hAnsi="Times New Roman" w:cs="Times New Roman"/>
          <w:sz w:val="20"/>
          <w:szCs w:val="20"/>
        </w:rPr>
      </w:pPr>
      <w:r w:rsidRPr="007C3AB4">
        <w:rPr>
          <w:rStyle w:val="FootnoteReference"/>
          <w:rFonts w:ascii="Times New Roman" w:hAnsi="Times New Roman" w:cs="Times New Roman"/>
          <w:sz w:val="20"/>
          <w:szCs w:val="20"/>
        </w:rPr>
        <w:footnoteRef/>
      </w:r>
      <w:r w:rsidRPr="007C3AB4">
        <w:rPr>
          <w:rStyle w:val="FootnoteReference"/>
          <w:rFonts w:ascii="Times New Roman" w:hAnsi="Times New Roman" w:cs="Times New Roman"/>
          <w:sz w:val="20"/>
          <w:szCs w:val="20"/>
        </w:rPr>
        <w:t xml:space="preserve"> </w:t>
      </w:r>
      <w:proofErr w:type="spellStart"/>
      <w:r w:rsidRPr="007C3AB4">
        <w:rPr>
          <w:rFonts w:ascii="Times New Roman" w:hAnsi="Times New Roman" w:cs="Times New Roman"/>
          <w:i/>
          <w:sz w:val="20"/>
          <w:szCs w:val="20"/>
        </w:rPr>
        <w:t>Yakye</w:t>
      </w:r>
      <w:proofErr w:type="spellEnd"/>
      <w:r w:rsidRPr="007C3AB4">
        <w:rPr>
          <w:rFonts w:ascii="Times New Roman" w:hAnsi="Times New Roman" w:cs="Times New Roman"/>
          <w:i/>
          <w:sz w:val="20"/>
          <w:szCs w:val="20"/>
        </w:rPr>
        <w:t xml:space="preserve"> </w:t>
      </w:r>
      <w:proofErr w:type="spellStart"/>
      <w:r w:rsidRPr="007C3AB4">
        <w:rPr>
          <w:rFonts w:ascii="Times New Roman" w:hAnsi="Times New Roman" w:cs="Times New Roman"/>
          <w:i/>
          <w:sz w:val="20"/>
          <w:szCs w:val="20"/>
        </w:rPr>
        <w:t>Axa</w:t>
      </w:r>
      <w:proofErr w:type="spellEnd"/>
      <w:r w:rsidRPr="007C3AB4">
        <w:rPr>
          <w:rFonts w:ascii="Times New Roman" w:hAnsi="Times New Roman" w:cs="Times New Roman"/>
          <w:i/>
          <w:sz w:val="20"/>
          <w:szCs w:val="20"/>
        </w:rPr>
        <w:t xml:space="preserve"> Indigenous Community </w:t>
      </w:r>
      <w:r w:rsidRPr="00982811">
        <w:rPr>
          <w:rFonts w:ascii="Times New Roman" w:hAnsi="Times New Roman" w:cs="Times New Roman"/>
          <w:sz w:val="20"/>
          <w:szCs w:val="20"/>
        </w:rPr>
        <w:t>v.</w:t>
      </w:r>
      <w:r w:rsidRPr="007C3AB4">
        <w:rPr>
          <w:rFonts w:ascii="Times New Roman" w:hAnsi="Times New Roman" w:cs="Times New Roman"/>
          <w:i/>
          <w:sz w:val="20"/>
          <w:szCs w:val="20"/>
        </w:rPr>
        <w:t xml:space="preserve"> Paraguay</w:t>
      </w:r>
      <w:r w:rsidRPr="007C3AB4">
        <w:rPr>
          <w:rFonts w:ascii="Times New Roman" w:hAnsi="Times New Roman" w:cs="Times New Roman"/>
          <w:sz w:val="20"/>
          <w:szCs w:val="20"/>
        </w:rPr>
        <w:t>, 17 June 2005</w:t>
      </w:r>
      <w:r>
        <w:rPr>
          <w:rFonts w:ascii="Times New Roman" w:hAnsi="Times New Roman" w:cs="Times New Roman"/>
          <w:sz w:val="20"/>
          <w:szCs w:val="20"/>
        </w:rPr>
        <w:t xml:space="preserve">, </w:t>
      </w:r>
      <w:r w:rsidRPr="007C3AB4">
        <w:rPr>
          <w:rFonts w:ascii="Times New Roman" w:hAnsi="Times New Roman" w:cs="Times New Roman"/>
          <w:sz w:val="20"/>
          <w:szCs w:val="20"/>
        </w:rPr>
        <w:t>I/A Court H.R., Judgment, Series C No. 125.</w:t>
      </w:r>
    </w:p>
  </w:footnote>
  <w:footnote w:id="96">
    <w:p w14:paraId="27BBD664" w14:textId="41C78B72" w:rsidR="00DE3CB2" w:rsidRPr="00E52C03" w:rsidRDefault="00DE3CB2" w:rsidP="00B9033F">
      <w:pPr>
        <w:tabs>
          <w:tab w:val="left" w:pos="7888"/>
        </w:tabs>
        <w:spacing w:after="0" w:line="240" w:lineRule="auto"/>
        <w:jc w:val="both"/>
        <w:rPr>
          <w:rFonts w:ascii="Times New Roman" w:hAnsi="Times New Roman" w:cs="Times New Roman"/>
          <w:sz w:val="20"/>
          <w:szCs w:val="20"/>
          <w:lang w:val="es-ES"/>
        </w:rPr>
      </w:pPr>
      <w:r w:rsidRPr="007C3AB4">
        <w:rPr>
          <w:rStyle w:val="FootnoteReference"/>
          <w:rFonts w:ascii="Times New Roman" w:hAnsi="Times New Roman" w:cs="Times New Roman"/>
          <w:sz w:val="20"/>
          <w:szCs w:val="20"/>
        </w:rPr>
        <w:footnoteRef/>
      </w:r>
      <w:r w:rsidRPr="007C3AB4">
        <w:rPr>
          <w:rStyle w:val="FootnoteReference"/>
          <w:rFonts w:ascii="Times New Roman" w:hAnsi="Times New Roman" w:cs="Times New Roman"/>
          <w:sz w:val="20"/>
          <w:szCs w:val="20"/>
        </w:rPr>
        <w:t xml:space="preserve"> </w:t>
      </w:r>
      <w:proofErr w:type="spellStart"/>
      <w:r w:rsidRPr="007C3AB4">
        <w:rPr>
          <w:rFonts w:ascii="Times New Roman" w:hAnsi="Times New Roman" w:cs="Times New Roman"/>
          <w:i/>
          <w:sz w:val="20"/>
          <w:szCs w:val="20"/>
        </w:rPr>
        <w:t>Sawhoyamaxa</w:t>
      </w:r>
      <w:proofErr w:type="spellEnd"/>
      <w:r w:rsidRPr="007C3AB4">
        <w:rPr>
          <w:rFonts w:ascii="Times New Roman" w:hAnsi="Times New Roman" w:cs="Times New Roman"/>
          <w:i/>
          <w:sz w:val="20"/>
          <w:szCs w:val="20"/>
        </w:rPr>
        <w:t xml:space="preserve"> Indigenous Community</w:t>
      </w:r>
      <w:r>
        <w:rPr>
          <w:rFonts w:ascii="Times New Roman" w:hAnsi="Times New Roman" w:cs="Times New Roman"/>
          <w:iCs/>
          <w:sz w:val="20"/>
          <w:szCs w:val="20"/>
        </w:rPr>
        <w:t>,</w:t>
      </w:r>
      <w:r w:rsidRPr="007C3AB4">
        <w:rPr>
          <w:rFonts w:ascii="Times New Roman" w:hAnsi="Times New Roman" w:cs="Times New Roman"/>
          <w:i/>
          <w:sz w:val="20"/>
          <w:szCs w:val="20"/>
        </w:rPr>
        <w:t xml:space="preserve"> </w:t>
      </w:r>
      <w:r>
        <w:rPr>
          <w:rFonts w:ascii="Times New Roman" w:hAnsi="Times New Roman" w:cs="Times New Roman"/>
          <w:i/>
          <w:sz w:val="20"/>
          <w:szCs w:val="20"/>
        </w:rPr>
        <w:t xml:space="preserve">supra </w:t>
      </w:r>
      <w:r>
        <w:rPr>
          <w:rFonts w:ascii="Times New Roman" w:hAnsi="Times New Roman" w:cs="Times New Roman"/>
          <w:sz w:val="20"/>
          <w:szCs w:val="20"/>
        </w:rPr>
        <w:t>note 92,</w:t>
      </w:r>
      <w:r w:rsidRPr="007C3AB4">
        <w:rPr>
          <w:rFonts w:ascii="Times New Roman" w:hAnsi="Times New Roman" w:cs="Times New Roman"/>
          <w:sz w:val="20"/>
          <w:szCs w:val="20"/>
        </w:rPr>
        <w:t xml:space="preserve"> para</w:t>
      </w:r>
      <w:r>
        <w:rPr>
          <w:rFonts w:ascii="Times New Roman" w:hAnsi="Times New Roman" w:cs="Times New Roman"/>
          <w:sz w:val="20"/>
          <w:szCs w:val="20"/>
        </w:rPr>
        <w:t>.</w:t>
      </w:r>
      <w:r w:rsidRPr="007C3AB4">
        <w:rPr>
          <w:rFonts w:ascii="Times New Roman" w:hAnsi="Times New Roman" w:cs="Times New Roman"/>
          <w:sz w:val="20"/>
          <w:szCs w:val="20"/>
        </w:rPr>
        <w:t xml:space="preserve"> </w:t>
      </w:r>
      <w:r w:rsidRPr="00E52C03">
        <w:rPr>
          <w:rFonts w:ascii="Times New Roman" w:hAnsi="Times New Roman" w:cs="Times New Roman"/>
          <w:sz w:val="20"/>
          <w:szCs w:val="20"/>
          <w:lang w:val="es-ES"/>
        </w:rPr>
        <w:t>106.</w:t>
      </w:r>
    </w:p>
  </w:footnote>
  <w:footnote w:id="97">
    <w:p w14:paraId="6C1C8780" w14:textId="5869D02B" w:rsidR="00DE3CB2" w:rsidRPr="00E52C03" w:rsidRDefault="00DE3CB2" w:rsidP="00B9033F">
      <w:pPr>
        <w:spacing w:after="0" w:line="240" w:lineRule="auto"/>
        <w:jc w:val="both"/>
        <w:rPr>
          <w:rFonts w:ascii="Times New Roman" w:hAnsi="Times New Roman" w:cs="Times New Roman"/>
          <w:sz w:val="20"/>
          <w:szCs w:val="20"/>
          <w:lang w:val="es-ES"/>
        </w:rPr>
      </w:pPr>
      <w:r w:rsidRPr="007C3AB4">
        <w:rPr>
          <w:rStyle w:val="FootnoteReference"/>
          <w:rFonts w:ascii="Times New Roman" w:hAnsi="Times New Roman" w:cs="Times New Roman"/>
          <w:sz w:val="20"/>
          <w:szCs w:val="20"/>
        </w:rPr>
        <w:footnoteRef/>
      </w:r>
      <w:proofErr w:type="spellStart"/>
      <w:r>
        <w:rPr>
          <w:rFonts w:ascii="Times New Roman" w:hAnsi="Times New Roman" w:cs="Times New Roman"/>
          <w:i/>
          <w:sz w:val="20"/>
          <w:szCs w:val="20"/>
          <w:lang w:val="es-ES"/>
        </w:rPr>
        <w:t>I</w:t>
      </w:r>
      <w:r w:rsidRPr="00E52C03">
        <w:rPr>
          <w:rFonts w:ascii="Times New Roman" w:hAnsi="Times New Roman" w:cs="Times New Roman"/>
          <w:i/>
          <w:sz w:val="20"/>
          <w:szCs w:val="20"/>
          <w:lang w:val="es-ES"/>
        </w:rPr>
        <w:t>bid</w:t>
      </w:r>
      <w:proofErr w:type="spellEnd"/>
      <w:r w:rsidRPr="00E52C03">
        <w:rPr>
          <w:rFonts w:ascii="Times New Roman" w:hAnsi="Times New Roman" w:cs="Times New Roman"/>
          <w:i/>
          <w:sz w:val="20"/>
          <w:szCs w:val="20"/>
          <w:lang w:val="es-ES"/>
        </w:rPr>
        <w:t>.</w:t>
      </w:r>
    </w:p>
  </w:footnote>
  <w:footnote w:id="98">
    <w:p w14:paraId="1D873D27" w14:textId="0A7F11AB" w:rsidR="00DE3CB2" w:rsidRPr="00E52C03"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E52C03">
        <w:rPr>
          <w:rStyle w:val="FootnoteReference"/>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lang w:val="es-ES"/>
        </w:rPr>
        <w:t>.</w:t>
      </w:r>
    </w:p>
  </w:footnote>
  <w:footnote w:id="99">
    <w:p w14:paraId="6841BA30" w14:textId="65B5F39D" w:rsidR="00DE3CB2" w:rsidRPr="00E52C03" w:rsidRDefault="00DE3CB2" w:rsidP="00B9033F">
      <w:pPr>
        <w:spacing w:after="0" w:line="240" w:lineRule="auto"/>
        <w:jc w:val="both"/>
        <w:rPr>
          <w:rFonts w:ascii="Times New Roman" w:hAnsi="Times New Roman" w:cs="Times New Roman"/>
          <w:sz w:val="20"/>
          <w:szCs w:val="20"/>
          <w:lang w:val="es-ES"/>
        </w:rPr>
      </w:pPr>
      <w:r w:rsidRPr="007C3AB4">
        <w:rPr>
          <w:rStyle w:val="FootnoteReference"/>
          <w:rFonts w:ascii="Times New Roman" w:hAnsi="Times New Roman" w:cs="Times New Roman"/>
          <w:sz w:val="20"/>
          <w:szCs w:val="20"/>
        </w:rPr>
        <w:footnoteRef/>
      </w:r>
      <w:r w:rsidRPr="00E52C03">
        <w:rPr>
          <w:rStyle w:val="FootnoteReference"/>
          <w:rFonts w:ascii="Times New Roman" w:hAnsi="Times New Roman" w:cs="Times New Roman"/>
          <w:sz w:val="20"/>
          <w:szCs w:val="20"/>
          <w:lang w:val="es-ES"/>
        </w:rPr>
        <w:t xml:space="preserve"> </w:t>
      </w:r>
      <w:proofErr w:type="spellStart"/>
      <w:r>
        <w:rPr>
          <w:rFonts w:ascii="Times New Roman" w:hAnsi="Times New Roman" w:cs="Times New Roman"/>
          <w:i/>
          <w:sz w:val="20"/>
          <w:szCs w:val="20"/>
          <w:lang w:val="es-ES"/>
        </w:rPr>
        <w:t>I</w:t>
      </w:r>
      <w:r w:rsidRPr="00E52C03">
        <w:rPr>
          <w:rFonts w:ascii="Times New Roman" w:hAnsi="Times New Roman" w:cs="Times New Roman"/>
          <w:i/>
          <w:sz w:val="20"/>
          <w:szCs w:val="20"/>
          <w:lang w:val="es-ES"/>
        </w:rPr>
        <w:t>bid</w:t>
      </w:r>
      <w:proofErr w:type="spellEnd"/>
      <w:r w:rsidRPr="00E52C03">
        <w:rPr>
          <w:rFonts w:ascii="Times New Roman" w:hAnsi="Times New Roman" w:cs="Times New Roman"/>
          <w:i/>
          <w:sz w:val="20"/>
          <w:szCs w:val="20"/>
          <w:lang w:val="es-ES"/>
        </w:rPr>
        <w:t>.</w:t>
      </w:r>
      <w:r w:rsidRPr="00E52C03">
        <w:rPr>
          <w:rFonts w:ascii="Times New Roman" w:hAnsi="Times New Roman" w:cs="Times New Roman"/>
          <w:sz w:val="20"/>
          <w:szCs w:val="20"/>
          <w:lang w:val="es-ES"/>
        </w:rPr>
        <w:t>, para. 212.</w:t>
      </w:r>
    </w:p>
  </w:footnote>
  <w:footnote w:id="100">
    <w:p w14:paraId="3C90A60B" w14:textId="68E02C0B" w:rsidR="00DE3CB2" w:rsidRPr="00E52C03" w:rsidRDefault="00DE3CB2" w:rsidP="00B9033F">
      <w:pPr>
        <w:tabs>
          <w:tab w:val="left" w:pos="7888"/>
        </w:tabs>
        <w:spacing w:after="0" w:line="240" w:lineRule="auto"/>
        <w:jc w:val="both"/>
        <w:rPr>
          <w:rFonts w:ascii="Times New Roman" w:hAnsi="Times New Roman" w:cs="Times New Roman"/>
          <w:sz w:val="20"/>
          <w:szCs w:val="20"/>
          <w:lang w:val="es-ES"/>
        </w:rPr>
      </w:pPr>
      <w:r w:rsidRPr="007C3AB4">
        <w:rPr>
          <w:rStyle w:val="FootnoteReference"/>
          <w:rFonts w:ascii="Times New Roman" w:hAnsi="Times New Roman" w:cs="Times New Roman"/>
          <w:sz w:val="20"/>
          <w:szCs w:val="20"/>
        </w:rPr>
        <w:footnoteRef/>
      </w:r>
      <w:proofErr w:type="spellStart"/>
      <w:r>
        <w:rPr>
          <w:rFonts w:ascii="Times New Roman" w:hAnsi="Times New Roman" w:cs="Times New Roman"/>
          <w:i/>
          <w:sz w:val="20"/>
          <w:szCs w:val="20"/>
          <w:lang w:val="es-ES"/>
        </w:rPr>
        <w:t>I</w:t>
      </w:r>
      <w:r w:rsidRPr="00E52C03">
        <w:rPr>
          <w:rFonts w:ascii="Times New Roman" w:hAnsi="Times New Roman" w:cs="Times New Roman"/>
          <w:i/>
          <w:sz w:val="20"/>
          <w:szCs w:val="20"/>
          <w:lang w:val="es-ES"/>
        </w:rPr>
        <w:t>bid</w:t>
      </w:r>
      <w:proofErr w:type="spellEnd"/>
      <w:r w:rsidRPr="00E52C03">
        <w:rPr>
          <w:rFonts w:ascii="Times New Roman" w:hAnsi="Times New Roman" w:cs="Times New Roman"/>
          <w:i/>
          <w:sz w:val="20"/>
          <w:szCs w:val="20"/>
          <w:lang w:val="es-ES"/>
        </w:rPr>
        <w:t>.</w:t>
      </w:r>
    </w:p>
  </w:footnote>
  <w:footnote w:id="101">
    <w:p w14:paraId="143ECF56" w14:textId="3B6445BB"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E52C03">
        <w:rPr>
          <w:rStyle w:val="FootnoteReference"/>
          <w:rFonts w:ascii="Times New Roman" w:hAnsi="Times New Roman" w:cs="Times New Roman"/>
          <w:lang w:val="es-ES"/>
        </w:rPr>
        <w:t xml:space="preserve"> </w:t>
      </w:r>
      <w:proofErr w:type="spellStart"/>
      <w:r w:rsidRPr="00E52C03">
        <w:rPr>
          <w:rFonts w:ascii="Times New Roman" w:hAnsi="Times New Roman" w:cs="Times New Roman"/>
          <w:i/>
          <w:lang w:val="es-ES"/>
        </w:rPr>
        <w:t>Ibid</w:t>
      </w:r>
      <w:proofErr w:type="spellEnd"/>
      <w:r w:rsidRPr="00E52C03">
        <w:rPr>
          <w:rFonts w:ascii="Times New Roman" w:hAnsi="Times New Roman" w:cs="Times New Roman"/>
          <w:i/>
          <w:lang w:val="es-ES"/>
        </w:rPr>
        <w:t>.,</w:t>
      </w:r>
      <w:r w:rsidRPr="00E52C03">
        <w:rPr>
          <w:rFonts w:ascii="Times New Roman" w:hAnsi="Times New Roman" w:cs="Times New Roman"/>
          <w:lang w:val="es-ES"/>
        </w:rPr>
        <w:t xml:space="preserve"> para. </w:t>
      </w:r>
      <w:r w:rsidRPr="007C3AB4">
        <w:rPr>
          <w:rFonts w:ascii="Times New Roman" w:hAnsi="Times New Roman" w:cs="Times New Roman"/>
          <w:lang w:val="en-US"/>
        </w:rPr>
        <w:t>217.</w:t>
      </w:r>
    </w:p>
  </w:footnote>
  <w:footnote w:id="102">
    <w:p w14:paraId="48A4D9D4" w14:textId="400B1DEC"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7625AC">
        <w:rPr>
          <w:rFonts w:ascii="Times New Roman" w:hAnsi="Times New Roman" w:cs="Times New Roman"/>
        </w:rPr>
        <w:t xml:space="preserve">For instance, </w:t>
      </w:r>
      <w:r w:rsidRPr="007625AC">
        <w:rPr>
          <w:rFonts w:ascii="Times New Roman" w:hAnsi="Times New Roman" w:cs="Times New Roman"/>
          <w:lang w:val="en"/>
        </w:rPr>
        <w:t xml:space="preserve">the </w:t>
      </w:r>
      <w:r w:rsidRPr="007625AC">
        <w:rPr>
          <w:rFonts w:ascii="Times New Roman" w:hAnsi="Times New Roman" w:cs="Times New Roman"/>
          <w:lang w:val="en-US"/>
        </w:rPr>
        <w:t>statement by the expert witness, illustrated the manner in which indigenous peoples perceived foreign investors as ‘lords’ who cause</w:t>
      </w:r>
      <w:r>
        <w:rPr>
          <w:rFonts w:ascii="Times New Roman" w:hAnsi="Times New Roman" w:cs="Times New Roman"/>
          <w:lang w:val="en-US"/>
        </w:rPr>
        <w:t>d</w:t>
      </w:r>
      <w:r w:rsidRPr="007625AC">
        <w:rPr>
          <w:rFonts w:ascii="Times New Roman" w:hAnsi="Times New Roman" w:cs="Times New Roman"/>
          <w:lang w:val="en-US"/>
        </w:rPr>
        <w:t xml:space="preserve"> ‘personality disorders or illnesses, as well as environmental catastr</w:t>
      </w:r>
      <w:r>
        <w:rPr>
          <w:rFonts w:ascii="Times New Roman" w:hAnsi="Times New Roman" w:cs="Times New Roman"/>
          <w:lang w:val="en-US"/>
        </w:rPr>
        <w:t xml:space="preserve">ophes or difficult situations’, </w:t>
      </w:r>
      <w:r>
        <w:rPr>
          <w:rFonts w:ascii="Times New Roman" w:hAnsi="Times New Roman" w:cs="Times New Roman"/>
          <w:i/>
          <w:lang w:val="en-US"/>
        </w:rPr>
        <w:t>i</w:t>
      </w:r>
      <w:r w:rsidRPr="00D879D2">
        <w:rPr>
          <w:rFonts w:ascii="Times New Roman" w:hAnsi="Times New Roman" w:cs="Times New Roman"/>
          <w:i/>
          <w:lang w:val="en-US"/>
        </w:rPr>
        <w:t>bid.</w:t>
      </w:r>
      <w:r>
        <w:rPr>
          <w:rFonts w:ascii="Times New Roman" w:hAnsi="Times New Roman" w:cs="Times New Roman"/>
          <w:lang w:val="en-US"/>
        </w:rPr>
        <w:t xml:space="preserve"> para. 38.d.</w:t>
      </w:r>
    </w:p>
  </w:footnote>
  <w:footnote w:id="103">
    <w:p w14:paraId="77456DB5" w14:textId="65553E86"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603360">
        <w:rPr>
          <w:rStyle w:val="FootnoteReference"/>
          <w:rFonts w:ascii="Times New Roman" w:hAnsi="Times New Roman" w:cs="Times New Roman"/>
          <w:lang w:val="es-ES"/>
        </w:rPr>
        <w:t xml:space="preserve"> </w:t>
      </w:r>
      <w:proofErr w:type="spellStart"/>
      <w:r w:rsidRPr="00603360">
        <w:rPr>
          <w:rFonts w:ascii="Times New Roman" w:hAnsi="Times New Roman" w:cs="Times New Roman"/>
          <w:i/>
          <w:lang w:val="es-ES"/>
        </w:rPr>
        <w:t>Yakye</w:t>
      </w:r>
      <w:proofErr w:type="spellEnd"/>
      <w:r w:rsidRPr="00603360">
        <w:rPr>
          <w:rFonts w:ascii="Times New Roman" w:hAnsi="Times New Roman" w:cs="Times New Roman"/>
          <w:i/>
          <w:lang w:val="es-ES"/>
        </w:rPr>
        <w:t xml:space="preserve"> Axa</w:t>
      </w:r>
      <w:r>
        <w:rPr>
          <w:rFonts w:ascii="Times New Roman" w:hAnsi="Times New Roman" w:cs="Times New Roman"/>
          <w:iCs/>
          <w:lang w:val="es-ES"/>
        </w:rPr>
        <w:t>,</w:t>
      </w:r>
      <w:r w:rsidRPr="00603360">
        <w:rPr>
          <w:rFonts w:ascii="Times New Roman" w:hAnsi="Times New Roman" w:cs="Times New Roman"/>
          <w:lang w:val="es-ES"/>
        </w:rPr>
        <w:t xml:space="preserve"> </w:t>
      </w:r>
      <w:r w:rsidRPr="00603360">
        <w:rPr>
          <w:rFonts w:ascii="Times New Roman" w:hAnsi="Times New Roman" w:cs="Times New Roman"/>
          <w:i/>
          <w:lang w:val="es-ES"/>
        </w:rPr>
        <w:t>supra</w:t>
      </w:r>
      <w:r w:rsidRPr="00603360">
        <w:rPr>
          <w:rFonts w:ascii="Times New Roman" w:hAnsi="Times New Roman" w:cs="Times New Roman"/>
          <w:lang w:val="es-ES"/>
        </w:rPr>
        <w:t xml:space="preserve"> note 95, para. </w:t>
      </w:r>
      <w:r w:rsidRPr="007C3AB4">
        <w:rPr>
          <w:rFonts w:ascii="Times New Roman" w:hAnsi="Times New Roman" w:cs="Times New Roman"/>
          <w:lang w:val="en"/>
        </w:rPr>
        <w:t>146.</w:t>
      </w:r>
    </w:p>
  </w:footnote>
  <w:footnote w:id="104">
    <w:p w14:paraId="26BC47CA" w14:textId="5EDF6AB2" w:rsidR="00DE3CB2" w:rsidRPr="007C3AB4" w:rsidRDefault="00DE3CB2" w:rsidP="00B9033F">
      <w:pPr>
        <w:widowControl w:val="0"/>
        <w:autoSpaceDE w:val="0"/>
        <w:autoSpaceDN w:val="0"/>
        <w:adjustRightInd w:val="0"/>
        <w:spacing w:after="0" w:line="240" w:lineRule="auto"/>
        <w:jc w:val="both"/>
        <w:rPr>
          <w:rFonts w:ascii="Times New Roman" w:hAnsi="Times New Roman" w:cs="Times New Roman"/>
          <w:sz w:val="20"/>
          <w:szCs w:val="20"/>
          <w:lang w:val="en-US"/>
        </w:rPr>
      </w:pPr>
      <w:r w:rsidRPr="007C3AB4">
        <w:rPr>
          <w:rStyle w:val="FootnoteReference"/>
          <w:rFonts w:ascii="Times New Roman" w:hAnsi="Times New Roman" w:cs="Times New Roman"/>
          <w:sz w:val="20"/>
          <w:szCs w:val="20"/>
        </w:rPr>
        <w:footnoteRef/>
      </w:r>
      <w:r w:rsidRPr="007C3AB4">
        <w:rPr>
          <w:rFonts w:ascii="Times New Roman" w:hAnsi="Times New Roman" w:cs="Times New Roman"/>
          <w:sz w:val="20"/>
          <w:szCs w:val="20"/>
        </w:rPr>
        <w:t xml:space="preserve"> </w:t>
      </w:r>
      <w:proofErr w:type="spellStart"/>
      <w:r w:rsidRPr="007C3AB4">
        <w:rPr>
          <w:rFonts w:ascii="Times New Roman" w:hAnsi="Times New Roman" w:cs="Times New Roman"/>
          <w:i/>
          <w:sz w:val="20"/>
          <w:szCs w:val="20"/>
          <w:lang w:val="en-US"/>
        </w:rPr>
        <w:t>Moiwana</w:t>
      </w:r>
      <w:proofErr w:type="spellEnd"/>
      <w:r w:rsidRPr="007C3AB4">
        <w:rPr>
          <w:rFonts w:ascii="Times New Roman" w:hAnsi="Times New Roman" w:cs="Times New Roman"/>
          <w:i/>
          <w:sz w:val="20"/>
          <w:szCs w:val="20"/>
          <w:lang w:val="en-US"/>
        </w:rPr>
        <w:t xml:space="preserve"> Community </w:t>
      </w:r>
      <w:r w:rsidRPr="00982811">
        <w:rPr>
          <w:rFonts w:ascii="Times New Roman" w:hAnsi="Times New Roman" w:cs="Times New Roman"/>
          <w:sz w:val="20"/>
          <w:szCs w:val="20"/>
          <w:lang w:val="en-US"/>
        </w:rPr>
        <w:t>v.</w:t>
      </w:r>
      <w:r w:rsidRPr="007C3AB4">
        <w:rPr>
          <w:rFonts w:ascii="Times New Roman" w:hAnsi="Times New Roman" w:cs="Times New Roman"/>
          <w:i/>
          <w:sz w:val="20"/>
          <w:szCs w:val="20"/>
          <w:lang w:val="en-US"/>
        </w:rPr>
        <w:t xml:space="preserve"> Suriname</w:t>
      </w:r>
      <w:r>
        <w:rPr>
          <w:rFonts w:ascii="Times New Roman" w:hAnsi="Times New Roman" w:cs="Times New Roman"/>
          <w:sz w:val="20"/>
          <w:szCs w:val="20"/>
          <w:lang w:val="en-US"/>
        </w:rPr>
        <w:t xml:space="preserve">, </w:t>
      </w:r>
      <w:r w:rsidRPr="007C3AB4">
        <w:rPr>
          <w:rFonts w:ascii="Times New Roman" w:hAnsi="Times New Roman" w:cs="Times New Roman"/>
          <w:sz w:val="20"/>
          <w:szCs w:val="20"/>
          <w:lang w:val="en-US"/>
        </w:rPr>
        <w:t>15</w:t>
      </w:r>
      <w:r>
        <w:rPr>
          <w:rFonts w:ascii="Times New Roman" w:hAnsi="Times New Roman" w:cs="Times New Roman"/>
          <w:sz w:val="20"/>
          <w:szCs w:val="20"/>
          <w:lang w:val="en-US"/>
        </w:rPr>
        <w:t xml:space="preserve"> </w:t>
      </w:r>
      <w:r w:rsidRPr="007C3AB4">
        <w:rPr>
          <w:rFonts w:ascii="Times New Roman" w:hAnsi="Times New Roman" w:cs="Times New Roman"/>
          <w:sz w:val="20"/>
          <w:szCs w:val="20"/>
          <w:lang w:val="en-US"/>
        </w:rPr>
        <w:t>June</w:t>
      </w:r>
      <w:r>
        <w:rPr>
          <w:rFonts w:ascii="Times New Roman" w:hAnsi="Times New Roman" w:cs="Times New Roman"/>
          <w:sz w:val="20"/>
          <w:szCs w:val="20"/>
          <w:lang w:val="en-US"/>
        </w:rPr>
        <w:t xml:space="preserve"> </w:t>
      </w:r>
      <w:r w:rsidRPr="007C3AB4">
        <w:rPr>
          <w:rFonts w:ascii="Times New Roman" w:hAnsi="Times New Roman" w:cs="Times New Roman"/>
          <w:sz w:val="20"/>
          <w:szCs w:val="20"/>
          <w:lang w:val="en-US"/>
        </w:rPr>
        <w:t>2005</w:t>
      </w:r>
      <w:r>
        <w:rPr>
          <w:rFonts w:ascii="Times New Roman" w:hAnsi="Times New Roman" w:cs="Times New Roman"/>
          <w:sz w:val="20"/>
          <w:szCs w:val="20"/>
          <w:lang w:val="en-US"/>
        </w:rPr>
        <w:t>,</w:t>
      </w:r>
      <w:r w:rsidRPr="007C3AB4">
        <w:rPr>
          <w:rFonts w:ascii="Times New Roman" w:hAnsi="Times New Roman" w:cs="Times New Roman"/>
          <w:sz w:val="20"/>
          <w:szCs w:val="20"/>
          <w:lang w:val="en-US"/>
        </w:rPr>
        <w:t xml:space="preserve"> </w:t>
      </w:r>
      <w:r w:rsidRPr="007C3AB4">
        <w:rPr>
          <w:rFonts w:ascii="Times New Roman" w:hAnsi="Times New Roman" w:cs="Times New Roman"/>
          <w:sz w:val="20"/>
          <w:szCs w:val="20"/>
        </w:rPr>
        <w:t xml:space="preserve">I/A Court H.R., </w:t>
      </w:r>
      <w:r w:rsidRPr="007C3AB4">
        <w:rPr>
          <w:rFonts w:ascii="Times New Roman" w:hAnsi="Times New Roman" w:cs="Times New Roman"/>
          <w:sz w:val="20"/>
          <w:szCs w:val="20"/>
          <w:lang w:val="en-US"/>
        </w:rPr>
        <w:t>Judgment</w:t>
      </w:r>
      <w:r>
        <w:rPr>
          <w:rFonts w:ascii="Times New Roman" w:hAnsi="Times New Roman" w:cs="Times New Roman"/>
          <w:sz w:val="20"/>
          <w:szCs w:val="20"/>
          <w:lang w:val="en-US"/>
        </w:rPr>
        <w:t xml:space="preserve">, </w:t>
      </w:r>
      <w:r>
        <w:rPr>
          <w:rFonts w:ascii="Times New Roman" w:hAnsi="Times New Roman" w:cs="Times New Roman"/>
          <w:sz w:val="20"/>
          <w:szCs w:val="20"/>
        </w:rPr>
        <w:t>para. 131</w:t>
      </w:r>
      <w:r w:rsidRPr="007C3AB4">
        <w:rPr>
          <w:rFonts w:ascii="Times New Roman" w:hAnsi="Times New Roman" w:cs="Times New Roman"/>
          <w:sz w:val="20"/>
          <w:szCs w:val="20"/>
          <w:lang w:val="en-US"/>
        </w:rPr>
        <w:t xml:space="preserve">. </w:t>
      </w:r>
    </w:p>
  </w:footnote>
  <w:footnote w:id="105">
    <w:p w14:paraId="201AE641" w14:textId="59F2CCC9" w:rsidR="00DE3CB2" w:rsidRPr="00AC725E" w:rsidRDefault="00DE3CB2" w:rsidP="00B9033F">
      <w:pPr>
        <w:spacing w:after="0" w:line="240" w:lineRule="auto"/>
        <w:jc w:val="both"/>
        <w:rPr>
          <w:rFonts w:ascii="Times New Roman" w:hAnsi="Times New Roman" w:cs="Times New Roman"/>
          <w:sz w:val="20"/>
          <w:szCs w:val="20"/>
        </w:rPr>
      </w:pPr>
      <w:r w:rsidRPr="007C3AB4">
        <w:rPr>
          <w:rStyle w:val="FootnoteReference"/>
          <w:rFonts w:ascii="Times New Roman" w:hAnsi="Times New Roman" w:cs="Times New Roman"/>
          <w:sz w:val="20"/>
          <w:szCs w:val="20"/>
        </w:rPr>
        <w:footnoteRef/>
      </w:r>
      <w:r w:rsidRPr="00AC725E">
        <w:rPr>
          <w:rStyle w:val="FootnoteReference"/>
          <w:rFonts w:ascii="Times New Roman" w:hAnsi="Times New Roman" w:cs="Times New Roman"/>
          <w:sz w:val="20"/>
          <w:szCs w:val="20"/>
        </w:rPr>
        <w:t xml:space="preserve"> </w:t>
      </w:r>
      <w:r w:rsidRPr="00AC725E">
        <w:rPr>
          <w:rFonts w:ascii="Times New Roman" w:hAnsi="Times New Roman" w:cs="Times New Roman"/>
          <w:i/>
          <w:sz w:val="20"/>
          <w:szCs w:val="20"/>
        </w:rPr>
        <w:t>Ibid</w:t>
      </w:r>
      <w:r w:rsidRPr="00AC725E">
        <w:rPr>
          <w:rFonts w:ascii="Times New Roman" w:hAnsi="Times New Roman" w:cs="Times New Roman"/>
          <w:sz w:val="20"/>
          <w:szCs w:val="20"/>
        </w:rPr>
        <w:t xml:space="preserve">, paras. 199 and 233.3. </w:t>
      </w:r>
    </w:p>
  </w:footnote>
  <w:footnote w:id="106">
    <w:p w14:paraId="4300053C" w14:textId="64CCC571" w:rsidR="00DE3CB2" w:rsidRPr="00AC725E"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AC725E">
        <w:rPr>
          <w:rStyle w:val="FootnoteReference"/>
          <w:rFonts w:ascii="Times New Roman" w:hAnsi="Times New Roman" w:cs="Times New Roman"/>
        </w:rPr>
        <w:t xml:space="preserve"> </w:t>
      </w:r>
      <w:proofErr w:type="spellStart"/>
      <w:r w:rsidRPr="00AC725E">
        <w:rPr>
          <w:rFonts w:ascii="Times New Roman" w:hAnsi="Times New Roman" w:cs="Times New Roman"/>
          <w:i/>
        </w:rPr>
        <w:t>Saramaka</w:t>
      </w:r>
      <w:proofErr w:type="spellEnd"/>
      <w:r>
        <w:rPr>
          <w:rFonts w:ascii="Times New Roman" w:hAnsi="Times New Roman" w:cs="Times New Roman"/>
          <w:iCs/>
        </w:rPr>
        <w:t>,</w:t>
      </w:r>
      <w:r w:rsidRPr="00AC725E">
        <w:rPr>
          <w:rFonts w:ascii="Times New Roman" w:hAnsi="Times New Roman" w:cs="Times New Roman"/>
        </w:rPr>
        <w:t xml:space="preserve"> </w:t>
      </w:r>
      <w:r w:rsidRPr="00AC725E">
        <w:rPr>
          <w:rFonts w:ascii="Times New Roman" w:hAnsi="Times New Roman" w:cs="Times New Roman"/>
          <w:i/>
        </w:rPr>
        <w:t>supra</w:t>
      </w:r>
      <w:r>
        <w:rPr>
          <w:rFonts w:ascii="Times New Roman" w:hAnsi="Times New Roman" w:cs="Times New Roman"/>
        </w:rPr>
        <w:t xml:space="preserve"> note 15</w:t>
      </w:r>
      <w:r w:rsidRPr="00AC725E">
        <w:rPr>
          <w:rFonts w:ascii="Times New Roman" w:hAnsi="Times New Roman" w:cs="Times New Roman"/>
        </w:rPr>
        <w:t>,</w:t>
      </w:r>
      <w:r w:rsidRPr="00AC725E">
        <w:rPr>
          <w:rFonts w:ascii="Times New Roman" w:hAnsi="Times New Roman" w:cs="Times New Roman"/>
          <w:i/>
        </w:rPr>
        <w:t xml:space="preserve"> </w:t>
      </w:r>
      <w:r w:rsidRPr="00AC725E">
        <w:rPr>
          <w:rFonts w:ascii="Times New Roman" w:hAnsi="Times New Roman" w:cs="Times New Roman"/>
        </w:rPr>
        <w:t>para.129.</w:t>
      </w:r>
    </w:p>
  </w:footnote>
  <w:footnote w:id="107">
    <w:p w14:paraId="72D59C6B" w14:textId="0B7F638F"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Pr>
          <w:rFonts w:ascii="Times New Roman" w:hAnsi="Times New Roman" w:cs="Times New Roman"/>
          <w:i/>
          <w:lang w:val="en-US"/>
        </w:rPr>
        <w:t>I</w:t>
      </w:r>
      <w:r w:rsidRPr="00D879D2">
        <w:rPr>
          <w:rFonts w:ascii="Times New Roman" w:hAnsi="Times New Roman" w:cs="Times New Roman"/>
          <w:i/>
          <w:lang w:val="en-US"/>
        </w:rPr>
        <w:t>bid</w:t>
      </w:r>
      <w:r w:rsidRPr="00D879D2">
        <w:rPr>
          <w:rFonts w:ascii="Times New Roman" w:hAnsi="Times New Roman" w:cs="Times New Roman"/>
          <w:i/>
        </w:rPr>
        <w:t>.</w:t>
      </w:r>
      <w:r>
        <w:rPr>
          <w:rFonts w:ascii="Times New Roman" w:hAnsi="Times New Roman" w:cs="Times New Roman"/>
          <w:i/>
        </w:rPr>
        <w:t>,</w:t>
      </w:r>
      <w:r w:rsidRPr="007C3AB4">
        <w:rPr>
          <w:rFonts w:ascii="Times New Roman" w:hAnsi="Times New Roman" w:cs="Times New Roman"/>
        </w:rPr>
        <w:t xml:space="preserve"> P. Nikken, ‘Balancing of Human Rights and Investment Law in the Inter-American System of Human Rights’, in P. </w:t>
      </w:r>
      <w:proofErr w:type="spellStart"/>
      <w:r w:rsidRPr="007C3AB4">
        <w:rPr>
          <w:rFonts w:ascii="Times New Roman" w:hAnsi="Times New Roman" w:cs="Times New Roman"/>
        </w:rPr>
        <w:t>Dupuy</w:t>
      </w:r>
      <w:proofErr w:type="spellEnd"/>
      <w:r w:rsidRPr="007C3AB4">
        <w:rPr>
          <w:rFonts w:ascii="Times New Roman" w:hAnsi="Times New Roman" w:cs="Times New Roman"/>
        </w:rPr>
        <w:t xml:space="preserve">, E. </w:t>
      </w:r>
      <w:proofErr w:type="spellStart"/>
      <w:r w:rsidRPr="007C3AB4">
        <w:rPr>
          <w:rFonts w:ascii="Times New Roman" w:hAnsi="Times New Roman" w:cs="Times New Roman"/>
        </w:rPr>
        <w:t>Petersmann</w:t>
      </w:r>
      <w:proofErr w:type="spellEnd"/>
      <w:r w:rsidRPr="007C3AB4">
        <w:rPr>
          <w:rFonts w:ascii="Times New Roman" w:hAnsi="Times New Roman" w:cs="Times New Roman"/>
        </w:rPr>
        <w:t xml:space="preserve"> and F. </w:t>
      </w:r>
      <w:proofErr w:type="spellStart"/>
      <w:r w:rsidRPr="007C3AB4">
        <w:rPr>
          <w:rFonts w:ascii="Times New Roman" w:hAnsi="Times New Roman" w:cs="Times New Roman"/>
        </w:rPr>
        <w:t>Francioni</w:t>
      </w:r>
      <w:proofErr w:type="spellEnd"/>
      <w:r>
        <w:rPr>
          <w:rFonts w:ascii="Times New Roman" w:hAnsi="Times New Roman" w:cs="Times New Roman"/>
        </w:rPr>
        <w:t xml:space="preserve"> (eds.)</w:t>
      </w:r>
      <w:r w:rsidRPr="007C3AB4">
        <w:rPr>
          <w:rFonts w:ascii="Times New Roman" w:hAnsi="Times New Roman" w:cs="Times New Roman"/>
        </w:rPr>
        <w:t xml:space="preserve">, </w:t>
      </w:r>
      <w:r w:rsidRPr="007C3AB4">
        <w:rPr>
          <w:rFonts w:ascii="Times New Roman" w:hAnsi="Times New Roman" w:cs="Times New Roman"/>
          <w:i/>
        </w:rPr>
        <w:t>Human Rights in International Investment Law and Arbitration</w:t>
      </w:r>
      <w:r w:rsidRPr="007C3AB4">
        <w:rPr>
          <w:rFonts w:ascii="Times New Roman" w:hAnsi="Times New Roman" w:cs="Times New Roman"/>
        </w:rPr>
        <w:t xml:space="preserve"> (Oxford University Press, Oxford, 2009) pp. 246-271.</w:t>
      </w:r>
    </w:p>
  </w:footnote>
  <w:footnote w:id="108">
    <w:p w14:paraId="74F64DD0" w14:textId="28B3D8EE" w:rsidR="00DE3CB2" w:rsidRPr="00E52C03"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E52C03">
        <w:rPr>
          <w:rFonts w:ascii="Times New Roman" w:hAnsi="Times New Roman" w:cs="Times New Roman"/>
          <w:lang w:val="es-ES"/>
        </w:rPr>
        <w:t xml:space="preserve"> </w:t>
      </w:r>
      <w:proofErr w:type="spellStart"/>
      <w:r w:rsidRPr="00E52C03">
        <w:rPr>
          <w:rFonts w:ascii="Times New Roman" w:hAnsi="Times New Roman" w:cs="Times New Roman"/>
          <w:i/>
          <w:lang w:val="es-ES"/>
        </w:rPr>
        <w:t>Saramaka</w:t>
      </w:r>
      <w:proofErr w:type="spellEnd"/>
      <w:r>
        <w:rPr>
          <w:rFonts w:ascii="Times New Roman" w:hAnsi="Times New Roman" w:cs="Times New Roman"/>
          <w:iCs/>
          <w:lang w:val="es-ES"/>
        </w:rPr>
        <w:t>,</w:t>
      </w:r>
      <w:r w:rsidRPr="00E52C03">
        <w:rPr>
          <w:rFonts w:ascii="Times New Roman" w:hAnsi="Times New Roman" w:cs="Times New Roman"/>
          <w:lang w:val="es-ES"/>
        </w:rPr>
        <w:t xml:space="preserve"> </w:t>
      </w:r>
      <w:r w:rsidRPr="00E52C03">
        <w:rPr>
          <w:rFonts w:ascii="Times New Roman" w:hAnsi="Times New Roman" w:cs="Times New Roman"/>
          <w:i/>
          <w:lang w:val="es-ES"/>
        </w:rPr>
        <w:t>supra</w:t>
      </w:r>
      <w:r>
        <w:rPr>
          <w:rFonts w:ascii="Times New Roman" w:hAnsi="Times New Roman" w:cs="Times New Roman"/>
          <w:lang w:val="es-ES"/>
        </w:rPr>
        <w:t xml:space="preserve"> note 15</w:t>
      </w:r>
      <w:r w:rsidRPr="00E52C03">
        <w:rPr>
          <w:rFonts w:ascii="Times New Roman" w:hAnsi="Times New Roman" w:cs="Times New Roman"/>
          <w:lang w:val="es-ES"/>
        </w:rPr>
        <w:t>, para. 129.</w:t>
      </w:r>
    </w:p>
  </w:footnote>
  <w:footnote w:id="109">
    <w:p w14:paraId="07DEBBF8" w14:textId="5225BC09" w:rsidR="00DE3CB2" w:rsidRPr="00E52C03"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E52C03">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lang w:val="es-ES"/>
        </w:rPr>
        <w:t>.</w:t>
      </w:r>
    </w:p>
  </w:footnote>
  <w:footnote w:id="110">
    <w:p w14:paraId="06DDDFC1" w14:textId="2B51DA2C" w:rsidR="00DE3CB2" w:rsidRPr="00E52C03"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E52C03">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lang w:val="es-ES"/>
        </w:rPr>
        <w:t>.</w:t>
      </w:r>
    </w:p>
  </w:footnote>
  <w:footnote w:id="111">
    <w:p w14:paraId="08DDAD9B" w14:textId="681F4B04" w:rsidR="00DE3CB2" w:rsidRPr="00E52C03"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E52C03">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lang w:val="es-ES"/>
        </w:rPr>
        <w:t xml:space="preserve">. </w:t>
      </w:r>
    </w:p>
  </w:footnote>
  <w:footnote w:id="112">
    <w:p w14:paraId="3B59D984" w14:textId="73AD8EB4"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E52C03">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lang w:val="es-ES"/>
        </w:rPr>
        <w:t xml:space="preserve">., para. </w:t>
      </w:r>
      <w:r w:rsidRPr="007C3AB4">
        <w:rPr>
          <w:rFonts w:ascii="Times New Roman" w:hAnsi="Times New Roman" w:cs="Times New Roman"/>
        </w:rPr>
        <w:t>125.</w:t>
      </w:r>
    </w:p>
  </w:footnote>
  <w:footnote w:id="113">
    <w:p w14:paraId="00FA7E5D" w14:textId="0B9BEDFB"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sidRPr="00A13BE2">
        <w:rPr>
          <w:rFonts w:ascii="Times New Roman" w:hAnsi="Times New Roman" w:cs="Times New Roman"/>
          <w:i/>
          <w:iCs/>
        </w:rPr>
        <w:t>Ibid</w:t>
      </w:r>
      <w:r>
        <w:rPr>
          <w:rFonts w:ascii="Times New Roman" w:hAnsi="Times New Roman" w:cs="Times New Roman"/>
        </w:rPr>
        <w:t xml:space="preserve">., </w:t>
      </w:r>
      <w:r w:rsidRPr="007C3AB4">
        <w:rPr>
          <w:rFonts w:ascii="Times New Roman" w:hAnsi="Times New Roman" w:cs="Times New Roman"/>
        </w:rPr>
        <w:t>para</w:t>
      </w:r>
      <w:r>
        <w:rPr>
          <w:rFonts w:ascii="Times New Roman" w:hAnsi="Times New Roman" w:cs="Times New Roman"/>
        </w:rPr>
        <w:t>.</w:t>
      </w:r>
      <w:r w:rsidRPr="007C3AB4">
        <w:rPr>
          <w:rFonts w:ascii="Times New Roman" w:hAnsi="Times New Roman" w:cs="Times New Roman"/>
        </w:rPr>
        <w:t xml:space="preserve"> 127</w:t>
      </w:r>
      <w:r w:rsidRPr="00480144">
        <w:rPr>
          <w:rFonts w:ascii="Times New Roman" w:hAnsi="Times New Roman" w:cs="Times New Roman"/>
        </w:rPr>
        <w:t xml:space="preserve">. </w:t>
      </w:r>
    </w:p>
  </w:footnote>
  <w:footnote w:id="114">
    <w:p w14:paraId="24CE6E5C" w14:textId="00372E30" w:rsidR="00DE3CB2" w:rsidRPr="007C3AB4" w:rsidRDefault="00DE3CB2" w:rsidP="00B9033F">
      <w:pPr>
        <w:spacing w:after="0" w:line="240" w:lineRule="auto"/>
        <w:jc w:val="both"/>
        <w:rPr>
          <w:rFonts w:ascii="Times New Roman" w:hAnsi="Times New Roman" w:cs="Times New Roman"/>
          <w:sz w:val="20"/>
          <w:szCs w:val="20"/>
          <w:lang w:val="en"/>
        </w:rPr>
      </w:pPr>
      <w:r w:rsidRPr="007C3AB4">
        <w:rPr>
          <w:rStyle w:val="FootnoteReference"/>
          <w:rFonts w:ascii="Times New Roman" w:hAnsi="Times New Roman" w:cs="Times New Roman"/>
          <w:sz w:val="20"/>
          <w:szCs w:val="20"/>
        </w:rPr>
        <w:footnoteRef/>
      </w:r>
      <w:r w:rsidRPr="007C3AB4">
        <w:rPr>
          <w:rFonts w:ascii="Times New Roman" w:hAnsi="Times New Roman" w:cs="Times New Roman"/>
          <w:sz w:val="20"/>
          <w:szCs w:val="20"/>
        </w:rPr>
        <w:t xml:space="preserve"> </w:t>
      </w:r>
      <w:r w:rsidRPr="007C3AB4">
        <w:rPr>
          <w:rFonts w:ascii="Times New Roman" w:hAnsi="Times New Roman" w:cs="Times New Roman"/>
          <w:i/>
          <w:sz w:val="20"/>
          <w:szCs w:val="20"/>
          <w:lang w:val="en-US"/>
        </w:rPr>
        <w:t xml:space="preserve">Matter of Pueblo </w:t>
      </w:r>
      <w:proofErr w:type="spellStart"/>
      <w:r w:rsidRPr="007C3AB4">
        <w:rPr>
          <w:rFonts w:ascii="Times New Roman" w:hAnsi="Times New Roman" w:cs="Times New Roman"/>
          <w:i/>
          <w:sz w:val="20"/>
          <w:szCs w:val="20"/>
          <w:lang w:val="en-US"/>
        </w:rPr>
        <w:t>indigena</w:t>
      </w:r>
      <w:proofErr w:type="spellEnd"/>
      <w:r w:rsidRPr="007C3AB4">
        <w:rPr>
          <w:rFonts w:ascii="Times New Roman" w:hAnsi="Times New Roman" w:cs="Times New Roman"/>
          <w:i/>
          <w:sz w:val="20"/>
          <w:szCs w:val="20"/>
          <w:lang w:val="en-US"/>
        </w:rPr>
        <w:t xml:space="preserve"> de </w:t>
      </w:r>
      <w:proofErr w:type="spellStart"/>
      <w:r w:rsidRPr="007C3AB4">
        <w:rPr>
          <w:rFonts w:ascii="Times New Roman" w:hAnsi="Times New Roman" w:cs="Times New Roman"/>
          <w:i/>
          <w:sz w:val="20"/>
          <w:szCs w:val="20"/>
          <w:lang w:val="en-US"/>
        </w:rPr>
        <w:t>Sarayaku</w:t>
      </w:r>
      <w:proofErr w:type="spellEnd"/>
      <w:r w:rsidRPr="007C3AB4">
        <w:rPr>
          <w:rFonts w:ascii="Times New Roman" w:hAnsi="Times New Roman" w:cs="Times New Roman"/>
          <w:i/>
          <w:sz w:val="20"/>
          <w:szCs w:val="20"/>
          <w:lang w:val="en-US"/>
        </w:rPr>
        <w:t xml:space="preserve"> regarding </w:t>
      </w:r>
      <w:proofErr w:type="gramStart"/>
      <w:r w:rsidRPr="007C3AB4">
        <w:rPr>
          <w:rFonts w:ascii="Times New Roman" w:hAnsi="Times New Roman" w:cs="Times New Roman"/>
          <w:i/>
          <w:sz w:val="20"/>
          <w:szCs w:val="20"/>
          <w:lang w:val="en-US"/>
        </w:rPr>
        <w:t>Ecuador</w:t>
      </w:r>
      <w:r>
        <w:rPr>
          <w:rFonts w:ascii="Times New Roman" w:hAnsi="Times New Roman" w:cs="Times New Roman"/>
          <w:i/>
          <w:sz w:val="20"/>
          <w:szCs w:val="20"/>
          <w:lang w:val="en-US"/>
        </w:rPr>
        <w:t xml:space="preserve">, </w:t>
      </w:r>
      <w:r w:rsidRPr="007C3AB4">
        <w:rPr>
          <w:rFonts w:ascii="Times New Roman" w:hAnsi="Times New Roman" w:cs="Times New Roman"/>
          <w:sz w:val="20"/>
          <w:szCs w:val="20"/>
        </w:rPr>
        <w:t xml:space="preserve"> </w:t>
      </w:r>
      <w:r w:rsidRPr="007C3AB4">
        <w:rPr>
          <w:rFonts w:ascii="Times New Roman" w:hAnsi="Times New Roman" w:cs="Times New Roman"/>
          <w:sz w:val="20"/>
          <w:szCs w:val="20"/>
          <w:lang w:val="en-US"/>
        </w:rPr>
        <w:t>6</w:t>
      </w:r>
      <w:proofErr w:type="gramEnd"/>
      <w:r w:rsidRPr="007C3AB4">
        <w:rPr>
          <w:rFonts w:ascii="Times New Roman" w:hAnsi="Times New Roman" w:cs="Times New Roman"/>
          <w:sz w:val="20"/>
          <w:szCs w:val="20"/>
          <w:lang w:val="en-US"/>
        </w:rPr>
        <w:t xml:space="preserve"> July 2004</w:t>
      </w:r>
      <w:r>
        <w:rPr>
          <w:rFonts w:ascii="Times New Roman" w:hAnsi="Times New Roman" w:cs="Times New Roman"/>
          <w:sz w:val="20"/>
          <w:szCs w:val="20"/>
          <w:lang w:val="en-US"/>
        </w:rPr>
        <w:t>,</w:t>
      </w:r>
      <w:r w:rsidRPr="007C3AB4">
        <w:rPr>
          <w:rFonts w:ascii="Times New Roman" w:hAnsi="Times New Roman" w:cs="Times New Roman"/>
          <w:sz w:val="20"/>
          <w:szCs w:val="20"/>
          <w:lang w:val="en-US"/>
        </w:rPr>
        <w:t xml:space="preserve"> </w:t>
      </w:r>
      <w:r w:rsidRPr="007C3AB4">
        <w:rPr>
          <w:rFonts w:ascii="Times New Roman" w:hAnsi="Times New Roman" w:cs="Times New Roman"/>
          <w:sz w:val="20"/>
          <w:szCs w:val="20"/>
        </w:rPr>
        <w:t xml:space="preserve">I/A Court H.R., </w:t>
      </w:r>
      <w:r w:rsidRPr="007C3AB4">
        <w:rPr>
          <w:rFonts w:ascii="Times New Roman" w:hAnsi="Times New Roman" w:cs="Times New Roman"/>
          <w:sz w:val="20"/>
          <w:szCs w:val="20"/>
          <w:lang w:val="en-US"/>
        </w:rPr>
        <w:t>Provisional m</w:t>
      </w:r>
      <w:r>
        <w:rPr>
          <w:rFonts w:ascii="Times New Roman" w:hAnsi="Times New Roman" w:cs="Times New Roman"/>
          <w:sz w:val="20"/>
          <w:szCs w:val="20"/>
          <w:lang w:val="en-US"/>
        </w:rPr>
        <w:t>easures order</w:t>
      </w:r>
      <w:r w:rsidRPr="007C3AB4">
        <w:rPr>
          <w:rFonts w:ascii="Times New Roman" w:hAnsi="Times New Roman" w:cs="Times New Roman"/>
          <w:sz w:val="20"/>
          <w:szCs w:val="20"/>
          <w:lang w:val="en-US"/>
        </w:rPr>
        <w:t xml:space="preserve"> (only in Spanish); </w:t>
      </w:r>
      <w:r w:rsidRPr="007C3AB4">
        <w:rPr>
          <w:rFonts w:ascii="Times New Roman" w:hAnsi="Times New Roman" w:cs="Times New Roman"/>
          <w:i/>
          <w:sz w:val="20"/>
          <w:szCs w:val="20"/>
          <w:lang w:val="en-US"/>
        </w:rPr>
        <w:t xml:space="preserve">Matter of Pueblo </w:t>
      </w:r>
      <w:proofErr w:type="spellStart"/>
      <w:r w:rsidRPr="007C3AB4">
        <w:rPr>
          <w:rFonts w:ascii="Times New Roman" w:hAnsi="Times New Roman" w:cs="Times New Roman"/>
          <w:i/>
          <w:sz w:val="20"/>
          <w:szCs w:val="20"/>
          <w:lang w:val="en-US"/>
        </w:rPr>
        <w:t>indigena</w:t>
      </w:r>
      <w:proofErr w:type="spellEnd"/>
      <w:r w:rsidRPr="007C3AB4">
        <w:rPr>
          <w:rFonts w:ascii="Times New Roman" w:hAnsi="Times New Roman" w:cs="Times New Roman"/>
          <w:i/>
          <w:sz w:val="20"/>
          <w:szCs w:val="20"/>
          <w:lang w:val="en-US"/>
        </w:rPr>
        <w:t xml:space="preserve"> de </w:t>
      </w:r>
      <w:proofErr w:type="spellStart"/>
      <w:r w:rsidRPr="007C3AB4">
        <w:rPr>
          <w:rFonts w:ascii="Times New Roman" w:hAnsi="Times New Roman" w:cs="Times New Roman"/>
          <w:i/>
          <w:sz w:val="20"/>
          <w:szCs w:val="20"/>
          <w:lang w:val="en-US"/>
        </w:rPr>
        <w:t>Saravaku</w:t>
      </w:r>
      <w:proofErr w:type="spellEnd"/>
      <w:r w:rsidRPr="007C3AB4">
        <w:rPr>
          <w:rFonts w:ascii="Times New Roman" w:hAnsi="Times New Roman" w:cs="Times New Roman"/>
          <w:i/>
          <w:sz w:val="20"/>
          <w:szCs w:val="20"/>
          <w:lang w:val="en-US"/>
        </w:rPr>
        <w:t xml:space="preserve"> regarding Ecuador</w:t>
      </w:r>
      <w:r>
        <w:rPr>
          <w:rFonts w:ascii="Times New Roman" w:hAnsi="Times New Roman" w:cs="Times New Roman"/>
          <w:sz w:val="20"/>
          <w:szCs w:val="20"/>
          <w:lang w:val="en-US"/>
        </w:rPr>
        <w:t xml:space="preserve">, </w:t>
      </w:r>
      <w:r w:rsidRPr="007C3AB4">
        <w:rPr>
          <w:rFonts w:ascii="Times New Roman" w:hAnsi="Times New Roman" w:cs="Times New Roman"/>
          <w:sz w:val="20"/>
          <w:szCs w:val="20"/>
          <w:lang w:val="en-US"/>
        </w:rPr>
        <w:t>6 June 2005</w:t>
      </w:r>
      <w:r>
        <w:rPr>
          <w:rFonts w:ascii="Times New Roman" w:hAnsi="Times New Roman" w:cs="Times New Roman"/>
          <w:sz w:val="20"/>
          <w:szCs w:val="20"/>
          <w:lang w:val="en-US"/>
        </w:rPr>
        <w:t>,</w:t>
      </w:r>
      <w:r w:rsidRPr="007C3AB4">
        <w:rPr>
          <w:rFonts w:ascii="Times New Roman" w:hAnsi="Times New Roman" w:cs="Times New Roman"/>
          <w:sz w:val="20"/>
          <w:szCs w:val="20"/>
          <w:lang w:val="en-US"/>
        </w:rPr>
        <w:t xml:space="preserve"> I/A Court H.R</w:t>
      </w:r>
      <w:r>
        <w:rPr>
          <w:rFonts w:ascii="Times New Roman" w:hAnsi="Times New Roman" w:cs="Times New Roman"/>
          <w:sz w:val="20"/>
          <w:szCs w:val="20"/>
          <w:lang w:val="en-US"/>
        </w:rPr>
        <w:t xml:space="preserve"> Provisional measures order</w:t>
      </w:r>
      <w:r w:rsidRPr="007C3AB4">
        <w:rPr>
          <w:rFonts w:ascii="Times New Roman" w:hAnsi="Times New Roman" w:cs="Times New Roman"/>
          <w:sz w:val="20"/>
          <w:szCs w:val="20"/>
          <w:lang w:val="en-US"/>
        </w:rPr>
        <w:t xml:space="preserve"> (only in Spanish).</w:t>
      </w:r>
      <w:r w:rsidRPr="007C3AB4">
        <w:rPr>
          <w:rFonts w:ascii="Times New Roman" w:hAnsi="Times New Roman" w:cs="Times New Roman"/>
          <w:sz w:val="20"/>
          <w:szCs w:val="20"/>
          <w:lang w:val="en"/>
        </w:rPr>
        <w:t xml:space="preserve"> </w:t>
      </w:r>
    </w:p>
  </w:footnote>
  <w:footnote w:id="115">
    <w:p w14:paraId="1E6C7839" w14:textId="52014CBF" w:rsidR="00DE3CB2" w:rsidRPr="00E52C03" w:rsidRDefault="00DE3CB2" w:rsidP="00B9033F">
      <w:pPr>
        <w:spacing w:after="0" w:line="240" w:lineRule="auto"/>
        <w:jc w:val="both"/>
        <w:rPr>
          <w:rFonts w:ascii="Times New Roman" w:hAnsi="Times New Roman" w:cs="Times New Roman"/>
          <w:sz w:val="20"/>
          <w:szCs w:val="20"/>
          <w:lang w:val="es-ES"/>
        </w:rPr>
      </w:pPr>
      <w:r w:rsidRPr="00D879D2">
        <w:rPr>
          <w:rFonts w:ascii="Times New Roman" w:hAnsi="Times New Roman" w:cs="Times New Roman"/>
          <w:sz w:val="20"/>
          <w:szCs w:val="20"/>
        </w:rPr>
        <w:footnoteRef/>
      </w:r>
      <w:r w:rsidRPr="00E52C03">
        <w:rPr>
          <w:rFonts w:ascii="Times New Roman" w:hAnsi="Times New Roman" w:cs="Times New Roman"/>
          <w:sz w:val="20"/>
          <w:szCs w:val="20"/>
          <w:lang w:val="es-ES"/>
        </w:rPr>
        <w:t xml:space="preserve"> </w:t>
      </w:r>
      <w:proofErr w:type="spellStart"/>
      <w:r w:rsidRPr="00D334D5">
        <w:rPr>
          <w:rFonts w:ascii="Times New Roman" w:hAnsi="Times New Roman" w:cs="Times New Roman"/>
          <w:i/>
          <w:sz w:val="20"/>
          <w:szCs w:val="20"/>
          <w:lang w:val="es-ES"/>
        </w:rPr>
        <w:t>Sarayaku</w:t>
      </w:r>
      <w:proofErr w:type="spellEnd"/>
      <w:r>
        <w:rPr>
          <w:rFonts w:ascii="Times New Roman" w:hAnsi="Times New Roman" w:cs="Times New Roman"/>
          <w:i/>
          <w:sz w:val="20"/>
          <w:szCs w:val="20"/>
          <w:lang w:val="es-ES"/>
        </w:rPr>
        <w:t>,</w:t>
      </w:r>
      <w:r w:rsidRPr="00D879D2">
        <w:rPr>
          <w:rFonts w:ascii="Times New Roman" w:hAnsi="Times New Roman" w:cs="Times New Roman"/>
          <w:sz w:val="20"/>
          <w:szCs w:val="20"/>
          <w:lang w:val="es-ES"/>
        </w:rPr>
        <w:t xml:space="preserve"> </w:t>
      </w:r>
      <w:r w:rsidRPr="00D879D2">
        <w:rPr>
          <w:rFonts w:ascii="Times New Roman" w:hAnsi="Times New Roman" w:cs="Times New Roman"/>
          <w:i/>
          <w:sz w:val="20"/>
          <w:szCs w:val="20"/>
          <w:lang w:val="es-ES"/>
        </w:rPr>
        <w:t>supra</w:t>
      </w:r>
      <w:r>
        <w:rPr>
          <w:rFonts w:ascii="Times New Roman" w:hAnsi="Times New Roman" w:cs="Times New Roman"/>
          <w:sz w:val="20"/>
          <w:szCs w:val="20"/>
          <w:lang w:val="es-ES"/>
        </w:rPr>
        <w:t xml:space="preserve"> note 27</w:t>
      </w:r>
      <w:r w:rsidRPr="00D879D2">
        <w:rPr>
          <w:rFonts w:ascii="Times New Roman" w:hAnsi="Times New Roman" w:cs="Times New Roman"/>
          <w:sz w:val="20"/>
          <w:szCs w:val="20"/>
          <w:lang w:val="es-ES"/>
        </w:rPr>
        <w:t>.</w:t>
      </w:r>
    </w:p>
  </w:footnote>
  <w:footnote w:id="116">
    <w:p w14:paraId="424CD58C" w14:textId="41AC8E80"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D879D2">
        <w:rPr>
          <w:rFonts w:ascii="Times New Roman" w:hAnsi="Times New Roman" w:cs="Times New Roman"/>
          <w:i/>
          <w:lang w:val="es-ES"/>
        </w:rPr>
        <w:t>bid</w:t>
      </w:r>
      <w:proofErr w:type="spellEnd"/>
      <w:r w:rsidRPr="00D879D2">
        <w:rPr>
          <w:rFonts w:ascii="Times New Roman" w:hAnsi="Times New Roman" w:cs="Times New Roman"/>
          <w:i/>
          <w:lang w:val="es-ES"/>
        </w:rPr>
        <w:t>.</w:t>
      </w:r>
    </w:p>
  </w:footnote>
  <w:footnote w:id="117">
    <w:p w14:paraId="18A92BD9" w14:textId="1CD41193" w:rsidR="00DE3CB2" w:rsidRPr="00D879D2" w:rsidRDefault="00DE3CB2" w:rsidP="00B9033F">
      <w:pPr>
        <w:pStyle w:val="FootnoteText"/>
        <w:jc w:val="both"/>
        <w:rPr>
          <w:rFonts w:ascii="Times New Roman" w:hAnsi="Times New Roman" w:cs="Times New Roman"/>
          <w:i/>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D879D2">
        <w:rPr>
          <w:rFonts w:ascii="Times New Roman" w:hAnsi="Times New Roman" w:cs="Times New Roman"/>
          <w:i/>
          <w:lang w:val="es-ES"/>
        </w:rPr>
        <w:t>bid</w:t>
      </w:r>
      <w:proofErr w:type="spellEnd"/>
      <w:r w:rsidRPr="00D879D2">
        <w:rPr>
          <w:rFonts w:ascii="Times New Roman" w:hAnsi="Times New Roman" w:cs="Times New Roman"/>
          <w:i/>
          <w:lang w:val="es-ES"/>
        </w:rPr>
        <w:t>.</w:t>
      </w:r>
    </w:p>
  </w:footnote>
  <w:footnote w:id="118">
    <w:p w14:paraId="2D03E6AB" w14:textId="031A679A"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sidRPr="00D334D5">
        <w:rPr>
          <w:rFonts w:ascii="Times New Roman" w:hAnsi="Times New Roman" w:cs="Times New Roman"/>
          <w:i/>
          <w:lang w:val="es-ES"/>
        </w:rPr>
        <w:t>Sarayaku</w:t>
      </w:r>
      <w:proofErr w:type="spellEnd"/>
      <w:r>
        <w:rPr>
          <w:rFonts w:ascii="Times New Roman" w:hAnsi="Times New Roman" w:cs="Times New Roman"/>
          <w:iCs/>
          <w:lang w:val="es-ES"/>
        </w:rPr>
        <w:t xml:space="preserve">. </w:t>
      </w:r>
      <w:r w:rsidRPr="00D334D5">
        <w:rPr>
          <w:rFonts w:ascii="Times New Roman" w:hAnsi="Times New Roman" w:cs="Times New Roman"/>
          <w:i/>
          <w:lang w:val="es-ES"/>
        </w:rPr>
        <w:t xml:space="preserve"> </w:t>
      </w:r>
      <w:r w:rsidRPr="00D879D2">
        <w:rPr>
          <w:rFonts w:ascii="Times New Roman" w:hAnsi="Times New Roman" w:cs="Times New Roman"/>
          <w:i/>
          <w:lang w:val="es-ES"/>
        </w:rPr>
        <w:t>supra</w:t>
      </w:r>
      <w:r>
        <w:rPr>
          <w:rFonts w:ascii="Times New Roman" w:hAnsi="Times New Roman" w:cs="Times New Roman"/>
          <w:lang w:val="es-ES"/>
        </w:rPr>
        <w:t xml:space="preserve"> note 27, </w:t>
      </w:r>
      <w:r w:rsidRPr="007C3AB4">
        <w:rPr>
          <w:rFonts w:ascii="Times New Roman" w:hAnsi="Times New Roman" w:cs="Times New Roman"/>
          <w:lang w:val="es-ES"/>
        </w:rPr>
        <w:t>para</w:t>
      </w:r>
      <w:r>
        <w:rPr>
          <w:rFonts w:ascii="Times New Roman" w:hAnsi="Times New Roman" w:cs="Times New Roman"/>
          <w:lang w:val="es-ES"/>
        </w:rPr>
        <w:t>.</w:t>
      </w:r>
      <w:r w:rsidRPr="007C3AB4">
        <w:rPr>
          <w:rFonts w:ascii="Times New Roman" w:hAnsi="Times New Roman" w:cs="Times New Roman"/>
          <w:lang w:val="es-ES"/>
        </w:rPr>
        <w:t xml:space="preserve"> 164.</w:t>
      </w:r>
    </w:p>
  </w:footnote>
  <w:footnote w:id="119">
    <w:p w14:paraId="09B508DD" w14:textId="598C332A"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7C3AB4">
        <w:rPr>
          <w:rFonts w:ascii="Times New Roman" w:hAnsi="Times New Roman" w:cs="Times New Roman"/>
          <w:lang w:val="es-ES"/>
        </w:rPr>
        <w:t xml:space="preserve"> </w:t>
      </w:r>
      <w:proofErr w:type="spellStart"/>
      <w:r>
        <w:rPr>
          <w:rFonts w:ascii="Times New Roman" w:hAnsi="Times New Roman" w:cs="Times New Roman"/>
          <w:i/>
          <w:lang w:val="es-ES"/>
        </w:rPr>
        <w:t>I</w:t>
      </w:r>
      <w:r w:rsidRPr="00D879D2">
        <w:rPr>
          <w:rFonts w:ascii="Times New Roman" w:hAnsi="Times New Roman" w:cs="Times New Roman"/>
          <w:i/>
          <w:lang w:val="es-ES"/>
        </w:rPr>
        <w:t>bid</w:t>
      </w:r>
      <w:proofErr w:type="spellEnd"/>
      <w:r w:rsidRPr="00D879D2">
        <w:rPr>
          <w:rFonts w:ascii="Times New Roman" w:hAnsi="Times New Roman" w:cs="Times New Roman"/>
          <w:i/>
          <w:lang w:val="es-ES"/>
        </w:rPr>
        <w:t>.</w:t>
      </w:r>
      <w:r>
        <w:rPr>
          <w:rFonts w:ascii="Times New Roman" w:hAnsi="Times New Roman" w:cs="Times New Roman"/>
          <w:i/>
          <w:lang w:val="es-ES"/>
        </w:rPr>
        <w:t>,</w:t>
      </w:r>
      <w:r w:rsidRPr="007C3AB4">
        <w:rPr>
          <w:rFonts w:ascii="Times New Roman" w:hAnsi="Times New Roman" w:cs="Times New Roman"/>
          <w:lang w:val="es-ES"/>
        </w:rPr>
        <w:t xml:space="preserve"> para</w:t>
      </w:r>
      <w:r>
        <w:rPr>
          <w:rFonts w:ascii="Times New Roman" w:hAnsi="Times New Roman" w:cs="Times New Roman"/>
          <w:lang w:val="es-ES"/>
        </w:rPr>
        <w:t>.</w:t>
      </w:r>
      <w:r w:rsidRPr="007C3AB4">
        <w:rPr>
          <w:rFonts w:ascii="Times New Roman" w:hAnsi="Times New Roman" w:cs="Times New Roman"/>
          <w:lang w:val="es-ES"/>
        </w:rPr>
        <w:t xml:space="preserve"> 166.</w:t>
      </w:r>
    </w:p>
  </w:footnote>
  <w:footnote w:id="120">
    <w:p w14:paraId="020C4DC9" w14:textId="0378D1C1"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D879D2">
        <w:rPr>
          <w:rFonts w:ascii="Times New Roman" w:hAnsi="Times New Roman" w:cs="Times New Roman"/>
          <w:i/>
          <w:lang w:val="es-ES"/>
        </w:rPr>
        <w:t>bid</w:t>
      </w:r>
      <w:proofErr w:type="spellEnd"/>
      <w:r w:rsidRPr="00D879D2">
        <w:rPr>
          <w:rFonts w:ascii="Times New Roman" w:hAnsi="Times New Roman" w:cs="Times New Roman"/>
          <w:i/>
          <w:lang w:val="es-ES"/>
        </w:rPr>
        <w:t>.</w:t>
      </w:r>
    </w:p>
  </w:footnote>
  <w:footnote w:id="121">
    <w:p w14:paraId="4582FF08" w14:textId="032A8157"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D879D2">
        <w:rPr>
          <w:rFonts w:ascii="Times New Roman" w:hAnsi="Times New Roman" w:cs="Times New Roman"/>
          <w:i/>
          <w:lang w:val="es-ES"/>
        </w:rPr>
        <w:t>bid</w:t>
      </w:r>
      <w:proofErr w:type="spellEnd"/>
      <w:r w:rsidRPr="00D879D2">
        <w:rPr>
          <w:rFonts w:ascii="Times New Roman" w:hAnsi="Times New Roman" w:cs="Times New Roman"/>
          <w:i/>
          <w:lang w:val="es-ES"/>
        </w:rPr>
        <w:t>.</w:t>
      </w:r>
    </w:p>
  </w:footnote>
  <w:footnote w:id="122">
    <w:p w14:paraId="0121B87E" w14:textId="6241E73B"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D879D2">
        <w:rPr>
          <w:rFonts w:ascii="Times New Roman" w:hAnsi="Times New Roman" w:cs="Times New Roman"/>
          <w:i/>
          <w:lang w:val="es-ES"/>
        </w:rPr>
        <w:t>bid</w:t>
      </w:r>
      <w:proofErr w:type="spellEnd"/>
      <w:r w:rsidRPr="00D879D2">
        <w:rPr>
          <w:rFonts w:ascii="Times New Roman" w:hAnsi="Times New Roman" w:cs="Times New Roman"/>
          <w:i/>
          <w:lang w:val="es-ES"/>
        </w:rPr>
        <w:t>.</w:t>
      </w:r>
    </w:p>
  </w:footnote>
  <w:footnote w:id="123">
    <w:p w14:paraId="05AF61B7" w14:textId="7B06924F"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proofErr w:type="gramStart"/>
      <w:r w:rsidRPr="00D334D5">
        <w:rPr>
          <w:rFonts w:ascii="Times New Roman" w:hAnsi="Times New Roman" w:cs="Times New Roman"/>
          <w:i/>
          <w:lang w:val="es-ES"/>
        </w:rPr>
        <w:t>Sarayaku</w:t>
      </w:r>
      <w:r>
        <w:rPr>
          <w:rFonts w:ascii="Times New Roman" w:hAnsi="Times New Roman" w:cs="Times New Roman"/>
          <w:i/>
          <w:iCs/>
          <w:lang w:val="es-ES"/>
        </w:rPr>
        <w:t>,</w:t>
      </w:r>
      <w:r w:rsidRPr="00D879D2">
        <w:rPr>
          <w:rFonts w:ascii="Times New Roman" w:hAnsi="Times New Roman" w:cs="Times New Roman"/>
          <w:i/>
          <w:lang w:val="es-ES"/>
        </w:rPr>
        <w:t>supra</w:t>
      </w:r>
      <w:proofErr w:type="spellEnd"/>
      <w:proofErr w:type="gramEnd"/>
      <w:r>
        <w:rPr>
          <w:rFonts w:ascii="Times New Roman" w:hAnsi="Times New Roman" w:cs="Times New Roman"/>
          <w:lang w:val="es-ES"/>
        </w:rPr>
        <w:t xml:space="preserve"> note 27</w:t>
      </w:r>
      <w:r w:rsidRPr="007C3AB4">
        <w:rPr>
          <w:rFonts w:ascii="Times New Roman" w:hAnsi="Times New Roman" w:cs="Times New Roman"/>
          <w:lang w:val="es-ES"/>
        </w:rPr>
        <w:t>, para</w:t>
      </w:r>
      <w:r>
        <w:rPr>
          <w:rFonts w:ascii="Times New Roman" w:hAnsi="Times New Roman" w:cs="Times New Roman"/>
          <w:lang w:val="es-ES"/>
        </w:rPr>
        <w:t>. 50(</w:t>
      </w:r>
      <w:r w:rsidRPr="007C3AB4">
        <w:rPr>
          <w:rFonts w:ascii="Times New Roman" w:hAnsi="Times New Roman" w:cs="Times New Roman"/>
          <w:lang w:val="es-ES"/>
        </w:rPr>
        <w:t>a).</w:t>
      </w:r>
    </w:p>
  </w:footnote>
  <w:footnote w:id="124">
    <w:p w14:paraId="344455D7" w14:textId="28BA0716"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D334D5">
        <w:rPr>
          <w:rFonts w:ascii="Times New Roman" w:hAnsi="Times New Roman" w:cs="Times New Roman"/>
          <w:i/>
          <w:lang w:val="es-ES"/>
        </w:rPr>
        <w:t xml:space="preserve"> </w:t>
      </w:r>
      <w:proofErr w:type="spellStart"/>
      <w:r>
        <w:rPr>
          <w:rFonts w:ascii="Times New Roman" w:hAnsi="Times New Roman" w:cs="Times New Roman"/>
          <w:i/>
          <w:lang w:val="es-ES"/>
        </w:rPr>
        <w:t>Ibid</w:t>
      </w:r>
      <w:proofErr w:type="spellEnd"/>
      <w:r>
        <w:rPr>
          <w:rFonts w:ascii="Times New Roman" w:hAnsi="Times New Roman" w:cs="Times New Roman"/>
          <w:i/>
          <w:lang w:val="es-ES"/>
        </w:rPr>
        <w:t xml:space="preserve">., </w:t>
      </w:r>
      <w:r w:rsidRPr="007C3AB4">
        <w:rPr>
          <w:rFonts w:ascii="Times New Roman" w:hAnsi="Times New Roman" w:cs="Times New Roman"/>
          <w:lang w:val="es-ES"/>
        </w:rPr>
        <w:t>para</w:t>
      </w:r>
      <w:r>
        <w:rPr>
          <w:rFonts w:ascii="Times New Roman" w:hAnsi="Times New Roman" w:cs="Times New Roman"/>
          <w:lang w:val="es-ES"/>
        </w:rPr>
        <w:t>. 51(</w:t>
      </w:r>
      <w:r w:rsidRPr="007C3AB4">
        <w:rPr>
          <w:rFonts w:ascii="Times New Roman" w:hAnsi="Times New Roman" w:cs="Times New Roman"/>
          <w:lang w:val="es-ES"/>
        </w:rPr>
        <w:t>b).</w:t>
      </w:r>
    </w:p>
  </w:footnote>
  <w:footnote w:id="125">
    <w:p w14:paraId="3C9DEC76" w14:textId="079C04B6"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Ibid</w:t>
      </w:r>
      <w:proofErr w:type="spellEnd"/>
      <w:r>
        <w:rPr>
          <w:rFonts w:ascii="Times New Roman" w:hAnsi="Times New Roman" w:cs="Times New Roman"/>
          <w:i/>
          <w:lang w:val="es-ES"/>
        </w:rPr>
        <w:t xml:space="preserve">., </w:t>
      </w:r>
      <w:r w:rsidRPr="007C3AB4">
        <w:rPr>
          <w:rFonts w:ascii="Times New Roman" w:hAnsi="Times New Roman" w:cs="Times New Roman"/>
          <w:lang w:val="es-ES"/>
        </w:rPr>
        <w:t>para</w:t>
      </w:r>
      <w:r>
        <w:rPr>
          <w:rFonts w:ascii="Times New Roman" w:hAnsi="Times New Roman" w:cs="Times New Roman"/>
          <w:lang w:val="es-ES"/>
        </w:rPr>
        <w:t>. 53(</w:t>
      </w:r>
      <w:r w:rsidRPr="007C3AB4">
        <w:rPr>
          <w:rFonts w:ascii="Times New Roman" w:hAnsi="Times New Roman" w:cs="Times New Roman"/>
          <w:lang w:val="es-ES"/>
        </w:rPr>
        <w:t>c).</w:t>
      </w:r>
    </w:p>
  </w:footnote>
  <w:footnote w:id="126">
    <w:p w14:paraId="11852CC5" w14:textId="17168C49"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7C3AB4">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i/>
          <w:lang w:val="es-ES"/>
        </w:rPr>
        <w:t>.</w:t>
      </w:r>
      <w:r>
        <w:rPr>
          <w:rFonts w:ascii="Times New Roman" w:hAnsi="Times New Roman" w:cs="Times New Roman"/>
          <w:lang w:val="es-ES"/>
        </w:rPr>
        <w:t xml:space="preserve">, </w:t>
      </w:r>
      <w:r w:rsidRPr="007C3AB4">
        <w:rPr>
          <w:rFonts w:ascii="Times New Roman" w:hAnsi="Times New Roman" w:cs="Times New Roman"/>
          <w:lang w:val="es-ES"/>
        </w:rPr>
        <w:t>para</w:t>
      </w:r>
      <w:r>
        <w:rPr>
          <w:rFonts w:ascii="Times New Roman" w:hAnsi="Times New Roman" w:cs="Times New Roman"/>
          <w:lang w:val="es-ES"/>
        </w:rPr>
        <w:t>. 57(</w:t>
      </w:r>
      <w:r w:rsidRPr="007C3AB4">
        <w:rPr>
          <w:rFonts w:ascii="Times New Roman" w:hAnsi="Times New Roman" w:cs="Times New Roman"/>
          <w:lang w:val="es-ES"/>
        </w:rPr>
        <w:t>d).</w:t>
      </w:r>
    </w:p>
  </w:footnote>
  <w:footnote w:id="127">
    <w:p w14:paraId="3D133EB5" w14:textId="53031825"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E52C03">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i/>
          <w:lang w:val="es-ES"/>
        </w:rPr>
        <w:t>.</w:t>
      </w:r>
      <w:r>
        <w:rPr>
          <w:rFonts w:ascii="Times New Roman" w:hAnsi="Times New Roman" w:cs="Times New Roman"/>
          <w:lang w:val="es-ES"/>
        </w:rPr>
        <w:t xml:space="preserve">, </w:t>
      </w:r>
      <w:r w:rsidRPr="00E52C03">
        <w:rPr>
          <w:rFonts w:ascii="Times New Roman" w:hAnsi="Times New Roman" w:cs="Times New Roman"/>
          <w:lang w:val="es-ES"/>
        </w:rPr>
        <w:t xml:space="preserve">para. </w:t>
      </w:r>
      <w:r>
        <w:rPr>
          <w:rFonts w:ascii="Times New Roman" w:hAnsi="Times New Roman" w:cs="Times New Roman"/>
        </w:rPr>
        <w:t>60(</w:t>
      </w:r>
      <w:r w:rsidRPr="007C3AB4">
        <w:rPr>
          <w:rFonts w:ascii="Times New Roman" w:hAnsi="Times New Roman" w:cs="Times New Roman"/>
        </w:rPr>
        <w:t>B.6</w:t>
      </w:r>
      <w:r>
        <w:rPr>
          <w:rFonts w:ascii="Times New Roman" w:hAnsi="Times New Roman" w:cs="Times New Roman"/>
        </w:rPr>
        <w:t>)</w:t>
      </w:r>
      <w:r w:rsidRPr="007C3AB4">
        <w:rPr>
          <w:rFonts w:ascii="Times New Roman" w:hAnsi="Times New Roman" w:cs="Times New Roman"/>
        </w:rPr>
        <w:t>.</w:t>
      </w:r>
    </w:p>
  </w:footnote>
  <w:footnote w:id="128">
    <w:p w14:paraId="265987FD" w14:textId="0B4292D2"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O</w:t>
      </w:r>
      <w:r w:rsidRPr="007C3AB4">
        <w:rPr>
          <w:rFonts w:ascii="Times New Roman" w:hAnsi="Times New Roman" w:cs="Times New Roman"/>
        </w:rPr>
        <w:t>n April 21, 201</w:t>
      </w:r>
      <w:r>
        <w:rPr>
          <w:rFonts w:ascii="Times New Roman" w:hAnsi="Times New Roman" w:cs="Times New Roman"/>
        </w:rPr>
        <w:t xml:space="preserve">2, a delegation from the Court </w:t>
      </w:r>
      <w:r w:rsidRPr="007C3AB4">
        <w:rPr>
          <w:rFonts w:ascii="Times New Roman" w:hAnsi="Times New Roman" w:cs="Times New Roman"/>
        </w:rPr>
        <w:t>visited the ter</w:t>
      </w:r>
      <w:r>
        <w:rPr>
          <w:rFonts w:ascii="Times New Roman" w:hAnsi="Times New Roman" w:cs="Times New Roman"/>
        </w:rPr>
        <w:t xml:space="preserve">ritory of the </w:t>
      </w:r>
      <w:proofErr w:type="spellStart"/>
      <w:r>
        <w:rPr>
          <w:rFonts w:ascii="Times New Roman" w:hAnsi="Times New Roman" w:cs="Times New Roman"/>
        </w:rPr>
        <w:t>Sarayaku</w:t>
      </w:r>
      <w:proofErr w:type="spellEnd"/>
      <w:r>
        <w:rPr>
          <w:rFonts w:ascii="Times New Roman" w:hAnsi="Times New Roman" w:cs="Times New Roman"/>
        </w:rPr>
        <w:t xml:space="preserve"> People.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i/>
          <w:lang w:val="es-ES"/>
        </w:rPr>
        <w:t>.</w:t>
      </w:r>
      <w:r>
        <w:rPr>
          <w:rFonts w:ascii="Times New Roman" w:hAnsi="Times New Roman" w:cs="Times New Roman"/>
          <w:lang w:val="es-ES"/>
        </w:rPr>
        <w:t xml:space="preserve">, </w:t>
      </w:r>
      <w:r>
        <w:rPr>
          <w:rFonts w:ascii="Times New Roman" w:hAnsi="Times New Roman" w:cs="Times New Roman"/>
        </w:rPr>
        <w:t>paras. 63(</w:t>
      </w:r>
      <w:r w:rsidRPr="007C3AB4">
        <w:rPr>
          <w:rFonts w:ascii="Times New Roman" w:hAnsi="Times New Roman" w:cs="Times New Roman"/>
        </w:rPr>
        <w:t>B.8</w:t>
      </w:r>
      <w:r>
        <w:rPr>
          <w:rFonts w:ascii="Times New Roman" w:hAnsi="Times New Roman" w:cs="Times New Roman"/>
        </w:rPr>
        <w:t>) and</w:t>
      </w:r>
      <w:r w:rsidRPr="007C3AB4">
        <w:rPr>
          <w:rFonts w:ascii="Times New Roman" w:hAnsi="Times New Roman" w:cs="Times New Roman"/>
        </w:rPr>
        <w:t xml:space="preserve"> 59 </w:t>
      </w:r>
      <w:r>
        <w:rPr>
          <w:rFonts w:ascii="Times New Roman" w:hAnsi="Times New Roman" w:cs="Times New Roman"/>
        </w:rPr>
        <w:t>(</w:t>
      </w:r>
      <w:r w:rsidRPr="007C3AB4">
        <w:rPr>
          <w:rFonts w:ascii="Times New Roman" w:hAnsi="Times New Roman" w:cs="Times New Roman"/>
        </w:rPr>
        <w:t>e).</w:t>
      </w:r>
    </w:p>
  </w:footnote>
  <w:footnote w:id="129">
    <w:p w14:paraId="3D469047" w14:textId="3B3D2B73"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proofErr w:type="spellStart"/>
      <w:r>
        <w:rPr>
          <w:rFonts w:ascii="Times New Roman" w:hAnsi="Times New Roman" w:cs="Times New Roman"/>
          <w:i/>
        </w:rPr>
        <w:t>Kaliña</w:t>
      </w:r>
      <w:proofErr w:type="spellEnd"/>
      <w:r>
        <w:rPr>
          <w:rFonts w:ascii="Times New Roman" w:hAnsi="Times New Roman" w:cs="Times New Roman"/>
          <w:i/>
        </w:rPr>
        <w:t xml:space="preserve"> and </w:t>
      </w:r>
      <w:proofErr w:type="spellStart"/>
      <w:r>
        <w:rPr>
          <w:rFonts w:ascii="Times New Roman" w:hAnsi="Times New Roman" w:cs="Times New Roman"/>
          <w:i/>
        </w:rPr>
        <w:t>Lokono</w:t>
      </w:r>
      <w:proofErr w:type="spellEnd"/>
      <w:r>
        <w:rPr>
          <w:rFonts w:ascii="Times New Roman" w:hAnsi="Times New Roman" w:cs="Times New Roman"/>
          <w:i/>
        </w:rPr>
        <w:t xml:space="preserve"> Peoples </w:t>
      </w:r>
      <w:r w:rsidRPr="00982811">
        <w:rPr>
          <w:rFonts w:ascii="Times New Roman" w:hAnsi="Times New Roman" w:cs="Times New Roman"/>
        </w:rPr>
        <w:t>v.</w:t>
      </w:r>
      <w:r w:rsidRPr="007C3AB4">
        <w:rPr>
          <w:rFonts w:ascii="Times New Roman" w:hAnsi="Times New Roman" w:cs="Times New Roman"/>
          <w:i/>
        </w:rPr>
        <w:t xml:space="preserve"> Suriname</w:t>
      </w:r>
      <w:r>
        <w:rPr>
          <w:rFonts w:ascii="Times New Roman" w:hAnsi="Times New Roman" w:cs="Times New Roman"/>
          <w:i/>
        </w:rPr>
        <w:t xml:space="preserve">, </w:t>
      </w:r>
      <w:r>
        <w:rPr>
          <w:rFonts w:ascii="Times New Roman" w:hAnsi="Times New Roman" w:cs="Times New Roman"/>
        </w:rPr>
        <w:t>25</w:t>
      </w:r>
      <w:r w:rsidRPr="007C3AB4">
        <w:rPr>
          <w:rFonts w:ascii="Times New Roman" w:hAnsi="Times New Roman" w:cs="Times New Roman"/>
        </w:rPr>
        <w:t xml:space="preserve"> </w:t>
      </w:r>
      <w:r>
        <w:rPr>
          <w:rFonts w:ascii="Times New Roman" w:hAnsi="Times New Roman" w:cs="Times New Roman"/>
        </w:rPr>
        <w:t xml:space="preserve">November </w:t>
      </w:r>
      <w:r w:rsidRPr="007C3AB4">
        <w:rPr>
          <w:rFonts w:ascii="Times New Roman" w:hAnsi="Times New Roman" w:cs="Times New Roman"/>
        </w:rPr>
        <w:t>2015</w:t>
      </w:r>
      <w:r>
        <w:rPr>
          <w:rFonts w:ascii="Times New Roman" w:hAnsi="Times New Roman" w:cs="Times New Roman"/>
        </w:rPr>
        <w:t>, I/A Court H.R., Judgment</w:t>
      </w:r>
      <w:r w:rsidRPr="007C3AB4">
        <w:rPr>
          <w:rFonts w:ascii="Times New Roman" w:hAnsi="Times New Roman" w:cs="Times New Roman"/>
        </w:rPr>
        <w:t>.</w:t>
      </w:r>
    </w:p>
  </w:footnote>
  <w:footnote w:id="130">
    <w:p w14:paraId="02DCE029" w14:textId="49D8A26A"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i/>
          <w:lang w:val="es-ES"/>
        </w:rPr>
        <w:t>.</w:t>
      </w:r>
      <w:r>
        <w:rPr>
          <w:rFonts w:ascii="Times New Roman" w:hAnsi="Times New Roman" w:cs="Times New Roman"/>
          <w:lang w:val="es-ES"/>
        </w:rPr>
        <w:t>, p</w:t>
      </w:r>
      <w:r w:rsidRPr="007C3AB4">
        <w:rPr>
          <w:rFonts w:ascii="Times New Roman" w:hAnsi="Times New Roman" w:cs="Times New Roman"/>
          <w:lang w:val="es-ES"/>
        </w:rPr>
        <w:t>ara</w:t>
      </w:r>
      <w:r>
        <w:rPr>
          <w:rFonts w:ascii="Times New Roman" w:hAnsi="Times New Roman" w:cs="Times New Roman"/>
          <w:lang w:val="es-ES"/>
        </w:rPr>
        <w:t>.</w:t>
      </w:r>
      <w:r w:rsidRPr="007C3AB4">
        <w:rPr>
          <w:rFonts w:ascii="Times New Roman" w:hAnsi="Times New Roman" w:cs="Times New Roman"/>
          <w:lang w:val="es-ES"/>
        </w:rPr>
        <w:t xml:space="preserve"> 1.</w:t>
      </w:r>
    </w:p>
  </w:footnote>
  <w:footnote w:id="131">
    <w:p w14:paraId="1B9026AE" w14:textId="7FC7E11D"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i/>
          <w:lang w:val="es-ES"/>
        </w:rPr>
        <w:t>.</w:t>
      </w:r>
      <w:r>
        <w:rPr>
          <w:rFonts w:ascii="Times New Roman" w:hAnsi="Times New Roman" w:cs="Times New Roman"/>
          <w:lang w:val="es-ES"/>
        </w:rPr>
        <w:t>, p</w:t>
      </w:r>
      <w:r w:rsidRPr="007C3AB4">
        <w:rPr>
          <w:rFonts w:ascii="Times New Roman" w:hAnsi="Times New Roman" w:cs="Times New Roman"/>
          <w:lang w:val="es-ES"/>
        </w:rPr>
        <w:t>ara</w:t>
      </w:r>
      <w:r>
        <w:rPr>
          <w:rFonts w:ascii="Times New Roman" w:hAnsi="Times New Roman" w:cs="Times New Roman"/>
          <w:lang w:val="es-ES"/>
        </w:rPr>
        <w:t>s.</w:t>
      </w:r>
      <w:r w:rsidRPr="007C3AB4">
        <w:rPr>
          <w:rFonts w:ascii="Times New Roman" w:hAnsi="Times New Roman" w:cs="Times New Roman"/>
          <w:lang w:val="es-ES"/>
        </w:rPr>
        <w:t xml:space="preserve"> 204 and 205.</w:t>
      </w:r>
    </w:p>
  </w:footnote>
  <w:footnote w:id="132">
    <w:p w14:paraId="765E4B48" w14:textId="75458122"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i/>
          <w:lang w:val="es-ES"/>
        </w:rPr>
        <w:t>.</w:t>
      </w:r>
      <w:r>
        <w:rPr>
          <w:rFonts w:ascii="Times New Roman" w:hAnsi="Times New Roman" w:cs="Times New Roman"/>
          <w:lang w:val="es-ES"/>
        </w:rPr>
        <w:t>, p</w:t>
      </w:r>
      <w:r w:rsidRPr="007C3AB4">
        <w:rPr>
          <w:rFonts w:ascii="Times New Roman" w:hAnsi="Times New Roman" w:cs="Times New Roman"/>
          <w:lang w:val="es-ES"/>
        </w:rPr>
        <w:t>ara</w:t>
      </w:r>
      <w:r>
        <w:rPr>
          <w:rFonts w:ascii="Times New Roman" w:hAnsi="Times New Roman" w:cs="Times New Roman"/>
          <w:lang w:val="es-ES"/>
        </w:rPr>
        <w:t>.</w:t>
      </w:r>
      <w:r w:rsidRPr="007C3AB4">
        <w:rPr>
          <w:rFonts w:ascii="Times New Roman" w:hAnsi="Times New Roman" w:cs="Times New Roman"/>
          <w:lang w:val="es-ES"/>
        </w:rPr>
        <w:t xml:space="preserve"> 211.</w:t>
      </w:r>
    </w:p>
  </w:footnote>
  <w:footnote w:id="133">
    <w:p w14:paraId="658483E4" w14:textId="41CC6913"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i/>
          <w:lang w:val="es-ES"/>
        </w:rPr>
        <w:t>.</w:t>
      </w:r>
      <w:r>
        <w:rPr>
          <w:rFonts w:ascii="Times New Roman" w:hAnsi="Times New Roman" w:cs="Times New Roman"/>
          <w:lang w:val="es-ES"/>
        </w:rPr>
        <w:t>, p</w:t>
      </w:r>
      <w:r w:rsidRPr="007C3AB4">
        <w:rPr>
          <w:rFonts w:ascii="Times New Roman" w:hAnsi="Times New Roman" w:cs="Times New Roman"/>
          <w:lang w:val="es-ES"/>
        </w:rPr>
        <w:t>ara</w:t>
      </w:r>
      <w:r>
        <w:rPr>
          <w:rFonts w:ascii="Times New Roman" w:hAnsi="Times New Roman" w:cs="Times New Roman"/>
          <w:lang w:val="es-ES"/>
        </w:rPr>
        <w:t>.</w:t>
      </w:r>
      <w:r w:rsidRPr="007C3AB4">
        <w:rPr>
          <w:rFonts w:ascii="Times New Roman" w:hAnsi="Times New Roman" w:cs="Times New Roman"/>
          <w:lang w:val="es-ES"/>
        </w:rPr>
        <w:t xml:space="preserve"> 214.</w:t>
      </w:r>
    </w:p>
  </w:footnote>
  <w:footnote w:id="134">
    <w:p w14:paraId="04D51DDB" w14:textId="30B0AA26" w:rsidR="00DE3CB2" w:rsidRPr="00E52C03"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C44882">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i/>
          <w:lang w:val="es-ES"/>
        </w:rPr>
        <w:t>.</w:t>
      </w:r>
      <w:r w:rsidRPr="00C44882">
        <w:rPr>
          <w:rFonts w:ascii="Times New Roman" w:hAnsi="Times New Roman" w:cs="Times New Roman"/>
          <w:lang w:val="es-ES"/>
        </w:rPr>
        <w:t>, paras</w:t>
      </w:r>
      <w:r>
        <w:rPr>
          <w:rFonts w:ascii="Times New Roman" w:hAnsi="Times New Roman" w:cs="Times New Roman"/>
          <w:lang w:val="es-ES"/>
        </w:rPr>
        <w:t>.</w:t>
      </w:r>
      <w:r w:rsidRPr="00C44882">
        <w:rPr>
          <w:rFonts w:ascii="Times New Roman" w:hAnsi="Times New Roman" w:cs="Times New Roman"/>
          <w:lang w:val="es-ES"/>
        </w:rPr>
        <w:t xml:space="preserve"> </w:t>
      </w:r>
      <w:r w:rsidRPr="00E52C03">
        <w:rPr>
          <w:rFonts w:ascii="Times New Roman" w:hAnsi="Times New Roman" w:cs="Times New Roman"/>
        </w:rPr>
        <w:t>223 and 224.</w:t>
      </w:r>
    </w:p>
  </w:footnote>
  <w:footnote w:id="135">
    <w:p w14:paraId="7D68BE41" w14:textId="7777777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7C3AB4">
        <w:rPr>
          <w:rFonts w:ascii="Times New Roman" w:hAnsi="Times New Roman" w:cs="Times New Roman"/>
        </w:rPr>
        <w:t xml:space="preserve">A. Fuentes, ‘Judicial Interpretation and Indigenous Peoples’ Rights to Lands, Participation and Consultation. The Inter-American Court of Human Rights’, 23:1 </w:t>
      </w:r>
      <w:r w:rsidRPr="007C3AB4">
        <w:rPr>
          <w:rFonts w:ascii="Times New Roman" w:hAnsi="Times New Roman" w:cs="Times New Roman"/>
          <w:i/>
        </w:rPr>
        <w:t>International Journal on Minority and Group Rights</w:t>
      </w:r>
      <w:r w:rsidRPr="007C3AB4">
        <w:rPr>
          <w:rFonts w:ascii="Times New Roman" w:hAnsi="Times New Roman" w:cs="Times New Roman"/>
        </w:rPr>
        <w:t xml:space="preserve"> (2016) pp. 39 -79.</w:t>
      </w:r>
    </w:p>
  </w:footnote>
  <w:footnote w:id="136">
    <w:p w14:paraId="6300A7CE" w14:textId="4627EB9E"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proofErr w:type="spellStart"/>
      <w:r w:rsidRPr="00E52C03">
        <w:rPr>
          <w:rFonts w:ascii="Times New Roman" w:hAnsi="Times New Roman" w:cs="Times New Roman"/>
          <w:i/>
        </w:rPr>
        <w:t>Sarayaku</w:t>
      </w:r>
      <w:proofErr w:type="spellEnd"/>
      <w:r w:rsidRPr="00E52C03">
        <w:rPr>
          <w:rFonts w:ascii="Times New Roman" w:hAnsi="Times New Roman" w:cs="Times New Roman"/>
        </w:rPr>
        <w:t xml:space="preserve"> </w:t>
      </w:r>
      <w:r w:rsidRPr="00E52C03">
        <w:rPr>
          <w:rFonts w:ascii="Times New Roman" w:hAnsi="Times New Roman" w:cs="Times New Roman"/>
          <w:i/>
        </w:rPr>
        <w:t>supra</w:t>
      </w:r>
      <w:r>
        <w:rPr>
          <w:rFonts w:ascii="Times New Roman" w:hAnsi="Times New Roman" w:cs="Times New Roman"/>
        </w:rPr>
        <w:t xml:space="preserve"> note 27</w:t>
      </w:r>
      <w:r w:rsidRPr="00E52C03">
        <w:rPr>
          <w:rFonts w:ascii="Times New Roman" w:hAnsi="Times New Roman" w:cs="Times New Roman"/>
        </w:rPr>
        <w:t xml:space="preserve">, </w:t>
      </w:r>
      <w:r w:rsidRPr="007C3AB4">
        <w:rPr>
          <w:rFonts w:ascii="Times New Roman" w:hAnsi="Times New Roman" w:cs="Times New Roman"/>
        </w:rPr>
        <w:t>para</w:t>
      </w:r>
      <w:r>
        <w:rPr>
          <w:rFonts w:ascii="Times New Roman" w:hAnsi="Times New Roman" w:cs="Times New Roman"/>
        </w:rPr>
        <w:t>.</w:t>
      </w:r>
      <w:r w:rsidRPr="007C3AB4">
        <w:rPr>
          <w:rFonts w:ascii="Times New Roman" w:hAnsi="Times New Roman" w:cs="Times New Roman"/>
        </w:rPr>
        <w:t>146.</w:t>
      </w:r>
    </w:p>
  </w:footnote>
  <w:footnote w:id="137">
    <w:p w14:paraId="2AFAF22B" w14:textId="43D36F1E" w:rsidR="00DE3CB2" w:rsidRPr="00C41A9F" w:rsidRDefault="00DE3CB2" w:rsidP="00C41A9F">
      <w:pPr>
        <w:pStyle w:val="FootnoteText"/>
        <w:jc w:val="both"/>
        <w:rPr>
          <w:rFonts w:ascii="Times New Roman" w:hAnsi="Times New Roman" w:cs="Times New Roman"/>
        </w:rPr>
      </w:pPr>
      <w:r w:rsidRPr="00C41A9F">
        <w:rPr>
          <w:rStyle w:val="FootnoteReference"/>
          <w:rFonts w:ascii="Times New Roman" w:hAnsi="Times New Roman" w:cs="Times New Roman"/>
        </w:rPr>
        <w:footnoteRef/>
      </w:r>
      <w:r w:rsidRPr="00C41A9F">
        <w:rPr>
          <w:rFonts w:ascii="Times New Roman" w:hAnsi="Times New Roman" w:cs="Times New Roman"/>
        </w:rPr>
        <w:t xml:space="preserve"> </w:t>
      </w:r>
      <w:proofErr w:type="spellStart"/>
      <w:r w:rsidRPr="00336D81">
        <w:rPr>
          <w:rFonts w:ascii="Times New Roman" w:hAnsi="Times New Roman" w:cs="Times New Roman"/>
          <w:i/>
        </w:rPr>
        <w:t>Sarayaku</w:t>
      </w:r>
      <w:proofErr w:type="spellEnd"/>
      <w:r w:rsidRPr="00336D81">
        <w:rPr>
          <w:rFonts w:ascii="Times New Roman" w:hAnsi="Times New Roman" w:cs="Times New Roman"/>
        </w:rPr>
        <w:t xml:space="preserve"> </w:t>
      </w:r>
      <w:r w:rsidRPr="006237D3">
        <w:rPr>
          <w:rFonts w:ascii="Times New Roman" w:hAnsi="Times New Roman" w:cs="Times New Roman"/>
          <w:i/>
        </w:rPr>
        <w:t>supra</w:t>
      </w:r>
      <w:r w:rsidRPr="006237D3">
        <w:rPr>
          <w:rFonts w:ascii="Times New Roman" w:hAnsi="Times New Roman" w:cs="Times New Roman"/>
        </w:rPr>
        <w:t xml:space="preserve"> note 27, para.</w:t>
      </w:r>
      <w:r>
        <w:rPr>
          <w:rFonts w:ascii="Times New Roman" w:hAnsi="Times New Roman" w:cs="Times New Roman"/>
        </w:rPr>
        <w:t xml:space="preserve"> 186, footnote 267 and para. </w:t>
      </w:r>
      <w:r w:rsidRPr="00C41A9F">
        <w:rPr>
          <w:rFonts w:ascii="Times New Roman" w:hAnsi="Times New Roman" w:cs="Times New Roman"/>
        </w:rPr>
        <w:t>232.</w:t>
      </w:r>
    </w:p>
  </w:footnote>
  <w:footnote w:id="138">
    <w:p w14:paraId="5719DB1E" w14:textId="417DE804"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proofErr w:type="spellStart"/>
      <w:r w:rsidRPr="00D334D5">
        <w:rPr>
          <w:rFonts w:ascii="Times New Roman" w:hAnsi="Times New Roman" w:cs="Times New Roman"/>
          <w:i/>
        </w:rPr>
        <w:t>Awas</w:t>
      </w:r>
      <w:proofErr w:type="spellEnd"/>
      <w:r w:rsidRPr="00D334D5">
        <w:rPr>
          <w:rFonts w:ascii="Times New Roman" w:hAnsi="Times New Roman" w:cs="Times New Roman"/>
          <w:i/>
        </w:rPr>
        <w:t xml:space="preserve"> </w:t>
      </w:r>
      <w:proofErr w:type="spellStart"/>
      <w:r w:rsidRPr="00D334D5">
        <w:rPr>
          <w:rFonts w:ascii="Times New Roman" w:hAnsi="Times New Roman" w:cs="Times New Roman"/>
          <w:i/>
        </w:rPr>
        <w:t>Tingni</w:t>
      </w:r>
      <w:proofErr w:type="spellEnd"/>
      <w:r>
        <w:rPr>
          <w:rFonts w:ascii="Times New Roman" w:hAnsi="Times New Roman" w:cs="Times New Roman"/>
          <w:i/>
        </w:rPr>
        <w:t xml:space="preserve"> </w:t>
      </w:r>
      <w:r w:rsidRPr="00E52C03">
        <w:rPr>
          <w:rFonts w:ascii="Times New Roman" w:hAnsi="Times New Roman" w:cs="Times New Roman"/>
          <w:i/>
        </w:rPr>
        <w:t>supra</w:t>
      </w:r>
      <w:r w:rsidRPr="00E52C03">
        <w:rPr>
          <w:rFonts w:ascii="Times New Roman" w:hAnsi="Times New Roman" w:cs="Times New Roman"/>
        </w:rPr>
        <w:t xml:space="preserve"> note</w:t>
      </w:r>
      <w:r>
        <w:rPr>
          <w:rFonts w:ascii="Times New Roman" w:hAnsi="Times New Roman" w:cs="Times New Roman"/>
        </w:rPr>
        <w:t xml:space="preserve"> 90</w:t>
      </w:r>
      <w:r w:rsidRPr="007C3AB4">
        <w:rPr>
          <w:rFonts w:ascii="Times New Roman" w:hAnsi="Times New Roman" w:cs="Times New Roman"/>
        </w:rPr>
        <w:t>.</w:t>
      </w:r>
    </w:p>
  </w:footnote>
  <w:footnote w:id="139">
    <w:p w14:paraId="15F7FA3F" w14:textId="6612C692"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proofErr w:type="spellStart"/>
      <w:r w:rsidRPr="00D334D5">
        <w:rPr>
          <w:rFonts w:ascii="Times New Roman" w:hAnsi="Times New Roman" w:cs="Times New Roman"/>
          <w:i/>
        </w:rPr>
        <w:t>Saramaka</w:t>
      </w:r>
      <w:proofErr w:type="spellEnd"/>
      <w:r>
        <w:rPr>
          <w:rFonts w:ascii="Times New Roman" w:hAnsi="Times New Roman" w:cs="Times New Roman"/>
        </w:rPr>
        <w:t xml:space="preserve"> supra note 15</w:t>
      </w:r>
      <w:r w:rsidRPr="007C3AB4">
        <w:rPr>
          <w:rFonts w:ascii="Times New Roman" w:hAnsi="Times New Roman" w:cs="Times New Roman"/>
        </w:rPr>
        <w:t>.</w:t>
      </w:r>
    </w:p>
  </w:footnote>
  <w:footnote w:id="140">
    <w:p w14:paraId="65480F63" w14:textId="0C7F2E7B"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TM </w:t>
      </w:r>
      <w:proofErr w:type="spellStart"/>
      <w:r w:rsidRPr="007C3AB4">
        <w:rPr>
          <w:rFonts w:ascii="Times New Roman" w:hAnsi="Times New Roman" w:cs="Times New Roman"/>
        </w:rPr>
        <w:t>Antkowiak</w:t>
      </w:r>
      <w:proofErr w:type="spellEnd"/>
      <w:r w:rsidRPr="007C3AB4">
        <w:rPr>
          <w:rFonts w:ascii="Times New Roman" w:hAnsi="Times New Roman" w:cs="Times New Roman"/>
        </w:rPr>
        <w:t>, ‘A Dark Side of Virtue: The Inter- American Court and Reparatio</w:t>
      </w:r>
      <w:r>
        <w:rPr>
          <w:rFonts w:ascii="Times New Roman" w:hAnsi="Times New Roman" w:cs="Times New Roman"/>
        </w:rPr>
        <w:t>ns for Indigenous Peoples’, 25:1</w:t>
      </w:r>
      <w:r w:rsidRPr="007C3AB4">
        <w:rPr>
          <w:rFonts w:ascii="Times New Roman" w:hAnsi="Times New Roman" w:cs="Times New Roman"/>
        </w:rPr>
        <w:t xml:space="preserve"> </w:t>
      </w:r>
      <w:r w:rsidRPr="007C3AB4">
        <w:rPr>
          <w:rFonts w:ascii="Times New Roman" w:hAnsi="Times New Roman" w:cs="Times New Roman"/>
          <w:i/>
        </w:rPr>
        <w:t>Duke Journal of Comparative &amp; International Law</w:t>
      </w:r>
      <w:r w:rsidRPr="007C3AB4">
        <w:rPr>
          <w:rFonts w:ascii="Times New Roman" w:hAnsi="Times New Roman" w:cs="Times New Roman"/>
        </w:rPr>
        <w:t xml:space="preserve"> (2014) pp. 1-80.</w:t>
      </w:r>
    </w:p>
  </w:footnote>
  <w:footnote w:id="141">
    <w:p w14:paraId="18833444" w14:textId="4D190150"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sidRPr="006709D8">
        <w:rPr>
          <w:rFonts w:ascii="Times New Roman" w:hAnsi="Times New Roman" w:cs="Times New Roman"/>
          <w:i/>
        </w:rPr>
        <w:t>See</w:t>
      </w:r>
      <w:r>
        <w:rPr>
          <w:rFonts w:ascii="Times New Roman" w:hAnsi="Times New Roman" w:cs="Times New Roman"/>
        </w:rPr>
        <w:t>, for instance,</w:t>
      </w:r>
      <w:r w:rsidRPr="007C3AB4">
        <w:rPr>
          <w:rFonts w:ascii="Times New Roman" w:hAnsi="Times New Roman" w:cs="Times New Roman"/>
        </w:rPr>
        <w:t xml:space="preserve"> Colombian</w:t>
      </w:r>
      <w:r>
        <w:rPr>
          <w:rFonts w:ascii="Times New Roman" w:hAnsi="Times New Roman" w:cs="Times New Roman"/>
        </w:rPr>
        <w:t xml:space="preserve"> Constitutional Court ST-769-09</w:t>
      </w:r>
      <w:r w:rsidRPr="007C3AB4">
        <w:rPr>
          <w:rFonts w:ascii="Times New Roman" w:hAnsi="Times New Roman" w:cs="Times New Roman"/>
        </w:rPr>
        <w:t>.</w:t>
      </w:r>
    </w:p>
  </w:footnote>
  <w:footnote w:id="142">
    <w:p w14:paraId="7C78CC5F" w14:textId="53544655" w:rsidR="00DE3CB2" w:rsidRPr="007C3AB4" w:rsidRDefault="00DE3CB2" w:rsidP="00B9033F">
      <w:pPr>
        <w:pStyle w:val="FootnoteText"/>
        <w:jc w:val="both"/>
        <w:rPr>
          <w:rFonts w:ascii="Times New Roman" w:hAnsi="Times New Roman" w:cs="Times New Roman"/>
          <w:lang w:val="en-US"/>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7C3AB4">
        <w:rPr>
          <w:rFonts w:ascii="Times New Roman" w:hAnsi="Times New Roman" w:cs="Times New Roman"/>
          <w:lang w:val="en-US"/>
        </w:rPr>
        <w:t>G</w:t>
      </w:r>
      <w:r>
        <w:rPr>
          <w:rFonts w:ascii="Times New Roman" w:hAnsi="Times New Roman" w:cs="Times New Roman"/>
          <w:lang w:val="en-US"/>
        </w:rPr>
        <w:t>.</w:t>
      </w:r>
      <w:r w:rsidRPr="007C3AB4">
        <w:rPr>
          <w:rFonts w:ascii="Times New Roman" w:hAnsi="Times New Roman" w:cs="Times New Roman"/>
          <w:lang w:val="en-US"/>
        </w:rPr>
        <w:t xml:space="preserve"> Lynch, ‘Becoming Indigenous in the Pursuit of Justice: The African Commission on Human and Peoples’ Rights and the </w:t>
      </w:r>
      <w:proofErr w:type="spellStart"/>
      <w:r w:rsidRPr="007C3AB4">
        <w:rPr>
          <w:rFonts w:ascii="Times New Roman" w:hAnsi="Times New Roman" w:cs="Times New Roman"/>
          <w:lang w:val="en-US"/>
        </w:rPr>
        <w:t>Endorois</w:t>
      </w:r>
      <w:proofErr w:type="spellEnd"/>
      <w:r w:rsidRPr="007C3AB4">
        <w:rPr>
          <w:rFonts w:ascii="Times New Roman" w:hAnsi="Times New Roman" w:cs="Times New Roman"/>
          <w:lang w:val="en-US"/>
        </w:rPr>
        <w:t xml:space="preserve">’, 111 (442) </w:t>
      </w:r>
      <w:proofErr w:type="spellStart"/>
      <w:r w:rsidRPr="007C3AB4">
        <w:rPr>
          <w:rFonts w:ascii="Times New Roman" w:hAnsi="Times New Roman" w:cs="Times New Roman"/>
          <w:i/>
          <w:lang w:val="en-US"/>
        </w:rPr>
        <w:t>Afr</w:t>
      </w:r>
      <w:proofErr w:type="spellEnd"/>
      <w:r w:rsidRPr="007C3AB4">
        <w:rPr>
          <w:rFonts w:ascii="Times New Roman" w:hAnsi="Times New Roman" w:cs="Times New Roman"/>
          <w:i/>
          <w:lang w:val="en-US"/>
        </w:rPr>
        <w:t xml:space="preserve"> </w:t>
      </w:r>
      <w:proofErr w:type="spellStart"/>
      <w:r w:rsidRPr="007C3AB4">
        <w:rPr>
          <w:rFonts w:ascii="Times New Roman" w:hAnsi="Times New Roman" w:cs="Times New Roman"/>
          <w:i/>
          <w:lang w:val="en-US"/>
        </w:rPr>
        <w:t>Aff</w:t>
      </w:r>
      <w:proofErr w:type="spellEnd"/>
      <w:r w:rsidRPr="007C3AB4">
        <w:rPr>
          <w:rFonts w:ascii="Times New Roman" w:hAnsi="Times New Roman" w:cs="Times New Roman"/>
          <w:i/>
          <w:lang w:val="en-US"/>
        </w:rPr>
        <w:t xml:space="preserve"> (</w:t>
      </w:r>
      <w:proofErr w:type="spellStart"/>
      <w:r w:rsidRPr="007C3AB4">
        <w:rPr>
          <w:rFonts w:ascii="Times New Roman" w:hAnsi="Times New Roman" w:cs="Times New Roman"/>
          <w:i/>
          <w:lang w:val="en-US"/>
        </w:rPr>
        <w:t>Lond</w:t>
      </w:r>
      <w:proofErr w:type="spellEnd"/>
      <w:r w:rsidRPr="007C3AB4">
        <w:rPr>
          <w:rFonts w:ascii="Times New Roman" w:hAnsi="Times New Roman" w:cs="Times New Roman"/>
          <w:i/>
          <w:lang w:val="en-US"/>
        </w:rPr>
        <w:t>)</w:t>
      </w:r>
      <w:r w:rsidRPr="007C3AB4">
        <w:rPr>
          <w:rFonts w:ascii="Times New Roman" w:hAnsi="Times New Roman" w:cs="Times New Roman"/>
          <w:lang w:val="en-US"/>
        </w:rPr>
        <w:t xml:space="preserve"> (2012) pp. 24-45.</w:t>
      </w:r>
    </w:p>
  </w:footnote>
  <w:footnote w:id="143">
    <w:p w14:paraId="41455724" w14:textId="40891A5C" w:rsidR="00DE3CB2" w:rsidRPr="007C3AB4" w:rsidRDefault="00DE3CB2" w:rsidP="00B9033F">
      <w:pPr>
        <w:pStyle w:val="FootnoteText"/>
        <w:jc w:val="both"/>
        <w:rPr>
          <w:rFonts w:ascii="Times New Roman" w:hAnsi="Times New Roman" w:cs="Times New Roman"/>
          <w:lang w:val="en-US"/>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Pr>
          <w:rFonts w:ascii="Times New Roman" w:hAnsi="Times New Roman" w:cs="Times New Roman"/>
        </w:rPr>
        <w:t xml:space="preserve">Advisory Opinion on UNDRIP, </w:t>
      </w:r>
      <w:r w:rsidRPr="007C3AB4">
        <w:rPr>
          <w:rFonts w:ascii="Times New Roman" w:hAnsi="Times New Roman" w:cs="Times New Roman"/>
          <w:lang w:val="en-US"/>
        </w:rPr>
        <w:t xml:space="preserve">African </w:t>
      </w:r>
      <w:proofErr w:type="gramStart"/>
      <w:r w:rsidRPr="007C3AB4">
        <w:rPr>
          <w:rFonts w:ascii="Times New Roman" w:hAnsi="Times New Roman" w:cs="Times New Roman"/>
          <w:lang w:val="en-US"/>
        </w:rPr>
        <w:t xml:space="preserve">Commission, </w:t>
      </w:r>
      <w:r w:rsidRPr="007C4DBF">
        <w:rPr>
          <w:rFonts w:ascii="Times New Roman" w:hAnsi="Times New Roman" w:cs="Times New Roman"/>
          <w:lang w:val="en-US"/>
        </w:rPr>
        <w:t xml:space="preserve"> (</w:t>
      </w:r>
      <w:proofErr w:type="gramEnd"/>
      <w:r w:rsidRPr="007C4DBF">
        <w:rPr>
          <w:rFonts w:ascii="Times New Roman" w:hAnsi="Times New Roman" w:cs="Times New Roman"/>
          <w:lang w:val="en-US"/>
        </w:rPr>
        <w:t xml:space="preserve">2007), </w:t>
      </w:r>
      <w:r>
        <w:rPr>
          <w:rFonts w:ascii="Times New Roman" w:hAnsi="Times New Roman" w:cs="Times New Roman"/>
          <w:lang w:val="en-US"/>
        </w:rPr>
        <w:t xml:space="preserve">para. </w:t>
      </w:r>
      <w:r w:rsidRPr="007C3AB4">
        <w:rPr>
          <w:rFonts w:ascii="Times New Roman" w:hAnsi="Times New Roman" w:cs="Times New Roman"/>
          <w:lang w:val="en-US"/>
        </w:rPr>
        <w:t>35.</w:t>
      </w:r>
    </w:p>
  </w:footnote>
  <w:footnote w:id="144">
    <w:p w14:paraId="1C2CD905" w14:textId="757E9922" w:rsidR="00DE3CB2" w:rsidRPr="007C3AB4" w:rsidRDefault="00DE3CB2" w:rsidP="00B9033F">
      <w:pPr>
        <w:spacing w:after="0" w:line="240" w:lineRule="auto"/>
        <w:jc w:val="both"/>
        <w:rPr>
          <w:rFonts w:ascii="Times New Roman" w:hAnsi="Times New Roman" w:cs="Times New Roman"/>
          <w:sz w:val="20"/>
          <w:szCs w:val="20"/>
          <w:lang w:val="en-US"/>
        </w:rPr>
      </w:pPr>
      <w:r w:rsidRPr="007C3AB4">
        <w:rPr>
          <w:rStyle w:val="FootnoteReference"/>
          <w:rFonts w:ascii="Times New Roman" w:hAnsi="Times New Roman" w:cs="Times New Roman"/>
          <w:sz w:val="20"/>
          <w:szCs w:val="20"/>
        </w:rPr>
        <w:footnoteRef/>
      </w:r>
      <w:r w:rsidRPr="007C3AB4">
        <w:rPr>
          <w:rStyle w:val="FootnoteReference"/>
          <w:rFonts w:ascii="Times New Roman" w:hAnsi="Times New Roman" w:cs="Times New Roman"/>
          <w:sz w:val="20"/>
          <w:szCs w:val="20"/>
        </w:rPr>
        <w:t xml:space="preserve"> </w:t>
      </w:r>
      <w:r w:rsidRPr="006709D8">
        <w:rPr>
          <w:rFonts w:ascii="Times New Roman" w:hAnsi="Times New Roman" w:cs="Times New Roman"/>
          <w:i/>
          <w:sz w:val="20"/>
          <w:szCs w:val="20"/>
          <w:lang w:val="en-US"/>
        </w:rPr>
        <w:t>See</w:t>
      </w:r>
      <w:r w:rsidRPr="007C3AB4">
        <w:rPr>
          <w:rFonts w:ascii="Times New Roman" w:hAnsi="Times New Roman" w:cs="Times New Roman"/>
          <w:sz w:val="20"/>
          <w:szCs w:val="20"/>
          <w:lang w:val="en-US"/>
        </w:rPr>
        <w:t xml:space="preserve"> also </w:t>
      </w:r>
      <w:r w:rsidRPr="0030381B">
        <w:rPr>
          <w:rFonts w:ascii="Times New Roman" w:hAnsi="Times New Roman" w:cs="Times New Roman"/>
          <w:i/>
          <w:sz w:val="20"/>
          <w:szCs w:val="20"/>
          <w:lang w:val="en-US"/>
        </w:rPr>
        <w:t xml:space="preserve">Maya indigenous community of the Toledo District </w:t>
      </w:r>
      <w:r>
        <w:rPr>
          <w:rFonts w:ascii="Times New Roman" w:hAnsi="Times New Roman" w:cs="Times New Roman"/>
          <w:i/>
          <w:sz w:val="20"/>
          <w:szCs w:val="20"/>
          <w:lang w:val="en-US"/>
        </w:rPr>
        <w:t xml:space="preserve">supra </w:t>
      </w:r>
      <w:r>
        <w:rPr>
          <w:rFonts w:ascii="Times New Roman" w:hAnsi="Times New Roman" w:cs="Times New Roman"/>
          <w:sz w:val="20"/>
          <w:szCs w:val="20"/>
          <w:lang w:val="en-US"/>
        </w:rPr>
        <w:t xml:space="preserve">note 80, </w:t>
      </w:r>
      <w:r w:rsidRPr="007C3AB4">
        <w:rPr>
          <w:rFonts w:ascii="Times New Roman" w:hAnsi="Times New Roman" w:cs="Times New Roman"/>
          <w:sz w:val="20"/>
          <w:szCs w:val="20"/>
          <w:lang w:val="en-US"/>
        </w:rPr>
        <w:t>para</w:t>
      </w:r>
      <w:r>
        <w:rPr>
          <w:rFonts w:ascii="Times New Roman" w:hAnsi="Times New Roman" w:cs="Times New Roman"/>
          <w:sz w:val="20"/>
          <w:szCs w:val="20"/>
          <w:lang w:val="en-US"/>
        </w:rPr>
        <w:t>.</w:t>
      </w:r>
      <w:r w:rsidRPr="007C3AB4">
        <w:rPr>
          <w:rFonts w:ascii="Times New Roman" w:hAnsi="Times New Roman" w:cs="Times New Roman"/>
          <w:sz w:val="20"/>
          <w:szCs w:val="20"/>
          <w:lang w:val="en-US"/>
        </w:rPr>
        <w:t xml:space="preserve"> 197(1).</w:t>
      </w:r>
    </w:p>
  </w:footnote>
  <w:footnote w:id="145">
    <w:p w14:paraId="13F62EB3" w14:textId="33A547A8" w:rsidR="00DE3CB2" w:rsidRPr="007C3AB4" w:rsidRDefault="00DE3CB2" w:rsidP="00B9033F">
      <w:pPr>
        <w:pStyle w:val="FootnoteText"/>
        <w:jc w:val="both"/>
        <w:rPr>
          <w:rFonts w:ascii="Times New Roman" w:hAnsi="Times New Roman" w:cs="Times New Roman"/>
          <w:lang w:val="en-US"/>
        </w:rPr>
      </w:pPr>
      <w:r w:rsidRPr="007C3AB4">
        <w:rPr>
          <w:rStyle w:val="FootnoteReference"/>
          <w:rFonts w:ascii="Times New Roman" w:hAnsi="Times New Roman" w:cs="Times New Roman"/>
        </w:rPr>
        <w:footnoteRef/>
      </w:r>
      <w:r w:rsidRPr="007C3AB4">
        <w:rPr>
          <w:rFonts w:ascii="Times New Roman" w:hAnsi="Times New Roman" w:cs="Times New Roman"/>
          <w:lang w:val="en-US"/>
        </w:rPr>
        <w:t xml:space="preserve"> J. </w:t>
      </w:r>
      <w:proofErr w:type="spellStart"/>
      <w:r w:rsidRPr="007C3AB4">
        <w:rPr>
          <w:rFonts w:ascii="Times New Roman" w:hAnsi="Times New Roman" w:cs="Times New Roman"/>
          <w:lang w:val="en-US"/>
        </w:rPr>
        <w:t>Igoe</w:t>
      </w:r>
      <w:proofErr w:type="spellEnd"/>
      <w:r w:rsidRPr="007C3AB4">
        <w:rPr>
          <w:rFonts w:ascii="Times New Roman" w:hAnsi="Times New Roman" w:cs="Times New Roman"/>
          <w:lang w:val="en-US"/>
        </w:rPr>
        <w:t>, ‘Becoming indigenous peoples: Difference, inequality, and the globalization of East A</w:t>
      </w:r>
      <w:r>
        <w:rPr>
          <w:rFonts w:ascii="Times New Roman" w:hAnsi="Times New Roman" w:cs="Times New Roman"/>
          <w:lang w:val="en-US"/>
        </w:rPr>
        <w:t>frican identity politics’, 105:420</w:t>
      </w:r>
      <w:r w:rsidRPr="007C3AB4">
        <w:rPr>
          <w:rFonts w:ascii="Times New Roman" w:hAnsi="Times New Roman" w:cs="Times New Roman"/>
          <w:lang w:val="en-US"/>
        </w:rPr>
        <w:t xml:space="preserve"> </w:t>
      </w:r>
      <w:proofErr w:type="spellStart"/>
      <w:r w:rsidRPr="007C3AB4">
        <w:rPr>
          <w:rFonts w:ascii="Times New Roman" w:hAnsi="Times New Roman" w:cs="Times New Roman"/>
          <w:i/>
          <w:lang w:val="en-US"/>
        </w:rPr>
        <w:t>Afr</w:t>
      </w:r>
      <w:proofErr w:type="spellEnd"/>
      <w:r w:rsidRPr="007C3AB4">
        <w:rPr>
          <w:rFonts w:ascii="Times New Roman" w:hAnsi="Times New Roman" w:cs="Times New Roman"/>
          <w:i/>
          <w:lang w:val="en-US"/>
        </w:rPr>
        <w:t xml:space="preserve"> </w:t>
      </w:r>
      <w:proofErr w:type="spellStart"/>
      <w:r w:rsidRPr="007C3AB4">
        <w:rPr>
          <w:rFonts w:ascii="Times New Roman" w:hAnsi="Times New Roman" w:cs="Times New Roman"/>
          <w:i/>
          <w:lang w:val="en-US"/>
        </w:rPr>
        <w:t>Aff</w:t>
      </w:r>
      <w:proofErr w:type="spellEnd"/>
      <w:r>
        <w:rPr>
          <w:rFonts w:ascii="Times New Roman" w:hAnsi="Times New Roman" w:cs="Times New Roman"/>
          <w:lang w:val="en-US"/>
        </w:rPr>
        <w:t xml:space="preserve"> (2006) pp. 399-420.</w:t>
      </w:r>
    </w:p>
  </w:footnote>
  <w:footnote w:id="146">
    <w:p w14:paraId="666A52D4" w14:textId="0486DD40"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N. </w:t>
      </w:r>
      <w:proofErr w:type="spellStart"/>
      <w:r w:rsidRPr="007C3AB4">
        <w:rPr>
          <w:rFonts w:ascii="Times New Roman" w:hAnsi="Times New Roman" w:cs="Times New Roman"/>
        </w:rPr>
        <w:t>Udombana</w:t>
      </w:r>
      <w:proofErr w:type="spellEnd"/>
      <w:r w:rsidRPr="007C3AB4">
        <w:rPr>
          <w:rFonts w:ascii="Times New Roman" w:hAnsi="Times New Roman" w:cs="Times New Roman"/>
        </w:rPr>
        <w:t>, ‘Reparations and Afri</w:t>
      </w:r>
      <w:r>
        <w:rPr>
          <w:rFonts w:ascii="Times New Roman" w:hAnsi="Times New Roman" w:cs="Times New Roman"/>
        </w:rPr>
        <w:t xml:space="preserve">ca’s Indigenous Peoples’, in </w:t>
      </w:r>
      <w:r w:rsidRPr="007C3AB4">
        <w:rPr>
          <w:rFonts w:ascii="Times New Roman" w:hAnsi="Times New Roman" w:cs="Times New Roman"/>
        </w:rPr>
        <w:t xml:space="preserve">F. </w:t>
      </w:r>
      <w:proofErr w:type="spellStart"/>
      <w:r w:rsidRPr="007C3AB4">
        <w:rPr>
          <w:rFonts w:ascii="Times New Roman" w:hAnsi="Times New Roman" w:cs="Times New Roman"/>
        </w:rPr>
        <w:t>Lenzerini</w:t>
      </w:r>
      <w:proofErr w:type="spellEnd"/>
      <w:r w:rsidRPr="007C3AB4">
        <w:rPr>
          <w:rFonts w:ascii="Times New Roman" w:hAnsi="Times New Roman" w:cs="Times New Roman"/>
        </w:rPr>
        <w:t xml:space="preserve"> (ed.), </w:t>
      </w:r>
      <w:r w:rsidRPr="007C3AB4">
        <w:rPr>
          <w:rFonts w:ascii="Times New Roman" w:hAnsi="Times New Roman" w:cs="Times New Roman"/>
          <w:i/>
        </w:rPr>
        <w:t>Reparations for Indigenous Peoples International and Comparative Perspectives</w:t>
      </w:r>
      <w:r>
        <w:rPr>
          <w:rFonts w:ascii="Times New Roman" w:hAnsi="Times New Roman" w:cs="Times New Roman"/>
        </w:rPr>
        <w:t xml:space="preserve"> (Oxford University Press, Oxford, 2009) pp. 389-407, p. </w:t>
      </w:r>
      <w:r w:rsidRPr="007C3AB4">
        <w:rPr>
          <w:rFonts w:ascii="Times New Roman" w:hAnsi="Times New Roman" w:cs="Times New Roman"/>
        </w:rPr>
        <w:t>392.</w:t>
      </w:r>
    </w:p>
  </w:footnote>
  <w:footnote w:id="147">
    <w:p w14:paraId="17F88C00" w14:textId="0C9EDC25" w:rsidR="00DE3CB2" w:rsidRPr="007C3AB4" w:rsidRDefault="00DE3CB2" w:rsidP="00B9033F">
      <w:pPr>
        <w:pStyle w:val="FootnoteText"/>
        <w:jc w:val="both"/>
        <w:rPr>
          <w:rFonts w:ascii="Times New Roman" w:hAnsi="Times New Roman" w:cs="Times New Roman"/>
        </w:rPr>
      </w:pPr>
      <w:r w:rsidRPr="002A4591">
        <w:rPr>
          <w:rStyle w:val="FootnoteReference"/>
          <w:rFonts w:ascii="Times New Roman" w:hAnsi="Times New Roman" w:cs="Times New Roman"/>
        </w:rPr>
        <w:footnoteRef/>
      </w:r>
      <w:r w:rsidRPr="002A4591">
        <w:rPr>
          <w:rFonts w:ascii="Times New Roman" w:hAnsi="Times New Roman" w:cs="Times New Roman"/>
        </w:rPr>
        <w:t xml:space="preserve"> ACHPR, </w:t>
      </w:r>
      <w:r w:rsidRPr="002A4591">
        <w:rPr>
          <w:rFonts w:ascii="Times New Roman" w:hAnsi="Times New Roman" w:cs="Times New Roman"/>
          <w:i/>
        </w:rPr>
        <w:t>Indigenous Peoples in Africa: The Forgotten Peoples?</w:t>
      </w:r>
      <w:r>
        <w:rPr>
          <w:rFonts w:ascii="Times New Roman" w:hAnsi="Times New Roman" w:cs="Times New Roman"/>
        </w:rPr>
        <w:t xml:space="preserve"> (African Commission, Banjul, 2006), p. 11</w:t>
      </w:r>
      <w:r w:rsidRPr="007C3AB4">
        <w:rPr>
          <w:rFonts w:ascii="Times New Roman" w:hAnsi="Times New Roman" w:cs="Times New Roman"/>
        </w:rPr>
        <w:t>.</w:t>
      </w:r>
    </w:p>
  </w:footnote>
  <w:footnote w:id="148">
    <w:p w14:paraId="351F8E94" w14:textId="0D7FD238"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J. James-</w:t>
      </w:r>
      <w:proofErr w:type="spellStart"/>
      <w:r w:rsidRPr="007C3AB4">
        <w:rPr>
          <w:rFonts w:ascii="Times New Roman" w:hAnsi="Times New Roman" w:cs="Times New Roman"/>
        </w:rPr>
        <w:t>Eluyode</w:t>
      </w:r>
      <w:proofErr w:type="spellEnd"/>
      <w:r w:rsidRPr="007C3AB4">
        <w:rPr>
          <w:rFonts w:ascii="Times New Roman" w:hAnsi="Times New Roman" w:cs="Times New Roman"/>
        </w:rPr>
        <w:t xml:space="preserve">, ‘The Blurred Lines: Analysing the Dynamics of States' Duty and Corporate Responsibility to Consult in Developing Countries’, 23:3 </w:t>
      </w:r>
      <w:r w:rsidRPr="007C3AB4">
        <w:rPr>
          <w:rFonts w:ascii="Times New Roman" w:hAnsi="Times New Roman" w:cs="Times New Roman"/>
          <w:i/>
        </w:rPr>
        <w:t>African Journal of International and Comparative Law</w:t>
      </w:r>
      <w:r>
        <w:rPr>
          <w:rFonts w:ascii="Times New Roman" w:hAnsi="Times New Roman" w:cs="Times New Roman"/>
        </w:rPr>
        <w:t xml:space="preserve"> (2015) pp. 405-</w:t>
      </w:r>
      <w:r w:rsidRPr="007C3AB4">
        <w:rPr>
          <w:rFonts w:ascii="Times New Roman" w:hAnsi="Times New Roman" w:cs="Times New Roman"/>
        </w:rPr>
        <w:t>409.</w:t>
      </w:r>
    </w:p>
  </w:footnote>
  <w:footnote w:id="149">
    <w:p w14:paraId="16AD8E8C" w14:textId="30599D80"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D334D5">
        <w:rPr>
          <w:rFonts w:ascii="Times New Roman" w:hAnsi="Times New Roman" w:cs="Times New Roman"/>
          <w:i/>
          <w:lang w:val="es-ES"/>
        </w:rPr>
        <w:t>bid</w:t>
      </w:r>
      <w:proofErr w:type="spellEnd"/>
      <w:r w:rsidRPr="00D334D5">
        <w:rPr>
          <w:rFonts w:ascii="Times New Roman" w:hAnsi="Times New Roman" w:cs="Times New Roman"/>
          <w:i/>
          <w:lang w:val="es-ES"/>
        </w:rPr>
        <w:t>.</w:t>
      </w:r>
    </w:p>
  </w:footnote>
  <w:footnote w:id="150">
    <w:p w14:paraId="1B424EFA" w14:textId="44E2935A"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lang w:val="es-ES"/>
        </w:rPr>
        <w:t>Udombana</w:t>
      </w:r>
      <w:proofErr w:type="spellEnd"/>
      <w:r>
        <w:rPr>
          <w:rFonts w:ascii="Times New Roman" w:hAnsi="Times New Roman" w:cs="Times New Roman"/>
          <w:lang w:val="es-ES"/>
        </w:rPr>
        <w:t xml:space="preserve">, </w:t>
      </w:r>
      <w:r w:rsidRPr="00D334D5">
        <w:rPr>
          <w:rFonts w:ascii="Times New Roman" w:hAnsi="Times New Roman" w:cs="Times New Roman"/>
          <w:i/>
          <w:lang w:val="es-ES"/>
        </w:rPr>
        <w:t>supra</w:t>
      </w:r>
      <w:r>
        <w:rPr>
          <w:rFonts w:ascii="Times New Roman" w:hAnsi="Times New Roman" w:cs="Times New Roman"/>
          <w:lang w:val="es-ES"/>
        </w:rPr>
        <w:t xml:space="preserve"> note 146, p. </w:t>
      </w:r>
      <w:r w:rsidRPr="007C3AB4">
        <w:rPr>
          <w:rFonts w:ascii="Times New Roman" w:hAnsi="Times New Roman" w:cs="Times New Roman"/>
          <w:lang w:val="es-ES"/>
        </w:rPr>
        <w:t>399.</w:t>
      </w:r>
    </w:p>
  </w:footnote>
  <w:footnote w:id="151">
    <w:p w14:paraId="59DC968C" w14:textId="433BB8E4"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James-</w:t>
      </w:r>
      <w:proofErr w:type="spellStart"/>
      <w:r>
        <w:rPr>
          <w:rFonts w:ascii="Times New Roman" w:hAnsi="Times New Roman" w:cs="Times New Roman"/>
          <w:lang w:val="es-ES"/>
        </w:rPr>
        <w:t>Eluyode</w:t>
      </w:r>
      <w:proofErr w:type="spellEnd"/>
      <w:r>
        <w:rPr>
          <w:rFonts w:ascii="Times New Roman" w:hAnsi="Times New Roman" w:cs="Times New Roman"/>
          <w:lang w:val="es-ES"/>
        </w:rPr>
        <w:t xml:space="preserve">, </w:t>
      </w:r>
      <w:r w:rsidRPr="00D334D5">
        <w:rPr>
          <w:rFonts w:ascii="Times New Roman" w:hAnsi="Times New Roman" w:cs="Times New Roman"/>
          <w:i/>
          <w:lang w:val="es-ES"/>
        </w:rPr>
        <w:t>supra</w:t>
      </w:r>
      <w:r>
        <w:rPr>
          <w:rFonts w:ascii="Times New Roman" w:hAnsi="Times New Roman" w:cs="Times New Roman"/>
          <w:lang w:val="es-ES"/>
        </w:rPr>
        <w:t xml:space="preserve"> note 148, p. </w:t>
      </w:r>
      <w:r w:rsidRPr="007C3AB4">
        <w:rPr>
          <w:rFonts w:ascii="Times New Roman" w:hAnsi="Times New Roman" w:cs="Times New Roman"/>
          <w:lang w:val="es-ES"/>
        </w:rPr>
        <w:t>412.</w:t>
      </w:r>
    </w:p>
  </w:footnote>
  <w:footnote w:id="152">
    <w:p w14:paraId="7E886EDE" w14:textId="372DAD66" w:rsidR="00DE3CB2" w:rsidRPr="007C3AB4" w:rsidRDefault="00DE3CB2" w:rsidP="00B9033F">
      <w:pPr>
        <w:pStyle w:val="FootnoteText"/>
        <w:jc w:val="both"/>
        <w:rPr>
          <w:rFonts w:ascii="Times New Roman" w:hAnsi="Times New Roman" w:cs="Times New Roman"/>
          <w:lang w:val="en-US"/>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7C3AB4">
        <w:rPr>
          <w:rFonts w:ascii="Times New Roman" w:hAnsi="Times New Roman" w:cs="Times New Roman"/>
          <w:i/>
        </w:rPr>
        <w:t xml:space="preserve">Social and Economic Rights Action </w:t>
      </w:r>
      <w:proofErr w:type="spellStart"/>
      <w:r w:rsidRPr="007C3AB4">
        <w:rPr>
          <w:rFonts w:ascii="Times New Roman" w:hAnsi="Times New Roman" w:cs="Times New Roman"/>
          <w:i/>
        </w:rPr>
        <w:t>Center</w:t>
      </w:r>
      <w:proofErr w:type="spellEnd"/>
      <w:r w:rsidRPr="007C3AB4">
        <w:rPr>
          <w:rFonts w:ascii="Times New Roman" w:hAnsi="Times New Roman" w:cs="Times New Roman"/>
          <w:i/>
        </w:rPr>
        <w:t xml:space="preserve"> and </w:t>
      </w:r>
      <w:proofErr w:type="spellStart"/>
      <w:r w:rsidRPr="007C3AB4">
        <w:rPr>
          <w:rFonts w:ascii="Times New Roman" w:hAnsi="Times New Roman" w:cs="Times New Roman"/>
          <w:i/>
        </w:rPr>
        <w:t>Center</w:t>
      </w:r>
      <w:proofErr w:type="spellEnd"/>
      <w:r w:rsidRPr="007C3AB4">
        <w:rPr>
          <w:rFonts w:ascii="Times New Roman" w:hAnsi="Times New Roman" w:cs="Times New Roman"/>
          <w:i/>
        </w:rPr>
        <w:t xml:space="preserve"> for Economic and Social Rights </w:t>
      </w:r>
      <w:r w:rsidRPr="00982811">
        <w:rPr>
          <w:rFonts w:ascii="Times New Roman" w:hAnsi="Times New Roman" w:cs="Times New Roman"/>
        </w:rPr>
        <w:t>v.</w:t>
      </w:r>
      <w:r w:rsidRPr="007C3AB4">
        <w:rPr>
          <w:rFonts w:ascii="Times New Roman" w:hAnsi="Times New Roman" w:cs="Times New Roman"/>
          <w:i/>
        </w:rPr>
        <w:t xml:space="preserve"> Nigeria</w:t>
      </w:r>
      <w:r>
        <w:rPr>
          <w:rFonts w:ascii="Times New Roman" w:hAnsi="Times New Roman" w:cs="Times New Roman"/>
          <w:i/>
        </w:rPr>
        <w:t>,</w:t>
      </w:r>
      <w:r w:rsidRPr="007804CC">
        <w:rPr>
          <w:rFonts w:ascii="Times New Roman" w:hAnsi="Times New Roman" w:cs="Times New Roman"/>
        </w:rPr>
        <w:t xml:space="preserve"> </w:t>
      </w:r>
      <w:r>
        <w:rPr>
          <w:rFonts w:ascii="Times New Roman" w:hAnsi="Times New Roman" w:cs="Times New Roman"/>
        </w:rPr>
        <w:t xml:space="preserve">27 May 2002, </w:t>
      </w:r>
      <w:r w:rsidRPr="007C3AB4">
        <w:rPr>
          <w:rFonts w:ascii="Times New Roman" w:hAnsi="Times New Roman" w:cs="Times New Roman"/>
        </w:rPr>
        <w:t>African Commission of Human Rights</w:t>
      </w:r>
      <w:r w:rsidRPr="007804CC">
        <w:rPr>
          <w:rFonts w:ascii="Times New Roman" w:hAnsi="Times New Roman" w:cs="Times New Roman"/>
        </w:rPr>
        <w:t>,</w:t>
      </w:r>
      <w:r>
        <w:rPr>
          <w:rFonts w:ascii="Times New Roman" w:hAnsi="Times New Roman" w:cs="Times New Roman"/>
        </w:rPr>
        <w:t xml:space="preserve"> Case</w:t>
      </w:r>
      <w:r w:rsidRPr="007804CC">
        <w:rPr>
          <w:rFonts w:ascii="Times New Roman" w:hAnsi="Times New Roman" w:cs="Times New Roman"/>
        </w:rPr>
        <w:t xml:space="preserve"> No. 155/96</w:t>
      </w:r>
      <w:r w:rsidRPr="007C3AB4">
        <w:rPr>
          <w:rFonts w:ascii="Times New Roman" w:hAnsi="Times New Roman" w:cs="Times New Roman"/>
        </w:rPr>
        <w:t xml:space="preserve">, para. </w:t>
      </w:r>
      <w:r w:rsidRPr="007C3AB4">
        <w:rPr>
          <w:rFonts w:ascii="Times New Roman" w:hAnsi="Times New Roman" w:cs="Times New Roman"/>
          <w:lang w:val="en-US"/>
        </w:rPr>
        <w:t>44.</w:t>
      </w:r>
    </w:p>
  </w:footnote>
  <w:footnote w:id="153">
    <w:p w14:paraId="53123E12" w14:textId="6E61E9C2"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sidRPr="007C3AB4">
        <w:rPr>
          <w:rFonts w:ascii="Times New Roman" w:hAnsi="Times New Roman" w:cs="Times New Roman"/>
          <w:i/>
        </w:rPr>
        <w:t xml:space="preserve">Centre for Minority Rights Development (Kenya) and Minority Rights Group (on behalf of </w:t>
      </w:r>
      <w:proofErr w:type="spellStart"/>
      <w:r w:rsidRPr="007C3AB4">
        <w:rPr>
          <w:rFonts w:ascii="Times New Roman" w:hAnsi="Times New Roman" w:cs="Times New Roman"/>
          <w:i/>
        </w:rPr>
        <w:t>Endorois</w:t>
      </w:r>
      <w:proofErr w:type="spellEnd"/>
      <w:r w:rsidRPr="007C3AB4">
        <w:rPr>
          <w:rFonts w:ascii="Times New Roman" w:hAnsi="Times New Roman" w:cs="Times New Roman"/>
          <w:i/>
        </w:rPr>
        <w:t xml:space="preserve"> Welfare Council) / Kenya</w:t>
      </w:r>
      <w:r w:rsidRPr="007C3AB4">
        <w:rPr>
          <w:rFonts w:ascii="Times New Roman" w:hAnsi="Times New Roman" w:cs="Times New Roman"/>
        </w:rPr>
        <w:t>, 25 November 2009</w:t>
      </w:r>
      <w:r>
        <w:rPr>
          <w:rFonts w:ascii="Times New Roman" w:hAnsi="Times New Roman" w:cs="Times New Roman"/>
        </w:rPr>
        <w:t xml:space="preserve">, </w:t>
      </w:r>
      <w:r w:rsidRPr="007C3AB4">
        <w:rPr>
          <w:rFonts w:ascii="Times New Roman" w:hAnsi="Times New Roman" w:cs="Times New Roman"/>
        </w:rPr>
        <w:t xml:space="preserve">African Commission of Human Rights, </w:t>
      </w:r>
      <w:r>
        <w:rPr>
          <w:rFonts w:ascii="Times New Roman" w:hAnsi="Times New Roman" w:cs="Times New Roman"/>
        </w:rPr>
        <w:t xml:space="preserve">Case </w:t>
      </w:r>
      <w:r w:rsidRPr="007804CC">
        <w:rPr>
          <w:rFonts w:ascii="Times New Roman" w:hAnsi="Times New Roman" w:cs="Times New Roman"/>
        </w:rPr>
        <w:t xml:space="preserve">No. </w:t>
      </w:r>
      <w:r w:rsidRPr="007C3AB4">
        <w:rPr>
          <w:rFonts w:ascii="Times New Roman" w:hAnsi="Times New Roman" w:cs="Times New Roman"/>
        </w:rPr>
        <w:t>276/03.</w:t>
      </w:r>
    </w:p>
  </w:footnote>
  <w:footnote w:id="154">
    <w:p w14:paraId="7DE42974" w14:textId="79A7E2F9" w:rsidR="00DE3CB2" w:rsidRPr="00E52C03"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E52C03">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lang w:val="es-ES"/>
        </w:rPr>
        <w:t>., para. 100.</w:t>
      </w:r>
    </w:p>
  </w:footnote>
  <w:footnote w:id="155">
    <w:p w14:paraId="35173D14" w14:textId="06964290" w:rsidR="00DE3CB2" w:rsidRPr="00E52C03"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E52C03">
        <w:rPr>
          <w:rFonts w:ascii="Times New Roman" w:hAnsi="Times New Roman" w:cs="Times New Roman"/>
          <w:lang w:val="es-ES"/>
        </w:rPr>
        <w:t xml:space="preserve"> </w:t>
      </w:r>
      <w:proofErr w:type="spellStart"/>
      <w:r>
        <w:rPr>
          <w:rFonts w:ascii="Times New Roman" w:hAnsi="Times New Roman" w:cs="Times New Roman"/>
          <w:i/>
          <w:lang w:val="es-ES"/>
        </w:rPr>
        <w:t>I</w:t>
      </w:r>
      <w:r w:rsidRPr="00E52C03">
        <w:rPr>
          <w:rFonts w:ascii="Times New Roman" w:hAnsi="Times New Roman" w:cs="Times New Roman"/>
          <w:i/>
          <w:lang w:val="es-ES"/>
        </w:rPr>
        <w:t>bid</w:t>
      </w:r>
      <w:proofErr w:type="spellEnd"/>
      <w:r w:rsidRPr="00E52C03">
        <w:rPr>
          <w:rFonts w:ascii="Times New Roman" w:hAnsi="Times New Roman" w:cs="Times New Roman"/>
          <w:lang w:val="es-ES"/>
        </w:rPr>
        <w:t>., para. 101.</w:t>
      </w:r>
    </w:p>
  </w:footnote>
  <w:footnote w:id="156">
    <w:p w14:paraId="578EFE82" w14:textId="658957CE" w:rsidR="00DE3CB2" w:rsidRPr="007C3AB4" w:rsidRDefault="00DE3CB2" w:rsidP="00B9033F">
      <w:pPr>
        <w:widowControl w:val="0"/>
        <w:autoSpaceDE w:val="0"/>
        <w:autoSpaceDN w:val="0"/>
        <w:adjustRightInd w:val="0"/>
        <w:spacing w:after="0" w:line="240" w:lineRule="auto"/>
        <w:jc w:val="both"/>
        <w:rPr>
          <w:rFonts w:ascii="Times New Roman" w:hAnsi="Times New Roman" w:cs="Times New Roman"/>
          <w:sz w:val="20"/>
          <w:szCs w:val="20"/>
        </w:rPr>
      </w:pPr>
      <w:r w:rsidRPr="00D334D5">
        <w:rPr>
          <w:rStyle w:val="FootnoteReference"/>
          <w:rFonts w:ascii="Times New Roman" w:hAnsi="Times New Roman" w:cs="Times New Roman"/>
          <w:sz w:val="20"/>
          <w:szCs w:val="20"/>
        </w:rPr>
        <w:footnoteRef/>
      </w:r>
      <w:r w:rsidRPr="00E52C03">
        <w:rPr>
          <w:rFonts w:ascii="Times New Roman" w:hAnsi="Times New Roman" w:cs="Times New Roman"/>
          <w:sz w:val="20"/>
          <w:szCs w:val="20"/>
          <w:lang w:val="es-ES"/>
        </w:rPr>
        <w:t xml:space="preserve"> </w:t>
      </w:r>
      <w:proofErr w:type="spellStart"/>
      <w:r>
        <w:rPr>
          <w:rFonts w:ascii="Times New Roman" w:hAnsi="Times New Roman" w:cs="Times New Roman"/>
          <w:i/>
          <w:sz w:val="20"/>
          <w:szCs w:val="20"/>
          <w:lang w:val="es-ES"/>
        </w:rPr>
        <w:t>I</w:t>
      </w:r>
      <w:r w:rsidRPr="00E52C03">
        <w:rPr>
          <w:rFonts w:ascii="Times New Roman" w:hAnsi="Times New Roman" w:cs="Times New Roman"/>
          <w:i/>
          <w:sz w:val="20"/>
          <w:szCs w:val="20"/>
          <w:lang w:val="es-ES"/>
        </w:rPr>
        <w:t>bid</w:t>
      </w:r>
      <w:proofErr w:type="spellEnd"/>
      <w:r w:rsidRPr="00E52C03">
        <w:rPr>
          <w:rFonts w:ascii="Times New Roman" w:hAnsi="Times New Roman" w:cs="Times New Roman"/>
          <w:sz w:val="20"/>
          <w:szCs w:val="20"/>
          <w:lang w:val="es-ES"/>
        </w:rPr>
        <w:t xml:space="preserve">., para. </w:t>
      </w:r>
      <w:r w:rsidRPr="007C3AB4">
        <w:rPr>
          <w:rFonts w:ascii="Times New Roman" w:hAnsi="Times New Roman" w:cs="Times New Roman"/>
          <w:sz w:val="20"/>
          <w:szCs w:val="20"/>
        </w:rPr>
        <w:t>251 (the text in italics is added).</w:t>
      </w:r>
    </w:p>
  </w:footnote>
  <w:footnote w:id="157">
    <w:p w14:paraId="23C69DB1" w14:textId="002D10DE"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C. Binder, ‘Investment, development an</w:t>
      </w:r>
      <w:r>
        <w:rPr>
          <w:rFonts w:ascii="Times New Roman" w:hAnsi="Times New Roman" w:cs="Times New Roman"/>
        </w:rPr>
        <w:t xml:space="preserve">d indigenous people’, in </w:t>
      </w:r>
      <w:r w:rsidRPr="00045C11">
        <w:rPr>
          <w:rFonts w:ascii="Times New Roman" w:hAnsi="Times New Roman" w:cs="Times New Roman"/>
        </w:rPr>
        <w:t xml:space="preserve">S. W. </w:t>
      </w:r>
      <w:proofErr w:type="spellStart"/>
      <w:r w:rsidRPr="00045C11">
        <w:rPr>
          <w:rFonts w:ascii="Times New Roman" w:hAnsi="Times New Roman" w:cs="Times New Roman"/>
        </w:rPr>
        <w:t>Schill</w:t>
      </w:r>
      <w:proofErr w:type="spellEnd"/>
      <w:r w:rsidRPr="00045C11">
        <w:rPr>
          <w:rFonts w:ascii="Times New Roman" w:hAnsi="Times New Roman" w:cs="Times New Roman"/>
        </w:rPr>
        <w:t xml:space="preserve">, </w:t>
      </w:r>
      <w:r w:rsidRPr="00045C11">
        <w:rPr>
          <w:rFonts w:ascii="Times New Roman" w:hAnsi="Times New Roman" w:cs="Times New Roman"/>
          <w:cs/>
        </w:rPr>
        <w:t>‎</w:t>
      </w:r>
      <w:r w:rsidRPr="00045C11">
        <w:rPr>
          <w:rFonts w:ascii="Times New Roman" w:hAnsi="Times New Roman" w:cs="Times New Roman"/>
          <w:rtl/>
          <w:cs/>
        </w:rPr>
        <w:t xml:space="preserve">C. J. </w:t>
      </w:r>
      <w:proofErr w:type="spellStart"/>
      <w:r w:rsidRPr="00045C11">
        <w:rPr>
          <w:rFonts w:ascii="Times New Roman" w:hAnsi="Times New Roman" w:cs="Times New Roman"/>
          <w:rtl/>
          <w:cs/>
        </w:rPr>
        <w:t>Tams</w:t>
      </w:r>
      <w:proofErr w:type="spellEnd"/>
      <w:r w:rsidRPr="00045C11">
        <w:rPr>
          <w:rFonts w:ascii="Times New Roman" w:hAnsi="Times New Roman" w:cs="Times New Roman"/>
          <w:rtl/>
          <w:cs/>
        </w:rPr>
        <w:t xml:space="preserve"> </w:t>
      </w:r>
      <w:proofErr w:type="spellStart"/>
      <w:r w:rsidRPr="00045C11">
        <w:rPr>
          <w:rFonts w:ascii="Times New Roman" w:hAnsi="Times New Roman" w:cs="Times New Roman"/>
          <w:rtl/>
          <w:cs/>
        </w:rPr>
        <w:t>and</w:t>
      </w:r>
      <w:proofErr w:type="spellEnd"/>
      <w:r w:rsidRPr="00045C11">
        <w:rPr>
          <w:rFonts w:ascii="Times New Roman" w:hAnsi="Times New Roman" w:cs="Times New Roman"/>
          <w:rtl/>
          <w:cs/>
        </w:rPr>
        <w:t xml:space="preserve"> ‎</w:t>
      </w:r>
      <w:r w:rsidRPr="00045C11">
        <w:rPr>
          <w:rFonts w:ascii="Times New Roman" w:hAnsi="Times New Roman" w:cs="Times New Roman"/>
        </w:rPr>
        <w:t>R. Hofmann</w:t>
      </w:r>
      <w:r>
        <w:rPr>
          <w:rFonts w:ascii="Times New Roman" w:hAnsi="Times New Roman" w:cs="Times New Roman"/>
        </w:rPr>
        <w:t xml:space="preserve"> (eds.)</w:t>
      </w:r>
      <w:r w:rsidRPr="00045C11">
        <w:rPr>
          <w:rFonts w:ascii="Times New Roman" w:hAnsi="Times New Roman" w:cs="Times New Roman"/>
        </w:rPr>
        <w:t xml:space="preserve">, </w:t>
      </w:r>
      <w:r w:rsidRPr="00045C11">
        <w:rPr>
          <w:rFonts w:ascii="Times New Roman" w:hAnsi="Times New Roman" w:cs="Times New Roman"/>
          <w:i/>
        </w:rPr>
        <w:t>International Investment Law and Development: Bridging the Gap</w:t>
      </w:r>
      <w:r w:rsidRPr="00045C11">
        <w:rPr>
          <w:rFonts w:ascii="Times New Roman" w:hAnsi="Times New Roman" w:cs="Times New Roman"/>
        </w:rPr>
        <w:t xml:space="preserve"> (Brill, Leiden, 2015)</w:t>
      </w:r>
      <w:r>
        <w:rPr>
          <w:rFonts w:ascii="Times New Roman" w:hAnsi="Times New Roman" w:cs="Times New Roman"/>
        </w:rPr>
        <w:t xml:space="preserve"> </w:t>
      </w:r>
      <w:r w:rsidRPr="007C3AB4">
        <w:rPr>
          <w:rFonts w:ascii="Times New Roman" w:hAnsi="Times New Roman" w:cs="Times New Roman"/>
        </w:rPr>
        <w:t>pp. 423-452.</w:t>
      </w:r>
    </w:p>
  </w:footnote>
  <w:footnote w:id="158">
    <w:p w14:paraId="6BD0BC36" w14:textId="143FAE01"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International Investment Agreement </w:t>
      </w:r>
      <w:r>
        <w:rPr>
          <w:rFonts w:ascii="Times New Roman" w:hAnsi="Times New Roman" w:cs="Times New Roman"/>
        </w:rPr>
        <w:t>comprise international treaties of bilateral and multilateral nature that contain several clauses (standards of treatment) to protect foreign investors in the host state, contemplating also the possibility to settle the disputes before an international arbitral tribunal.</w:t>
      </w:r>
    </w:p>
  </w:footnote>
  <w:footnote w:id="159">
    <w:p w14:paraId="159C4853" w14:textId="22764B74"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J. M. Balzac, ‘CAFTA-DR's Citizen Submission Process: Is It Protecting the Indigenous Peoples Rights and Promoting the Three Pillars of Sustainable Development?’, 11 </w:t>
      </w:r>
      <w:r w:rsidRPr="007C3AB4">
        <w:rPr>
          <w:rFonts w:ascii="Times New Roman" w:hAnsi="Times New Roman" w:cs="Times New Roman"/>
          <w:i/>
        </w:rPr>
        <w:t>Loy. U. Chi. Int'l L. Rev.</w:t>
      </w:r>
      <w:r>
        <w:rPr>
          <w:rFonts w:ascii="Times New Roman" w:hAnsi="Times New Roman" w:cs="Times New Roman"/>
        </w:rPr>
        <w:t xml:space="preserve"> (2013)</w:t>
      </w:r>
      <w:r w:rsidRPr="007C3AB4">
        <w:rPr>
          <w:rFonts w:ascii="Times New Roman" w:hAnsi="Times New Roman" w:cs="Times New Roman"/>
        </w:rPr>
        <w:t xml:space="preserve"> pp. 11-63.</w:t>
      </w:r>
    </w:p>
  </w:footnote>
  <w:footnote w:id="160">
    <w:p w14:paraId="278F5466" w14:textId="042BD9A2"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M. </w:t>
      </w:r>
      <w:proofErr w:type="spellStart"/>
      <w:r w:rsidRPr="007C3AB4">
        <w:rPr>
          <w:rFonts w:ascii="Times New Roman" w:hAnsi="Times New Roman" w:cs="Times New Roman"/>
        </w:rPr>
        <w:t>Guidi</w:t>
      </w:r>
      <w:proofErr w:type="spellEnd"/>
      <w:r w:rsidRPr="007C3AB4">
        <w:rPr>
          <w:rFonts w:ascii="Times New Roman" w:hAnsi="Times New Roman" w:cs="Times New Roman"/>
        </w:rPr>
        <w:t xml:space="preserve">, ‘The protection of indigenous peoples’ concerns in </w:t>
      </w:r>
      <w:proofErr w:type="gramStart"/>
      <w:r w:rsidRPr="007C3AB4">
        <w:rPr>
          <w:rFonts w:ascii="Times New Roman" w:hAnsi="Times New Roman" w:cs="Times New Roman"/>
        </w:rPr>
        <w:t>World  Bank</w:t>
      </w:r>
      <w:proofErr w:type="gramEnd"/>
      <w:r w:rsidRPr="007C3AB4">
        <w:rPr>
          <w:rFonts w:ascii="Times New Roman" w:hAnsi="Times New Roman" w:cs="Times New Roman"/>
        </w:rPr>
        <w:t>-funded projects’, in G</w:t>
      </w:r>
      <w:r>
        <w:rPr>
          <w:rFonts w:ascii="Times New Roman" w:hAnsi="Times New Roman" w:cs="Times New Roman"/>
        </w:rPr>
        <w:t xml:space="preserve">. </w:t>
      </w:r>
      <w:proofErr w:type="spellStart"/>
      <w:r>
        <w:rPr>
          <w:rFonts w:ascii="Times New Roman" w:hAnsi="Times New Roman" w:cs="Times New Roman"/>
        </w:rPr>
        <w:t>Sacerdoti</w:t>
      </w:r>
      <w:proofErr w:type="spellEnd"/>
      <w:r>
        <w:rPr>
          <w:rFonts w:ascii="Times New Roman" w:hAnsi="Times New Roman" w:cs="Times New Roman"/>
        </w:rPr>
        <w:t xml:space="preserve"> </w:t>
      </w:r>
      <w:r w:rsidRPr="00DD6763">
        <w:rPr>
          <w:rFonts w:ascii="Times New Roman" w:hAnsi="Times New Roman" w:cs="Times New Roman"/>
          <w:i/>
          <w:iCs/>
        </w:rPr>
        <w:t>et al.</w:t>
      </w:r>
      <w:r>
        <w:rPr>
          <w:rFonts w:ascii="Times New Roman" w:hAnsi="Times New Roman" w:cs="Times New Roman"/>
        </w:rPr>
        <w:t xml:space="preserve"> (eds.)</w:t>
      </w:r>
      <w:r w:rsidRPr="007C3AB4">
        <w:rPr>
          <w:rFonts w:ascii="Times New Roman" w:hAnsi="Times New Roman" w:cs="Times New Roman"/>
        </w:rPr>
        <w:t xml:space="preserve">, </w:t>
      </w:r>
      <w:r w:rsidRPr="007C4DBF">
        <w:rPr>
          <w:rFonts w:ascii="Times New Roman" w:hAnsi="Times New Roman" w:cs="Times New Roman"/>
          <w:i/>
        </w:rPr>
        <w:t>General Interests of Host States in International Investment Law</w:t>
      </w:r>
      <w:r w:rsidRPr="007C3AB4">
        <w:rPr>
          <w:rFonts w:ascii="Times New Roman" w:hAnsi="Times New Roman" w:cs="Times New Roman"/>
        </w:rPr>
        <w:t xml:space="preserve"> (Cambridge University Press, C</w:t>
      </w:r>
      <w:r>
        <w:rPr>
          <w:rFonts w:ascii="Times New Roman" w:hAnsi="Times New Roman" w:cs="Times New Roman"/>
        </w:rPr>
        <w:t xml:space="preserve">ambridge, 2014) pp. 237-264, </w:t>
      </w:r>
      <w:r w:rsidRPr="007C3AB4">
        <w:rPr>
          <w:rFonts w:ascii="Times New Roman" w:hAnsi="Times New Roman" w:cs="Times New Roman"/>
        </w:rPr>
        <w:t>pp</w:t>
      </w:r>
      <w:r>
        <w:rPr>
          <w:rFonts w:ascii="Times New Roman" w:hAnsi="Times New Roman" w:cs="Times New Roman"/>
        </w:rPr>
        <w:t>.</w:t>
      </w:r>
      <w:r w:rsidRPr="007C3AB4">
        <w:rPr>
          <w:rFonts w:ascii="Times New Roman" w:hAnsi="Times New Roman" w:cs="Times New Roman"/>
        </w:rPr>
        <w:t xml:space="preserve"> 238-239.</w:t>
      </w:r>
    </w:p>
  </w:footnote>
  <w:footnote w:id="161">
    <w:p w14:paraId="40A58207" w14:textId="73C061C0"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Treatment standards include equitable treatment, full protection and security, an effective means of enforcing rights, non-arbitrary treatment, non-discriminatory treatment and national most favourable treatment.</w:t>
      </w:r>
    </w:p>
  </w:footnote>
  <w:footnote w:id="162">
    <w:p w14:paraId="287A307E" w14:textId="791F6562"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On the origins and development of international investment law </w:t>
      </w:r>
      <w:r w:rsidRPr="006709D8">
        <w:rPr>
          <w:rFonts w:ascii="Times New Roman" w:hAnsi="Times New Roman" w:cs="Times New Roman"/>
          <w:i/>
        </w:rPr>
        <w:t>see</w:t>
      </w:r>
      <w:r w:rsidRPr="007C3AB4">
        <w:rPr>
          <w:rFonts w:ascii="Times New Roman" w:hAnsi="Times New Roman" w:cs="Times New Roman"/>
        </w:rPr>
        <w:t xml:space="preserve"> K Miles, ‘International Investment Law and Universality: Histories of Shape-Shifting’</w:t>
      </w:r>
      <w:r>
        <w:rPr>
          <w:rFonts w:ascii="Times New Roman" w:hAnsi="Times New Roman" w:cs="Times New Roman"/>
        </w:rPr>
        <w:t>,</w:t>
      </w:r>
      <w:r w:rsidRPr="007C3AB4">
        <w:rPr>
          <w:rFonts w:ascii="Times New Roman" w:hAnsi="Times New Roman" w:cs="Times New Roman"/>
        </w:rPr>
        <w:t xml:space="preserve"> </w:t>
      </w:r>
      <w:r>
        <w:rPr>
          <w:rFonts w:ascii="Times New Roman" w:hAnsi="Times New Roman" w:cs="Times New Roman"/>
        </w:rPr>
        <w:t xml:space="preserve">3 </w:t>
      </w:r>
      <w:r w:rsidRPr="007C3AB4">
        <w:rPr>
          <w:rFonts w:ascii="Times New Roman" w:hAnsi="Times New Roman" w:cs="Times New Roman"/>
          <w:i/>
        </w:rPr>
        <w:t>Cambridge Journal of International and Comparative Law</w:t>
      </w:r>
      <w:r w:rsidRPr="007C3AB4">
        <w:rPr>
          <w:rFonts w:ascii="Times New Roman" w:hAnsi="Times New Roman" w:cs="Times New Roman"/>
        </w:rPr>
        <w:t xml:space="preserve"> (2014) pp. 986-1100.</w:t>
      </w:r>
    </w:p>
  </w:footnote>
  <w:footnote w:id="163">
    <w:p w14:paraId="72A32577" w14:textId="428BBBC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Style w:val="FootnoteReference"/>
          <w:rFonts w:ascii="Times New Roman" w:hAnsi="Times New Roman" w:cs="Times New Roman"/>
        </w:rPr>
        <w:t xml:space="preserve"> </w:t>
      </w:r>
      <w:r w:rsidRPr="007C3AB4">
        <w:rPr>
          <w:rFonts w:ascii="Times New Roman" w:hAnsi="Times New Roman" w:cs="Times New Roman"/>
          <w:i/>
        </w:rPr>
        <w:t xml:space="preserve">Glamis Gold, Ltd. </w:t>
      </w:r>
      <w:r w:rsidRPr="00982811">
        <w:rPr>
          <w:rFonts w:ascii="Times New Roman" w:hAnsi="Times New Roman" w:cs="Times New Roman"/>
        </w:rPr>
        <w:t>v.</w:t>
      </w:r>
      <w:r w:rsidRPr="007C3AB4">
        <w:rPr>
          <w:rFonts w:ascii="Times New Roman" w:hAnsi="Times New Roman" w:cs="Times New Roman"/>
          <w:i/>
        </w:rPr>
        <w:t xml:space="preserve"> The United States of America</w:t>
      </w:r>
      <w:r w:rsidRPr="007C3AB4">
        <w:rPr>
          <w:rFonts w:ascii="Times New Roman" w:hAnsi="Times New Roman" w:cs="Times New Roman"/>
        </w:rPr>
        <w:t>, 8 June 2009</w:t>
      </w:r>
      <w:r>
        <w:rPr>
          <w:rFonts w:ascii="Times New Roman" w:hAnsi="Times New Roman" w:cs="Times New Roman"/>
        </w:rPr>
        <w:t xml:space="preserve">, </w:t>
      </w:r>
      <w:r w:rsidRPr="007C3AB4">
        <w:rPr>
          <w:rFonts w:ascii="Times New Roman" w:hAnsi="Times New Roman" w:cs="Times New Roman"/>
        </w:rPr>
        <w:t>UNCITRAL. Arbitral Tribunal constituted under Chapter 11 of the Nort</w:t>
      </w:r>
      <w:r>
        <w:rPr>
          <w:rFonts w:ascii="Times New Roman" w:hAnsi="Times New Roman" w:cs="Times New Roman"/>
        </w:rPr>
        <w:t>h American Free Trade Agreement</w:t>
      </w:r>
      <w:r w:rsidRPr="007C3AB4">
        <w:rPr>
          <w:rFonts w:ascii="Times New Roman" w:hAnsi="Times New Roman" w:cs="Times New Roman"/>
        </w:rPr>
        <w:t xml:space="preserve">. </w:t>
      </w:r>
    </w:p>
  </w:footnote>
  <w:footnote w:id="164">
    <w:p w14:paraId="77E1424F" w14:textId="3672EFD9"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7C3AB4">
        <w:rPr>
          <w:rFonts w:ascii="Times New Roman" w:hAnsi="Times New Roman" w:cs="Times New Roman"/>
          <w:lang w:val="es-ES"/>
        </w:rPr>
        <w:t xml:space="preserve"> </w:t>
      </w:r>
      <w:proofErr w:type="spellStart"/>
      <w:r w:rsidRPr="007C3AB4">
        <w:rPr>
          <w:rFonts w:ascii="Times New Roman" w:hAnsi="Times New Roman" w:cs="Times New Roman"/>
          <w:i/>
          <w:lang w:val="es-ES"/>
        </w:rPr>
        <w:t>Glamis</w:t>
      </w:r>
      <w:proofErr w:type="spellEnd"/>
      <w:r w:rsidRPr="007C3AB4">
        <w:rPr>
          <w:rFonts w:ascii="Times New Roman" w:hAnsi="Times New Roman" w:cs="Times New Roman"/>
          <w:lang w:val="es-ES"/>
        </w:rPr>
        <w:t>, para</w:t>
      </w:r>
      <w:r>
        <w:rPr>
          <w:rFonts w:ascii="Times New Roman" w:hAnsi="Times New Roman" w:cs="Times New Roman"/>
          <w:lang w:val="es-ES"/>
        </w:rPr>
        <w:t>.</w:t>
      </w:r>
      <w:r w:rsidRPr="007C3AB4">
        <w:rPr>
          <w:rFonts w:ascii="Times New Roman" w:hAnsi="Times New Roman" w:cs="Times New Roman"/>
          <w:lang w:val="es-ES"/>
        </w:rPr>
        <w:t xml:space="preserve"> 8.</w:t>
      </w:r>
    </w:p>
  </w:footnote>
  <w:footnote w:id="165">
    <w:p w14:paraId="17B9C91D" w14:textId="7F013EA9" w:rsidR="00DE3CB2" w:rsidRPr="007C3AB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D334D5">
        <w:rPr>
          <w:rFonts w:ascii="Times New Roman" w:hAnsi="Times New Roman" w:cs="Times New Roman"/>
          <w:i/>
          <w:lang w:val="es-ES"/>
        </w:rPr>
        <w:t>bid</w:t>
      </w:r>
      <w:proofErr w:type="spellEnd"/>
      <w:r w:rsidRPr="00D334D5">
        <w:rPr>
          <w:rFonts w:ascii="Times New Roman" w:hAnsi="Times New Roman" w:cs="Times New Roman"/>
          <w:i/>
          <w:lang w:val="es-ES"/>
        </w:rPr>
        <w:t>.</w:t>
      </w:r>
      <w:r>
        <w:rPr>
          <w:rFonts w:ascii="Times New Roman" w:hAnsi="Times New Roman" w:cs="Times New Roman"/>
          <w:lang w:val="es-ES"/>
        </w:rPr>
        <w:t>, para.</w:t>
      </w:r>
      <w:r w:rsidRPr="007C3AB4">
        <w:rPr>
          <w:rFonts w:ascii="Times New Roman" w:hAnsi="Times New Roman" w:cs="Times New Roman"/>
          <w:lang w:val="es-ES"/>
        </w:rPr>
        <w:t>111.</w:t>
      </w:r>
    </w:p>
  </w:footnote>
  <w:footnote w:id="166">
    <w:p w14:paraId="4D650D1D" w14:textId="0ED3A0E1" w:rsidR="00DE3CB2" w:rsidRPr="00E52C03"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proofErr w:type="spellStart"/>
      <w:r>
        <w:rPr>
          <w:rFonts w:ascii="Times New Roman" w:hAnsi="Times New Roman" w:cs="Times New Roman"/>
          <w:i/>
          <w:lang w:val="es-ES"/>
        </w:rPr>
        <w:t>I</w:t>
      </w:r>
      <w:r w:rsidRPr="00D334D5">
        <w:rPr>
          <w:rFonts w:ascii="Times New Roman" w:hAnsi="Times New Roman" w:cs="Times New Roman"/>
          <w:i/>
          <w:lang w:val="es-ES"/>
        </w:rPr>
        <w:t>bid</w:t>
      </w:r>
      <w:proofErr w:type="spellEnd"/>
      <w:r w:rsidRPr="00D334D5">
        <w:rPr>
          <w:rFonts w:ascii="Times New Roman" w:hAnsi="Times New Roman" w:cs="Times New Roman"/>
          <w:i/>
          <w:lang w:val="es-ES"/>
        </w:rPr>
        <w:t>.</w:t>
      </w:r>
      <w:r w:rsidRPr="007C3AB4">
        <w:rPr>
          <w:rFonts w:ascii="Times New Roman" w:hAnsi="Times New Roman" w:cs="Times New Roman"/>
          <w:lang w:val="es-ES"/>
        </w:rPr>
        <w:t>, para</w:t>
      </w:r>
      <w:r>
        <w:rPr>
          <w:rFonts w:ascii="Times New Roman" w:hAnsi="Times New Roman" w:cs="Times New Roman"/>
          <w:lang w:val="es-ES"/>
        </w:rPr>
        <w:t>.</w:t>
      </w:r>
      <w:r w:rsidRPr="007C3AB4">
        <w:rPr>
          <w:rFonts w:ascii="Times New Roman" w:hAnsi="Times New Roman" w:cs="Times New Roman"/>
          <w:lang w:val="es-ES"/>
        </w:rPr>
        <w:t xml:space="preserve"> </w:t>
      </w:r>
      <w:r w:rsidRPr="00E52C03">
        <w:rPr>
          <w:rFonts w:ascii="Times New Roman" w:hAnsi="Times New Roman" w:cs="Times New Roman"/>
        </w:rPr>
        <w:t>114.</w:t>
      </w:r>
    </w:p>
  </w:footnote>
  <w:footnote w:id="167">
    <w:p w14:paraId="38B4F87D" w14:textId="20E005DC"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Pr>
          <w:rFonts w:ascii="Times New Roman" w:hAnsi="Times New Roman" w:cs="Times New Roman"/>
          <w:i/>
        </w:rPr>
        <w:t>I</w:t>
      </w:r>
      <w:r w:rsidRPr="00E52C03">
        <w:rPr>
          <w:rFonts w:ascii="Times New Roman" w:hAnsi="Times New Roman" w:cs="Times New Roman"/>
          <w:i/>
        </w:rPr>
        <w:t>bid.</w:t>
      </w:r>
      <w:r w:rsidRPr="007C3AB4">
        <w:rPr>
          <w:rFonts w:ascii="Times New Roman" w:hAnsi="Times New Roman" w:cs="Times New Roman"/>
        </w:rPr>
        <w:t>, para</w:t>
      </w:r>
      <w:r>
        <w:rPr>
          <w:rFonts w:ascii="Times New Roman" w:hAnsi="Times New Roman" w:cs="Times New Roman"/>
        </w:rPr>
        <w:t>.</w:t>
      </w:r>
      <w:r w:rsidRPr="007C3AB4">
        <w:rPr>
          <w:rFonts w:ascii="Times New Roman" w:hAnsi="Times New Roman" w:cs="Times New Roman"/>
        </w:rPr>
        <w:t xml:space="preserve"> 8.</w:t>
      </w:r>
    </w:p>
  </w:footnote>
  <w:footnote w:id="168">
    <w:p w14:paraId="11AD9CEB" w14:textId="5FB676A3"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sidRPr="007C3AB4">
        <w:rPr>
          <w:rFonts w:ascii="Times New Roman" w:hAnsi="Times New Roman" w:cs="Times New Roman"/>
          <w:i/>
        </w:rPr>
        <w:t xml:space="preserve">Border Timbers Limited and others </w:t>
      </w:r>
      <w:r w:rsidRPr="00982811">
        <w:rPr>
          <w:rFonts w:ascii="Times New Roman" w:hAnsi="Times New Roman" w:cs="Times New Roman"/>
        </w:rPr>
        <w:t>v.</w:t>
      </w:r>
      <w:r w:rsidRPr="007C3AB4">
        <w:rPr>
          <w:rFonts w:ascii="Times New Roman" w:hAnsi="Times New Roman" w:cs="Times New Roman"/>
          <w:i/>
        </w:rPr>
        <w:t xml:space="preserve"> Republic of Zimbabwe</w:t>
      </w:r>
      <w:r w:rsidRPr="007C3AB4">
        <w:rPr>
          <w:rFonts w:ascii="Times New Roman" w:hAnsi="Times New Roman" w:cs="Times New Roman"/>
        </w:rPr>
        <w:t>, ICSID Case No. ARB/10/25</w:t>
      </w:r>
      <w:r>
        <w:rPr>
          <w:rFonts w:ascii="Times New Roman" w:hAnsi="Times New Roman" w:cs="Times New Roman"/>
        </w:rPr>
        <w:t>;</w:t>
      </w:r>
      <w:r w:rsidRPr="007C3AB4">
        <w:rPr>
          <w:rFonts w:ascii="Times New Roman" w:hAnsi="Times New Roman" w:cs="Times New Roman"/>
        </w:rPr>
        <w:t xml:space="preserve"> </w:t>
      </w:r>
      <w:r w:rsidRPr="007C3AB4">
        <w:rPr>
          <w:rFonts w:ascii="Times New Roman" w:hAnsi="Times New Roman" w:cs="Times New Roman"/>
          <w:i/>
        </w:rPr>
        <w:t xml:space="preserve">Bernhard von </w:t>
      </w:r>
      <w:proofErr w:type="spellStart"/>
      <w:r w:rsidRPr="007C3AB4">
        <w:rPr>
          <w:rFonts w:ascii="Times New Roman" w:hAnsi="Times New Roman" w:cs="Times New Roman"/>
          <w:i/>
        </w:rPr>
        <w:t>Pezold</w:t>
      </w:r>
      <w:proofErr w:type="spellEnd"/>
      <w:r w:rsidRPr="007C3AB4">
        <w:rPr>
          <w:rFonts w:ascii="Times New Roman" w:hAnsi="Times New Roman" w:cs="Times New Roman"/>
          <w:i/>
        </w:rPr>
        <w:t xml:space="preserve"> and others </w:t>
      </w:r>
      <w:r w:rsidRPr="00982811">
        <w:rPr>
          <w:rFonts w:ascii="Times New Roman" w:hAnsi="Times New Roman" w:cs="Times New Roman"/>
        </w:rPr>
        <w:t>v.</w:t>
      </w:r>
      <w:r w:rsidRPr="007C3AB4">
        <w:rPr>
          <w:rFonts w:ascii="Times New Roman" w:hAnsi="Times New Roman" w:cs="Times New Roman"/>
          <w:i/>
        </w:rPr>
        <w:t xml:space="preserve"> Republic of Zimbabwe</w:t>
      </w:r>
      <w:r w:rsidRPr="007C3AB4">
        <w:rPr>
          <w:rFonts w:ascii="Times New Roman" w:hAnsi="Times New Roman" w:cs="Times New Roman"/>
        </w:rPr>
        <w:t xml:space="preserve"> (ICSID Case No. ARB/10/15). Award rendered by the Tribunal on </w:t>
      </w:r>
      <w:r>
        <w:rPr>
          <w:rFonts w:ascii="Times New Roman" w:hAnsi="Times New Roman" w:cs="Times New Roman"/>
        </w:rPr>
        <w:t xml:space="preserve">28 </w:t>
      </w:r>
      <w:r w:rsidRPr="007C3AB4">
        <w:rPr>
          <w:rFonts w:ascii="Times New Roman" w:hAnsi="Times New Roman" w:cs="Times New Roman"/>
        </w:rPr>
        <w:t>July 2015.</w:t>
      </w:r>
    </w:p>
  </w:footnote>
  <w:footnote w:id="169">
    <w:p w14:paraId="4C699E1D" w14:textId="3498397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w:t>
      </w:r>
      <w:r w:rsidRPr="00E52C03">
        <w:rPr>
          <w:rFonts w:ascii="Times New Roman" w:hAnsi="Times New Roman" w:cs="Times New Roman"/>
          <w:i/>
        </w:rPr>
        <w:t>bid.</w:t>
      </w:r>
      <w:r w:rsidRPr="007C3AB4">
        <w:rPr>
          <w:rFonts w:ascii="Times New Roman" w:hAnsi="Times New Roman" w:cs="Times New Roman"/>
        </w:rPr>
        <w:t>, para</w:t>
      </w:r>
      <w:r>
        <w:rPr>
          <w:rFonts w:ascii="Times New Roman" w:hAnsi="Times New Roman" w:cs="Times New Roman"/>
        </w:rPr>
        <w:t>s.</w:t>
      </w:r>
      <w:r w:rsidRPr="007C3AB4">
        <w:rPr>
          <w:rFonts w:ascii="Times New Roman" w:hAnsi="Times New Roman" w:cs="Times New Roman"/>
        </w:rPr>
        <w:t xml:space="preserve"> 97-115.</w:t>
      </w:r>
    </w:p>
  </w:footnote>
  <w:footnote w:id="170">
    <w:p w14:paraId="0AE3A7F6" w14:textId="34480090"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Pr>
          <w:rFonts w:ascii="Times New Roman" w:hAnsi="Times New Roman" w:cs="Times New Roman"/>
          <w:i/>
        </w:rPr>
        <w:t>I</w:t>
      </w:r>
      <w:r w:rsidRPr="00E52C03">
        <w:rPr>
          <w:rFonts w:ascii="Times New Roman" w:hAnsi="Times New Roman" w:cs="Times New Roman"/>
          <w:i/>
        </w:rPr>
        <w:t>bid.</w:t>
      </w:r>
      <w:r w:rsidRPr="007C3AB4">
        <w:rPr>
          <w:rFonts w:ascii="Times New Roman" w:hAnsi="Times New Roman" w:cs="Times New Roman"/>
        </w:rPr>
        <w:t>, para</w:t>
      </w:r>
      <w:r>
        <w:rPr>
          <w:rFonts w:ascii="Times New Roman" w:hAnsi="Times New Roman" w:cs="Times New Roman"/>
        </w:rPr>
        <w:t>.</w:t>
      </w:r>
      <w:r w:rsidRPr="007C3AB4">
        <w:rPr>
          <w:rFonts w:ascii="Times New Roman" w:hAnsi="Times New Roman" w:cs="Times New Roman"/>
        </w:rPr>
        <w:t xml:space="preserve"> 57.</w:t>
      </w:r>
    </w:p>
  </w:footnote>
  <w:footnote w:id="171">
    <w:p w14:paraId="5AAF51A5" w14:textId="2DCD3A59"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sidRPr="007C3AB4">
        <w:rPr>
          <w:rFonts w:ascii="Times New Roman" w:hAnsi="Times New Roman" w:cs="Times New Roman"/>
          <w:i/>
        </w:rPr>
        <w:t xml:space="preserve">Burlington </w:t>
      </w:r>
      <w:r w:rsidRPr="00982811">
        <w:rPr>
          <w:rFonts w:ascii="Times New Roman" w:hAnsi="Times New Roman" w:cs="Times New Roman"/>
        </w:rPr>
        <w:t>v.</w:t>
      </w:r>
      <w:r w:rsidRPr="007C3AB4">
        <w:rPr>
          <w:rFonts w:ascii="Times New Roman" w:hAnsi="Times New Roman" w:cs="Times New Roman"/>
          <w:i/>
        </w:rPr>
        <w:t xml:space="preserve"> Ecuador, Burlington Resources Inc. </w:t>
      </w:r>
      <w:r w:rsidRPr="00982811">
        <w:rPr>
          <w:rFonts w:ascii="Times New Roman" w:hAnsi="Times New Roman" w:cs="Times New Roman"/>
        </w:rPr>
        <w:t>v.</w:t>
      </w:r>
      <w:r w:rsidRPr="007C3AB4">
        <w:rPr>
          <w:rFonts w:ascii="Times New Roman" w:hAnsi="Times New Roman" w:cs="Times New Roman"/>
          <w:i/>
        </w:rPr>
        <w:t xml:space="preserve"> Republic of Ecuador, </w:t>
      </w:r>
      <w:r>
        <w:rPr>
          <w:rFonts w:ascii="Times New Roman" w:hAnsi="Times New Roman" w:cs="Times New Roman"/>
        </w:rPr>
        <w:t>ICSID Case No. ARB/08/5.</w:t>
      </w:r>
    </w:p>
  </w:footnote>
  <w:footnote w:id="172">
    <w:p w14:paraId="12DC1983" w14:textId="449680B0"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r>
        <w:rPr>
          <w:rFonts w:ascii="Times New Roman" w:hAnsi="Times New Roman" w:cs="Times New Roman"/>
          <w:i/>
        </w:rPr>
        <w:t>I</w:t>
      </w:r>
      <w:r w:rsidRPr="00E52C03">
        <w:rPr>
          <w:rFonts w:ascii="Times New Roman" w:hAnsi="Times New Roman" w:cs="Times New Roman"/>
          <w:i/>
        </w:rPr>
        <w:t>bid</w:t>
      </w:r>
      <w:r w:rsidRPr="007C3AB4">
        <w:rPr>
          <w:rFonts w:ascii="Times New Roman" w:hAnsi="Times New Roman" w:cs="Times New Roman"/>
        </w:rPr>
        <w:t xml:space="preserve">. </w:t>
      </w:r>
    </w:p>
  </w:footnote>
  <w:footnote w:id="173">
    <w:p w14:paraId="5E476E6E" w14:textId="2F127193"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M. </w:t>
      </w:r>
      <w:proofErr w:type="spellStart"/>
      <w:r w:rsidRPr="007C3AB4">
        <w:rPr>
          <w:rFonts w:ascii="Times New Roman" w:hAnsi="Times New Roman" w:cs="Times New Roman"/>
        </w:rPr>
        <w:t>Krajewski</w:t>
      </w:r>
      <w:proofErr w:type="spellEnd"/>
      <w:r w:rsidRPr="007C3AB4">
        <w:rPr>
          <w:rFonts w:ascii="Times New Roman" w:hAnsi="Times New Roman" w:cs="Times New Roman"/>
        </w:rPr>
        <w:t xml:space="preserve">, </w:t>
      </w:r>
      <w:hyperlink r:id="rId7" w:history="1">
        <w:r w:rsidRPr="00BF4996">
          <w:rPr>
            <w:rStyle w:val="Hyperlink"/>
            <w:rFonts w:ascii="Times New Roman" w:hAnsi="Times New Roman" w:cs="Times New Roman"/>
            <w:i/>
          </w:rPr>
          <w:t>Ensuring the Primacy of Human Rights in Trade and Investment Policies: Model clauses for a UN Treaty on transnational corporations, other businesses and human rights</w:t>
        </w:r>
      </w:hyperlink>
      <w:r>
        <w:rPr>
          <w:rFonts w:ascii="Times New Roman" w:hAnsi="Times New Roman" w:cs="Times New Roman"/>
        </w:rPr>
        <w:t xml:space="preserve"> (CIDSE, Brussels, 2017) </w:t>
      </w:r>
      <w:r w:rsidRPr="007C3AB4">
        <w:rPr>
          <w:rFonts w:ascii="Times New Roman" w:hAnsi="Times New Roman" w:cs="Times New Roman"/>
        </w:rPr>
        <w:t>pp. 9-19.</w:t>
      </w:r>
    </w:p>
  </w:footnote>
  <w:footnote w:id="174">
    <w:p w14:paraId="49D9A9FE" w14:textId="5C165A71" w:rsidR="00DE3CB2" w:rsidRPr="00E52C03"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E52C03">
        <w:rPr>
          <w:rFonts w:ascii="Times New Roman" w:hAnsi="Times New Roman" w:cs="Times New Roman"/>
          <w:lang w:val="es-ES"/>
        </w:rPr>
        <w:t xml:space="preserve"> Anaya and Puig</w:t>
      </w:r>
      <w:r>
        <w:rPr>
          <w:rFonts w:ascii="Times New Roman" w:hAnsi="Times New Roman" w:cs="Times New Roman"/>
          <w:lang w:val="es-ES"/>
        </w:rPr>
        <w:t>,</w:t>
      </w:r>
      <w:r w:rsidRPr="00E52C03">
        <w:rPr>
          <w:rFonts w:ascii="Times New Roman" w:hAnsi="Times New Roman" w:cs="Times New Roman"/>
          <w:lang w:val="es-ES"/>
        </w:rPr>
        <w:t xml:space="preserve"> </w:t>
      </w:r>
      <w:r w:rsidRPr="00E52C03">
        <w:rPr>
          <w:rFonts w:ascii="Times New Roman" w:hAnsi="Times New Roman" w:cs="Times New Roman"/>
          <w:i/>
          <w:lang w:val="es-ES"/>
        </w:rPr>
        <w:t xml:space="preserve">supra </w:t>
      </w:r>
      <w:r>
        <w:rPr>
          <w:rFonts w:ascii="Times New Roman" w:hAnsi="Times New Roman" w:cs="Times New Roman"/>
          <w:lang w:val="es-ES"/>
        </w:rPr>
        <w:t>note 33</w:t>
      </w:r>
      <w:r w:rsidRPr="00E52C03">
        <w:rPr>
          <w:rFonts w:ascii="Times New Roman" w:hAnsi="Times New Roman" w:cs="Times New Roman"/>
          <w:lang w:val="es-ES"/>
        </w:rPr>
        <w:t>, p. 3.</w:t>
      </w:r>
    </w:p>
  </w:footnote>
  <w:footnote w:id="175">
    <w:p w14:paraId="11631549" w14:textId="6530CA75" w:rsidR="00DE3CB2" w:rsidRPr="00E52C03" w:rsidRDefault="00DE3CB2" w:rsidP="00B9033F">
      <w:pPr>
        <w:pStyle w:val="FootnoteText"/>
        <w:jc w:val="both"/>
        <w:rPr>
          <w:lang w:val="es-ES"/>
        </w:rPr>
      </w:pPr>
      <w:r w:rsidRPr="00BF4996">
        <w:rPr>
          <w:rStyle w:val="FootnoteReference"/>
          <w:rFonts w:ascii="Times New Roman" w:hAnsi="Times New Roman" w:cs="Times New Roman"/>
        </w:rPr>
        <w:footnoteRef/>
      </w:r>
      <w:r w:rsidRPr="00E52C03">
        <w:rPr>
          <w:rFonts w:ascii="Times New Roman" w:hAnsi="Times New Roman" w:cs="Times New Roman"/>
          <w:lang w:val="es-ES"/>
        </w:rPr>
        <w:t xml:space="preserve"> </w:t>
      </w:r>
      <w:proofErr w:type="spellStart"/>
      <w:r w:rsidRPr="00E52C03">
        <w:rPr>
          <w:rFonts w:ascii="Times New Roman" w:hAnsi="Times New Roman" w:cs="Times New Roman"/>
          <w:lang w:val="es-ES"/>
        </w:rPr>
        <w:t>Krajewski</w:t>
      </w:r>
      <w:proofErr w:type="spellEnd"/>
      <w:r>
        <w:rPr>
          <w:rFonts w:ascii="Times New Roman" w:hAnsi="Times New Roman" w:cs="Times New Roman"/>
          <w:lang w:val="es-ES"/>
        </w:rPr>
        <w:t>,</w:t>
      </w:r>
      <w:r w:rsidRPr="00E52C03">
        <w:rPr>
          <w:rFonts w:ascii="Times New Roman" w:hAnsi="Times New Roman" w:cs="Times New Roman"/>
          <w:lang w:val="es-ES"/>
        </w:rPr>
        <w:t xml:space="preserve"> </w:t>
      </w:r>
      <w:r w:rsidRPr="00E52C03">
        <w:rPr>
          <w:rFonts w:ascii="Times New Roman" w:hAnsi="Times New Roman" w:cs="Times New Roman"/>
          <w:i/>
          <w:lang w:val="es-ES"/>
        </w:rPr>
        <w:t xml:space="preserve">supra </w:t>
      </w:r>
      <w:r>
        <w:rPr>
          <w:rFonts w:ascii="Times New Roman" w:hAnsi="Times New Roman" w:cs="Times New Roman"/>
          <w:lang w:val="es-ES"/>
        </w:rPr>
        <w:t>note 173</w:t>
      </w:r>
      <w:r w:rsidRPr="00E52C03">
        <w:rPr>
          <w:rFonts w:ascii="Times New Roman" w:hAnsi="Times New Roman" w:cs="Times New Roman"/>
          <w:lang w:val="es-ES"/>
        </w:rPr>
        <w:t>, p. 13.</w:t>
      </w:r>
    </w:p>
  </w:footnote>
  <w:footnote w:id="176">
    <w:p w14:paraId="3BF707A6" w14:textId="3F219920"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w:t>
      </w:r>
      <w:proofErr w:type="spellStart"/>
      <w:r w:rsidRPr="00BF4996">
        <w:rPr>
          <w:rFonts w:ascii="Times New Roman" w:hAnsi="Times New Roman" w:cs="Times New Roman"/>
          <w:i/>
        </w:rPr>
        <w:t>Sawhoyamaxa</w:t>
      </w:r>
      <w:proofErr w:type="spellEnd"/>
      <w:r>
        <w:rPr>
          <w:rFonts w:ascii="Times New Roman" w:hAnsi="Times New Roman" w:cs="Times New Roman"/>
          <w:i/>
        </w:rPr>
        <w:t>,</w:t>
      </w:r>
      <w:r>
        <w:rPr>
          <w:rFonts w:ascii="Times New Roman" w:hAnsi="Times New Roman" w:cs="Times New Roman"/>
        </w:rPr>
        <w:t xml:space="preserve"> </w:t>
      </w:r>
      <w:r w:rsidRPr="00BF4996">
        <w:rPr>
          <w:rFonts w:ascii="Times New Roman" w:hAnsi="Times New Roman" w:cs="Times New Roman"/>
          <w:i/>
        </w:rPr>
        <w:t xml:space="preserve">supra </w:t>
      </w:r>
      <w:r>
        <w:rPr>
          <w:rFonts w:ascii="Times New Roman" w:hAnsi="Times New Roman" w:cs="Times New Roman"/>
        </w:rPr>
        <w:t>note 92</w:t>
      </w:r>
      <w:r w:rsidRPr="007C3AB4">
        <w:rPr>
          <w:rFonts w:ascii="Times New Roman" w:hAnsi="Times New Roman" w:cs="Times New Roman"/>
        </w:rPr>
        <w:t>,</w:t>
      </w:r>
      <w:r>
        <w:rPr>
          <w:rFonts w:ascii="Times New Roman" w:hAnsi="Times New Roman" w:cs="Times New Roman"/>
        </w:rPr>
        <w:t xml:space="preserve"> </w:t>
      </w:r>
      <w:r w:rsidRPr="007C3AB4">
        <w:rPr>
          <w:rFonts w:ascii="Times New Roman" w:hAnsi="Times New Roman" w:cs="Times New Roman"/>
        </w:rPr>
        <w:t>para</w:t>
      </w:r>
      <w:r>
        <w:rPr>
          <w:rFonts w:ascii="Times New Roman" w:hAnsi="Times New Roman" w:cs="Times New Roman"/>
        </w:rPr>
        <w:t>.</w:t>
      </w:r>
      <w:r w:rsidRPr="007C3AB4">
        <w:rPr>
          <w:rFonts w:ascii="Times New Roman" w:hAnsi="Times New Roman" w:cs="Times New Roman"/>
        </w:rPr>
        <w:t>140.</w:t>
      </w:r>
    </w:p>
  </w:footnote>
  <w:footnote w:id="177">
    <w:p w14:paraId="14414218" w14:textId="28547152" w:rsidR="00DE3CB2" w:rsidRPr="00BF4996" w:rsidRDefault="00DE3CB2" w:rsidP="00B9033F">
      <w:pPr>
        <w:pStyle w:val="FootnoteText"/>
        <w:jc w:val="both"/>
        <w:rPr>
          <w:rFonts w:ascii="Times New Roman" w:hAnsi="Times New Roman" w:cs="Times New Roman"/>
        </w:rPr>
      </w:pPr>
      <w:r w:rsidRPr="00BF4996">
        <w:rPr>
          <w:rStyle w:val="FootnoteReference"/>
          <w:rFonts w:ascii="Times New Roman" w:hAnsi="Times New Roman" w:cs="Times New Roman"/>
        </w:rPr>
        <w:footnoteRef/>
      </w:r>
      <w:r w:rsidRPr="00BF4996">
        <w:rPr>
          <w:rFonts w:ascii="Times New Roman" w:hAnsi="Times New Roman" w:cs="Times New Roman"/>
        </w:rPr>
        <w:t xml:space="preserve"> R </w:t>
      </w:r>
      <w:proofErr w:type="spellStart"/>
      <w:r w:rsidRPr="00BF4996">
        <w:rPr>
          <w:rFonts w:ascii="Times New Roman" w:hAnsi="Times New Roman" w:cs="Times New Roman"/>
        </w:rPr>
        <w:t>Dolzer</w:t>
      </w:r>
      <w:proofErr w:type="spellEnd"/>
      <w:r w:rsidRPr="00BF4996">
        <w:rPr>
          <w:rFonts w:ascii="Times New Roman" w:hAnsi="Times New Roman" w:cs="Times New Roman"/>
        </w:rPr>
        <w:t xml:space="preserve"> and C </w:t>
      </w:r>
      <w:proofErr w:type="spellStart"/>
      <w:r w:rsidRPr="00BF4996">
        <w:rPr>
          <w:rFonts w:ascii="Times New Roman" w:hAnsi="Times New Roman" w:cs="Times New Roman"/>
        </w:rPr>
        <w:t>Schreuer</w:t>
      </w:r>
      <w:proofErr w:type="spellEnd"/>
      <w:r w:rsidRPr="00BF4996">
        <w:rPr>
          <w:rFonts w:ascii="Times New Roman" w:hAnsi="Times New Roman" w:cs="Times New Roman"/>
        </w:rPr>
        <w:t xml:space="preserve">, </w:t>
      </w:r>
      <w:r w:rsidRPr="00BF4996">
        <w:rPr>
          <w:rFonts w:ascii="Times New Roman" w:hAnsi="Times New Roman" w:cs="Times New Roman"/>
          <w:i/>
        </w:rPr>
        <w:t>Principles of International Investment Law</w:t>
      </w:r>
      <w:r w:rsidRPr="00BF4996">
        <w:rPr>
          <w:rFonts w:ascii="Times New Roman" w:hAnsi="Times New Roman" w:cs="Times New Roman"/>
        </w:rPr>
        <w:t xml:space="preserve"> (Oxford University Press, Oxford, 2008) p. 65.</w:t>
      </w:r>
    </w:p>
  </w:footnote>
  <w:footnote w:id="178">
    <w:p w14:paraId="20CB5FA7" w14:textId="28DE4FBD"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On illegal investments, </w:t>
      </w:r>
      <w:r w:rsidRPr="006709D8">
        <w:rPr>
          <w:rFonts w:ascii="Times New Roman" w:hAnsi="Times New Roman" w:cs="Times New Roman"/>
          <w:i/>
        </w:rPr>
        <w:t>see</w:t>
      </w:r>
      <w:r w:rsidRPr="007C3AB4">
        <w:rPr>
          <w:rFonts w:ascii="Times New Roman" w:hAnsi="Times New Roman" w:cs="Times New Roman"/>
        </w:rPr>
        <w:t xml:space="preserve"> S. </w:t>
      </w:r>
      <w:proofErr w:type="spellStart"/>
      <w:r w:rsidRPr="007C3AB4">
        <w:rPr>
          <w:rFonts w:ascii="Times New Roman" w:hAnsi="Times New Roman" w:cs="Times New Roman"/>
        </w:rPr>
        <w:t>Schill</w:t>
      </w:r>
      <w:proofErr w:type="spellEnd"/>
      <w:r w:rsidRPr="007C3AB4">
        <w:rPr>
          <w:rFonts w:ascii="Times New Roman" w:hAnsi="Times New Roman" w:cs="Times New Roman"/>
        </w:rPr>
        <w:t xml:space="preserve">, ‘Illegal Investments in Investment Treaty Arbitration’, 11:2 </w:t>
      </w:r>
      <w:r w:rsidRPr="007C3AB4">
        <w:rPr>
          <w:rFonts w:ascii="Times New Roman" w:hAnsi="Times New Roman" w:cs="Times New Roman"/>
          <w:i/>
        </w:rPr>
        <w:t>The Law &amp; Practice of International Courts and Tribunals</w:t>
      </w:r>
      <w:r w:rsidRPr="007C3AB4">
        <w:rPr>
          <w:rFonts w:ascii="Times New Roman" w:hAnsi="Times New Roman" w:cs="Times New Roman"/>
        </w:rPr>
        <w:t xml:space="preserve"> (2012) pp. 281 – 323.</w:t>
      </w:r>
    </w:p>
  </w:footnote>
  <w:footnote w:id="179">
    <w:p w14:paraId="6B883123" w14:textId="0D618551"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D. Zachary, ‘The Plea of Illegality in Investment Treaty Arbitration’, </w:t>
      </w:r>
      <w:r>
        <w:rPr>
          <w:rFonts w:ascii="Times New Roman" w:hAnsi="Times New Roman" w:cs="Times New Roman"/>
        </w:rPr>
        <w:t xml:space="preserve">29:1 </w:t>
      </w:r>
      <w:r w:rsidRPr="007C3AB4">
        <w:rPr>
          <w:rFonts w:ascii="Times New Roman" w:hAnsi="Times New Roman" w:cs="Times New Roman"/>
          <w:i/>
        </w:rPr>
        <w:t>ICSID Review 2014</w:t>
      </w:r>
      <w:r>
        <w:rPr>
          <w:rFonts w:ascii="Times New Roman" w:hAnsi="Times New Roman" w:cs="Times New Roman"/>
        </w:rPr>
        <w:t>, pp. 155–186</w:t>
      </w:r>
      <w:r w:rsidRPr="007C3AB4">
        <w:rPr>
          <w:rFonts w:ascii="Times New Roman" w:hAnsi="Times New Roman" w:cs="Times New Roman"/>
        </w:rPr>
        <w:t>.</w:t>
      </w:r>
    </w:p>
  </w:footnote>
  <w:footnote w:id="180">
    <w:p w14:paraId="010BD2B3" w14:textId="2D56EC38"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w:t>
      </w:r>
      <w:r w:rsidRPr="00BF4996">
        <w:rPr>
          <w:rFonts w:ascii="Times New Roman" w:hAnsi="Times New Roman" w:cs="Times New Roman"/>
          <w:i/>
        </w:rPr>
        <w:t>bid.</w:t>
      </w:r>
      <w:r w:rsidRPr="007C3AB4">
        <w:rPr>
          <w:rFonts w:ascii="Times New Roman" w:hAnsi="Times New Roman" w:cs="Times New Roman"/>
        </w:rPr>
        <w:t xml:space="preserve">  </w:t>
      </w:r>
      <w:r>
        <w:rPr>
          <w:rFonts w:ascii="Times New Roman" w:hAnsi="Times New Roman" w:cs="Times New Roman"/>
        </w:rPr>
        <w:t>The author</w:t>
      </w:r>
      <w:r w:rsidRPr="007C3AB4">
        <w:rPr>
          <w:rFonts w:ascii="Times New Roman" w:hAnsi="Times New Roman" w:cs="Times New Roman"/>
        </w:rPr>
        <w:t xml:space="preserve"> examines in detail the practice of arbitral tribunals dealing with illegal investments, at 180-185. One of the leading cases in this field is </w:t>
      </w:r>
      <w:proofErr w:type="spellStart"/>
      <w:r w:rsidRPr="007C3AB4">
        <w:rPr>
          <w:rFonts w:ascii="Times New Roman" w:hAnsi="Times New Roman" w:cs="Times New Roman"/>
          <w:i/>
        </w:rPr>
        <w:t>Inceysa</w:t>
      </w:r>
      <w:proofErr w:type="spellEnd"/>
      <w:r w:rsidRPr="007C3AB4">
        <w:rPr>
          <w:rFonts w:ascii="Times New Roman" w:hAnsi="Times New Roman" w:cs="Times New Roman"/>
          <w:i/>
        </w:rPr>
        <w:t xml:space="preserve"> </w:t>
      </w:r>
      <w:proofErr w:type="spellStart"/>
      <w:r w:rsidRPr="007C3AB4">
        <w:rPr>
          <w:rFonts w:ascii="Times New Roman" w:hAnsi="Times New Roman" w:cs="Times New Roman"/>
          <w:i/>
        </w:rPr>
        <w:t>Vallisoletana</w:t>
      </w:r>
      <w:proofErr w:type="spellEnd"/>
      <w:r w:rsidRPr="007C3AB4">
        <w:rPr>
          <w:rFonts w:ascii="Times New Roman" w:hAnsi="Times New Roman" w:cs="Times New Roman"/>
          <w:i/>
        </w:rPr>
        <w:t xml:space="preserve"> SL </w:t>
      </w:r>
      <w:r w:rsidRPr="00DD6763">
        <w:rPr>
          <w:rFonts w:ascii="Times New Roman" w:hAnsi="Times New Roman" w:cs="Times New Roman"/>
          <w:iCs/>
        </w:rPr>
        <w:t>v.</w:t>
      </w:r>
      <w:r w:rsidRPr="007C3AB4">
        <w:rPr>
          <w:rFonts w:ascii="Times New Roman" w:hAnsi="Times New Roman" w:cs="Times New Roman"/>
          <w:i/>
        </w:rPr>
        <w:t xml:space="preserve"> Republic of El Salvador</w:t>
      </w:r>
      <w:r w:rsidRPr="007C3AB4">
        <w:rPr>
          <w:rFonts w:ascii="Times New Roman" w:hAnsi="Times New Roman" w:cs="Times New Roman"/>
        </w:rPr>
        <w:t>, ICSID Case No ARB/03/26, Award (2 August 2006) paras</w:t>
      </w:r>
      <w:r>
        <w:rPr>
          <w:rFonts w:ascii="Times New Roman" w:hAnsi="Times New Roman" w:cs="Times New Roman"/>
        </w:rPr>
        <w:t>.</w:t>
      </w:r>
      <w:r w:rsidRPr="007C3AB4">
        <w:rPr>
          <w:rFonts w:ascii="Times New Roman" w:hAnsi="Times New Roman" w:cs="Times New Roman"/>
        </w:rPr>
        <w:t xml:space="preserve"> 155, 258–64</w:t>
      </w:r>
      <w:r>
        <w:rPr>
          <w:rFonts w:ascii="Times New Roman" w:hAnsi="Times New Roman" w:cs="Times New Roman"/>
        </w:rPr>
        <w:t>.</w:t>
      </w:r>
      <w:r w:rsidRPr="007C3AB4">
        <w:rPr>
          <w:rFonts w:ascii="Times New Roman" w:hAnsi="Times New Roman" w:cs="Times New Roman"/>
        </w:rPr>
        <w:t xml:space="preserve"> </w:t>
      </w:r>
      <w:r w:rsidRPr="006709D8">
        <w:rPr>
          <w:rFonts w:ascii="Times New Roman" w:hAnsi="Times New Roman" w:cs="Times New Roman"/>
          <w:i/>
        </w:rPr>
        <w:t>See</w:t>
      </w:r>
      <w:r w:rsidRPr="007C3AB4">
        <w:rPr>
          <w:rFonts w:ascii="Times New Roman" w:hAnsi="Times New Roman" w:cs="Times New Roman"/>
        </w:rPr>
        <w:t xml:space="preserve"> M. </w:t>
      </w:r>
      <w:proofErr w:type="spellStart"/>
      <w:r w:rsidRPr="007C3AB4">
        <w:rPr>
          <w:rFonts w:ascii="Times New Roman" w:hAnsi="Times New Roman" w:cs="Times New Roman"/>
        </w:rPr>
        <w:t>Waibel</w:t>
      </w:r>
      <w:proofErr w:type="spellEnd"/>
      <w:r w:rsidRPr="007C3AB4">
        <w:rPr>
          <w:rFonts w:ascii="Times New Roman" w:hAnsi="Times New Roman" w:cs="Times New Roman"/>
        </w:rPr>
        <w:t xml:space="preserve"> </w:t>
      </w:r>
      <w:r w:rsidRPr="00DD6763">
        <w:rPr>
          <w:rFonts w:ascii="Times New Roman" w:hAnsi="Times New Roman" w:cs="Times New Roman"/>
          <w:i/>
          <w:iCs/>
        </w:rPr>
        <w:t>et al</w:t>
      </w:r>
      <w:r>
        <w:rPr>
          <w:rFonts w:ascii="Times New Roman" w:hAnsi="Times New Roman" w:cs="Times New Roman"/>
        </w:rPr>
        <w:t>.</w:t>
      </w:r>
      <w:r w:rsidRPr="007C3AB4">
        <w:rPr>
          <w:rFonts w:ascii="Times New Roman" w:hAnsi="Times New Roman" w:cs="Times New Roman"/>
        </w:rPr>
        <w:t xml:space="preserve">, Conclusions, in </w:t>
      </w:r>
      <w:r>
        <w:rPr>
          <w:rFonts w:ascii="Times New Roman" w:hAnsi="Times New Roman" w:cs="Times New Roman"/>
          <w:i/>
        </w:rPr>
        <w:t>The Backlash a</w:t>
      </w:r>
      <w:r w:rsidRPr="007C3AB4">
        <w:rPr>
          <w:rFonts w:ascii="Times New Roman" w:hAnsi="Times New Roman" w:cs="Times New Roman"/>
          <w:i/>
        </w:rPr>
        <w:t>gainst Investment Arbitration: Perceptions and Reality</w:t>
      </w:r>
      <w:r w:rsidRPr="007C3AB4">
        <w:rPr>
          <w:rFonts w:ascii="Times New Roman" w:hAnsi="Times New Roman" w:cs="Times New Roman"/>
        </w:rPr>
        <w:t xml:space="preserve"> (Kl</w:t>
      </w:r>
      <w:r>
        <w:rPr>
          <w:rFonts w:ascii="Times New Roman" w:hAnsi="Times New Roman" w:cs="Times New Roman"/>
        </w:rPr>
        <w:t xml:space="preserve">uwer International Law, </w:t>
      </w:r>
      <w:proofErr w:type="gramStart"/>
      <w:r>
        <w:rPr>
          <w:rFonts w:ascii="Times New Roman" w:hAnsi="Times New Roman" w:cs="Times New Roman"/>
        </w:rPr>
        <w:t>Dordrecht,  2010</w:t>
      </w:r>
      <w:proofErr w:type="gramEnd"/>
      <w:r>
        <w:rPr>
          <w:rFonts w:ascii="Times New Roman" w:hAnsi="Times New Roman" w:cs="Times New Roman"/>
        </w:rPr>
        <w:t xml:space="preserve">) p. </w:t>
      </w:r>
      <w:r w:rsidRPr="007C3AB4">
        <w:rPr>
          <w:rFonts w:ascii="Times New Roman" w:hAnsi="Times New Roman" w:cs="Times New Roman"/>
        </w:rPr>
        <w:t>313.</w:t>
      </w:r>
    </w:p>
  </w:footnote>
  <w:footnote w:id="181">
    <w:p w14:paraId="7A30E2C2" w14:textId="76A7EDF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This provision reads: ‘There shall be taken into account, together with the context: (c) Any relevant rules of international law applicable in the relations between the parties’.</w:t>
      </w:r>
    </w:p>
  </w:footnote>
  <w:footnote w:id="182">
    <w:p w14:paraId="03318A48" w14:textId="1BD3DD39" w:rsidR="00DE3CB2" w:rsidRPr="007C3AB4" w:rsidRDefault="00DE3CB2" w:rsidP="00B9033F">
      <w:pPr>
        <w:autoSpaceDE w:val="0"/>
        <w:autoSpaceDN w:val="0"/>
        <w:adjustRightInd w:val="0"/>
        <w:spacing w:after="0" w:line="240" w:lineRule="auto"/>
        <w:jc w:val="both"/>
        <w:rPr>
          <w:rFonts w:ascii="Times New Roman" w:hAnsi="Times New Roman" w:cs="Times New Roman"/>
          <w:sz w:val="20"/>
          <w:szCs w:val="20"/>
        </w:rPr>
      </w:pPr>
      <w:r w:rsidRPr="007C3AB4">
        <w:rPr>
          <w:rStyle w:val="FootnoteReference"/>
          <w:rFonts w:ascii="Times New Roman" w:hAnsi="Times New Roman" w:cs="Times New Roman"/>
          <w:sz w:val="20"/>
          <w:szCs w:val="20"/>
        </w:rPr>
        <w:footnoteRef/>
      </w:r>
      <w:r w:rsidRPr="007C3AB4">
        <w:rPr>
          <w:rFonts w:ascii="Times New Roman" w:hAnsi="Times New Roman" w:cs="Times New Roman"/>
          <w:sz w:val="20"/>
          <w:szCs w:val="20"/>
        </w:rPr>
        <w:t xml:space="preserve"> B. </w:t>
      </w:r>
      <w:proofErr w:type="spellStart"/>
      <w:r w:rsidRPr="007C3AB4">
        <w:rPr>
          <w:rFonts w:ascii="Times New Roman" w:hAnsi="Times New Roman" w:cs="Times New Roman"/>
          <w:sz w:val="20"/>
          <w:szCs w:val="20"/>
        </w:rPr>
        <w:t>Simma</w:t>
      </w:r>
      <w:proofErr w:type="spellEnd"/>
      <w:r w:rsidRPr="007C3AB4">
        <w:rPr>
          <w:rFonts w:ascii="Times New Roman" w:hAnsi="Times New Roman" w:cs="Times New Roman"/>
          <w:sz w:val="20"/>
          <w:szCs w:val="20"/>
        </w:rPr>
        <w:t xml:space="preserve">, </w:t>
      </w:r>
      <w:r>
        <w:rPr>
          <w:rFonts w:ascii="Times New Roman" w:hAnsi="Times New Roman" w:cs="Times New Roman"/>
          <w:sz w:val="20"/>
          <w:szCs w:val="20"/>
        </w:rPr>
        <w:t>‘</w:t>
      </w:r>
      <w:r w:rsidRPr="007C3AB4">
        <w:rPr>
          <w:rFonts w:ascii="Times New Roman" w:hAnsi="Times New Roman" w:cs="Times New Roman"/>
          <w:sz w:val="20"/>
          <w:szCs w:val="20"/>
        </w:rPr>
        <w:t>Foreign Investment Arbitration: A Place for Human Rights?</w:t>
      </w:r>
      <w:r>
        <w:rPr>
          <w:rFonts w:ascii="Times New Roman" w:hAnsi="Times New Roman" w:cs="Times New Roman"/>
          <w:sz w:val="20"/>
          <w:szCs w:val="20"/>
        </w:rPr>
        <w:t>’</w:t>
      </w:r>
      <w:r w:rsidRPr="007C3AB4">
        <w:rPr>
          <w:rFonts w:ascii="Times New Roman" w:hAnsi="Times New Roman" w:cs="Times New Roman"/>
          <w:sz w:val="20"/>
          <w:szCs w:val="20"/>
        </w:rPr>
        <w:t xml:space="preserve">, </w:t>
      </w:r>
      <w:r>
        <w:rPr>
          <w:rFonts w:ascii="Times New Roman" w:hAnsi="Times New Roman" w:cs="Times New Roman"/>
          <w:sz w:val="20"/>
          <w:szCs w:val="20"/>
        </w:rPr>
        <w:t xml:space="preserve">60 </w:t>
      </w:r>
      <w:r w:rsidRPr="0023370A">
        <w:rPr>
          <w:rFonts w:ascii="Times New Roman" w:hAnsi="Times New Roman" w:cs="Times New Roman"/>
          <w:i/>
          <w:sz w:val="20"/>
          <w:szCs w:val="20"/>
        </w:rPr>
        <w:t xml:space="preserve">ICLQ </w:t>
      </w:r>
      <w:r>
        <w:rPr>
          <w:rFonts w:ascii="Times New Roman" w:hAnsi="Times New Roman" w:cs="Times New Roman"/>
          <w:sz w:val="20"/>
          <w:szCs w:val="20"/>
        </w:rPr>
        <w:t>(</w:t>
      </w:r>
      <w:r w:rsidRPr="007C3AB4">
        <w:rPr>
          <w:rFonts w:ascii="Times New Roman" w:hAnsi="Times New Roman" w:cs="Times New Roman"/>
          <w:sz w:val="20"/>
          <w:szCs w:val="20"/>
        </w:rPr>
        <w:t>2011</w:t>
      </w:r>
      <w:r>
        <w:rPr>
          <w:rFonts w:ascii="Times New Roman" w:hAnsi="Times New Roman" w:cs="Times New Roman"/>
          <w:sz w:val="20"/>
          <w:szCs w:val="20"/>
        </w:rPr>
        <w:t>) pp. 573 and</w:t>
      </w:r>
      <w:r w:rsidRPr="007C3AB4">
        <w:rPr>
          <w:rFonts w:ascii="Times New Roman" w:hAnsi="Times New Roman" w:cs="Times New Roman"/>
          <w:sz w:val="20"/>
          <w:szCs w:val="20"/>
        </w:rPr>
        <w:t xml:space="preserve"> 584.</w:t>
      </w:r>
    </w:p>
  </w:footnote>
  <w:footnote w:id="183">
    <w:p w14:paraId="15649E34" w14:textId="503430E0" w:rsidR="00DE3CB2" w:rsidRPr="00CA799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sidRPr="00CA7994">
        <w:rPr>
          <w:rFonts w:ascii="Times New Roman" w:hAnsi="Times New Roman" w:cs="Times New Roman"/>
          <w:lang w:val="es-ES"/>
        </w:rPr>
        <w:t xml:space="preserve"> </w:t>
      </w:r>
      <w:proofErr w:type="spellStart"/>
      <w:r>
        <w:rPr>
          <w:rFonts w:ascii="Times New Roman" w:hAnsi="Times New Roman" w:cs="Times New Roman"/>
          <w:i/>
          <w:lang w:val="es-ES"/>
        </w:rPr>
        <w:t>I</w:t>
      </w:r>
      <w:r w:rsidRPr="00BF4996">
        <w:rPr>
          <w:rFonts w:ascii="Times New Roman" w:hAnsi="Times New Roman" w:cs="Times New Roman"/>
          <w:i/>
          <w:lang w:val="es-ES"/>
        </w:rPr>
        <w:t>bid</w:t>
      </w:r>
      <w:proofErr w:type="spellEnd"/>
      <w:r w:rsidRPr="00BF4996">
        <w:rPr>
          <w:rFonts w:ascii="Times New Roman" w:hAnsi="Times New Roman" w:cs="Times New Roman"/>
          <w:i/>
          <w:lang w:val="es-ES"/>
        </w:rPr>
        <w:t>.</w:t>
      </w:r>
    </w:p>
  </w:footnote>
  <w:footnote w:id="184">
    <w:p w14:paraId="5A4CE26B" w14:textId="62FB31EF" w:rsidR="00DE3CB2" w:rsidRPr="00CA7994" w:rsidRDefault="00DE3CB2" w:rsidP="00B9033F">
      <w:pPr>
        <w:pStyle w:val="FootnoteText"/>
        <w:jc w:val="both"/>
        <w:rPr>
          <w:rFonts w:ascii="Times New Roman" w:hAnsi="Times New Roman" w:cs="Times New Roman"/>
          <w:lang w:val="es-ES"/>
        </w:rPr>
      </w:pPr>
      <w:r w:rsidRPr="007C3AB4">
        <w:rPr>
          <w:rStyle w:val="FootnoteReference"/>
          <w:rFonts w:ascii="Times New Roman" w:hAnsi="Times New Roman" w:cs="Times New Roman"/>
        </w:rPr>
        <w:footnoteRef/>
      </w:r>
      <w:r>
        <w:rPr>
          <w:rFonts w:ascii="Times New Roman" w:hAnsi="Times New Roman" w:cs="Times New Roman"/>
          <w:lang w:val="es-ES"/>
        </w:rPr>
        <w:t xml:space="preserve"> </w:t>
      </w:r>
      <w:r w:rsidRPr="00CA7994">
        <w:rPr>
          <w:rFonts w:ascii="Times New Roman" w:hAnsi="Times New Roman" w:cs="Times New Roman"/>
          <w:lang w:val="es-ES"/>
        </w:rPr>
        <w:t>Rodríguez-Garavito</w:t>
      </w:r>
      <w:r>
        <w:rPr>
          <w:rFonts w:ascii="Times New Roman" w:hAnsi="Times New Roman" w:cs="Times New Roman"/>
          <w:lang w:val="es-ES"/>
        </w:rPr>
        <w:t>,</w:t>
      </w:r>
      <w:r w:rsidRPr="00CA7994">
        <w:rPr>
          <w:rFonts w:ascii="Times New Roman" w:hAnsi="Times New Roman" w:cs="Times New Roman"/>
          <w:lang w:val="es-ES"/>
        </w:rPr>
        <w:t xml:space="preserve"> </w:t>
      </w:r>
      <w:r w:rsidRPr="00BF4996">
        <w:rPr>
          <w:rFonts w:ascii="Times New Roman" w:hAnsi="Times New Roman" w:cs="Times New Roman"/>
          <w:i/>
          <w:lang w:val="es-ES"/>
        </w:rPr>
        <w:t>supra</w:t>
      </w:r>
      <w:r>
        <w:rPr>
          <w:rFonts w:ascii="Times New Roman" w:hAnsi="Times New Roman" w:cs="Times New Roman"/>
          <w:lang w:val="es-ES"/>
        </w:rPr>
        <w:t xml:space="preserve"> note 16</w:t>
      </w:r>
      <w:r w:rsidRPr="00CA7994">
        <w:rPr>
          <w:rFonts w:ascii="Times New Roman" w:hAnsi="Times New Roman" w:cs="Times New Roman"/>
          <w:lang w:val="es-ES"/>
        </w:rPr>
        <w:t>, pp. 1-44.</w:t>
      </w:r>
    </w:p>
  </w:footnote>
  <w:footnote w:id="185">
    <w:p w14:paraId="529709BF" w14:textId="2DFBAD23"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i/>
        </w:rPr>
        <w:t xml:space="preserve"> I</w:t>
      </w:r>
      <w:r w:rsidRPr="00BF4996">
        <w:rPr>
          <w:rFonts w:ascii="Times New Roman" w:hAnsi="Times New Roman" w:cs="Times New Roman"/>
          <w:i/>
        </w:rPr>
        <w:t>bid.</w:t>
      </w:r>
      <w:r>
        <w:rPr>
          <w:rFonts w:ascii="Times New Roman" w:hAnsi="Times New Roman" w:cs="Times New Roman"/>
        </w:rPr>
        <w:t xml:space="preserve">, p. </w:t>
      </w:r>
      <w:r w:rsidRPr="007C3AB4">
        <w:rPr>
          <w:rFonts w:ascii="Times New Roman" w:hAnsi="Times New Roman" w:cs="Times New Roman"/>
        </w:rPr>
        <w:t>27.</w:t>
      </w:r>
    </w:p>
  </w:footnote>
  <w:footnote w:id="186">
    <w:p w14:paraId="2E799983" w14:textId="7777777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A Schilling-</w:t>
      </w:r>
      <w:proofErr w:type="spellStart"/>
      <w:r w:rsidRPr="007C3AB4">
        <w:rPr>
          <w:rFonts w:ascii="Times New Roman" w:hAnsi="Times New Roman" w:cs="Times New Roman"/>
        </w:rPr>
        <w:t>Vacaflor</w:t>
      </w:r>
      <w:proofErr w:type="spellEnd"/>
      <w:r w:rsidRPr="007C3AB4">
        <w:rPr>
          <w:rFonts w:ascii="Times New Roman" w:hAnsi="Times New Roman" w:cs="Times New Roman"/>
        </w:rPr>
        <w:t xml:space="preserve"> and R </w:t>
      </w:r>
      <w:proofErr w:type="spellStart"/>
      <w:r w:rsidRPr="007C3AB4">
        <w:rPr>
          <w:rFonts w:ascii="Times New Roman" w:hAnsi="Times New Roman" w:cs="Times New Roman"/>
        </w:rPr>
        <w:t>Flemmer</w:t>
      </w:r>
      <w:proofErr w:type="spellEnd"/>
      <w:r w:rsidRPr="007C3AB4">
        <w:rPr>
          <w:rFonts w:ascii="Times New Roman" w:hAnsi="Times New Roman" w:cs="Times New Roman"/>
        </w:rPr>
        <w:t xml:space="preserve">, </w:t>
      </w:r>
      <w:proofErr w:type="gramStart"/>
      <w:r w:rsidRPr="007C3AB4">
        <w:rPr>
          <w:rFonts w:ascii="Times New Roman" w:hAnsi="Times New Roman" w:cs="Times New Roman"/>
          <w:i/>
        </w:rPr>
        <w:t>Why</w:t>
      </w:r>
      <w:proofErr w:type="gramEnd"/>
      <w:r w:rsidRPr="007C3AB4">
        <w:rPr>
          <w:rFonts w:ascii="Times New Roman" w:hAnsi="Times New Roman" w:cs="Times New Roman"/>
          <w:i/>
        </w:rPr>
        <w:t xml:space="preserve"> is Prior Consultation Not Yet an Effective Tool for Conflict Resolution? The Case of Peru</w:t>
      </w:r>
      <w:r w:rsidRPr="007C3AB4">
        <w:rPr>
          <w:rFonts w:ascii="Times New Roman" w:hAnsi="Times New Roman" w:cs="Times New Roman"/>
        </w:rPr>
        <w:t xml:space="preserve">, Working Paper No 220 (April 2013) </w:t>
      </w:r>
    </w:p>
  </w:footnote>
  <w:footnote w:id="187">
    <w:p w14:paraId="0A030831" w14:textId="7777777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A Schilling-</w:t>
      </w:r>
      <w:proofErr w:type="spellStart"/>
      <w:r w:rsidRPr="007C3AB4">
        <w:rPr>
          <w:rFonts w:ascii="Times New Roman" w:hAnsi="Times New Roman" w:cs="Times New Roman"/>
        </w:rPr>
        <w:t>Vacaflor</w:t>
      </w:r>
      <w:proofErr w:type="spellEnd"/>
      <w:r w:rsidRPr="007C3AB4">
        <w:rPr>
          <w:rFonts w:ascii="Times New Roman" w:hAnsi="Times New Roman" w:cs="Times New Roman"/>
        </w:rPr>
        <w:t xml:space="preserve">, ‘Prior Consultations in </w:t>
      </w:r>
      <w:proofErr w:type="spellStart"/>
      <w:r w:rsidRPr="007C3AB4">
        <w:rPr>
          <w:rFonts w:ascii="Times New Roman" w:hAnsi="Times New Roman" w:cs="Times New Roman"/>
        </w:rPr>
        <w:t>Plurinational</w:t>
      </w:r>
      <w:proofErr w:type="spellEnd"/>
      <w:r w:rsidRPr="007C3AB4">
        <w:rPr>
          <w:rFonts w:ascii="Times New Roman" w:hAnsi="Times New Roman" w:cs="Times New Roman"/>
        </w:rPr>
        <w:t xml:space="preserve"> Bolivia: Democracy, Rights and </w:t>
      </w:r>
      <w:proofErr w:type="gramStart"/>
      <w:r w:rsidRPr="007C3AB4">
        <w:rPr>
          <w:rFonts w:ascii="Times New Roman" w:hAnsi="Times New Roman" w:cs="Times New Roman"/>
        </w:rPr>
        <w:t>Real Life</w:t>
      </w:r>
      <w:proofErr w:type="gramEnd"/>
      <w:r w:rsidRPr="007C3AB4">
        <w:rPr>
          <w:rFonts w:ascii="Times New Roman" w:hAnsi="Times New Roman" w:cs="Times New Roman"/>
        </w:rPr>
        <w:t xml:space="preserve"> Experiences’, 8:2 </w:t>
      </w:r>
      <w:r w:rsidRPr="007C3AB4">
        <w:rPr>
          <w:rFonts w:ascii="Times New Roman" w:hAnsi="Times New Roman" w:cs="Times New Roman"/>
          <w:i/>
        </w:rPr>
        <w:t>Latin American and Caribbean Ethnic Studies</w:t>
      </w:r>
      <w:r w:rsidRPr="007C3AB4">
        <w:rPr>
          <w:rFonts w:ascii="Times New Roman" w:hAnsi="Times New Roman" w:cs="Times New Roman"/>
        </w:rPr>
        <w:t xml:space="preserve"> (2013) pp. 202-220.</w:t>
      </w:r>
    </w:p>
  </w:footnote>
  <w:footnote w:id="188">
    <w:p w14:paraId="315DEBDC" w14:textId="1CBB24B5"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I</w:t>
      </w:r>
      <w:r w:rsidRPr="00BF4996">
        <w:rPr>
          <w:rFonts w:ascii="Times New Roman" w:hAnsi="Times New Roman" w:cs="Times New Roman"/>
          <w:i/>
        </w:rPr>
        <w:t>bid.</w:t>
      </w:r>
      <w:r w:rsidRPr="007C3AB4">
        <w:rPr>
          <w:rFonts w:ascii="Times New Roman" w:hAnsi="Times New Roman" w:cs="Times New Roman"/>
        </w:rPr>
        <w:t>, pp. 202-203.</w:t>
      </w:r>
    </w:p>
  </w:footnote>
  <w:footnote w:id="189">
    <w:p w14:paraId="075DCD4A" w14:textId="69AF2CEA" w:rsidR="00DE3CB2" w:rsidRPr="007C3AB4" w:rsidRDefault="00DE3CB2" w:rsidP="00B9033F">
      <w:pPr>
        <w:spacing w:after="0" w:line="240" w:lineRule="auto"/>
        <w:jc w:val="both"/>
        <w:rPr>
          <w:rFonts w:ascii="Times New Roman" w:hAnsi="Times New Roman" w:cs="Times New Roman"/>
          <w:sz w:val="20"/>
          <w:szCs w:val="20"/>
        </w:rPr>
      </w:pPr>
      <w:r w:rsidRPr="007C3AB4">
        <w:rPr>
          <w:rStyle w:val="FootnoteReference"/>
          <w:rFonts w:ascii="Times New Roman" w:hAnsi="Times New Roman" w:cs="Times New Roman"/>
          <w:sz w:val="20"/>
          <w:szCs w:val="20"/>
        </w:rPr>
        <w:footnoteRef/>
      </w:r>
      <w:r w:rsidRPr="007C3AB4">
        <w:rPr>
          <w:rFonts w:ascii="Times New Roman" w:hAnsi="Times New Roman" w:cs="Times New Roman"/>
          <w:sz w:val="20"/>
          <w:szCs w:val="20"/>
        </w:rPr>
        <w:t xml:space="preserve"> F. </w:t>
      </w:r>
      <w:proofErr w:type="spellStart"/>
      <w:r w:rsidRPr="007C3AB4">
        <w:rPr>
          <w:rFonts w:ascii="Times New Roman" w:hAnsi="Times New Roman" w:cs="Times New Roman"/>
          <w:sz w:val="20"/>
          <w:szCs w:val="20"/>
        </w:rPr>
        <w:t>Baetens</w:t>
      </w:r>
      <w:proofErr w:type="spellEnd"/>
      <w:r w:rsidRPr="007C3AB4">
        <w:rPr>
          <w:rFonts w:ascii="Times New Roman" w:hAnsi="Times New Roman" w:cs="Times New Roman"/>
          <w:sz w:val="20"/>
          <w:szCs w:val="20"/>
        </w:rPr>
        <w:t xml:space="preserve">, </w:t>
      </w:r>
      <w:r w:rsidRPr="007C3AB4">
        <w:rPr>
          <w:rFonts w:ascii="Times New Roman" w:hAnsi="Times New Roman" w:cs="Times New Roman"/>
          <w:i/>
          <w:sz w:val="20"/>
          <w:szCs w:val="20"/>
        </w:rPr>
        <w:t xml:space="preserve">Investment Law within International Law </w:t>
      </w:r>
      <w:r w:rsidRPr="007C3AB4">
        <w:rPr>
          <w:rFonts w:ascii="Times New Roman" w:hAnsi="Times New Roman" w:cs="Times New Roman"/>
          <w:sz w:val="20"/>
          <w:szCs w:val="20"/>
        </w:rPr>
        <w:t>(Cambridge Uni</w:t>
      </w:r>
      <w:r>
        <w:rPr>
          <w:rFonts w:ascii="Times New Roman" w:hAnsi="Times New Roman" w:cs="Times New Roman"/>
          <w:sz w:val="20"/>
          <w:szCs w:val="20"/>
        </w:rPr>
        <w:t>versity Press, Cambridge, 2013);</w:t>
      </w:r>
      <w:r w:rsidRPr="007C3AB4">
        <w:rPr>
          <w:rFonts w:ascii="Times New Roman" w:hAnsi="Times New Roman" w:cs="Times New Roman"/>
          <w:sz w:val="20"/>
          <w:szCs w:val="20"/>
        </w:rPr>
        <w:t xml:space="preserve"> E</w:t>
      </w:r>
      <w:r>
        <w:rPr>
          <w:rFonts w:ascii="Times New Roman" w:hAnsi="Times New Roman" w:cs="Times New Roman"/>
          <w:sz w:val="20"/>
          <w:szCs w:val="20"/>
        </w:rPr>
        <w:t>.</w:t>
      </w:r>
      <w:r w:rsidRPr="007C3AB4">
        <w:rPr>
          <w:rFonts w:ascii="Times New Roman" w:hAnsi="Times New Roman" w:cs="Times New Roman"/>
          <w:sz w:val="20"/>
          <w:szCs w:val="20"/>
        </w:rPr>
        <w:t xml:space="preserve"> De </w:t>
      </w:r>
      <w:proofErr w:type="spellStart"/>
      <w:r w:rsidRPr="007C3AB4">
        <w:rPr>
          <w:rFonts w:ascii="Times New Roman" w:hAnsi="Times New Roman" w:cs="Times New Roman"/>
          <w:sz w:val="20"/>
          <w:szCs w:val="20"/>
        </w:rPr>
        <w:t>Brabandere</w:t>
      </w:r>
      <w:proofErr w:type="spellEnd"/>
      <w:r w:rsidRPr="007C3AB4">
        <w:rPr>
          <w:rFonts w:ascii="Times New Roman" w:hAnsi="Times New Roman" w:cs="Times New Roman"/>
          <w:sz w:val="20"/>
          <w:szCs w:val="20"/>
        </w:rPr>
        <w:t xml:space="preserve"> and T</w:t>
      </w:r>
      <w:r>
        <w:rPr>
          <w:rFonts w:ascii="Times New Roman" w:hAnsi="Times New Roman" w:cs="Times New Roman"/>
          <w:sz w:val="20"/>
          <w:szCs w:val="20"/>
        </w:rPr>
        <w:t>.</w:t>
      </w:r>
      <w:r w:rsidRPr="007C3AB4">
        <w:rPr>
          <w:rFonts w:ascii="Times New Roman" w:hAnsi="Times New Roman" w:cs="Times New Roman"/>
          <w:sz w:val="20"/>
          <w:szCs w:val="20"/>
        </w:rPr>
        <w:t xml:space="preserve"> </w:t>
      </w:r>
      <w:proofErr w:type="spellStart"/>
      <w:r w:rsidRPr="007C3AB4">
        <w:rPr>
          <w:rFonts w:ascii="Times New Roman" w:hAnsi="Times New Roman" w:cs="Times New Roman"/>
          <w:sz w:val="20"/>
          <w:szCs w:val="20"/>
        </w:rPr>
        <w:t>Gazzini</w:t>
      </w:r>
      <w:proofErr w:type="spellEnd"/>
      <w:r w:rsidRPr="007C3AB4">
        <w:rPr>
          <w:rFonts w:ascii="Times New Roman" w:hAnsi="Times New Roman" w:cs="Times New Roman"/>
          <w:sz w:val="20"/>
          <w:szCs w:val="20"/>
        </w:rPr>
        <w:t xml:space="preserve"> (ed</w:t>
      </w:r>
      <w:r>
        <w:rPr>
          <w:rFonts w:ascii="Times New Roman" w:hAnsi="Times New Roman" w:cs="Times New Roman"/>
          <w:sz w:val="20"/>
          <w:szCs w:val="20"/>
        </w:rPr>
        <w:t>s.</w:t>
      </w:r>
      <w:r w:rsidRPr="007C3AB4">
        <w:rPr>
          <w:rFonts w:ascii="Times New Roman" w:hAnsi="Times New Roman" w:cs="Times New Roman"/>
          <w:sz w:val="20"/>
          <w:szCs w:val="20"/>
        </w:rPr>
        <w:t xml:space="preserve">), </w:t>
      </w:r>
      <w:r w:rsidRPr="007C3AB4">
        <w:rPr>
          <w:rFonts w:ascii="Times New Roman" w:hAnsi="Times New Roman" w:cs="Times New Roman"/>
          <w:i/>
          <w:sz w:val="20"/>
          <w:szCs w:val="20"/>
        </w:rPr>
        <w:t>International Investment Law. The Sources of Rights and Obligations</w:t>
      </w:r>
      <w:r w:rsidRPr="007C3AB4">
        <w:rPr>
          <w:rFonts w:ascii="Times New Roman" w:hAnsi="Times New Roman" w:cs="Times New Roman"/>
          <w:sz w:val="20"/>
          <w:szCs w:val="20"/>
        </w:rPr>
        <w:t xml:space="preserve"> (</w:t>
      </w:r>
      <w:proofErr w:type="spellStart"/>
      <w:r w:rsidRPr="007C3AB4">
        <w:rPr>
          <w:rFonts w:ascii="Times New Roman" w:hAnsi="Times New Roman" w:cs="Times New Roman"/>
          <w:sz w:val="20"/>
          <w:szCs w:val="20"/>
        </w:rPr>
        <w:t>Martinus</w:t>
      </w:r>
      <w:proofErr w:type="spellEnd"/>
      <w:r w:rsidRPr="007C3AB4">
        <w:rPr>
          <w:rFonts w:ascii="Times New Roman" w:hAnsi="Times New Roman" w:cs="Times New Roman"/>
          <w:sz w:val="20"/>
          <w:szCs w:val="20"/>
        </w:rPr>
        <w:t xml:space="preserve"> </w:t>
      </w:r>
      <w:proofErr w:type="spellStart"/>
      <w:r w:rsidRPr="007C3AB4">
        <w:rPr>
          <w:rFonts w:ascii="Times New Roman" w:hAnsi="Times New Roman" w:cs="Times New Roman"/>
          <w:sz w:val="20"/>
          <w:szCs w:val="20"/>
        </w:rPr>
        <w:t>Nijh</w:t>
      </w:r>
      <w:r>
        <w:rPr>
          <w:rFonts w:ascii="Times New Roman" w:hAnsi="Times New Roman" w:cs="Times New Roman"/>
          <w:sz w:val="20"/>
          <w:szCs w:val="20"/>
        </w:rPr>
        <w:t>off</w:t>
      </w:r>
      <w:proofErr w:type="spellEnd"/>
      <w:r>
        <w:rPr>
          <w:rFonts w:ascii="Times New Roman" w:hAnsi="Times New Roman" w:cs="Times New Roman"/>
          <w:sz w:val="20"/>
          <w:szCs w:val="20"/>
        </w:rPr>
        <w:t xml:space="preserve"> Publisher, Leiden, 2012);</w:t>
      </w:r>
      <w:r w:rsidRPr="007C3AB4">
        <w:rPr>
          <w:rFonts w:ascii="Times New Roman" w:hAnsi="Times New Roman" w:cs="Times New Roman"/>
          <w:sz w:val="20"/>
          <w:szCs w:val="20"/>
        </w:rPr>
        <w:t xml:space="preserve"> M. </w:t>
      </w:r>
      <w:proofErr w:type="spellStart"/>
      <w:r w:rsidRPr="007C3AB4">
        <w:rPr>
          <w:rFonts w:ascii="Times New Roman" w:hAnsi="Times New Roman" w:cs="Times New Roman"/>
          <w:sz w:val="20"/>
          <w:szCs w:val="20"/>
        </w:rPr>
        <w:t>Krepchev</w:t>
      </w:r>
      <w:proofErr w:type="spellEnd"/>
      <w:r w:rsidRPr="007C3AB4">
        <w:rPr>
          <w:rFonts w:ascii="Times New Roman" w:hAnsi="Times New Roman" w:cs="Times New Roman"/>
          <w:sz w:val="20"/>
          <w:szCs w:val="20"/>
        </w:rPr>
        <w:t>, ‘The Problem of Accommodating Indigenous Land Rights in International Investment Law’, 6</w:t>
      </w:r>
      <w:r>
        <w:rPr>
          <w:rFonts w:ascii="Times New Roman" w:hAnsi="Times New Roman" w:cs="Times New Roman"/>
          <w:sz w:val="20"/>
          <w:szCs w:val="20"/>
        </w:rPr>
        <w:t xml:space="preserve"> </w:t>
      </w:r>
      <w:r w:rsidRPr="007C3AB4">
        <w:rPr>
          <w:rFonts w:ascii="Times New Roman" w:hAnsi="Times New Roman" w:cs="Times New Roman"/>
          <w:i/>
          <w:sz w:val="20"/>
          <w:szCs w:val="20"/>
        </w:rPr>
        <w:t>J Int. Disp. Settlement</w:t>
      </w:r>
      <w:r w:rsidRPr="007C3AB4">
        <w:rPr>
          <w:rFonts w:ascii="Times New Roman" w:hAnsi="Times New Roman" w:cs="Times New Roman"/>
          <w:sz w:val="20"/>
          <w:szCs w:val="20"/>
        </w:rPr>
        <w:t xml:space="preserve"> (2015), pp. 42-73. </w:t>
      </w:r>
    </w:p>
  </w:footnote>
  <w:footnote w:id="190">
    <w:p w14:paraId="34994EC0" w14:textId="0C75E7FA"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M</w:t>
      </w:r>
      <w:r>
        <w:rPr>
          <w:rFonts w:ascii="Times New Roman" w:hAnsi="Times New Roman" w:cs="Times New Roman"/>
        </w:rPr>
        <w:t>.</w:t>
      </w:r>
      <w:r w:rsidRPr="007C3AB4">
        <w:rPr>
          <w:rFonts w:ascii="Times New Roman" w:hAnsi="Times New Roman" w:cs="Times New Roman"/>
        </w:rPr>
        <w:t xml:space="preserve"> Hirsch, </w:t>
      </w:r>
      <w:r w:rsidRPr="007C3AB4">
        <w:rPr>
          <w:rFonts w:ascii="Times New Roman" w:hAnsi="Times New Roman" w:cs="Times New Roman"/>
          <w:i/>
        </w:rPr>
        <w:t>Invitation to the Sociology of International Law</w:t>
      </w:r>
      <w:r w:rsidRPr="007C3AB4">
        <w:rPr>
          <w:rFonts w:ascii="Times New Roman" w:hAnsi="Times New Roman" w:cs="Times New Roman"/>
        </w:rPr>
        <w:t xml:space="preserve"> (Cambridge University Press, Cambridge, 2015). </w:t>
      </w:r>
      <w:r w:rsidRPr="006709D8">
        <w:rPr>
          <w:rFonts w:ascii="Times New Roman" w:hAnsi="Times New Roman" w:cs="Times New Roman"/>
          <w:i/>
        </w:rPr>
        <w:t>See</w:t>
      </w:r>
      <w:r w:rsidRPr="007C3AB4">
        <w:rPr>
          <w:rFonts w:ascii="Times New Roman" w:hAnsi="Times New Roman" w:cs="Times New Roman"/>
        </w:rPr>
        <w:t xml:space="preserve"> Chapter 5, where Hirsch discusses </w:t>
      </w:r>
      <w:r>
        <w:rPr>
          <w:rFonts w:ascii="Times New Roman" w:hAnsi="Times New Roman" w:cs="Times New Roman"/>
        </w:rPr>
        <w:t>‘</w:t>
      </w:r>
      <w:r w:rsidRPr="007C3AB4">
        <w:rPr>
          <w:rFonts w:ascii="Times New Roman" w:hAnsi="Times New Roman" w:cs="Times New Roman"/>
        </w:rPr>
        <w:t>Socio-Legal Fragmentation, Investment</w:t>
      </w:r>
      <w:r>
        <w:rPr>
          <w:rFonts w:ascii="Times New Roman" w:hAnsi="Times New Roman" w:cs="Times New Roman"/>
        </w:rPr>
        <w:t xml:space="preserve"> Tribunals and Human Rights Law’,</w:t>
      </w:r>
      <w:r w:rsidRPr="007C3AB4">
        <w:rPr>
          <w:rFonts w:ascii="Times New Roman" w:hAnsi="Times New Roman" w:cs="Times New Roman"/>
        </w:rPr>
        <w:t xml:space="preserve"> in particular p</w:t>
      </w:r>
      <w:r>
        <w:rPr>
          <w:rFonts w:ascii="Times New Roman" w:hAnsi="Times New Roman" w:cs="Times New Roman"/>
        </w:rPr>
        <w:t>.</w:t>
      </w:r>
      <w:r w:rsidRPr="007C3AB4">
        <w:rPr>
          <w:rFonts w:ascii="Times New Roman" w:hAnsi="Times New Roman" w:cs="Times New Roman"/>
        </w:rPr>
        <w:t xml:space="preserve"> 136.</w:t>
      </w:r>
    </w:p>
  </w:footnote>
  <w:footnote w:id="191">
    <w:p w14:paraId="3D6E34E5" w14:textId="29DA8AB5"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w:t>
      </w:r>
      <w:proofErr w:type="spellStart"/>
      <w:r w:rsidRPr="007C3AB4">
        <w:rPr>
          <w:rFonts w:ascii="Times New Roman" w:hAnsi="Times New Roman" w:cs="Times New Roman"/>
        </w:rPr>
        <w:t>Krajewski</w:t>
      </w:r>
      <w:proofErr w:type="spellEnd"/>
      <w:r>
        <w:rPr>
          <w:rFonts w:ascii="Times New Roman" w:hAnsi="Times New Roman" w:cs="Times New Roman"/>
        </w:rPr>
        <w:t xml:space="preserve">, </w:t>
      </w:r>
      <w:r w:rsidRPr="00BF4996">
        <w:rPr>
          <w:rFonts w:ascii="Times New Roman" w:hAnsi="Times New Roman" w:cs="Times New Roman"/>
          <w:i/>
        </w:rPr>
        <w:t xml:space="preserve">supra </w:t>
      </w:r>
      <w:r>
        <w:rPr>
          <w:rFonts w:ascii="Times New Roman" w:hAnsi="Times New Roman" w:cs="Times New Roman"/>
        </w:rPr>
        <w:t xml:space="preserve">note 173, pp. </w:t>
      </w:r>
      <w:r w:rsidRPr="007C3AB4">
        <w:rPr>
          <w:rFonts w:ascii="Times New Roman" w:hAnsi="Times New Roman" w:cs="Times New Roman"/>
        </w:rPr>
        <w:t>20-29.</w:t>
      </w:r>
    </w:p>
  </w:footnote>
  <w:footnote w:id="192">
    <w:p w14:paraId="649110C3" w14:textId="08AB587F"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E. </w:t>
      </w:r>
      <w:proofErr w:type="spellStart"/>
      <w:r w:rsidRPr="007C3AB4">
        <w:rPr>
          <w:rFonts w:ascii="Times New Roman" w:hAnsi="Times New Roman" w:cs="Times New Roman"/>
        </w:rPr>
        <w:t>Petersmann</w:t>
      </w:r>
      <w:proofErr w:type="spellEnd"/>
      <w:r w:rsidRPr="007C3AB4">
        <w:rPr>
          <w:rFonts w:ascii="Times New Roman" w:hAnsi="Times New Roman" w:cs="Times New Roman"/>
        </w:rPr>
        <w:t>, ‘Why Justice and Human Rights Require Cosmopolitan International Economic Law’, in F</w:t>
      </w:r>
      <w:r>
        <w:rPr>
          <w:rFonts w:ascii="Times New Roman" w:hAnsi="Times New Roman" w:cs="Times New Roman"/>
        </w:rPr>
        <w:t>.</w:t>
      </w:r>
      <w:r w:rsidRPr="007C3AB4">
        <w:rPr>
          <w:rFonts w:ascii="Times New Roman" w:hAnsi="Times New Roman" w:cs="Times New Roman"/>
        </w:rPr>
        <w:t xml:space="preserve"> </w:t>
      </w:r>
      <w:proofErr w:type="spellStart"/>
      <w:r w:rsidRPr="007C3AB4">
        <w:rPr>
          <w:rFonts w:ascii="Times New Roman" w:hAnsi="Times New Roman" w:cs="Times New Roman"/>
        </w:rPr>
        <w:t>Lenzerini</w:t>
      </w:r>
      <w:proofErr w:type="spellEnd"/>
      <w:r w:rsidRPr="007C3AB4">
        <w:rPr>
          <w:rFonts w:ascii="Times New Roman" w:hAnsi="Times New Roman" w:cs="Times New Roman"/>
        </w:rPr>
        <w:t xml:space="preserve"> and A</w:t>
      </w:r>
      <w:r>
        <w:rPr>
          <w:rFonts w:ascii="Times New Roman" w:hAnsi="Times New Roman" w:cs="Times New Roman"/>
        </w:rPr>
        <w:t>.</w:t>
      </w:r>
      <w:r w:rsidRPr="007C3AB4">
        <w:rPr>
          <w:rFonts w:ascii="Times New Roman" w:hAnsi="Times New Roman" w:cs="Times New Roman"/>
        </w:rPr>
        <w:t xml:space="preserve"> </w:t>
      </w:r>
      <w:proofErr w:type="spellStart"/>
      <w:r w:rsidRPr="007C3AB4">
        <w:rPr>
          <w:rFonts w:ascii="Times New Roman" w:hAnsi="Times New Roman" w:cs="Times New Roman"/>
        </w:rPr>
        <w:t>Vrdoljak</w:t>
      </w:r>
      <w:proofErr w:type="spellEnd"/>
      <w:r w:rsidRPr="007C3AB4">
        <w:rPr>
          <w:rFonts w:ascii="Times New Roman" w:hAnsi="Times New Roman" w:cs="Times New Roman"/>
        </w:rPr>
        <w:t xml:space="preserve"> (ed</w:t>
      </w:r>
      <w:r>
        <w:rPr>
          <w:rFonts w:ascii="Times New Roman" w:hAnsi="Times New Roman" w:cs="Times New Roman"/>
        </w:rPr>
        <w:t>.</w:t>
      </w:r>
      <w:r w:rsidRPr="007C3AB4">
        <w:rPr>
          <w:rFonts w:ascii="Times New Roman" w:hAnsi="Times New Roman" w:cs="Times New Roman"/>
        </w:rPr>
        <w:t xml:space="preserve">), </w:t>
      </w:r>
      <w:r w:rsidRPr="007C3AB4">
        <w:rPr>
          <w:rFonts w:ascii="Times New Roman" w:hAnsi="Times New Roman" w:cs="Times New Roman"/>
          <w:i/>
        </w:rPr>
        <w:t>International Law for Common Goods: Normative Perspectives on Human Rights, Culture and Nature</w:t>
      </w:r>
      <w:r w:rsidRPr="007C3AB4">
        <w:rPr>
          <w:rFonts w:ascii="Times New Roman" w:hAnsi="Times New Roman" w:cs="Times New Roman"/>
        </w:rPr>
        <w:t xml:space="preserve"> (Hart P</w:t>
      </w:r>
      <w:r>
        <w:rPr>
          <w:rFonts w:ascii="Times New Roman" w:hAnsi="Times New Roman" w:cs="Times New Roman"/>
        </w:rPr>
        <w:t>ublishing, Portland, 2014) pp. 117-135, p.</w:t>
      </w:r>
      <w:r w:rsidRPr="007C3AB4">
        <w:rPr>
          <w:rFonts w:ascii="Times New Roman" w:hAnsi="Times New Roman" w:cs="Times New Roman"/>
        </w:rPr>
        <w:t xml:space="preserve"> 121.</w:t>
      </w:r>
    </w:p>
  </w:footnote>
  <w:footnote w:id="193">
    <w:p w14:paraId="2C3D04D9" w14:textId="7777777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For instance, the contested construction of a highway through the </w:t>
      </w:r>
      <w:proofErr w:type="spellStart"/>
      <w:r w:rsidRPr="007C3AB4">
        <w:rPr>
          <w:rFonts w:ascii="Times New Roman" w:hAnsi="Times New Roman" w:cs="Times New Roman"/>
        </w:rPr>
        <w:t>Isiboro</w:t>
      </w:r>
      <w:proofErr w:type="spellEnd"/>
      <w:r w:rsidRPr="007C3AB4">
        <w:rPr>
          <w:rFonts w:ascii="Times New Roman" w:hAnsi="Times New Roman" w:cs="Times New Roman"/>
        </w:rPr>
        <w:t xml:space="preserve"> </w:t>
      </w:r>
      <w:proofErr w:type="spellStart"/>
      <w:r w:rsidRPr="007C3AB4">
        <w:rPr>
          <w:rFonts w:ascii="Times New Roman" w:hAnsi="Times New Roman" w:cs="Times New Roman"/>
        </w:rPr>
        <w:t>Sécure</w:t>
      </w:r>
      <w:proofErr w:type="spellEnd"/>
      <w:r w:rsidRPr="007C3AB4">
        <w:rPr>
          <w:rFonts w:ascii="Times New Roman" w:hAnsi="Times New Roman" w:cs="Times New Roman"/>
        </w:rPr>
        <w:t xml:space="preserve"> National Park and Indigenous Territory (</w:t>
      </w:r>
      <w:proofErr w:type="spellStart"/>
      <w:r w:rsidRPr="007C3AB4">
        <w:rPr>
          <w:rFonts w:ascii="Times New Roman" w:hAnsi="Times New Roman" w:cs="Times New Roman"/>
        </w:rPr>
        <w:t>Territorio</w:t>
      </w:r>
      <w:proofErr w:type="spellEnd"/>
      <w:r w:rsidRPr="007C3AB4">
        <w:rPr>
          <w:rFonts w:ascii="Times New Roman" w:hAnsi="Times New Roman" w:cs="Times New Roman"/>
        </w:rPr>
        <w:t xml:space="preserve"> </w:t>
      </w:r>
      <w:proofErr w:type="spellStart"/>
      <w:r w:rsidRPr="007C3AB4">
        <w:rPr>
          <w:rFonts w:ascii="Times New Roman" w:hAnsi="Times New Roman" w:cs="Times New Roman"/>
        </w:rPr>
        <w:t>Indígena</w:t>
      </w:r>
      <w:proofErr w:type="spellEnd"/>
      <w:r w:rsidRPr="007C3AB4">
        <w:rPr>
          <w:rFonts w:ascii="Times New Roman" w:hAnsi="Times New Roman" w:cs="Times New Roman"/>
        </w:rPr>
        <w:t xml:space="preserve"> y </w:t>
      </w:r>
      <w:proofErr w:type="spellStart"/>
      <w:r w:rsidRPr="007C3AB4">
        <w:rPr>
          <w:rFonts w:ascii="Times New Roman" w:hAnsi="Times New Roman" w:cs="Times New Roman"/>
        </w:rPr>
        <w:t>Parque</w:t>
      </w:r>
      <w:proofErr w:type="spellEnd"/>
      <w:r w:rsidRPr="007C3AB4">
        <w:rPr>
          <w:rFonts w:ascii="Times New Roman" w:hAnsi="Times New Roman" w:cs="Times New Roman"/>
        </w:rPr>
        <w:t xml:space="preserve"> Nacional </w:t>
      </w:r>
      <w:proofErr w:type="spellStart"/>
      <w:r w:rsidRPr="007C3AB4">
        <w:rPr>
          <w:rFonts w:ascii="Times New Roman" w:hAnsi="Times New Roman" w:cs="Times New Roman"/>
        </w:rPr>
        <w:t>Isiboro</w:t>
      </w:r>
      <w:proofErr w:type="spellEnd"/>
      <w:r w:rsidRPr="007C3AB4">
        <w:rPr>
          <w:rFonts w:ascii="Times New Roman" w:hAnsi="Times New Roman" w:cs="Times New Roman"/>
        </w:rPr>
        <w:t xml:space="preserve"> Secure-TIPNIS) has received a lot of attention. However, there was not initial consultation. Only after a series of demonstrations, the government first, decided to cancel the project to then rectify and organise a consultation which outcome was approval of the project by the majority of the communities involved.</w:t>
      </w:r>
    </w:p>
  </w:footnote>
  <w:footnote w:id="194">
    <w:p w14:paraId="3BEFC3E9" w14:textId="7777777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ICSID Rules were reformed in 2006. UNCITRAL adopted Transparency Rules in 2014. The United Nations Convention on Transparency in Treaty-based Investor-State Arbitration (the so-called ‘Mauritius Convention on Transparency’) was adopted on 10 December 2014.</w:t>
      </w:r>
    </w:p>
  </w:footnote>
  <w:footnote w:id="195">
    <w:p w14:paraId="783B9BA1" w14:textId="5AA9772A"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Pr>
          <w:rFonts w:ascii="Times New Roman" w:hAnsi="Times New Roman" w:cs="Times New Roman"/>
        </w:rPr>
        <w:t xml:space="preserve"> H. </w:t>
      </w:r>
      <w:proofErr w:type="gramStart"/>
      <w:r>
        <w:rPr>
          <w:rFonts w:ascii="Times New Roman" w:hAnsi="Times New Roman" w:cs="Times New Roman"/>
        </w:rPr>
        <w:t>Yu  and</w:t>
      </w:r>
      <w:proofErr w:type="gramEnd"/>
      <w:r w:rsidRPr="007C3AB4">
        <w:rPr>
          <w:rFonts w:ascii="Times New Roman" w:hAnsi="Times New Roman" w:cs="Times New Roman"/>
        </w:rPr>
        <w:t xml:space="preserve"> M</w:t>
      </w:r>
      <w:r>
        <w:rPr>
          <w:rFonts w:ascii="Times New Roman" w:hAnsi="Times New Roman" w:cs="Times New Roman"/>
        </w:rPr>
        <w:t>.</w:t>
      </w:r>
      <w:r w:rsidRPr="007C3AB4">
        <w:rPr>
          <w:rFonts w:ascii="Times New Roman" w:hAnsi="Times New Roman" w:cs="Times New Roman"/>
        </w:rPr>
        <w:t>B</w:t>
      </w:r>
      <w:r>
        <w:rPr>
          <w:rFonts w:ascii="Times New Roman" w:hAnsi="Times New Roman" w:cs="Times New Roman"/>
        </w:rPr>
        <w:t>.</w:t>
      </w:r>
      <w:r w:rsidRPr="007C3AB4">
        <w:rPr>
          <w:rFonts w:ascii="Times New Roman" w:hAnsi="Times New Roman" w:cs="Times New Roman"/>
        </w:rPr>
        <w:t xml:space="preserve"> Olmos Giupponi, ‘The Pandora Box Effects under the UNCITRAL Transparency Rules’, 5 </w:t>
      </w:r>
      <w:r w:rsidRPr="007C3AB4">
        <w:rPr>
          <w:rFonts w:ascii="Times New Roman" w:hAnsi="Times New Roman" w:cs="Times New Roman"/>
          <w:i/>
        </w:rPr>
        <w:t>Journal of Business Law</w:t>
      </w:r>
      <w:r w:rsidRPr="007C3AB4">
        <w:rPr>
          <w:rFonts w:ascii="Times New Roman" w:hAnsi="Times New Roman" w:cs="Times New Roman"/>
        </w:rPr>
        <w:t xml:space="preserve"> (2016) pp. 347-372. </w:t>
      </w:r>
    </w:p>
  </w:footnote>
  <w:footnote w:id="196">
    <w:p w14:paraId="21CE7576" w14:textId="77777777" w:rsidR="00DE3CB2" w:rsidRPr="007C3AB4" w:rsidRDefault="00DE3CB2" w:rsidP="00B9033F">
      <w:pPr>
        <w:pStyle w:val="FootnoteText"/>
        <w:jc w:val="both"/>
        <w:rPr>
          <w:rFonts w:ascii="Times New Roman" w:hAnsi="Times New Roman" w:cs="Times New Roman"/>
        </w:rPr>
      </w:pPr>
      <w:r w:rsidRPr="007C3AB4">
        <w:rPr>
          <w:rStyle w:val="FootnoteReference"/>
          <w:rFonts w:ascii="Times New Roman" w:hAnsi="Times New Roman" w:cs="Times New Roman"/>
        </w:rPr>
        <w:footnoteRef/>
      </w:r>
      <w:r w:rsidRPr="007C3AB4">
        <w:rPr>
          <w:rFonts w:ascii="Times New Roman" w:hAnsi="Times New Roman" w:cs="Times New Roman"/>
        </w:rPr>
        <w:t xml:space="preserve"> For instance, in the Inter-American System of Human Rights, according the Court’s procedural rules.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57970"/>
    <w:multiLevelType w:val="multilevel"/>
    <w:tmpl w:val="2590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171782"/>
    <w:multiLevelType w:val="hybridMultilevel"/>
    <w:tmpl w:val="0EDA0560"/>
    <w:lvl w:ilvl="0" w:tplc="ACD84958">
      <w:start w:val="1"/>
      <w:numFmt w:val="decimal"/>
      <w:lvlText w:val="%1"/>
      <w:lvlJc w:val="left"/>
      <w:pPr>
        <w:ind w:left="720" w:hanging="360"/>
      </w:pPr>
      <w:rPr>
        <w:rFonts w:ascii="Times New Roman" w:hAnsi="Times New Roman" w:cs="Times New Roman" w:hint="default"/>
        <w:b/>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19F2BA9"/>
    <w:multiLevelType w:val="multilevel"/>
    <w:tmpl w:val="758A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FA4E40"/>
    <w:multiLevelType w:val="multilevel"/>
    <w:tmpl w:val="5C52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48"/>
  <w:removePersonalInformation/>
  <w:activeWritingStyle w:appName="MSWord" w:lang="en-GB" w:vendorID="64" w:dllVersion="0" w:nlCheck="1" w:checkStyle="1"/>
  <w:activeWritingStyle w:appName="MSWord" w:lang="de-DE" w:vendorID="64" w:dllVersion="0" w:nlCheck="1" w:checkStyle="0"/>
  <w:activeWritingStyle w:appName="MSWord" w:lang="en-US" w:vendorID="64" w:dllVersion="0" w:nlCheck="1" w:checkStyle="1"/>
  <w:activeWritingStyle w:appName="MSWord" w:lang="es-ES" w:vendorID="64" w:dllVersion="0" w:nlCheck="1" w:checkStyle="0"/>
  <w:activeWritingStyle w:appName="MSWord" w:lang="en-GB" w:vendorID="64" w:dllVersion="6" w:nlCheck="1" w:checkStyle="1"/>
  <w:activeWritingStyle w:appName="MSWord" w:lang="en-US" w:vendorID="64" w:dllVersion="6" w:nlCheck="1" w:checkStyle="0"/>
  <w:activeWritingStyle w:appName="MSWord" w:lang="es-ES" w:vendorID="64" w:dllVersion="6" w:nlCheck="1" w:checkStyle="1"/>
  <w:activeWritingStyle w:appName="MSWord" w:lang="it-IT" w:vendorID="64" w:dllVersion="6" w:nlCheck="1" w:checkStyle="0"/>
  <w:activeWritingStyle w:appName="MSWord" w:lang="en-GB" w:vendorID="64" w:dllVersion="4096" w:nlCheck="1" w:checkStyle="0"/>
  <w:activeWritingStyle w:appName="MSWord" w:lang="es-ES" w:vendorID="64" w:dllVersion="4096" w:nlCheck="1" w:checkStyle="0"/>
  <w:activeWritingStyle w:appName="MSWord" w:lang="it-IT" w:vendorID="64" w:dllVersion="0" w:nlCheck="1" w:checkStyle="0"/>
  <w:activeWritingStyle w:appName="MSWord" w:lang="en-US"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2D7"/>
    <w:rsid w:val="00000F6D"/>
    <w:rsid w:val="00002463"/>
    <w:rsid w:val="00007124"/>
    <w:rsid w:val="000102DC"/>
    <w:rsid w:val="00011A6B"/>
    <w:rsid w:val="00011B95"/>
    <w:rsid w:val="000128F8"/>
    <w:rsid w:val="00015FA6"/>
    <w:rsid w:val="00016B1D"/>
    <w:rsid w:val="00017557"/>
    <w:rsid w:val="00017D7F"/>
    <w:rsid w:val="0002089E"/>
    <w:rsid w:val="00021BFA"/>
    <w:rsid w:val="000241B1"/>
    <w:rsid w:val="000273F0"/>
    <w:rsid w:val="00027614"/>
    <w:rsid w:val="00032110"/>
    <w:rsid w:val="000322B5"/>
    <w:rsid w:val="00033B1E"/>
    <w:rsid w:val="000350CB"/>
    <w:rsid w:val="00035A80"/>
    <w:rsid w:val="00036943"/>
    <w:rsid w:val="000409C8"/>
    <w:rsid w:val="00044E57"/>
    <w:rsid w:val="00044EB4"/>
    <w:rsid w:val="00045034"/>
    <w:rsid w:val="0004565C"/>
    <w:rsid w:val="00045861"/>
    <w:rsid w:val="00045C11"/>
    <w:rsid w:val="000472AC"/>
    <w:rsid w:val="00050F22"/>
    <w:rsid w:val="000514A7"/>
    <w:rsid w:val="000519D9"/>
    <w:rsid w:val="00051A45"/>
    <w:rsid w:val="00051FD2"/>
    <w:rsid w:val="00052002"/>
    <w:rsid w:val="00052A1F"/>
    <w:rsid w:val="000540F5"/>
    <w:rsid w:val="000541F4"/>
    <w:rsid w:val="00055DEE"/>
    <w:rsid w:val="00056805"/>
    <w:rsid w:val="000570FF"/>
    <w:rsid w:val="00057591"/>
    <w:rsid w:val="0005787F"/>
    <w:rsid w:val="00057B74"/>
    <w:rsid w:val="00060BCF"/>
    <w:rsid w:val="00061149"/>
    <w:rsid w:val="00061858"/>
    <w:rsid w:val="0006187C"/>
    <w:rsid w:val="000652A4"/>
    <w:rsid w:val="0006670D"/>
    <w:rsid w:val="000716C9"/>
    <w:rsid w:val="00071A3D"/>
    <w:rsid w:val="0007251C"/>
    <w:rsid w:val="00072C16"/>
    <w:rsid w:val="00076826"/>
    <w:rsid w:val="00080424"/>
    <w:rsid w:val="00081B2F"/>
    <w:rsid w:val="00082DA6"/>
    <w:rsid w:val="00083350"/>
    <w:rsid w:val="00083913"/>
    <w:rsid w:val="0008560B"/>
    <w:rsid w:val="00085825"/>
    <w:rsid w:val="00086BE7"/>
    <w:rsid w:val="00086DA0"/>
    <w:rsid w:val="0008742A"/>
    <w:rsid w:val="00090884"/>
    <w:rsid w:val="00091595"/>
    <w:rsid w:val="0009240B"/>
    <w:rsid w:val="000927B0"/>
    <w:rsid w:val="00094211"/>
    <w:rsid w:val="000A0E6D"/>
    <w:rsid w:val="000A40F9"/>
    <w:rsid w:val="000A626A"/>
    <w:rsid w:val="000A70A2"/>
    <w:rsid w:val="000B175D"/>
    <w:rsid w:val="000B2504"/>
    <w:rsid w:val="000B2AC1"/>
    <w:rsid w:val="000B3059"/>
    <w:rsid w:val="000B435D"/>
    <w:rsid w:val="000B4C65"/>
    <w:rsid w:val="000B4EFC"/>
    <w:rsid w:val="000B75ED"/>
    <w:rsid w:val="000C0415"/>
    <w:rsid w:val="000C0421"/>
    <w:rsid w:val="000C1E40"/>
    <w:rsid w:val="000C2992"/>
    <w:rsid w:val="000C2ACA"/>
    <w:rsid w:val="000C2B12"/>
    <w:rsid w:val="000C2E8F"/>
    <w:rsid w:val="000C5035"/>
    <w:rsid w:val="000C608E"/>
    <w:rsid w:val="000D004F"/>
    <w:rsid w:val="000D00F2"/>
    <w:rsid w:val="000D0F36"/>
    <w:rsid w:val="000D2AA1"/>
    <w:rsid w:val="000D2AF4"/>
    <w:rsid w:val="000D48CD"/>
    <w:rsid w:val="000D4D49"/>
    <w:rsid w:val="000D5012"/>
    <w:rsid w:val="000D6408"/>
    <w:rsid w:val="000D7BEC"/>
    <w:rsid w:val="000E12E1"/>
    <w:rsid w:val="000E1E53"/>
    <w:rsid w:val="000E34F5"/>
    <w:rsid w:val="000E4A1F"/>
    <w:rsid w:val="000E5263"/>
    <w:rsid w:val="000E7D8D"/>
    <w:rsid w:val="000F0B86"/>
    <w:rsid w:val="000F0EDF"/>
    <w:rsid w:val="000F1159"/>
    <w:rsid w:val="000F1837"/>
    <w:rsid w:val="000F1945"/>
    <w:rsid w:val="000F1EE6"/>
    <w:rsid w:val="000F2667"/>
    <w:rsid w:val="000F3BD0"/>
    <w:rsid w:val="000F4C9F"/>
    <w:rsid w:val="000F5B39"/>
    <w:rsid w:val="000F736B"/>
    <w:rsid w:val="001009DE"/>
    <w:rsid w:val="001015EA"/>
    <w:rsid w:val="00102198"/>
    <w:rsid w:val="00102525"/>
    <w:rsid w:val="00102AFB"/>
    <w:rsid w:val="00102D0E"/>
    <w:rsid w:val="0010304B"/>
    <w:rsid w:val="00103356"/>
    <w:rsid w:val="0010338E"/>
    <w:rsid w:val="00103480"/>
    <w:rsid w:val="00103B4E"/>
    <w:rsid w:val="00105576"/>
    <w:rsid w:val="001057F8"/>
    <w:rsid w:val="00105B6D"/>
    <w:rsid w:val="00105CB2"/>
    <w:rsid w:val="00110367"/>
    <w:rsid w:val="00110B2F"/>
    <w:rsid w:val="001121B2"/>
    <w:rsid w:val="001122F7"/>
    <w:rsid w:val="00112BC6"/>
    <w:rsid w:val="00112F9F"/>
    <w:rsid w:val="00113A2E"/>
    <w:rsid w:val="00113F20"/>
    <w:rsid w:val="00114F84"/>
    <w:rsid w:val="001150DD"/>
    <w:rsid w:val="001156A7"/>
    <w:rsid w:val="00115C5E"/>
    <w:rsid w:val="00117E52"/>
    <w:rsid w:val="00117EFA"/>
    <w:rsid w:val="00117FCC"/>
    <w:rsid w:val="001213F3"/>
    <w:rsid w:val="001219F6"/>
    <w:rsid w:val="00122569"/>
    <w:rsid w:val="00122B2B"/>
    <w:rsid w:val="00125187"/>
    <w:rsid w:val="001255E0"/>
    <w:rsid w:val="00125A2A"/>
    <w:rsid w:val="00130BDC"/>
    <w:rsid w:val="00132475"/>
    <w:rsid w:val="0013361C"/>
    <w:rsid w:val="0013472E"/>
    <w:rsid w:val="001357B1"/>
    <w:rsid w:val="001360E5"/>
    <w:rsid w:val="00136396"/>
    <w:rsid w:val="001367A1"/>
    <w:rsid w:val="00136B76"/>
    <w:rsid w:val="00136D6B"/>
    <w:rsid w:val="00137752"/>
    <w:rsid w:val="00137909"/>
    <w:rsid w:val="0014055F"/>
    <w:rsid w:val="00140C9C"/>
    <w:rsid w:val="001413E0"/>
    <w:rsid w:val="0014168C"/>
    <w:rsid w:val="00143D5F"/>
    <w:rsid w:val="00151BB0"/>
    <w:rsid w:val="00152459"/>
    <w:rsid w:val="00152FFB"/>
    <w:rsid w:val="00153170"/>
    <w:rsid w:val="00160746"/>
    <w:rsid w:val="0016215B"/>
    <w:rsid w:val="0016224E"/>
    <w:rsid w:val="001628C5"/>
    <w:rsid w:val="00162E38"/>
    <w:rsid w:val="001640F3"/>
    <w:rsid w:val="00165509"/>
    <w:rsid w:val="001666F9"/>
    <w:rsid w:val="00167537"/>
    <w:rsid w:val="00167C93"/>
    <w:rsid w:val="00171DE3"/>
    <w:rsid w:val="00173413"/>
    <w:rsid w:val="0017589D"/>
    <w:rsid w:val="001758B7"/>
    <w:rsid w:val="0017656C"/>
    <w:rsid w:val="0017708B"/>
    <w:rsid w:val="00182228"/>
    <w:rsid w:val="001826F0"/>
    <w:rsid w:val="00182A2E"/>
    <w:rsid w:val="001832F6"/>
    <w:rsid w:val="00184281"/>
    <w:rsid w:val="0018447A"/>
    <w:rsid w:val="001859B3"/>
    <w:rsid w:val="00187324"/>
    <w:rsid w:val="00190649"/>
    <w:rsid w:val="00192102"/>
    <w:rsid w:val="00192560"/>
    <w:rsid w:val="00193F44"/>
    <w:rsid w:val="00194D6C"/>
    <w:rsid w:val="00195061"/>
    <w:rsid w:val="001950F3"/>
    <w:rsid w:val="00195611"/>
    <w:rsid w:val="001961AF"/>
    <w:rsid w:val="00196F26"/>
    <w:rsid w:val="00197775"/>
    <w:rsid w:val="001A145E"/>
    <w:rsid w:val="001A17E3"/>
    <w:rsid w:val="001A2409"/>
    <w:rsid w:val="001A3097"/>
    <w:rsid w:val="001A359F"/>
    <w:rsid w:val="001A46BD"/>
    <w:rsid w:val="001A47D5"/>
    <w:rsid w:val="001A4C44"/>
    <w:rsid w:val="001A4D01"/>
    <w:rsid w:val="001B25EB"/>
    <w:rsid w:val="001B2D33"/>
    <w:rsid w:val="001B35C7"/>
    <w:rsid w:val="001B6C6F"/>
    <w:rsid w:val="001B79EB"/>
    <w:rsid w:val="001C099C"/>
    <w:rsid w:val="001C09AE"/>
    <w:rsid w:val="001C1090"/>
    <w:rsid w:val="001C1351"/>
    <w:rsid w:val="001C16F5"/>
    <w:rsid w:val="001C1FE2"/>
    <w:rsid w:val="001C3502"/>
    <w:rsid w:val="001C3F46"/>
    <w:rsid w:val="001C4473"/>
    <w:rsid w:val="001C4C49"/>
    <w:rsid w:val="001C4EE3"/>
    <w:rsid w:val="001C5388"/>
    <w:rsid w:val="001C5526"/>
    <w:rsid w:val="001C5B41"/>
    <w:rsid w:val="001C61CD"/>
    <w:rsid w:val="001C644A"/>
    <w:rsid w:val="001D076C"/>
    <w:rsid w:val="001D07CF"/>
    <w:rsid w:val="001D288E"/>
    <w:rsid w:val="001D3302"/>
    <w:rsid w:val="001D3C24"/>
    <w:rsid w:val="001D4659"/>
    <w:rsid w:val="001D465E"/>
    <w:rsid w:val="001D565C"/>
    <w:rsid w:val="001D5D50"/>
    <w:rsid w:val="001D674B"/>
    <w:rsid w:val="001D6AA8"/>
    <w:rsid w:val="001D704D"/>
    <w:rsid w:val="001D7822"/>
    <w:rsid w:val="001D7CB8"/>
    <w:rsid w:val="001E01D6"/>
    <w:rsid w:val="001E10F3"/>
    <w:rsid w:val="001E534E"/>
    <w:rsid w:val="001E61DC"/>
    <w:rsid w:val="001E739A"/>
    <w:rsid w:val="001F09B3"/>
    <w:rsid w:val="001F0A54"/>
    <w:rsid w:val="001F1D76"/>
    <w:rsid w:val="001F3678"/>
    <w:rsid w:val="001F3CE0"/>
    <w:rsid w:val="001F3DE9"/>
    <w:rsid w:val="001F592E"/>
    <w:rsid w:val="00200785"/>
    <w:rsid w:val="00202D80"/>
    <w:rsid w:val="00203A75"/>
    <w:rsid w:val="00204386"/>
    <w:rsid w:val="002045E2"/>
    <w:rsid w:val="00204DC0"/>
    <w:rsid w:val="002064A2"/>
    <w:rsid w:val="0021071D"/>
    <w:rsid w:val="00212147"/>
    <w:rsid w:val="00213BED"/>
    <w:rsid w:val="00214686"/>
    <w:rsid w:val="002152B7"/>
    <w:rsid w:val="002160A3"/>
    <w:rsid w:val="00220282"/>
    <w:rsid w:val="002219FB"/>
    <w:rsid w:val="002220B5"/>
    <w:rsid w:val="002221A2"/>
    <w:rsid w:val="00223CDB"/>
    <w:rsid w:val="002255A6"/>
    <w:rsid w:val="00225752"/>
    <w:rsid w:val="002264D6"/>
    <w:rsid w:val="00226AC9"/>
    <w:rsid w:val="00227A2B"/>
    <w:rsid w:val="00227D42"/>
    <w:rsid w:val="00227E3E"/>
    <w:rsid w:val="0023078D"/>
    <w:rsid w:val="00231C96"/>
    <w:rsid w:val="00231E36"/>
    <w:rsid w:val="0023370A"/>
    <w:rsid w:val="00236AD4"/>
    <w:rsid w:val="0023776A"/>
    <w:rsid w:val="002407D7"/>
    <w:rsid w:val="002411E0"/>
    <w:rsid w:val="002424A5"/>
    <w:rsid w:val="00242C5A"/>
    <w:rsid w:val="002432EB"/>
    <w:rsid w:val="002454A4"/>
    <w:rsid w:val="00245DD0"/>
    <w:rsid w:val="002464B3"/>
    <w:rsid w:val="00246890"/>
    <w:rsid w:val="00246C44"/>
    <w:rsid w:val="0024717C"/>
    <w:rsid w:val="002471A3"/>
    <w:rsid w:val="00247EFC"/>
    <w:rsid w:val="002504B0"/>
    <w:rsid w:val="00250729"/>
    <w:rsid w:val="00250E7F"/>
    <w:rsid w:val="00251583"/>
    <w:rsid w:val="0025297F"/>
    <w:rsid w:val="002529E6"/>
    <w:rsid w:val="00252D05"/>
    <w:rsid w:val="002548FB"/>
    <w:rsid w:val="0025748B"/>
    <w:rsid w:val="00257571"/>
    <w:rsid w:val="00257A21"/>
    <w:rsid w:val="002607B1"/>
    <w:rsid w:val="002609B6"/>
    <w:rsid w:val="00261317"/>
    <w:rsid w:val="0026197D"/>
    <w:rsid w:val="00261E06"/>
    <w:rsid w:val="00263543"/>
    <w:rsid w:val="00263FBE"/>
    <w:rsid w:val="0026450F"/>
    <w:rsid w:val="00264C0E"/>
    <w:rsid w:val="0026507D"/>
    <w:rsid w:val="002662F6"/>
    <w:rsid w:val="0026639F"/>
    <w:rsid w:val="002668CA"/>
    <w:rsid w:val="00270C5A"/>
    <w:rsid w:val="0027200D"/>
    <w:rsid w:val="002724FB"/>
    <w:rsid w:val="00275417"/>
    <w:rsid w:val="00275560"/>
    <w:rsid w:val="002764A6"/>
    <w:rsid w:val="002779C9"/>
    <w:rsid w:val="00277F03"/>
    <w:rsid w:val="0028118C"/>
    <w:rsid w:val="0028143E"/>
    <w:rsid w:val="002821FA"/>
    <w:rsid w:val="00283334"/>
    <w:rsid w:val="00284083"/>
    <w:rsid w:val="0028522C"/>
    <w:rsid w:val="002869DA"/>
    <w:rsid w:val="00287B4B"/>
    <w:rsid w:val="00291B68"/>
    <w:rsid w:val="00293BF1"/>
    <w:rsid w:val="002943E3"/>
    <w:rsid w:val="00295503"/>
    <w:rsid w:val="0029565B"/>
    <w:rsid w:val="00295F93"/>
    <w:rsid w:val="00296435"/>
    <w:rsid w:val="0029686C"/>
    <w:rsid w:val="002A1AB4"/>
    <w:rsid w:val="002A1D0D"/>
    <w:rsid w:val="002A2A99"/>
    <w:rsid w:val="002A4591"/>
    <w:rsid w:val="002A7FE7"/>
    <w:rsid w:val="002B0451"/>
    <w:rsid w:val="002B0B8F"/>
    <w:rsid w:val="002B16E2"/>
    <w:rsid w:val="002B3792"/>
    <w:rsid w:val="002B4818"/>
    <w:rsid w:val="002B4D1C"/>
    <w:rsid w:val="002B6850"/>
    <w:rsid w:val="002B6A7B"/>
    <w:rsid w:val="002B6F47"/>
    <w:rsid w:val="002C2DC8"/>
    <w:rsid w:val="002C3676"/>
    <w:rsid w:val="002C552C"/>
    <w:rsid w:val="002C5F85"/>
    <w:rsid w:val="002C7AD4"/>
    <w:rsid w:val="002D2CA5"/>
    <w:rsid w:val="002D3133"/>
    <w:rsid w:val="002D329A"/>
    <w:rsid w:val="002D395E"/>
    <w:rsid w:val="002D6A6A"/>
    <w:rsid w:val="002D7B67"/>
    <w:rsid w:val="002D7C03"/>
    <w:rsid w:val="002D7C0B"/>
    <w:rsid w:val="002D7E84"/>
    <w:rsid w:val="002E275A"/>
    <w:rsid w:val="002E2DF2"/>
    <w:rsid w:val="002E2E94"/>
    <w:rsid w:val="002E4768"/>
    <w:rsid w:val="002E5D7C"/>
    <w:rsid w:val="002E6119"/>
    <w:rsid w:val="002E6FCE"/>
    <w:rsid w:val="002E7279"/>
    <w:rsid w:val="002E731F"/>
    <w:rsid w:val="002E759A"/>
    <w:rsid w:val="002F0BAC"/>
    <w:rsid w:val="002F2301"/>
    <w:rsid w:val="002F31AD"/>
    <w:rsid w:val="002F3F52"/>
    <w:rsid w:val="002F48D6"/>
    <w:rsid w:val="002F645F"/>
    <w:rsid w:val="002F65A6"/>
    <w:rsid w:val="00301AA8"/>
    <w:rsid w:val="00302754"/>
    <w:rsid w:val="00302D58"/>
    <w:rsid w:val="0030381B"/>
    <w:rsid w:val="00303D3A"/>
    <w:rsid w:val="00304631"/>
    <w:rsid w:val="003066D5"/>
    <w:rsid w:val="003070C7"/>
    <w:rsid w:val="00310F10"/>
    <w:rsid w:val="0031216E"/>
    <w:rsid w:val="003136EA"/>
    <w:rsid w:val="0031465B"/>
    <w:rsid w:val="00321155"/>
    <w:rsid w:val="003229C0"/>
    <w:rsid w:val="00322FA4"/>
    <w:rsid w:val="0032578C"/>
    <w:rsid w:val="00325B45"/>
    <w:rsid w:val="003260A2"/>
    <w:rsid w:val="003260FA"/>
    <w:rsid w:val="00327260"/>
    <w:rsid w:val="00327453"/>
    <w:rsid w:val="00327C69"/>
    <w:rsid w:val="00330206"/>
    <w:rsid w:val="00330AE0"/>
    <w:rsid w:val="00330D0B"/>
    <w:rsid w:val="003328CA"/>
    <w:rsid w:val="00333726"/>
    <w:rsid w:val="00335998"/>
    <w:rsid w:val="00336D81"/>
    <w:rsid w:val="003413B6"/>
    <w:rsid w:val="00341A5B"/>
    <w:rsid w:val="00343FF3"/>
    <w:rsid w:val="003465EB"/>
    <w:rsid w:val="0034738B"/>
    <w:rsid w:val="00347C4C"/>
    <w:rsid w:val="00350619"/>
    <w:rsid w:val="003506FB"/>
    <w:rsid w:val="0035084C"/>
    <w:rsid w:val="00350AE4"/>
    <w:rsid w:val="00350F4C"/>
    <w:rsid w:val="003526DF"/>
    <w:rsid w:val="00352D51"/>
    <w:rsid w:val="003536A3"/>
    <w:rsid w:val="00353E73"/>
    <w:rsid w:val="00354A39"/>
    <w:rsid w:val="00354EB1"/>
    <w:rsid w:val="003558FF"/>
    <w:rsid w:val="00355B48"/>
    <w:rsid w:val="00355BA3"/>
    <w:rsid w:val="00357321"/>
    <w:rsid w:val="00357FF8"/>
    <w:rsid w:val="003621B8"/>
    <w:rsid w:val="00362B62"/>
    <w:rsid w:val="003636C9"/>
    <w:rsid w:val="00364771"/>
    <w:rsid w:val="00370301"/>
    <w:rsid w:val="00370372"/>
    <w:rsid w:val="00372597"/>
    <w:rsid w:val="00373035"/>
    <w:rsid w:val="003733F9"/>
    <w:rsid w:val="00374127"/>
    <w:rsid w:val="00376A6A"/>
    <w:rsid w:val="00376F42"/>
    <w:rsid w:val="003776D8"/>
    <w:rsid w:val="00377A7A"/>
    <w:rsid w:val="00377DDC"/>
    <w:rsid w:val="00377E0F"/>
    <w:rsid w:val="003804E7"/>
    <w:rsid w:val="00380994"/>
    <w:rsid w:val="00380E53"/>
    <w:rsid w:val="003820C2"/>
    <w:rsid w:val="00383905"/>
    <w:rsid w:val="00383CEA"/>
    <w:rsid w:val="00384909"/>
    <w:rsid w:val="0038584E"/>
    <w:rsid w:val="00387E76"/>
    <w:rsid w:val="00391CCA"/>
    <w:rsid w:val="0039236D"/>
    <w:rsid w:val="00392EE7"/>
    <w:rsid w:val="003937AD"/>
    <w:rsid w:val="00393AD7"/>
    <w:rsid w:val="00395152"/>
    <w:rsid w:val="003953F4"/>
    <w:rsid w:val="00395538"/>
    <w:rsid w:val="0039565A"/>
    <w:rsid w:val="00397954"/>
    <w:rsid w:val="00397FD8"/>
    <w:rsid w:val="003A054C"/>
    <w:rsid w:val="003A06FD"/>
    <w:rsid w:val="003A12C6"/>
    <w:rsid w:val="003A34F6"/>
    <w:rsid w:val="003A3B7C"/>
    <w:rsid w:val="003A596C"/>
    <w:rsid w:val="003A63B4"/>
    <w:rsid w:val="003A7127"/>
    <w:rsid w:val="003B02B6"/>
    <w:rsid w:val="003B21B0"/>
    <w:rsid w:val="003B2A32"/>
    <w:rsid w:val="003B3367"/>
    <w:rsid w:val="003B384C"/>
    <w:rsid w:val="003B3A34"/>
    <w:rsid w:val="003B40CF"/>
    <w:rsid w:val="003B4399"/>
    <w:rsid w:val="003B4431"/>
    <w:rsid w:val="003B46EB"/>
    <w:rsid w:val="003B491B"/>
    <w:rsid w:val="003B607F"/>
    <w:rsid w:val="003B695A"/>
    <w:rsid w:val="003C0086"/>
    <w:rsid w:val="003C008C"/>
    <w:rsid w:val="003C0ACB"/>
    <w:rsid w:val="003C3473"/>
    <w:rsid w:val="003C56A8"/>
    <w:rsid w:val="003C6808"/>
    <w:rsid w:val="003C6B95"/>
    <w:rsid w:val="003D0D03"/>
    <w:rsid w:val="003D1379"/>
    <w:rsid w:val="003D3FAF"/>
    <w:rsid w:val="003D4992"/>
    <w:rsid w:val="003D4C7B"/>
    <w:rsid w:val="003D5930"/>
    <w:rsid w:val="003D6ABD"/>
    <w:rsid w:val="003D7AC3"/>
    <w:rsid w:val="003E0F75"/>
    <w:rsid w:val="003E16CB"/>
    <w:rsid w:val="003E35E4"/>
    <w:rsid w:val="003E6298"/>
    <w:rsid w:val="003E736A"/>
    <w:rsid w:val="003E74BE"/>
    <w:rsid w:val="003F232D"/>
    <w:rsid w:val="003F3E6F"/>
    <w:rsid w:val="003F3FDB"/>
    <w:rsid w:val="003F55B3"/>
    <w:rsid w:val="003F625C"/>
    <w:rsid w:val="003F7452"/>
    <w:rsid w:val="0040168A"/>
    <w:rsid w:val="0040242C"/>
    <w:rsid w:val="00402D2D"/>
    <w:rsid w:val="00403050"/>
    <w:rsid w:val="004031D7"/>
    <w:rsid w:val="00404FD4"/>
    <w:rsid w:val="004050D8"/>
    <w:rsid w:val="0040543F"/>
    <w:rsid w:val="00405ECE"/>
    <w:rsid w:val="00407DAF"/>
    <w:rsid w:val="004115F5"/>
    <w:rsid w:val="00411A35"/>
    <w:rsid w:val="00412D90"/>
    <w:rsid w:val="00414B67"/>
    <w:rsid w:val="00415EDF"/>
    <w:rsid w:val="004175C8"/>
    <w:rsid w:val="004200B9"/>
    <w:rsid w:val="00420765"/>
    <w:rsid w:val="00420F42"/>
    <w:rsid w:val="004216EA"/>
    <w:rsid w:val="00421C66"/>
    <w:rsid w:val="00424C55"/>
    <w:rsid w:val="00424D03"/>
    <w:rsid w:val="004276EC"/>
    <w:rsid w:val="0043087A"/>
    <w:rsid w:val="0043141D"/>
    <w:rsid w:val="00433817"/>
    <w:rsid w:val="00434D1C"/>
    <w:rsid w:val="0043558C"/>
    <w:rsid w:val="00435D39"/>
    <w:rsid w:val="00435E49"/>
    <w:rsid w:val="004362B0"/>
    <w:rsid w:val="004362B3"/>
    <w:rsid w:val="00436E52"/>
    <w:rsid w:val="00437B7F"/>
    <w:rsid w:val="00441B95"/>
    <w:rsid w:val="004424A8"/>
    <w:rsid w:val="00442DE1"/>
    <w:rsid w:val="00443C34"/>
    <w:rsid w:val="00444234"/>
    <w:rsid w:val="0044706E"/>
    <w:rsid w:val="0044761F"/>
    <w:rsid w:val="004477D0"/>
    <w:rsid w:val="00447E04"/>
    <w:rsid w:val="00451628"/>
    <w:rsid w:val="00451E32"/>
    <w:rsid w:val="00451EC7"/>
    <w:rsid w:val="0045389E"/>
    <w:rsid w:val="00453D41"/>
    <w:rsid w:val="004548D6"/>
    <w:rsid w:val="004573E8"/>
    <w:rsid w:val="00463777"/>
    <w:rsid w:val="004661C3"/>
    <w:rsid w:val="00471513"/>
    <w:rsid w:val="00472A2B"/>
    <w:rsid w:val="004738D9"/>
    <w:rsid w:val="00473DD2"/>
    <w:rsid w:val="00474D6E"/>
    <w:rsid w:val="00474E3E"/>
    <w:rsid w:val="0047658C"/>
    <w:rsid w:val="00480144"/>
    <w:rsid w:val="004839A2"/>
    <w:rsid w:val="00485C3E"/>
    <w:rsid w:val="004869E1"/>
    <w:rsid w:val="004906E3"/>
    <w:rsid w:val="0049155B"/>
    <w:rsid w:val="004915E0"/>
    <w:rsid w:val="0049465D"/>
    <w:rsid w:val="0049562E"/>
    <w:rsid w:val="00495817"/>
    <w:rsid w:val="00497A0D"/>
    <w:rsid w:val="00497B3F"/>
    <w:rsid w:val="004A0199"/>
    <w:rsid w:val="004A132D"/>
    <w:rsid w:val="004A2782"/>
    <w:rsid w:val="004A32EA"/>
    <w:rsid w:val="004A3323"/>
    <w:rsid w:val="004A479F"/>
    <w:rsid w:val="004A59D3"/>
    <w:rsid w:val="004A7ECB"/>
    <w:rsid w:val="004B16D7"/>
    <w:rsid w:val="004B19A5"/>
    <w:rsid w:val="004B38CE"/>
    <w:rsid w:val="004B3CA7"/>
    <w:rsid w:val="004B401F"/>
    <w:rsid w:val="004B4522"/>
    <w:rsid w:val="004B4E47"/>
    <w:rsid w:val="004B601A"/>
    <w:rsid w:val="004B7174"/>
    <w:rsid w:val="004C0B7B"/>
    <w:rsid w:val="004C17A6"/>
    <w:rsid w:val="004C1D34"/>
    <w:rsid w:val="004C2A24"/>
    <w:rsid w:val="004C3A27"/>
    <w:rsid w:val="004C4234"/>
    <w:rsid w:val="004D3AEE"/>
    <w:rsid w:val="004D513B"/>
    <w:rsid w:val="004D6207"/>
    <w:rsid w:val="004E139A"/>
    <w:rsid w:val="004E1B1D"/>
    <w:rsid w:val="004E2304"/>
    <w:rsid w:val="004E3243"/>
    <w:rsid w:val="004E36E5"/>
    <w:rsid w:val="004E3B90"/>
    <w:rsid w:val="004E3EBD"/>
    <w:rsid w:val="004E4322"/>
    <w:rsid w:val="004E57E6"/>
    <w:rsid w:val="004E76C0"/>
    <w:rsid w:val="004F1027"/>
    <w:rsid w:val="004F1BEE"/>
    <w:rsid w:val="004F4718"/>
    <w:rsid w:val="004F4EA6"/>
    <w:rsid w:val="004F5F42"/>
    <w:rsid w:val="004F72B0"/>
    <w:rsid w:val="004F757D"/>
    <w:rsid w:val="00501515"/>
    <w:rsid w:val="00503721"/>
    <w:rsid w:val="00504A22"/>
    <w:rsid w:val="00505371"/>
    <w:rsid w:val="00511C2E"/>
    <w:rsid w:val="005127C5"/>
    <w:rsid w:val="005127D1"/>
    <w:rsid w:val="005132F5"/>
    <w:rsid w:val="005148F7"/>
    <w:rsid w:val="005153DE"/>
    <w:rsid w:val="00517627"/>
    <w:rsid w:val="00517EEF"/>
    <w:rsid w:val="00522464"/>
    <w:rsid w:val="005227A4"/>
    <w:rsid w:val="0052353E"/>
    <w:rsid w:val="00523828"/>
    <w:rsid w:val="00523F42"/>
    <w:rsid w:val="0052434F"/>
    <w:rsid w:val="005247B7"/>
    <w:rsid w:val="005251A5"/>
    <w:rsid w:val="005258EC"/>
    <w:rsid w:val="00527518"/>
    <w:rsid w:val="00531624"/>
    <w:rsid w:val="0053233C"/>
    <w:rsid w:val="00533EFE"/>
    <w:rsid w:val="00535041"/>
    <w:rsid w:val="00536336"/>
    <w:rsid w:val="00536A6F"/>
    <w:rsid w:val="00536DBB"/>
    <w:rsid w:val="00537346"/>
    <w:rsid w:val="005377C9"/>
    <w:rsid w:val="00537F15"/>
    <w:rsid w:val="00540CCE"/>
    <w:rsid w:val="005424B1"/>
    <w:rsid w:val="00544D77"/>
    <w:rsid w:val="005457A8"/>
    <w:rsid w:val="00545A45"/>
    <w:rsid w:val="005473B0"/>
    <w:rsid w:val="00547AF9"/>
    <w:rsid w:val="00552816"/>
    <w:rsid w:val="005549A6"/>
    <w:rsid w:val="00554E81"/>
    <w:rsid w:val="005563BE"/>
    <w:rsid w:val="005608AE"/>
    <w:rsid w:val="00560A15"/>
    <w:rsid w:val="00563014"/>
    <w:rsid w:val="00563B3E"/>
    <w:rsid w:val="00564B9A"/>
    <w:rsid w:val="005652B4"/>
    <w:rsid w:val="00565434"/>
    <w:rsid w:val="00565A92"/>
    <w:rsid w:val="00566139"/>
    <w:rsid w:val="00566724"/>
    <w:rsid w:val="005722A8"/>
    <w:rsid w:val="00572F59"/>
    <w:rsid w:val="00575F66"/>
    <w:rsid w:val="005762FE"/>
    <w:rsid w:val="005766FD"/>
    <w:rsid w:val="00577E2B"/>
    <w:rsid w:val="00580A61"/>
    <w:rsid w:val="00581101"/>
    <w:rsid w:val="0058239D"/>
    <w:rsid w:val="005832AC"/>
    <w:rsid w:val="0058335E"/>
    <w:rsid w:val="00583620"/>
    <w:rsid w:val="00583819"/>
    <w:rsid w:val="0058432D"/>
    <w:rsid w:val="00585AFC"/>
    <w:rsid w:val="00585DAD"/>
    <w:rsid w:val="0059035E"/>
    <w:rsid w:val="00591D30"/>
    <w:rsid w:val="00593015"/>
    <w:rsid w:val="00593922"/>
    <w:rsid w:val="00594B6E"/>
    <w:rsid w:val="00594BC1"/>
    <w:rsid w:val="00594D16"/>
    <w:rsid w:val="00594E96"/>
    <w:rsid w:val="00595A4E"/>
    <w:rsid w:val="005961A3"/>
    <w:rsid w:val="00596692"/>
    <w:rsid w:val="005967D7"/>
    <w:rsid w:val="00596986"/>
    <w:rsid w:val="00597AB9"/>
    <w:rsid w:val="00597BEA"/>
    <w:rsid w:val="005A06F6"/>
    <w:rsid w:val="005A096F"/>
    <w:rsid w:val="005A647A"/>
    <w:rsid w:val="005A665D"/>
    <w:rsid w:val="005B1505"/>
    <w:rsid w:val="005B1F84"/>
    <w:rsid w:val="005B5358"/>
    <w:rsid w:val="005B6878"/>
    <w:rsid w:val="005B6C15"/>
    <w:rsid w:val="005C1407"/>
    <w:rsid w:val="005C385F"/>
    <w:rsid w:val="005C4B7D"/>
    <w:rsid w:val="005C4BAB"/>
    <w:rsid w:val="005C6783"/>
    <w:rsid w:val="005C67D8"/>
    <w:rsid w:val="005C75CA"/>
    <w:rsid w:val="005D2036"/>
    <w:rsid w:val="005D2BB1"/>
    <w:rsid w:val="005D2CBB"/>
    <w:rsid w:val="005D5333"/>
    <w:rsid w:val="005D6530"/>
    <w:rsid w:val="005D680A"/>
    <w:rsid w:val="005D6A84"/>
    <w:rsid w:val="005E0EC1"/>
    <w:rsid w:val="005E1BD3"/>
    <w:rsid w:val="005E3158"/>
    <w:rsid w:val="005E498C"/>
    <w:rsid w:val="005E531D"/>
    <w:rsid w:val="005E5897"/>
    <w:rsid w:val="005E6386"/>
    <w:rsid w:val="005E644B"/>
    <w:rsid w:val="005E6EEC"/>
    <w:rsid w:val="005E70CE"/>
    <w:rsid w:val="005F0A8E"/>
    <w:rsid w:val="005F0DBA"/>
    <w:rsid w:val="005F2DD5"/>
    <w:rsid w:val="005F4B3C"/>
    <w:rsid w:val="005F5698"/>
    <w:rsid w:val="005F6E00"/>
    <w:rsid w:val="006002CC"/>
    <w:rsid w:val="00603360"/>
    <w:rsid w:val="00606124"/>
    <w:rsid w:val="00606FF8"/>
    <w:rsid w:val="00616243"/>
    <w:rsid w:val="006175D6"/>
    <w:rsid w:val="0061782C"/>
    <w:rsid w:val="00620B1E"/>
    <w:rsid w:val="00622C07"/>
    <w:rsid w:val="006237D3"/>
    <w:rsid w:val="00626500"/>
    <w:rsid w:val="00626869"/>
    <w:rsid w:val="006269E9"/>
    <w:rsid w:val="006272AC"/>
    <w:rsid w:val="006331BC"/>
    <w:rsid w:val="0063708B"/>
    <w:rsid w:val="006372D5"/>
    <w:rsid w:val="00640523"/>
    <w:rsid w:val="00641004"/>
    <w:rsid w:val="00641EA2"/>
    <w:rsid w:val="00642236"/>
    <w:rsid w:val="00643BD9"/>
    <w:rsid w:val="00647302"/>
    <w:rsid w:val="00651204"/>
    <w:rsid w:val="00651778"/>
    <w:rsid w:val="00652687"/>
    <w:rsid w:val="00653581"/>
    <w:rsid w:val="00656BA4"/>
    <w:rsid w:val="006577C7"/>
    <w:rsid w:val="00657A07"/>
    <w:rsid w:val="0066597E"/>
    <w:rsid w:val="006659FC"/>
    <w:rsid w:val="00666283"/>
    <w:rsid w:val="00667811"/>
    <w:rsid w:val="00667EE1"/>
    <w:rsid w:val="00667FB9"/>
    <w:rsid w:val="006709D8"/>
    <w:rsid w:val="006718B4"/>
    <w:rsid w:val="006724B4"/>
    <w:rsid w:val="0067290B"/>
    <w:rsid w:val="0068585E"/>
    <w:rsid w:val="00687A56"/>
    <w:rsid w:val="00690142"/>
    <w:rsid w:val="00692C21"/>
    <w:rsid w:val="006946A0"/>
    <w:rsid w:val="00695015"/>
    <w:rsid w:val="006A24A3"/>
    <w:rsid w:val="006A3536"/>
    <w:rsid w:val="006A3BD8"/>
    <w:rsid w:val="006A3D59"/>
    <w:rsid w:val="006A4CF1"/>
    <w:rsid w:val="006B0731"/>
    <w:rsid w:val="006B0D50"/>
    <w:rsid w:val="006B3191"/>
    <w:rsid w:val="006B33E0"/>
    <w:rsid w:val="006B41AB"/>
    <w:rsid w:val="006B42CA"/>
    <w:rsid w:val="006B5A79"/>
    <w:rsid w:val="006B62FC"/>
    <w:rsid w:val="006B7C48"/>
    <w:rsid w:val="006C1526"/>
    <w:rsid w:val="006C30AE"/>
    <w:rsid w:val="006C33B9"/>
    <w:rsid w:val="006C36AF"/>
    <w:rsid w:val="006C4588"/>
    <w:rsid w:val="006C52BE"/>
    <w:rsid w:val="006C5BB0"/>
    <w:rsid w:val="006C615C"/>
    <w:rsid w:val="006C7081"/>
    <w:rsid w:val="006D2212"/>
    <w:rsid w:val="006D435F"/>
    <w:rsid w:val="006D4F76"/>
    <w:rsid w:val="006D6F19"/>
    <w:rsid w:val="006E0E5E"/>
    <w:rsid w:val="006E5B62"/>
    <w:rsid w:val="006E67C7"/>
    <w:rsid w:val="006E6968"/>
    <w:rsid w:val="006F04ED"/>
    <w:rsid w:val="006F0EC4"/>
    <w:rsid w:val="006F2327"/>
    <w:rsid w:val="006F3226"/>
    <w:rsid w:val="006F421F"/>
    <w:rsid w:val="006F6909"/>
    <w:rsid w:val="006F6BDA"/>
    <w:rsid w:val="006F6C65"/>
    <w:rsid w:val="006F722C"/>
    <w:rsid w:val="006F7EFA"/>
    <w:rsid w:val="0070150A"/>
    <w:rsid w:val="00702430"/>
    <w:rsid w:val="00702DB4"/>
    <w:rsid w:val="00704E12"/>
    <w:rsid w:val="0070588B"/>
    <w:rsid w:val="00707338"/>
    <w:rsid w:val="00710180"/>
    <w:rsid w:val="00711496"/>
    <w:rsid w:val="0071350B"/>
    <w:rsid w:val="007154CF"/>
    <w:rsid w:val="0072045E"/>
    <w:rsid w:val="0072094F"/>
    <w:rsid w:val="00720A9C"/>
    <w:rsid w:val="007211AB"/>
    <w:rsid w:val="0072131D"/>
    <w:rsid w:val="007213AE"/>
    <w:rsid w:val="00721692"/>
    <w:rsid w:val="00722819"/>
    <w:rsid w:val="00722A26"/>
    <w:rsid w:val="00722E4C"/>
    <w:rsid w:val="0072332A"/>
    <w:rsid w:val="0072452F"/>
    <w:rsid w:val="00724C94"/>
    <w:rsid w:val="00726EAF"/>
    <w:rsid w:val="00727E4C"/>
    <w:rsid w:val="00730518"/>
    <w:rsid w:val="007316A1"/>
    <w:rsid w:val="0073329F"/>
    <w:rsid w:val="007371B7"/>
    <w:rsid w:val="007371C8"/>
    <w:rsid w:val="0074237C"/>
    <w:rsid w:val="0074293A"/>
    <w:rsid w:val="00742F4E"/>
    <w:rsid w:val="007466DE"/>
    <w:rsid w:val="00750860"/>
    <w:rsid w:val="007509DF"/>
    <w:rsid w:val="0075213D"/>
    <w:rsid w:val="00752F69"/>
    <w:rsid w:val="00761A86"/>
    <w:rsid w:val="007625AC"/>
    <w:rsid w:val="00762E6E"/>
    <w:rsid w:val="00764FC7"/>
    <w:rsid w:val="00765826"/>
    <w:rsid w:val="007661D5"/>
    <w:rsid w:val="00766416"/>
    <w:rsid w:val="0077077B"/>
    <w:rsid w:val="00771C8F"/>
    <w:rsid w:val="00773235"/>
    <w:rsid w:val="00773CD5"/>
    <w:rsid w:val="0077675F"/>
    <w:rsid w:val="00776A18"/>
    <w:rsid w:val="007775C4"/>
    <w:rsid w:val="007775CA"/>
    <w:rsid w:val="007802C7"/>
    <w:rsid w:val="007804CC"/>
    <w:rsid w:val="00781EDA"/>
    <w:rsid w:val="0078201F"/>
    <w:rsid w:val="00782975"/>
    <w:rsid w:val="00784ED1"/>
    <w:rsid w:val="00787A87"/>
    <w:rsid w:val="0079037C"/>
    <w:rsid w:val="00790891"/>
    <w:rsid w:val="00791585"/>
    <w:rsid w:val="00793DDB"/>
    <w:rsid w:val="007942E6"/>
    <w:rsid w:val="0079457A"/>
    <w:rsid w:val="00797F33"/>
    <w:rsid w:val="007A1AD1"/>
    <w:rsid w:val="007A21C3"/>
    <w:rsid w:val="007A2E60"/>
    <w:rsid w:val="007A301D"/>
    <w:rsid w:val="007A3683"/>
    <w:rsid w:val="007A6850"/>
    <w:rsid w:val="007A6D21"/>
    <w:rsid w:val="007B4E03"/>
    <w:rsid w:val="007B5AD4"/>
    <w:rsid w:val="007B5CD7"/>
    <w:rsid w:val="007C1317"/>
    <w:rsid w:val="007C19B4"/>
    <w:rsid w:val="007C1DEC"/>
    <w:rsid w:val="007C233D"/>
    <w:rsid w:val="007C3AB4"/>
    <w:rsid w:val="007C4DBF"/>
    <w:rsid w:val="007C4EE6"/>
    <w:rsid w:val="007C6DE4"/>
    <w:rsid w:val="007C7527"/>
    <w:rsid w:val="007D0A3E"/>
    <w:rsid w:val="007D3206"/>
    <w:rsid w:val="007D3504"/>
    <w:rsid w:val="007D684F"/>
    <w:rsid w:val="007D6F04"/>
    <w:rsid w:val="007D707A"/>
    <w:rsid w:val="007D76DC"/>
    <w:rsid w:val="007D7B0A"/>
    <w:rsid w:val="007E0F4D"/>
    <w:rsid w:val="007E0FF2"/>
    <w:rsid w:val="007E2755"/>
    <w:rsid w:val="007E5118"/>
    <w:rsid w:val="007F1B21"/>
    <w:rsid w:val="007F3288"/>
    <w:rsid w:val="007F5532"/>
    <w:rsid w:val="007F5CE4"/>
    <w:rsid w:val="007F62AE"/>
    <w:rsid w:val="007F6B8A"/>
    <w:rsid w:val="00800032"/>
    <w:rsid w:val="0080035E"/>
    <w:rsid w:val="00800A9A"/>
    <w:rsid w:val="00805188"/>
    <w:rsid w:val="00805288"/>
    <w:rsid w:val="0080590A"/>
    <w:rsid w:val="00806BD2"/>
    <w:rsid w:val="00807037"/>
    <w:rsid w:val="00807910"/>
    <w:rsid w:val="00807E6E"/>
    <w:rsid w:val="00807FFD"/>
    <w:rsid w:val="008104AF"/>
    <w:rsid w:val="00810584"/>
    <w:rsid w:val="00812B1E"/>
    <w:rsid w:val="00812FE7"/>
    <w:rsid w:val="00815FDA"/>
    <w:rsid w:val="00816B41"/>
    <w:rsid w:val="00820003"/>
    <w:rsid w:val="008208B3"/>
    <w:rsid w:val="00822BC1"/>
    <w:rsid w:val="00823216"/>
    <w:rsid w:val="00825E14"/>
    <w:rsid w:val="0083055F"/>
    <w:rsid w:val="0083199C"/>
    <w:rsid w:val="00831E12"/>
    <w:rsid w:val="00832F61"/>
    <w:rsid w:val="008349C0"/>
    <w:rsid w:val="00836FC2"/>
    <w:rsid w:val="008375B6"/>
    <w:rsid w:val="0083776E"/>
    <w:rsid w:val="008404D0"/>
    <w:rsid w:val="008409FA"/>
    <w:rsid w:val="0084207A"/>
    <w:rsid w:val="0084266F"/>
    <w:rsid w:val="00843BAB"/>
    <w:rsid w:val="00844561"/>
    <w:rsid w:val="00845D98"/>
    <w:rsid w:val="00846523"/>
    <w:rsid w:val="00851698"/>
    <w:rsid w:val="00851729"/>
    <w:rsid w:val="00853163"/>
    <w:rsid w:val="008547C6"/>
    <w:rsid w:val="00854BF2"/>
    <w:rsid w:val="008572B8"/>
    <w:rsid w:val="00857B21"/>
    <w:rsid w:val="00857E83"/>
    <w:rsid w:val="00857F92"/>
    <w:rsid w:val="008601B7"/>
    <w:rsid w:val="0086172E"/>
    <w:rsid w:val="008621CA"/>
    <w:rsid w:val="00863315"/>
    <w:rsid w:val="00863E47"/>
    <w:rsid w:val="00864AAB"/>
    <w:rsid w:val="00864E19"/>
    <w:rsid w:val="00865C28"/>
    <w:rsid w:val="008663BC"/>
    <w:rsid w:val="0086732A"/>
    <w:rsid w:val="00870669"/>
    <w:rsid w:val="00871DD6"/>
    <w:rsid w:val="0087260B"/>
    <w:rsid w:val="008731CE"/>
    <w:rsid w:val="008734FD"/>
    <w:rsid w:val="008749F8"/>
    <w:rsid w:val="008805D7"/>
    <w:rsid w:val="00880B79"/>
    <w:rsid w:val="00881282"/>
    <w:rsid w:val="0088171F"/>
    <w:rsid w:val="00884FFE"/>
    <w:rsid w:val="0088544F"/>
    <w:rsid w:val="00886144"/>
    <w:rsid w:val="00886E1B"/>
    <w:rsid w:val="00887CA8"/>
    <w:rsid w:val="00890901"/>
    <w:rsid w:val="00890C16"/>
    <w:rsid w:val="00893A36"/>
    <w:rsid w:val="00894647"/>
    <w:rsid w:val="00895CD5"/>
    <w:rsid w:val="00895E55"/>
    <w:rsid w:val="00895F39"/>
    <w:rsid w:val="00897BC7"/>
    <w:rsid w:val="008A1B63"/>
    <w:rsid w:val="008A37BD"/>
    <w:rsid w:val="008A3E53"/>
    <w:rsid w:val="008A4981"/>
    <w:rsid w:val="008A5BD5"/>
    <w:rsid w:val="008A5C8D"/>
    <w:rsid w:val="008A60F6"/>
    <w:rsid w:val="008A62E2"/>
    <w:rsid w:val="008A7F28"/>
    <w:rsid w:val="008B0AF5"/>
    <w:rsid w:val="008B26CC"/>
    <w:rsid w:val="008B3A2F"/>
    <w:rsid w:val="008B74CD"/>
    <w:rsid w:val="008B7F17"/>
    <w:rsid w:val="008B7FAA"/>
    <w:rsid w:val="008C0F51"/>
    <w:rsid w:val="008C201F"/>
    <w:rsid w:val="008C2100"/>
    <w:rsid w:val="008C3A9E"/>
    <w:rsid w:val="008C5C2B"/>
    <w:rsid w:val="008C74CA"/>
    <w:rsid w:val="008C74EE"/>
    <w:rsid w:val="008C7F21"/>
    <w:rsid w:val="008D0B8D"/>
    <w:rsid w:val="008D2345"/>
    <w:rsid w:val="008D2846"/>
    <w:rsid w:val="008D3B08"/>
    <w:rsid w:val="008D3E6A"/>
    <w:rsid w:val="008D46E5"/>
    <w:rsid w:val="008D5AEB"/>
    <w:rsid w:val="008D6982"/>
    <w:rsid w:val="008E091C"/>
    <w:rsid w:val="008E10B4"/>
    <w:rsid w:val="008E1DA6"/>
    <w:rsid w:val="008E1DD8"/>
    <w:rsid w:val="008E2206"/>
    <w:rsid w:val="008E5A14"/>
    <w:rsid w:val="008E79E1"/>
    <w:rsid w:val="008F0276"/>
    <w:rsid w:val="008F1DC2"/>
    <w:rsid w:val="008F274C"/>
    <w:rsid w:val="008F2FF5"/>
    <w:rsid w:val="008F6DAA"/>
    <w:rsid w:val="00900C45"/>
    <w:rsid w:val="0090152A"/>
    <w:rsid w:val="00901F3A"/>
    <w:rsid w:val="009025A6"/>
    <w:rsid w:val="00903473"/>
    <w:rsid w:val="009041E4"/>
    <w:rsid w:val="00905AB8"/>
    <w:rsid w:val="00906C74"/>
    <w:rsid w:val="009122D7"/>
    <w:rsid w:val="0091299F"/>
    <w:rsid w:val="00912F09"/>
    <w:rsid w:val="00914AF9"/>
    <w:rsid w:val="009150C0"/>
    <w:rsid w:val="00915B83"/>
    <w:rsid w:val="00915D43"/>
    <w:rsid w:val="009169B4"/>
    <w:rsid w:val="0091747B"/>
    <w:rsid w:val="0091786B"/>
    <w:rsid w:val="0092037B"/>
    <w:rsid w:val="009208F4"/>
    <w:rsid w:val="009220D1"/>
    <w:rsid w:val="00922D8C"/>
    <w:rsid w:val="0092459D"/>
    <w:rsid w:val="00926390"/>
    <w:rsid w:val="00926764"/>
    <w:rsid w:val="009268B9"/>
    <w:rsid w:val="00926CF0"/>
    <w:rsid w:val="00927711"/>
    <w:rsid w:val="00927DBC"/>
    <w:rsid w:val="00930903"/>
    <w:rsid w:val="00930B6C"/>
    <w:rsid w:val="00932E4C"/>
    <w:rsid w:val="00934BF8"/>
    <w:rsid w:val="00935996"/>
    <w:rsid w:val="009400C3"/>
    <w:rsid w:val="00943617"/>
    <w:rsid w:val="00943E64"/>
    <w:rsid w:val="00950360"/>
    <w:rsid w:val="00950434"/>
    <w:rsid w:val="00951B78"/>
    <w:rsid w:val="00953D40"/>
    <w:rsid w:val="00954165"/>
    <w:rsid w:val="00954888"/>
    <w:rsid w:val="00955D9D"/>
    <w:rsid w:val="00961409"/>
    <w:rsid w:val="00961ACF"/>
    <w:rsid w:val="009632D3"/>
    <w:rsid w:val="00963DF5"/>
    <w:rsid w:val="009659CE"/>
    <w:rsid w:val="00967349"/>
    <w:rsid w:val="009740F1"/>
    <w:rsid w:val="0097440D"/>
    <w:rsid w:val="009750DE"/>
    <w:rsid w:val="00975C55"/>
    <w:rsid w:val="00977F5E"/>
    <w:rsid w:val="0098040B"/>
    <w:rsid w:val="009811B1"/>
    <w:rsid w:val="00982811"/>
    <w:rsid w:val="00983B0C"/>
    <w:rsid w:val="00983F2C"/>
    <w:rsid w:val="009844FC"/>
    <w:rsid w:val="00984625"/>
    <w:rsid w:val="00984FF7"/>
    <w:rsid w:val="00987465"/>
    <w:rsid w:val="009914ED"/>
    <w:rsid w:val="00993E20"/>
    <w:rsid w:val="00994035"/>
    <w:rsid w:val="00994515"/>
    <w:rsid w:val="00995ADD"/>
    <w:rsid w:val="00995C38"/>
    <w:rsid w:val="00997A3C"/>
    <w:rsid w:val="009A123C"/>
    <w:rsid w:val="009A165F"/>
    <w:rsid w:val="009A3535"/>
    <w:rsid w:val="009A385E"/>
    <w:rsid w:val="009A4160"/>
    <w:rsid w:val="009A4AEC"/>
    <w:rsid w:val="009A4B9E"/>
    <w:rsid w:val="009A4FE5"/>
    <w:rsid w:val="009A5ABC"/>
    <w:rsid w:val="009A5ED7"/>
    <w:rsid w:val="009A6CF4"/>
    <w:rsid w:val="009B0041"/>
    <w:rsid w:val="009B20B8"/>
    <w:rsid w:val="009B2F4A"/>
    <w:rsid w:val="009B2FCF"/>
    <w:rsid w:val="009B56F8"/>
    <w:rsid w:val="009B5902"/>
    <w:rsid w:val="009B5990"/>
    <w:rsid w:val="009B6FAA"/>
    <w:rsid w:val="009B78D9"/>
    <w:rsid w:val="009C25C1"/>
    <w:rsid w:val="009C4643"/>
    <w:rsid w:val="009C5A7F"/>
    <w:rsid w:val="009C6D77"/>
    <w:rsid w:val="009C7D85"/>
    <w:rsid w:val="009C7E35"/>
    <w:rsid w:val="009D0C3E"/>
    <w:rsid w:val="009D16F7"/>
    <w:rsid w:val="009D38A2"/>
    <w:rsid w:val="009D5165"/>
    <w:rsid w:val="009D73A9"/>
    <w:rsid w:val="009E0297"/>
    <w:rsid w:val="009E0419"/>
    <w:rsid w:val="009E1DDA"/>
    <w:rsid w:val="009E5523"/>
    <w:rsid w:val="009E6861"/>
    <w:rsid w:val="009E7009"/>
    <w:rsid w:val="009E730B"/>
    <w:rsid w:val="009F3EFC"/>
    <w:rsid w:val="009F44D8"/>
    <w:rsid w:val="009F49F0"/>
    <w:rsid w:val="009F5B0C"/>
    <w:rsid w:val="009F60F1"/>
    <w:rsid w:val="009F672A"/>
    <w:rsid w:val="009F6D4F"/>
    <w:rsid w:val="009F76B3"/>
    <w:rsid w:val="009F7F3D"/>
    <w:rsid w:val="00A036A8"/>
    <w:rsid w:val="00A06794"/>
    <w:rsid w:val="00A10550"/>
    <w:rsid w:val="00A13A50"/>
    <w:rsid w:val="00A13BE2"/>
    <w:rsid w:val="00A165A3"/>
    <w:rsid w:val="00A1703A"/>
    <w:rsid w:val="00A17EE9"/>
    <w:rsid w:val="00A21BA2"/>
    <w:rsid w:val="00A22117"/>
    <w:rsid w:val="00A22573"/>
    <w:rsid w:val="00A247E5"/>
    <w:rsid w:val="00A259DC"/>
    <w:rsid w:val="00A25E49"/>
    <w:rsid w:val="00A26780"/>
    <w:rsid w:val="00A267AF"/>
    <w:rsid w:val="00A26C78"/>
    <w:rsid w:val="00A3003F"/>
    <w:rsid w:val="00A319CC"/>
    <w:rsid w:val="00A34A2B"/>
    <w:rsid w:val="00A34D60"/>
    <w:rsid w:val="00A41B11"/>
    <w:rsid w:val="00A43F01"/>
    <w:rsid w:val="00A44E8B"/>
    <w:rsid w:val="00A47043"/>
    <w:rsid w:val="00A47958"/>
    <w:rsid w:val="00A51370"/>
    <w:rsid w:val="00A5145F"/>
    <w:rsid w:val="00A51DF8"/>
    <w:rsid w:val="00A55952"/>
    <w:rsid w:val="00A567DF"/>
    <w:rsid w:val="00A60983"/>
    <w:rsid w:val="00A63512"/>
    <w:rsid w:val="00A63729"/>
    <w:rsid w:val="00A6383A"/>
    <w:rsid w:val="00A6432B"/>
    <w:rsid w:val="00A656C9"/>
    <w:rsid w:val="00A66D0E"/>
    <w:rsid w:val="00A678FF"/>
    <w:rsid w:val="00A724B0"/>
    <w:rsid w:val="00A72532"/>
    <w:rsid w:val="00A73BEC"/>
    <w:rsid w:val="00A75B65"/>
    <w:rsid w:val="00A76381"/>
    <w:rsid w:val="00A776FA"/>
    <w:rsid w:val="00A77BD7"/>
    <w:rsid w:val="00A77E17"/>
    <w:rsid w:val="00A81700"/>
    <w:rsid w:val="00A81E04"/>
    <w:rsid w:val="00A81ED2"/>
    <w:rsid w:val="00A82CFD"/>
    <w:rsid w:val="00A867AD"/>
    <w:rsid w:val="00A9269D"/>
    <w:rsid w:val="00A93FFA"/>
    <w:rsid w:val="00A970BD"/>
    <w:rsid w:val="00A97848"/>
    <w:rsid w:val="00AA1E03"/>
    <w:rsid w:val="00AA1F9D"/>
    <w:rsid w:val="00AA286B"/>
    <w:rsid w:val="00AA3E82"/>
    <w:rsid w:val="00AA3FF0"/>
    <w:rsid w:val="00AB24B6"/>
    <w:rsid w:val="00AB452C"/>
    <w:rsid w:val="00AB71EF"/>
    <w:rsid w:val="00AB7879"/>
    <w:rsid w:val="00AB7A24"/>
    <w:rsid w:val="00AC13D5"/>
    <w:rsid w:val="00AC1F40"/>
    <w:rsid w:val="00AC2BA9"/>
    <w:rsid w:val="00AC341B"/>
    <w:rsid w:val="00AC344B"/>
    <w:rsid w:val="00AC725E"/>
    <w:rsid w:val="00AD0178"/>
    <w:rsid w:val="00AD1785"/>
    <w:rsid w:val="00AD2590"/>
    <w:rsid w:val="00AD28A1"/>
    <w:rsid w:val="00AD31E9"/>
    <w:rsid w:val="00AD37CD"/>
    <w:rsid w:val="00AD5806"/>
    <w:rsid w:val="00AD62BB"/>
    <w:rsid w:val="00AD655A"/>
    <w:rsid w:val="00AD6DCC"/>
    <w:rsid w:val="00AE0F8C"/>
    <w:rsid w:val="00AE1B04"/>
    <w:rsid w:val="00AE1F60"/>
    <w:rsid w:val="00AE38F8"/>
    <w:rsid w:val="00AE451F"/>
    <w:rsid w:val="00AE6276"/>
    <w:rsid w:val="00AE7C21"/>
    <w:rsid w:val="00AF0BFE"/>
    <w:rsid w:val="00AF1A6A"/>
    <w:rsid w:val="00AF2C19"/>
    <w:rsid w:val="00AF2C38"/>
    <w:rsid w:val="00AF33DF"/>
    <w:rsid w:val="00AF44D6"/>
    <w:rsid w:val="00AF5173"/>
    <w:rsid w:val="00AF5278"/>
    <w:rsid w:val="00AF6367"/>
    <w:rsid w:val="00B00787"/>
    <w:rsid w:val="00B00A45"/>
    <w:rsid w:val="00B00DED"/>
    <w:rsid w:val="00B0345F"/>
    <w:rsid w:val="00B047EB"/>
    <w:rsid w:val="00B04B5B"/>
    <w:rsid w:val="00B050BB"/>
    <w:rsid w:val="00B05D9F"/>
    <w:rsid w:val="00B071A0"/>
    <w:rsid w:val="00B07660"/>
    <w:rsid w:val="00B116F8"/>
    <w:rsid w:val="00B1357C"/>
    <w:rsid w:val="00B17255"/>
    <w:rsid w:val="00B20CC7"/>
    <w:rsid w:val="00B20E6B"/>
    <w:rsid w:val="00B21A32"/>
    <w:rsid w:val="00B21AB4"/>
    <w:rsid w:val="00B21F40"/>
    <w:rsid w:val="00B23AF1"/>
    <w:rsid w:val="00B23C48"/>
    <w:rsid w:val="00B24EC7"/>
    <w:rsid w:val="00B25919"/>
    <w:rsid w:val="00B2608B"/>
    <w:rsid w:val="00B269F1"/>
    <w:rsid w:val="00B26B10"/>
    <w:rsid w:val="00B274A2"/>
    <w:rsid w:val="00B30546"/>
    <w:rsid w:val="00B30A52"/>
    <w:rsid w:val="00B30B2A"/>
    <w:rsid w:val="00B30B71"/>
    <w:rsid w:val="00B30CFF"/>
    <w:rsid w:val="00B31EF7"/>
    <w:rsid w:val="00B321D6"/>
    <w:rsid w:val="00B32ED9"/>
    <w:rsid w:val="00B330FE"/>
    <w:rsid w:val="00B33273"/>
    <w:rsid w:val="00B36152"/>
    <w:rsid w:val="00B37605"/>
    <w:rsid w:val="00B378A9"/>
    <w:rsid w:val="00B400DC"/>
    <w:rsid w:val="00B409F9"/>
    <w:rsid w:val="00B40C54"/>
    <w:rsid w:val="00B40E85"/>
    <w:rsid w:val="00B4222F"/>
    <w:rsid w:val="00B4471E"/>
    <w:rsid w:val="00B44D02"/>
    <w:rsid w:val="00B47DF4"/>
    <w:rsid w:val="00B504EB"/>
    <w:rsid w:val="00B517F0"/>
    <w:rsid w:val="00B520FD"/>
    <w:rsid w:val="00B52333"/>
    <w:rsid w:val="00B55846"/>
    <w:rsid w:val="00B55D3B"/>
    <w:rsid w:val="00B56D2F"/>
    <w:rsid w:val="00B600E8"/>
    <w:rsid w:val="00B60961"/>
    <w:rsid w:val="00B60D15"/>
    <w:rsid w:val="00B61907"/>
    <w:rsid w:val="00B61F40"/>
    <w:rsid w:val="00B648B3"/>
    <w:rsid w:val="00B650DF"/>
    <w:rsid w:val="00B70066"/>
    <w:rsid w:val="00B7247A"/>
    <w:rsid w:val="00B72A59"/>
    <w:rsid w:val="00B74C61"/>
    <w:rsid w:val="00B74DEB"/>
    <w:rsid w:val="00B7683D"/>
    <w:rsid w:val="00B77AA3"/>
    <w:rsid w:val="00B77B8B"/>
    <w:rsid w:val="00B80D58"/>
    <w:rsid w:val="00B81C00"/>
    <w:rsid w:val="00B83699"/>
    <w:rsid w:val="00B84082"/>
    <w:rsid w:val="00B85E3B"/>
    <w:rsid w:val="00B87D9C"/>
    <w:rsid w:val="00B902C2"/>
    <w:rsid w:val="00B9033F"/>
    <w:rsid w:val="00B90D57"/>
    <w:rsid w:val="00B90E83"/>
    <w:rsid w:val="00B91C02"/>
    <w:rsid w:val="00B94DD4"/>
    <w:rsid w:val="00B95834"/>
    <w:rsid w:val="00B95CBD"/>
    <w:rsid w:val="00B962A5"/>
    <w:rsid w:val="00B9746C"/>
    <w:rsid w:val="00B974D8"/>
    <w:rsid w:val="00B97BC1"/>
    <w:rsid w:val="00BA3265"/>
    <w:rsid w:val="00BA3944"/>
    <w:rsid w:val="00BA3D39"/>
    <w:rsid w:val="00BA4244"/>
    <w:rsid w:val="00BA5247"/>
    <w:rsid w:val="00BA573E"/>
    <w:rsid w:val="00BA576B"/>
    <w:rsid w:val="00BA6ACB"/>
    <w:rsid w:val="00BA7C12"/>
    <w:rsid w:val="00BB0EE6"/>
    <w:rsid w:val="00BB329A"/>
    <w:rsid w:val="00BB5336"/>
    <w:rsid w:val="00BB583B"/>
    <w:rsid w:val="00BB5C81"/>
    <w:rsid w:val="00BB5E4D"/>
    <w:rsid w:val="00BB6613"/>
    <w:rsid w:val="00BB722A"/>
    <w:rsid w:val="00BC471F"/>
    <w:rsid w:val="00BC47EF"/>
    <w:rsid w:val="00BC6146"/>
    <w:rsid w:val="00BC7ABD"/>
    <w:rsid w:val="00BD1009"/>
    <w:rsid w:val="00BD2320"/>
    <w:rsid w:val="00BD3027"/>
    <w:rsid w:val="00BD3A97"/>
    <w:rsid w:val="00BD3BCD"/>
    <w:rsid w:val="00BD56DA"/>
    <w:rsid w:val="00BD5CDA"/>
    <w:rsid w:val="00BE09F5"/>
    <w:rsid w:val="00BE0BCF"/>
    <w:rsid w:val="00BE15C0"/>
    <w:rsid w:val="00BE19E8"/>
    <w:rsid w:val="00BE1F58"/>
    <w:rsid w:val="00BE3FD0"/>
    <w:rsid w:val="00BE6BE8"/>
    <w:rsid w:val="00BE6DC6"/>
    <w:rsid w:val="00BE76C3"/>
    <w:rsid w:val="00BE7F5A"/>
    <w:rsid w:val="00BF05AA"/>
    <w:rsid w:val="00BF0976"/>
    <w:rsid w:val="00BF11E1"/>
    <w:rsid w:val="00BF2128"/>
    <w:rsid w:val="00BF341E"/>
    <w:rsid w:val="00BF411F"/>
    <w:rsid w:val="00BF4297"/>
    <w:rsid w:val="00BF450F"/>
    <w:rsid w:val="00BF4996"/>
    <w:rsid w:val="00BF5103"/>
    <w:rsid w:val="00BF59BE"/>
    <w:rsid w:val="00BF6365"/>
    <w:rsid w:val="00BF6D3B"/>
    <w:rsid w:val="00BF79E7"/>
    <w:rsid w:val="00C0087D"/>
    <w:rsid w:val="00C01130"/>
    <w:rsid w:val="00C013F5"/>
    <w:rsid w:val="00C01974"/>
    <w:rsid w:val="00C07984"/>
    <w:rsid w:val="00C07FA2"/>
    <w:rsid w:val="00C10535"/>
    <w:rsid w:val="00C121E4"/>
    <w:rsid w:val="00C131DE"/>
    <w:rsid w:val="00C13F18"/>
    <w:rsid w:val="00C1419F"/>
    <w:rsid w:val="00C14241"/>
    <w:rsid w:val="00C14668"/>
    <w:rsid w:val="00C15586"/>
    <w:rsid w:val="00C15DD7"/>
    <w:rsid w:val="00C16417"/>
    <w:rsid w:val="00C16684"/>
    <w:rsid w:val="00C17425"/>
    <w:rsid w:val="00C20F62"/>
    <w:rsid w:val="00C212C1"/>
    <w:rsid w:val="00C2268C"/>
    <w:rsid w:val="00C2336D"/>
    <w:rsid w:val="00C235ED"/>
    <w:rsid w:val="00C23AC0"/>
    <w:rsid w:val="00C26765"/>
    <w:rsid w:val="00C27FBF"/>
    <w:rsid w:val="00C30085"/>
    <w:rsid w:val="00C3064A"/>
    <w:rsid w:val="00C324D2"/>
    <w:rsid w:val="00C33505"/>
    <w:rsid w:val="00C336D5"/>
    <w:rsid w:val="00C33CEC"/>
    <w:rsid w:val="00C33DEA"/>
    <w:rsid w:val="00C3530C"/>
    <w:rsid w:val="00C36068"/>
    <w:rsid w:val="00C36BC5"/>
    <w:rsid w:val="00C3749E"/>
    <w:rsid w:val="00C37B1A"/>
    <w:rsid w:val="00C400FA"/>
    <w:rsid w:val="00C41A9F"/>
    <w:rsid w:val="00C44882"/>
    <w:rsid w:val="00C458FC"/>
    <w:rsid w:val="00C45B8E"/>
    <w:rsid w:val="00C47C6F"/>
    <w:rsid w:val="00C50AA8"/>
    <w:rsid w:val="00C52345"/>
    <w:rsid w:val="00C5241E"/>
    <w:rsid w:val="00C5359C"/>
    <w:rsid w:val="00C53827"/>
    <w:rsid w:val="00C54CBD"/>
    <w:rsid w:val="00C5521C"/>
    <w:rsid w:val="00C5530E"/>
    <w:rsid w:val="00C55FB5"/>
    <w:rsid w:val="00C57E6D"/>
    <w:rsid w:val="00C60056"/>
    <w:rsid w:val="00C61D80"/>
    <w:rsid w:val="00C64BCC"/>
    <w:rsid w:val="00C65C04"/>
    <w:rsid w:val="00C6651E"/>
    <w:rsid w:val="00C66542"/>
    <w:rsid w:val="00C700D0"/>
    <w:rsid w:val="00C7185C"/>
    <w:rsid w:val="00C728C2"/>
    <w:rsid w:val="00C72A8E"/>
    <w:rsid w:val="00C738E3"/>
    <w:rsid w:val="00C748AA"/>
    <w:rsid w:val="00C748E3"/>
    <w:rsid w:val="00C76929"/>
    <w:rsid w:val="00C77BF1"/>
    <w:rsid w:val="00C81F72"/>
    <w:rsid w:val="00C82EE7"/>
    <w:rsid w:val="00C8567D"/>
    <w:rsid w:val="00C8643D"/>
    <w:rsid w:val="00C86648"/>
    <w:rsid w:val="00C873E1"/>
    <w:rsid w:val="00C90197"/>
    <w:rsid w:val="00C90791"/>
    <w:rsid w:val="00C90C73"/>
    <w:rsid w:val="00C9184C"/>
    <w:rsid w:val="00C91D27"/>
    <w:rsid w:val="00C9293E"/>
    <w:rsid w:val="00C945A0"/>
    <w:rsid w:val="00C97CE7"/>
    <w:rsid w:val="00CA048F"/>
    <w:rsid w:val="00CA181E"/>
    <w:rsid w:val="00CA1D47"/>
    <w:rsid w:val="00CA40EB"/>
    <w:rsid w:val="00CA4E38"/>
    <w:rsid w:val="00CA7339"/>
    <w:rsid w:val="00CA7994"/>
    <w:rsid w:val="00CA7EC6"/>
    <w:rsid w:val="00CB0149"/>
    <w:rsid w:val="00CB02FC"/>
    <w:rsid w:val="00CB058F"/>
    <w:rsid w:val="00CB094D"/>
    <w:rsid w:val="00CB0BA6"/>
    <w:rsid w:val="00CB0EE7"/>
    <w:rsid w:val="00CB1B0E"/>
    <w:rsid w:val="00CB40F1"/>
    <w:rsid w:val="00CB63E6"/>
    <w:rsid w:val="00CB797B"/>
    <w:rsid w:val="00CC0201"/>
    <w:rsid w:val="00CC09B5"/>
    <w:rsid w:val="00CC0DFB"/>
    <w:rsid w:val="00CC1DFE"/>
    <w:rsid w:val="00CC1E10"/>
    <w:rsid w:val="00CC39F9"/>
    <w:rsid w:val="00CC3AB9"/>
    <w:rsid w:val="00CC3BB7"/>
    <w:rsid w:val="00CC6C41"/>
    <w:rsid w:val="00CC734B"/>
    <w:rsid w:val="00CC78AE"/>
    <w:rsid w:val="00CC7BA7"/>
    <w:rsid w:val="00CC7F0B"/>
    <w:rsid w:val="00CD19A5"/>
    <w:rsid w:val="00CD3587"/>
    <w:rsid w:val="00CD4776"/>
    <w:rsid w:val="00CD4953"/>
    <w:rsid w:val="00CD51CF"/>
    <w:rsid w:val="00CD5A27"/>
    <w:rsid w:val="00CD69DC"/>
    <w:rsid w:val="00CD7B7A"/>
    <w:rsid w:val="00CD7D6F"/>
    <w:rsid w:val="00CE05F6"/>
    <w:rsid w:val="00CE1B30"/>
    <w:rsid w:val="00CE2305"/>
    <w:rsid w:val="00CE2486"/>
    <w:rsid w:val="00CE42FF"/>
    <w:rsid w:val="00CE4C74"/>
    <w:rsid w:val="00CE51E6"/>
    <w:rsid w:val="00CE7045"/>
    <w:rsid w:val="00CF020B"/>
    <w:rsid w:val="00CF035D"/>
    <w:rsid w:val="00CF2F49"/>
    <w:rsid w:val="00CF3077"/>
    <w:rsid w:val="00CF310A"/>
    <w:rsid w:val="00CF3653"/>
    <w:rsid w:val="00CF3BF6"/>
    <w:rsid w:val="00CF46DA"/>
    <w:rsid w:val="00CF5C60"/>
    <w:rsid w:val="00D01391"/>
    <w:rsid w:val="00D039D9"/>
    <w:rsid w:val="00D06C24"/>
    <w:rsid w:val="00D06D2C"/>
    <w:rsid w:val="00D073A2"/>
    <w:rsid w:val="00D0774E"/>
    <w:rsid w:val="00D100BD"/>
    <w:rsid w:val="00D105C3"/>
    <w:rsid w:val="00D10BFA"/>
    <w:rsid w:val="00D12AEA"/>
    <w:rsid w:val="00D133BF"/>
    <w:rsid w:val="00D15C40"/>
    <w:rsid w:val="00D161C3"/>
    <w:rsid w:val="00D167B5"/>
    <w:rsid w:val="00D17BA9"/>
    <w:rsid w:val="00D17C33"/>
    <w:rsid w:val="00D17D94"/>
    <w:rsid w:val="00D17DB2"/>
    <w:rsid w:val="00D20596"/>
    <w:rsid w:val="00D20A43"/>
    <w:rsid w:val="00D22A95"/>
    <w:rsid w:val="00D22CA5"/>
    <w:rsid w:val="00D23726"/>
    <w:rsid w:val="00D2541D"/>
    <w:rsid w:val="00D25DF4"/>
    <w:rsid w:val="00D25E93"/>
    <w:rsid w:val="00D26434"/>
    <w:rsid w:val="00D26A17"/>
    <w:rsid w:val="00D310BB"/>
    <w:rsid w:val="00D33041"/>
    <w:rsid w:val="00D33214"/>
    <w:rsid w:val="00D334D5"/>
    <w:rsid w:val="00D33A44"/>
    <w:rsid w:val="00D34A3E"/>
    <w:rsid w:val="00D35F6E"/>
    <w:rsid w:val="00D36C8B"/>
    <w:rsid w:val="00D37801"/>
    <w:rsid w:val="00D40161"/>
    <w:rsid w:val="00D409A3"/>
    <w:rsid w:val="00D40A2B"/>
    <w:rsid w:val="00D40FA6"/>
    <w:rsid w:val="00D42A78"/>
    <w:rsid w:val="00D432E7"/>
    <w:rsid w:val="00D4341E"/>
    <w:rsid w:val="00D44476"/>
    <w:rsid w:val="00D44C83"/>
    <w:rsid w:val="00D45343"/>
    <w:rsid w:val="00D501D1"/>
    <w:rsid w:val="00D519A5"/>
    <w:rsid w:val="00D54EA3"/>
    <w:rsid w:val="00D576D6"/>
    <w:rsid w:val="00D6100B"/>
    <w:rsid w:val="00D628E3"/>
    <w:rsid w:val="00D62A3C"/>
    <w:rsid w:val="00D6568D"/>
    <w:rsid w:val="00D66CA6"/>
    <w:rsid w:val="00D66F83"/>
    <w:rsid w:val="00D67967"/>
    <w:rsid w:val="00D71427"/>
    <w:rsid w:val="00D71618"/>
    <w:rsid w:val="00D71C53"/>
    <w:rsid w:val="00D72099"/>
    <w:rsid w:val="00D731A1"/>
    <w:rsid w:val="00D737DD"/>
    <w:rsid w:val="00D75045"/>
    <w:rsid w:val="00D7663F"/>
    <w:rsid w:val="00D76BB5"/>
    <w:rsid w:val="00D77CEB"/>
    <w:rsid w:val="00D77EDA"/>
    <w:rsid w:val="00D802E3"/>
    <w:rsid w:val="00D82180"/>
    <w:rsid w:val="00D8337A"/>
    <w:rsid w:val="00D834E0"/>
    <w:rsid w:val="00D8630F"/>
    <w:rsid w:val="00D8719A"/>
    <w:rsid w:val="00D87201"/>
    <w:rsid w:val="00D879D2"/>
    <w:rsid w:val="00D87FFC"/>
    <w:rsid w:val="00D903F3"/>
    <w:rsid w:val="00D906A9"/>
    <w:rsid w:val="00D908BC"/>
    <w:rsid w:val="00D911B8"/>
    <w:rsid w:val="00D9125A"/>
    <w:rsid w:val="00D915FB"/>
    <w:rsid w:val="00D919B5"/>
    <w:rsid w:val="00D91C8C"/>
    <w:rsid w:val="00D92CBD"/>
    <w:rsid w:val="00D94B54"/>
    <w:rsid w:val="00D975B2"/>
    <w:rsid w:val="00D979A5"/>
    <w:rsid w:val="00DA0952"/>
    <w:rsid w:val="00DA0D0F"/>
    <w:rsid w:val="00DA13B9"/>
    <w:rsid w:val="00DA414B"/>
    <w:rsid w:val="00DA5DBE"/>
    <w:rsid w:val="00DA5E91"/>
    <w:rsid w:val="00DA60D4"/>
    <w:rsid w:val="00DA76A8"/>
    <w:rsid w:val="00DA775D"/>
    <w:rsid w:val="00DA7EB8"/>
    <w:rsid w:val="00DB1F21"/>
    <w:rsid w:val="00DB219E"/>
    <w:rsid w:val="00DB273F"/>
    <w:rsid w:val="00DB377B"/>
    <w:rsid w:val="00DB3D14"/>
    <w:rsid w:val="00DB4934"/>
    <w:rsid w:val="00DB4988"/>
    <w:rsid w:val="00DB56C3"/>
    <w:rsid w:val="00DB5C82"/>
    <w:rsid w:val="00DB5EA2"/>
    <w:rsid w:val="00DB60EC"/>
    <w:rsid w:val="00DB6C71"/>
    <w:rsid w:val="00DB6FB9"/>
    <w:rsid w:val="00DB7B24"/>
    <w:rsid w:val="00DC00A1"/>
    <w:rsid w:val="00DC084C"/>
    <w:rsid w:val="00DC0C4A"/>
    <w:rsid w:val="00DC0DB1"/>
    <w:rsid w:val="00DC2214"/>
    <w:rsid w:val="00DC3D90"/>
    <w:rsid w:val="00DC59B5"/>
    <w:rsid w:val="00DC620E"/>
    <w:rsid w:val="00DC6A46"/>
    <w:rsid w:val="00DC71ED"/>
    <w:rsid w:val="00DC793D"/>
    <w:rsid w:val="00DD0262"/>
    <w:rsid w:val="00DD1C7C"/>
    <w:rsid w:val="00DD3A48"/>
    <w:rsid w:val="00DD49AB"/>
    <w:rsid w:val="00DD4A31"/>
    <w:rsid w:val="00DD4BEE"/>
    <w:rsid w:val="00DD5E4D"/>
    <w:rsid w:val="00DD6763"/>
    <w:rsid w:val="00DE2493"/>
    <w:rsid w:val="00DE2AF3"/>
    <w:rsid w:val="00DE2E5C"/>
    <w:rsid w:val="00DE2F87"/>
    <w:rsid w:val="00DE319F"/>
    <w:rsid w:val="00DE3CB2"/>
    <w:rsid w:val="00DE4E67"/>
    <w:rsid w:val="00DE5A84"/>
    <w:rsid w:val="00DE6C93"/>
    <w:rsid w:val="00DE7B6E"/>
    <w:rsid w:val="00DF02EB"/>
    <w:rsid w:val="00DF0F00"/>
    <w:rsid w:val="00DF36ED"/>
    <w:rsid w:val="00DF48B1"/>
    <w:rsid w:val="00DF574F"/>
    <w:rsid w:val="00DF62A9"/>
    <w:rsid w:val="00DF6E1A"/>
    <w:rsid w:val="00DF71F0"/>
    <w:rsid w:val="00DF7CB5"/>
    <w:rsid w:val="00E011D4"/>
    <w:rsid w:val="00E01800"/>
    <w:rsid w:val="00E023F6"/>
    <w:rsid w:val="00E02AEE"/>
    <w:rsid w:val="00E06346"/>
    <w:rsid w:val="00E07FE9"/>
    <w:rsid w:val="00E126E3"/>
    <w:rsid w:val="00E1285B"/>
    <w:rsid w:val="00E13A8F"/>
    <w:rsid w:val="00E14F1E"/>
    <w:rsid w:val="00E219B8"/>
    <w:rsid w:val="00E21AF7"/>
    <w:rsid w:val="00E21C93"/>
    <w:rsid w:val="00E22418"/>
    <w:rsid w:val="00E226D2"/>
    <w:rsid w:val="00E227F3"/>
    <w:rsid w:val="00E23AFE"/>
    <w:rsid w:val="00E247FE"/>
    <w:rsid w:val="00E2596E"/>
    <w:rsid w:val="00E26506"/>
    <w:rsid w:val="00E26FE9"/>
    <w:rsid w:val="00E30954"/>
    <w:rsid w:val="00E3109B"/>
    <w:rsid w:val="00E32C4B"/>
    <w:rsid w:val="00E33817"/>
    <w:rsid w:val="00E3392E"/>
    <w:rsid w:val="00E347B1"/>
    <w:rsid w:val="00E348F4"/>
    <w:rsid w:val="00E36A20"/>
    <w:rsid w:val="00E378E6"/>
    <w:rsid w:val="00E40BB9"/>
    <w:rsid w:val="00E41DB8"/>
    <w:rsid w:val="00E43AB7"/>
    <w:rsid w:val="00E4517B"/>
    <w:rsid w:val="00E47D12"/>
    <w:rsid w:val="00E5046A"/>
    <w:rsid w:val="00E52A36"/>
    <w:rsid w:val="00E52C03"/>
    <w:rsid w:val="00E540D8"/>
    <w:rsid w:val="00E55231"/>
    <w:rsid w:val="00E5680B"/>
    <w:rsid w:val="00E573CC"/>
    <w:rsid w:val="00E57D09"/>
    <w:rsid w:val="00E61DF6"/>
    <w:rsid w:val="00E621EB"/>
    <w:rsid w:val="00E63E99"/>
    <w:rsid w:val="00E6471D"/>
    <w:rsid w:val="00E6730A"/>
    <w:rsid w:val="00E70790"/>
    <w:rsid w:val="00E70EC1"/>
    <w:rsid w:val="00E7366C"/>
    <w:rsid w:val="00E750C5"/>
    <w:rsid w:val="00E7643D"/>
    <w:rsid w:val="00E76910"/>
    <w:rsid w:val="00E77A98"/>
    <w:rsid w:val="00E80A6E"/>
    <w:rsid w:val="00E82024"/>
    <w:rsid w:val="00E8292B"/>
    <w:rsid w:val="00E84F65"/>
    <w:rsid w:val="00E86695"/>
    <w:rsid w:val="00E91120"/>
    <w:rsid w:val="00E91A79"/>
    <w:rsid w:val="00E92074"/>
    <w:rsid w:val="00E93046"/>
    <w:rsid w:val="00E9459A"/>
    <w:rsid w:val="00E94EAC"/>
    <w:rsid w:val="00E96ED5"/>
    <w:rsid w:val="00E976CB"/>
    <w:rsid w:val="00E97725"/>
    <w:rsid w:val="00E97749"/>
    <w:rsid w:val="00E97881"/>
    <w:rsid w:val="00EA199B"/>
    <w:rsid w:val="00EA21BB"/>
    <w:rsid w:val="00EA2B0F"/>
    <w:rsid w:val="00EA3441"/>
    <w:rsid w:val="00EA4050"/>
    <w:rsid w:val="00EA4694"/>
    <w:rsid w:val="00EA551E"/>
    <w:rsid w:val="00EA55E0"/>
    <w:rsid w:val="00EA56FB"/>
    <w:rsid w:val="00EA5B84"/>
    <w:rsid w:val="00EA6261"/>
    <w:rsid w:val="00EA6613"/>
    <w:rsid w:val="00EA6E2E"/>
    <w:rsid w:val="00EA73CD"/>
    <w:rsid w:val="00EB0D24"/>
    <w:rsid w:val="00EB26C4"/>
    <w:rsid w:val="00EB41B9"/>
    <w:rsid w:val="00EB48C7"/>
    <w:rsid w:val="00EB55BB"/>
    <w:rsid w:val="00EB6E48"/>
    <w:rsid w:val="00EB73FC"/>
    <w:rsid w:val="00EC06A0"/>
    <w:rsid w:val="00EC13EC"/>
    <w:rsid w:val="00EC18C7"/>
    <w:rsid w:val="00EC2E8F"/>
    <w:rsid w:val="00EC3559"/>
    <w:rsid w:val="00EC464F"/>
    <w:rsid w:val="00EC519B"/>
    <w:rsid w:val="00EC53B5"/>
    <w:rsid w:val="00EC5B08"/>
    <w:rsid w:val="00EC6EBD"/>
    <w:rsid w:val="00EC711E"/>
    <w:rsid w:val="00ED12B0"/>
    <w:rsid w:val="00ED198D"/>
    <w:rsid w:val="00ED3AF2"/>
    <w:rsid w:val="00ED3FD2"/>
    <w:rsid w:val="00ED51F9"/>
    <w:rsid w:val="00ED6638"/>
    <w:rsid w:val="00EE1242"/>
    <w:rsid w:val="00EE20BF"/>
    <w:rsid w:val="00EE22D6"/>
    <w:rsid w:val="00EE2B44"/>
    <w:rsid w:val="00EE51F5"/>
    <w:rsid w:val="00EE6863"/>
    <w:rsid w:val="00EE73CB"/>
    <w:rsid w:val="00EF3B73"/>
    <w:rsid w:val="00EF5AC7"/>
    <w:rsid w:val="00EF5BEF"/>
    <w:rsid w:val="00EF5D9A"/>
    <w:rsid w:val="00EF7A2A"/>
    <w:rsid w:val="00F00198"/>
    <w:rsid w:val="00F002CF"/>
    <w:rsid w:val="00F017DF"/>
    <w:rsid w:val="00F01F12"/>
    <w:rsid w:val="00F02A3D"/>
    <w:rsid w:val="00F02B06"/>
    <w:rsid w:val="00F03469"/>
    <w:rsid w:val="00F03A40"/>
    <w:rsid w:val="00F03B19"/>
    <w:rsid w:val="00F04531"/>
    <w:rsid w:val="00F062D9"/>
    <w:rsid w:val="00F06420"/>
    <w:rsid w:val="00F0656D"/>
    <w:rsid w:val="00F072DC"/>
    <w:rsid w:val="00F075A3"/>
    <w:rsid w:val="00F076E3"/>
    <w:rsid w:val="00F07F44"/>
    <w:rsid w:val="00F1518D"/>
    <w:rsid w:val="00F1669C"/>
    <w:rsid w:val="00F1770C"/>
    <w:rsid w:val="00F20436"/>
    <w:rsid w:val="00F21DA2"/>
    <w:rsid w:val="00F22A82"/>
    <w:rsid w:val="00F23046"/>
    <w:rsid w:val="00F2366C"/>
    <w:rsid w:val="00F238E9"/>
    <w:rsid w:val="00F24981"/>
    <w:rsid w:val="00F27437"/>
    <w:rsid w:val="00F27949"/>
    <w:rsid w:val="00F27D2B"/>
    <w:rsid w:val="00F30022"/>
    <w:rsid w:val="00F30C45"/>
    <w:rsid w:val="00F31357"/>
    <w:rsid w:val="00F31CA1"/>
    <w:rsid w:val="00F31E47"/>
    <w:rsid w:val="00F4161A"/>
    <w:rsid w:val="00F46027"/>
    <w:rsid w:val="00F47115"/>
    <w:rsid w:val="00F47262"/>
    <w:rsid w:val="00F5047C"/>
    <w:rsid w:val="00F51229"/>
    <w:rsid w:val="00F51F64"/>
    <w:rsid w:val="00F52555"/>
    <w:rsid w:val="00F530FF"/>
    <w:rsid w:val="00F56AC8"/>
    <w:rsid w:val="00F57618"/>
    <w:rsid w:val="00F60DEB"/>
    <w:rsid w:val="00F611F4"/>
    <w:rsid w:val="00F61F18"/>
    <w:rsid w:val="00F6719D"/>
    <w:rsid w:val="00F70E56"/>
    <w:rsid w:val="00F71114"/>
    <w:rsid w:val="00F717B1"/>
    <w:rsid w:val="00F71DD1"/>
    <w:rsid w:val="00F72A3E"/>
    <w:rsid w:val="00F72D99"/>
    <w:rsid w:val="00F73194"/>
    <w:rsid w:val="00F73507"/>
    <w:rsid w:val="00F73A41"/>
    <w:rsid w:val="00F74658"/>
    <w:rsid w:val="00F75E6D"/>
    <w:rsid w:val="00F77632"/>
    <w:rsid w:val="00F809AA"/>
    <w:rsid w:val="00F82C32"/>
    <w:rsid w:val="00F83594"/>
    <w:rsid w:val="00F83792"/>
    <w:rsid w:val="00F83A7A"/>
    <w:rsid w:val="00F846E0"/>
    <w:rsid w:val="00F85165"/>
    <w:rsid w:val="00F86A07"/>
    <w:rsid w:val="00F90303"/>
    <w:rsid w:val="00F91017"/>
    <w:rsid w:val="00F92517"/>
    <w:rsid w:val="00F949C3"/>
    <w:rsid w:val="00F94F98"/>
    <w:rsid w:val="00F94F99"/>
    <w:rsid w:val="00F9596E"/>
    <w:rsid w:val="00F95EAD"/>
    <w:rsid w:val="00F96476"/>
    <w:rsid w:val="00FA0BE1"/>
    <w:rsid w:val="00FA18B6"/>
    <w:rsid w:val="00FA2B84"/>
    <w:rsid w:val="00FA4730"/>
    <w:rsid w:val="00FA65C1"/>
    <w:rsid w:val="00FA76F5"/>
    <w:rsid w:val="00FA7CF4"/>
    <w:rsid w:val="00FB24D7"/>
    <w:rsid w:val="00FB26B0"/>
    <w:rsid w:val="00FB3068"/>
    <w:rsid w:val="00FB3493"/>
    <w:rsid w:val="00FB5E7D"/>
    <w:rsid w:val="00FB6E0F"/>
    <w:rsid w:val="00FC0E3D"/>
    <w:rsid w:val="00FC31AA"/>
    <w:rsid w:val="00FC328B"/>
    <w:rsid w:val="00FC3AF7"/>
    <w:rsid w:val="00FC4C47"/>
    <w:rsid w:val="00FC4DFB"/>
    <w:rsid w:val="00FC6347"/>
    <w:rsid w:val="00FC63D2"/>
    <w:rsid w:val="00FC70B0"/>
    <w:rsid w:val="00FD0302"/>
    <w:rsid w:val="00FD1334"/>
    <w:rsid w:val="00FD34CE"/>
    <w:rsid w:val="00FD6E62"/>
    <w:rsid w:val="00FD7DF1"/>
    <w:rsid w:val="00FE1F6F"/>
    <w:rsid w:val="00FE235D"/>
    <w:rsid w:val="00FE2FD0"/>
    <w:rsid w:val="00FE3E4A"/>
    <w:rsid w:val="00FE4DD1"/>
    <w:rsid w:val="00FE5C1B"/>
    <w:rsid w:val="00FE754E"/>
    <w:rsid w:val="00FE7957"/>
    <w:rsid w:val="00FF0705"/>
    <w:rsid w:val="00FF356C"/>
    <w:rsid w:val="00FF57AD"/>
    <w:rsid w:val="00FF648F"/>
    <w:rsid w:val="00FF735B"/>
    <w:rsid w:val="00FF7581"/>
    <w:rsid w:val="00FF7D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ED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7262"/>
    <w:pPr>
      <w:spacing w:after="160" w:line="259" w:lineRule="auto"/>
    </w:pPr>
    <w:rPr>
      <w:sz w:val="22"/>
      <w:szCs w:val="22"/>
      <w:lang w:val="en-GB"/>
    </w:rPr>
  </w:style>
  <w:style w:type="paragraph" w:styleId="Heading1">
    <w:name w:val="heading 1"/>
    <w:basedOn w:val="Normal"/>
    <w:next w:val="Normal"/>
    <w:link w:val="Heading1Char"/>
    <w:uiPriority w:val="9"/>
    <w:qFormat/>
    <w:rsid w:val="009122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22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122D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2D7"/>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9122D7"/>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9122D7"/>
    <w:rPr>
      <w:rFonts w:ascii="Times New Roman" w:eastAsia="Times New Roman" w:hAnsi="Times New Roman" w:cs="Times New Roman"/>
      <w:b/>
      <w:bCs/>
      <w:sz w:val="27"/>
      <w:szCs w:val="27"/>
      <w:lang w:val="en-GB" w:eastAsia="en-GB"/>
    </w:rPr>
  </w:style>
  <w:style w:type="character" w:styleId="Hyperlink">
    <w:name w:val="Hyperlink"/>
    <w:basedOn w:val="DefaultParagraphFont"/>
    <w:uiPriority w:val="99"/>
    <w:unhideWhenUsed/>
    <w:rsid w:val="009122D7"/>
    <w:rPr>
      <w:color w:val="0563C1" w:themeColor="hyperlink"/>
      <w:u w:val="single"/>
    </w:rPr>
  </w:style>
  <w:style w:type="character" w:styleId="Strong">
    <w:name w:val="Strong"/>
    <w:basedOn w:val="DefaultParagraphFont"/>
    <w:uiPriority w:val="22"/>
    <w:qFormat/>
    <w:rsid w:val="009122D7"/>
    <w:rPr>
      <w:b/>
      <w:bCs/>
    </w:rPr>
  </w:style>
  <w:style w:type="character" w:styleId="HTMLCite">
    <w:name w:val="HTML Cite"/>
    <w:basedOn w:val="DefaultParagraphFont"/>
    <w:uiPriority w:val="99"/>
    <w:semiHidden/>
    <w:unhideWhenUsed/>
    <w:rsid w:val="009122D7"/>
    <w:rPr>
      <w:i/>
      <w:iCs/>
    </w:rPr>
  </w:style>
  <w:style w:type="character" w:customStyle="1" w:styleId="st">
    <w:name w:val="st"/>
    <w:basedOn w:val="DefaultParagraphFont"/>
    <w:rsid w:val="009122D7"/>
  </w:style>
  <w:style w:type="character" w:styleId="Emphasis">
    <w:name w:val="Emphasis"/>
    <w:basedOn w:val="DefaultParagraphFont"/>
    <w:uiPriority w:val="20"/>
    <w:qFormat/>
    <w:rsid w:val="009122D7"/>
    <w:rPr>
      <w:i/>
      <w:iCs/>
    </w:rPr>
  </w:style>
  <w:style w:type="paragraph" w:styleId="NormalWeb">
    <w:name w:val="Normal (Web)"/>
    <w:basedOn w:val="Normal"/>
    <w:uiPriority w:val="99"/>
    <w:unhideWhenUsed/>
    <w:rsid w:val="009122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ment-invisible">
    <w:name w:val="element-invisible"/>
    <w:basedOn w:val="DefaultParagraphFont"/>
    <w:rsid w:val="009122D7"/>
  </w:style>
  <w:style w:type="paragraph" w:customStyle="1" w:styleId="Default">
    <w:name w:val="Default"/>
    <w:rsid w:val="009122D7"/>
    <w:pPr>
      <w:autoSpaceDE w:val="0"/>
      <w:autoSpaceDN w:val="0"/>
      <w:adjustRightInd w:val="0"/>
    </w:pPr>
    <w:rPr>
      <w:rFonts w:ascii="Verdana" w:hAnsi="Verdana" w:cs="Verdana"/>
      <w:color w:val="000000"/>
      <w:lang w:val="en-GB"/>
    </w:rPr>
  </w:style>
  <w:style w:type="paragraph" w:styleId="FootnoteText">
    <w:name w:val="footnote text"/>
    <w:aliases w:val="Footnote reference,FA Fu,Footnote Text Char Char Char Char Char,Footnote Text Char Char Char Char,Footnote Text Char Char Char,Footnote Text Cha,FA Fußnotentext,FA Fu?notentext,Texto nota pie Car,Footnote Text Char Char,FA Fuﬂnotentext,Ca"/>
    <w:basedOn w:val="Normal"/>
    <w:link w:val="FootnoteTextChar"/>
    <w:unhideWhenUsed/>
    <w:rsid w:val="009122D7"/>
    <w:pPr>
      <w:spacing w:after="0" w:line="240" w:lineRule="auto"/>
    </w:pPr>
    <w:rPr>
      <w:sz w:val="20"/>
      <w:szCs w:val="20"/>
    </w:rPr>
  </w:style>
  <w:style w:type="character" w:customStyle="1" w:styleId="FootnoteTextChar">
    <w:name w:val="Footnote Text Char"/>
    <w:aliases w:val="Footnote reference Char,FA Fu Char,Footnote Text Char Char Char Char Char Char,Footnote Text Char Char Char Char Char1,Footnote Text Char Char Char Char1,Footnote Text Cha Char,FA Fußnotentext Char,FA Fu?notentext Char,Ca Char"/>
    <w:basedOn w:val="DefaultParagraphFont"/>
    <w:link w:val="FootnoteText"/>
    <w:rsid w:val="009122D7"/>
    <w:rPr>
      <w:sz w:val="20"/>
      <w:szCs w:val="20"/>
      <w:lang w:val="en-GB"/>
    </w:rPr>
  </w:style>
  <w:style w:type="character" w:styleId="FootnoteReference">
    <w:name w:val="footnote reference"/>
    <w:basedOn w:val="DefaultParagraphFont"/>
    <w:uiPriority w:val="99"/>
    <w:unhideWhenUsed/>
    <w:rsid w:val="009122D7"/>
    <w:rPr>
      <w:vertAlign w:val="superscript"/>
    </w:rPr>
  </w:style>
  <w:style w:type="character" w:styleId="CommentReference">
    <w:name w:val="annotation reference"/>
    <w:basedOn w:val="DefaultParagraphFont"/>
    <w:uiPriority w:val="99"/>
    <w:semiHidden/>
    <w:unhideWhenUsed/>
    <w:rsid w:val="009122D7"/>
    <w:rPr>
      <w:sz w:val="16"/>
      <w:szCs w:val="16"/>
    </w:rPr>
  </w:style>
  <w:style w:type="paragraph" w:styleId="CommentText">
    <w:name w:val="annotation text"/>
    <w:basedOn w:val="Normal"/>
    <w:link w:val="CommentTextChar"/>
    <w:uiPriority w:val="99"/>
    <w:unhideWhenUsed/>
    <w:rsid w:val="009122D7"/>
    <w:pPr>
      <w:spacing w:line="240" w:lineRule="auto"/>
    </w:pPr>
    <w:rPr>
      <w:sz w:val="20"/>
      <w:szCs w:val="20"/>
    </w:rPr>
  </w:style>
  <w:style w:type="character" w:customStyle="1" w:styleId="CommentTextChar">
    <w:name w:val="Comment Text Char"/>
    <w:basedOn w:val="DefaultParagraphFont"/>
    <w:link w:val="CommentText"/>
    <w:uiPriority w:val="99"/>
    <w:rsid w:val="009122D7"/>
    <w:rPr>
      <w:sz w:val="20"/>
      <w:szCs w:val="20"/>
      <w:lang w:val="en-GB"/>
    </w:rPr>
  </w:style>
  <w:style w:type="paragraph" w:styleId="CommentSubject">
    <w:name w:val="annotation subject"/>
    <w:basedOn w:val="CommentText"/>
    <w:next w:val="CommentText"/>
    <w:link w:val="CommentSubjectChar"/>
    <w:uiPriority w:val="99"/>
    <w:semiHidden/>
    <w:unhideWhenUsed/>
    <w:rsid w:val="009122D7"/>
    <w:rPr>
      <w:b/>
      <w:bCs/>
    </w:rPr>
  </w:style>
  <w:style w:type="character" w:customStyle="1" w:styleId="CommentSubjectChar">
    <w:name w:val="Comment Subject Char"/>
    <w:basedOn w:val="CommentTextChar"/>
    <w:link w:val="CommentSubject"/>
    <w:uiPriority w:val="99"/>
    <w:semiHidden/>
    <w:rsid w:val="009122D7"/>
    <w:rPr>
      <w:b/>
      <w:bCs/>
      <w:sz w:val="20"/>
      <w:szCs w:val="20"/>
      <w:lang w:val="en-GB"/>
    </w:rPr>
  </w:style>
  <w:style w:type="paragraph" w:styleId="BalloonText">
    <w:name w:val="Balloon Text"/>
    <w:basedOn w:val="Normal"/>
    <w:link w:val="BalloonTextChar"/>
    <w:uiPriority w:val="99"/>
    <w:semiHidden/>
    <w:unhideWhenUsed/>
    <w:rsid w:val="009122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2D7"/>
    <w:rPr>
      <w:rFonts w:ascii="Segoe UI" w:hAnsi="Segoe UI" w:cs="Segoe UI"/>
      <w:sz w:val="18"/>
      <w:szCs w:val="18"/>
      <w:lang w:val="en-GB"/>
    </w:rPr>
  </w:style>
  <w:style w:type="paragraph" w:styleId="ListParagraph">
    <w:name w:val="List Paragraph"/>
    <w:basedOn w:val="Normal"/>
    <w:uiPriority w:val="34"/>
    <w:qFormat/>
    <w:rsid w:val="00BE15C0"/>
    <w:pPr>
      <w:ind w:left="720"/>
      <w:contextualSpacing/>
    </w:pPr>
  </w:style>
  <w:style w:type="paragraph" w:styleId="Header">
    <w:name w:val="header"/>
    <w:basedOn w:val="Normal"/>
    <w:link w:val="HeaderChar"/>
    <w:uiPriority w:val="99"/>
    <w:unhideWhenUsed/>
    <w:rsid w:val="00DC2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214"/>
    <w:rPr>
      <w:sz w:val="22"/>
      <w:szCs w:val="22"/>
      <w:lang w:val="en-GB"/>
    </w:rPr>
  </w:style>
  <w:style w:type="paragraph" w:styleId="Footer">
    <w:name w:val="footer"/>
    <w:basedOn w:val="Normal"/>
    <w:link w:val="FooterChar"/>
    <w:uiPriority w:val="99"/>
    <w:unhideWhenUsed/>
    <w:rsid w:val="00DC2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2214"/>
    <w:rPr>
      <w:sz w:val="22"/>
      <w:szCs w:val="22"/>
      <w:lang w:val="en-GB"/>
    </w:rPr>
  </w:style>
  <w:style w:type="paragraph" w:styleId="Revision">
    <w:name w:val="Revision"/>
    <w:hidden/>
    <w:uiPriority w:val="99"/>
    <w:semiHidden/>
    <w:rsid w:val="00236AD4"/>
    <w:rPr>
      <w:sz w:val="22"/>
      <w:szCs w:val="22"/>
      <w:lang w:val="en-GB"/>
    </w:rPr>
  </w:style>
  <w:style w:type="character" w:styleId="FollowedHyperlink">
    <w:name w:val="FollowedHyperlink"/>
    <w:basedOn w:val="DefaultParagraphFont"/>
    <w:uiPriority w:val="99"/>
    <w:semiHidden/>
    <w:unhideWhenUsed/>
    <w:rsid w:val="00A13B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498530">
      <w:bodyDiv w:val="1"/>
      <w:marLeft w:val="0"/>
      <w:marRight w:val="0"/>
      <w:marTop w:val="0"/>
      <w:marBottom w:val="0"/>
      <w:divBdr>
        <w:top w:val="none" w:sz="0" w:space="0" w:color="auto"/>
        <w:left w:val="none" w:sz="0" w:space="0" w:color="auto"/>
        <w:bottom w:val="none" w:sz="0" w:space="0" w:color="auto"/>
        <w:right w:val="none" w:sz="0" w:space="0" w:color="auto"/>
      </w:divBdr>
      <w:divsChild>
        <w:div w:id="387386279">
          <w:marLeft w:val="0"/>
          <w:marRight w:val="0"/>
          <w:marTop w:val="0"/>
          <w:marBottom w:val="0"/>
          <w:divBdr>
            <w:top w:val="none" w:sz="0" w:space="0" w:color="auto"/>
            <w:left w:val="none" w:sz="0" w:space="0" w:color="auto"/>
            <w:bottom w:val="none" w:sz="0" w:space="0" w:color="auto"/>
            <w:right w:val="none" w:sz="0" w:space="0" w:color="auto"/>
          </w:divBdr>
          <w:divsChild>
            <w:div w:id="586351877">
              <w:marLeft w:val="0"/>
              <w:marRight w:val="0"/>
              <w:marTop w:val="0"/>
              <w:marBottom w:val="0"/>
              <w:divBdr>
                <w:top w:val="none" w:sz="0" w:space="0" w:color="auto"/>
                <w:left w:val="none" w:sz="0" w:space="0" w:color="auto"/>
                <w:bottom w:val="none" w:sz="0" w:space="0" w:color="auto"/>
                <w:right w:val="none" w:sz="0" w:space="0" w:color="auto"/>
              </w:divBdr>
              <w:divsChild>
                <w:div w:id="8112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48692">
      <w:bodyDiv w:val="1"/>
      <w:marLeft w:val="0"/>
      <w:marRight w:val="0"/>
      <w:marTop w:val="0"/>
      <w:marBottom w:val="0"/>
      <w:divBdr>
        <w:top w:val="none" w:sz="0" w:space="0" w:color="auto"/>
        <w:left w:val="none" w:sz="0" w:space="0" w:color="auto"/>
        <w:bottom w:val="none" w:sz="0" w:space="0" w:color="auto"/>
        <w:right w:val="none" w:sz="0" w:space="0" w:color="auto"/>
      </w:divBdr>
      <w:divsChild>
        <w:div w:id="195385527">
          <w:marLeft w:val="0"/>
          <w:marRight w:val="0"/>
          <w:marTop w:val="0"/>
          <w:marBottom w:val="0"/>
          <w:divBdr>
            <w:top w:val="none" w:sz="0" w:space="0" w:color="auto"/>
            <w:left w:val="none" w:sz="0" w:space="0" w:color="auto"/>
            <w:bottom w:val="none" w:sz="0" w:space="0" w:color="auto"/>
            <w:right w:val="none" w:sz="0" w:space="0" w:color="auto"/>
          </w:divBdr>
          <w:divsChild>
            <w:div w:id="1557474648">
              <w:marLeft w:val="0"/>
              <w:marRight w:val="0"/>
              <w:marTop w:val="0"/>
              <w:marBottom w:val="0"/>
              <w:divBdr>
                <w:top w:val="none" w:sz="0" w:space="0" w:color="auto"/>
                <w:left w:val="none" w:sz="0" w:space="0" w:color="auto"/>
                <w:bottom w:val="none" w:sz="0" w:space="0" w:color="auto"/>
                <w:right w:val="none" w:sz="0" w:space="0" w:color="auto"/>
              </w:divBdr>
              <w:divsChild>
                <w:div w:id="4563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4528">
      <w:bodyDiv w:val="1"/>
      <w:marLeft w:val="0"/>
      <w:marRight w:val="0"/>
      <w:marTop w:val="0"/>
      <w:marBottom w:val="0"/>
      <w:divBdr>
        <w:top w:val="none" w:sz="0" w:space="0" w:color="auto"/>
        <w:left w:val="none" w:sz="0" w:space="0" w:color="auto"/>
        <w:bottom w:val="none" w:sz="0" w:space="0" w:color="auto"/>
        <w:right w:val="none" w:sz="0" w:space="0" w:color="auto"/>
      </w:divBdr>
    </w:div>
    <w:div w:id="612052304">
      <w:bodyDiv w:val="1"/>
      <w:marLeft w:val="0"/>
      <w:marRight w:val="0"/>
      <w:marTop w:val="0"/>
      <w:marBottom w:val="0"/>
      <w:divBdr>
        <w:top w:val="none" w:sz="0" w:space="0" w:color="auto"/>
        <w:left w:val="none" w:sz="0" w:space="0" w:color="auto"/>
        <w:bottom w:val="none" w:sz="0" w:space="0" w:color="auto"/>
        <w:right w:val="none" w:sz="0" w:space="0" w:color="auto"/>
      </w:divBdr>
    </w:div>
    <w:div w:id="624044676">
      <w:bodyDiv w:val="1"/>
      <w:marLeft w:val="0"/>
      <w:marRight w:val="0"/>
      <w:marTop w:val="0"/>
      <w:marBottom w:val="0"/>
      <w:divBdr>
        <w:top w:val="none" w:sz="0" w:space="0" w:color="auto"/>
        <w:left w:val="none" w:sz="0" w:space="0" w:color="auto"/>
        <w:bottom w:val="none" w:sz="0" w:space="0" w:color="auto"/>
        <w:right w:val="none" w:sz="0" w:space="0" w:color="auto"/>
      </w:divBdr>
    </w:div>
    <w:div w:id="661200058">
      <w:bodyDiv w:val="1"/>
      <w:marLeft w:val="0"/>
      <w:marRight w:val="0"/>
      <w:marTop w:val="0"/>
      <w:marBottom w:val="0"/>
      <w:divBdr>
        <w:top w:val="none" w:sz="0" w:space="0" w:color="auto"/>
        <w:left w:val="none" w:sz="0" w:space="0" w:color="auto"/>
        <w:bottom w:val="none" w:sz="0" w:space="0" w:color="auto"/>
        <w:right w:val="none" w:sz="0" w:space="0" w:color="auto"/>
      </w:divBdr>
      <w:divsChild>
        <w:div w:id="1054428266">
          <w:marLeft w:val="0"/>
          <w:marRight w:val="0"/>
          <w:marTop w:val="0"/>
          <w:marBottom w:val="0"/>
          <w:divBdr>
            <w:top w:val="none" w:sz="0" w:space="0" w:color="auto"/>
            <w:left w:val="none" w:sz="0" w:space="0" w:color="auto"/>
            <w:bottom w:val="none" w:sz="0" w:space="0" w:color="auto"/>
            <w:right w:val="none" w:sz="0" w:space="0" w:color="auto"/>
          </w:divBdr>
          <w:divsChild>
            <w:div w:id="1754202377">
              <w:marLeft w:val="0"/>
              <w:marRight w:val="0"/>
              <w:marTop w:val="0"/>
              <w:marBottom w:val="0"/>
              <w:divBdr>
                <w:top w:val="none" w:sz="0" w:space="0" w:color="auto"/>
                <w:left w:val="none" w:sz="0" w:space="0" w:color="auto"/>
                <w:bottom w:val="none" w:sz="0" w:space="0" w:color="auto"/>
                <w:right w:val="none" w:sz="0" w:space="0" w:color="auto"/>
              </w:divBdr>
              <w:divsChild>
                <w:div w:id="1977953699">
                  <w:marLeft w:val="0"/>
                  <w:marRight w:val="0"/>
                  <w:marTop w:val="0"/>
                  <w:marBottom w:val="0"/>
                  <w:divBdr>
                    <w:top w:val="none" w:sz="0" w:space="0" w:color="auto"/>
                    <w:left w:val="none" w:sz="0" w:space="0" w:color="auto"/>
                    <w:bottom w:val="none" w:sz="0" w:space="0" w:color="auto"/>
                    <w:right w:val="none" w:sz="0" w:space="0" w:color="auto"/>
                  </w:divBdr>
                  <w:divsChild>
                    <w:div w:id="87531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120650">
      <w:bodyDiv w:val="1"/>
      <w:marLeft w:val="0"/>
      <w:marRight w:val="0"/>
      <w:marTop w:val="0"/>
      <w:marBottom w:val="0"/>
      <w:divBdr>
        <w:top w:val="none" w:sz="0" w:space="0" w:color="auto"/>
        <w:left w:val="none" w:sz="0" w:space="0" w:color="auto"/>
        <w:bottom w:val="none" w:sz="0" w:space="0" w:color="auto"/>
        <w:right w:val="none" w:sz="0" w:space="0" w:color="auto"/>
      </w:divBdr>
      <w:divsChild>
        <w:div w:id="1834175265">
          <w:marLeft w:val="0"/>
          <w:marRight w:val="0"/>
          <w:marTop w:val="0"/>
          <w:marBottom w:val="0"/>
          <w:divBdr>
            <w:top w:val="none" w:sz="0" w:space="0" w:color="auto"/>
            <w:left w:val="none" w:sz="0" w:space="0" w:color="auto"/>
            <w:bottom w:val="none" w:sz="0" w:space="0" w:color="auto"/>
            <w:right w:val="none" w:sz="0" w:space="0" w:color="auto"/>
          </w:divBdr>
          <w:divsChild>
            <w:div w:id="712921814">
              <w:marLeft w:val="0"/>
              <w:marRight w:val="0"/>
              <w:marTop w:val="0"/>
              <w:marBottom w:val="0"/>
              <w:divBdr>
                <w:top w:val="none" w:sz="0" w:space="0" w:color="auto"/>
                <w:left w:val="none" w:sz="0" w:space="0" w:color="auto"/>
                <w:bottom w:val="none" w:sz="0" w:space="0" w:color="auto"/>
                <w:right w:val="none" w:sz="0" w:space="0" w:color="auto"/>
              </w:divBdr>
              <w:divsChild>
                <w:div w:id="2018997574">
                  <w:marLeft w:val="0"/>
                  <w:marRight w:val="0"/>
                  <w:marTop w:val="0"/>
                  <w:marBottom w:val="0"/>
                  <w:divBdr>
                    <w:top w:val="none" w:sz="0" w:space="0" w:color="auto"/>
                    <w:left w:val="none" w:sz="0" w:space="0" w:color="auto"/>
                    <w:bottom w:val="none" w:sz="0" w:space="0" w:color="auto"/>
                    <w:right w:val="none" w:sz="0" w:space="0" w:color="auto"/>
                  </w:divBdr>
                  <w:divsChild>
                    <w:div w:id="130431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8578">
      <w:bodyDiv w:val="1"/>
      <w:marLeft w:val="0"/>
      <w:marRight w:val="0"/>
      <w:marTop w:val="0"/>
      <w:marBottom w:val="0"/>
      <w:divBdr>
        <w:top w:val="none" w:sz="0" w:space="0" w:color="auto"/>
        <w:left w:val="none" w:sz="0" w:space="0" w:color="auto"/>
        <w:bottom w:val="none" w:sz="0" w:space="0" w:color="auto"/>
        <w:right w:val="none" w:sz="0" w:space="0" w:color="auto"/>
      </w:divBdr>
      <w:divsChild>
        <w:div w:id="1885173340">
          <w:marLeft w:val="0"/>
          <w:marRight w:val="0"/>
          <w:marTop w:val="0"/>
          <w:marBottom w:val="0"/>
          <w:divBdr>
            <w:top w:val="none" w:sz="0" w:space="0" w:color="auto"/>
            <w:left w:val="none" w:sz="0" w:space="0" w:color="auto"/>
            <w:bottom w:val="none" w:sz="0" w:space="0" w:color="auto"/>
            <w:right w:val="none" w:sz="0" w:space="0" w:color="auto"/>
          </w:divBdr>
          <w:divsChild>
            <w:div w:id="65537708">
              <w:marLeft w:val="0"/>
              <w:marRight w:val="0"/>
              <w:marTop w:val="0"/>
              <w:marBottom w:val="0"/>
              <w:divBdr>
                <w:top w:val="none" w:sz="0" w:space="0" w:color="auto"/>
                <w:left w:val="none" w:sz="0" w:space="0" w:color="auto"/>
                <w:bottom w:val="none" w:sz="0" w:space="0" w:color="auto"/>
                <w:right w:val="none" w:sz="0" w:space="0" w:color="auto"/>
              </w:divBdr>
              <w:divsChild>
                <w:div w:id="18166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18049">
      <w:bodyDiv w:val="1"/>
      <w:marLeft w:val="0"/>
      <w:marRight w:val="0"/>
      <w:marTop w:val="0"/>
      <w:marBottom w:val="0"/>
      <w:divBdr>
        <w:top w:val="none" w:sz="0" w:space="0" w:color="auto"/>
        <w:left w:val="none" w:sz="0" w:space="0" w:color="auto"/>
        <w:bottom w:val="none" w:sz="0" w:space="0" w:color="auto"/>
        <w:right w:val="none" w:sz="0" w:space="0" w:color="auto"/>
      </w:divBdr>
    </w:div>
    <w:div w:id="206321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www.ohchr.org/Documents/Publications/GuidingPrinciplesBusinessHR_EN.pdf" TargetMode="External"/><Relationship Id="rId4" Type="http://schemas.openxmlformats.org/officeDocument/2006/relationships/hyperlink" Target="http://www.foleyhoag.com/publications/ebooks-and-white-papers/2010/may/implementing-a-corporate-free-prior-and-informed-consent-policy" TargetMode="External"/><Relationship Id="rId5" Type="http://schemas.openxmlformats.org/officeDocument/2006/relationships/hyperlink" Target="http://www.cepal.org/en/publications/guaranteeing-indigenous-peoples-rights-latin-america-progress-past-decade-and-remaining" TargetMode="External"/><Relationship Id="rId6" Type="http://schemas.openxmlformats.org/officeDocument/2006/relationships/hyperlink" Target="http://ap.ohchr.org/documents/E/HRC/resolutions/A_HRC_RES_6_36.pdf" TargetMode="External"/><Relationship Id="rId7" Type="http://schemas.openxmlformats.org/officeDocument/2006/relationships/hyperlink" Target="https://business-humanrights.org/sites/default/files/documents/CIDSE_Study_Primacy_HR_Trade_%26_Investment_Policies_March_2017.pdf" TargetMode="External"/><Relationship Id="rId1" Type="http://schemas.openxmlformats.org/officeDocument/2006/relationships/hyperlink" Target="SSRN:%20https://ssrn.com/abstract=2876760" TargetMode="External"/><Relationship Id="rId2" Type="http://schemas.openxmlformats.org/officeDocument/2006/relationships/hyperlink" Target="https://www.oecd.org/corporate/mne/480043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F6F180F-CF09-AD43-B19F-1EC7E481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13966</Words>
  <Characters>79608</Characters>
  <Application>Microsoft Macintosh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2017-01-12T16:25:00Z</cp:lastPrinted>
  <dcterms:created xsi:type="dcterms:W3CDTF">2018-01-24T18:14:00Z</dcterms:created>
  <dcterms:modified xsi:type="dcterms:W3CDTF">2018-01-24T18:14:00Z</dcterms:modified>
</cp:coreProperties>
</file>