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541AE" w14:textId="1EE96675" w:rsidR="00BA471B" w:rsidRPr="00923727" w:rsidRDefault="00781629" w:rsidP="006B767B">
      <w:pPr>
        <w:tabs>
          <w:tab w:val="center" w:pos="4513"/>
          <w:tab w:val="left" w:pos="8340"/>
        </w:tabs>
        <w:spacing w:after="0" w:line="240" w:lineRule="auto"/>
        <w:jc w:val="center"/>
        <w:rPr>
          <w:rFonts w:ascii="Times New Roman" w:hAnsi="Times New Roman" w:cs="Times New Roman"/>
          <w:sz w:val="32"/>
          <w:szCs w:val="24"/>
          <w:lang w:val="en-GB"/>
        </w:rPr>
      </w:pPr>
      <w:bookmarkStart w:id="0" w:name="_GoBack"/>
      <w:bookmarkEnd w:id="0"/>
      <w:r w:rsidRPr="000F052B">
        <w:rPr>
          <w:rFonts w:ascii="Times New Roman" w:hAnsi="Times New Roman" w:cs="Times New Roman"/>
          <w:b/>
          <w:sz w:val="32"/>
          <w:szCs w:val="36"/>
          <w:lang w:val="en-US"/>
        </w:rPr>
        <w:t>B</w:t>
      </w:r>
      <w:r w:rsidR="00BA471B" w:rsidRPr="000F052B">
        <w:rPr>
          <w:rFonts w:ascii="Times New Roman" w:hAnsi="Times New Roman" w:cs="Times New Roman"/>
          <w:b/>
          <w:sz w:val="32"/>
          <w:szCs w:val="36"/>
          <w:lang w:val="en-US"/>
        </w:rPr>
        <w:t>eyond Common Law:</w:t>
      </w:r>
    </w:p>
    <w:p w14:paraId="1AFE2697" w14:textId="4684596A" w:rsidR="00772C27" w:rsidRPr="000F052B" w:rsidRDefault="00BA471B" w:rsidP="006B767B">
      <w:pPr>
        <w:spacing w:after="0" w:line="240" w:lineRule="auto"/>
        <w:jc w:val="center"/>
        <w:rPr>
          <w:rFonts w:ascii="Times New Roman" w:hAnsi="Times New Roman" w:cs="Times New Roman"/>
          <w:b/>
          <w:sz w:val="32"/>
          <w:szCs w:val="36"/>
          <w:lang w:val="en-US"/>
        </w:rPr>
      </w:pPr>
      <w:r w:rsidRPr="000F052B">
        <w:rPr>
          <w:rFonts w:ascii="Times New Roman" w:hAnsi="Times New Roman" w:cs="Times New Roman"/>
          <w:b/>
          <w:sz w:val="32"/>
          <w:szCs w:val="36"/>
          <w:lang w:val="en-US"/>
        </w:rPr>
        <w:t xml:space="preserve">Contractual Privity </w:t>
      </w:r>
    </w:p>
    <w:p w14:paraId="24FA16A3" w14:textId="231B1DC3" w:rsidR="00781629" w:rsidRPr="000F052B" w:rsidRDefault="00781629" w:rsidP="006B767B">
      <w:pPr>
        <w:spacing w:after="0" w:line="240" w:lineRule="auto"/>
        <w:jc w:val="center"/>
        <w:rPr>
          <w:rFonts w:ascii="Times New Roman" w:hAnsi="Times New Roman" w:cs="Times New Roman"/>
          <w:b/>
          <w:sz w:val="32"/>
          <w:szCs w:val="36"/>
          <w:lang w:val="en-US"/>
        </w:rPr>
      </w:pPr>
      <w:r w:rsidRPr="000F052B">
        <w:rPr>
          <w:rFonts w:ascii="Times New Roman" w:hAnsi="Times New Roman" w:cs="Times New Roman"/>
          <w:b/>
          <w:sz w:val="32"/>
          <w:szCs w:val="36"/>
          <w:lang w:val="en-US"/>
        </w:rPr>
        <w:t xml:space="preserve">in </w:t>
      </w:r>
      <w:r w:rsidR="00B97450" w:rsidRPr="000F052B">
        <w:rPr>
          <w:rFonts w:ascii="Times New Roman" w:hAnsi="Times New Roman" w:cs="Times New Roman"/>
          <w:b/>
          <w:sz w:val="32"/>
          <w:szCs w:val="36"/>
          <w:lang w:val="en-US"/>
        </w:rPr>
        <w:t>A</w:t>
      </w:r>
      <w:r w:rsidR="00BA471B" w:rsidRPr="000F052B">
        <w:rPr>
          <w:rFonts w:ascii="Times New Roman" w:hAnsi="Times New Roman" w:cs="Times New Roman"/>
          <w:b/>
          <w:sz w:val="32"/>
          <w:szCs w:val="36"/>
          <w:lang w:val="en-US"/>
        </w:rPr>
        <w:t xml:space="preserve">ustralia and South </w:t>
      </w:r>
      <w:r w:rsidR="00B97450" w:rsidRPr="000F052B">
        <w:rPr>
          <w:rFonts w:ascii="Times New Roman" w:hAnsi="Times New Roman" w:cs="Times New Roman"/>
          <w:b/>
          <w:sz w:val="32"/>
          <w:szCs w:val="36"/>
          <w:lang w:val="en-US"/>
        </w:rPr>
        <w:t>Africa</w:t>
      </w:r>
    </w:p>
    <w:p w14:paraId="7EDB1D0A" w14:textId="77777777" w:rsidR="00752F31" w:rsidRPr="00923727" w:rsidRDefault="00752F31" w:rsidP="006B7780">
      <w:pPr>
        <w:tabs>
          <w:tab w:val="center" w:pos="4513"/>
          <w:tab w:val="left" w:pos="8340"/>
        </w:tabs>
        <w:spacing w:after="0" w:line="240" w:lineRule="auto"/>
        <w:jc w:val="center"/>
        <w:rPr>
          <w:rFonts w:ascii="Times New Roman" w:hAnsi="Times New Roman" w:cs="Times New Roman"/>
          <w:sz w:val="24"/>
          <w:szCs w:val="24"/>
          <w:lang w:val="en-GB"/>
        </w:rPr>
      </w:pPr>
    </w:p>
    <w:p w14:paraId="24F46AD3" w14:textId="54027F51" w:rsidR="00B1294D" w:rsidRPr="00A74918" w:rsidRDefault="00B1294D" w:rsidP="006B7780">
      <w:pPr>
        <w:tabs>
          <w:tab w:val="center" w:pos="4513"/>
          <w:tab w:val="left" w:pos="8340"/>
        </w:tabs>
        <w:spacing w:after="0" w:line="240" w:lineRule="auto"/>
        <w:jc w:val="center"/>
        <w:rPr>
          <w:rFonts w:ascii="Times New Roman" w:hAnsi="Times New Roman" w:cs="Times New Roman"/>
          <w:sz w:val="24"/>
          <w:szCs w:val="24"/>
          <w:lang w:val="it-IT"/>
        </w:rPr>
      </w:pPr>
      <w:r w:rsidRPr="00A74918">
        <w:rPr>
          <w:rFonts w:ascii="Times New Roman" w:hAnsi="Times New Roman" w:cs="Times New Roman"/>
          <w:sz w:val="24"/>
          <w:szCs w:val="24"/>
          <w:lang w:val="it-IT"/>
        </w:rPr>
        <w:t>Andrew Hutchison</w:t>
      </w:r>
      <w:r w:rsidRPr="00A74918">
        <w:rPr>
          <w:rStyle w:val="FootnoteReference"/>
          <w:rFonts w:ascii="Times New Roman" w:hAnsi="Times New Roman" w:cs="Times New Roman"/>
          <w:sz w:val="24"/>
          <w:szCs w:val="24"/>
          <w:lang w:val="it-IT"/>
        </w:rPr>
        <w:footnoteReference w:customMarkFollows="1" w:id="1"/>
        <w:t>*</w:t>
      </w:r>
    </w:p>
    <w:p w14:paraId="4FB2E151" w14:textId="00EBB91C" w:rsidR="00B1294D" w:rsidRPr="00A74918" w:rsidRDefault="00B1294D" w:rsidP="006B7780">
      <w:pPr>
        <w:spacing w:after="0" w:line="240" w:lineRule="auto"/>
        <w:jc w:val="center"/>
        <w:rPr>
          <w:rStyle w:val="FootnoteReference"/>
          <w:rFonts w:ascii="Times New Roman" w:hAnsi="Times New Roman" w:cs="Times New Roman"/>
          <w:sz w:val="24"/>
          <w:szCs w:val="24"/>
          <w:lang w:val="it-IT"/>
        </w:rPr>
      </w:pPr>
      <w:r w:rsidRPr="00A74918">
        <w:rPr>
          <w:rFonts w:ascii="Times New Roman" w:hAnsi="Times New Roman" w:cs="Times New Roman"/>
          <w:sz w:val="24"/>
          <w:szCs w:val="24"/>
          <w:lang w:val="it-IT"/>
        </w:rPr>
        <w:t>Luca Siliquini-Cinelli</w:t>
      </w:r>
      <w:r w:rsidRPr="00A74918">
        <w:rPr>
          <w:rStyle w:val="FootnoteReference"/>
          <w:rFonts w:ascii="Times New Roman" w:hAnsi="Times New Roman" w:cs="Times New Roman"/>
          <w:sz w:val="24"/>
          <w:szCs w:val="24"/>
          <w:lang w:val="it-IT"/>
        </w:rPr>
        <w:footnoteReference w:customMarkFollows="1" w:id="2"/>
        <w:t>**</w:t>
      </w:r>
    </w:p>
    <w:p w14:paraId="6E291EB1" w14:textId="77777777" w:rsidR="006B7780" w:rsidRPr="00A74918" w:rsidRDefault="006B7780" w:rsidP="006B7780">
      <w:pPr>
        <w:spacing w:after="0" w:line="240" w:lineRule="auto"/>
        <w:jc w:val="center"/>
        <w:rPr>
          <w:rFonts w:ascii="Times New Roman" w:hAnsi="Times New Roman" w:cs="Times New Roman"/>
          <w:sz w:val="24"/>
          <w:szCs w:val="24"/>
          <w:lang w:val="it-IT"/>
        </w:rPr>
      </w:pPr>
    </w:p>
    <w:p w14:paraId="2324C585" w14:textId="5B490FF2" w:rsidR="001319F2" w:rsidRPr="000F052B" w:rsidRDefault="00B1294D" w:rsidP="00205AF2">
      <w:pPr>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article </w:t>
      </w:r>
      <w:r w:rsidR="008968F7" w:rsidRPr="000F052B">
        <w:rPr>
          <w:rFonts w:ascii="Times New Roman" w:hAnsi="Times New Roman" w:cs="Times New Roman"/>
          <w:sz w:val="24"/>
          <w:szCs w:val="24"/>
          <w:lang w:val="en-US"/>
        </w:rPr>
        <w:t>provide</w:t>
      </w:r>
      <w:r>
        <w:rPr>
          <w:rFonts w:ascii="Times New Roman" w:hAnsi="Times New Roman" w:cs="Times New Roman"/>
          <w:sz w:val="24"/>
          <w:szCs w:val="24"/>
          <w:lang w:val="en-US"/>
        </w:rPr>
        <w:t>s</w:t>
      </w:r>
      <w:r w:rsidR="008968F7" w:rsidRPr="000F052B">
        <w:rPr>
          <w:rFonts w:ascii="Times New Roman" w:hAnsi="Times New Roman" w:cs="Times New Roman"/>
          <w:sz w:val="24"/>
          <w:szCs w:val="24"/>
          <w:lang w:val="en-US"/>
        </w:rPr>
        <w:t xml:space="preserve"> an unconventional viewpoint on the doctri</w:t>
      </w:r>
      <w:r>
        <w:rPr>
          <w:rFonts w:ascii="Times New Roman" w:hAnsi="Times New Roman" w:cs="Times New Roman"/>
          <w:sz w:val="24"/>
          <w:szCs w:val="24"/>
          <w:lang w:val="en-US"/>
        </w:rPr>
        <w:t>ne of contractual privity.  By “privity”</w:t>
      </w:r>
      <w:r w:rsidR="008968F7" w:rsidRPr="000F052B">
        <w:rPr>
          <w:rFonts w:ascii="Times New Roman" w:hAnsi="Times New Roman" w:cs="Times New Roman"/>
          <w:sz w:val="24"/>
          <w:szCs w:val="24"/>
          <w:lang w:val="en-US"/>
        </w:rPr>
        <w:t xml:space="preserve"> we refer to the idea that only parties to a contract are bound by it and concomitantly </w:t>
      </w:r>
      <w:r w:rsidR="009871B4" w:rsidRPr="000F052B">
        <w:rPr>
          <w:rFonts w:ascii="Times New Roman" w:hAnsi="Times New Roman" w:cs="Times New Roman"/>
          <w:sz w:val="24"/>
          <w:szCs w:val="24"/>
          <w:lang w:val="en-US"/>
        </w:rPr>
        <w:t xml:space="preserve">are </w:t>
      </w:r>
      <w:r w:rsidR="008968F7" w:rsidRPr="000F052B">
        <w:rPr>
          <w:rFonts w:ascii="Times New Roman" w:hAnsi="Times New Roman" w:cs="Times New Roman"/>
          <w:sz w:val="24"/>
          <w:szCs w:val="24"/>
          <w:lang w:val="en-US"/>
        </w:rPr>
        <w:t xml:space="preserve">able to enforce it.  This </w:t>
      </w:r>
      <w:r w:rsidR="006B7780">
        <w:rPr>
          <w:rFonts w:ascii="Times New Roman" w:hAnsi="Times New Roman" w:cs="Times New Roman"/>
          <w:sz w:val="24"/>
          <w:szCs w:val="24"/>
          <w:lang w:val="en-US"/>
        </w:rPr>
        <w:t>proposal,</w:t>
      </w:r>
      <w:r>
        <w:rPr>
          <w:rFonts w:ascii="Times New Roman" w:hAnsi="Times New Roman" w:cs="Times New Roman"/>
          <w:sz w:val="24"/>
          <w:szCs w:val="24"/>
          <w:lang w:val="en-US"/>
        </w:rPr>
        <w:t xml:space="preserve"> a cornerstone</w:t>
      </w:r>
      <w:r w:rsidR="008968F7" w:rsidRPr="000F052B">
        <w:rPr>
          <w:rFonts w:ascii="Times New Roman" w:hAnsi="Times New Roman" w:cs="Times New Roman"/>
          <w:sz w:val="24"/>
          <w:szCs w:val="24"/>
          <w:lang w:val="en-US"/>
        </w:rPr>
        <w:t xml:space="preserve"> of classical contract law,</w:t>
      </w:r>
      <w:r w:rsidR="00597745" w:rsidRPr="000F052B">
        <w:rPr>
          <w:rStyle w:val="FootnoteReference"/>
          <w:rFonts w:ascii="Times New Roman" w:hAnsi="Times New Roman" w:cs="Times New Roman"/>
          <w:sz w:val="24"/>
          <w:szCs w:val="24"/>
          <w:lang w:val="en-US"/>
        </w:rPr>
        <w:footnoteReference w:id="3"/>
      </w:r>
      <w:r w:rsidR="006B7780">
        <w:rPr>
          <w:rFonts w:ascii="Times New Roman" w:hAnsi="Times New Roman" w:cs="Times New Roman"/>
          <w:sz w:val="24"/>
          <w:szCs w:val="24"/>
          <w:lang w:val="en-US"/>
        </w:rPr>
        <w:t xml:space="preserve"> makes problematic</w:t>
      </w:r>
      <w:r w:rsidR="008968F7" w:rsidRPr="000F052B">
        <w:rPr>
          <w:rFonts w:ascii="Times New Roman" w:hAnsi="Times New Roman" w:cs="Times New Roman"/>
          <w:sz w:val="24"/>
          <w:szCs w:val="24"/>
          <w:lang w:val="en-US"/>
        </w:rPr>
        <w:t xml:space="preserve"> multi-party arra</w:t>
      </w:r>
      <w:r w:rsidR="006B7780">
        <w:rPr>
          <w:rFonts w:ascii="Times New Roman" w:hAnsi="Times New Roman" w:cs="Times New Roman"/>
          <w:sz w:val="24"/>
          <w:szCs w:val="24"/>
          <w:lang w:val="en-US"/>
        </w:rPr>
        <w:t>ngements, particularly the much-</w:t>
      </w:r>
      <w:r w:rsidR="008968F7" w:rsidRPr="000F052B">
        <w:rPr>
          <w:rFonts w:ascii="Times New Roman" w:hAnsi="Times New Roman" w:cs="Times New Roman"/>
          <w:sz w:val="24"/>
          <w:szCs w:val="24"/>
          <w:lang w:val="en-US"/>
        </w:rPr>
        <w:t xml:space="preserve">discussed contract for the benefit </w:t>
      </w:r>
      <w:r w:rsidR="006B7780">
        <w:rPr>
          <w:rFonts w:ascii="Times New Roman" w:hAnsi="Times New Roman" w:cs="Times New Roman"/>
          <w:sz w:val="24"/>
          <w:szCs w:val="24"/>
          <w:lang w:val="en-US"/>
        </w:rPr>
        <w:t>of a third person</w:t>
      </w:r>
      <w:r w:rsidR="008968F7" w:rsidRPr="000F052B">
        <w:rPr>
          <w:rFonts w:ascii="Times New Roman" w:hAnsi="Times New Roman" w:cs="Times New Roman"/>
          <w:sz w:val="24"/>
          <w:szCs w:val="24"/>
          <w:lang w:val="en-US"/>
        </w:rPr>
        <w:t>.</w:t>
      </w:r>
      <w:r w:rsidR="006F5F8D" w:rsidRPr="000F052B">
        <w:rPr>
          <w:rFonts w:ascii="Times New Roman" w:hAnsi="Times New Roman" w:cs="Times New Roman"/>
          <w:sz w:val="24"/>
          <w:szCs w:val="24"/>
          <w:lang w:val="en-US"/>
        </w:rPr>
        <w:t xml:space="preserve">  The latter is the most common exception to the doctrine of privity – </w:t>
      </w:r>
      <w:r w:rsidR="00FD0C31" w:rsidRPr="000F052B">
        <w:rPr>
          <w:rFonts w:ascii="Times New Roman" w:hAnsi="Times New Roman" w:cs="Times New Roman"/>
          <w:sz w:val="24"/>
          <w:szCs w:val="24"/>
          <w:lang w:val="en-US"/>
        </w:rPr>
        <w:t>recognized</w:t>
      </w:r>
      <w:r w:rsidR="006F5F8D" w:rsidRPr="000F052B">
        <w:rPr>
          <w:rFonts w:ascii="Times New Roman" w:hAnsi="Times New Roman" w:cs="Times New Roman"/>
          <w:sz w:val="24"/>
          <w:szCs w:val="24"/>
          <w:lang w:val="en-US"/>
        </w:rPr>
        <w:t xml:space="preserve"> </w:t>
      </w:r>
      <w:r w:rsidR="0035606D">
        <w:rPr>
          <w:rFonts w:ascii="Times New Roman" w:hAnsi="Times New Roman" w:cs="Times New Roman"/>
          <w:sz w:val="24"/>
          <w:szCs w:val="24"/>
          <w:lang w:val="en-US"/>
        </w:rPr>
        <w:t>in most C</w:t>
      </w:r>
      <w:r w:rsidR="00CD4E1A" w:rsidRPr="000F052B">
        <w:rPr>
          <w:rFonts w:ascii="Times New Roman" w:hAnsi="Times New Roman" w:cs="Times New Roman"/>
          <w:sz w:val="24"/>
          <w:szCs w:val="24"/>
          <w:lang w:val="en-US"/>
        </w:rPr>
        <w:t>ivil law</w:t>
      </w:r>
      <w:r w:rsidR="002D70AD">
        <w:rPr>
          <w:rStyle w:val="FootnoteReference"/>
          <w:rFonts w:ascii="Times New Roman" w:hAnsi="Times New Roman" w:cs="Times New Roman"/>
          <w:sz w:val="24"/>
          <w:szCs w:val="24"/>
          <w:lang w:val="en-US"/>
        </w:rPr>
        <w:footnoteReference w:id="4"/>
      </w:r>
      <w:r w:rsidR="00CD4E1A" w:rsidRPr="000F052B">
        <w:rPr>
          <w:rFonts w:ascii="Times New Roman" w:hAnsi="Times New Roman" w:cs="Times New Roman"/>
          <w:sz w:val="24"/>
          <w:szCs w:val="24"/>
          <w:lang w:val="en-US"/>
        </w:rPr>
        <w:t xml:space="preserve"> and</w:t>
      </w:r>
      <w:r w:rsidR="006F5F8D" w:rsidRPr="000F052B">
        <w:rPr>
          <w:rFonts w:ascii="Times New Roman" w:hAnsi="Times New Roman" w:cs="Times New Roman"/>
          <w:sz w:val="24"/>
          <w:szCs w:val="24"/>
          <w:lang w:val="en-US"/>
        </w:rPr>
        <w:t xml:space="preserve"> mixed jurisdictions for many years, but traditionally a sticking point in Common law systems,</w:t>
      </w:r>
      <w:r w:rsidR="001319F2" w:rsidRPr="000F052B">
        <w:rPr>
          <w:rStyle w:val="FootnoteReference"/>
          <w:rFonts w:ascii="Times New Roman" w:hAnsi="Times New Roman" w:cs="Times New Roman"/>
          <w:sz w:val="24"/>
          <w:szCs w:val="24"/>
          <w:lang w:val="en-US"/>
        </w:rPr>
        <w:footnoteReference w:id="5"/>
      </w:r>
      <w:r w:rsidR="006B7780">
        <w:rPr>
          <w:rFonts w:ascii="Times New Roman" w:hAnsi="Times New Roman" w:cs="Times New Roman"/>
          <w:sz w:val="24"/>
          <w:szCs w:val="24"/>
          <w:lang w:val="en-US"/>
        </w:rPr>
        <w:t xml:space="preserve"> by reason of</w:t>
      </w:r>
      <w:r w:rsidR="006F5F8D" w:rsidRPr="000F052B">
        <w:rPr>
          <w:rFonts w:ascii="Times New Roman" w:hAnsi="Times New Roman" w:cs="Times New Roman"/>
          <w:sz w:val="24"/>
          <w:szCs w:val="24"/>
          <w:lang w:val="en-US"/>
        </w:rPr>
        <w:t xml:space="preserve"> t</w:t>
      </w:r>
      <w:r w:rsidR="001319F2" w:rsidRPr="000F052B">
        <w:rPr>
          <w:rFonts w:ascii="Times New Roman" w:hAnsi="Times New Roman" w:cs="Times New Roman"/>
          <w:sz w:val="24"/>
          <w:szCs w:val="24"/>
          <w:lang w:val="en-US"/>
        </w:rPr>
        <w:t>he bargain theory of contract.</w:t>
      </w:r>
      <w:r w:rsidR="006B7780">
        <w:rPr>
          <w:rFonts w:ascii="Times New Roman" w:hAnsi="Times New Roman" w:cs="Times New Roman"/>
          <w:sz w:val="24"/>
          <w:szCs w:val="24"/>
          <w:lang w:val="en-US"/>
        </w:rPr>
        <w:t xml:space="preserve">  Although</w:t>
      </w:r>
      <w:r w:rsidR="002D70AD">
        <w:rPr>
          <w:rFonts w:ascii="Times New Roman" w:hAnsi="Times New Roman" w:cs="Times New Roman"/>
          <w:sz w:val="24"/>
          <w:szCs w:val="24"/>
          <w:lang w:val="en-US"/>
        </w:rPr>
        <w:t xml:space="preserve"> </w:t>
      </w:r>
      <w:r w:rsidR="002D70AD">
        <w:rPr>
          <w:rFonts w:ascii="Times New Roman" w:hAnsi="Times New Roman" w:cs="Times New Roman"/>
          <w:sz w:val="24"/>
          <w:szCs w:val="24"/>
          <w:lang w:val="en-US"/>
        </w:rPr>
        <w:lastRenderedPageBreak/>
        <w:t>the bargain theory of contract is not universally accepted amongst commentators</w:t>
      </w:r>
      <w:r w:rsidR="00826472">
        <w:rPr>
          <w:rFonts w:ascii="Times New Roman" w:hAnsi="Times New Roman" w:cs="Times New Roman"/>
          <w:sz w:val="24"/>
          <w:szCs w:val="24"/>
          <w:lang w:val="en-US"/>
        </w:rPr>
        <w:t xml:space="preserve">, it does account for the classical requirements of privity and consideration which </w:t>
      </w:r>
      <w:r w:rsidR="00212AED">
        <w:rPr>
          <w:rFonts w:ascii="Times New Roman" w:hAnsi="Times New Roman" w:cs="Times New Roman"/>
          <w:sz w:val="24"/>
          <w:szCs w:val="24"/>
          <w:lang w:val="en-US"/>
        </w:rPr>
        <w:t xml:space="preserve">historically had </w:t>
      </w:r>
      <w:r w:rsidR="00826472">
        <w:rPr>
          <w:rFonts w:ascii="Times New Roman" w:hAnsi="Times New Roman" w:cs="Times New Roman"/>
          <w:sz w:val="24"/>
          <w:szCs w:val="24"/>
          <w:lang w:val="en-US"/>
        </w:rPr>
        <w:t xml:space="preserve">typified English contract law – </w:t>
      </w:r>
      <w:r w:rsidR="001D351C">
        <w:rPr>
          <w:rFonts w:ascii="Times New Roman" w:hAnsi="Times New Roman" w:cs="Times New Roman"/>
          <w:sz w:val="24"/>
          <w:szCs w:val="24"/>
          <w:lang w:val="en-US"/>
        </w:rPr>
        <w:t xml:space="preserve">a </w:t>
      </w:r>
      <w:r w:rsidR="000665DD">
        <w:rPr>
          <w:rFonts w:ascii="Times New Roman" w:hAnsi="Times New Roman" w:cs="Times New Roman"/>
          <w:sz w:val="24"/>
          <w:szCs w:val="24"/>
          <w:lang w:val="en-US"/>
        </w:rPr>
        <w:t>common ancestor</w:t>
      </w:r>
      <w:r w:rsidR="001D351C">
        <w:rPr>
          <w:rFonts w:ascii="Times New Roman" w:hAnsi="Times New Roman" w:cs="Times New Roman"/>
          <w:sz w:val="24"/>
          <w:szCs w:val="24"/>
          <w:lang w:val="en-US"/>
        </w:rPr>
        <w:t xml:space="preserve"> of both</w:t>
      </w:r>
      <w:r w:rsidR="00826472">
        <w:rPr>
          <w:rFonts w:ascii="Times New Roman" w:hAnsi="Times New Roman" w:cs="Times New Roman"/>
          <w:sz w:val="24"/>
          <w:szCs w:val="24"/>
          <w:lang w:val="en-US"/>
        </w:rPr>
        <w:t xml:space="preserve"> our target systems – until the promulgation of the Contracts (Rights of Third Parties) </w:t>
      </w:r>
      <w:r w:rsidR="006B7780">
        <w:rPr>
          <w:rFonts w:ascii="Times New Roman" w:hAnsi="Times New Roman" w:cs="Times New Roman"/>
          <w:sz w:val="24"/>
          <w:szCs w:val="24"/>
          <w:lang w:val="en-US"/>
        </w:rPr>
        <w:t>Act 1999.  In English law this statute codified</w:t>
      </w:r>
      <w:r w:rsidR="00826472">
        <w:rPr>
          <w:rFonts w:ascii="Times New Roman" w:hAnsi="Times New Roman" w:cs="Times New Roman"/>
          <w:sz w:val="24"/>
          <w:szCs w:val="24"/>
          <w:lang w:val="en-US"/>
        </w:rPr>
        <w:t xml:space="preserve"> </w:t>
      </w:r>
      <w:r w:rsidR="001D351C">
        <w:rPr>
          <w:rFonts w:ascii="Times New Roman" w:hAnsi="Times New Roman" w:cs="Times New Roman"/>
          <w:sz w:val="24"/>
          <w:szCs w:val="24"/>
          <w:lang w:val="en-US"/>
        </w:rPr>
        <w:t xml:space="preserve">the law on privity of contract and obviates </w:t>
      </w:r>
      <w:r w:rsidR="00212AED">
        <w:rPr>
          <w:rFonts w:ascii="Times New Roman" w:hAnsi="Times New Roman" w:cs="Times New Roman"/>
          <w:sz w:val="24"/>
          <w:szCs w:val="24"/>
          <w:lang w:val="en-US"/>
        </w:rPr>
        <w:t xml:space="preserve">much of </w:t>
      </w:r>
      <w:r w:rsidR="006B7780">
        <w:rPr>
          <w:rFonts w:ascii="Times New Roman" w:hAnsi="Times New Roman" w:cs="Times New Roman"/>
          <w:sz w:val="24"/>
          <w:szCs w:val="24"/>
          <w:lang w:val="en-US"/>
        </w:rPr>
        <w:t>the need to discuss the</w:t>
      </w:r>
      <w:r w:rsidR="001D351C">
        <w:rPr>
          <w:rFonts w:ascii="Times New Roman" w:hAnsi="Times New Roman" w:cs="Times New Roman"/>
          <w:sz w:val="24"/>
          <w:szCs w:val="24"/>
          <w:lang w:val="en-US"/>
        </w:rPr>
        <w:t xml:space="preserve"> exceptions to privity which had previously been recognized in that system.</w:t>
      </w:r>
      <w:r w:rsidR="00826472">
        <w:rPr>
          <w:rFonts w:ascii="Times New Roman" w:hAnsi="Times New Roman" w:cs="Times New Roman"/>
          <w:sz w:val="24"/>
          <w:szCs w:val="24"/>
          <w:lang w:val="en-US"/>
        </w:rPr>
        <w:t xml:space="preserve">  </w:t>
      </w:r>
      <w:r w:rsidR="001319F2" w:rsidRPr="000F052B">
        <w:rPr>
          <w:rFonts w:ascii="Times New Roman" w:hAnsi="Times New Roman" w:cs="Times New Roman"/>
          <w:sz w:val="24"/>
          <w:szCs w:val="24"/>
          <w:lang w:val="en-US"/>
        </w:rPr>
        <w:t xml:space="preserve"> </w:t>
      </w:r>
    </w:p>
    <w:p w14:paraId="1A0F204A" w14:textId="405C9D02" w:rsidR="001B0BA0" w:rsidRPr="000F052B" w:rsidRDefault="001D351C" w:rsidP="001319F2">
      <w:pPr>
        <w:spacing w:after="120" w:line="48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CD4E1A" w:rsidRPr="000F052B">
        <w:rPr>
          <w:rFonts w:ascii="Times New Roman" w:hAnsi="Times New Roman" w:cs="Times New Roman"/>
          <w:sz w:val="24"/>
          <w:szCs w:val="24"/>
          <w:lang w:val="en-US"/>
        </w:rPr>
        <w:t>ur analysis</w:t>
      </w:r>
      <w:r w:rsidR="006B7780">
        <w:rPr>
          <w:rFonts w:ascii="Times New Roman" w:hAnsi="Times New Roman" w:cs="Times New Roman"/>
          <w:sz w:val="24"/>
          <w:szCs w:val="24"/>
          <w:lang w:val="en-US"/>
        </w:rPr>
        <w:t xml:space="preserve"> will juxtapose </w:t>
      </w:r>
      <w:r w:rsidR="006F5F8D" w:rsidRPr="000F052B">
        <w:rPr>
          <w:rFonts w:ascii="Times New Roman" w:hAnsi="Times New Roman" w:cs="Times New Roman"/>
          <w:sz w:val="24"/>
          <w:szCs w:val="24"/>
          <w:lang w:val="en-US"/>
        </w:rPr>
        <w:t>Australia</w:t>
      </w:r>
      <w:r w:rsidR="00CD4E1A" w:rsidRPr="000F052B">
        <w:rPr>
          <w:rFonts w:ascii="Times New Roman" w:hAnsi="Times New Roman" w:cs="Times New Roman"/>
          <w:sz w:val="24"/>
          <w:szCs w:val="24"/>
          <w:lang w:val="en-US"/>
        </w:rPr>
        <w:t xml:space="preserve"> and South Africa</w:t>
      </w:r>
      <w:r w:rsidR="006B7780">
        <w:rPr>
          <w:rFonts w:ascii="Times New Roman" w:hAnsi="Times New Roman" w:cs="Times New Roman"/>
          <w:sz w:val="24"/>
          <w:szCs w:val="24"/>
          <w:lang w:val="en-US"/>
        </w:rPr>
        <w:t>.</w:t>
      </w:r>
      <w:r w:rsidR="006F5F8D" w:rsidRPr="000F052B">
        <w:rPr>
          <w:rFonts w:ascii="Times New Roman" w:hAnsi="Times New Roman" w:cs="Times New Roman"/>
          <w:sz w:val="24"/>
          <w:szCs w:val="24"/>
          <w:lang w:val="en-US"/>
        </w:rPr>
        <w:t xml:space="preserve"> The first mentioned</w:t>
      </w:r>
      <w:r w:rsidR="006B7780">
        <w:rPr>
          <w:rFonts w:ascii="Times New Roman" w:hAnsi="Times New Roman" w:cs="Times New Roman"/>
          <w:sz w:val="24"/>
          <w:szCs w:val="24"/>
          <w:lang w:val="en-US"/>
        </w:rPr>
        <w:t xml:space="preserve">, </w:t>
      </w:r>
      <w:r w:rsidR="00CD4E1A" w:rsidRPr="000F052B">
        <w:rPr>
          <w:rFonts w:ascii="Times New Roman" w:hAnsi="Times New Roman" w:cs="Times New Roman"/>
          <w:sz w:val="24"/>
          <w:szCs w:val="24"/>
          <w:lang w:val="en-US"/>
        </w:rPr>
        <w:t xml:space="preserve">strongly </w:t>
      </w:r>
      <w:r w:rsidR="00FD0C31" w:rsidRPr="000F052B">
        <w:rPr>
          <w:rFonts w:ascii="Times New Roman" w:hAnsi="Times New Roman" w:cs="Times New Roman"/>
          <w:sz w:val="24"/>
          <w:szCs w:val="24"/>
          <w:lang w:val="en-US"/>
        </w:rPr>
        <w:t>molded</w:t>
      </w:r>
      <w:r w:rsidR="00CD4E1A" w:rsidRPr="000F052B">
        <w:rPr>
          <w:rFonts w:ascii="Times New Roman" w:hAnsi="Times New Roman" w:cs="Times New Roman"/>
          <w:sz w:val="24"/>
          <w:szCs w:val="24"/>
          <w:lang w:val="en-US"/>
        </w:rPr>
        <w:t xml:space="preserve"> by its Common law roots,</w:t>
      </w:r>
      <w:r w:rsidR="006B7780">
        <w:rPr>
          <w:rFonts w:ascii="Times New Roman" w:hAnsi="Times New Roman" w:cs="Times New Roman"/>
          <w:sz w:val="24"/>
          <w:szCs w:val="24"/>
          <w:lang w:val="en-US"/>
        </w:rPr>
        <w:t xml:space="preserve"> </w:t>
      </w:r>
      <w:r w:rsidR="006D36F7" w:rsidRPr="000F052B">
        <w:rPr>
          <w:rFonts w:ascii="Times New Roman" w:hAnsi="Times New Roman" w:cs="Times New Roman"/>
          <w:sz w:val="24"/>
          <w:szCs w:val="24"/>
          <w:lang w:val="en-US"/>
        </w:rPr>
        <w:t>displays nuanced statutory developments which embellish the law of contract</w:t>
      </w:r>
      <w:r w:rsidR="003D71D4">
        <w:rPr>
          <w:rFonts w:ascii="Times New Roman" w:hAnsi="Times New Roman" w:cs="Times New Roman"/>
          <w:sz w:val="24"/>
          <w:szCs w:val="24"/>
          <w:lang w:val="en-US"/>
        </w:rPr>
        <w:t xml:space="preserve"> </w:t>
      </w:r>
      <w:r w:rsidR="003D71D4" w:rsidRPr="003D71D4">
        <w:rPr>
          <w:rFonts w:ascii="Times New Roman" w:hAnsi="Times New Roman" w:cs="Times New Roman"/>
          <w:sz w:val="24"/>
          <w:szCs w:val="24"/>
          <w:lang w:val="en-US"/>
        </w:rPr>
        <w:t>and has been showing, since the late 1980s, an increasing interest in a relational understanding of contracting</w:t>
      </w:r>
      <w:r w:rsidR="006D36F7" w:rsidRPr="000F052B">
        <w:rPr>
          <w:rFonts w:ascii="Times New Roman" w:hAnsi="Times New Roman" w:cs="Times New Roman"/>
          <w:sz w:val="24"/>
          <w:szCs w:val="24"/>
          <w:lang w:val="en-US"/>
        </w:rPr>
        <w:t>.</w:t>
      </w:r>
      <w:r w:rsidR="003D71D4">
        <w:rPr>
          <w:rStyle w:val="FootnoteReference"/>
          <w:rFonts w:ascii="Times New Roman" w:hAnsi="Times New Roman" w:cs="Times New Roman"/>
          <w:sz w:val="24"/>
          <w:szCs w:val="24"/>
          <w:lang w:val="en-US"/>
        </w:rPr>
        <w:footnoteReference w:id="6"/>
      </w:r>
      <w:r w:rsidR="006D36F7" w:rsidRPr="000F052B">
        <w:rPr>
          <w:rFonts w:ascii="Times New Roman" w:hAnsi="Times New Roman" w:cs="Times New Roman"/>
          <w:sz w:val="24"/>
          <w:szCs w:val="24"/>
          <w:lang w:val="en-US"/>
        </w:rPr>
        <w:t xml:space="preserve"> South Africa, by contrast,</w:t>
      </w:r>
      <w:r w:rsidR="00CD4E1A" w:rsidRPr="000F052B">
        <w:rPr>
          <w:rFonts w:ascii="Times New Roman" w:hAnsi="Times New Roman" w:cs="Times New Roman"/>
          <w:sz w:val="24"/>
          <w:szCs w:val="24"/>
          <w:lang w:val="en-US"/>
        </w:rPr>
        <w:t xml:space="preserve"> blends</w:t>
      </w:r>
      <w:r w:rsidR="006F5F8D" w:rsidRPr="000F052B">
        <w:rPr>
          <w:rFonts w:ascii="Times New Roman" w:hAnsi="Times New Roman" w:cs="Times New Roman"/>
          <w:sz w:val="24"/>
          <w:szCs w:val="24"/>
          <w:lang w:val="en-US"/>
        </w:rPr>
        <w:t xml:space="preserve"> </w:t>
      </w:r>
      <w:r w:rsidR="00CD4E1A" w:rsidRPr="000F052B">
        <w:rPr>
          <w:rFonts w:ascii="Times New Roman" w:hAnsi="Times New Roman" w:cs="Times New Roman"/>
          <w:sz w:val="24"/>
          <w:szCs w:val="24"/>
          <w:lang w:val="en-US"/>
        </w:rPr>
        <w:t>uncodified</w:t>
      </w:r>
      <w:r w:rsidR="006F5F8D" w:rsidRPr="000F052B">
        <w:rPr>
          <w:rFonts w:ascii="Times New Roman" w:hAnsi="Times New Roman" w:cs="Times New Roman"/>
          <w:sz w:val="24"/>
          <w:szCs w:val="24"/>
          <w:lang w:val="en-US"/>
        </w:rPr>
        <w:t xml:space="preserve"> Roman Dutch</w:t>
      </w:r>
      <w:r w:rsidR="00CD4E1A" w:rsidRPr="000F052B">
        <w:rPr>
          <w:rFonts w:ascii="Times New Roman" w:hAnsi="Times New Roman" w:cs="Times New Roman"/>
          <w:sz w:val="24"/>
          <w:szCs w:val="24"/>
          <w:lang w:val="en-US"/>
        </w:rPr>
        <w:t xml:space="preserve"> law with elements of </w:t>
      </w:r>
      <w:r w:rsidR="00740200" w:rsidRPr="000F052B">
        <w:rPr>
          <w:rFonts w:ascii="Times New Roman" w:hAnsi="Times New Roman" w:cs="Times New Roman"/>
          <w:sz w:val="24"/>
          <w:szCs w:val="24"/>
          <w:lang w:val="en-US"/>
        </w:rPr>
        <w:t xml:space="preserve">English </w:t>
      </w:r>
      <w:r w:rsidR="00CD4E1A" w:rsidRPr="000F052B">
        <w:rPr>
          <w:rFonts w:ascii="Times New Roman" w:hAnsi="Times New Roman" w:cs="Times New Roman"/>
          <w:sz w:val="24"/>
          <w:szCs w:val="24"/>
          <w:lang w:val="en-US"/>
        </w:rPr>
        <w:t>origin</w:t>
      </w:r>
      <w:r w:rsidR="006B7780">
        <w:rPr>
          <w:rFonts w:ascii="Times New Roman" w:hAnsi="Times New Roman" w:cs="Times New Roman"/>
          <w:sz w:val="24"/>
          <w:szCs w:val="24"/>
          <w:lang w:val="en-US"/>
        </w:rPr>
        <w:t xml:space="preserve">; </w:t>
      </w:r>
      <w:r w:rsidR="006D36F7" w:rsidRPr="000F052B">
        <w:rPr>
          <w:rFonts w:ascii="Times New Roman" w:hAnsi="Times New Roman" w:cs="Times New Roman"/>
          <w:sz w:val="24"/>
          <w:szCs w:val="24"/>
          <w:lang w:val="en-US"/>
        </w:rPr>
        <w:t xml:space="preserve">its common law of contract </w:t>
      </w:r>
      <w:r w:rsidR="006B7780">
        <w:rPr>
          <w:rFonts w:ascii="Times New Roman" w:hAnsi="Times New Roman" w:cs="Times New Roman"/>
          <w:sz w:val="24"/>
          <w:szCs w:val="24"/>
          <w:lang w:val="en-US"/>
        </w:rPr>
        <w:t xml:space="preserve">is </w:t>
      </w:r>
      <w:r w:rsidR="00B97450" w:rsidRPr="000F052B">
        <w:rPr>
          <w:rFonts w:ascii="Times New Roman" w:hAnsi="Times New Roman" w:cs="Times New Roman"/>
          <w:sz w:val="24"/>
          <w:szCs w:val="24"/>
          <w:lang w:val="en-US"/>
        </w:rPr>
        <w:t>being shaped by transformative constitutional forces</w:t>
      </w:r>
      <w:r w:rsidR="00740200" w:rsidRPr="000F052B">
        <w:rPr>
          <w:rFonts w:ascii="Times New Roman" w:hAnsi="Times New Roman" w:cs="Times New Roman"/>
          <w:sz w:val="24"/>
          <w:szCs w:val="24"/>
          <w:lang w:val="en-US"/>
        </w:rPr>
        <w:t>.</w:t>
      </w:r>
      <w:r w:rsidR="00B618FF">
        <w:rPr>
          <w:rStyle w:val="FootnoteReference"/>
          <w:rFonts w:ascii="Times New Roman" w:hAnsi="Times New Roman" w:cs="Times New Roman"/>
          <w:sz w:val="24"/>
          <w:szCs w:val="24"/>
          <w:lang w:val="en-US"/>
        </w:rPr>
        <w:footnoteReference w:id="7"/>
      </w:r>
      <w:r w:rsidR="004267A6">
        <w:rPr>
          <w:rFonts w:ascii="Times New Roman" w:hAnsi="Times New Roman" w:cs="Times New Roman"/>
          <w:sz w:val="24"/>
          <w:szCs w:val="24"/>
          <w:lang w:val="en-US"/>
        </w:rPr>
        <w:t xml:space="preserve"> </w:t>
      </w:r>
      <w:r w:rsidR="00740200" w:rsidRPr="000F052B">
        <w:rPr>
          <w:rFonts w:ascii="Times New Roman" w:hAnsi="Times New Roman" w:cs="Times New Roman"/>
          <w:sz w:val="24"/>
          <w:szCs w:val="24"/>
          <w:lang w:val="en-US"/>
        </w:rPr>
        <w:t>Both jurisdictions incorporate the doctrine of contractual privity, yet the exceptions to this rule</w:t>
      </w:r>
      <w:r w:rsidR="00571E54" w:rsidRPr="000F052B">
        <w:rPr>
          <w:rFonts w:ascii="Times New Roman" w:hAnsi="Times New Roman" w:cs="Times New Roman"/>
          <w:sz w:val="24"/>
          <w:szCs w:val="24"/>
          <w:lang w:val="en-US"/>
        </w:rPr>
        <w:t xml:space="preserve"> and the ma</w:t>
      </w:r>
      <w:r w:rsidR="006B7780">
        <w:rPr>
          <w:rFonts w:ascii="Times New Roman" w:hAnsi="Times New Roman" w:cs="Times New Roman"/>
          <w:sz w:val="24"/>
          <w:szCs w:val="24"/>
          <w:lang w:val="en-US"/>
        </w:rPr>
        <w:t>nner of their incorporation differ</w:t>
      </w:r>
      <w:r w:rsidR="00571E54" w:rsidRPr="000F052B">
        <w:rPr>
          <w:rFonts w:ascii="Times New Roman" w:hAnsi="Times New Roman" w:cs="Times New Roman"/>
          <w:sz w:val="24"/>
          <w:szCs w:val="24"/>
          <w:lang w:val="en-US"/>
        </w:rPr>
        <w:t xml:space="preserve"> in each</w:t>
      </w:r>
      <w:r w:rsidR="00740200" w:rsidRPr="000F052B">
        <w:rPr>
          <w:rFonts w:ascii="Times New Roman" w:hAnsi="Times New Roman" w:cs="Times New Roman"/>
          <w:sz w:val="24"/>
          <w:szCs w:val="24"/>
          <w:lang w:val="en-US"/>
        </w:rPr>
        <w:t xml:space="preserve">.  </w:t>
      </w:r>
      <w:r w:rsidR="001B0BA0" w:rsidRPr="000F052B">
        <w:rPr>
          <w:rFonts w:ascii="Times New Roman" w:hAnsi="Times New Roman" w:cs="Times New Roman"/>
          <w:sz w:val="24"/>
          <w:szCs w:val="24"/>
          <w:lang w:val="en-US"/>
        </w:rPr>
        <w:t>These two jurisdictio</w:t>
      </w:r>
      <w:r w:rsidR="006B7780">
        <w:rPr>
          <w:rFonts w:ascii="Times New Roman" w:hAnsi="Times New Roman" w:cs="Times New Roman"/>
          <w:sz w:val="24"/>
          <w:szCs w:val="24"/>
          <w:lang w:val="en-US"/>
        </w:rPr>
        <w:t>ns were chosen also because, although</w:t>
      </w:r>
      <w:r w:rsidR="001B0BA0" w:rsidRPr="000F052B">
        <w:rPr>
          <w:rFonts w:ascii="Times New Roman" w:hAnsi="Times New Roman" w:cs="Times New Roman"/>
          <w:sz w:val="24"/>
          <w:szCs w:val="24"/>
          <w:lang w:val="en-US"/>
        </w:rPr>
        <w:t xml:space="preserve"> historically </w:t>
      </w:r>
      <w:r w:rsidR="00212AED">
        <w:rPr>
          <w:rFonts w:ascii="Times New Roman" w:hAnsi="Times New Roman" w:cs="Times New Roman"/>
          <w:sz w:val="24"/>
          <w:szCs w:val="24"/>
          <w:lang w:val="en-US"/>
        </w:rPr>
        <w:t>related</w:t>
      </w:r>
      <w:r w:rsidR="001B0BA0" w:rsidRPr="000F052B">
        <w:rPr>
          <w:rFonts w:ascii="Times New Roman" w:hAnsi="Times New Roman" w:cs="Times New Roman"/>
          <w:sz w:val="24"/>
          <w:szCs w:val="24"/>
          <w:lang w:val="en-US"/>
        </w:rPr>
        <w:t xml:space="preserve"> </w:t>
      </w:r>
      <w:r w:rsidR="006B7780">
        <w:rPr>
          <w:rFonts w:ascii="Times New Roman" w:hAnsi="Times New Roman" w:cs="Times New Roman"/>
          <w:sz w:val="24"/>
          <w:szCs w:val="24"/>
          <w:lang w:val="en-US"/>
        </w:rPr>
        <w:t xml:space="preserve">to English law, they have </w:t>
      </w:r>
      <w:r w:rsidR="001B0BA0" w:rsidRPr="000F052B">
        <w:rPr>
          <w:rFonts w:ascii="Times New Roman" w:hAnsi="Times New Roman" w:cs="Times New Roman"/>
          <w:sz w:val="24"/>
          <w:szCs w:val="24"/>
          <w:lang w:val="en-US"/>
        </w:rPr>
        <w:t xml:space="preserve">developed along different paths.  The juxtaposition of a Common </w:t>
      </w:r>
      <w:r w:rsidR="00AC60F1" w:rsidRPr="000F052B">
        <w:rPr>
          <w:rFonts w:ascii="Times New Roman" w:hAnsi="Times New Roman" w:cs="Times New Roman"/>
          <w:sz w:val="24"/>
          <w:szCs w:val="24"/>
          <w:lang w:val="en-US"/>
        </w:rPr>
        <w:t xml:space="preserve">law and </w:t>
      </w:r>
      <w:r w:rsidR="00597745" w:rsidRPr="000F052B">
        <w:rPr>
          <w:rFonts w:ascii="Times New Roman" w:hAnsi="Times New Roman" w:cs="Times New Roman"/>
          <w:sz w:val="24"/>
          <w:szCs w:val="24"/>
          <w:lang w:val="en-US"/>
        </w:rPr>
        <w:t xml:space="preserve">a </w:t>
      </w:r>
      <w:r w:rsidR="00AC60F1" w:rsidRPr="000F052B">
        <w:rPr>
          <w:rFonts w:ascii="Times New Roman" w:hAnsi="Times New Roman" w:cs="Times New Roman"/>
          <w:sz w:val="24"/>
          <w:szCs w:val="24"/>
          <w:lang w:val="en-US"/>
        </w:rPr>
        <w:t>mixed legal system broadens the comparative inquiry, yet the remaining similarities are also interesting</w:t>
      </w:r>
      <w:r w:rsidR="006B7780">
        <w:rPr>
          <w:rFonts w:ascii="Times New Roman" w:hAnsi="Times New Roman" w:cs="Times New Roman"/>
          <w:sz w:val="24"/>
          <w:szCs w:val="24"/>
          <w:lang w:val="en-US"/>
        </w:rPr>
        <w:t>. M</w:t>
      </w:r>
      <w:r w:rsidR="001B0BA0" w:rsidRPr="000F052B">
        <w:rPr>
          <w:rFonts w:ascii="Times New Roman" w:hAnsi="Times New Roman" w:cs="Times New Roman"/>
          <w:sz w:val="24"/>
          <w:szCs w:val="24"/>
          <w:lang w:val="en-US"/>
        </w:rPr>
        <w:t>ore nuanced differenc</w:t>
      </w:r>
      <w:r w:rsidR="006B7780">
        <w:rPr>
          <w:rFonts w:ascii="Times New Roman" w:hAnsi="Times New Roman" w:cs="Times New Roman"/>
          <w:sz w:val="24"/>
          <w:szCs w:val="24"/>
          <w:lang w:val="en-US"/>
        </w:rPr>
        <w:t>es in legal culture and context</w:t>
      </w:r>
      <w:r w:rsidR="001B0BA0" w:rsidRPr="000F052B">
        <w:rPr>
          <w:rFonts w:ascii="Times New Roman" w:hAnsi="Times New Roman" w:cs="Times New Roman"/>
          <w:sz w:val="24"/>
          <w:szCs w:val="24"/>
          <w:lang w:val="en-US"/>
        </w:rPr>
        <w:t xml:space="preserve"> particularly relevant </w:t>
      </w:r>
      <w:r w:rsidR="00FF0FF3" w:rsidRPr="000F052B">
        <w:rPr>
          <w:rFonts w:ascii="Times New Roman" w:hAnsi="Times New Roman" w:cs="Times New Roman"/>
          <w:sz w:val="24"/>
          <w:szCs w:val="24"/>
          <w:lang w:val="en-US"/>
        </w:rPr>
        <w:t xml:space="preserve">to </w:t>
      </w:r>
      <w:r w:rsidR="000F6659" w:rsidRPr="000F052B">
        <w:rPr>
          <w:rFonts w:ascii="Times New Roman" w:hAnsi="Times New Roman" w:cs="Times New Roman"/>
          <w:sz w:val="24"/>
          <w:szCs w:val="24"/>
          <w:lang w:val="en-US"/>
        </w:rPr>
        <w:t>the socio</w:t>
      </w:r>
      <w:r w:rsidR="006B7780">
        <w:rPr>
          <w:rFonts w:ascii="Times New Roman" w:hAnsi="Times New Roman" w:cs="Times New Roman"/>
          <w:sz w:val="24"/>
          <w:szCs w:val="24"/>
          <w:lang w:val="en-US"/>
        </w:rPr>
        <w:t>-</w:t>
      </w:r>
      <w:r w:rsidR="000F6659" w:rsidRPr="000F052B">
        <w:rPr>
          <w:rFonts w:ascii="Times New Roman" w:hAnsi="Times New Roman" w:cs="Times New Roman"/>
          <w:sz w:val="24"/>
          <w:szCs w:val="24"/>
          <w:lang w:val="en-US"/>
        </w:rPr>
        <w:t xml:space="preserve">legal </w:t>
      </w:r>
      <w:r w:rsidR="001B0BA0" w:rsidRPr="000F052B">
        <w:rPr>
          <w:rFonts w:ascii="Times New Roman" w:hAnsi="Times New Roman" w:cs="Times New Roman"/>
          <w:sz w:val="24"/>
          <w:szCs w:val="24"/>
          <w:lang w:val="en-US"/>
        </w:rPr>
        <w:t xml:space="preserve">and normative </w:t>
      </w:r>
      <w:r w:rsidR="000F6659" w:rsidRPr="000F052B">
        <w:rPr>
          <w:rFonts w:ascii="Times New Roman" w:hAnsi="Times New Roman" w:cs="Times New Roman"/>
          <w:sz w:val="24"/>
          <w:szCs w:val="24"/>
          <w:lang w:val="en-US"/>
        </w:rPr>
        <w:t xml:space="preserve">elements of our </w:t>
      </w:r>
      <w:r w:rsidR="001B0BA0" w:rsidRPr="000F052B">
        <w:rPr>
          <w:rFonts w:ascii="Times New Roman" w:hAnsi="Times New Roman" w:cs="Times New Roman"/>
          <w:sz w:val="24"/>
          <w:szCs w:val="24"/>
          <w:lang w:val="en-US"/>
        </w:rPr>
        <w:t>analysis</w:t>
      </w:r>
      <w:r w:rsidR="00FF0FF3" w:rsidRPr="000F052B">
        <w:rPr>
          <w:rFonts w:ascii="Times New Roman" w:hAnsi="Times New Roman" w:cs="Times New Roman"/>
          <w:sz w:val="24"/>
          <w:szCs w:val="24"/>
          <w:lang w:val="en-US"/>
        </w:rPr>
        <w:t xml:space="preserve"> will emerge below.</w:t>
      </w:r>
    </w:p>
    <w:p w14:paraId="0D7E05C8" w14:textId="1F54552E" w:rsidR="00740200" w:rsidRPr="000F052B" w:rsidRDefault="00FF0FF3" w:rsidP="004A7165">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Although privity is a legal concept much explored in both of our target jurisdictions, </w:t>
      </w:r>
      <w:r w:rsidR="001319F2" w:rsidRPr="000F052B">
        <w:rPr>
          <w:rFonts w:ascii="Times New Roman" w:hAnsi="Times New Roman" w:cs="Times New Roman"/>
          <w:sz w:val="24"/>
          <w:szCs w:val="24"/>
          <w:lang w:val="en-US"/>
        </w:rPr>
        <w:t>particularly with respect to its symbiotic relationship with the consideration doctrine</w:t>
      </w:r>
      <w:r w:rsidR="00FC333F">
        <w:rPr>
          <w:rFonts w:ascii="Times New Roman" w:hAnsi="Times New Roman" w:cs="Times New Roman"/>
          <w:sz w:val="24"/>
          <w:szCs w:val="24"/>
          <w:lang w:val="en-US"/>
        </w:rPr>
        <w:t xml:space="preserve"> in </w:t>
      </w:r>
      <w:r w:rsidR="00DF3BFC">
        <w:rPr>
          <w:rFonts w:ascii="Times New Roman" w:hAnsi="Times New Roman" w:cs="Times New Roman"/>
          <w:sz w:val="24"/>
          <w:szCs w:val="24"/>
          <w:lang w:val="en-US"/>
        </w:rPr>
        <w:t>English law,</w:t>
      </w:r>
      <w:r w:rsidR="00AF3DF3">
        <w:rPr>
          <w:rStyle w:val="FootnoteReference"/>
          <w:rFonts w:ascii="Times New Roman" w:hAnsi="Times New Roman" w:cs="Times New Roman"/>
          <w:sz w:val="24"/>
          <w:szCs w:val="24"/>
          <w:lang w:val="en-US"/>
        </w:rPr>
        <w:footnoteReference w:id="8"/>
      </w:r>
      <w:r w:rsidR="001319F2"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we aim to introduce a new element </w:t>
      </w:r>
      <w:r w:rsidR="00740200" w:rsidRPr="000F052B">
        <w:rPr>
          <w:rFonts w:ascii="Times New Roman" w:hAnsi="Times New Roman" w:cs="Times New Roman"/>
          <w:sz w:val="24"/>
          <w:szCs w:val="24"/>
          <w:lang w:val="en-US"/>
        </w:rPr>
        <w:t xml:space="preserve">to the conventional </w:t>
      </w:r>
      <w:r w:rsidR="00571E54" w:rsidRPr="000F052B">
        <w:rPr>
          <w:rFonts w:ascii="Times New Roman" w:hAnsi="Times New Roman" w:cs="Times New Roman"/>
          <w:sz w:val="24"/>
          <w:szCs w:val="24"/>
          <w:lang w:val="en-US"/>
        </w:rPr>
        <w:t xml:space="preserve">black letter investigation: </w:t>
      </w:r>
      <w:r w:rsidRPr="000F052B">
        <w:rPr>
          <w:rFonts w:ascii="Times New Roman" w:hAnsi="Times New Roman" w:cs="Times New Roman"/>
          <w:sz w:val="24"/>
          <w:szCs w:val="24"/>
          <w:lang w:val="en-US"/>
        </w:rPr>
        <w:t xml:space="preserve">this we </w:t>
      </w:r>
      <w:r w:rsidRPr="000F052B">
        <w:rPr>
          <w:rFonts w:ascii="Times New Roman" w:hAnsi="Times New Roman" w:cs="Times New Roman"/>
          <w:sz w:val="24"/>
          <w:szCs w:val="24"/>
          <w:lang w:val="en-US"/>
        </w:rPr>
        <w:lastRenderedPageBreak/>
        <w:t xml:space="preserve">will do by asking not merely what impact does the doctrine of privity have on contract law in general, but rather </w:t>
      </w:r>
      <w:r w:rsidRPr="00D66B9D">
        <w:rPr>
          <w:rFonts w:ascii="Times New Roman" w:hAnsi="Times New Roman" w:cs="Times New Roman"/>
          <w:sz w:val="24"/>
          <w:szCs w:val="24"/>
          <w:lang w:val="en-US"/>
        </w:rPr>
        <w:t xml:space="preserve">how </w:t>
      </w:r>
      <w:r w:rsidR="00DC3CDE" w:rsidRPr="00D66B9D">
        <w:rPr>
          <w:rFonts w:ascii="Times New Roman" w:hAnsi="Times New Roman" w:cs="Times New Roman"/>
          <w:sz w:val="24"/>
          <w:szCs w:val="24"/>
          <w:lang w:val="en-US"/>
        </w:rPr>
        <w:t xml:space="preserve">does </w:t>
      </w:r>
      <w:r w:rsidRPr="00B76545">
        <w:rPr>
          <w:rFonts w:ascii="Times New Roman" w:hAnsi="Times New Roman" w:cs="Times New Roman"/>
          <w:sz w:val="24"/>
          <w:szCs w:val="24"/>
          <w:lang w:val="en-US"/>
        </w:rPr>
        <w:t xml:space="preserve">privity shape certain </w:t>
      </w:r>
      <w:r w:rsidR="00DF3688" w:rsidRPr="000A6ECC">
        <w:rPr>
          <w:rFonts w:ascii="Times New Roman" w:hAnsi="Times New Roman" w:cs="Times New Roman"/>
          <w:sz w:val="24"/>
          <w:szCs w:val="24"/>
          <w:lang w:val="en-US"/>
        </w:rPr>
        <w:t>specific</w:t>
      </w:r>
      <w:r w:rsidRPr="000A6ECC">
        <w:rPr>
          <w:rFonts w:ascii="Times New Roman" w:hAnsi="Times New Roman" w:cs="Times New Roman"/>
          <w:sz w:val="24"/>
          <w:szCs w:val="24"/>
          <w:lang w:val="en-US"/>
        </w:rPr>
        <w:t xml:space="preserve"> contractual problems</w:t>
      </w:r>
      <w:r w:rsidR="00DC3CDE" w:rsidRPr="000A6ECC">
        <w:rPr>
          <w:rFonts w:ascii="Times New Roman" w:hAnsi="Times New Roman" w:cs="Times New Roman"/>
          <w:sz w:val="24"/>
          <w:szCs w:val="24"/>
          <w:lang w:val="en-US"/>
        </w:rPr>
        <w:t xml:space="preserve"> in action and what </w:t>
      </w:r>
      <w:r w:rsidR="000665DD">
        <w:rPr>
          <w:rFonts w:ascii="Times New Roman" w:hAnsi="Times New Roman" w:cs="Times New Roman"/>
          <w:sz w:val="24"/>
          <w:szCs w:val="24"/>
          <w:lang w:val="en-US"/>
        </w:rPr>
        <w:t>contextual</w:t>
      </w:r>
      <w:r w:rsidR="00DC3CDE" w:rsidRPr="003104CE">
        <w:rPr>
          <w:rFonts w:ascii="Times New Roman" w:hAnsi="Times New Roman" w:cs="Times New Roman"/>
          <w:sz w:val="24"/>
          <w:szCs w:val="24"/>
          <w:lang w:val="en-US"/>
        </w:rPr>
        <w:t xml:space="preserve"> conclusions can be drawn from this interaction</w:t>
      </w:r>
      <w:r w:rsidR="00DF3688" w:rsidRPr="00681EF9">
        <w:rPr>
          <w:rFonts w:ascii="Times New Roman" w:hAnsi="Times New Roman" w:cs="Times New Roman"/>
          <w:sz w:val="24"/>
          <w:szCs w:val="24"/>
          <w:lang w:val="en-US"/>
        </w:rPr>
        <w:t>.</w:t>
      </w:r>
      <w:r w:rsidR="004550D2" w:rsidRPr="00681EF9">
        <w:rPr>
          <w:rFonts w:ascii="Times New Roman" w:hAnsi="Times New Roman" w:cs="Times New Roman"/>
          <w:sz w:val="24"/>
          <w:szCs w:val="24"/>
          <w:lang w:val="en-US"/>
        </w:rPr>
        <w:t xml:space="preserve"> This</w:t>
      </w:r>
      <w:r w:rsidR="004550D2" w:rsidRPr="000F052B">
        <w:rPr>
          <w:rFonts w:ascii="Times New Roman" w:hAnsi="Times New Roman" w:cs="Times New Roman"/>
          <w:sz w:val="24"/>
          <w:szCs w:val="24"/>
          <w:lang w:val="en-US"/>
        </w:rPr>
        <w:t xml:space="preserve"> comparison will</w:t>
      </w:r>
      <w:r w:rsidR="00C57634" w:rsidRPr="000F052B">
        <w:rPr>
          <w:rFonts w:ascii="Times New Roman" w:hAnsi="Times New Roman" w:cs="Times New Roman"/>
          <w:sz w:val="24"/>
          <w:szCs w:val="24"/>
          <w:lang w:val="en-US"/>
        </w:rPr>
        <w:t xml:space="preserve"> also bring to light new insights into themes related to privity, such as the doctrine of consideration and the protection of reasonable expectations.</w:t>
      </w:r>
      <w:r w:rsidR="000665DD">
        <w:rPr>
          <w:rFonts w:ascii="Times New Roman" w:hAnsi="Times New Roman" w:cs="Times New Roman"/>
          <w:sz w:val="24"/>
          <w:szCs w:val="24"/>
          <w:lang w:val="en-US"/>
        </w:rPr>
        <w:t xml:space="preserve">  Our method</w:t>
      </w:r>
      <w:r w:rsidR="00212AED">
        <w:rPr>
          <w:rFonts w:ascii="Times New Roman" w:hAnsi="Times New Roman" w:cs="Times New Roman"/>
          <w:sz w:val="24"/>
          <w:szCs w:val="24"/>
          <w:lang w:val="en-US"/>
        </w:rPr>
        <w:t xml:space="preserve"> of ascertaining context</w:t>
      </w:r>
      <w:r w:rsidR="000665DD">
        <w:rPr>
          <w:rFonts w:ascii="Times New Roman" w:hAnsi="Times New Roman" w:cs="Times New Roman"/>
          <w:sz w:val="24"/>
          <w:szCs w:val="24"/>
          <w:lang w:val="en-US"/>
        </w:rPr>
        <w:t xml:space="preserve"> is not</w:t>
      </w:r>
      <w:r w:rsidR="00212AED">
        <w:rPr>
          <w:rFonts w:ascii="Times New Roman" w:hAnsi="Times New Roman" w:cs="Times New Roman"/>
          <w:sz w:val="24"/>
          <w:szCs w:val="24"/>
          <w:lang w:val="en-US"/>
        </w:rPr>
        <w:t>, however,</w:t>
      </w:r>
      <w:r w:rsidR="000665DD">
        <w:rPr>
          <w:rFonts w:ascii="Times New Roman" w:hAnsi="Times New Roman" w:cs="Times New Roman"/>
          <w:sz w:val="24"/>
          <w:szCs w:val="24"/>
          <w:lang w:val="en-US"/>
        </w:rPr>
        <w:t xml:space="preserve"> based on </w:t>
      </w:r>
      <w:r w:rsidR="00212AED">
        <w:rPr>
          <w:rFonts w:ascii="Times New Roman" w:hAnsi="Times New Roman" w:cs="Times New Roman"/>
          <w:sz w:val="24"/>
          <w:szCs w:val="24"/>
          <w:lang w:val="en-US"/>
        </w:rPr>
        <w:t>o</w:t>
      </w:r>
      <w:r w:rsidR="000665DD">
        <w:rPr>
          <w:rFonts w:ascii="Times New Roman" w:hAnsi="Times New Roman" w:cs="Times New Roman"/>
          <w:sz w:val="24"/>
          <w:szCs w:val="24"/>
          <w:lang w:val="en-US"/>
        </w:rPr>
        <w:t xml:space="preserve">ur own empirical </w:t>
      </w:r>
      <w:r w:rsidR="00212AED">
        <w:rPr>
          <w:rFonts w:ascii="Times New Roman" w:hAnsi="Times New Roman" w:cs="Times New Roman"/>
          <w:sz w:val="24"/>
          <w:szCs w:val="24"/>
          <w:lang w:val="en-US"/>
        </w:rPr>
        <w:t>fieldwork</w:t>
      </w:r>
      <w:r w:rsidR="000665DD">
        <w:rPr>
          <w:rFonts w:ascii="Times New Roman" w:hAnsi="Times New Roman" w:cs="Times New Roman"/>
          <w:sz w:val="24"/>
          <w:szCs w:val="24"/>
          <w:lang w:val="en-US"/>
        </w:rPr>
        <w:t>.  We h</w:t>
      </w:r>
      <w:r w:rsidR="00302876">
        <w:rPr>
          <w:rFonts w:ascii="Times New Roman" w:hAnsi="Times New Roman" w:cs="Times New Roman"/>
          <w:sz w:val="24"/>
          <w:szCs w:val="24"/>
          <w:lang w:val="en-US"/>
        </w:rPr>
        <w:t>ave relied largely on black letter legal sources</w:t>
      </w:r>
      <w:r w:rsidR="000665DD">
        <w:rPr>
          <w:rFonts w:ascii="Times New Roman" w:hAnsi="Times New Roman" w:cs="Times New Roman"/>
          <w:sz w:val="24"/>
          <w:szCs w:val="24"/>
          <w:lang w:val="en-US"/>
        </w:rPr>
        <w:t xml:space="preserve">, which in some of our case studies are </w:t>
      </w:r>
      <w:r w:rsidR="00302876">
        <w:rPr>
          <w:rFonts w:ascii="Times New Roman" w:hAnsi="Times New Roman" w:cs="Times New Roman"/>
          <w:sz w:val="24"/>
          <w:szCs w:val="24"/>
          <w:lang w:val="en-US"/>
        </w:rPr>
        <w:t xml:space="preserve">fairly </w:t>
      </w:r>
      <w:r w:rsidR="000665DD">
        <w:rPr>
          <w:rFonts w:ascii="Times New Roman" w:hAnsi="Times New Roman" w:cs="Times New Roman"/>
          <w:sz w:val="24"/>
          <w:szCs w:val="24"/>
          <w:lang w:val="en-US"/>
        </w:rPr>
        <w:t>scant in our target jurisdictions.</w:t>
      </w:r>
      <w:r w:rsidR="00222D3B">
        <w:rPr>
          <w:rStyle w:val="FootnoteReference"/>
          <w:rFonts w:ascii="Times New Roman" w:hAnsi="Times New Roman" w:cs="Times New Roman"/>
          <w:sz w:val="24"/>
          <w:szCs w:val="24"/>
          <w:lang w:val="en-US"/>
        </w:rPr>
        <w:footnoteReference w:id="9"/>
      </w:r>
      <w:r w:rsidR="000665DD">
        <w:rPr>
          <w:rFonts w:ascii="Times New Roman" w:hAnsi="Times New Roman" w:cs="Times New Roman"/>
          <w:sz w:val="24"/>
          <w:szCs w:val="24"/>
          <w:lang w:val="en-US"/>
        </w:rPr>
        <w:t xml:space="preserve">  </w:t>
      </w:r>
      <w:r w:rsidR="00212AED">
        <w:rPr>
          <w:rFonts w:ascii="Times New Roman" w:hAnsi="Times New Roman" w:cs="Times New Roman"/>
          <w:sz w:val="24"/>
          <w:szCs w:val="24"/>
          <w:lang w:val="en-US"/>
        </w:rPr>
        <w:t xml:space="preserve">We did this in order to identify fact patterns and as an indicator of legal culture.  </w:t>
      </w:r>
      <w:r w:rsidR="00B1346E">
        <w:rPr>
          <w:rFonts w:ascii="Times New Roman" w:hAnsi="Times New Roman" w:cs="Times New Roman"/>
          <w:sz w:val="24"/>
          <w:szCs w:val="24"/>
          <w:lang w:val="en-US"/>
        </w:rPr>
        <w:t xml:space="preserve">Further social and economic data are derived in places from the research of others.  </w:t>
      </w:r>
      <w:r w:rsidR="00302876">
        <w:rPr>
          <w:rFonts w:ascii="Times New Roman" w:hAnsi="Times New Roman" w:cs="Times New Roman"/>
          <w:sz w:val="24"/>
          <w:szCs w:val="24"/>
          <w:lang w:val="en-US"/>
        </w:rPr>
        <w:t>Our</w:t>
      </w:r>
      <w:r w:rsidR="002F45CE">
        <w:rPr>
          <w:rFonts w:ascii="Times New Roman" w:hAnsi="Times New Roman" w:cs="Times New Roman"/>
          <w:sz w:val="24"/>
          <w:szCs w:val="24"/>
          <w:lang w:val="en-US"/>
        </w:rPr>
        <w:t xml:space="preserve"> argument</w:t>
      </w:r>
      <w:r w:rsidR="00B1346E">
        <w:rPr>
          <w:rFonts w:ascii="Times New Roman" w:hAnsi="Times New Roman" w:cs="Times New Roman"/>
          <w:sz w:val="24"/>
          <w:szCs w:val="24"/>
          <w:lang w:val="en-US"/>
        </w:rPr>
        <w:t xml:space="preserve"> is that </w:t>
      </w:r>
      <w:r w:rsidR="002F45CE">
        <w:rPr>
          <w:rFonts w:ascii="Times New Roman" w:hAnsi="Times New Roman" w:cs="Times New Roman"/>
          <w:sz w:val="24"/>
          <w:szCs w:val="24"/>
          <w:lang w:val="en-US"/>
        </w:rPr>
        <w:t>modern commercial contract practice</w:t>
      </w:r>
      <w:r w:rsidR="00B1346E">
        <w:rPr>
          <w:rFonts w:ascii="Times New Roman" w:hAnsi="Times New Roman" w:cs="Times New Roman"/>
          <w:sz w:val="24"/>
          <w:szCs w:val="24"/>
          <w:lang w:val="en-US"/>
        </w:rPr>
        <w:t xml:space="preserve"> </w:t>
      </w:r>
      <w:r w:rsidR="00ED3F9F">
        <w:rPr>
          <w:rFonts w:ascii="Times New Roman" w:hAnsi="Times New Roman" w:cs="Times New Roman"/>
          <w:sz w:val="24"/>
          <w:szCs w:val="24"/>
          <w:lang w:val="en-US"/>
        </w:rPr>
        <w:t xml:space="preserve">has </w:t>
      </w:r>
      <w:r w:rsidR="002F45CE">
        <w:rPr>
          <w:rFonts w:ascii="Times New Roman" w:hAnsi="Times New Roman" w:cs="Times New Roman"/>
          <w:sz w:val="24"/>
          <w:szCs w:val="24"/>
          <w:lang w:val="en-US"/>
        </w:rPr>
        <w:t>been exported globally by international business concerns and their lawyers</w:t>
      </w:r>
      <w:r w:rsidR="006A4AFA">
        <w:rPr>
          <w:rFonts w:ascii="Times New Roman" w:hAnsi="Times New Roman" w:cs="Times New Roman"/>
          <w:sz w:val="24"/>
          <w:szCs w:val="24"/>
          <w:lang w:val="en-US"/>
        </w:rPr>
        <w:t xml:space="preserve">.  This means that a </w:t>
      </w:r>
      <w:r w:rsidR="00ED3F9F">
        <w:rPr>
          <w:rFonts w:ascii="Times New Roman" w:hAnsi="Times New Roman" w:cs="Times New Roman"/>
          <w:sz w:val="24"/>
          <w:szCs w:val="24"/>
          <w:lang w:val="en-US"/>
        </w:rPr>
        <w:t xml:space="preserve">given </w:t>
      </w:r>
      <w:r w:rsidR="006A4AFA">
        <w:rPr>
          <w:rFonts w:ascii="Times New Roman" w:hAnsi="Times New Roman" w:cs="Times New Roman"/>
          <w:sz w:val="24"/>
          <w:szCs w:val="24"/>
          <w:lang w:val="en-US"/>
        </w:rPr>
        <w:t>contractual concept or mechanism can be observable in several different habitats, although detailed black letter sources on it may be lacking</w:t>
      </w:r>
      <w:r w:rsidR="00ED3F9F">
        <w:rPr>
          <w:rFonts w:ascii="Times New Roman" w:hAnsi="Times New Roman" w:cs="Times New Roman"/>
          <w:sz w:val="24"/>
          <w:szCs w:val="24"/>
          <w:lang w:val="en-US"/>
        </w:rPr>
        <w:t xml:space="preserve"> in a particular jurisdiction</w:t>
      </w:r>
      <w:r w:rsidR="006A4AFA">
        <w:rPr>
          <w:rFonts w:ascii="Times New Roman" w:hAnsi="Times New Roman" w:cs="Times New Roman"/>
          <w:sz w:val="24"/>
          <w:szCs w:val="24"/>
          <w:lang w:val="en-US"/>
        </w:rPr>
        <w:t>.  In that case it may be necessary to accurately define a concept by reference to a parent system such as English law and w</w:t>
      </w:r>
      <w:r w:rsidR="002F45CE">
        <w:rPr>
          <w:rFonts w:ascii="Times New Roman" w:hAnsi="Times New Roman" w:cs="Times New Roman"/>
          <w:sz w:val="24"/>
          <w:szCs w:val="24"/>
          <w:lang w:val="en-US"/>
        </w:rPr>
        <w:t xml:space="preserve">e will thus in places use English </w:t>
      </w:r>
      <w:r w:rsidR="006A4AFA">
        <w:rPr>
          <w:rFonts w:ascii="Times New Roman" w:hAnsi="Times New Roman" w:cs="Times New Roman"/>
          <w:sz w:val="24"/>
          <w:szCs w:val="24"/>
          <w:lang w:val="en-US"/>
        </w:rPr>
        <w:t xml:space="preserve">legal </w:t>
      </w:r>
      <w:r w:rsidR="002F45CE">
        <w:rPr>
          <w:rFonts w:ascii="Times New Roman" w:hAnsi="Times New Roman" w:cs="Times New Roman"/>
          <w:sz w:val="24"/>
          <w:szCs w:val="24"/>
          <w:lang w:val="en-US"/>
        </w:rPr>
        <w:t xml:space="preserve">materials </w:t>
      </w:r>
      <w:r w:rsidR="00ED3F9F">
        <w:rPr>
          <w:rFonts w:ascii="Times New Roman" w:hAnsi="Times New Roman" w:cs="Times New Roman"/>
          <w:sz w:val="24"/>
          <w:szCs w:val="24"/>
          <w:lang w:val="en-US"/>
        </w:rPr>
        <w:t>to fill gaps in the literature o</w:t>
      </w:r>
      <w:r w:rsidR="002F45CE">
        <w:rPr>
          <w:rFonts w:ascii="Times New Roman" w:hAnsi="Times New Roman" w:cs="Times New Roman"/>
          <w:sz w:val="24"/>
          <w:szCs w:val="24"/>
          <w:lang w:val="en-US"/>
        </w:rPr>
        <w:t>n Australia</w:t>
      </w:r>
      <w:r w:rsidR="00ED3F9F">
        <w:rPr>
          <w:rFonts w:ascii="Times New Roman" w:hAnsi="Times New Roman" w:cs="Times New Roman"/>
          <w:sz w:val="24"/>
          <w:szCs w:val="24"/>
          <w:lang w:val="en-US"/>
        </w:rPr>
        <w:t>n</w:t>
      </w:r>
      <w:r w:rsidR="002F45CE">
        <w:rPr>
          <w:rFonts w:ascii="Times New Roman" w:hAnsi="Times New Roman" w:cs="Times New Roman"/>
          <w:sz w:val="24"/>
          <w:szCs w:val="24"/>
          <w:lang w:val="en-US"/>
        </w:rPr>
        <w:t xml:space="preserve"> and South Africa</w:t>
      </w:r>
      <w:r w:rsidR="00ED3F9F">
        <w:rPr>
          <w:rFonts w:ascii="Times New Roman" w:hAnsi="Times New Roman" w:cs="Times New Roman"/>
          <w:sz w:val="24"/>
          <w:szCs w:val="24"/>
          <w:lang w:val="en-US"/>
        </w:rPr>
        <w:t>n law</w:t>
      </w:r>
      <w:r w:rsidR="002F45CE">
        <w:rPr>
          <w:rFonts w:ascii="Times New Roman" w:hAnsi="Times New Roman" w:cs="Times New Roman"/>
          <w:sz w:val="24"/>
          <w:szCs w:val="24"/>
          <w:lang w:val="en-US"/>
        </w:rPr>
        <w:t xml:space="preserve">. </w:t>
      </w:r>
      <w:r w:rsidR="004A7165">
        <w:rPr>
          <w:rFonts w:ascii="Times New Roman" w:hAnsi="Times New Roman" w:cs="Times New Roman"/>
          <w:sz w:val="24"/>
          <w:szCs w:val="24"/>
          <w:lang w:val="en-US"/>
        </w:rPr>
        <w:t>This is also due to the fact that</w:t>
      </w:r>
      <w:r w:rsidR="002F45CE">
        <w:rPr>
          <w:rFonts w:ascii="Times New Roman" w:hAnsi="Times New Roman" w:cs="Times New Roman"/>
          <w:sz w:val="24"/>
          <w:szCs w:val="24"/>
          <w:lang w:val="en-US"/>
        </w:rPr>
        <w:t xml:space="preserve"> </w:t>
      </w:r>
      <w:r w:rsidR="00587C52">
        <w:rPr>
          <w:rFonts w:ascii="Times New Roman" w:hAnsi="Times New Roman" w:cs="Times New Roman"/>
          <w:sz w:val="24"/>
          <w:szCs w:val="24"/>
          <w:lang w:val="en-US"/>
        </w:rPr>
        <w:t>contexts that we focus on are unusual</w:t>
      </w:r>
      <w:r w:rsidR="004A7165">
        <w:rPr>
          <w:rFonts w:ascii="Times New Roman" w:hAnsi="Times New Roman" w:cs="Times New Roman"/>
          <w:sz w:val="24"/>
          <w:szCs w:val="24"/>
          <w:lang w:val="en-US"/>
        </w:rPr>
        <w:t xml:space="preserve"> and</w:t>
      </w:r>
      <w:r w:rsidR="00587C52">
        <w:rPr>
          <w:rFonts w:ascii="Times New Roman" w:hAnsi="Times New Roman" w:cs="Times New Roman"/>
          <w:sz w:val="24"/>
          <w:szCs w:val="24"/>
          <w:lang w:val="en-US"/>
        </w:rPr>
        <w:t xml:space="preserve"> </w:t>
      </w:r>
      <w:r w:rsidR="004A7165">
        <w:rPr>
          <w:rFonts w:ascii="Times New Roman" w:hAnsi="Times New Roman" w:cs="Times New Roman"/>
          <w:sz w:val="24"/>
          <w:szCs w:val="24"/>
          <w:lang w:val="en-US"/>
        </w:rPr>
        <w:t>as such,</w:t>
      </w:r>
      <w:r w:rsidR="00587C52">
        <w:rPr>
          <w:rFonts w:ascii="Times New Roman" w:hAnsi="Times New Roman" w:cs="Times New Roman"/>
          <w:sz w:val="24"/>
          <w:szCs w:val="24"/>
          <w:lang w:val="en-US"/>
        </w:rPr>
        <w:t xml:space="preserve"> </w:t>
      </w:r>
      <w:r w:rsidR="00587C52" w:rsidRPr="00587C52">
        <w:rPr>
          <w:rFonts w:ascii="Times New Roman" w:hAnsi="Times New Roman" w:cs="Times New Roman"/>
          <w:sz w:val="24"/>
          <w:szCs w:val="24"/>
          <w:lang w:val="en-US"/>
        </w:rPr>
        <w:t>warrant further investigation</w:t>
      </w:r>
      <w:r w:rsidR="00587C52">
        <w:rPr>
          <w:rFonts w:ascii="Times New Roman" w:hAnsi="Times New Roman" w:cs="Times New Roman"/>
          <w:sz w:val="24"/>
          <w:szCs w:val="24"/>
          <w:lang w:val="en-US"/>
        </w:rPr>
        <w:t xml:space="preserve">. </w:t>
      </w:r>
      <w:r w:rsidR="004A7165">
        <w:rPr>
          <w:rFonts w:ascii="Times New Roman" w:hAnsi="Times New Roman" w:cs="Times New Roman"/>
          <w:sz w:val="24"/>
          <w:szCs w:val="24"/>
          <w:lang w:val="en-US"/>
        </w:rPr>
        <w:t xml:space="preserve">In this sense, it should be specified that </w:t>
      </w:r>
      <w:r w:rsidR="00776BDF">
        <w:rPr>
          <w:rFonts w:ascii="Times New Roman" w:hAnsi="Times New Roman" w:cs="Times New Roman"/>
          <w:sz w:val="24"/>
          <w:szCs w:val="24"/>
          <w:lang w:val="en-US"/>
        </w:rPr>
        <w:t>the purpose of the following reflections is not</w:t>
      </w:r>
      <w:r w:rsidR="005E5793">
        <w:rPr>
          <w:rFonts w:ascii="Times New Roman" w:hAnsi="Times New Roman" w:cs="Times New Roman"/>
          <w:sz w:val="24"/>
          <w:szCs w:val="24"/>
          <w:lang w:val="en-US"/>
        </w:rPr>
        <w:t xml:space="preserve"> provide definitive answers, but rather to</w:t>
      </w:r>
      <w:r w:rsidR="005E5793" w:rsidRPr="00D07D6D">
        <w:rPr>
          <w:rFonts w:ascii="Times New Roman" w:hAnsi="Times New Roman" w:cs="Times New Roman"/>
          <w:sz w:val="24"/>
          <w:lang w:val="en-GB"/>
        </w:rPr>
        <w:t xml:space="preserve"> initiate a communal effort from which academic debate may ultimately benefit</w:t>
      </w:r>
      <w:r w:rsidR="005E5793">
        <w:rPr>
          <w:rFonts w:ascii="Times New Roman" w:hAnsi="Times New Roman" w:cs="Times New Roman"/>
          <w:sz w:val="24"/>
          <w:szCs w:val="24"/>
          <w:lang w:val="en-US"/>
        </w:rPr>
        <w:t xml:space="preserve">. This explains why </w:t>
      </w:r>
      <w:r w:rsidR="00302876">
        <w:rPr>
          <w:rFonts w:ascii="Times New Roman" w:hAnsi="Times New Roman" w:cs="Times New Roman"/>
          <w:sz w:val="24"/>
          <w:szCs w:val="24"/>
          <w:lang w:val="en-US"/>
        </w:rPr>
        <w:t xml:space="preserve">our findings are in some cases preliminary and a first step towards a more </w:t>
      </w:r>
      <w:r w:rsidR="006A4AFA">
        <w:rPr>
          <w:rFonts w:ascii="Times New Roman" w:hAnsi="Times New Roman" w:cs="Times New Roman"/>
          <w:sz w:val="24"/>
          <w:szCs w:val="24"/>
          <w:lang w:val="en-US"/>
        </w:rPr>
        <w:t xml:space="preserve">complete </w:t>
      </w:r>
      <w:r w:rsidR="00302876">
        <w:rPr>
          <w:rFonts w:ascii="Times New Roman" w:hAnsi="Times New Roman" w:cs="Times New Roman"/>
          <w:sz w:val="24"/>
          <w:szCs w:val="24"/>
          <w:lang w:val="en-US"/>
        </w:rPr>
        <w:t>contextual understanding of the doctrine of privity</w:t>
      </w:r>
      <w:r w:rsidR="005E5793">
        <w:rPr>
          <w:rFonts w:ascii="Times New Roman" w:hAnsi="Times New Roman" w:cs="Times New Roman"/>
          <w:sz w:val="24"/>
          <w:szCs w:val="24"/>
          <w:lang w:val="en-US"/>
        </w:rPr>
        <w:t xml:space="preserve"> and relational approach to contracting</w:t>
      </w:r>
      <w:r w:rsidR="00302876">
        <w:rPr>
          <w:rFonts w:ascii="Times New Roman" w:hAnsi="Times New Roman" w:cs="Times New Roman"/>
          <w:sz w:val="24"/>
          <w:szCs w:val="24"/>
          <w:lang w:val="en-US"/>
        </w:rPr>
        <w:t>.</w:t>
      </w:r>
      <w:r w:rsidR="00C15BAF">
        <w:rPr>
          <w:rStyle w:val="FootnoteReference"/>
          <w:rFonts w:ascii="Times New Roman" w:hAnsi="Times New Roman" w:cs="Times New Roman"/>
          <w:sz w:val="24"/>
          <w:szCs w:val="24"/>
          <w:lang w:val="en-US"/>
        </w:rPr>
        <w:footnoteReference w:id="10"/>
      </w:r>
      <w:r w:rsidR="00711A34" w:rsidRPr="00711A34">
        <w:rPr>
          <w:rFonts w:ascii="Times New Roman" w:hAnsi="Times New Roman" w:cs="Times New Roman"/>
          <w:sz w:val="24"/>
          <w:szCs w:val="24"/>
          <w:lang w:val="en-US"/>
        </w:rPr>
        <w:t xml:space="preserve"> </w:t>
      </w:r>
    </w:p>
    <w:p w14:paraId="7CB96EF3" w14:textId="0DCDC0DE" w:rsidR="00C57634" w:rsidRPr="000F052B" w:rsidRDefault="00EB6698"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ab/>
      </w:r>
      <w:r w:rsidR="00220085">
        <w:rPr>
          <w:rFonts w:ascii="Times New Roman" w:hAnsi="Times New Roman" w:cs="Times New Roman"/>
          <w:sz w:val="24"/>
          <w:szCs w:val="24"/>
          <w:lang w:val="en-US"/>
        </w:rPr>
        <w:t>The following Part II</w:t>
      </w:r>
      <w:r w:rsidR="00C57634" w:rsidRPr="000F052B">
        <w:rPr>
          <w:rFonts w:ascii="Times New Roman" w:hAnsi="Times New Roman" w:cs="Times New Roman"/>
          <w:sz w:val="24"/>
          <w:szCs w:val="24"/>
          <w:lang w:val="en-US"/>
        </w:rPr>
        <w:t xml:space="preserve"> will provide the theoretical backdrop to our inquiry, where we will set out what we mean by </w:t>
      </w:r>
      <w:r w:rsidR="0035606D">
        <w:rPr>
          <w:rFonts w:ascii="Times New Roman" w:hAnsi="Times New Roman" w:cs="Times New Roman"/>
          <w:sz w:val="24"/>
          <w:szCs w:val="24"/>
          <w:lang w:val="en-US"/>
        </w:rPr>
        <w:t>a “practical analysis”</w:t>
      </w:r>
      <w:r w:rsidR="000F6659" w:rsidRPr="000F052B">
        <w:rPr>
          <w:rFonts w:ascii="Times New Roman" w:hAnsi="Times New Roman" w:cs="Times New Roman"/>
          <w:sz w:val="24"/>
          <w:szCs w:val="24"/>
          <w:lang w:val="en-US"/>
        </w:rPr>
        <w:t xml:space="preserve"> </w:t>
      </w:r>
      <w:r w:rsidR="00C57634" w:rsidRPr="000F052B">
        <w:rPr>
          <w:rFonts w:ascii="Times New Roman" w:hAnsi="Times New Roman" w:cs="Times New Roman"/>
          <w:sz w:val="24"/>
          <w:szCs w:val="24"/>
          <w:lang w:val="en-US"/>
        </w:rPr>
        <w:t>and how we intend to employ this paradigm in the</w:t>
      </w:r>
      <w:r w:rsidR="00AC60F1" w:rsidRPr="000F052B">
        <w:rPr>
          <w:rFonts w:ascii="Times New Roman" w:hAnsi="Times New Roman" w:cs="Times New Roman"/>
          <w:sz w:val="24"/>
          <w:szCs w:val="24"/>
          <w:lang w:val="en-US"/>
        </w:rPr>
        <w:t xml:space="preserve"> </w:t>
      </w:r>
      <w:r w:rsidR="00C57634" w:rsidRPr="000F052B">
        <w:rPr>
          <w:rFonts w:ascii="Times New Roman" w:hAnsi="Times New Roman" w:cs="Times New Roman"/>
          <w:sz w:val="24"/>
          <w:szCs w:val="24"/>
          <w:lang w:val="en-US"/>
        </w:rPr>
        <w:t>compar</w:t>
      </w:r>
      <w:r w:rsidR="00AC60F1" w:rsidRPr="000F052B">
        <w:rPr>
          <w:rFonts w:ascii="Times New Roman" w:hAnsi="Times New Roman" w:cs="Times New Roman"/>
          <w:sz w:val="24"/>
          <w:szCs w:val="24"/>
          <w:lang w:val="en-US"/>
        </w:rPr>
        <w:t>ison</w:t>
      </w:r>
      <w:r w:rsidR="00C57634" w:rsidRPr="000F052B">
        <w:rPr>
          <w:rFonts w:ascii="Times New Roman" w:hAnsi="Times New Roman" w:cs="Times New Roman"/>
          <w:sz w:val="24"/>
          <w:szCs w:val="24"/>
          <w:lang w:val="en-US"/>
        </w:rPr>
        <w:t xml:space="preserve"> of a given doctrine of contract law</w:t>
      </w:r>
      <w:r w:rsidR="00AC60F1" w:rsidRPr="000F052B">
        <w:rPr>
          <w:rFonts w:ascii="Times New Roman" w:hAnsi="Times New Roman" w:cs="Times New Roman"/>
          <w:sz w:val="24"/>
          <w:szCs w:val="24"/>
          <w:lang w:val="en-US"/>
        </w:rPr>
        <w:t xml:space="preserve"> in two different systems</w:t>
      </w:r>
      <w:r w:rsidR="00C57634" w:rsidRPr="000F052B">
        <w:rPr>
          <w:rFonts w:ascii="Times New Roman" w:hAnsi="Times New Roman" w:cs="Times New Roman"/>
          <w:sz w:val="24"/>
          <w:szCs w:val="24"/>
          <w:lang w:val="en-US"/>
        </w:rPr>
        <w:t xml:space="preserve">.  Part </w:t>
      </w:r>
      <w:r w:rsidR="00220085">
        <w:rPr>
          <w:rFonts w:ascii="Times New Roman" w:hAnsi="Times New Roman" w:cs="Times New Roman"/>
          <w:sz w:val="24"/>
          <w:szCs w:val="24"/>
          <w:lang w:val="en-US"/>
        </w:rPr>
        <w:t>III</w:t>
      </w:r>
      <w:r w:rsidR="00C57634" w:rsidRPr="000F052B">
        <w:rPr>
          <w:rFonts w:ascii="Times New Roman" w:hAnsi="Times New Roman" w:cs="Times New Roman"/>
          <w:sz w:val="24"/>
          <w:szCs w:val="24"/>
          <w:lang w:val="en-US"/>
        </w:rPr>
        <w:t xml:space="preserve"> </w:t>
      </w:r>
      <w:r w:rsidR="00DC3CDE" w:rsidRPr="000F052B">
        <w:rPr>
          <w:rFonts w:ascii="Times New Roman" w:hAnsi="Times New Roman" w:cs="Times New Roman"/>
          <w:sz w:val="24"/>
          <w:szCs w:val="24"/>
          <w:lang w:val="en-US"/>
        </w:rPr>
        <w:t>will form the core of the paper:</w:t>
      </w:r>
      <w:r w:rsidR="00C57634" w:rsidRPr="000F052B">
        <w:rPr>
          <w:rFonts w:ascii="Times New Roman" w:hAnsi="Times New Roman" w:cs="Times New Roman"/>
          <w:sz w:val="24"/>
          <w:szCs w:val="24"/>
          <w:lang w:val="en-US"/>
        </w:rPr>
        <w:t xml:space="preserve"> </w:t>
      </w:r>
      <w:r w:rsidR="00DC3CDE" w:rsidRPr="000F052B">
        <w:rPr>
          <w:rFonts w:ascii="Times New Roman" w:hAnsi="Times New Roman" w:cs="Times New Roman"/>
          <w:sz w:val="24"/>
          <w:szCs w:val="24"/>
          <w:lang w:val="en-US"/>
        </w:rPr>
        <w:t>h</w:t>
      </w:r>
      <w:r w:rsidR="00C57634" w:rsidRPr="000F052B">
        <w:rPr>
          <w:rFonts w:ascii="Times New Roman" w:hAnsi="Times New Roman" w:cs="Times New Roman"/>
          <w:sz w:val="24"/>
          <w:szCs w:val="24"/>
          <w:lang w:val="en-US"/>
        </w:rPr>
        <w:t>ere we will consider three problems of privity, using case law and legislation to provide a black letter account of the law</w:t>
      </w:r>
      <w:r w:rsidR="00DC3CDE" w:rsidRPr="000F052B">
        <w:rPr>
          <w:rFonts w:ascii="Times New Roman" w:hAnsi="Times New Roman" w:cs="Times New Roman"/>
          <w:sz w:val="24"/>
          <w:szCs w:val="24"/>
          <w:lang w:val="en-US"/>
        </w:rPr>
        <w:t>, which will facilitate comparison of our two jurisdictions as well as the notional application of our theoretical paradi</w:t>
      </w:r>
      <w:r w:rsidR="006963AE" w:rsidRPr="000F052B">
        <w:rPr>
          <w:rFonts w:ascii="Times New Roman" w:hAnsi="Times New Roman" w:cs="Times New Roman"/>
          <w:sz w:val="24"/>
          <w:szCs w:val="24"/>
          <w:lang w:val="en-US"/>
        </w:rPr>
        <w:t>g</w:t>
      </w:r>
      <w:r w:rsidR="00DC3CDE" w:rsidRPr="000F052B">
        <w:rPr>
          <w:rFonts w:ascii="Times New Roman" w:hAnsi="Times New Roman" w:cs="Times New Roman"/>
          <w:sz w:val="24"/>
          <w:szCs w:val="24"/>
          <w:lang w:val="en-US"/>
        </w:rPr>
        <w:t>m</w:t>
      </w:r>
      <w:r w:rsidR="00C57634" w:rsidRPr="000F052B">
        <w:rPr>
          <w:rFonts w:ascii="Times New Roman" w:hAnsi="Times New Roman" w:cs="Times New Roman"/>
          <w:sz w:val="24"/>
          <w:szCs w:val="24"/>
          <w:lang w:val="en-US"/>
        </w:rPr>
        <w:t>.</w:t>
      </w:r>
      <w:r w:rsidR="00922C06" w:rsidRPr="000F052B">
        <w:rPr>
          <w:rFonts w:ascii="Times New Roman" w:hAnsi="Times New Roman" w:cs="Times New Roman"/>
          <w:sz w:val="24"/>
          <w:szCs w:val="24"/>
          <w:lang w:val="en-US"/>
        </w:rPr>
        <w:t xml:space="preserve">  </w:t>
      </w:r>
      <w:r w:rsidR="00266991">
        <w:rPr>
          <w:rFonts w:ascii="Times New Roman" w:hAnsi="Times New Roman" w:cs="Times New Roman"/>
          <w:sz w:val="24"/>
          <w:szCs w:val="24"/>
          <w:lang w:val="en-US"/>
        </w:rPr>
        <w:t xml:space="preserve">These three problems of privity are: </w:t>
      </w:r>
      <w:r w:rsidR="00B4566F">
        <w:rPr>
          <w:rFonts w:ascii="Times New Roman" w:hAnsi="Times New Roman" w:cs="Times New Roman"/>
          <w:sz w:val="24"/>
          <w:szCs w:val="24"/>
          <w:lang w:val="en-US"/>
        </w:rPr>
        <w:t>(1</w:t>
      </w:r>
      <w:r w:rsidR="008F0384">
        <w:rPr>
          <w:rFonts w:ascii="Times New Roman" w:hAnsi="Times New Roman" w:cs="Times New Roman"/>
          <w:sz w:val="24"/>
          <w:szCs w:val="24"/>
          <w:lang w:val="en-US"/>
        </w:rPr>
        <w:t xml:space="preserve">) </w:t>
      </w:r>
      <w:r w:rsidR="002A0456">
        <w:rPr>
          <w:rFonts w:ascii="Times New Roman" w:hAnsi="Times New Roman" w:cs="Times New Roman"/>
          <w:sz w:val="24"/>
          <w:szCs w:val="24"/>
          <w:lang w:val="en-US"/>
        </w:rPr>
        <w:t xml:space="preserve">the </w:t>
      </w:r>
      <w:r w:rsidR="00266991" w:rsidRPr="00266991">
        <w:rPr>
          <w:rFonts w:ascii="Times New Roman" w:hAnsi="Times New Roman" w:cs="Times New Roman"/>
          <w:sz w:val="24"/>
          <w:szCs w:val="24"/>
          <w:lang w:val="en-GB"/>
        </w:rPr>
        <w:t xml:space="preserve">conferral </w:t>
      </w:r>
      <w:r w:rsidR="00266991">
        <w:rPr>
          <w:rFonts w:ascii="Times New Roman" w:hAnsi="Times New Roman" w:cs="Times New Roman"/>
          <w:sz w:val="24"/>
          <w:szCs w:val="24"/>
          <w:lang w:val="en-GB"/>
        </w:rPr>
        <w:t>of a benefit to a third party</w:t>
      </w:r>
      <w:r w:rsidR="00B4566F">
        <w:rPr>
          <w:rFonts w:ascii="Times New Roman" w:hAnsi="Times New Roman" w:cs="Times New Roman"/>
          <w:sz w:val="24"/>
          <w:szCs w:val="24"/>
          <w:lang w:val="en-GB"/>
        </w:rPr>
        <w:t>; (2</w:t>
      </w:r>
      <w:r w:rsidR="008F0384">
        <w:rPr>
          <w:rFonts w:ascii="Times New Roman" w:hAnsi="Times New Roman" w:cs="Times New Roman"/>
          <w:sz w:val="24"/>
          <w:szCs w:val="24"/>
          <w:lang w:val="en-GB"/>
        </w:rPr>
        <w:t xml:space="preserve">) </w:t>
      </w:r>
      <w:r w:rsidR="008A5B59">
        <w:rPr>
          <w:rFonts w:ascii="Times New Roman" w:hAnsi="Times New Roman" w:cs="Times New Roman"/>
          <w:sz w:val="24"/>
          <w:szCs w:val="24"/>
          <w:lang w:val="en-GB"/>
        </w:rPr>
        <w:t xml:space="preserve">extension clauses in </w:t>
      </w:r>
      <w:r w:rsidR="00266991">
        <w:rPr>
          <w:rFonts w:ascii="Times New Roman" w:hAnsi="Times New Roman" w:cs="Times New Roman"/>
          <w:sz w:val="24"/>
          <w:szCs w:val="24"/>
          <w:lang w:val="en-GB"/>
        </w:rPr>
        <w:t xml:space="preserve">motor vehicle </w:t>
      </w:r>
      <w:r w:rsidR="008A5B59">
        <w:rPr>
          <w:rFonts w:ascii="Times New Roman" w:hAnsi="Times New Roman" w:cs="Times New Roman"/>
          <w:sz w:val="24"/>
          <w:szCs w:val="24"/>
          <w:lang w:val="en-GB"/>
        </w:rPr>
        <w:t>insurance policies</w:t>
      </w:r>
      <w:r w:rsidR="008F0384">
        <w:rPr>
          <w:rFonts w:ascii="Times New Roman" w:hAnsi="Times New Roman" w:cs="Times New Roman"/>
          <w:sz w:val="24"/>
          <w:szCs w:val="24"/>
          <w:lang w:val="en-GB"/>
        </w:rPr>
        <w:t>;</w:t>
      </w:r>
      <w:r w:rsidR="00266991" w:rsidRPr="00266991">
        <w:rPr>
          <w:rFonts w:ascii="Times New Roman" w:hAnsi="Times New Roman" w:cs="Times New Roman"/>
          <w:sz w:val="24"/>
          <w:szCs w:val="24"/>
          <w:lang w:val="en-GB"/>
        </w:rPr>
        <w:t xml:space="preserve"> and</w:t>
      </w:r>
      <w:r w:rsidR="00B4566F">
        <w:rPr>
          <w:rFonts w:ascii="Times New Roman" w:hAnsi="Times New Roman" w:cs="Times New Roman"/>
          <w:sz w:val="24"/>
          <w:szCs w:val="24"/>
          <w:lang w:val="en-GB"/>
        </w:rPr>
        <w:t xml:space="preserve"> (3</w:t>
      </w:r>
      <w:r w:rsidR="008F0384">
        <w:rPr>
          <w:rFonts w:ascii="Times New Roman" w:hAnsi="Times New Roman" w:cs="Times New Roman"/>
          <w:sz w:val="24"/>
          <w:szCs w:val="24"/>
          <w:lang w:val="en-GB"/>
        </w:rPr>
        <w:t>)</w:t>
      </w:r>
      <w:r w:rsidR="00266991" w:rsidRPr="00266991">
        <w:rPr>
          <w:rFonts w:ascii="Times New Roman" w:hAnsi="Times New Roman" w:cs="Times New Roman"/>
          <w:sz w:val="24"/>
          <w:szCs w:val="24"/>
          <w:lang w:val="en-GB"/>
        </w:rPr>
        <w:t xml:space="preserve"> umbrella agreements</w:t>
      </w:r>
      <w:r w:rsidR="00266991">
        <w:rPr>
          <w:rFonts w:ascii="Times New Roman" w:hAnsi="Times New Roman" w:cs="Times New Roman"/>
          <w:sz w:val="24"/>
          <w:szCs w:val="24"/>
          <w:lang w:val="en-US"/>
        </w:rPr>
        <w:t xml:space="preserve">, </w:t>
      </w:r>
      <w:r w:rsidR="00266991" w:rsidRPr="00266991">
        <w:rPr>
          <w:rFonts w:ascii="Times New Roman" w:hAnsi="Times New Roman" w:cs="Times New Roman"/>
          <w:sz w:val="24"/>
          <w:szCs w:val="24"/>
          <w:lang w:val="en-US"/>
        </w:rPr>
        <w:t>which we will analyze from the perspective</w:t>
      </w:r>
      <w:r w:rsidR="008A5B59">
        <w:rPr>
          <w:rFonts w:ascii="Times New Roman" w:hAnsi="Times New Roman" w:cs="Times New Roman"/>
          <w:sz w:val="24"/>
          <w:szCs w:val="24"/>
          <w:lang w:val="en-US"/>
        </w:rPr>
        <w:t>s</w:t>
      </w:r>
      <w:r w:rsidR="00266991" w:rsidRPr="00266991">
        <w:rPr>
          <w:rFonts w:ascii="Times New Roman" w:hAnsi="Times New Roman" w:cs="Times New Roman"/>
          <w:sz w:val="24"/>
          <w:szCs w:val="24"/>
          <w:lang w:val="en-US"/>
        </w:rPr>
        <w:t xml:space="preserve"> of </w:t>
      </w:r>
      <w:r w:rsidR="00266991">
        <w:rPr>
          <w:rFonts w:ascii="Times New Roman" w:hAnsi="Times New Roman" w:cs="Times New Roman"/>
          <w:sz w:val="24"/>
          <w:szCs w:val="24"/>
          <w:lang w:val="en-GB"/>
        </w:rPr>
        <w:t>supply chain, casual employment,</w:t>
      </w:r>
      <w:r w:rsidR="00266991" w:rsidRPr="00266991">
        <w:rPr>
          <w:rFonts w:ascii="Times New Roman" w:hAnsi="Times New Roman" w:cs="Times New Roman"/>
          <w:sz w:val="24"/>
          <w:szCs w:val="24"/>
          <w:lang w:val="en-GB"/>
        </w:rPr>
        <w:t xml:space="preserve"> and financial sector arrangements</w:t>
      </w:r>
      <w:r w:rsidR="00266991">
        <w:rPr>
          <w:rFonts w:ascii="Times New Roman" w:hAnsi="Times New Roman" w:cs="Times New Roman"/>
          <w:sz w:val="24"/>
          <w:szCs w:val="24"/>
          <w:lang w:val="en-GB"/>
        </w:rPr>
        <w:t>.</w:t>
      </w:r>
      <w:r w:rsidR="00266991" w:rsidRPr="00266991">
        <w:rPr>
          <w:rFonts w:ascii="Times New Roman" w:hAnsi="Times New Roman" w:cs="Times New Roman"/>
          <w:sz w:val="24"/>
          <w:szCs w:val="24"/>
          <w:lang w:val="en-US"/>
        </w:rPr>
        <w:t xml:space="preserve"> </w:t>
      </w:r>
      <w:r w:rsidR="00220085">
        <w:rPr>
          <w:rFonts w:ascii="Times New Roman" w:hAnsi="Times New Roman" w:cs="Times New Roman"/>
          <w:sz w:val="24"/>
          <w:szCs w:val="24"/>
          <w:lang w:val="en-US"/>
        </w:rPr>
        <w:t>Part IV</w:t>
      </w:r>
      <w:r w:rsidR="008458A4">
        <w:rPr>
          <w:rFonts w:ascii="Times New Roman" w:hAnsi="Times New Roman" w:cs="Times New Roman"/>
          <w:sz w:val="24"/>
          <w:szCs w:val="24"/>
          <w:lang w:val="en-US"/>
        </w:rPr>
        <w:t xml:space="preserve"> </w:t>
      </w:r>
      <w:r w:rsidR="00590BCB" w:rsidRPr="000F052B">
        <w:rPr>
          <w:rFonts w:ascii="Times New Roman" w:hAnsi="Times New Roman" w:cs="Times New Roman"/>
          <w:sz w:val="24"/>
          <w:szCs w:val="24"/>
          <w:lang w:val="en-US"/>
        </w:rPr>
        <w:t xml:space="preserve">will conclude with a comparative discussion of Australian and South African legal culture and context, as well as how these </w:t>
      </w:r>
      <w:r w:rsidR="007E1926">
        <w:rPr>
          <w:rFonts w:ascii="Times New Roman" w:hAnsi="Times New Roman" w:cs="Times New Roman"/>
          <w:sz w:val="24"/>
          <w:szCs w:val="24"/>
          <w:lang w:val="en-US"/>
        </w:rPr>
        <w:t>enable</w:t>
      </w:r>
      <w:r w:rsidR="00590BCB" w:rsidRPr="000F052B">
        <w:rPr>
          <w:rFonts w:ascii="Times New Roman" w:hAnsi="Times New Roman" w:cs="Times New Roman"/>
          <w:sz w:val="24"/>
          <w:szCs w:val="24"/>
          <w:lang w:val="en-US"/>
        </w:rPr>
        <w:t xml:space="preserve"> contractual relations in each jurisdiction, with particular regard to the doctrine of privity.  </w:t>
      </w:r>
    </w:p>
    <w:p w14:paraId="5D82AC4C" w14:textId="140F88FF" w:rsidR="0018714C" w:rsidRDefault="00DF6671" w:rsidP="0018714C">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r>
      <w:r w:rsidR="00922C06" w:rsidRPr="000F052B">
        <w:rPr>
          <w:rFonts w:ascii="Times New Roman" w:hAnsi="Times New Roman" w:cs="Times New Roman"/>
          <w:sz w:val="24"/>
          <w:szCs w:val="24"/>
          <w:lang w:val="en-US"/>
        </w:rPr>
        <w:t>In the process of our anal</w:t>
      </w:r>
      <w:r w:rsidR="009F5657" w:rsidRPr="000F052B">
        <w:rPr>
          <w:rFonts w:ascii="Times New Roman" w:hAnsi="Times New Roman" w:cs="Times New Roman"/>
          <w:sz w:val="24"/>
          <w:szCs w:val="24"/>
          <w:lang w:val="en-US"/>
        </w:rPr>
        <w:t>ysis</w:t>
      </w:r>
      <w:r w:rsidR="00922C06" w:rsidRPr="000F052B">
        <w:rPr>
          <w:rFonts w:ascii="Times New Roman" w:hAnsi="Times New Roman" w:cs="Times New Roman"/>
          <w:sz w:val="24"/>
          <w:szCs w:val="24"/>
          <w:lang w:val="en-US"/>
        </w:rPr>
        <w:t>, we</w:t>
      </w:r>
      <w:r w:rsidR="009F5657" w:rsidRPr="000F052B">
        <w:rPr>
          <w:rFonts w:ascii="Times New Roman" w:hAnsi="Times New Roman" w:cs="Times New Roman"/>
          <w:sz w:val="24"/>
          <w:szCs w:val="24"/>
          <w:lang w:val="en-US"/>
        </w:rPr>
        <w:t xml:space="preserve"> will take the doctrine of privity beyond Common law, both through the use of a mixed system as a comparator, as well as, on a deeper level, into the realm of business relationships and </w:t>
      </w:r>
      <w:r w:rsidR="00922C06" w:rsidRPr="000F052B">
        <w:rPr>
          <w:rFonts w:ascii="Times New Roman" w:hAnsi="Times New Roman" w:cs="Times New Roman"/>
          <w:sz w:val="24"/>
          <w:szCs w:val="24"/>
          <w:lang w:val="en-US"/>
        </w:rPr>
        <w:t xml:space="preserve">sociolegal </w:t>
      </w:r>
      <w:r w:rsidR="009F5657" w:rsidRPr="000F052B">
        <w:rPr>
          <w:rFonts w:ascii="Times New Roman" w:hAnsi="Times New Roman" w:cs="Times New Roman"/>
          <w:sz w:val="24"/>
          <w:szCs w:val="24"/>
          <w:lang w:val="en-US"/>
        </w:rPr>
        <w:t xml:space="preserve">contract </w:t>
      </w:r>
      <w:r w:rsidR="00FD0C31" w:rsidRPr="000F052B">
        <w:rPr>
          <w:rFonts w:ascii="Times New Roman" w:hAnsi="Times New Roman" w:cs="Times New Roman"/>
          <w:sz w:val="24"/>
          <w:szCs w:val="24"/>
          <w:lang w:val="en-US"/>
        </w:rPr>
        <w:t>behavior</w:t>
      </w:r>
      <w:r w:rsidR="009F5657" w:rsidRPr="000F052B">
        <w:rPr>
          <w:rFonts w:ascii="Times New Roman" w:hAnsi="Times New Roman" w:cs="Times New Roman"/>
          <w:sz w:val="24"/>
          <w:szCs w:val="24"/>
          <w:lang w:val="en-US"/>
        </w:rPr>
        <w:t>.</w:t>
      </w:r>
    </w:p>
    <w:p w14:paraId="33076CCA" w14:textId="77777777" w:rsidR="00813D39" w:rsidRPr="0018714C" w:rsidRDefault="00813D39" w:rsidP="0018714C">
      <w:pPr>
        <w:spacing w:after="120" w:line="480" w:lineRule="auto"/>
        <w:jc w:val="both"/>
        <w:rPr>
          <w:rFonts w:ascii="Times New Roman" w:hAnsi="Times New Roman" w:cs="Times New Roman"/>
          <w:sz w:val="24"/>
          <w:szCs w:val="24"/>
          <w:lang w:val="en-US"/>
        </w:rPr>
      </w:pPr>
    </w:p>
    <w:p w14:paraId="0F3510EF" w14:textId="5632C96D" w:rsidR="00536736" w:rsidRPr="000F052B" w:rsidRDefault="00BA471B" w:rsidP="00BA471B">
      <w:pPr>
        <w:spacing w:after="120" w:line="480" w:lineRule="auto"/>
        <w:jc w:val="center"/>
        <w:rPr>
          <w:rFonts w:ascii="Times New Roman" w:hAnsi="Times New Roman" w:cs="Times New Roman"/>
          <w:smallCaps/>
          <w:sz w:val="32"/>
          <w:szCs w:val="24"/>
          <w:u w:val="single"/>
          <w:lang w:val="en-US"/>
        </w:rPr>
      </w:pPr>
      <w:r w:rsidRPr="000F052B">
        <w:rPr>
          <w:rFonts w:ascii="Times New Roman" w:hAnsi="Times New Roman" w:cs="Times New Roman"/>
          <w:smallCaps/>
          <w:sz w:val="32"/>
          <w:szCs w:val="24"/>
          <w:lang w:val="en-US"/>
        </w:rPr>
        <w:t>II</w:t>
      </w:r>
      <w:r w:rsidR="006224A8" w:rsidRPr="000F052B">
        <w:rPr>
          <w:rFonts w:ascii="Times New Roman" w:hAnsi="Times New Roman" w:cs="Times New Roman"/>
          <w:smallCaps/>
          <w:sz w:val="32"/>
          <w:szCs w:val="24"/>
          <w:lang w:val="en-US"/>
        </w:rPr>
        <w:t>. The Nature of this Analysis</w:t>
      </w:r>
    </w:p>
    <w:p w14:paraId="75A93598" w14:textId="423868C3" w:rsidR="001B2324" w:rsidRPr="000F052B" w:rsidRDefault="001B2324"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this comparison of the doctrine of privity in Australia and South Africa, our intention is to draw from the micro-perspective of three specific case studies, certain macro-conclusions.  In this regard, we aim to answer questions such as the extent to which</w:t>
      </w:r>
      <w:r w:rsidR="0035606D">
        <w:rPr>
          <w:rFonts w:ascii="Times New Roman" w:hAnsi="Times New Roman" w:cs="Times New Roman"/>
          <w:sz w:val="24"/>
          <w:szCs w:val="24"/>
          <w:lang w:val="en-US"/>
        </w:rPr>
        <w:t xml:space="preserve"> privity, part of the received “</w:t>
      </w:r>
      <w:r w:rsidRPr="000F052B">
        <w:rPr>
          <w:rFonts w:ascii="Times New Roman" w:hAnsi="Times New Roman" w:cs="Times New Roman"/>
          <w:sz w:val="24"/>
          <w:szCs w:val="24"/>
          <w:lang w:val="en-US"/>
        </w:rPr>
        <w:t>cla</w:t>
      </w:r>
      <w:r w:rsidR="0035606D">
        <w:rPr>
          <w:rFonts w:ascii="Times New Roman" w:hAnsi="Times New Roman" w:cs="Times New Roman"/>
          <w:sz w:val="24"/>
          <w:szCs w:val="24"/>
          <w:lang w:val="en-US"/>
        </w:rPr>
        <w:t>ssical”</w:t>
      </w:r>
      <w:r w:rsidRPr="000F052B">
        <w:rPr>
          <w:rFonts w:ascii="Times New Roman" w:hAnsi="Times New Roman" w:cs="Times New Roman"/>
          <w:sz w:val="24"/>
          <w:szCs w:val="24"/>
          <w:lang w:val="en-US"/>
        </w:rPr>
        <w:t xml:space="preserve"> law of contract in both countries, has been overtaken by broader social issues of </w:t>
      </w:r>
      <w:r w:rsidRPr="000F052B">
        <w:rPr>
          <w:rFonts w:ascii="Times New Roman" w:hAnsi="Times New Roman" w:cs="Times New Roman"/>
          <w:sz w:val="24"/>
          <w:szCs w:val="24"/>
          <w:lang w:val="en-US"/>
        </w:rPr>
        <w:lastRenderedPageBreak/>
        <w:t xml:space="preserve">public regulation through welfarist interventions in contract law.  This social element of our inquiry will proceed on two bases outlined below, namely: </w:t>
      </w:r>
      <w:r w:rsidR="006A2D9E" w:rsidRPr="000F052B">
        <w:rPr>
          <w:rFonts w:ascii="Times New Roman" w:hAnsi="Times New Roman" w:cs="Times New Roman"/>
          <w:sz w:val="24"/>
          <w:szCs w:val="24"/>
          <w:lang w:val="en-US"/>
        </w:rPr>
        <w:t xml:space="preserve">(1) </w:t>
      </w:r>
      <w:r w:rsidRPr="000F052B">
        <w:rPr>
          <w:rFonts w:ascii="Times New Roman" w:hAnsi="Times New Roman" w:cs="Times New Roman"/>
          <w:sz w:val="24"/>
          <w:szCs w:val="24"/>
          <w:lang w:val="en-US"/>
        </w:rPr>
        <w:t>a law and s</w:t>
      </w:r>
      <w:r w:rsidR="0035606D">
        <w:rPr>
          <w:rFonts w:ascii="Times New Roman" w:hAnsi="Times New Roman" w:cs="Times New Roman"/>
          <w:sz w:val="24"/>
          <w:szCs w:val="24"/>
          <w:lang w:val="en-US"/>
        </w:rPr>
        <w:t>ociety account, drawing on the “embedded”</w:t>
      </w:r>
      <w:r w:rsidRPr="000F052B">
        <w:rPr>
          <w:rFonts w:ascii="Times New Roman" w:hAnsi="Times New Roman" w:cs="Times New Roman"/>
          <w:sz w:val="24"/>
          <w:szCs w:val="24"/>
          <w:lang w:val="en-US"/>
        </w:rPr>
        <w:t xml:space="preserve"> nature of contractual relations in broader issues of </w:t>
      </w:r>
      <w:r w:rsidR="006A2D9E" w:rsidRPr="000F052B">
        <w:rPr>
          <w:rFonts w:ascii="Times New Roman" w:hAnsi="Times New Roman" w:cs="Times New Roman"/>
          <w:sz w:val="24"/>
          <w:szCs w:val="24"/>
          <w:lang w:val="en-US"/>
        </w:rPr>
        <w:t>business relationships and economic considerations; and (2) an inquiry into the role of legal context and culture in shaping the comparative contractual doctrines here, which we investigate through the medium of the role of considerations of fairness, good faith, and the protection of reasonable expectations in each system.  Each approach will be briefly fleshed out below</w:t>
      </w:r>
      <w:r w:rsidR="006746A8" w:rsidRPr="000F052B">
        <w:rPr>
          <w:rFonts w:ascii="Times New Roman" w:hAnsi="Times New Roman" w:cs="Times New Roman"/>
          <w:sz w:val="24"/>
          <w:szCs w:val="24"/>
          <w:lang w:val="en-US"/>
        </w:rPr>
        <w:t>.</w:t>
      </w:r>
    </w:p>
    <w:p w14:paraId="0298C382" w14:textId="51649241" w:rsidR="00A43398" w:rsidRPr="000F052B" w:rsidRDefault="00BA471B" w:rsidP="00913ECF">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A.</w:t>
      </w:r>
      <w:r w:rsidR="00C17BF6" w:rsidRPr="000F052B">
        <w:rPr>
          <w:rFonts w:ascii="Times New Roman" w:hAnsi="Times New Roman" w:cs="Times New Roman"/>
          <w:i/>
          <w:sz w:val="28"/>
          <w:szCs w:val="24"/>
          <w:lang w:val="en-US"/>
        </w:rPr>
        <w:t xml:space="preserve"> Sociolegal Contract Theory and P</w:t>
      </w:r>
      <w:r w:rsidR="00A43398" w:rsidRPr="000F052B">
        <w:rPr>
          <w:rFonts w:ascii="Times New Roman" w:hAnsi="Times New Roman" w:cs="Times New Roman"/>
          <w:i/>
          <w:sz w:val="28"/>
          <w:szCs w:val="24"/>
          <w:lang w:val="en-US"/>
        </w:rPr>
        <w:t>rivity</w:t>
      </w:r>
    </w:p>
    <w:p w14:paraId="051DBC2E" w14:textId="7F92C6DA" w:rsidR="009218B2" w:rsidRPr="000F052B" w:rsidRDefault="009218B2"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 law and society account of contracting should make clear exactly what theoretical paradigm the analysis</w:t>
      </w:r>
      <w:r w:rsidR="00610530" w:rsidRPr="000F052B">
        <w:rPr>
          <w:rFonts w:ascii="Times New Roman" w:hAnsi="Times New Roman" w:cs="Times New Roman"/>
          <w:sz w:val="24"/>
          <w:szCs w:val="24"/>
          <w:lang w:val="en-US"/>
        </w:rPr>
        <w:t xml:space="preserve"> will use</w:t>
      </w:r>
      <w:r w:rsidRPr="000F052B">
        <w:rPr>
          <w:rFonts w:ascii="Times New Roman" w:hAnsi="Times New Roman" w:cs="Times New Roman"/>
          <w:sz w:val="24"/>
          <w:szCs w:val="24"/>
          <w:lang w:val="en-US"/>
        </w:rPr>
        <w:t>.  Our</w:t>
      </w:r>
      <w:r w:rsidR="00610530" w:rsidRPr="000F052B">
        <w:rPr>
          <w:rFonts w:ascii="Times New Roman" w:hAnsi="Times New Roman" w:cs="Times New Roman"/>
          <w:sz w:val="24"/>
          <w:szCs w:val="24"/>
          <w:lang w:val="en-US"/>
        </w:rPr>
        <w:t xml:space="preserve"> aim is simply </w:t>
      </w:r>
      <w:r w:rsidRPr="000F052B">
        <w:rPr>
          <w:rFonts w:ascii="Times New Roman" w:hAnsi="Times New Roman" w:cs="Times New Roman"/>
          <w:sz w:val="24"/>
          <w:szCs w:val="24"/>
          <w:lang w:val="en-US"/>
        </w:rPr>
        <w:t>to provide a practical</w:t>
      </w:r>
      <w:r w:rsidR="00610530" w:rsidRPr="000F052B">
        <w:rPr>
          <w:rFonts w:ascii="Times New Roman" w:hAnsi="Times New Roman" w:cs="Times New Roman"/>
          <w:sz w:val="24"/>
          <w:szCs w:val="24"/>
          <w:lang w:val="en-US"/>
        </w:rPr>
        <w:t xml:space="preserve">, </w:t>
      </w:r>
      <w:r w:rsidR="00FD0C31" w:rsidRPr="000F052B">
        <w:rPr>
          <w:rFonts w:ascii="Times New Roman" w:hAnsi="Times New Roman" w:cs="Times New Roman"/>
          <w:sz w:val="24"/>
          <w:szCs w:val="24"/>
          <w:lang w:val="en-US"/>
        </w:rPr>
        <w:t>contextualized</w:t>
      </w:r>
      <w:r w:rsidRPr="000F052B">
        <w:rPr>
          <w:rFonts w:ascii="Times New Roman" w:hAnsi="Times New Roman" w:cs="Times New Roman"/>
          <w:sz w:val="24"/>
          <w:szCs w:val="24"/>
          <w:lang w:val="en-US"/>
        </w:rPr>
        <w:t xml:space="preserve"> view of the doctrine of privity.  </w:t>
      </w:r>
      <w:r w:rsidR="00610530" w:rsidRPr="000F052B">
        <w:rPr>
          <w:rFonts w:ascii="Times New Roman" w:hAnsi="Times New Roman" w:cs="Times New Roman"/>
          <w:sz w:val="24"/>
          <w:szCs w:val="24"/>
          <w:lang w:val="en-US"/>
        </w:rPr>
        <w:t>I</w:t>
      </w:r>
      <w:r w:rsidRPr="000F052B">
        <w:rPr>
          <w:rFonts w:ascii="Times New Roman" w:hAnsi="Times New Roman" w:cs="Times New Roman"/>
          <w:sz w:val="24"/>
          <w:szCs w:val="24"/>
          <w:lang w:val="en-US"/>
        </w:rPr>
        <w:t>n many respects</w:t>
      </w:r>
      <w:r w:rsidR="00610530" w:rsidRPr="000F052B">
        <w:rPr>
          <w:rFonts w:ascii="Times New Roman" w:hAnsi="Times New Roman" w:cs="Times New Roman"/>
          <w:sz w:val="24"/>
          <w:szCs w:val="24"/>
          <w:lang w:val="en-US"/>
        </w:rPr>
        <w:t>, our project is</w:t>
      </w:r>
      <w:r w:rsidRPr="000F052B">
        <w:rPr>
          <w:rFonts w:ascii="Times New Roman" w:hAnsi="Times New Roman" w:cs="Times New Roman"/>
          <w:sz w:val="24"/>
          <w:szCs w:val="24"/>
          <w:lang w:val="en-US"/>
        </w:rPr>
        <w:t xml:space="preserve"> largely</w:t>
      </w:r>
      <w:r w:rsidR="00610530" w:rsidRPr="000F052B">
        <w:rPr>
          <w:rFonts w:ascii="Times New Roman" w:hAnsi="Times New Roman" w:cs="Times New Roman"/>
          <w:sz w:val="24"/>
          <w:szCs w:val="24"/>
          <w:lang w:val="en-US"/>
        </w:rPr>
        <w:t xml:space="preserve"> simply</w:t>
      </w:r>
      <w:r w:rsidRPr="000F052B">
        <w:rPr>
          <w:rFonts w:ascii="Times New Roman" w:hAnsi="Times New Roman" w:cs="Times New Roman"/>
          <w:sz w:val="24"/>
          <w:szCs w:val="24"/>
          <w:lang w:val="en-US"/>
        </w:rPr>
        <w:t xml:space="preserve"> a comparative one.  We will trace from conventional doctrinal sources two parall</w:t>
      </w:r>
      <w:r w:rsidR="00610530" w:rsidRPr="000F052B">
        <w:rPr>
          <w:rFonts w:ascii="Times New Roman" w:hAnsi="Times New Roman" w:cs="Times New Roman"/>
          <w:sz w:val="24"/>
          <w:szCs w:val="24"/>
          <w:lang w:val="en-US"/>
        </w:rPr>
        <w:t>el</w:t>
      </w:r>
      <w:r w:rsidRPr="000F052B">
        <w:rPr>
          <w:rFonts w:ascii="Times New Roman" w:hAnsi="Times New Roman" w:cs="Times New Roman"/>
          <w:sz w:val="24"/>
          <w:szCs w:val="24"/>
          <w:lang w:val="en-US"/>
        </w:rPr>
        <w:t xml:space="preserve"> accounts of the doctrine of privity.  We do, however, wish to </w:t>
      </w:r>
      <w:r w:rsidR="00FD0C31" w:rsidRPr="000F052B">
        <w:rPr>
          <w:rFonts w:ascii="Times New Roman" w:hAnsi="Times New Roman" w:cs="Times New Roman"/>
          <w:sz w:val="24"/>
          <w:szCs w:val="24"/>
          <w:lang w:val="en-US"/>
        </w:rPr>
        <w:t>contextualize</w:t>
      </w:r>
      <w:r w:rsidRPr="000F052B">
        <w:rPr>
          <w:rFonts w:ascii="Times New Roman" w:hAnsi="Times New Roman" w:cs="Times New Roman"/>
          <w:sz w:val="24"/>
          <w:szCs w:val="24"/>
          <w:lang w:val="en-US"/>
        </w:rPr>
        <w:t xml:space="preserve"> our account</w:t>
      </w:r>
      <w:r w:rsidR="00610530" w:rsidRPr="000F052B">
        <w:rPr>
          <w:rFonts w:ascii="Times New Roman" w:hAnsi="Times New Roman" w:cs="Times New Roman"/>
          <w:sz w:val="24"/>
          <w:szCs w:val="24"/>
          <w:lang w:val="en-US"/>
        </w:rPr>
        <w:t xml:space="preserve"> and to depict the law in action</w:t>
      </w:r>
      <w:r w:rsidRPr="000F052B">
        <w:rPr>
          <w:rFonts w:ascii="Times New Roman" w:hAnsi="Times New Roman" w:cs="Times New Roman"/>
          <w:sz w:val="24"/>
          <w:szCs w:val="24"/>
          <w:lang w:val="en-US"/>
        </w:rPr>
        <w:t>: for this reason</w:t>
      </w:r>
      <w:r w:rsidR="00713802" w:rsidRPr="000F052B">
        <w:rPr>
          <w:rFonts w:ascii="Times New Roman" w:hAnsi="Times New Roman" w:cs="Times New Roman"/>
          <w:sz w:val="24"/>
          <w:szCs w:val="24"/>
          <w:lang w:val="en-US"/>
        </w:rPr>
        <w:t xml:space="preserve"> we have used case studies in our project, which </w:t>
      </w:r>
      <w:r w:rsidR="004550D2" w:rsidRPr="000F052B">
        <w:rPr>
          <w:rFonts w:ascii="Times New Roman" w:hAnsi="Times New Roman" w:cs="Times New Roman"/>
          <w:sz w:val="24"/>
          <w:szCs w:val="24"/>
          <w:lang w:val="en-US"/>
        </w:rPr>
        <w:t xml:space="preserve">will </w:t>
      </w:r>
      <w:r w:rsidR="00713802" w:rsidRPr="000F052B">
        <w:rPr>
          <w:rFonts w:ascii="Times New Roman" w:hAnsi="Times New Roman" w:cs="Times New Roman"/>
          <w:sz w:val="24"/>
          <w:szCs w:val="24"/>
          <w:lang w:val="en-US"/>
        </w:rPr>
        <w:t>move from the</w:t>
      </w:r>
      <w:r w:rsidR="00CA6DCC" w:rsidRPr="000F052B">
        <w:rPr>
          <w:rFonts w:ascii="Times New Roman" w:hAnsi="Times New Roman" w:cs="Times New Roman"/>
          <w:sz w:val="24"/>
          <w:szCs w:val="24"/>
          <w:lang w:val="en-US"/>
        </w:rPr>
        <w:t xml:space="preserve"> discourse</w:t>
      </w:r>
      <w:r w:rsidR="004550D2" w:rsidRPr="000F052B">
        <w:rPr>
          <w:rFonts w:ascii="Times New Roman" w:hAnsi="Times New Roman" w:cs="Times New Roman"/>
          <w:sz w:val="24"/>
          <w:szCs w:val="24"/>
          <w:lang w:val="en-US"/>
        </w:rPr>
        <w:t>-</w:t>
      </w:r>
      <w:r w:rsidR="00CA6DCC" w:rsidRPr="000F052B">
        <w:rPr>
          <w:rFonts w:ascii="Times New Roman" w:hAnsi="Times New Roman" w:cs="Times New Roman"/>
          <w:sz w:val="24"/>
          <w:szCs w:val="24"/>
          <w:lang w:val="en-US"/>
        </w:rPr>
        <w:t>establishing</w:t>
      </w:r>
      <w:r w:rsidR="00713802" w:rsidRPr="000F052B">
        <w:rPr>
          <w:rFonts w:ascii="Times New Roman" w:hAnsi="Times New Roman" w:cs="Times New Roman"/>
          <w:sz w:val="24"/>
          <w:szCs w:val="24"/>
          <w:lang w:val="en-US"/>
        </w:rPr>
        <w:t xml:space="preserve"> contract for the benefit of a third party, t</w:t>
      </w:r>
      <w:r w:rsidR="00CA6DCC" w:rsidRPr="000F052B">
        <w:rPr>
          <w:rFonts w:ascii="Times New Roman" w:hAnsi="Times New Roman" w:cs="Times New Roman"/>
          <w:sz w:val="24"/>
          <w:szCs w:val="24"/>
          <w:lang w:val="en-US"/>
        </w:rPr>
        <w:t>hrough</w:t>
      </w:r>
      <w:r w:rsidR="00713802" w:rsidRPr="000F052B">
        <w:rPr>
          <w:rFonts w:ascii="Times New Roman" w:hAnsi="Times New Roman" w:cs="Times New Roman"/>
          <w:sz w:val="24"/>
          <w:szCs w:val="24"/>
          <w:lang w:val="en-US"/>
        </w:rPr>
        <w:t xml:space="preserve"> the more </w:t>
      </w:r>
      <w:r w:rsidR="00FD0C31" w:rsidRPr="000F052B">
        <w:rPr>
          <w:rFonts w:ascii="Times New Roman" w:hAnsi="Times New Roman" w:cs="Times New Roman"/>
          <w:sz w:val="24"/>
          <w:szCs w:val="24"/>
          <w:lang w:val="en-US"/>
        </w:rPr>
        <w:t>specialized</w:t>
      </w:r>
      <w:r w:rsidR="00713802" w:rsidRPr="000F052B">
        <w:rPr>
          <w:rFonts w:ascii="Times New Roman" w:hAnsi="Times New Roman" w:cs="Times New Roman"/>
          <w:sz w:val="24"/>
          <w:szCs w:val="24"/>
          <w:lang w:val="en-US"/>
        </w:rPr>
        <w:t xml:space="preserve"> area of extension clauses in insurance law, to the realm of business</w:t>
      </w:r>
      <w:r w:rsidR="00CA6DCC" w:rsidRPr="000F052B">
        <w:rPr>
          <w:rFonts w:ascii="Times New Roman" w:hAnsi="Times New Roman" w:cs="Times New Roman"/>
          <w:sz w:val="24"/>
          <w:szCs w:val="24"/>
          <w:lang w:val="en-US"/>
        </w:rPr>
        <w:t xml:space="preserve"> and</w:t>
      </w:r>
      <w:r w:rsidR="00713802" w:rsidRPr="000F052B">
        <w:rPr>
          <w:rFonts w:ascii="Times New Roman" w:hAnsi="Times New Roman" w:cs="Times New Roman"/>
          <w:sz w:val="24"/>
          <w:szCs w:val="24"/>
          <w:lang w:val="en-US"/>
        </w:rPr>
        <w:t xml:space="preserve"> </w:t>
      </w:r>
      <w:r w:rsidR="0035606D">
        <w:rPr>
          <w:rFonts w:ascii="Times New Roman" w:hAnsi="Times New Roman" w:cs="Times New Roman"/>
          <w:sz w:val="24"/>
          <w:szCs w:val="24"/>
          <w:lang w:val="en-US"/>
        </w:rPr>
        <w:t>“</w:t>
      </w:r>
      <w:r w:rsidR="00713802" w:rsidRPr="000F052B">
        <w:rPr>
          <w:rFonts w:ascii="Times New Roman" w:hAnsi="Times New Roman" w:cs="Times New Roman"/>
          <w:sz w:val="24"/>
          <w:szCs w:val="24"/>
          <w:lang w:val="en-US"/>
        </w:rPr>
        <w:t>umbrella</w:t>
      </w:r>
      <w:r w:rsidR="0035606D">
        <w:rPr>
          <w:rFonts w:ascii="Times New Roman" w:hAnsi="Times New Roman" w:cs="Times New Roman"/>
          <w:sz w:val="24"/>
          <w:szCs w:val="24"/>
          <w:lang w:val="en-US"/>
        </w:rPr>
        <w:t>”</w:t>
      </w:r>
      <w:r w:rsidR="00713802" w:rsidRPr="000F052B">
        <w:rPr>
          <w:rFonts w:ascii="Times New Roman" w:hAnsi="Times New Roman" w:cs="Times New Roman"/>
          <w:sz w:val="24"/>
          <w:szCs w:val="24"/>
          <w:lang w:val="en-US"/>
        </w:rPr>
        <w:t xml:space="preserve"> contract</w:t>
      </w:r>
      <w:r w:rsidR="00CA6DCC" w:rsidRPr="000F052B">
        <w:rPr>
          <w:rFonts w:ascii="Times New Roman" w:hAnsi="Times New Roman" w:cs="Times New Roman"/>
          <w:sz w:val="24"/>
          <w:szCs w:val="24"/>
          <w:lang w:val="en-US"/>
        </w:rPr>
        <w:t>ing, largely outside of doctrinal sources.  By the</w:t>
      </w:r>
      <w:r w:rsidR="00713802" w:rsidRPr="000F052B">
        <w:rPr>
          <w:rFonts w:ascii="Times New Roman" w:hAnsi="Times New Roman" w:cs="Times New Roman"/>
          <w:sz w:val="24"/>
          <w:szCs w:val="24"/>
          <w:lang w:val="en-US"/>
        </w:rPr>
        <w:t xml:space="preserve"> use of</w:t>
      </w:r>
      <w:r w:rsidR="00CA6DCC" w:rsidRPr="000F052B">
        <w:rPr>
          <w:rFonts w:ascii="Times New Roman" w:hAnsi="Times New Roman" w:cs="Times New Roman"/>
          <w:sz w:val="24"/>
          <w:szCs w:val="24"/>
          <w:lang w:val="en-US"/>
        </w:rPr>
        <w:t xml:space="preserve"> these</w:t>
      </w:r>
      <w:r w:rsidR="00713802" w:rsidRPr="000F052B">
        <w:rPr>
          <w:rFonts w:ascii="Times New Roman" w:hAnsi="Times New Roman" w:cs="Times New Roman"/>
          <w:sz w:val="24"/>
          <w:szCs w:val="24"/>
          <w:lang w:val="en-US"/>
        </w:rPr>
        <w:t xml:space="preserve"> examples, we </w:t>
      </w:r>
      <w:r w:rsidR="00CA6DCC" w:rsidRPr="000F052B">
        <w:rPr>
          <w:rFonts w:ascii="Times New Roman" w:hAnsi="Times New Roman" w:cs="Times New Roman"/>
          <w:sz w:val="24"/>
          <w:szCs w:val="24"/>
          <w:lang w:val="en-US"/>
        </w:rPr>
        <w:t>intend</w:t>
      </w:r>
      <w:r w:rsidR="00713802" w:rsidRPr="000F052B">
        <w:rPr>
          <w:rFonts w:ascii="Times New Roman" w:hAnsi="Times New Roman" w:cs="Times New Roman"/>
          <w:sz w:val="24"/>
          <w:szCs w:val="24"/>
          <w:lang w:val="en-US"/>
        </w:rPr>
        <w:t xml:space="preserve"> to show the doctrine of privity as it operates in specific contexts –</w:t>
      </w:r>
      <w:r w:rsidR="00CA6DCC" w:rsidRPr="000F052B">
        <w:rPr>
          <w:rFonts w:ascii="Times New Roman" w:hAnsi="Times New Roman" w:cs="Times New Roman"/>
          <w:sz w:val="24"/>
          <w:szCs w:val="24"/>
          <w:lang w:val="en-US"/>
        </w:rPr>
        <w:t xml:space="preserve"> and</w:t>
      </w:r>
      <w:r w:rsidR="00713802" w:rsidRPr="000F052B">
        <w:rPr>
          <w:rFonts w:ascii="Times New Roman" w:hAnsi="Times New Roman" w:cs="Times New Roman"/>
          <w:sz w:val="24"/>
          <w:szCs w:val="24"/>
          <w:lang w:val="en-US"/>
        </w:rPr>
        <w:t xml:space="preserve"> hence, while our account is not empirical, we </w:t>
      </w:r>
      <w:r w:rsidR="00CA6DCC" w:rsidRPr="000F052B">
        <w:rPr>
          <w:rFonts w:ascii="Times New Roman" w:hAnsi="Times New Roman" w:cs="Times New Roman"/>
          <w:sz w:val="24"/>
          <w:szCs w:val="24"/>
          <w:lang w:val="en-US"/>
        </w:rPr>
        <w:t>will</w:t>
      </w:r>
      <w:r w:rsidR="0035606D">
        <w:rPr>
          <w:rFonts w:ascii="Times New Roman" w:hAnsi="Times New Roman" w:cs="Times New Roman"/>
          <w:sz w:val="24"/>
          <w:szCs w:val="24"/>
          <w:lang w:val="en-US"/>
        </w:rPr>
        <w:t xml:space="preserve"> show the “law in action”.</w:t>
      </w:r>
      <w:r w:rsidR="00D362EE" w:rsidRPr="000F052B">
        <w:rPr>
          <w:rStyle w:val="FootnoteReference"/>
          <w:rFonts w:ascii="Times New Roman" w:hAnsi="Times New Roman" w:cs="Times New Roman"/>
          <w:sz w:val="24"/>
          <w:szCs w:val="24"/>
          <w:lang w:val="en-US"/>
        </w:rPr>
        <w:footnoteReference w:id="11"/>
      </w:r>
      <w:r w:rsidR="00713802" w:rsidRPr="000F052B">
        <w:rPr>
          <w:rFonts w:ascii="Times New Roman" w:hAnsi="Times New Roman" w:cs="Times New Roman"/>
          <w:sz w:val="24"/>
          <w:szCs w:val="24"/>
          <w:lang w:val="en-US"/>
        </w:rPr>
        <w:t xml:space="preserve"> </w:t>
      </w:r>
    </w:p>
    <w:p w14:paraId="1E197AB4" w14:textId="43C909F2" w:rsidR="00E162CD" w:rsidRDefault="00713802"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ab/>
      </w:r>
      <w:r w:rsidR="00174139">
        <w:rPr>
          <w:rFonts w:ascii="Times New Roman" w:hAnsi="Times New Roman" w:cs="Times New Roman"/>
          <w:sz w:val="24"/>
          <w:szCs w:val="24"/>
          <w:lang w:val="en-US"/>
        </w:rPr>
        <w:t xml:space="preserve">We are also concerned in this study to investigate the interplay between Macneil’s </w:t>
      </w:r>
      <w:r w:rsidR="0035606D">
        <w:rPr>
          <w:rFonts w:ascii="Times New Roman" w:hAnsi="Times New Roman" w:cs="Times New Roman"/>
          <w:sz w:val="24"/>
          <w:szCs w:val="24"/>
          <w:lang w:val="en-US"/>
        </w:rPr>
        <w:t>“</w:t>
      </w:r>
      <w:r w:rsidR="00174139">
        <w:rPr>
          <w:rFonts w:ascii="Times New Roman" w:hAnsi="Times New Roman" w:cs="Times New Roman"/>
          <w:sz w:val="24"/>
          <w:szCs w:val="24"/>
          <w:lang w:val="en-US"/>
        </w:rPr>
        <w:t>relational contract theory</w:t>
      </w:r>
      <w:r w:rsidR="0035606D">
        <w:rPr>
          <w:rFonts w:ascii="Times New Roman" w:hAnsi="Times New Roman" w:cs="Times New Roman"/>
          <w:sz w:val="24"/>
          <w:szCs w:val="24"/>
          <w:lang w:val="en-US"/>
        </w:rPr>
        <w:t>”</w:t>
      </w:r>
      <w:r w:rsidR="00E162CD" w:rsidRPr="000F052B">
        <w:rPr>
          <w:rStyle w:val="FootnoteReference"/>
          <w:rFonts w:ascii="Times New Roman" w:hAnsi="Times New Roman" w:cs="Times New Roman"/>
          <w:sz w:val="24"/>
          <w:szCs w:val="24"/>
          <w:lang w:val="en-US"/>
        </w:rPr>
        <w:footnoteReference w:id="12"/>
      </w:r>
      <w:r w:rsidR="00174139">
        <w:rPr>
          <w:rFonts w:ascii="Times New Roman" w:hAnsi="Times New Roman" w:cs="Times New Roman"/>
          <w:sz w:val="24"/>
          <w:szCs w:val="24"/>
          <w:lang w:val="en-US"/>
        </w:rPr>
        <w:t xml:space="preserve"> and the doctrine of privity.  Here again, our use of examples to show the law in action and in context comes into play.  </w:t>
      </w:r>
      <w:r w:rsidRPr="000F052B">
        <w:rPr>
          <w:rFonts w:ascii="Times New Roman" w:hAnsi="Times New Roman" w:cs="Times New Roman"/>
          <w:sz w:val="24"/>
          <w:szCs w:val="24"/>
          <w:lang w:val="en-US"/>
        </w:rPr>
        <w:t xml:space="preserve">Context, </w:t>
      </w:r>
      <w:r w:rsidR="00CA6DCC" w:rsidRPr="000F052B">
        <w:rPr>
          <w:rFonts w:ascii="Times New Roman" w:hAnsi="Times New Roman" w:cs="Times New Roman"/>
          <w:sz w:val="24"/>
          <w:szCs w:val="24"/>
          <w:lang w:val="en-US"/>
        </w:rPr>
        <w:t>of course,</w:t>
      </w:r>
      <w:r w:rsidRPr="000F052B">
        <w:rPr>
          <w:rFonts w:ascii="Times New Roman" w:hAnsi="Times New Roman" w:cs="Times New Roman"/>
          <w:sz w:val="24"/>
          <w:szCs w:val="24"/>
          <w:lang w:val="en-US"/>
        </w:rPr>
        <w:t xml:space="preserve"> </w:t>
      </w:r>
      <w:r w:rsidR="00CA6DCC" w:rsidRPr="000F052B">
        <w:rPr>
          <w:rFonts w:ascii="Times New Roman" w:hAnsi="Times New Roman" w:cs="Times New Roman"/>
          <w:sz w:val="24"/>
          <w:szCs w:val="24"/>
          <w:lang w:val="en-US"/>
        </w:rPr>
        <w:t xml:space="preserve">does not </w:t>
      </w:r>
      <w:r w:rsidRPr="000F052B">
        <w:rPr>
          <w:rFonts w:ascii="Times New Roman" w:hAnsi="Times New Roman" w:cs="Times New Roman"/>
          <w:sz w:val="24"/>
          <w:szCs w:val="24"/>
          <w:lang w:val="en-US"/>
        </w:rPr>
        <w:t xml:space="preserve">refer to </w:t>
      </w:r>
      <w:r w:rsidR="00CA6DCC" w:rsidRPr="000F052B">
        <w:rPr>
          <w:rFonts w:ascii="Times New Roman" w:hAnsi="Times New Roman" w:cs="Times New Roman"/>
          <w:sz w:val="24"/>
          <w:szCs w:val="24"/>
          <w:lang w:val="en-US"/>
        </w:rPr>
        <w:t xml:space="preserve">just </w:t>
      </w:r>
      <w:r w:rsidRPr="000F052B">
        <w:rPr>
          <w:rFonts w:ascii="Times New Roman" w:hAnsi="Times New Roman" w:cs="Times New Roman"/>
          <w:sz w:val="24"/>
          <w:szCs w:val="24"/>
          <w:lang w:val="en-US"/>
        </w:rPr>
        <w:t xml:space="preserve">the doctrinal sources of law.  Contracting is a social phenomenon – influential scholarship based on (and including) Macneil’s </w:t>
      </w:r>
      <w:r w:rsidR="00E162CD">
        <w:rPr>
          <w:rFonts w:ascii="Times New Roman" w:hAnsi="Times New Roman" w:cs="Times New Roman"/>
          <w:sz w:val="24"/>
          <w:szCs w:val="24"/>
          <w:lang w:val="en-US"/>
        </w:rPr>
        <w:t>relational theory</w:t>
      </w:r>
      <w:r w:rsidRPr="000F052B">
        <w:rPr>
          <w:rFonts w:ascii="Times New Roman" w:hAnsi="Times New Roman" w:cs="Times New Roman"/>
          <w:sz w:val="24"/>
          <w:szCs w:val="24"/>
          <w:lang w:val="en-US"/>
        </w:rPr>
        <w:t xml:space="preserve"> and Macaulay’s ‘non-use of contract’</w:t>
      </w:r>
      <w:r w:rsidR="00133827" w:rsidRPr="000F052B">
        <w:rPr>
          <w:rStyle w:val="FootnoteReference"/>
          <w:rFonts w:ascii="Times New Roman" w:hAnsi="Times New Roman" w:cs="Times New Roman"/>
          <w:sz w:val="24"/>
          <w:szCs w:val="24"/>
          <w:lang w:val="en-US"/>
        </w:rPr>
        <w:footnoteReference w:id="13"/>
      </w:r>
      <w:r w:rsidRPr="000F052B">
        <w:rPr>
          <w:rFonts w:ascii="Times New Roman" w:hAnsi="Times New Roman" w:cs="Times New Roman"/>
          <w:sz w:val="24"/>
          <w:szCs w:val="24"/>
          <w:lang w:val="en-US"/>
        </w:rPr>
        <w:t xml:space="preserve"> has illustrated that a large part of the world of </w:t>
      </w:r>
      <w:r w:rsidR="00CA6DCC" w:rsidRPr="000F052B">
        <w:rPr>
          <w:rFonts w:ascii="Times New Roman" w:hAnsi="Times New Roman" w:cs="Times New Roman"/>
          <w:sz w:val="24"/>
          <w:szCs w:val="24"/>
          <w:lang w:val="en-US"/>
        </w:rPr>
        <w:t xml:space="preserve">contracting exists in contract </w:t>
      </w:r>
      <w:r w:rsidR="00FD0C31" w:rsidRPr="000F052B">
        <w:rPr>
          <w:rFonts w:ascii="Times New Roman" w:hAnsi="Times New Roman" w:cs="Times New Roman"/>
          <w:sz w:val="24"/>
          <w:szCs w:val="24"/>
          <w:lang w:val="en-US"/>
        </w:rPr>
        <w:t>behavior</w:t>
      </w:r>
      <w:r w:rsidR="00CA6DCC" w:rsidRPr="000F052B">
        <w:rPr>
          <w:rFonts w:ascii="Times New Roman" w:hAnsi="Times New Roman" w:cs="Times New Roman"/>
          <w:sz w:val="24"/>
          <w:szCs w:val="24"/>
          <w:lang w:val="en-US"/>
        </w:rPr>
        <w:t xml:space="preserve"> and </w:t>
      </w:r>
      <w:r w:rsidR="00FD0C31" w:rsidRPr="000F052B">
        <w:rPr>
          <w:rFonts w:ascii="Times New Roman" w:hAnsi="Times New Roman" w:cs="Times New Roman"/>
          <w:sz w:val="24"/>
          <w:szCs w:val="24"/>
          <w:lang w:val="en-US"/>
        </w:rPr>
        <w:t>practice</w:t>
      </w:r>
      <w:r w:rsidR="00CA6DCC" w:rsidRPr="000F052B">
        <w:rPr>
          <w:rFonts w:ascii="Times New Roman" w:hAnsi="Times New Roman" w:cs="Times New Roman"/>
          <w:sz w:val="24"/>
          <w:szCs w:val="24"/>
          <w:lang w:val="en-US"/>
        </w:rPr>
        <w:t>, rather than i</w:t>
      </w:r>
      <w:r w:rsidR="00333023" w:rsidRPr="000F052B">
        <w:rPr>
          <w:rFonts w:ascii="Times New Roman" w:hAnsi="Times New Roman" w:cs="Times New Roman"/>
          <w:sz w:val="24"/>
          <w:szCs w:val="24"/>
          <w:lang w:val="en-US"/>
        </w:rPr>
        <w:t>n reported</w:t>
      </w:r>
      <w:r w:rsidR="00CA6DCC" w:rsidRPr="000F052B">
        <w:rPr>
          <w:rFonts w:ascii="Times New Roman" w:hAnsi="Times New Roman" w:cs="Times New Roman"/>
          <w:sz w:val="24"/>
          <w:szCs w:val="24"/>
          <w:lang w:val="en-US"/>
        </w:rPr>
        <w:t xml:space="preserve"> judgments</w:t>
      </w:r>
      <w:r w:rsidRPr="000F052B">
        <w:rPr>
          <w:rFonts w:ascii="Times New Roman" w:hAnsi="Times New Roman" w:cs="Times New Roman"/>
          <w:sz w:val="24"/>
          <w:szCs w:val="24"/>
          <w:lang w:val="en-US"/>
        </w:rPr>
        <w:t xml:space="preserve">.  Indeed, contracting, as the basis of business and a good deal of other human </w:t>
      </w:r>
      <w:r w:rsidR="00FD0C31" w:rsidRPr="000F052B">
        <w:rPr>
          <w:rFonts w:ascii="Times New Roman" w:hAnsi="Times New Roman" w:cs="Times New Roman"/>
          <w:sz w:val="24"/>
          <w:szCs w:val="24"/>
          <w:lang w:val="en-US"/>
        </w:rPr>
        <w:t>endeavors</w:t>
      </w:r>
      <w:r w:rsidRPr="000F052B">
        <w:rPr>
          <w:rFonts w:ascii="Times New Roman" w:hAnsi="Times New Roman" w:cs="Times New Roman"/>
          <w:sz w:val="24"/>
          <w:szCs w:val="24"/>
          <w:lang w:val="en-US"/>
        </w:rPr>
        <w:t>, is equally infl</w:t>
      </w:r>
      <w:r w:rsidR="00FD0C31" w:rsidRPr="000F052B">
        <w:rPr>
          <w:rFonts w:ascii="Times New Roman" w:hAnsi="Times New Roman" w:cs="Times New Roman"/>
          <w:sz w:val="24"/>
          <w:szCs w:val="24"/>
          <w:lang w:val="en-US"/>
        </w:rPr>
        <w:t xml:space="preserve">uenced by other social forces – </w:t>
      </w:r>
      <w:r w:rsidRPr="000F052B">
        <w:rPr>
          <w:rFonts w:ascii="Times New Roman" w:hAnsi="Times New Roman" w:cs="Times New Roman"/>
          <w:sz w:val="24"/>
          <w:szCs w:val="24"/>
          <w:lang w:val="en-US"/>
        </w:rPr>
        <w:t xml:space="preserve">particularly inter-personal relationships and </w:t>
      </w:r>
      <w:r w:rsidR="009E766E" w:rsidRPr="000F052B">
        <w:rPr>
          <w:rFonts w:ascii="Times New Roman" w:hAnsi="Times New Roman" w:cs="Times New Roman"/>
          <w:sz w:val="24"/>
          <w:szCs w:val="24"/>
          <w:lang w:val="en-US"/>
        </w:rPr>
        <w:t>market forces of an economic nature</w:t>
      </w:r>
      <w:r w:rsidR="0029044A" w:rsidRPr="000F052B">
        <w:rPr>
          <w:rFonts w:ascii="Times New Roman" w:hAnsi="Times New Roman" w:cs="Times New Roman"/>
          <w:sz w:val="24"/>
          <w:szCs w:val="24"/>
          <w:lang w:val="en-US"/>
        </w:rPr>
        <w:t xml:space="preserve"> – but also public regulation of contracts by the State</w:t>
      </w:r>
      <w:r w:rsidR="009E766E" w:rsidRPr="000F052B">
        <w:rPr>
          <w:rFonts w:ascii="Times New Roman" w:hAnsi="Times New Roman" w:cs="Times New Roman"/>
          <w:sz w:val="24"/>
          <w:szCs w:val="24"/>
          <w:lang w:val="en-US"/>
        </w:rPr>
        <w:t>.</w:t>
      </w:r>
      <w:r w:rsidR="00133827" w:rsidRPr="000F052B">
        <w:rPr>
          <w:rStyle w:val="FootnoteReference"/>
          <w:rFonts w:ascii="Times New Roman" w:hAnsi="Times New Roman" w:cs="Times New Roman"/>
          <w:sz w:val="24"/>
          <w:szCs w:val="24"/>
          <w:lang w:val="en-US"/>
        </w:rPr>
        <w:footnoteReference w:id="14"/>
      </w:r>
      <w:r w:rsidR="009E766E" w:rsidRPr="000F052B">
        <w:rPr>
          <w:rFonts w:ascii="Times New Roman" w:hAnsi="Times New Roman" w:cs="Times New Roman"/>
          <w:sz w:val="24"/>
          <w:szCs w:val="24"/>
          <w:lang w:val="en-US"/>
        </w:rPr>
        <w:t xml:space="preserve">  Thus a practical, or </w:t>
      </w:r>
      <w:r w:rsidR="00FD0C31" w:rsidRPr="000F052B">
        <w:rPr>
          <w:rFonts w:ascii="Times New Roman" w:hAnsi="Times New Roman" w:cs="Times New Roman"/>
          <w:sz w:val="24"/>
          <w:szCs w:val="24"/>
          <w:lang w:val="en-US"/>
        </w:rPr>
        <w:t>contextualized</w:t>
      </w:r>
      <w:r w:rsidR="00114593">
        <w:rPr>
          <w:rFonts w:ascii="Times New Roman" w:hAnsi="Times New Roman" w:cs="Times New Roman"/>
          <w:sz w:val="24"/>
          <w:szCs w:val="24"/>
          <w:lang w:val="en-US"/>
        </w:rPr>
        <w:t>,</w:t>
      </w:r>
      <w:r w:rsidR="009E766E" w:rsidRPr="000F052B">
        <w:rPr>
          <w:rFonts w:ascii="Times New Roman" w:hAnsi="Times New Roman" w:cs="Times New Roman"/>
          <w:sz w:val="24"/>
          <w:szCs w:val="24"/>
          <w:lang w:val="en-US"/>
        </w:rPr>
        <w:t xml:space="preserve"> view of a particular aspect of contract doctrine, should consider such doctrine in the context of who the parties to such transactions are, the nature of the connections binding such parties, and the broader social and economic backdrop against which they transact.</w:t>
      </w:r>
      <w:r w:rsidR="00F7156F">
        <w:rPr>
          <w:rFonts w:ascii="Times New Roman" w:hAnsi="Times New Roman" w:cs="Times New Roman"/>
          <w:sz w:val="24"/>
          <w:szCs w:val="24"/>
          <w:lang w:val="en-US"/>
        </w:rPr>
        <w:t xml:space="preserve">  </w:t>
      </w:r>
    </w:p>
    <w:p w14:paraId="0F28BC9B" w14:textId="36F72C6F" w:rsidR="00F7156F" w:rsidRDefault="00174139" w:rsidP="00FD5C0A">
      <w:pPr>
        <w:spacing w:after="12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for this reason that Macneil draws a</w:t>
      </w:r>
      <w:r w:rsidR="0035606D">
        <w:rPr>
          <w:rFonts w:ascii="Times New Roman" w:hAnsi="Times New Roman" w:cs="Times New Roman"/>
          <w:sz w:val="24"/>
          <w:szCs w:val="24"/>
          <w:lang w:val="en-US"/>
        </w:rPr>
        <w:t xml:space="preserve"> distinction between once-off (“discrete”</w:t>
      </w:r>
      <w:r>
        <w:rPr>
          <w:rFonts w:ascii="Times New Roman" w:hAnsi="Times New Roman" w:cs="Times New Roman"/>
          <w:sz w:val="24"/>
          <w:szCs w:val="24"/>
          <w:lang w:val="en-US"/>
        </w:rPr>
        <w:t>) contracts, with no eleme</w:t>
      </w:r>
      <w:r w:rsidR="0035606D">
        <w:rPr>
          <w:rFonts w:ascii="Times New Roman" w:hAnsi="Times New Roman" w:cs="Times New Roman"/>
          <w:sz w:val="24"/>
          <w:szCs w:val="24"/>
          <w:lang w:val="en-US"/>
        </w:rPr>
        <w:t>nt of social embeddedness, and “contractual relations”</w:t>
      </w:r>
      <w:r>
        <w:rPr>
          <w:rFonts w:ascii="Times New Roman" w:hAnsi="Times New Roman" w:cs="Times New Roman"/>
          <w:sz w:val="24"/>
          <w:szCs w:val="24"/>
          <w:lang w:val="en-US"/>
        </w:rPr>
        <w:t xml:space="preserve">, in which the </w:t>
      </w:r>
      <w:r w:rsidR="005814D4">
        <w:rPr>
          <w:rFonts w:ascii="Times New Roman" w:hAnsi="Times New Roman" w:cs="Times New Roman"/>
          <w:sz w:val="24"/>
          <w:szCs w:val="24"/>
          <w:lang w:val="en-US"/>
        </w:rPr>
        <w:t>formal contract</w:t>
      </w:r>
      <w:r>
        <w:rPr>
          <w:rFonts w:ascii="Times New Roman" w:hAnsi="Times New Roman" w:cs="Times New Roman"/>
          <w:sz w:val="24"/>
          <w:szCs w:val="24"/>
          <w:lang w:val="en-US"/>
        </w:rPr>
        <w:t xml:space="preserve"> is only one part of a bigger </w:t>
      </w:r>
      <w:r w:rsidR="00E162CD">
        <w:rPr>
          <w:rFonts w:ascii="Times New Roman" w:hAnsi="Times New Roman" w:cs="Times New Roman"/>
          <w:sz w:val="24"/>
          <w:szCs w:val="24"/>
          <w:lang w:val="en-US"/>
        </w:rPr>
        <w:t xml:space="preserve">contextual </w:t>
      </w:r>
      <w:r>
        <w:rPr>
          <w:rFonts w:ascii="Times New Roman" w:hAnsi="Times New Roman" w:cs="Times New Roman"/>
          <w:sz w:val="24"/>
          <w:szCs w:val="24"/>
          <w:lang w:val="en-US"/>
        </w:rPr>
        <w:t>picture.</w:t>
      </w:r>
      <w:r w:rsidR="00E162CD">
        <w:rPr>
          <w:rStyle w:val="FootnoteReference"/>
          <w:rFonts w:ascii="Times New Roman" w:hAnsi="Times New Roman" w:cs="Times New Roman"/>
          <w:sz w:val="24"/>
          <w:szCs w:val="24"/>
          <w:lang w:val="en-US"/>
        </w:rPr>
        <w:footnoteReference w:id="15"/>
      </w:r>
      <w:r>
        <w:rPr>
          <w:rFonts w:ascii="Times New Roman" w:hAnsi="Times New Roman" w:cs="Times New Roman"/>
          <w:sz w:val="24"/>
          <w:szCs w:val="24"/>
          <w:lang w:val="en-US"/>
        </w:rPr>
        <w:t xml:space="preserve">  In a state of contractual relations, contracting efficiency is achieved through joint welfare maximization, particularly by co-operation rather than competition.</w:t>
      </w:r>
      <w:r w:rsidR="00E162CD">
        <w:rPr>
          <w:rStyle w:val="FootnoteReference"/>
          <w:rFonts w:ascii="Times New Roman" w:hAnsi="Times New Roman" w:cs="Times New Roman"/>
          <w:sz w:val="24"/>
          <w:szCs w:val="24"/>
          <w:lang w:val="en-US"/>
        </w:rPr>
        <w:footnoteReference w:id="16"/>
      </w:r>
      <w:r>
        <w:rPr>
          <w:rFonts w:ascii="Times New Roman" w:hAnsi="Times New Roman" w:cs="Times New Roman"/>
          <w:sz w:val="24"/>
          <w:szCs w:val="24"/>
          <w:lang w:val="en-US"/>
        </w:rPr>
        <w:t xml:space="preserve">  For present purposes, there may also be an </w:t>
      </w:r>
      <w:r>
        <w:rPr>
          <w:rFonts w:ascii="Times New Roman" w:hAnsi="Times New Roman" w:cs="Times New Roman"/>
          <w:sz w:val="24"/>
          <w:szCs w:val="24"/>
          <w:lang w:val="en-US"/>
        </w:rPr>
        <w:lastRenderedPageBreak/>
        <w:t>opposition to the traditional notion of a bi-polar (discrete) contract, with multiple parties being affected by the business relationship reflected in the contractual relations.</w:t>
      </w:r>
      <w:r w:rsidR="00E162CD">
        <w:rPr>
          <w:rStyle w:val="FootnoteReference"/>
          <w:rFonts w:ascii="Times New Roman" w:hAnsi="Times New Roman" w:cs="Times New Roman"/>
          <w:sz w:val="24"/>
          <w:szCs w:val="24"/>
          <w:lang w:val="en-US"/>
        </w:rPr>
        <w:footnoteReference w:id="17"/>
      </w:r>
      <w:r>
        <w:rPr>
          <w:rFonts w:ascii="Times New Roman" w:hAnsi="Times New Roman" w:cs="Times New Roman"/>
          <w:sz w:val="24"/>
          <w:szCs w:val="24"/>
          <w:lang w:val="en-US"/>
        </w:rPr>
        <w:t xml:space="preserve">  Hence, the classical contract law doctrine of privity may be an awkward fit in this matrix, since there are likely to be multiple stakeholders who have an interest in the ongoing business relationship.  This is particularly the case with inter-firm contractual relations, but may also be the case in inter-personal relations, as we shall show in part III below using examples.</w:t>
      </w:r>
      <w:r w:rsidRPr="000F052B">
        <w:rPr>
          <w:rFonts w:ascii="Times New Roman" w:hAnsi="Times New Roman" w:cs="Times New Roman"/>
          <w:sz w:val="24"/>
          <w:szCs w:val="24"/>
          <w:lang w:val="en-US"/>
        </w:rPr>
        <w:t xml:space="preserve">  </w:t>
      </w:r>
    </w:p>
    <w:p w14:paraId="4387FB75" w14:textId="1588ED23" w:rsidR="00C17BF6" w:rsidRPr="000F052B" w:rsidRDefault="009E766E" w:rsidP="00F7156F">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Contract law, and </w:t>
      </w:r>
      <w:r w:rsidR="00333023" w:rsidRPr="000F052B">
        <w:rPr>
          <w:rFonts w:ascii="Times New Roman" w:hAnsi="Times New Roman" w:cs="Times New Roman"/>
          <w:sz w:val="24"/>
          <w:szCs w:val="24"/>
          <w:lang w:val="en-US"/>
        </w:rPr>
        <w:t xml:space="preserve">the </w:t>
      </w:r>
      <w:r w:rsidRPr="000F052B">
        <w:rPr>
          <w:rFonts w:ascii="Times New Roman" w:hAnsi="Times New Roman" w:cs="Times New Roman"/>
          <w:sz w:val="24"/>
          <w:szCs w:val="24"/>
          <w:lang w:val="en-US"/>
        </w:rPr>
        <w:t xml:space="preserve">broader legal questions conventionally dealt with by comparative law, are part of this inquiry and shape it extensively.  If one’s aim is to comment on differences in legal culture and context, however, one should take a broader view of </w:t>
      </w:r>
      <w:r w:rsidR="00333023" w:rsidRPr="000F052B">
        <w:rPr>
          <w:rFonts w:ascii="Times New Roman" w:hAnsi="Times New Roman" w:cs="Times New Roman"/>
          <w:sz w:val="24"/>
          <w:szCs w:val="24"/>
          <w:lang w:val="en-US"/>
        </w:rPr>
        <w:t xml:space="preserve">the </w:t>
      </w:r>
      <w:r w:rsidRPr="000F052B">
        <w:rPr>
          <w:rFonts w:ascii="Times New Roman" w:hAnsi="Times New Roman" w:cs="Times New Roman"/>
          <w:sz w:val="24"/>
          <w:szCs w:val="24"/>
          <w:lang w:val="en-US"/>
        </w:rPr>
        <w:t>legal doctrine</w:t>
      </w:r>
      <w:r w:rsidR="00333023" w:rsidRPr="000F052B">
        <w:rPr>
          <w:rFonts w:ascii="Times New Roman" w:hAnsi="Times New Roman" w:cs="Times New Roman"/>
          <w:sz w:val="24"/>
          <w:szCs w:val="24"/>
          <w:lang w:val="en-US"/>
        </w:rPr>
        <w:t xml:space="preserve"> under investigation</w:t>
      </w:r>
      <w:r w:rsidRPr="000F052B">
        <w:rPr>
          <w:rFonts w:ascii="Times New Roman" w:hAnsi="Times New Roman" w:cs="Times New Roman"/>
          <w:sz w:val="24"/>
          <w:szCs w:val="24"/>
          <w:lang w:val="en-US"/>
        </w:rPr>
        <w:t xml:space="preserve"> to encompass the </w:t>
      </w:r>
      <w:r w:rsidR="00333023" w:rsidRPr="000F052B">
        <w:rPr>
          <w:rFonts w:ascii="Times New Roman" w:hAnsi="Times New Roman" w:cs="Times New Roman"/>
          <w:sz w:val="24"/>
          <w:szCs w:val="24"/>
          <w:lang w:val="en-US"/>
        </w:rPr>
        <w:t>sociolegal element</w:t>
      </w:r>
      <w:r w:rsidRPr="000F052B">
        <w:rPr>
          <w:rFonts w:ascii="Times New Roman" w:hAnsi="Times New Roman" w:cs="Times New Roman"/>
          <w:sz w:val="24"/>
          <w:szCs w:val="24"/>
          <w:lang w:val="en-US"/>
        </w:rPr>
        <w:t>.</w:t>
      </w:r>
      <w:r w:rsidR="00A065A5" w:rsidRPr="000F052B">
        <w:rPr>
          <w:rFonts w:ascii="Times New Roman" w:hAnsi="Times New Roman" w:cs="Times New Roman"/>
          <w:sz w:val="24"/>
          <w:szCs w:val="24"/>
          <w:lang w:val="en-US"/>
        </w:rPr>
        <w:t xml:space="preserve">  </w:t>
      </w:r>
      <w:r w:rsidR="0035606D">
        <w:rPr>
          <w:rFonts w:ascii="Times New Roman" w:hAnsi="Times New Roman" w:cs="Times New Roman"/>
          <w:sz w:val="24"/>
          <w:szCs w:val="24"/>
          <w:lang w:val="en-US"/>
        </w:rPr>
        <w:t>A conventional “relational”</w:t>
      </w:r>
      <w:r w:rsidR="00E950D8" w:rsidRPr="000F052B">
        <w:rPr>
          <w:rFonts w:ascii="Times New Roman" w:hAnsi="Times New Roman" w:cs="Times New Roman"/>
          <w:sz w:val="24"/>
          <w:szCs w:val="24"/>
          <w:lang w:val="en-US"/>
        </w:rPr>
        <w:t xml:space="preserve"> view of contractual privity would be difficult to present, </w:t>
      </w:r>
      <w:r w:rsidR="008645A2">
        <w:rPr>
          <w:rFonts w:ascii="Times New Roman" w:hAnsi="Times New Roman" w:cs="Times New Roman"/>
          <w:sz w:val="24"/>
          <w:szCs w:val="24"/>
          <w:lang w:val="en-US"/>
        </w:rPr>
        <w:t xml:space="preserve">given the fact that our analysis of multi-party contexts </w:t>
      </w:r>
      <w:r w:rsidR="00587D5C">
        <w:rPr>
          <w:rFonts w:ascii="Times New Roman" w:hAnsi="Times New Roman" w:cs="Times New Roman"/>
          <w:sz w:val="24"/>
          <w:szCs w:val="24"/>
          <w:lang w:val="en-US"/>
        </w:rPr>
        <w:t>will</w:t>
      </w:r>
      <w:r w:rsidR="008645A2">
        <w:rPr>
          <w:rFonts w:ascii="Times New Roman" w:hAnsi="Times New Roman" w:cs="Times New Roman"/>
          <w:sz w:val="24"/>
          <w:szCs w:val="24"/>
          <w:lang w:val="en-US"/>
        </w:rPr>
        <w:t xml:space="preserve"> take us outside of the boundaries of</w:t>
      </w:r>
      <w:r w:rsidR="00587D5C">
        <w:rPr>
          <w:rFonts w:ascii="Times New Roman" w:hAnsi="Times New Roman" w:cs="Times New Roman"/>
          <w:sz w:val="24"/>
          <w:szCs w:val="24"/>
          <w:lang w:val="en-US"/>
        </w:rPr>
        <w:t xml:space="preserve"> conventional</w:t>
      </w:r>
      <w:r w:rsidR="008645A2">
        <w:rPr>
          <w:rFonts w:ascii="Times New Roman" w:hAnsi="Times New Roman" w:cs="Times New Roman"/>
          <w:sz w:val="24"/>
          <w:szCs w:val="24"/>
          <w:lang w:val="en-US"/>
        </w:rPr>
        <w:t xml:space="preserve"> </w:t>
      </w:r>
      <w:r w:rsidR="00587D5C">
        <w:rPr>
          <w:rFonts w:ascii="Times New Roman" w:hAnsi="Times New Roman" w:cs="Times New Roman"/>
          <w:sz w:val="24"/>
          <w:szCs w:val="24"/>
          <w:lang w:val="en-US"/>
        </w:rPr>
        <w:t>contractual relations to a broader spectrum of reliant parties</w:t>
      </w:r>
      <w:r w:rsidR="008645A2">
        <w:rPr>
          <w:rFonts w:ascii="Times New Roman" w:hAnsi="Times New Roman" w:cs="Times New Roman"/>
          <w:sz w:val="24"/>
          <w:szCs w:val="24"/>
          <w:lang w:val="en-US"/>
        </w:rPr>
        <w:t xml:space="preserve">.  </w:t>
      </w:r>
      <w:r w:rsidR="00E950D8" w:rsidRPr="000F052B">
        <w:rPr>
          <w:rFonts w:ascii="Times New Roman" w:hAnsi="Times New Roman" w:cs="Times New Roman"/>
          <w:sz w:val="24"/>
          <w:szCs w:val="24"/>
          <w:lang w:val="en-US"/>
        </w:rPr>
        <w:t xml:space="preserve">This necessitates that we broaden our focus to wider social goals, </w:t>
      </w:r>
      <w:r w:rsidR="008645A2">
        <w:rPr>
          <w:rFonts w:ascii="Times New Roman" w:hAnsi="Times New Roman" w:cs="Times New Roman"/>
          <w:sz w:val="24"/>
          <w:szCs w:val="24"/>
          <w:lang w:val="en-US"/>
        </w:rPr>
        <w:t>including</w:t>
      </w:r>
      <w:r w:rsidR="00E950D8" w:rsidRPr="000F052B">
        <w:rPr>
          <w:rFonts w:ascii="Times New Roman" w:hAnsi="Times New Roman" w:cs="Times New Roman"/>
          <w:sz w:val="24"/>
          <w:szCs w:val="24"/>
          <w:lang w:val="en-US"/>
        </w:rPr>
        <w:t xml:space="preserve"> welfar</w:t>
      </w:r>
      <w:r w:rsidR="008645A2">
        <w:rPr>
          <w:rFonts w:ascii="Times New Roman" w:hAnsi="Times New Roman" w:cs="Times New Roman"/>
          <w:sz w:val="24"/>
          <w:szCs w:val="24"/>
          <w:lang w:val="en-US"/>
        </w:rPr>
        <w:t>ism and public regulation.</w:t>
      </w:r>
      <w:r w:rsidR="00243E22">
        <w:rPr>
          <w:rStyle w:val="FootnoteReference"/>
          <w:rFonts w:ascii="Times New Roman" w:hAnsi="Times New Roman" w:cs="Times New Roman"/>
          <w:sz w:val="24"/>
          <w:szCs w:val="24"/>
          <w:lang w:val="en-US"/>
        </w:rPr>
        <w:footnoteReference w:id="18"/>
      </w:r>
      <w:r w:rsidR="008645A2">
        <w:rPr>
          <w:rFonts w:ascii="Times New Roman" w:hAnsi="Times New Roman" w:cs="Times New Roman"/>
          <w:sz w:val="24"/>
          <w:szCs w:val="24"/>
          <w:lang w:val="en-US"/>
        </w:rPr>
        <w:t xml:space="preserve">  </w:t>
      </w:r>
      <w:r w:rsidR="00E950D8" w:rsidRPr="000F052B">
        <w:rPr>
          <w:rFonts w:ascii="Times New Roman" w:hAnsi="Times New Roman" w:cs="Times New Roman"/>
          <w:sz w:val="24"/>
          <w:szCs w:val="24"/>
          <w:lang w:val="en-US"/>
        </w:rPr>
        <w:t>O</w:t>
      </w:r>
      <w:r w:rsidR="00333023" w:rsidRPr="000F052B">
        <w:rPr>
          <w:rFonts w:ascii="Times New Roman" w:hAnsi="Times New Roman" w:cs="Times New Roman"/>
          <w:sz w:val="24"/>
          <w:szCs w:val="24"/>
          <w:lang w:val="en-US"/>
        </w:rPr>
        <w:t>ur</w:t>
      </w:r>
      <w:r w:rsidR="00A065A5" w:rsidRPr="000F052B">
        <w:rPr>
          <w:rFonts w:ascii="Times New Roman" w:hAnsi="Times New Roman" w:cs="Times New Roman"/>
          <w:sz w:val="24"/>
          <w:szCs w:val="24"/>
          <w:lang w:val="en-US"/>
        </w:rPr>
        <w:t xml:space="preserve"> </w:t>
      </w:r>
      <w:r w:rsidR="00333023" w:rsidRPr="000F052B">
        <w:rPr>
          <w:rFonts w:ascii="Times New Roman" w:hAnsi="Times New Roman" w:cs="Times New Roman"/>
          <w:sz w:val="24"/>
          <w:szCs w:val="24"/>
          <w:lang w:val="en-US"/>
        </w:rPr>
        <w:t>analysis</w:t>
      </w:r>
      <w:r w:rsidR="00A065A5" w:rsidRPr="000F052B">
        <w:rPr>
          <w:rFonts w:ascii="Times New Roman" w:hAnsi="Times New Roman" w:cs="Times New Roman"/>
          <w:sz w:val="24"/>
          <w:szCs w:val="24"/>
          <w:lang w:val="en-US"/>
        </w:rPr>
        <w:t xml:space="preserve"> </w:t>
      </w:r>
      <w:r w:rsidR="00E950D8" w:rsidRPr="000F052B">
        <w:rPr>
          <w:rFonts w:ascii="Times New Roman" w:hAnsi="Times New Roman" w:cs="Times New Roman"/>
          <w:sz w:val="24"/>
          <w:szCs w:val="24"/>
          <w:lang w:val="en-US"/>
        </w:rPr>
        <w:t>will</w:t>
      </w:r>
      <w:r w:rsidR="00A065A5" w:rsidRPr="000F052B">
        <w:rPr>
          <w:rFonts w:ascii="Times New Roman" w:hAnsi="Times New Roman" w:cs="Times New Roman"/>
          <w:sz w:val="24"/>
          <w:szCs w:val="24"/>
          <w:lang w:val="en-US"/>
        </w:rPr>
        <w:t xml:space="preserve"> demonstrat</w:t>
      </w:r>
      <w:r w:rsidR="00333023" w:rsidRPr="000F052B">
        <w:rPr>
          <w:rFonts w:ascii="Times New Roman" w:hAnsi="Times New Roman" w:cs="Times New Roman"/>
          <w:sz w:val="24"/>
          <w:szCs w:val="24"/>
          <w:lang w:val="en-US"/>
        </w:rPr>
        <w:t>e</w:t>
      </w:r>
      <w:r w:rsidR="00E950D8" w:rsidRPr="000F052B">
        <w:rPr>
          <w:rFonts w:ascii="Times New Roman" w:hAnsi="Times New Roman" w:cs="Times New Roman"/>
          <w:sz w:val="24"/>
          <w:szCs w:val="24"/>
          <w:lang w:val="en-US"/>
        </w:rPr>
        <w:t>,</w:t>
      </w:r>
      <w:r w:rsidR="00A065A5" w:rsidRPr="000F052B">
        <w:rPr>
          <w:rFonts w:ascii="Times New Roman" w:hAnsi="Times New Roman" w:cs="Times New Roman"/>
          <w:sz w:val="24"/>
          <w:szCs w:val="24"/>
          <w:lang w:val="en-US"/>
        </w:rPr>
        <w:t xml:space="preserve"> </w:t>
      </w:r>
      <w:r w:rsidR="00E950D8" w:rsidRPr="000F052B">
        <w:rPr>
          <w:rFonts w:ascii="Times New Roman" w:hAnsi="Times New Roman" w:cs="Times New Roman"/>
          <w:sz w:val="24"/>
          <w:szCs w:val="24"/>
          <w:lang w:val="en-US"/>
        </w:rPr>
        <w:t>by means of several micro-perspectives, an emergent macro view</w:t>
      </w:r>
      <w:r w:rsidR="00A065A5" w:rsidRPr="000F052B">
        <w:rPr>
          <w:rFonts w:ascii="Times New Roman" w:hAnsi="Times New Roman" w:cs="Times New Roman"/>
          <w:sz w:val="24"/>
          <w:szCs w:val="24"/>
          <w:lang w:val="en-US"/>
        </w:rPr>
        <w:t xml:space="preserve"> of the role which </w:t>
      </w:r>
      <w:r w:rsidR="00333023" w:rsidRPr="000F052B">
        <w:rPr>
          <w:rFonts w:ascii="Times New Roman" w:hAnsi="Times New Roman" w:cs="Times New Roman"/>
          <w:sz w:val="24"/>
          <w:szCs w:val="24"/>
          <w:lang w:val="en-US"/>
        </w:rPr>
        <w:t>the doctrine</w:t>
      </w:r>
      <w:r w:rsidR="00E950D8" w:rsidRPr="000F052B">
        <w:rPr>
          <w:rFonts w:ascii="Times New Roman" w:hAnsi="Times New Roman" w:cs="Times New Roman"/>
          <w:sz w:val="24"/>
          <w:szCs w:val="24"/>
          <w:lang w:val="en-US"/>
        </w:rPr>
        <w:t xml:space="preserve"> of privity</w:t>
      </w:r>
      <w:r w:rsidR="00A065A5" w:rsidRPr="000F052B">
        <w:rPr>
          <w:rFonts w:ascii="Times New Roman" w:hAnsi="Times New Roman" w:cs="Times New Roman"/>
          <w:sz w:val="24"/>
          <w:szCs w:val="24"/>
          <w:lang w:val="en-US"/>
        </w:rPr>
        <w:t xml:space="preserve"> plays in shaping </w:t>
      </w:r>
      <w:r w:rsidR="008645A2">
        <w:rPr>
          <w:rFonts w:ascii="Times New Roman" w:hAnsi="Times New Roman" w:cs="Times New Roman"/>
          <w:sz w:val="24"/>
          <w:szCs w:val="24"/>
          <w:lang w:val="en-US"/>
        </w:rPr>
        <w:t xml:space="preserve">the </w:t>
      </w:r>
      <w:r w:rsidR="00A065A5" w:rsidRPr="000F052B">
        <w:rPr>
          <w:rFonts w:ascii="Times New Roman" w:hAnsi="Times New Roman" w:cs="Times New Roman"/>
          <w:sz w:val="24"/>
          <w:szCs w:val="24"/>
          <w:lang w:val="en-US"/>
        </w:rPr>
        <w:t>contractual context</w:t>
      </w:r>
      <w:r w:rsidR="00333023" w:rsidRPr="000F052B">
        <w:rPr>
          <w:rFonts w:ascii="Times New Roman" w:hAnsi="Times New Roman" w:cs="Times New Roman"/>
          <w:sz w:val="24"/>
          <w:szCs w:val="24"/>
          <w:lang w:val="en-US"/>
        </w:rPr>
        <w:t xml:space="preserve"> in Australia and South Africa</w:t>
      </w:r>
      <w:r w:rsidR="00A065A5" w:rsidRPr="000F052B">
        <w:rPr>
          <w:rFonts w:ascii="Times New Roman" w:hAnsi="Times New Roman" w:cs="Times New Roman"/>
          <w:sz w:val="24"/>
          <w:szCs w:val="24"/>
          <w:lang w:val="en-US"/>
        </w:rPr>
        <w:t>.</w:t>
      </w:r>
      <w:r w:rsidR="00587D5C">
        <w:rPr>
          <w:rFonts w:ascii="Times New Roman" w:hAnsi="Times New Roman" w:cs="Times New Roman"/>
          <w:sz w:val="24"/>
          <w:szCs w:val="24"/>
          <w:lang w:val="en-US"/>
        </w:rPr>
        <w:t xml:space="preserve">  In line with this broader picture of contractual relations and the extent to which these are able to protect reasonable expectations and reliance, we turn to our first context-setting question of legal culture, namely the role of good faith and other concepts of contractual fairness in our chosen legal systems.</w:t>
      </w:r>
    </w:p>
    <w:p w14:paraId="4C5684A8" w14:textId="77777777" w:rsidR="006746A8" w:rsidRPr="000F052B" w:rsidRDefault="006746A8" w:rsidP="00205AF2">
      <w:pPr>
        <w:spacing w:after="120" w:line="480" w:lineRule="auto"/>
        <w:jc w:val="both"/>
        <w:rPr>
          <w:rFonts w:ascii="Times New Roman" w:hAnsi="Times New Roman" w:cs="Times New Roman"/>
          <w:sz w:val="24"/>
          <w:szCs w:val="24"/>
          <w:lang w:val="en-US"/>
        </w:rPr>
      </w:pPr>
    </w:p>
    <w:p w14:paraId="7918D432" w14:textId="77777777" w:rsidR="0018714C" w:rsidRDefault="0018714C" w:rsidP="00C17BF6">
      <w:pPr>
        <w:spacing w:after="120" w:line="480" w:lineRule="auto"/>
        <w:jc w:val="center"/>
        <w:rPr>
          <w:rFonts w:ascii="Times New Roman" w:hAnsi="Times New Roman" w:cs="Times New Roman"/>
          <w:i/>
          <w:sz w:val="28"/>
          <w:szCs w:val="24"/>
          <w:lang w:val="en-US"/>
        </w:rPr>
      </w:pPr>
    </w:p>
    <w:p w14:paraId="162D235B" w14:textId="59ADCD65" w:rsidR="00C17BF6" w:rsidRPr="000F052B" w:rsidRDefault="00BA471B" w:rsidP="006231C3">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lastRenderedPageBreak/>
        <w:t>B.</w:t>
      </w:r>
      <w:r w:rsidR="005A5C0B" w:rsidRPr="000F052B">
        <w:rPr>
          <w:rFonts w:ascii="Times New Roman" w:hAnsi="Times New Roman" w:cs="Times New Roman"/>
          <w:i/>
          <w:sz w:val="28"/>
          <w:szCs w:val="24"/>
          <w:lang w:val="en-US"/>
        </w:rPr>
        <w:t xml:space="preserve"> Legal Culture and C</w:t>
      </w:r>
      <w:r w:rsidR="00A43398" w:rsidRPr="000F052B">
        <w:rPr>
          <w:rFonts w:ascii="Times New Roman" w:hAnsi="Times New Roman" w:cs="Times New Roman"/>
          <w:i/>
          <w:sz w:val="28"/>
          <w:szCs w:val="24"/>
          <w:lang w:val="en-US"/>
        </w:rPr>
        <w:t>ontext:</w:t>
      </w:r>
    </w:p>
    <w:p w14:paraId="7498CC0F" w14:textId="72765D0B" w:rsidR="00A43398" w:rsidRPr="000F052B" w:rsidRDefault="00772C27" w:rsidP="00C17BF6">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F</w:t>
      </w:r>
      <w:r w:rsidR="006A2D9E" w:rsidRPr="000F052B">
        <w:rPr>
          <w:rFonts w:ascii="Times New Roman" w:hAnsi="Times New Roman" w:cs="Times New Roman"/>
          <w:i/>
          <w:sz w:val="28"/>
          <w:szCs w:val="24"/>
          <w:lang w:val="en-US"/>
        </w:rPr>
        <w:t xml:space="preserve">airness, </w:t>
      </w:r>
      <w:r w:rsidRPr="000F052B">
        <w:rPr>
          <w:rFonts w:ascii="Times New Roman" w:hAnsi="Times New Roman" w:cs="Times New Roman"/>
          <w:i/>
          <w:sz w:val="28"/>
          <w:szCs w:val="24"/>
          <w:lang w:val="en-US"/>
        </w:rPr>
        <w:t>Good Faith and the Protection of Reasonable E</w:t>
      </w:r>
      <w:r w:rsidR="00A43398" w:rsidRPr="000F052B">
        <w:rPr>
          <w:rFonts w:ascii="Times New Roman" w:hAnsi="Times New Roman" w:cs="Times New Roman"/>
          <w:i/>
          <w:sz w:val="28"/>
          <w:szCs w:val="24"/>
          <w:lang w:val="en-US"/>
        </w:rPr>
        <w:t>xpectations</w:t>
      </w:r>
    </w:p>
    <w:p w14:paraId="3473ADFA" w14:textId="05908203" w:rsidR="00B32842" w:rsidRPr="000F052B" w:rsidRDefault="00B32842" w:rsidP="00C17BF6">
      <w:pPr>
        <w:spacing w:after="120" w:line="480" w:lineRule="auto"/>
        <w:ind w:left="284" w:hanging="284"/>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1</w:t>
      </w:r>
      <w:r w:rsidR="00BA471B" w:rsidRPr="000F052B">
        <w:rPr>
          <w:rFonts w:ascii="Times New Roman" w:hAnsi="Times New Roman" w:cs="Times New Roman"/>
          <w:i/>
          <w:sz w:val="28"/>
          <w:szCs w:val="24"/>
          <w:lang w:val="en-US"/>
        </w:rPr>
        <w:t>.</w:t>
      </w:r>
      <w:r w:rsidRPr="000F052B">
        <w:rPr>
          <w:rFonts w:ascii="Times New Roman" w:hAnsi="Times New Roman" w:cs="Times New Roman"/>
          <w:i/>
          <w:sz w:val="28"/>
          <w:szCs w:val="24"/>
          <w:lang w:val="en-US"/>
        </w:rPr>
        <w:t xml:space="preserve"> Australia</w:t>
      </w:r>
    </w:p>
    <w:p w14:paraId="354B179E" w14:textId="4DACA3BA" w:rsidR="00C17BF6" w:rsidRPr="00813D39" w:rsidRDefault="00B32842" w:rsidP="00205AF2">
      <w:pPr>
        <w:spacing w:after="120" w:line="480" w:lineRule="auto"/>
        <w:jc w:val="both"/>
        <w:rPr>
          <w:rFonts w:ascii="Times New Roman" w:hAnsi="Times New Roman" w:cs="Times New Roman"/>
          <w:bCs/>
          <w:sz w:val="24"/>
          <w:szCs w:val="24"/>
          <w:lang w:val="en-US"/>
        </w:rPr>
      </w:pPr>
      <w:r w:rsidRPr="000F052B">
        <w:rPr>
          <w:rFonts w:ascii="Times New Roman" w:hAnsi="Times New Roman" w:cs="Times New Roman"/>
          <w:bCs/>
          <w:sz w:val="24"/>
          <w:szCs w:val="24"/>
          <w:lang w:val="en-US"/>
        </w:rPr>
        <w:t>Recently we have claimed that several data appear to suggest that Australia is moving, not without difficulties and uncertainties,</w:t>
      </w:r>
      <w:r w:rsidRPr="000F052B">
        <w:rPr>
          <w:rStyle w:val="FootnoteReference"/>
          <w:rFonts w:ascii="Times New Roman" w:hAnsi="Times New Roman" w:cs="Times New Roman"/>
          <w:bCs/>
          <w:sz w:val="24"/>
          <w:szCs w:val="24"/>
          <w:lang w:val="en-US"/>
        </w:rPr>
        <w:footnoteReference w:id="19"/>
      </w:r>
      <w:r w:rsidRPr="000F052B">
        <w:rPr>
          <w:rFonts w:ascii="Times New Roman" w:hAnsi="Times New Roman" w:cs="Times New Roman"/>
          <w:bCs/>
          <w:sz w:val="24"/>
          <w:szCs w:val="24"/>
          <w:lang w:val="en-US"/>
        </w:rPr>
        <w:t xml:space="preserve"> towards an implied duty of good faith and contractual fairness in clear opposition to the orthodox essence</w:t>
      </w:r>
      <w:r w:rsidRPr="000F052B">
        <w:rPr>
          <w:rStyle w:val="FootnoteReference"/>
          <w:rFonts w:ascii="Times New Roman" w:hAnsi="Times New Roman" w:cs="Times New Roman"/>
          <w:bCs/>
          <w:sz w:val="24"/>
          <w:szCs w:val="24"/>
          <w:lang w:val="en-US"/>
        </w:rPr>
        <w:footnoteReference w:id="20"/>
      </w:r>
      <w:r w:rsidRPr="000F052B">
        <w:rPr>
          <w:rFonts w:ascii="Times New Roman" w:hAnsi="Times New Roman" w:cs="Times New Roman"/>
          <w:bCs/>
          <w:sz w:val="24"/>
          <w:szCs w:val="24"/>
          <w:lang w:val="en-US"/>
        </w:rPr>
        <w:t xml:space="preserve"> of the </w:t>
      </w:r>
      <w:r w:rsidR="00772C27" w:rsidRPr="000F052B">
        <w:rPr>
          <w:rFonts w:ascii="Times New Roman" w:hAnsi="Times New Roman" w:cs="Times New Roman"/>
          <w:bCs/>
          <w:sz w:val="24"/>
          <w:szCs w:val="24"/>
          <w:lang w:val="en-US"/>
        </w:rPr>
        <w:t>Common law tradition.</w:t>
      </w:r>
      <w:r w:rsidR="00772C27" w:rsidRPr="000F052B">
        <w:rPr>
          <w:rStyle w:val="FootnoteReference"/>
          <w:rFonts w:ascii="Times New Roman" w:hAnsi="Times New Roman" w:cs="Times New Roman"/>
          <w:bCs/>
          <w:sz w:val="24"/>
          <w:szCs w:val="24"/>
          <w:lang w:val="en-US"/>
        </w:rPr>
        <w:footnoteReference w:id="21"/>
      </w:r>
      <w:r w:rsidR="00772C27" w:rsidRPr="000F052B">
        <w:rPr>
          <w:rFonts w:ascii="Times New Roman" w:hAnsi="Times New Roman" w:cs="Times New Roman"/>
          <w:bCs/>
          <w:sz w:val="24"/>
          <w:szCs w:val="24"/>
          <w:lang w:val="en-US"/>
        </w:rPr>
        <w:t xml:space="preserve"> </w:t>
      </w:r>
      <w:r w:rsidRPr="000F052B">
        <w:rPr>
          <w:rFonts w:ascii="Times New Roman" w:hAnsi="Times New Roman" w:cs="Times New Roman"/>
          <w:bCs/>
          <w:sz w:val="24"/>
          <w:szCs w:val="24"/>
          <w:lang w:val="en-US"/>
        </w:rPr>
        <w:t xml:space="preserve">More </w:t>
      </w:r>
      <w:r w:rsidRPr="000F052B">
        <w:rPr>
          <w:rFonts w:ascii="Times New Roman" w:hAnsi="Times New Roman" w:cs="Times New Roman"/>
          <w:bCs/>
          <w:sz w:val="24"/>
          <w:szCs w:val="24"/>
          <w:lang w:val="en-US"/>
        </w:rPr>
        <w:lastRenderedPageBreak/>
        <w:t>particularly, on that occasion it was shown that some courts have accepted that there is an implied duty to both contract and perform in good faith in employment contracts in relation to particular powers, discretion, and obligations (such as when the enjoyment by the employee of the essential benefits is at stake, or when the employer pretends to exercise unqualified discretion to grant an inessential bonus or to suspend indefinitely or to arbitrarily affect the superannuation and pension schemes</w:t>
      </w:r>
      <w:r w:rsidRPr="000F052B">
        <w:rPr>
          <w:rFonts w:ascii="Times New Roman" w:hAnsi="Times New Roman" w:cs="Times New Roman"/>
          <w:bCs/>
          <w:sz w:val="24"/>
          <w:szCs w:val="24"/>
          <w:vertAlign w:val="superscript"/>
          <w:lang w:val="en-US"/>
        </w:rPr>
        <w:footnoteReference w:id="22"/>
      </w:r>
      <w:r w:rsidRPr="000F052B">
        <w:rPr>
          <w:rFonts w:ascii="Times New Roman" w:hAnsi="Times New Roman" w:cs="Times New Roman"/>
          <w:bCs/>
          <w:sz w:val="24"/>
          <w:szCs w:val="24"/>
          <w:lang w:val="en-US"/>
        </w:rPr>
        <w:t>). According to the courts, this is because, as a matter of fact, the parties ordinarily intend that powers and discretions shall be exercised in good faith.</w:t>
      </w:r>
      <w:r w:rsidRPr="000F052B">
        <w:rPr>
          <w:rFonts w:ascii="Times New Roman" w:hAnsi="Times New Roman" w:cs="Times New Roman"/>
          <w:bCs/>
          <w:sz w:val="24"/>
          <w:szCs w:val="24"/>
          <w:vertAlign w:val="superscript"/>
          <w:lang w:val="en-US"/>
        </w:rPr>
        <w:footnoteReference w:id="23"/>
      </w:r>
      <w:r w:rsidRPr="000F052B">
        <w:rPr>
          <w:rFonts w:ascii="Times New Roman" w:hAnsi="Times New Roman" w:cs="Times New Roman"/>
          <w:bCs/>
          <w:sz w:val="24"/>
          <w:szCs w:val="24"/>
          <w:lang w:val="en-US"/>
        </w:rPr>
        <w:t xml:space="preserve"> Finally, to act </w:t>
      </w:r>
      <w:r w:rsidRPr="000F052B">
        <w:rPr>
          <w:rFonts w:ascii="Times New Roman" w:hAnsi="Times New Roman" w:cs="Times New Roman"/>
          <w:bCs/>
          <w:i/>
          <w:sz w:val="24"/>
          <w:szCs w:val="24"/>
          <w:lang w:val="en-US"/>
        </w:rPr>
        <w:t>bona fides</w:t>
      </w:r>
      <w:r w:rsidRPr="000F052B">
        <w:rPr>
          <w:rFonts w:ascii="Times New Roman" w:hAnsi="Times New Roman" w:cs="Times New Roman"/>
          <w:bCs/>
          <w:sz w:val="24"/>
          <w:szCs w:val="24"/>
          <w:lang w:val="en-US"/>
        </w:rPr>
        <w:t xml:space="preserve"> has become mandatory in consumer law,</w:t>
      </w:r>
      <w:r w:rsidRPr="000F052B">
        <w:rPr>
          <w:rFonts w:ascii="Times New Roman" w:hAnsi="Times New Roman" w:cs="Times New Roman"/>
          <w:bCs/>
          <w:sz w:val="24"/>
          <w:szCs w:val="24"/>
          <w:vertAlign w:val="superscript"/>
          <w:lang w:val="en-US"/>
        </w:rPr>
        <w:footnoteReference w:id="24"/>
      </w:r>
      <w:r w:rsidRPr="000F052B">
        <w:rPr>
          <w:rFonts w:ascii="Times New Roman" w:hAnsi="Times New Roman" w:cs="Times New Roman"/>
          <w:bCs/>
          <w:sz w:val="24"/>
          <w:szCs w:val="24"/>
          <w:lang w:val="en-US"/>
        </w:rPr>
        <w:t xml:space="preserve"> while the obligation to </w:t>
      </w:r>
      <w:r w:rsidR="00E5050F">
        <w:rPr>
          <w:rFonts w:ascii="Times New Roman" w:hAnsi="Times New Roman" w:cs="Times New Roman"/>
          <w:bCs/>
          <w:sz w:val="24"/>
          <w:szCs w:val="24"/>
          <w:lang w:val="en-US"/>
        </w:rPr>
        <w:t xml:space="preserve">pre-contractually and post-contractually </w:t>
      </w:r>
      <w:r w:rsidRPr="000F052B">
        <w:rPr>
          <w:rFonts w:ascii="Times New Roman" w:hAnsi="Times New Roman" w:cs="Times New Roman"/>
          <w:bCs/>
          <w:sz w:val="24"/>
          <w:szCs w:val="24"/>
          <w:lang w:val="en-US"/>
        </w:rPr>
        <w:t>act with the utmost degree of good faith – comprising, in the absence of a statutory definition,</w:t>
      </w:r>
      <w:r w:rsidRPr="000F052B">
        <w:rPr>
          <w:rStyle w:val="FootnoteReference"/>
          <w:rFonts w:ascii="Times New Roman" w:hAnsi="Times New Roman" w:cs="Times New Roman"/>
          <w:bCs/>
          <w:sz w:val="24"/>
          <w:szCs w:val="24"/>
          <w:lang w:val="en-US"/>
        </w:rPr>
        <w:footnoteReference w:id="25"/>
      </w:r>
      <w:r w:rsidRPr="000F052B">
        <w:rPr>
          <w:rFonts w:ascii="Times New Roman" w:hAnsi="Times New Roman" w:cs="Times New Roman"/>
          <w:bCs/>
          <w:sz w:val="24"/>
          <w:szCs w:val="24"/>
          <w:lang w:val="en-US"/>
        </w:rPr>
        <w:t xml:space="preserve"> fairness, honesty, reasonableness and community standards of decency and fair dealing – is compulsory for insurance contracts.</w:t>
      </w:r>
      <w:r w:rsidRPr="000F052B">
        <w:rPr>
          <w:rFonts w:ascii="Times New Roman" w:hAnsi="Times New Roman" w:cs="Times New Roman"/>
          <w:bCs/>
          <w:sz w:val="24"/>
          <w:szCs w:val="24"/>
          <w:vertAlign w:val="superscript"/>
          <w:lang w:val="en-US"/>
        </w:rPr>
        <w:footnoteReference w:id="26"/>
      </w:r>
      <w:r w:rsidRPr="000F052B">
        <w:rPr>
          <w:rFonts w:ascii="Times New Roman" w:hAnsi="Times New Roman" w:cs="Times New Roman"/>
          <w:bCs/>
          <w:sz w:val="24"/>
          <w:szCs w:val="24"/>
          <w:lang w:val="en-US"/>
        </w:rPr>
        <w:t xml:space="preserve"> </w:t>
      </w:r>
    </w:p>
    <w:p w14:paraId="67EA8845" w14:textId="716D3048" w:rsidR="00B32842" w:rsidRPr="000F052B" w:rsidRDefault="00B32842" w:rsidP="00C17BF6">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lastRenderedPageBreak/>
        <w:t>2</w:t>
      </w:r>
      <w:r w:rsidR="00BA471B" w:rsidRPr="000F052B">
        <w:rPr>
          <w:rFonts w:ascii="Times New Roman" w:hAnsi="Times New Roman" w:cs="Times New Roman"/>
          <w:i/>
          <w:sz w:val="28"/>
          <w:szCs w:val="24"/>
          <w:lang w:val="en-US"/>
        </w:rPr>
        <w:t>.</w:t>
      </w:r>
      <w:r w:rsidRPr="000F052B">
        <w:rPr>
          <w:rFonts w:ascii="Times New Roman" w:hAnsi="Times New Roman" w:cs="Times New Roman"/>
          <w:i/>
          <w:sz w:val="28"/>
          <w:szCs w:val="24"/>
          <w:lang w:val="en-US"/>
        </w:rPr>
        <w:t xml:space="preserve"> South Africa</w:t>
      </w:r>
    </w:p>
    <w:p w14:paraId="2B7AA63F" w14:textId="1169F221" w:rsidR="00B32842" w:rsidRPr="000F052B" w:rsidRDefault="00B32842"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The traditional, prevailing view on the doctrine of good faith in South African </w:t>
      </w:r>
      <w:r w:rsidR="00C025A2">
        <w:rPr>
          <w:rFonts w:ascii="Times New Roman" w:hAnsi="Times New Roman" w:cs="Times New Roman"/>
          <w:sz w:val="24"/>
          <w:szCs w:val="24"/>
          <w:lang w:val="en-US"/>
        </w:rPr>
        <w:t xml:space="preserve">contract </w:t>
      </w:r>
      <w:r w:rsidRPr="000F052B">
        <w:rPr>
          <w:rFonts w:ascii="Times New Roman" w:hAnsi="Times New Roman" w:cs="Times New Roman"/>
          <w:sz w:val="24"/>
          <w:szCs w:val="24"/>
          <w:lang w:val="en-US"/>
        </w:rPr>
        <w:t xml:space="preserve">law was summed up by the Supreme Court of Appeal in </w:t>
      </w:r>
      <w:r w:rsidRPr="000F052B">
        <w:rPr>
          <w:rFonts w:ascii="Times New Roman" w:hAnsi="Times New Roman" w:cs="Times New Roman"/>
          <w:i/>
          <w:sz w:val="24"/>
          <w:szCs w:val="24"/>
          <w:lang w:val="en-US"/>
        </w:rPr>
        <w:t>Brisley v Drotsky</w:t>
      </w:r>
      <w:r w:rsidRPr="000F052B">
        <w:rPr>
          <w:rFonts w:ascii="Times New Roman" w:hAnsi="Times New Roman" w:cs="Times New Roman"/>
          <w:sz w:val="24"/>
          <w:szCs w:val="24"/>
          <w:lang w:val="en-US"/>
        </w:rPr>
        <w:t xml:space="preserve"> using the following quotation:</w:t>
      </w:r>
    </w:p>
    <w:p w14:paraId="1B4876F0" w14:textId="23C78E6A" w:rsidR="00B32842" w:rsidRPr="000F052B" w:rsidRDefault="00B32842" w:rsidP="00205AF2">
      <w:pPr>
        <w:pStyle w:val="BodyTextIndent"/>
        <w:spacing w:after="120" w:line="480" w:lineRule="auto"/>
        <w:ind w:left="709" w:hanging="709"/>
        <w:jc w:val="both"/>
        <w:rPr>
          <w:sz w:val="24"/>
          <w:szCs w:val="24"/>
        </w:rPr>
      </w:pPr>
      <w:r w:rsidRPr="000F052B">
        <w:rPr>
          <w:sz w:val="24"/>
          <w:szCs w:val="24"/>
        </w:rPr>
        <w:tab/>
        <w:t>‘What emerges quite clearly from recent academic writing and from some of the leading cases, is that good faith may be regarded as an ethical value or controlling principle based on community standards of decency and fairness that underlies and informs the substantive law of contract.  It finds expression in various technical rules and doctrines, defines their form, content and field of application and provides them with a moral and theoretical foundation.  Good faith thus has a creative, a controlling and a legitimating or explanatory function.  It is not, however, the only value or principle that</w:t>
      </w:r>
      <w:r w:rsidR="00FD0C31" w:rsidRPr="000F052B">
        <w:rPr>
          <w:sz w:val="24"/>
          <w:szCs w:val="24"/>
        </w:rPr>
        <w:t xml:space="preserve"> underlies the law of contract;</w:t>
      </w:r>
      <w:r w:rsidRPr="000F052B">
        <w:rPr>
          <w:sz w:val="24"/>
          <w:szCs w:val="24"/>
        </w:rPr>
        <w:t xml:space="preserve"> nor, perha</w:t>
      </w:r>
      <w:r w:rsidR="00302533">
        <w:rPr>
          <w:sz w:val="24"/>
          <w:szCs w:val="24"/>
        </w:rPr>
        <w:t>ps, even the most important one</w:t>
      </w:r>
      <w:r w:rsidRPr="000F052B">
        <w:rPr>
          <w:sz w:val="24"/>
          <w:szCs w:val="24"/>
        </w:rPr>
        <w:t>’</w:t>
      </w:r>
      <w:r w:rsidR="00302533">
        <w:rPr>
          <w:sz w:val="24"/>
          <w:szCs w:val="24"/>
        </w:rPr>
        <w:t>.</w:t>
      </w:r>
      <w:r w:rsidRPr="000F052B">
        <w:rPr>
          <w:rStyle w:val="FootnoteReference"/>
          <w:sz w:val="24"/>
          <w:szCs w:val="24"/>
        </w:rPr>
        <w:footnoteReference w:id="27"/>
      </w:r>
    </w:p>
    <w:p w14:paraId="46078391" w14:textId="535B05B9" w:rsidR="00B32842" w:rsidRPr="000F052B" w:rsidRDefault="00B32842"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above position reflects the fact that the South African common law of contract is based on the Roman Dutch notion that good faith underlies all contracts, but stops short of allowing good faith to independently found a cause of action.</w:t>
      </w:r>
      <w:r w:rsidRPr="000F052B">
        <w:rPr>
          <w:rStyle w:val="FootnoteReference"/>
          <w:rFonts w:ascii="Times New Roman" w:hAnsi="Times New Roman" w:cs="Times New Roman"/>
          <w:sz w:val="24"/>
          <w:szCs w:val="24"/>
          <w:lang w:val="en-US"/>
        </w:rPr>
        <w:footnoteReference w:id="28"/>
      </w:r>
      <w:r w:rsidRPr="000F052B">
        <w:rPr>
          <w:rFonts w:ascii="Times New Roman" w:hAnsi="Times New Roman" w:cs="Times New Roman"/>
          <w:sz w:val="24"/>
          <w:szCs w:val="24"/>
          <w:lang w:val="en-US"/>
        </w:rPr>
        <w:t xml:space="preserve">  Good faith is not the only limitation on contract terms and contract enforcement in South Africa, however.  The public policy rule has been invoked by the (then apex) Appellate Division to strike down an unconscionable security arrangement under a credit agreement.</w:t>
      </w:r>
      <w:r w:rsidRPr="000F052B">
        <w:rPr>
          <w:rStyle w:val="FootnoteReference"/>
          <w:rFonts w:ascii="Times New Roman" w:hAnsi="Times New Roman" w:cs="Times New Roman"/>
          <w:sz w:val="24"/>
          <w:szCs w:val="24"/>
          <w:lang w:val="en-US"/>
        </w:rPr>
        <w:footnoteReference w:id="29"/>
      </w:r>
      <w:r w:rsidRPr="000F052B">
        <w:rPr>
          <w:rFonts w:ascii="Times New Roman" w:hAnsi="Times New Roman" w:cs="Times New Roman"/>
          <w:sz w:val="24"/>
          <w:szCs w:val="24"/>
          <w:lang w:val="en-US"/>
        </w:rPr>
        <w:t xml:space="preserve">  It has also been used under the new constitutional dispensation as a vehicle through which to indirectly test both the validity of contract terms </w:t>
      </w:r>
      <w:r w:rsidRPr="000F052B">
        <w:rPr>
          <w:rFonts w:ascii="Times New Roman" w:hAnsi="Times New Roman" w:cs="Times New Roman"/>
          <w:sz w:val="24"/>
          <w:szCs w:val="24"/>
          <w:lang w:val="en-US"/>
        </w:rPr>
        <w:lastRenderedPageBreak/>
        <w:t>and the enforcement thereof against the Bill of Rights.</w:t>
      </w:r>
      <w:r w:rsidRPr="000F052B">
        <w:rPr>
          <w:rStyle w:val="FootnoteReference"/>
          <w:rFonts w:ascii="Times New Roman" w:hAnsi="Times New Roman" w:cs="Times New Roman"/>
          <w:sz w:val="24"/>
          <w:szCs w:val="24"/>
          <w:lang w:val="en-US"/>
        </w:rPr>
        <w:footnoteReference w:id="30"/>
      </w:r>
      <w:r w:rsidRPr="000F052B">
        <w:rPr>
          <w:rFonts w:ascii="Times New Roman" w:hAnsi="Times New Roman" w:cs="Times New Roman"/>
          <w:sz w:val="24"/>
          <w:szCs w:val="24"/>
          <w:lang w:val="en-US"/>
        </w:rPr>
        <w:t xml:space="preserve">  This was established in the </w:t>
      </w:r>
      <w:r w:rsidRPr="000F052B">
        <w:rPr>
          <w:rFonts w:ascii="Times New Roman" w:hAnsi="Times New Roman" w:cs="Times New Roman"/>
          <w:i/>
          <w:sz w:val="24"/>
          <w:szCs w:val="24"/>
          <w:lang w:val="en-US"/>
        </w:rPr>
        <w:t>locus classicus</w:t>
      </w:r>
      <w:r w:rsidRPr="000F052B">
        <w:rPr>
          <w:rFonts w:ascii="Times New Roman" w:hAnsi="Times New Roman" w:cs="Times New Roman"/>
          <w:sz w:val="24"/>
          <w:szCs w:val="24"/>
          <w:lang w:val="en-US"/>
        </w:rPr>
        <w:t xml:space="preserve"> on the constitutionalisation of contract law, </w:t>
      </w:r>
      <w:r w:rsidRPr="000F052B">
        <w:rPr>
          <w:rFonts w:ascii="Times New Roman" w:hAnsi="Times New Roman" w:cs="Times New Roman"/>
          <w:i/>
          <w:sz w:val="24"/>
          <w:szCs w:val="24"/>
          <w:lang w:val="en-US"/>
        </w:rPr>
        <w:t>Barkhuizen v Napier</w:t>
      </w:r>
      <w:r w:rsidRPr="000F052B">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31"/>
      </w:r>
      <w:r w:rsidRPr="000F052B">
        <w:rPr>
          <w:rFonts w:ascii="Times New Roman" w:hAnsi="Times New Roman" w:cs="Times New Roman"/>
          <w:sz w:val="24"/>
          <w:szCs w:val="24"/>
          <w:lang w:val="en-US"/>
        </w:rPr>
        <w:t xml:space="preserve">  The same judgment also pronounced on the role of good faith in contract law, but left this doctrine essentially unchanged from the position stated in </w:t>
      </w:r>
      <w:r w:rsidRPr="000F052B">
        <w:rPr>
          <w:rFonts w:ascii="Times New Roman" w:hAnsi="Times New Roman" w:cs="Times New Roman"/>
          <w:i/>
          <w:sz w:val="24"/>
          <w:szCs w:val="24"/>
          <w:lang w:val="en-US"/>
        </w:rPr>
        <w:t>Brisley v Drotsky</w:t>
      </w:r>
      <w:r w:rsidRPr="000F052B">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32"/>
      </w:r>
      <w:r w:rsidRPr="000F052B">
        <w:rPr>
          <w:rFonts w:ascii="Times New Roman" w:hAnsi="Times New Roman" w:cs="Times New Roman"/>
          <w:sz w:val="24"/>
          <w:szCs w:val="24"/>
          <w:lang w:val="en-US"/>
        </w:rPr>
        <w:t xml:space="preserve">  The question as to future development of the doctrine, however, was left open.</w:t>
      </w:r>
      <w:r w:rsidRPr="000F052B">
        <w:rPr>
          <w:rStyle w:val="FootnoteReference"/>
          <w:rFonts w:ascii="Times New Roman" w:hAnsi="Times New Roman" w:cs="Times New Roman"/>
          <w:sz w:val="24"/>
          <w:szCs w:val="24"/>
          <w:lang w:val="en-US"/>
        </w:rPr>
        <w:footnoteReference w:id="33"/>
      </w:r>
    </w:p>
    <w:p w14:paraId="5C9547C9" w14:textId="4B0F0694" w:rsidR="00813D39" w:rsidRPr="00813D39" w:rsidRDefault="00B32842" w:rsidP="00813D39">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t>The constitutional era has, indeed, seen a marked shift in ethos under the banner of transformative constitutionalism.</w:t>
      </w:r>
      <w:r w:rsidRPr="000F052B">
        <w:rPr>
          <w:rStyle w:val="FootnoteReference"/>
          <w:rFonts w:ascii="Times New Roman" w:hAnsi="Times New Roman" w:cs="Times New Roman"/>
          <w:sz w:val="24"/>
          <w:szCs w:val="24"/>
          <w:lang w:val="en-US"/>
        </w:rPr>
        <w:footnoteReference w:id="34"/>
      </w:r>
      <w:r w:rsidRPr="000F052B">
        <w:rPr>
          <w:rFonts w:ascii="Times New Roman" w:hAnsi="Times New Roman" w:cs="Times New Roman"/>
          <w:sz w:val="24"/>
          <w:szCs w:val="24"/>
          <w:lang w:val="en-US"/>
        </w:rPr>
        <w:t xml:space="preserve">  The Constitutional Court (apex in all matters since 2013) has shown a willingness to intervene to protect weaker parties, along with a concern for the plight of the previously disadvantaged African population and its customary law and values.</w:t>
      </w:r>
      <w:r w:rsidRPr="000F052B">
        <w:rPr>
          <w:rStyle w:val="FootnoteReference"/>
          <w:rFonts w:ascii="Times New Roman" w:hAnsi="Times New Roman" w:cs="Times New Roman"/>
          <w:sz w:val="24"/>
          <w:szCs w:val="24"/>
          <w:lang w:val="en-US"/>
        </w:rPr>
        <w:footnoteReference w:id="35"/>
      </w:r>
      <w:r w:rsidRPr="000F052B">
        <w:rPr>
          <w:rFonts w:ascii="Times New Roman" w:hAnsi="Times New Roman" w:cs="Times New Roman"/>
          <w:sz w:val="24"/>
          <w:szCs w:val="24"/>
          <w:lang w:val="en-US"/>
        </w:rPr>
        <w:t xml:space="preserve">  The net result is a rapidly changing legal culture, shaped by South Africa’s historical context.  There have also been several legislative interventions to protect weaker parties such as consumers, employees and residential tenants.</w:t>
      </w:r>
      <w:r w:rsidRPr="000F052B">
        <w:rPr>
          <w:rStyle w:val="FootnoteReference"/>
          <w:rFonts w:ascii="Times New Roman" w:hAnsi="Times New Roman" w:cs="Times New Roman"/>
          <w:sz w:val="24"/>
          <w:szCs w:val="24"/>
          <w:lang w:val="en-US"/>
        </w:rPr>
        <w:footnoteReference w:id="36"/>
      </w:r>
      <w:r w:rsidRPr="000F052B">
        <w:rPr>
          <w:rFonts w:ascii="Times New Roman" w:hAnsi="Times New Roman" w:cs="Times New Roman"/>
          <w:sz w:val="24"/>
          <w:szCs w:val="24"/>
          <w:lang w:val="en-US"/>
        </w:rPr>
        <w:t xml:space="preserve">  Even insurance law has seen the introduction of fairness regimes (outside of mainstream consumer law), along with industry ombuds.</w:t>
      </w:r>
      <w:r w:rsidRPr="000F052B">
        <w:rPr>
          <w:rStyle w:val="FootnoteReference"/>
          <w:rFonts w:ascii="Times New Roman" w:hAnsi="Times New Roman" w:cs="Times New Roman"/>
          <w:sz w:val="24"/>
          <w:szCs w:val="24"/>
          <w:lang w:val="en-US"/>
        </w:rPr>
        <w:footnoteReference w:id="37"/>
      </w:r>
      <w:r w:rsidRPr="000F052B">
        <w:rPr>
          <w:rFonts w:ascii="Times New Roman" w:hAnsi="Times New Roman" w:cs="Times New Roman"/>
          <w:sz w:val="24"/>
          <w:szCs w:val="24"/>
          <w:lang w:val="en-US"/>
        </w:rPr>
        <w:t xml:space="preserve">  </w:t>
      </w:r>
    </w:p>
    <w:p w14:paraId="52013116" w14:textId="5BD385B9" w:rsidR="00334C31" w:rsidRDefault="00334C31" w:rsidP="005B509E">
      <w:pPr>
        <w:spacing w:after="120" w:line="480" w:lineRule="auto"/>
        <w:jc w:val="center"/>
        <w:rPr>
          <w:rFonts w:ascii="Times New Roman" w:hAnsi="Times New Roman" w:cs="Times New Roman"/>
          <w:sz w:val="24"/>
          <w:szCs w:val="24"/>
          <w:lang w:val="en-US"/>
        </w:rPr>
      </w:pPr>
      <w:r>
        <w:rPr>
          <w:rFonts w:ascii="Times New Roman" w:hAnsi="Times New Roman" w:cs="Times New Roman"/>
          <w:i/>
          <w:sz w:val="28"/>
          <w:szCs w:val="28"/>
          <w:lang w:val="en-US"/>
        </w:rPr>
        <w:lastRenderedPageBreak/>
        <w:t xml:space="preserve">3. Connection to the </w:t>
      </w:r>
      <w:r w:rsidR="005B509E">
        <w:rPr>
          <w:rFonts w:ascii="Times New Roman" w:hAnsi="Times New Roman" w:cs="Times New Roman"/>
          <w:i/>
          <w:sz w:val="28"/>
          <w:szCs w:val="28"/>
          <w:lang w:val="en-US"/>
        </w:rPr>
        <w:t>D</w:t>
      </w:r>
      <w:r>
        <w:rPr>
          <w:rFonts w:ascii="Times New Roman" w:hAnsi="Times New Roman" w:cs="Times New Roman"/>
          <w:i/>
          <w:sz w:val="28"/>
          <w:szCs w:val="28"/>
          <w:lang w:val="en-US"/>
        </w:rPr>
        <w:t xml:space="preserve">octrine of </w:t>
      </w:r>
      <w:r w:rsidR="005B509E">
        <w:rPr>
          <w:rFonts w:ascii="Times New Roman" w:hAnsi="Times New Roman" w:cs="Times New Roman"/>
          <w:i/>
          <w:sz w:val="28"/>
          <w:szCs w:val="28"/>
          <w:lang w:val="en-US"/>
        </w:rPr>
        <w:t>P</w:t>
      </w:r>
      <w:r>
        <w:rPr>
          <w:rFonts w:ascii="Times New Roman" w:hAnsi="Times New Roman" w:cs="Times New Roman"/>
          <w:i/>
          <w:sz w:val="28"/>
          <w:szCs w:val="28"/>
          <w:lang w:val="en-US"/>
        </w:rPr>
        <w:t xml:space="preserve">rivity and </w:t>
      </w:r>
      <w:r w:rsidR="005B509E">
        <w:rPr>
          <w:rFonts w:ascii="Times New Roman" w:hAnsi="Times New Roman" w:cs="Times New Roman"/>
          <w:i/>
          <w:sz w:val="28"/>
          <w:szCs w:val="28"/>
          <w:lang w:val="en-US"/>
        </w:rPr>
        <w:t>R</w:t>
      </w:r>
      <w:r>
        <w:rPr>
          <w:rFonts w:ascii="Times New Roman" w:hAnsi="Times New Roman" w:cs="Times New Roman"/>
          <w:i/>
          <w:sz w:val="28"/>
          <w:szCs w:val="28"/>
          <w:lang w:val="en-US"/>
        </w:rPr>
        <w:t xml:space="preserve">elational </w:t>
      </w:r>
      <w:r w:rsidR="005B509E">
        <w:rPr>
          <w:rFonts w:ascii="Times New Roman" w:hAnsi="Times New Roman" w:cs="Times New Roman"/>
          <w:i/>
          <w:sz w:val="28"/>
          <w:szCs w:val="28"/>
          <w:lang w:val="en-US"/>
        </w:rPr>
        <w:t>C</w:t>
      </w:r>
      <w:r>
        <w:rPr>
          <w:rFonts w:ascii="Times New Roman" w:hAnsi="Times New Roman" w:cs="Times New Roman"/>
          <w:i/>
          <w:sz w:val="28"/>
          <w:szCs w:val="28"/>
          <w:lang w:val="en-US"/>
        </w:rPr>
        <w:t xml:space="preserve">ontract </w:t>
      </w:r>
      <w:r w:rsidR="005B509E">
        <w:rPr>
          <w:rFonts w:ascii="Times New Roman" w:hAnsi="Times New Roman" w:cs="Times New Roman"/>
          <w:i/>
          <w:sz w:val="28"/>
          <w:szCs w:val="28"/>
          <w:lang w:val="en-US"/>
        </w:rPr>
        <w:t>T</w:t>
      </w:r>
      <w:r>
        <w:rPr>
          <w:rFonts w:ascii="Times New Roman" w:hAnsi="Times New Roman" w:cs="Times New Roman"/>
          <w:i/>
          <w:sz w:val="28"/>
          <w:szCs w:val="28"/>
          <w:lang w:val="en-US"/>
        </w:rPr>
        <w:t>heory</w:t>
      </w:r>
      <w:r>
        <w:rPr>
          <w:rFonts w:ascii="Times New Roman" w:hAnsi="Times New Roman" w:cs="Times New Roman"/>
          <w:sz w:val="24"/>
          <w:szCs w:val="24"/>
          <w:lang w:val="en-US"/>
        </w:rPr>
        <w:t xml:space="preserve"> </w:t>
      </w:r>
    </w:p>
    <w:p w14:paraId="583257B8" w14:textId="22AA3574" w:rsidR="003262C2" w:rsidRDefault="00170459" w:rsidP="00205AF2">
      <w:pPr>
        <w:spacing w:after="120" w:line="480" w:lineRule="auto"/>
        <w:jc w:val="both"/>
        <w:rPr>
          <w:rFonts w:ascii="Times New Roman" w:hAnsi="Times New Roman" w:cs="Times New Roman"/>
          <w:sz w:val="24"/>
          <w:szCs w:val="24"/>
          <w:lang w:val="en-US"/>
        </w:rPr>
      </w:pPr>
      <w:r w:rsidRPr="00334C31">
        <w:rPr>
          <w:rFonts w:ascii="Times New Roman" w:hAnsi="Times New Roman" w:cs="Times New Roman"/>
          <w:sz w:val="24"/>
          <w:szCs w:val="24"/>
          <w:lang w:val="en-US"/>
        </w:rPr>
        <w:t>T</w:t>
      </w:r>
      <w:r w:rsidR="00B32842" w:rsidRPr="00334C31">
        <w:rPr>
          <w:rFonts w:ascii="Times New Roman" w:hAnsi="Times New Roman" w:cs="Times New Roman"/>
          <w:sz w:val="24"/>
          <w:szCs w:val="24"/>
          <w:lang w:val="en-US"/>
        </w:rPr>
        <w:t xml:space="preserve">he case studies in </w:t>
      </w:r>
      <w:r w:rsidR="00220085" w:rsidRPr="00334C31">
        <w:rPr>
          <w:rFonts w:ascii="Times New Roman" w:hAnsi="Times New Roman" w:cs="Times New Roman"/>
          <w:sz w:val="24"/>
          <w:szCs w:val="24"/>
          <w:lang w:val="en-US"/>
        </w:rPr>
        <w:t>Part III</w:t>
      </w:r>
      <w:r w:rsidR="00B32842" w:rsidRPr="00334C31">
        <w:rPr>
          <w:rFonts w:ascii="Times New Roman" w:hAnsi="Times New Roman" w:cs="Times New Roman"/>
          <w:sz w:val="24"/>
          <w:szCs w:val="24"/>
          <w:lang w:val="en-US"/>
        </w:rPr>
        <w:t xml:space="preserve"> </w:t>
      </w:r>
      <w:r w:rsidRPr="00334C31">
        <w:rPr>
          <w:rFonts w:ascii="Times New Roman" w:hAnsi="Times New Roman" w:cs="Times New Roman"/>
          <w:sz w:val="24"/>
          <w:szCs w:val="24"/>
          <w:lang w:val="en-US"/>
        </w:rPr>
        <w:t>below</w:t>
      </w:r>
      <w:r w:rsidR="00B32842" w:rsidRPr="00334C31">
        <w:rPr>
          <w:rFonts w:ascii="Times New Roman" w:hAnsi="Times New Roman" w:cs="Times New Roman"/>
          <w:sz w:val="24"/>
          <w:szCs w:val="24"/>
          <w:lang w:val="en-US"/>
        </w:rPr>
        <w:t xml:space="preserve"> </w:t>
      </w:r>
      <w:r w:rsidRPr="00334C31">
        <w:rPr>
          <w:rFonts w:ascii="Times New Roman" w:hAnsi="Times New Roman" w:cs="Times New Roman"/>
          <w:sz w:val="24"/>
          <w:szCs w:val="24"/>
          <w:lang w:val="en-US"/>
        </w:rPr>
        <w:t>will demonstrate</w:t>
      </w:r>
      <w:r w:rsidR="00B32842" w:rsidRPr="00334C31">
        <w:rPr>
          <w:rFonts w:ascii="Times New Roman" w:hAnsi="Times New Roman" w:cs="Times New Roman"/>
          <w:sz w:val="24"/>
          <w:szCs w:val="24"/>
          <w:lang w:val="en-US"/>
        </w:rPr>
        <w:t xml:space="preserve"> that while </w:t>
      </w:r>
      <w:r w:rsidR="00334C31">
        <w:rPr>
          <w:rFonts w:ascii="Times New Roman" w:hAnsi="Times New Roman" w:cs="Times New Roman"/>
          <w:sz w:val="24"/>
          <w:szCs w:val="24"/>
          <w:lang w:val="en-US"/>
        </w:rPr>
        <w:t xml:space="preserve">both Australia and </w:t>
      </w:r>
      <w:r w:rsidR="00B32842" w:rsidRPr="00334C31">
        <w:rPr>
          <w:rFonts w:ascii="Times New Roman" w:hAnsi="Times New Roman" w:cs="Times New Roman"/>
          <w:sz w:val="24"/>
          <w:szCs w:val="24"/>
          <w:lang w:val="en-US"/>
        </w:rPr>
        <w:t>South Africa have entrenched doctrine</w:t>
      </w:r>
      <w:r w:rsidR="00334C31">
        <w:rPr>
          <w:rFonts w:ascii="Times New Roman" w:hAnsi="Times New Roman" w:cs="Times New Roman"/>
          <w:sz w:val="24"/>
          <w:szCs w:val="24"/>
          <w:lang w:val="en-US"/>
        </w:rPr>
        <w:t>s</w:t>
      </w:r>
      <w:r w:rsidR="00B32842" w:rsidRPr="00334C31">
        <w:rPr>
          <w:rFonts w:ascii="Times New Roman" w:hAnsi="Times New Roman" w:cs="Times New Roman"/>
          <w:sz w:val="24"/>
          <w:szCs w:val="24"/>
          <w:lang w:val="en-US"/>
        </w:rPr>
        <w:t xml:space="preserve"> of contractual privity, there are long-existing common law</w:t>
      </w:r>
      <w:r w:rsidR="0045735F">
        <w:rPr>
          <w:rFonts w:ascii="Times New Roman" w:hAnsi="Times New Roman" w:cs="Times New Roman"/>
          <w:sz w:val="24"/>
          <w:szCs w:val="24"/>
          <w:lang w:val="en-US"/>
        </w:rPr>
        <w:t xml:space="preserve"> and statutory</w:t>
      </w:r>
      <w:r w:rsidR="00B32842" w:rsidRPr="00334C31">
        <w:rPr>
          <w:rFonts w:ascii="Times New Roman" w:hAnsi="Times New Roman" w:cs="Times New Roman"/>
          <w:sz w:val="24"/>
          <w:szCs w:val="24"/>
          <w:lang w:val="en-US"/>
        </w:rPr>
        <w:t xml:space="preserve"> exceptions to this, which address many of the complaints with regard to third party reliance and reasonable expectations historically present in </w:t>
      </w:r>
      <w:r w:rsidR="0045735F">
        <w:rPr>
          <w:rFonts w:ascii="Times New Roman" w:hAnsi="Times New Roman" w:cs="Times New Roman"/>
          <w:sz w:val="24"/>
          <w:szCs w:val="24"/>
          <w:lang w:val="en-US"/>
        </w:rPr>
        <w:t>the classical law of contract</w:t>
      </w:r>
      <w:r w:rsidR="00B32842" w:rsidRPr="00334C31">
        <w:rPr>
          <w:rFonts w:ascii="Times New Roman" w:hAnsi="Times New Roman" w:cs="Times New Roman"/>
          <w:sz w:val="24"/>
          <w:szCs w:val="24"/>
          <w:lang w:val="en-US"/>
        </w:rPr>
        <w:t xml:space="preserve">.  The doctrine of privity would, however, bar a third party action on a contract outside of the </w:t>
      </w:r>
      <w:r w:rsidR="00FD0C31" w:rsidRPr="00334C31">
        <w:rPr>
          <w:rFonts w:ascii="Times New Roman" w:hAnsi="Times New Roman" w:cs="Times New Roman"/>
          <w:sz w:val="24"/>
          <w:szCs w:val="24"/>
          <w:lang w:val="en-US"/>
        </w:rPr>
        <w:t>recognized</w:t>
      </w:r>
      <w:r w:rsidR="00B32842" w:rsidRPr="00334C31">
        <w:rPr>
          <w:rFonts w:ascii="Times New Roman" w:hAnsi="Times New Roman" w:cs="Times New Roman"/>
          <w:sz w:val="24"/>
          <w:szCs w:val="24"/>
          <w:lang w:val="en-US"/>
        </w:rPr>
        <w:t xml:space="preserve"> exceptions.  </w:t>
      </w:r>
      <w:r w:rsidR="0045735F">
        <w:rPr>
          <w:rFonts w:ascii="Times New Roman" w:hAnsi="Times New Roman" w:cs="Times New Roman"/>
          <w:sz w:val="24"/>
          <w:szCs w:val="24"/>
          <w:lang w:val="en-US"/>
        </w:rPr>
        <w:t xml:space="preserve">  In many ways, Australia led the way in the Common law world in reforming the strictures of the doctrine of privity to protect reasonable expectations, as will become apparent in Part III below.  This was done both through legislative intervention and through bold judicial activism, supporting a culture of contracting which protects reasonable expectations.  </w:t>
      </w:r>
      <w:r w:rsidR="00B32842" w:rsidRPr="0045735F">
        <w:rPr>
          <w:rFonts w:ascii="Times New Roman" w:hAnsi="Times New Roman" w:cs="Times New Roman"/>
          <w:sz w:val="24"/>
          <w:szCs w:val="24"/>
          <w:lang w:val="en-US"/>
        </w:rPr>
        <w:t xml:space="preserve">In </w:t>
      </w:r>
      <w:r w:rsidR="0045735F">
        <w:rPr>
          <w:rFonts w:ascii="Times New Roman" w:hAnsi="Times New Roman" w:cs="Times New Roman"/>
          <w:sz w:val="24"/>
          <w:szCs w:val="24"/>
          <w:lang w:val="en-US"/>
        </w:rPr>
        <w:t>South Africa</w:t>
      </w:r>
      <w:r w:rsidR="00B32842" w:rsidRPr="0045735F">
        <w:rPr>
          <w:rFonts w:ascii="Times New Roman" w:hAnsi="Times New Roman" w:cs="Times New Roman"/>
          <w:sz w:val="24"/>
          <w:szCs w:val="24"/>
          <w:lang w:val="en-US"/>
        </w:rPr>
        <w:t xml:space="preserve"> the </w:t>
      </w:r>
      <w:r w:rsidR="0045735F">
        <w:rPr>
          <w:rFonts w:ascii="Times New Roman" w:hAnsi="Times New Roman" w:cs="Times New Roman"/>
          <w:sz w:val="24"/>
          <w:szCs w:val="24"/>
          <w:lang w:val="en-US"/>
        </w:rPr>
        <w:t xml:space="preserve">currently </w:t>
      </w:r>
      <w:r w:rsidR="00B32842" w:rsidRPr="0045735F">
        <w:rPr>
          <w:rFonts w:ascii="Times New Roman" w:hAnsi="Times New Roman" w:cs="Times New Roman"/>
          <w:sz w:val="24"/>
          <w:szCs w:val="24"/>
          <w:lang w:val="en-US"/>
        </w:rPr>
        <w:t>prevailing approach to contract dispute resolution at the highest level has shown a trend towards putting substance over form and not allowing technical, doctrinal reasoning to bar claims which are thought to be meritorious.</w:t>
      </w:r>
      <w:r w:rsidR="00B32842" w:rsidRPr="00334C31">
        <w:rPr>
          <w:rStyle w:val="FootnoteReference"/>
          <w:rFonts w:ascii="Times New Roman" w:hAnsi="Times New Roman" w:cs="Times New Roman"/>
          <w:sz w:val="24"/>
          <w:szCs w:val="24"/>
          <w:lang w:val="en-US"/>
        </w:rPr>
        <w:footnoteReference w:id="38"/>
      </w:r>
      <w:r w:rsidR="003262C2">
        <w:rPr>
          <w:rFonts w:ascii="Times New Roman" w:hAnsi="Times New Roman" w:cs="Times New Roman"/>
          <w:sz w:val="24"/>
          <w:szCs w:val="24"/>
          <w:lang w:val="en-US"/>
        </w:rPr>
        <w:t xml:space="preserve">  There have also been legislative interventions in the democratic era, which aim to introduce a greater measure of protection for weaker contracting parties.</w:t>
      </w:r>
      <w:r w:rsidR="00B32842" w:rsidRPr="00334C31">
        <w:rPr>
          <w:rFonts w:ascii="Times New Roman" w:hAnsi="Times New Roman" w:cs="Times New Roman"/>
          <w:sz w:val="24"/>
          <w:szCs w:val="24"/>
          <w:lang w:val="en-US"/>
        </w:rPr>
        <w:t xml:space="preserve">  </w:t>
      </w:r>
    </w:p>
    <w:p w14:paraId="5FC63BC9" w14:textId="0496FEDF" w:rsidR="00B32842" w:rsidRPr="000F052B" w:rsidRDefault="003262C2" w:rsidP="005B509E">
      <w:pPr>
        <w:spacing w:after="12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emergent view in both jurisdictions is of a trend towards</w:t>
      </w:r>
      <w:r w:rsidR="0035606D">
        <w:rPr>
          <w:rFonts w:ascii="Times New Roman" w:hAnsi="Times New Roman" w:cs="Times New Roman"/>
          <w:sz w:val="24"/>
          <w:szCs w:val="24"/>
          <w:lang w:val="en-US"/>
        </w:rPr>
        <w:t xml:space="preserve"> “</w:t>
      </w:r>
      <w:r w:rsidR="00B32842" w:rsidRPr="00334C31">
        <w:rPr>
          <w:rFonts w:ascii="Times New Roman" w:hAnsi="Times New Roman" w:cs="Times New Roman"/>
          <w:sz w:val="24"/>
          <w:szCs w:val="24"/>
          <w:lang w:val="en-US"/>
        </w:rPr>
        <w:t>neo-classical</w:t>
      </w:r>
      <w:r w:rsidR="0035606D">
        <w:rPr>
          <w:rFonts w:ascii="Times New Roman" w:hAnsi="Times New Roman" w:cs="Times New Roman"/>
          <w:sz w:val="24"/>
          <w:szCs w:val="24"/>
          <w:lang w:val="en-US"/>
        </w:rPr>
        <w:t>”</w:t>
      </w:r>
      <w:r w:rsidR="00B32842" w:rsidRPr="00334C31">
        <w:rPr>
          <w:rFonts w:ascii="Times New Roman" w:hAnsi="Times New Roman" w:cs="Times New Roman"/>
          <w:sz w:val="24"/>
          <w:szCs w:val="24"/>
          <w:lang w:val="en-US"/>
        </w:rPr>
        <w:t xml:space="preserve"> contract </w:t>
      </w:r>
      <w:r>
        <w:rPr>
          <w:rFonts w:ascii="Times New Roman" w:hAnsi="Times New Roman" w:cs="Times New Roman"/>
          <w:sz w:val="24"/>
          <w:szCs w:val="24"/>
          <w:lang w:val="en-US"/>
        </w:rPr>
        <w:t>law</w:t>
      </w:r>
      <w:r w:rsidR="00B32842" w:rsidRPr="00334C31">
        <w:rPr>
          <w:rFonts w:ascii="Times New Roman" w:hAnsi="Times New Roman" w:cs="Times New Roman"/>
          <w:sz w:val="24"/>
          <w:szCs w:val="24"/>
          <w:lang w:val="en-US"/>
        </w:rPr>
        <w:t xml:space="preserve">, which considers questions such as who the parties to a dispute are, and what their context is, in order to arrive at a conclusion which is felt to be in line with the </w:t>
      </w:r>
      <w:r>
        <w:rPr>
          <w:rFonts w:ascii="Times New Roman" w:hAnsi="Times New Roman" w:cs="Times New Roman"/>
          <w:sz w:val="24"/>
          <w:szCs w:val="24"/>
          <w:lang w:val="en-US"/>
        </w:rPr>
        <w:t>prevailing socio-political ethos of contracting.</w:t>
      </w:r>
      <w:r w:rsidR="00B32842" w:rsidRPr="00334C31">
        <w:rPr>
          <w:rFonts w:ascii="Times New Roman" w:hAnsi="Times New Roman" w:cs="Times New Roman"/>
          <w:sz w:val="24"/>
          <w:szCs w:val="24"/>
          <w:lang w:val="en-US"/>
        </w:rPr>
        <w:t xml:space="preserve">  In such a climate, relational contract theory provides an excellent theoretical framework from which to inquire into questions such as h</w:t>
      </w:r>
      <w:r w:rsidR="00B32842" w:rsidRPr="0045735F">
        <w:rPr>
          <w:rFonts w:ascii="Times New Roman" w:hAnsi="Times New Roman" w:cs="Times New Roman"/>
          <w:sz w:val="24"/>
          <w:szCs w:val="24"/>
          <w:lang w:val="en-US"/>
        </w:rPr>
        <w:t xml:space="preserve">ow to use the doctrine of </w:t>
      </w:r>
      <w:r w:rsidR="00B32842" w:rsidRPr="0045735F">
        <w:rPr>
          <w:rFonts w:ascii="Times New Roman" w:hAnsi="Times New Roman" w:cs="Times New Roman"/>
          <w:sz w:val="24"/>
          <w:szCs w:val="24"/>
          <w:lang w:val="en-US"/>
        </w:rPr>
        <w:lastRenderedPageBreak/>
        <w:t>good faith in the future to protect reliance and reasonable expectations in contract law.</w:t>
      </w:r>
      <w:r w:rsidRPr="003262C2">
        <w:rPr>
          <w:rStyle w:val="FootnoteReference"/>
          <w:rFonts w:ascii="Times New Roman" w:hAnsi="Times New Roman" w:cs="Times New Roman"/>
          <w:sz w:val="24"/>
          <w:szCs w:val="24"/>
          <w:lang w:val="en-US"/>
        </w:rPr>
        <w:t xml:space="preserve"> </w:t>
      </w:r>
      <w:r w:rsidRPr="00334C31">
        <w:rPr>
          <w:rStyle w:val="FootnoteReference"/>
          <w:rFonts w:ascii="Times New Roman" w:hAnsi="Times New Roman" w:cs="Times New Roman"/>
          <w:sz w:val="24"/>
          <w:szCs w:val="24"/>
          <w:lang w:val="en-US"/>
        </w:rPr>
        <w:footnoteReference w:id="39"/>
      </w:r>
      <w:r w:rsidR="00B32842" w:rsidRPr="0045735F">
        <w:rPr>
          <w:rFonts w:ascii="Times New Roman" w:hAnsi="Times New Roman" w:cs="Times New Roman"/>
          <w:sz w:val="24"/>
          <w:szCs w:val="24"/>
          <w:lang w:val="en-US"/>
        </w:rPr>
        <w:t xml:space="preserve">  It is our submission that this flexible, embedded and </w:t>
      </w:r>
      <w:r w:rsidR="00FD0C31" w:rsidRPr="0045735F">
        <w:rPr>
          <w:rFonts w:ascii="Times New Roman" w:hAnsi="Times New Roman" w:cs="Times New Roman"/>
          <w:sz w:val="24"/>
          <w:szCs w:val="24"/>
          <w:lang w:val="en-US"/>
        </w:rPr>
        <w:t>contextualized</w:t>
      </w:r>
      <w:r w:rsidR="00B32842" w:rsidRPr="0045735F">
        <w:rPr>
          <w:rFonts w:ascii="Times New Roman" w:hAnsi="Times New Roman" w:cs="Times New Roman"/>
          <w:sz w:val="24"/>
          <w:szCs w:val="24"/>
          <w:lang w:val="en-US"/>
        </w:rPr>
        <w:t xml:space="preserve"> approach to good faith in contract law is thus a solid paradigm from which to </w:t>
      </w:r>
      <w:r w:rsidR="00FD0C31" w:rsidRPr="0045735F">
        <w:rPr>
          <w:rFonts w:ascii="Times New Roman" w:hAnsi="Times New Roman" w:cs="Times New Roman"/>
          <w:sz w:val="24"/>
          <w:szCs w:val="24"/>
          <w:lang w:val="en-US"/>
        </w:rPr>
        <w:t>analyze</w:t>
      </w:r>
      <w:r w:rsidR="00B32842" w:rsidRPr="0045735F">
        <w:rPr>
          <w:rFonts w:ascii="Times New Roman" w:hAnsi="Times New Roman" w:cs="Times New Roman"/>
          <w:sz w:val="24"/>
          <w:szCs w:val="24"/>
          <w:lang w:val="en-US"/>
        </w:rPr>
        <w:t xml:space="preserve"> problems based on privity in future contract disputes</w:t>
      </w:r>
      <w:r w:rsidR="00170459" w:rsidRPr="0045735F">
        <w:rPr>
          <w:rFonts w:ascii="Times New Roman" w:hAnsi="Times New Roman" w:cs="Times New Roman"/>
          <w:sz w:val="24"/>
          <w:szCs w:val="24"/>
          <w:lang w:val="en-US"/>
        </w:rPr>
        <w:t xml:space="preserve"> in </w:t>
      </w:r>
      <w:r w:rsidR="00BF1F9A">
        <w:rPr>
          <w:rFonts w:ascii="Times New Roman" w:hAnsi="Times New Roman" w:cs="Times New Roman"/>
          <w:sz w:val="24"/>
          <w:szCs w:val="24"/>
          <w:lang w:val="en-US"/>
        </w:rPr>
        <w:t xml:space="preserve">Australia and </w:t>
      </w:r>
      <w:r w:rsidR="00170459" w:rsidRPr="0045735F">
        <w:rPr>
          <w:rFonts w:ascii="Times New Roman" w:hAnsi="Times New Roman" w:cs="Times New Roman"/>
          <w:sz w:val="24"/>
          <w:szCs w:val="24"/>
          <w:lang w:val="en-US"/>
        </w:rPr>
        <w:t>South Africa</w:t>
      </w:r>
      <w:r w:rsidR="00B32842" w:rsidRPr="0045735F">
        <w:rPr>
          <w:rFonts w:ascii="Times New Roman" w:hAnsi="Times New Roman" w:cs="Times New Roman"/>
          <w:sz w:val="24"/>
          <w:szCs w:val="24"/>
          <w:lang w:val="en-US"/>
        </w:rPr>
        <w:t>, particularly where the conventional rules of contract law do not provide a solution.  Indeed a relational conception of good faith in contract may guide the development of the common law in the interstices between contract law and legislation.</w:t>
      </w:r>
      <w:r w:rsidR="00B32842" w:rsidRPr="000F052B">
        <w:rPr>
          <w:rFonts w:ascii="Times New Roman" w:hAnsi="Times New Roman" w:cs="Times New Roman"/>
          <w:sz w:val="24"/>
          <w:szCs w:val="24"/>
          <w:lang w:val="en-US"/>
        </w:rPr>
        <w:t xml:space="preserve">  </w:t>
      </w:r>
    </w:p>
    <w:p w14:paraId="2D75B88C" w14:textId="77777777" w:rsidR="00913ECF" w:rsidRDefault="00913ECF" w:rsidP="00913ECF">
      <w:pPr>
        <w:rPr>
          <w:rFonts w:ascii="Times New Roman" w:hAnsi="Times New Roman" w:cs="Times New Roman"/>
          <w:smallCaps/>
          <w:sz w:val="32"/>
          <w:szCs w:val="24"/>
          <w:lang w:val="en-US"/>
        </w:rPr>
      </w:pPr>
    </w:p>
    <w:p w14:paraId="200CCDC7" w14:textId="38DA6587" w:rsidR="00781629" w:rsidRPr="000F052B" w:rsidRDefault="00BA471B" w:rsidP="00913ECF">
      <w:pPr>
        <w:jc w:val="center"/>
        <w:rPr>
          <w:rFonts w:ascii="Times New Roman" w:hAnsi="Times New Roman" w:cs="Times New Roman"/>
          <w:smallCaps/>
          <w:sz w:val="32"/>
          <w:szCs w:val="24"/>
          <w:lang w:val="en-US"/>
        </w:rPr>
      </w:pPr>
      <w:r w:rsidRPr="000F052B">
        <w:rPr>
          <w:rFonts w:ascii="Times New Roman" w:hAnsi="Times New Roman" w:cs="Times New Roman"/>
          <w:smallCaps/>
          <w:sz w:val="32"/>
          <w:szCs w:val="24"/>
          <w:lang w:val="en-US"/>
        </w:rPr>
        <w:t>III</w:t>
      </w:r>
      <w:r w:rsidR="006224A8" w:rsidRPr="000F052B">
        <w:rPr>
          <w:rFonts w:ascii="Times New Roman" w:hAnsi="Times New Roman" w:cs="Times New Roman"/>
          <w:smallCaps/>
          <w:sz w:val="32"/>
          <w:szCs w:val="24"/>
          <w:lang w:val="en-US"/>
        </w:rPr>
        <w:t>.</w:t>
      </w:r>
      <w:r w:rsidR="00781629" w:rsidRPr="000F052B">
        <w:rPr>
          <w:rFonts w:ascii="Times New Roman" w:hAnsi="Times New Roman" w:cs="Times New Roman"/>
          <w:smallCaps/>
          <w:sz w:val="32"/>
          <w:szCs w:val="24"/>
          <w:lang w:val="en-US"/>
        </w:rPr>
        <w:t xml:space="preserve"> </w:t>
      </w:r>
      <w:r w:rsidR="00BC2B76" w:rsidRPr="000F052B">
        <w:rPr>
          <w:rFonts w:ascii="Times New Roman" w:hAnsi="Times New Roman" w:cs="Times New Roman"/>
          <w:smallCaps/>
          <w:sz w:val="32"/>
          <w:szCs w:val="24"/>
          <w:lang w:val="en-US"/>
        </w:rPr>
        <w:t xml:space="preserve">Privity: </w:t>
      </w:r>
      <w:r w:rsidR="006224A8" w:rsidRPr="000F052B">
        <w:rPr>
          <w:rFonts w:ascii="Times New Roman" w:hAnsi="Times New Roman" w:cs="Times New Roman"/>
          <w:smallCaps/>
          <w:sz w:val="32"/>
          <w:szCs w:val="24"/>
          <w:lang w:val="en-US"/>
        </w:rPr>
        <w:t>Three Studies of the Law in Action</w:t>
      </w:r>
    </w:p>
    <w:p w14:paraId="263F17A6" w14:textId="1368854E" w:rsidR="00781629" w:rsidRPr="000F052B" w:rsidRDefault="00BA471B" w:rsidP="00C17BF6">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A.</w:t>
      </w:r>
      <w:r w:rsidR="00BC2B76" w:rsidRPr="000F052B">
        <w:rPr>
          <w:rFonts w:ascii="Times New Roman" w:hAnsi="Times New Roman" w:cs="Times New Roman"/>
          <w:i/>
          <w:sz w:val="28"/>
          <w:szCs w:val="24"/>
          <w:lang w:val="en-US"/>
        </w:rPr>
        <w:t xml:space="preserve"> </w:t>
      </w:r>
      <w:r w:rsidR="008302FB" w:rsidRPr="000F052B">
        <w:rPr>
          <w:rFonts w:ascii="Times New Roman" w:hAnsi="Times New Roman" w:cs="Times New Roman"/>
          <w:i/>
          <w:sz w:val="28"/>
          <w:szCs w:val="24"/>
          <w:lang w:val="en-US"/>
        </w:rPr>
        <w:t>Establishing the Discourse: Conferral of a Benefit on a Third P</w:t>
      </w:r>
      <w:r w:rsidR="00BC2B76" w:rsidRPr="000F052B">
        <w:rPr>
          <w:rFonts w:ascii="Times New Roman" w:hAnsi="Times New Roman" w:cs="Times New Roman"/>
          <w:i/>
          <w:sz w:val="28"/>
          <w:szCs w:val="24"/>
          <w:lang w:val="en-US"/>
        </w:rPr>
        <w:t>arty</w:t>
      </w:r>
    </w:p>
    <w:p w14:paraId="5D7AF24D" w14:textId="202425A2" w:rsidR="00BC2B76" w:rsidRPr="000F052B" w:rsidRDefault="00BA471B" w:rsidP="00C17BF6">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1.</w:t>
      </w:r>
      <w:r w:rsidR="00BC2B76" w:rsidRPr="000F052B">
        <w:rPr>
          <w:rFonts w:ascii="Times New Roman" w:hAnsi="Times New Roman" w:cs="Times New Roman"/>
          <w:i/>
          <w:sz w:val="28"/>
          <w:szCs w:val="24"/>
          <w:lang w:val="en-US"/>
        </w:rPr>
        <w:t xml:space="preserve"> Australia</w:t>
      </w:r>
    </w:p>
    <w:p w14:paraId="50AE5A40" w14:textId="24919174" w:rsidR="00265BD5" w:rsidRPr="000F052B" w:rsidRDefault="00DB64D0"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As is well-known, Australian contract law is ‘largely derived’ from it</w:t>
      </w:r>
      <w:r w:rsidR="00E45034" w:rsidRPr="000F052B">
        <w:rPr>
          <w:rFonts w:ascii="Times New Roman" w:hAnsi="Times New Roman" w:cs="Times New Roman"/>
          <w:sz w:val="24"/>
          <w:szCs w:val="24"/>
          <w:lang w:val="en-US"/>
        </w:rPr>
        <w:t>s</w:t>
      </w:r>
      <w:r w:rsidR="00933852" w:rsidRPr="000F052B">
        <w:rPr>
          <w:rFonts w:ascii="Times New Roman" w:hAnsi="Times New Roman" w:cs="Times New Roman"/>
          <w:sz w:val="24"/>
          <w:szCs w:val="24"/>
          <w:lang w:val="en-US"/>
        </w:rPr>
        <w:t xml:space="preserve"> English</w:t>
      </w:r>
      <w:r w:rsidRPr="000F052B">
        <w:rPr>
          <w:rFonts w:ascii="Times New Roman" w:hAnsi="Times New Roman" w:cs="Times New Roman"/>
          <w:sz w:val="24"/>
          <w:szCs w:val="24"/>
          <w:lang w:val="en-US"/>
        </w:rPr>
        <w:t xml:space="preserve"> counterpart.</w:t>
      </w:r>
      <w:r w:rsidR="00CC062A" w:rsidRPr="000F052B">
        <w:rPr>
          <w:rStyle w:val="FootnoteReference"/>
          <w:rFonts w:ascii="Times New Roman" w:hAnsi="Times New Roman" w:cs="Times New Roman"/>
          <w:sz w:val="24"/>
          <w:szCs w:val="24"/>
          <w:lang w:val="en-US"/>
        </w:rPr>
        <w:footnoteReference w:id="40"/>
      </w:r>
      <w:r w:rsidRPr="000F052B">
        <w:rPr>
          <w:rFonts w:ascii="Times New Roman" w:hAnsi="Times New Roman" w:cs="Times New Roman"/>
          <w:sz w:val="24"/>
          <w:szCs w:val="24"/>
          <w:lang w:val="en-US"/>
        </w:rPr>
        <w:t xml:space="preserve"> Among various consequences, this also implies that</w:t>
      </w:r>
      <w:r w:rsidR="009E37EC" w:rsidRPr="000F052B">
        <w:rPr>
          <w:rFonts w:ascii="Times New Roman" w:hAnsi="Times New Roman" w:cs="Times New Roman"/>
          <w:sz w:val="24"/>
          <w:szCs w:val="24"/>
          <w:lang w:val="en-US"/>
        </w:rPr>
        <w:t>,</w:t>
      </w:r>
      <w:r w:rsidRPr="000F052B">
        <w:rPr>
          <w:rFonts w:ascii="Times New Roman" w:hAnsi="Times New Roman" w:cs="Times New Roman"/>
          <w:sz w:val="24"/>
          <w:szCs w:val="24"/>
          <w:lang w:val="en-US"/>
        </w:rPr>
        <w:t xml:space="preserve"> </w:t>
      </w:r>
      <w:r w:rsidR="009E37EC" w:rsidRPr="000F052B">
        <w:rPr>
          <w:rFonts w:ascii="Times New Roman" w:hAnsi="Times New Roman" w:cs="Times New Roman"/>
          <w:sz w:val="24"/>
          <w:szCs w:val="24"/>
          <w:lang w:val="en-US"/>
        </w:rPr>
        <w:t xml:space="preserve">in Australia, </w:t>
      </w:r>
      <w:r w:rsidR="00E45034" w:rsidRPr="000F052B">
        <w:rPr>
          <w:rFonts w:ascii="Times New Roman" w:hAnsi="Times New Roman" w:cs="Times New Roman"/>
          <w:sz w:val="24"/>
          <w:szCs w:val="24"/>
          <w:lang w:val="en-US"/>
        </w:rPr>
        <w:t xml:space="preserve">the law of contract </w:t>
      </w:r>
      <w:r w:rsidR="00D169BE" w:rsidRPr="000F052B">
        <w:rPr>
          <w:rFonts w:ascii="Times New Roman" w:hAnsi="Times New Roman" w:cs="Times New Roman"/>
          <w:sz w:val="24"/>
          <w:szCs w:val="24"/>
          <w:lang w:val="en-US"/>
        </w:rPr>
        <w:t>is un</w:t>
      </w:r>
      <w:r w:rsidR="004E4FE0" w:rsidRPr="000F052B">
        <w:rPr>
          <w:rFonts w:ascii="Times New Roman" w:hAnsi="Times New Roman" w:cs="Times New Roman"/>
          <w:sz w:val="24"/>
          <w:szCs w:val="24"/>
          <w:lang w:val="en-US"/>
        </w:rPr>
        <w:t>derpinned by the bargain theory</w:t>
      </w:r>
      <w:r w:rsidR="00933852" w:rsidRPr="000F052B">
        <w:rPr>
          <w:rFonts w:ascii="Times New Roman" w:hAnsi="Times New Roman" w:cs="Times New Roman"/>
          <w:sz w:val="24"/>
          <w:szCs w:val="24"/>
          <w:lang w:val="en-US"/>
        </w:rPr>
        <w:t xml:space="preserve"> of considerat</w:t>
      </w:r>
      <w:r w:rsidR="00EB797A" w:rsidRPr="000F052B">
        <w:rPr>
          <w:rFonts w:ascii="Times New Roman" w:hAnsi="Times New Roman" w:cs="Times New Roman"/>
          <w:sz w:val="24"/>
          <w:szCs w:val="24"/>
          <w:lang w:val="en-US"/>
        </w:rPr>
        <w:t>i</w:t>
      </w:r>
      <w:r w:rsidR="00933852" w:rsidRPr="000F052B">
        <w:rPr>
          <w:rFonts w:ascii="Times New Roman" w:hAnsi="Times New Roman" w:cs="Times New Roman"/>
          <w:sz w:val="24"/>
          <w:szCs w:val="24"/>
          <w:lang w:val="en-US"/>
        </w:rPr>
        <w:t>on</w:t>
      </w:r>
      <w:r w:rsidR="004E4FE0" w:rsidRPr="000F052B">
        <w:rPr>
          <w:rFonts w:ascii="Times New Roman" w:hAnsi="Times New Roman" w:cs="Times New Roman"/>
          <w:sz w:val="24"/>
          <w:szCs w:val="24"/>
          <w:lang w:val="en-US"/>
        </w:rPr>
        <w:t>,</w:t>
      </w:r>
      <w:r w:rsidR="00B75896" w:rsidRPr="000F052B">
        <w:rPr>
          <w:rStyle w:val="FootnoteReference"/>
          <w:rFonts w:ascii="Times New Roman" w:hAnsi="Times New Roman" w:cs="Times New Roman"/>
          <w:sz w:val="24"/>
          <w:szCs w:val="24"/>
          <w:lang w:val="en-US"/>
        </w:rPr>
        <w:footnoteReference w:id="41"/>
      </w:r>
      <w:r w:rsidR="004E4FE0" w:rsidRPr="000F052B">
        <w:rPr>
          <w:rFonts w:ascii="Times New Roman" w:hAnsi="Times New Roman" w:cs="Times New Roman"/>
          <w:sz w:val="24"/>
          <w:szCs w:val="24"/>
          <w:lang w:val="en-US"/>
        </w:rPr>
        <w:t xml:space="preserve"> that is, by the ‘notion of exchange for the enforceability of contractual promises’</w:t>
      </w:r>
      <w:r w:rsidR="00CC062A" w:rsidRPr="000F052B">
        <w:rPr>
          <w:rFonts w:ascii="Times New Roman" w:hAnsi="Times New Roman" w:cs="Times New Roman"/>
          <w:sz w:val="24"/>
          <w:szCs w:val="24"/>
          <w:lang w:val="en-US"/>
        </w:rPr>
        <w:t>.</w:t>
      </w:r>
      <w:r w:rsidR="00CC062A" w:rsidRPr="000F052B">
        <w:rPr>
          <w:rStyle w:val="FootnoteReference"/>
          <w:rFonts w:ascii="Times New Roman" w:hAnsi="Times New Roman" w:cs="Times New Roman"/>
          <w:sz w:val="24"/>
          <w:szCs w:val="24"/>
          <w:lang w:val="en-US"/>
        </w:rPr>
        <w:footnoteReference w:id="42"/>
      </w:r>
      <w:r w:rsidR="00CC062A" w:rsidRPr="000F052B">
        <w:rPr>
          <w:rFonts w:ascii="Times New Roman" w:hAnsi="Times New Roman" w:cs="Times New Roman"/>
          <w:sz w:val="24"/>
          <w:szCs w:val="24"/>
          <w:lang w:val="en-US"/>
        </w:rPr>
        <w:t xml:space="preserve"> </w:t>
      </w:r>
    </w:p>
    <w:p w14:paraId="4BC920C4" w14:textId="3F111CA6" w:rsidR="009850CD" w:rsidRPr="000F052B" w:rsidRDefault="00071CF7" w:rsidP="00205AF2">
      <w:pPr>
        <w:spacing w:after="12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commonly held that </w:t>
      </w:r>
      <w:r w:rsidR="009E37EC" w:rsidRPr="000F052B">
        <w:rPr>
          <w:rFonts w:ascii="Times New Roman" w:hAnsi="Times New Roman" w:cs="Times New Roman"/>
          <w:sz w:val="24"/>
          <w:szCs w:val="24"/>
          <w:lang w:val="en-US"/>
        </w:rPr>
        <w:t>the</w:t>
      </w:r>
      <w:r w:rsidR="002E45AC" w:rsidRPr="000F052B">
        <w:rPr>
          <w:rFonts w:ascii="Times New Roman" w:hAnsi="Times New Roman" w:cs="Times New Roman"/>
          <w:sz w:val="24"/>
          <w:szCs w:val="24"/>
          <w:lang w:val="en-US"/>
        </w:rPr>
        <w:t xml:space="preserve"> view that understands contracts as the law of bargains emerged </w:t>
      </w:r>
      <w:r w:rsidR="009E37EC" w:rsidRPr="000F052B">
        <w:rPr>
          <w:rFonts w:ascii="Times New Roman" w:hAnsi="Times New Roman" w:cs="Times New Roman"/>
          <w:sz w:val="24"/>
          <w:szCs w:val="24"/>
          <w:lang w:val="en-US"/>
        </w:rPr>
        <w:t xml:space="preserve">in the nineteenth century to counter-balance the erosion of the classical will theory </w:t>
      </w:r>
      <w:r w:rsidR="002E45AC" w:rsidRPr="000F052B">
        <w:rPr>
          <w:rFonts w:ascii="Times New Roman" w:hAnsi="Times New Roman" w:cs="Times New Roman"/>
          <w:sz w:val="24"/>
          <w:szCs w:val="24"/>
          <w:lang w:val="en-US"/>
        </w:rPr>
        <w:t xml:space="preserve">as brought </w:t>
      </w:r>
      <w:r w:rsidR="002C159D" w:rsidRPr="000F052B">
        <w:rPr>
          <w:rFonts w:ascii="Times New Roman" w:hAnsi="Times New Roman" w:cs="Times New Roman"/>
          <w:sz w:val="24"/>
          <w:szCs w:val="24"/>
          <w:lang w:val="en-US"/>
        </w:rPr>
        <w:t>about by the a</w:t>
      </w:r>
      <w:r w:rsidR="00120AA1" w:rsidRPr="000F052B">
        <w:rPr>
          <w:rFonts w:ascii="Times New Roman" w:hAnsi="Times New Roman" w:cs="Times New Roman"/>
          <w:sz w:val="24"/>
          <w:szCs w:val="24"/>
          <w:lang w:val="en-US"/>
        </w:rPr>
        <w:t>doption of an objective model of</w:t>
      </w:r>
      <w:r w:rsidR="002C159D" w:rsidRPr="000F052B">
        <w:rPr>
          <w:rFonts w:ascii="Times New Roman" w:hAnsi="Times New Roman" w:cs="Times New Roman"/>
          <w:sz w:val="24"/>
          <w:szCs w:val="24"/>
          <w:lang w:val="en-US"/>
        </w:rPr>
        <w:t xml:space="preserve"> contracting</w:t>
      </w:r>
      <w:r w:rsidR="00D37943" w:rsidRPr="000F052B">
        <w:rPr>
          <w:rFonts w:ascii="Times New Roman" w:hAnsi="Times New Roman" w:cs="Times New Roman"/>
          <w:sz w:val="24"/>
          <w:szCs w:val="24"/>
          <w:lang w:val="en-US"/>
        </w:rPr>
        <w:t>.</w:t>
      </w:r>
      <w:r w:rsidR="00CC062A" w:rsidRPr="000F052B">
        <w:rPr>
          <w:rStyle w:val="FootnoteReference"/>
          <w:rFonts w:ascii="Times New Roman" w:hAnsi="Times New Roman" w:cs="Times New Roman"/>
          <w:sz w:val="24"/>
          <w:szCs w:val="24"/>
          <w:lang w:val="en-US"/>
        </w:rPr>
        <w:footnoteReference w:id="43"/>
      </w:r>
      <w:r w:rsidR="00D37943" w:rsidRPr="000F052B">
        <w:rPr>
          <w:rFonts w:ascii="Times New Roman" w:hAnsi="Times New Roman" w:cs="Times New Roman"/>
          <w:sz w:val="24"/>
          <w:szCs w:val="24"/>
          <w:lang w:val="en-US"/>
        </w:rPr>
        <w:t xml:space="preserve"> C</w:t>
      </w:r>
      <w:r w:rsidR="007C5626" w:rsidRPr="000F052B">
        <w:rPr>
          <w:rFonts w:ascii="Times New Roman" w:hAnsi="Times New Roman" w:cs="Times New Roman"/>
          <w:sz w:val="24"/>
          <w:szCs w:val="24"/>
          <w:lang w:val="en-US"/>
        </w:rPr>
        <w:t>onsideration</w:t>
      </w:r>
      <w:r>
        <w:rPr>
          <w:rFonts w:ascii="Times New Roman" w:hAnsi="Times New Roman" w:cs="Times New Roman"/>
          <w:sz w:val="24"/>
          <w:szCs w:val="24"/>
          <w:lang w:val="en-US"/>
        </w:rPr>
        <w:t xml:space="preserve">, it is </w:t>
      </w:r>
      <w:r>
        <w:rPr>
          <w:rFonts w:ascii="Times New Roman" w:hAnsi="Times New Roman" w:cs="Times New Roman"/>
          <w:sz w:val="24"/>
          <w:szCs w:val="24"/>
          <w:lang w:val="en-US"/>
        </w:rPr>
        <w:lastRenderedPageBreak/>
        <w:t>further maintained,</w:t>
      </w:r>
      <w:r w:rsidR="007C5626" w:rsidRPr="000F052B">
        <w:rPr>
          <w:rFonts w:ascii="Times New Roman" w:hAnsi="Times New Roman" w:cs="Times New Roman"/>
          <w:sz w:val="24"/>
          <w:szCs w:val="24"/>
          <w:lang w:val="en-US"/>
        </w:rPr>
        <w:t xml:space="preserve"> is the product of this view.</w:t>
      </w:r>
      <w:r w:rsidR="007C5626" w:rsidRPr="000F052B">
        <w:rPr>
          <w:rStyle w:val="FootnoteReference"/>
          <w:rFonts w:ascii="Times New Roman" w:hAnsi="Times New Roman" w:cs="Times New Roman"/>
          <w:sz w:val="24"/>
          <w:szCs w:val="24"/>
          <w:lang w:val="en-US"/>
        </w:rPr>
        <w:footnoteReference w:id="44"/>
      </w:r>
      <w:r>
        <w:rPr>
          <w:rFonts w:ascii="Times New Roman" w:hAnsi="Times New Roman" w:cs="Times New Roman"/>
          <w:sz w:val="24"/>
          <w:szCs w:val="24"/>
          <w:lang w:val="en-US"/>
        </w:rPr>
        <w:t xml:space="preserve"> Yet as a historical fact, </w:t>
      </w:r>
      <w:r w:rsidR="007C5626" w:rsidRPr="000F052B">
        <w:rPr>
          <w:rFonts w:ascii="Times New Roman" w:hAnsi="Times New Roman" w:cs="Times New Roman"/>
          <w:sz w:val="24"/>
          <w:szCs w:val="24"/>
          <w:lang w:val="en-US"/>
        </w:rPr>
        <w:t xml:space="preserve"> </w:t>
      </w:r>
      <w:r w:rsidRPr="00071CF7">
        <w:rPr>
          <w:rFonts w:ascii="Times New Roman" w:hAnsi="Times New Roman" w:cs="Times New Roman"/>
          <w:sz w:val="24"/>
          <w:szCs w:val="24"/>
          <w:lang w:val="en-US"/>
        </w:rPr>
        <w:t xml:space="preserve">the </w:t>
      </w:r>
      <w:r w:rsidR="00AF3DF3">
        <w:rPr>
          <w:rFonts w:ascii="Times New Roman" w:hAnsi="Times New Roman" w:cs="Times New Roman"/>
          <w:sz w:val="24"/>
          <w:szCs w:val="24"/>
          <w:lang w:val="en-US"/>
        </w:rPr>
        <w:t>will theory</w:t>
      </w:r>
      <w:r>
        <w:rPr>
          <w:rFonts w:ascii="Times New Roman" w:hAnsi="Times New Roman" w:cs="Times New Roman"/>
          <w:sz w:val="24"/>
          <w:szCs w:val="24"/>
          <w:lang w:val="en-US"/>
        </w:rPr>
        <w:t xml:space="preserve"> was the </w:t>
      </w:r>
      <w:r w:rsidR="00AF3DF3">
        <w:rPr>
          <w:rFonts w:ascii="Times New Roman" w:hAnsi="Times New Roman" w:cs="Times New Roman"/>
          <w:sz w:val="24"/>
          <w:szCs w:val="24"/>
          <w:lang w:val="en-US"/>
        </w:rPr>
        <w:t xml:space="preserve">dominant model of contract until the twentieth </w:t>
      </w:r>
      <w:r>
        <w:rPr>
          <w:rFonts w:ascii="Times New Roman" w:hAnsi="Times New Roman" w:cs="Times New Roman"/>
          <w:sz w:val="24"/>
          <w:szCs w:val="24"/>
          <w:lang w:val="en-US"/>
        </w:rPr>
        <w:t xml:space="preserve">century and the </w:t>
      </w:r>
      <w:r w:rsidRPr="00071CF7">
        <w:rPr>
          <w:rFonts w:ascii="Times New Roman" w:hAnsi="Times New Roman" w:cs="Times New Roman"/>
          <w:sz w:val="24"/>
          <w:szCs w:val="24"/>
          <w:lang w:val="en-US"/>
        </w:rPr>
        <w:t>idea that contract</w:t>
      </w:r>
      <w:r>
        <w:rPr>
          <w:rFonts w:ascii="Times New Roman" w:hAnsi="Times New Roman" w:cs="Times New Roman"/>
          <w:sz w:val="24"/>
          <w:szCs w:val="24"/>
          <w:lang w:val="en-US"/>
        </w:rPr>
        <w:t>s</w:t>
      </w:r>
      <w:r w:rsidRPr="00071C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w:t>
      </w:r>
      <w:r w:rsidRPr="00071CF7">
        <w:rPr>
          <w:rFonts w:ascii="Times New Roman" w:hAnsi="Times New Roman" w:cs="Times New Roman"/>
          <w:sz w:val="24"/>
          <w:szCs w:val="24"/>
          <w:lang w:val="en-US"/>
        </w:rPr>
        <w:t xml:space="preserve">based on exchange long predates </w:t>
      </w:r>
      <w:r w:rsidR="00AF3DF3">
        <w:rPr>
          <w:rFonts w:ascii="Times New Roman" w:hAnsi="Times New Roman" w:cs="Times New Roman"/>
          <w:sz w:val="24"/>
          <w:szCs w:val="24"/>
          <w:lang w:val="en-US"/>
        </w:rPr>
        <w:t xml:space="preserve">the nineteenth century </w:t>
      </w:r>
      <w:r w:rsidRPr="00071CF7">
        <w:rPr>
          <w:rFonts w:ascii="Times New Roman" w:hAnsi="Times New Roman" w:cs="Times New Roman"/>
          <w:sz w:val="24"/>
          <w:szCs w:val="24"/>
          <w:lang w:val="en-US"/>
        </w:rPr>
        <w:t>in the doctrine of consideration</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45"/>
      </w:r>
      <w:r w:rsidRPr="00071CF7">
        <w:rPr>
          <w:rFonts w:ascii="Times New Roman" w:hAnsi="Times New Roman" w:cs="Times New Roman"/>
          <w:sz w:val="24"/>
          <w:szCs w:val="24"/>
          <w:lang w:val="en-US"/>
        </w:rPr>
        <w:t xml:space="preserve"> </w:t>
      </w:r>
      <w:r>
        <w:rPr>
          <w:rFonts w:ascii="Times New Roman" w:hAnsi="Times New Roman" w:cs="Times New Roman"/>
          <w:sz w:val="24"/>
          <w:szCs w:val="24"/>
          <w:lang w:val="en-US"/>
        </w:rPr>
        <w:t>Notwithstanding the contrast of opinions on this point, what matters for our purposes is that</w:t>
      </w:r>
      <w:r w:rsidR="00B75896" w:rsidRPr="000F052B">
        <w:rPr>
          <w:rFonts w:ascii="Times New Roman" w:hAnsi="Times New Roman" w:cs="Times New Roman"/>
          <w:sz w:val="24"/>
          <w:szCs w:val="24"/>
          <w:lang w:val="en-US"/>
        </w:rPr>
        <w:t xml:space="preserve"> </w:t>
      </w:r>
      <w:r w:rsidR="002E45AC" w:rsidRPr="000F052B">
        <w:rPr>
          <w:rFonts w:ascii="Times New Roman" w:hAnsi="Times New Roman" w:cs="Times New Roman"/>
          <w:sz w:val="24"/>
          <w:szCs w:val="24"/>
          <w:lang w:val="en-US"/>
        </w:rPr>
        <w:t xml:space="preserve">bargain theory </w:t>
      </w:r>
      <w:r w:rsidR="00D37943" w:rsidRPr="000F052B">
        <w:rPr>
          <w:rFonts w:ascii="Times New Roman" w:hAnsi="Times New Roman" w:cs="Times New Roman"/>
          <w:sz w:val="24"/>
          <w:szCs w:val="24"/>
          <w:lang w:val="en-US"/>
        </w:rPr>
        <w:t xml:space="preserve">understands contracts as </w:t>
      </w:r>
      <w:r w:rsidR="00D37943" w:rsidRPr="000F052B">
        <w:rPr>
          <w:rFonts w:ascii="Times New Roman" w:hAnsi="Times New Roman" w:cs="Times New Roman"/>
          <w:i/>
          <w:sz w:val="24"/>
          <w:szCs w:val="24"/>
          <w:lang w:val="en-US"/>
        </w:rPr>
        <w:t>transactions</w:t>
      </w:r>
      <w:r w:rsidR="008816D8">
        <w:rPr>
          <w:rFonts w:ascii="Times New Roman" w:hAnsi="Times New Roman" w:cs="Times New Roman"/>
          <w:sz w:val="24"/>
          <w:szCs w:val="24"/>
          <w:lang w:val="en-US"/>
        </w:rPr>
        <w:t>, an</w:t>
      </w:r>
      <w:r>
        <w:rPr>
          <w:rFonts w:ascii="Times New Roman" w:hAnsi="Times New Roman" w:cs="Times New Roman"/>
          <w:sz w:val="24"/>
          <w:szCs w:val="24"/>
          <w:lang w:val="en-US"/>
        </w:rPr>
        <w:t>d that such</w:t>
      </w:r>
      <w:r w:rsidR="008816D8">
        <w:rPr>
          <w:rFonts w:ascii="Times New Roman" w:hAnsi="Times New Roman" w:cs="Times New Roman"/>
          <w:sz w:val="24"/>
          <w:szCs w:val="24"/>
          <w:lang w:val="en-US"/>
        </w:rPr>
        <w:t xml:space="preserve"> understanding </w:t>
      </w:r>
      <w:r>
        <w:rPr>
          <w:rFonts w:ascii="Times New Roman" w:hAnsi="Times New Roman" w:cs="Times New Roman"/>
          <w:sz w:val="24"/>
          <w:szCs w:val="24"/>
          <w:lang w:val="en-US"/>
        </w:rPr>
        <w:t>is structurally related to the</w:t>
      </w:r>
      <w:r w:rsidR="00B75896" w:rsidRPr="000F052B">
        <w:rPr>
          <w:rFonts w:ascii="Times New Roman" w:hAnsi="Times New Roman" w:cs="Times New Roman"/>
          <w:sz w:val="24"/>
          <w:szCs w:val="24"/>
          <w:lang w:val="en-US"/>
        </w:rPr>
        <w:t xml:space="preserve"> privity doctrine</w:t>
      </w:r>
      <w:r>
        <w:rPr>
          <w:rFonts w:ascii="Times New Roman" w:hAnsi="Times New Roman" w:cs="Times New Roman"/>
          <w:sz w:val="24"/>
          <w:szCs w:val="24"/>
          <w:lang w:val="en-US"/>
        </w:rPr>
        <w:t>—</w:t>
      </w:r>
      <w:r w:rsidR="00070640" w:rsidRPr="000F052B">
        <w:rPr>
          <w:rStyle w:val="FootnoteReference"/>
          <w:rFonts w:ascii="Times New Roman" w:hAnsi="Times New Roman" w:cs="Times New Roman"/>
          <w:sz w:val="24"/>
          <w:szCs w:val="24"/>
          <w:lang w:val="en-US"/>
        </w:rPr>
        <w:footnoteReference w:id="46"/>
      </w:r>
      <w:r w:rsidR="00B75896" w:rsidRPr="000F052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in turn explains why the bargain approach to contracting </w:t>
      </w:r>
      <w:r w:rsidR="00B75896" w:rsidRPr="000F052B">
        <w:rPr>
          <w:rFonts w:ascii="Times New Roman" w:hAnsi="Times New Roman" w:cs="Times New Roman"/>
          <w:sz w:val="24"/>
          <w:szCs w:val="24"/>
          <w:lang w:val="en-US"/>
        </w:rPr>
        <w:t xml:space="preserve">is </w:t>
      </w:r>
      <w:r w:rsidR="00AF3DF3">
        <w:rPr>
          <w:rFonts w:ascii="Times New Roman" w:hAnsi="Times New Roman" w:cs="Times New Roman"/>
          <w:sz w:val="24"/>
          <w:szCs w:val="24"/>
          <w:lang w:val="en-US"/>
        </w:rPr>
        <w:t xml:space="preserve">also </w:t>
      </w:r>
      <w:r w:rsidR="00B75896" w:rsidRPr="000F052B">
        <w:rPr>
          <w:rFonts w:ascii="Times New Roman" w:hAnsi="Times New Roman" w:cs="Times New Roman"/>
          <w:sz w:val="24"/>
          <w:szCs w:val="24"/>
          <w:lang w:val="en-US"/>
        </w:rPr>
        <w:t>opposed</w:t>
      </w:r>
      <w:r w:rsidR="00931F54">
        <w:rPr>
          <w:rFonts w:ascii="Times New Roman" w:hAnsi="Times New Roman" w:cs="Times New Roman"/>
          <w:sz w:val="24"/>
          <w:szCs w:val="24"/>
          <w:lang w:val="en-US"/>
        </w:rPr>
        <w:t xml:space="preserve"> </w:t>
      </w:r>
      <w:r w:rsidR="00F302C4" w:rsidRPr="000F052B">
        <w:rPr>
          <w:rFonts w:ascii="Times New Roman" w:hAnsi="Times New Roman" w:cs="Times New Roman"/>
          <w:sz w:val="24"/>
          <w:szCs w:val="24"/>
          <w:lang w:val="en-US"/>
        </w:rPr>
        <w:t xml:space="preserve">to </w:t>
      </w:r>
      <w:r w:rsidR="00987BDF" w:rsidRPr="000F052B">
        <w:rPr>
          <w:rFonts w:ascii="Times New Roman" w:hAnsi="Times New Roman" w:cs="Times New Roman"/>
          <w:sz w:val="24"/>
          <w:szCs w:val="24"/>
          <w:lang w:val="en-US"/>
        </w:rPr>
        <w:t xml:space="preserve">the promise, </w:t>
      </w:r>
      <w:r w:rsidR="00B75896" w:rsidRPr="000F052B">
        <w:rPr>
          <w:rFonts w:ascii="Times New Roman" w:hAnsi="Times New Roman" w:cs="Times New Roman"/>
          <w:sz w:val="24"/>
          <w:szCs w:val="24"/>
          <w:lang w:val="en-US"/>
        </w:rPr>
        <w:t>reasonable expectation</w:t>
      </w:r>
      <w:r w:rsidR="00987BDF" w:rsidRPr="000F052B">
        <w:rPr>
          <w:rFonts w:ascii="Times New Roman" w:hAnsi="Times New Roman" w:cs="Times New Roman"/>
          <w:sz w:val="24"/>
          <w:szCs w:val="24"/>
          <w:lang w:val="en-US"/>
        </w:rPr>
        <w:t xml:space="preserve">s, and reliance </w:t>
      </w:r>
      <w:r w:rsidR="002C61D4" w:rsidRPr="000F052B">
        <w:rPr>
          <w:rFonts w:ascii="Times New Roman" w:hAnsi="Times New Roman" w:cs="Times New Roman"/>
          <w:sz w:val="24"/>
          <w:szCs w:val="24"/>
          <w:lang w:val="en-US"/>
        </w:rPr>
        <w:t>theories.</w:t>
      </w:r>
      <w:r w:rsidR="002C61D4" w:rsidRPr="000F052B">
        <w:rPr>
          <w:rStyle w:val="FootnoteReference"/>
          <w:rFonts w:ascii="Times New Roman" w:hAnsi="Times New Roman" w:cs="Times New Roman"/>
          <w:sz w:val="24"/>
          <w:szCs w:val="24"/>
          <w:lang w:val="en-US"/>
        </w:rPr>
        <w:footnoteReference w:id="47"/>
      </w:r>
    </w:p>
    <w:p w14:paraId="7DFADF08" w14:textId="06FADB5C" w:rsidR="00333F2B" w:rsidRPr="000F052B" w:rsidRDefault="002C159D"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For the purposes of our discussion, however, what is more relevant is the</w:t>
      </w:r>
      <w:r w:rsidR="009E37EC" w:rsidRPr="000F052B">
        <w:rPr>
          <w:rFonts w:ascii="Times New Roman" w:hAnsi="Times New Roman" w:cs="Times New Roman"/>
          <w:sz w:val="24"/>
          <w:szCs w:val="24"/>
          <w:lang w:val="en-US"/>
        </w:rPr>
        <w:t xml:space="preserve"> </w:t>
      </w:r>
      <w:r w:rsidR="009E37EC" w:rsidRPr="000F052B">
        <w:rPr>
          <w:rFonts w:ascii="Times New Roman" w:hAnsi="Times New Roman" w:cs="Times New Roman"/>
          <w:i/>
          <w:sz w:val="24"/>
          <w:szCs w:val="24"/>
          <w:lang w:val="en-US"/>
        </w:rPr>
        <w:t>categori</w:t>
      </w:r>
      <w:r w:rsidR="0044327B">
        <w:rPr>
          <w:rFonts w:ascii="Times New Roman" w:hAnsi="Times New Roman" w:cs="Times New Roman"/>
          <w:i/>
          <w:sz w:val="24"/>
          <w:szCs w:val="24"/>
          <w:lang w:val="en-US"/>
        </w:rPr>
        <w:t>z</w:t>
      </w:r>
      <w:r w:rsidR="009E37EC" w:rsidRPr="000F052B">
        <w:rPr>
          <w:rFonts w:ascii="Times New Roman" w:hAnsi="Times New Roman" w:cs="Times New Roman"/>
          <w:i/>
          <w:sz w:val="24"/>
          <w:szCs w:val="24"/>
          <w:lang w:val="en-US"/>
        </w:rPr>
        <w:t>ing function</w:t>
      </w:r>
      <w:r w:rsidR="009E37EC" w:rsidRPr="000F052B">
        <w:rPr>
          <w:rFonts w:ascii="Times New Roman" w:hAnsi="Times New Roman" w:cs="Times New Roman"/>
          <w:sz w:val="24"/>
          <w:szCs w:val="24"/>
          <w:lang w:val="en-US"/>
        </w:rPr>
        <w:t xml:space="preserve"> </w:t>
      </w:r>
      <w:r w:rsidR="00E20FD3" w:rsidRPr="000F052B">
        <w:rPr>
          <w:rFonts w:ascii="Times New Roman" w:hAnsi="Times New Roman" w:cs="Times New Roman"/>
          <w:sz w:val="24"/>
          <w:szCs w:val="24"/>
          <w:lang w:val="en-US"/>
        </w:rPr>
        <w:t>of such</w:t>
      </w:r>
      <w:r w:rsidRPr="000F052B">
        <w:rPr>
          <w:rFonts w:ascii="Times New Roman" w:hAnsi="Times New Roman" w:cs="Times New Roman"/>
          <w:sz w:val="24"/>
          <w:szCs w:val="24"/>
          <w:lang w:val="en-US"/>
        </w:rPr>
        <w:t xml:space="preserve"> theoretical construct. Indeed, since its </w:t>
      </w:r>
      <w:r w:rsidR="00A0667A" w:rsidRPr="000F052B">
        <w:rPr>
          <w:rFonts w:ascii="Times New Roman" w:hAnsi="Times New Roman" w:cs="Times New Roman"/>
          <w:sz w:val="24"/>
          <w:szCs w:val="24"/>
          <w:lang w:val="en-US"/>
        </w:rPr>
        <w:t>inception</w:t>
      </w:r>
      <w:r w:rsidR="0035606D">
        <w:rPr>
          <w:rFonts w:ascii="Times New Roman" w:hAnsi="Times New Roman" w:cs="Times New Roman"/>
          <w:sz w:val="24"/>
          <w:szCs w:val="24"/>
          <w:lang w:val="en-US"/>
        </w:rPr>
        <w:t>, the “contract as a bargain”</w:t>
      </w:r>
      <w:r w:rsidRPr="000F052B">
        <w:rPr>
          <w:rFonts w:ascii="Times New Roman" w:hAnsi="Times New Roman" w:cs="Times New Roman"/>
          <w:sz w:val="24"/>
          <w:szCs w:val="24"/>
          <w:lang w:val="en-US"/>
        </w:rPr>
        <w:t xml:space="preserve"> view has served</w:t>
      </w:r>
      <w:r w:rsidR="009E37EC" w:rsidRPr="000F052B">
        <w:rPr>
          <w:rFonts w:ascii="Times New Roman" w:hAnsi="Times New Roman" w:cs="Times New Roman"/>
          <w:sz w:val="24"/>
          <w:szCs w:val="24"/>
          <w:lang w:val="en-US"/>
        </w:rPr>
        <w:t xml:space="preserve"> to dist</w:t>
      </w:r>
      <w:r w:rsidR="00727BA7" w:rsidRPr="000F052B">
        <w:rPr>
          <w:rFonts w:ascii="Times New Roman" w:hAnsi="Times New Roman" w:cs="Times New Roman"/>
          <w:sz w:val="24"/>
          <w:szCs w:val="24"/>
          <w:lang w:val="en-US"/>
        </w:rPr>
        <w:t>inguish contractual agreements</w:t>
      </w:r>
      <w:r w:rsidR="00A0667A" w:rsidRPr="000F052B">
        <w:rPr>
          <w:rFonts w:ascii="Times New Roman" w:hAnsi="Times New Roman" w:cs="Times New Roman"/>
          <w:sz w:val="24"/>
          <w:szCs w:val="24"/>
          <w:lang w:val="en-US"/>
        </w:rPr>
        <w:t xml:space="preserve"> from </w:t>
      </w:r>
      <w:r w:rsidR="00727BA7" w:rsidRPr="000F052B">
        <w:rPr>
          <w:rFonts w:ascii="Times New Roman" w:hAnsi="Times New Roman" w:cs="Times New Roman"/>
          <w:sz w:val="24"/>
          <w:szCs w:val="24"/>
          <w:lang w:val="en-US"/>
        </w:rPr>
        <w:t>unenforceable</w:t>
      </w:r>
      <w:r w:rsidR="00A0667A" w:rsidRPr="000F052B">
        <w:rPr>
          <w:rFonts w:ascii="Times New Roman" w:hAnsi="Times New Roman" w:cs="Times New Roman"/>
          <w:sz w:val="24"/>
          <w:szCs w:val="24"/>
          <w:lang w:val="en-US"/>
        </w:rPr>
        <w:t xml:space="preserve"> promises</w:t>
      </w:r>
      <w:r w:rsidR="00D86E94" w:rsidRPr="000F052B">
        <w:rPr>
          <w:rFonts w:ascii="Times New Roman" w:hAnsi="Times New Roman" w:cs="Times New Roman"/>
          <w:sz w:val="24"/>
          <w:szCs w:val="24"/>
          <w:lang w:val="en-US"/>
        </w:rPr>
        <w:t xml:space="preserve"> through the consideration requirement</w:t>
      </w:r>
      <w:r w:rsidR="002C61D4" w:rsidRPr="000F052B">
        <w:rPr>
          <w:rFonts w:ascii="Times New Roman" w:hAnsi="Times New Roman" w:cs="Times New Roman"/>
          <w:sz w:val="24"/>
          <w:szCs w:val="24"/>
          <w:lang w:val="en-US"/>
        </w:rPr>
        <w:t>.</w:t>
      </w:r>
      <w:r w:rsidR="00C76CFA" w:rsidRPr="000F052B">
        <w:rPr>
          <w:rStyle w:val="FootnoteReference"/>
          <w:rFonts w:ascii="Times New Roman" w:hAnsi="Times New Roman" w:cs="Times New Roman"/>
          <w:sz w:val="24"/>
          <w:szCs w:val="24"/>
          <w:lang w:val="en-US"/>
        </w:rPr>
        <w:footnoteReference w:id="48"/>
      </w:r>
      <w:r w:rsidR="00A0667A" w:rsidRPr="000F052B">
        <w:rPr>
          <w:rFonts w:ascii="Times New Roman" w:hAnsi="Times New Roman" w:cs="Times New Roman"/>
          <w:sz w:val="24"/>
          <w:szCs w:val="24"/>
          <w:lang w:val="en-US"/>
        </w:rPr>
        <w:t xml:space="preserve"> Canonical examples of the latter </w:t>
      </w:r>
      <w:r w:rsidR="002E45AC" w:rsidRPr="000F052B">
        <w:rPr>
          <w:rFonts w:ascii="Times New Roman" w:hAnsi="Times New Roman" w:cs="Times New Roman"/>
          <w:sz w:val="24"/>
          <w:szCs w:val="24"/>
          <w:lang w:val="en-US"/>
        </w:rPr>
        <w:t>category</w:t>
      </w:r>
      <w:r w:rsidR="00A0667A" w:rsidRPr="000F052B">
        <w:rPr>
          <w:rFonts w:ascii="Times New Roman" w:hAnsi="Times New Roman" w:cs="Times New Roman"/>
          <w:sz w:val="24"/>
          <w:szCs w:val="24"/>
          <w:lang w:val="en-US"/>
        </w:rPr>
        <w:t xml:space="preserve"> are</w:t>
      </w:r>
      <w:r w:rsidR="009E37EC" w:rsidRPr="000F052B">
        <w:rPr>
          <w:rFonts w:ascii="Times New Roman" w:hAnsi="Times New Roman" w:cs="Times New Roman"/>
          <w:sz w:val="24"/>
          <w:szCs w:val="24"/>
          <w:lang w:val="en-US"/>
        </w:rPr>
        <w:t xml:space="preserve"> gift promises, which cannot be enforced unles</w:t>
      </w:r>
      <w:r w:rsidRPr="000F052B">
        <w:rPr>
          <w:rFonts w:ascii="Times New Roman" w:hAnsi="Times New Roman" w:cs="Times New Roman"/>
          <w:sz w:val="24"/>
          <w:szCs w:val="24"/>
          <w:lang w:val="en-US"/>
        </w:rPr>
        <w:t>s they are embodied in a deed.</w:t>
      </w:r>
      <w:r w:rsidR="0000771D" w:rsidRPr="000F052B">
        <w:rPr>
          <w:rFonts w:ascii="Times New Roman" w:hAnsi="Times New Roman" w:cs="Times New Roman"/>
          <w:sz w:val="24"/>
          <w:szCs w:val="24"/>
          <w:lang w:val="en-US"/>
        </w:rPr>
        <w:t xml:space="preserve"> </w:t>
      </w:r>
      <w:r w:rsidR="00A0667A" w:rsidRPr="000F052B">
        <w:rPr>
          <w:rFonts w:ascii="Times New Roman" w:hAnsi="Times New Roman" w:cs="Times New Roman"/>
          <w:sz w:val="24"/>
          <w:szCs w:val="24"/>
          <w:lang w:val="en-US"/>
        </w:rPr>
        <w:t>Yet, on the other hand</w:t>
      </w:r>
      <w:r w:rsidR="00333F2B" w:rsidRPr="000F052B">
        <w:rPr>
          <w:rFonts w:ascii="Times New Roman" w:hAnsi="Times New Roman" w:cs="Times New Roman"/>
          <w:sz w:val="24"/>
          <w:szCs w:val="24"/>
          <w:lang w:val="en-US"/>
        </w:rPr>
        <w:t>,</w:t>
      </w:r>
      <w:r w:rsidR="00A0667A" w:rsidRPr="000F052B">
        <w:rPr>
          <w:rFonts w:ascii="Times New Roman" w:hAnsi="Times New Roman" w:cs="Times New Roman"/>
          <w:sz w:val="24"/>
          <w:szCs w:val="24"/>
          <w:lang w:val="en-US"/>
        </w:rPr>
        <w:t xml:space="preserve"> it is </w:t>
      </w:r>
      <w:r w:rsidR="00333F2B" w:rsidRPr="000F052B">
        <w:rPr>
          <w:rFonts w:ascii="Times New Roman" w:hAnsi="Times New Roman" w:cs="Times New Roman"/>
          <w:sz w:val="24"/>
          <w:szCs w:val="24"/>
          <w:lang w:val="en-US"/>
        </w:rPr>
        <w:t xml:space="preserve">equally </w:t>
      </w:r>
      <w:r w:rsidR="00A0667A" w:rsidRPr="000F052B">
        <w:rPr>
          <w:rFonts w:ascii="Times New Roman" w:hAnsi="Times New Roman" w:cs="Times New Roman"/>
          <w:sz w:val="24"/>
          <w:szCs w:val="24"/>
          <w:lang w:val="en-US"/>
        </w:rPr>
        <w:t>beyond dispute</w:t>
      </w:r>
      <w:r w:rsidR="00A0667A" w:rsidRPr="000F052B">
        <w:rPr>
          <w:rStyle w:val="FootnoteReference"/>
          <w:rFonts w:ascii="Times New Roman" w:hAnsi="Times New Roman" w:cs="Times New Roman"/>
          <w:sz w:val="24"/>
          <w:szCs w:val="24"/>
          <w:lang w:val="en-US"/>
        </w:rPr>
        <w:footnoteReference w:id="49"/>
      </w:r>
      <w:r w:rsidR="00A0667A" w:rsidRPr="000F052B">
        <w:rPr>
          <w:rFonts w:ascii="Times New Roman" w:hAnsi="Times New Roman" w:cs="Times New Roman"/>
          <w:sz w:val="24"/>
          <w:szCs w:val="24"/>
          <w:lang w:val="en-US"/>
        </w:rPr>
        <w:t xml:space="preserve"> that promise</w:t>
      </w:r>
      <w:r w:rsidR="00204244" w:rsidRPr="000F052B">
        <w:rPr>
          <w:rFonts w:ascii="Times New Roman" w:hAnsi="Times New Roman" w:cs="Times New Roman"/>
          <w:sz w:val="24"/>
          <w:szCs w:val="24"/>
          <w:lang w:val="en-US"/>
        </w:rPr>
        <w:t>s</w:t>
      </w:r>
      <w:r w:rsidR="00A0667A" w:rsidRPr="000F052B">
        <w:rPr>
          <w:rFonts w:ascii="Times New Roman" w:hAnsi="Times New Roman" w:cs="Times New Roman"/>
          <w:sz w:val="24"/>
          <w:szCs w:val="24"/>
          <w:lang w:val="en-US"/>
        </w:rPr>
        <w:t xml:space="preserve"> which cannot be construed as </w:t>
      </w:r>
      <w:r w:rsidR="00CF1B1B" w:rsidRPr="000F052B">
        <w:rPr>
          <w:rFonts w:ascii="Times New Roman" w:hAnsi="Times New Roman" w:cs="Times New Roman"/>
          <w:sz w:val="24"/>
          <w:szCs w:val="24"/>
          <w:lang w:val="en-US"/>
        </w:rPr>
        <w:t>contractual</w:t>
      </w:r>
      <w:r w:rsidR="00A0667A" w:rsidRPr="000F052B">
        <w:rPr>
          <w:rFonts w:ascii="Times New Roman" w:hAnsi="Times New Roman" w:cs="Times New Roman"/>
          <w:sz w:val="24"/>
          <w:szCs w:val="24"/>
          <w:lang w:val="en-US"/>
        </w:rPr>
        <w:t xml:space="preserve"> </w:t>
      </w:r>
      <w:r w:rsidR="00204244" w:rsidRPr="000F052B">
        <w:rPr>
          <w:rFonts w:ascii="Times New Roman" w:hAnsi="Times New Roman" w:cs="Times New Roman"/>
          <w:sz w:val="24"/>
          <w:szCs w:val="24"/>
          <w:lang w:val="en-US"/>
        </w:rPr>
        <w:t>may</w:t>
      </w:r>
      <w:r w:rsidR="00A0667A" w:rsidRPr="000F052B">
        <w:rPr>
          <w:rFonts w:ascii="Times New Roman" w:hAnsi="Times New Roman" w:cs="Times New Roman"/>
          <w:sz w:val="24"/>
          <w:szCs w:val="24"/>
          <w:lang w:val="en-US"/>
        </w:rPr>
        <w:t xml:space="preserve"> still be enforced pursuant to the</w:t>
      </w:r>
      <w:r w:rsidR="00333F2B" w:rsidRPr="000F052B">
        <w:rPr>
          <w:rFonts w:ascii="Times New Roman" w:hAnsi="Times New Roman" w:cs="Times New Roman"/>
          <w:sz w:val="24"/>
          <w:szCs w:val="24"/>
          <w:lang w:val="en-US"/>
        </w:rPr>
        <w:t xml:space="preserve"> doctrine of equitable estoppel or the principles of misleading and deceptive conduct</w:t>
      </w:r>
      <w:r w:rsidR="00C475FE" w:rsidRPr="000F052B">
        <w:rPr>
          <w:rFonts w:ascii="Times New Roman" w:hAnsi="Times New Roman" w:cs="Times New Roman"/>
          <w:sz w:val="24"/>
          <w:szCs w:val="24"/>
          <w:lang w:val="en-US"/>
        </w:rPr>
        <w:t>.</w:t>
      </w:r>
      <w:r w:rsidR="002C61D4" w:rsidRPr="000F052B">
        <w:rPr>
          <w:rStyle w:val="FootnoteReference"/>
          <w:rFonts w:ascii="Times New Roman" w:hAnsi="Times New Roman" w:cs="Times New Roman"/>
          <w:sz w:val="24"/>
          <w:szCs w:val="24"/>
          <w:lang w:val="en-US"/>
        </w:rPr>
        <w:footnoteReference w:id="50"/>
      </w:r>
    </w:p>
    <w:p w14:paraId="1C4B4253" w14:textId="6B05FE94" w:rsidR="00265BD5" w:rsidRPr="000F052B" w:rsidRDefault="00333F2B"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conferral of a benefit to</w:t>
      </w:r>
      <w:r w:rsidR="008816D8">
        <w:rPr>
          <w:rFonts w:ascii="Times New Roman" w:hAnsi="Times New Roman" w:cs="Times New Roman"/>
          <w:sz w:val="24"/>
          <w:szCs w:val="24"/>
          <w:lang w:val="en-US"/>
        </w:rPr>
        <w:t xml:space="preserve"> a</w:t>
      </w:r>
      <w:r w:rsidRPr="000F052B">
        <w:rPr>
          <w:rFonts w:ascii="Times New Roman" w:hAnsi="Times New Roman" w:cs="Times New Roman"/>
          <w:sz w:val="24"/>
          <w:szCs w:val="24"/>
          <w:lang w:val="en-US"/>
        </w:rPr>
        <w:t xml:space="preserve"> </w:t>
      </w:r>
      <w:r w:rsidR="009E2820" w:rsidRPr="000F052B">
        <w:rPr>
          <w:rFonts w:ascii="Times New Roman" w:hAnsi="Times New Roman" w:cs="Times New Roman"/>
          <w:sz w:val="24"/>
          <w:szCs w:val="24"/>
          <w:lang w:val="en-US"/>
        </w:rPr>
        <w:t>non-signatory</w:t>
      </w:r>
      <w:r w:rsidRPr="000F052B">
        <w:rPr>
          <w:rFonts w:ascii="Times New Roman" w:hAnsi="Times New Roman" w:cs="Times New Roman"/>
          <w:sz w:val="24"/>
          <w:szCs w:val="24"/>
          <w:lang w:val="en-US"/>
        </w:rPr>
        <w:t xml:space="preserve"> part</w:t>
      </w:r>
      <w:r w:rsidR="003E4622" w:rsidRPr="000F052B">
        <w:rPr>
          <w:rFonts w:ascii="Times New Roman" w:hAnsi="Times New Roman" w:cs="Times New Roman"/>
          <w:sz w:val="24"/>
          <w:szCs w:val="24"/>
          <w:lang w:val="en-US"/>
        </w:rPr>
        <w:t>y</w:t>
      </w:r>
      <w:r w:rsidRPr="000F052B">
        <w:rPr>
          <w:rFonts w:ascii="Times New Roman" w:hAnsi="Times New Roman" w:cs="Times New Roman"/>
          <w:sz w:val="24"/>
          <w:szCs w:val="24"/>
          <w:lang w:val="en-US"/>
        </w:rPr>
        <w:t xml:space="preserve"> </w:t>
      </w:r>
      <w:r w:rsidR="009F381A" w:rsidRPr="000F052B">
        <w:rPr>
          <w:rFonts w:ascii="Times New Roman" w:hAnsi="Times New Roman" w:cs="Times New Roman"/>
          <w:sz w:val="24"/>
          <w:szCs w:val="24"/>
          <w:lang w:val="en-US"/>
        </w:rPr>
        <w:t>(</w:t>
      </w:r>
      <w:r w:rsidR="009F381A" w:rsidRPr="000F052B">
        <w:rPr>
          <w:rFonts w:ascii="Times New Roman" w:hAnsi="Times New Roman" w:cs="Times New Roman"/>
          <w:i/>
          <w:sz w:val="24"/>
          <w:szCs w:val="24"/>
          <w:lang w:val="en-US"/>
        </w:rPr>
        <w:t>j</w:t>
      </w:r>
      <w:r w:rsidR="009F381A" w:rsidRPr="000F052B">
        <w:rPr>
          <w:rFonts w:ascii="Times New Roman" w:hAnsi="Times New Roman" w:cs="Times New Roman"/>
          <w:i/>
          <w:iCs/>
          <w:sz w:val="24"/>
          <w:szCs w:val="24"/>
          <w:lang w:val="en-US"/>
        </w:rPr>
        <w:t>us quaesitum tertio</w:t>
      </w:r>
      <w:r w:rsidR="009F381A" w:rsidRPr="000F052B">
        <w:rPr>
          <w:rFonts w:ascii="Times New Roman" w:hAnsi="Times New Roman" w:cs="Times New Roman"/>
          <w:iCs/>
          <w:sz w:val="24"/>
          <w:szCs w:val="24"/>
          <w:lang w:val="en-US"/>
        </w:rPr>
        <w:t>)</w:t>
      </w:r>
      <w:r w:rsidR="009F381A" w:rsidRPr="000F052B">
        <w:rPr>
          <w:rFonts w:ascii="Times New Roman" w:hAnsi="Times New Roman" w:cs="Times New Roman"/>
          <w:i/>
          <w:iCs/>
          <w:sz w:val="24"/>
          <w:szCs w:val="24"/>
          <w:lang w:val="en-US"/>
        </w:rPr>
        <w:t>,</w:t>
      </w:r>
      <w:r w:rsidR="009F381A"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ought to be analy</w:t>
      </w:r>
      <w:r w:rsidR="0044327B">
        <w:rPr>
          <w:rFonts w:ascii="Times New Roman" w:hAnsi="Times New Roman" w:cs="Times New Roman"/>
          <w:sz w:val="24"/>
          <w:szCs w:val="24"/>
          <w:lang w:val="en-US"/>
        </w:rPr>
        <w:t>z</w:t>
      </w:r>
      <w:r w:rsidRPr="000F052B">
        <w:rPr>
          <w:rFonts w:ascii="Times New Roman" w:hAnsi="Times New Roman" w:cs="Times New Roman"/>
          <w:sz w:val="24"/>
          <w:szCs w:val="24"/>
          <w:lang w:val="en-US"/>
        </w:rPr>
        <w:t>ed from this perspective of inquiry</w:t>
      </w:r>
      <w:r w:rsidR="002E45AC" w:rsidRPr="000F052B">
        <w:rPr>
          <w:rFonts w:ascii="Times New Roman" w:hAnsi="Times New Roman" w:cs="Times New Roman"/>
          <w:sz w:val="24"/>
          <w:szCs w:val="24"/>
          <w:lang w:val="en-US"/>
        </w:rPr>
        <w:t xml:space="preserve"> and the role that the bargain theory plays </w:t>
      </w:r>
      <w:r w:rsidR="00F62410" w:rsidRPr="000F052B">
        <w:rPr>
          <w:rFonts w:ascii="Times New Roman" w:hAnsi="Times New Roman" w:cs="Times New Roman"/>
          <w:sz w:val="24"/>
          <w:szCs w:val="24"/>
          <w:lang w:val="en-US"/>
        </w:rPr>
        <w:t xml:space="preserve">still today </w:t>
      </w:r>
      <w:r w:rsidR="00133041" w:rsidRPr="000F052B">
        <w:rPr>
          <w:rFonts w:ascii="Times New Roman" w:hAnsi="Times New Roman" w:cs="Times New Roman"/>
          <w:sz w:val="24"/>
          <w:szCs w:val="24"/>
          <w:lang w:val="en-US"/>
        </w:rPr>
        <w:t xml:space="preserve">within the rules of </w:t>
      </w:r>
      <w:r w:rsidR="003E4622" w:rsidRPr="000F052B">
        <w:rPr>
          <w:rFonts w:ascii="Times New Roman" w:hAnsi="Times New Roman" w:cs="Times New Roman"/>
          <w:sz w:val="24"/>
          <w:szCs w:val="24"/>
          <w:lang w:val="en-US"/>
        </w:rPr>
        <w:t xml:space="preserve">contract </w:t>
      </w:r>
      <w:r w:rsidR="00133041" w:rsidRPr="000F052B">
        <w:rPr>
          <w:rFonts w:ascii="Times New Roman" w:hAnsi="Times New Roman" w:cs="Times New Roman"/>
          <w:sz w:val="24"/>
          <w:szCs w:val="24"/>
          <w:lang w:val="en-US"/>
        </w:rPr>
        <w:t>formation</w:t>
      </w:r>
      <w:r w:rsidR="00807331" w:rsidRPr="000F052B">
        <w:rPr>
          <w:rFonts w:ascii="Times New Roman" w:hAnsi="Times New Roman" w:cs="Times New Roman"/>
          <w:sz w:val="24"/>
          <w:szCs w:val="24"/>
          <w:lang w:val="en-US"/>
        </w:rPr>
        <w:t>. The reason being that it</w:t>
      </w:r>
      <w:r w:rsidR="001E6115" w:rsidRPr="000F052B">
        <w:rPr>
          <w:rFonts w:ascii="Times New Roman" w:hAnsi="Times New Roman" w:cs="Times New Roman"/>
          <w:sz w:val="24"/>
          <w:szCs w:val="24"/>
          <w:lang w:val="en-US"/>
        </w:rPr>
        <w:t xml:space="preserve"> cha</w:t>
      </w:r>
      <w:r w:rsidR="002E45AC" w:rsidRPr="000F052B">
        <w:rPr>
          <w:rFonts w:ascii="Times New Roman" w:hAnsi="Times New Roman" w:cs="Times New Roman"/>
          <w:sz w:val="24"/>
          <w:szCs w:val="24"/>
          <w:lang w:val="en-US"/>
        </w:rPr>
        <w:t xml:space="preserve">llenges the very essence of such theory </w:t>
      </w:r>
      <w:r w:rsidR="00204244" w:rsidRPr="000F052B">
        <w:rPr>
          <w:rFonts w:ascii="Times New Roman" w:hAnsi="Times New Roman" w:cs="Times New Roman"/>
          <w:sz w:val="24"/>
          <w:szCs w:val="24"/>
          <w:lang w:val="en-US"/>
        </w:rPr>
        <w:t xml:space="preserve">as </w:t>
      </w:r>
      <w:r w:rsidR="00FD0C31" w:rsidRPr="000F052B">
        <w:rPr>
          <w:rFonts w:ascii="Times New Roman" w:hAnsi="Times New Roman" w:cs="Times New Roman"/>
          <w:sz w:val="24"/>
          <w:szCs w:val="24"/>
          <w:lang w:val="en-US"/>
        </w:rPr>
        <w:t>epitomized</w:t>
      </w:r>
      <w:r w:rsidR="00204244" w:rsidRPr="000F052B">
        <w:rPr>
          <w:rFonts w:ascii="Times New Roman" w:hAnsi="Times New Roman" w:cs="Times New Roman"/>
          <w:sz w:val="24"/>
          <w:szCs w:val="24"/>
          <w:lang w:val="en-US"/>
        </w:rPr>
        <w:t xml:space="preserve"> by </w:t>
      </w:r>
      <w:r w:rsidR="002E45AC" w:rsidRPr="000F052B">
        <w:rPr>
          <w:rFonts w:ascii="Times New Roman" w:hAnsi="Times New Roman" w:cs="Times New Roman"/>
          <w:sz w:val="24"/>
          <w:szCs w:val="24"/>
          <w:lang w:val="en-US"/>
        </w:rPr>
        <w:t xml:space="preserve">the </w:t>
      </w:r>
      <w:r w:rsidR="009850CD" w:rsidRPr="000F052B">
        <w:rPr>
          <w:rFonts w:ascii="Times New Roman" w:hAnsi="Times New Roman" w:cs="Times New Roman"/>
          <w:sz w:val="24"/>
          <w:szCs w:val="24"/>
          <w:lang w:val="en-US"/>
        </w:rPr>
        <w:t xml:space="preserve">notion of reciprocity which </w:t>
      </w:r>
      <w:r w:rsidR="007A1D68" w:rsidRPr="000F052B">
        <w:rPr>
          <w:rFonts w:ascii="Times New Roman" w:hAnsi="Times New Roman" w:cs="Times New Roman"/>
          <w:sz w:val="24"/>
          <w:szCs w:val="24"/>
          <w:lang w:val="en-US"/>
        </w:rPr>
        <w:t>informs</w:t>
      </w:r>
      <w:r w:rsidR="009850CD" w:rsidRPr="000F052B">
        <w:rPr>
          <w:rFonts w:ascii="Times New Roman" w:hAnsi="Times New Roman" w:cs="Times New Roman"/>
          <w:sz w:val="24"/>
          <w:szCs w:val="24"/>
          <w:lang w:val="en-US"/>
        </w:rPr>
        <w:t xml:space="preserve"> </w:t>
      </w:r>
      <w:r w:rsidR="0035606D">
        <w:rPr>
          <w:rFonts w:ascii="Times New Roman" w:hAnsi="Times New Roman" w:cs="Times New Roman"/>
          <w:sz w:val="24"/>
          <w:szCs w:val="24"/>
          <w:lang w:val="en-US"/>
        </w:rPr>
        <w:t>the “detriment-benefit”</w:t>
      </w:r>
      <w:r w:rsidR="00F302C4" w:rsidRPr="000F052B">
        <w:rPr>
          <w:rFonts w:ascii="Times New Roman" w:hAnsi="Times New Roman" w:cs="Times New Roman"/>
          <w:sz w:val="24"/>
          <w:szCs w:val="24"/>
          <w:lang w:val="en-US"/>
        </w:rPr>
        <w:t xml:space="preserve"> </w:t>
      </w:r>
      <w:r w:rsidR="00F302C4" w:rsidRPr="000F052B">
        <w:rPr>
          <w:rFonts w:ascii="Times New Roman" w:hAnsi="Times New Roman" w:cs="Times New Roman"/>
          <w:sz w:val="24"/>
          <w:szCs w:val="24"/>
          <w:lang w:val="en-US"/>
        </w:rPr>
        <w:lastRenderedPageBreak/>
        <w:t xml:space="preserve">logic of consideration and </w:t>
      </w:r>
      <w:r w:rsidR="00204244" w:rsidRPr="000F052B">
        <w:rPr>
          <w:rFonts w:ascii="Times New Roman" w:hAnsi="Times New Roman" w:cs="Times New Roman"/>
          <w:sz w:val="24"/>
          <w:szCs w:val="24"/>
          <w:lang w:val="en-US"/>
        </w:rPr>
        <w:t>the privity rule</w:t>
      </w:r>
      <w:r w:rsidR="001E6115" w:rsidRPr="000F052B">
        <w:rPr>
          <w:rFonts w:ascii="Times New Roman" w:hAnsi="Times New Roman" w:cs="Times New Roman"/>
          <w:sz w:val="24"/>
          <w:szCs w:val="24"/>
          <w:lang w:val="en-US"/>
        </w:rPr>
        <w:t>.</w:t>
      </w:r>
      <w:r w:rsidR="009850CD" w:rsidRPr="000F052B">
        <w:rPr>
          <w:rStyle w:val="FootnoteReference"/>
          <w:rFonts w:ascii="Times New Roman" w:hAnsi="Times New Roman" w:cs="Times New Roman"/>
          <w:sz w:val="24"/>
          <w:szCs w:val="24"/>
          <w:lang w:val="en-US"/>
        </w:rPr>
        <w:footnoteReference w:id="51"/>
      </w:r>
      <w:r w:rsidR="001E6115" w:rsidRPr="000F052B">
        <w:rPr>
          <w:rFonts w:ascii="Times New Roman" w:hAnsi="Times New Roman" w:cs="Times New Roman"/>
          <w:sz w:val="24"/>
          <w:szCs w:val="24"/>
          <w:lang w:val="en-US"/>
        </w:rPr>
        <w:t xml:space="preserve"> </w:t>
      </w:r>
      <w:r w:rsidR="00807331" w:rsidRPr="000F052B">
        <w:rPr>
          <w:rFonts w:ascii="Times New Roman" w:hAnsi="Times New Roman" w:cs="Times New Roman"/>
          <w:sz w:val="24"/>
          <w:szCs w:val="24"/>
          <w:lang w:val="en-US"/>
        </w:rPr>
        <w:t>U</w:t>
      </w:r>
      <w:r w:rsidR="009850CD" w:rsidRPr="000F052B">
        <w:rPr>
          <w:rFonts w:ascii="Times New Roman" w:hAnsi="Times New Roman" w:cs="Times New Roman"/>
          <w:sz w:val="24"/>
          <w:szCs w:val="24"/>
          <w:lang w:val="en-US"/>
        </w:rPr>
        <w:t>nderstanding a contract as</w:t>
      </w:r>
      <w:r w:rsidR="00B40EC3" w:rsidRPr="000F052B">
        <w:rPr>
          <w:rFonts w:ascii="Times New Roman" w:hAnsi="Times New Roman" w:cs="Times New Roman"/>
          <w:sz w:val="24"/>
          <w:szCs w:val="24"/>
          <w:lang w:val="en-US"/>
        </w:rPr>
        <w:t xml:space="preserve"> a bargain serves </w:t>
      </w:r>
      <w:r w:rsidR="00807331" w:rsidRPr="000F052B">
        <w:rPr>
          <w:rFonts w:ascii="Times New Roman" w:hAnsi="Times New Roman" w:cs="Times New Roman"/>
          <w:sz w:val="24"/>
          <w:szCs w:val="24"/>
          <w:lang w:val="en-US"/>
        </w:rPr>
        <w:t xml:space="preserve">indeed </w:t>
      </w:r>
      <w:r w:rsidR="00B40EC3" w:rsidRPr="000F052B">
        <w:rPr>
          <w:rFonts w:ascii="Times New Roman" w:hAnsi="Times New Roman" w:cs="Times New Roman"/>
          <w:sz w:val="24"/>
          <w:szCs w:val="24"/>
          <w:lang w:val="en-US"/>
        </w:rPr>
        <w:t>to</w:t>
      </w:r>
      <w:r w:rsidR="00C933BF" w:rsidRPr="000F052B">
        <w:rPr>
          <w:rFonts w:ascii="Times New Roman" w:hAnsi="Times New Roman" w:cs="Times New Roman"/>
          <w:sz w:val="24"/>
          <w:szCs w:val="24"/>
          <w:lang w:val="en-US"/>
        </w:rPr>
        <w:t xml:space="preserve"> stress the </w:t>
      </w:r>
      <w:r w:rsidR="00C933BF" w:rsidRPr="000F052B">
        <w:rPr>
          <w:rFonts w:ascii="Times New Roman" w:hAnsi="Times New Roman" w:cs="Times New Roman"/>
          <w:i/>
          <w:sz w:val="24"/>
          <w:szCs w:val="24"/>
          <w:lang w:val="en-US"/>
        </w:rPr>
        <w:t>exclusivity</w:t>
      </w:r>
      <w:r w:rsidR="00807331" w:rsidRPr="000F052B">
        <w:rPr>
          <w:rFonts w:ascii="Times New Roman" w:hAnsi="Times New Roman" w:cs="Times New Roman"/>
          <w:sz w:val="24"/>
          <w:szCs w:val="24"/>
          <w:lang w:val="en-US"/>
        </w:rPr>
        <w:t xml:space="preserve"> of contract</w:t>
      </w:r>
      <w:r w:rsidR="00265BD5" w:rsidRPr="000F052B">
        <w:rPr>
          <w:rFonts w:ascii="Times New Roman" w:hAnsi="Times New Roman" w:cs="Times New Roman"/>
          <w:sz w:val="24"/>
          <w:szCs w:val="24"/>
          <w:lang w:val="en-US"/>
        </w:rPr>
        <w:t>ual</w:t>
      </w:r>
      <w:r w:rsidR="00807331" w:rsidRPr="000F052B">
        <w:rPr>
          <w:rFonts w:ascii="Times New Roman" w:hAnsi="Times New Roman" w:cs="Times New Roman"/>
          <w:sz w:val="24"/>
          <w:szCs w:val="24"/>
          <w:lang w:val="en-US"/>
        </w:rPr>
        <w:t xml:space="preserve"> relationships, and thus, that c</w:t>
      </w:r>
      <w:r w:rsidR="00C933BF" w:rsidRPr="000F052B">
        <w:rPr>
          <w:rFonts w:ascii="Times New Roman" w:hAnsi="Times New Roman" w:cs="Times New Roman"/>
          <w:sz w:val="24"/>
          <w:szCs w:val="24"/>
          <w:lang w:val="en-US"/>
        </w:rPr>
        <w:t xml:space="preserve">ontracts are the </w:t>
      </w:r>
      <w:r w:rsidR="00C933BF" w:rsidRPr="000F052B">
        <w:rPr>
          <w:rFonts w:ascii="Times New Roman" w:hAnsi="Times New Roman" w:cs="Times New Roman"/>
          <w:i/>
          <w:sz w:val="24"/>
          <w:szCs w:val="24"/>
          <w:lang w:val="en-US"/>
        </w:rPr>
        <w:t>private</w:t>
      </w:r>
      <w:r w:rsidR="00C933BF" w:rsidRPr="000F052B">
        <w:rPr>
          <w:rFonts w:ascii="Times New Roman" w:hAnsi="Times New Roman" w:cs="Times New Roman"/>
          <w:sz w:val="24"/>
          <w:szCs w:val="24"/>
          <w:lang w:val="en-US"/>
        </w:rPr>
        <w:t xml:space="preserve"> law of</w:t>
      </w:r>
      <w:r w:rsidR="00E17868" w:rsidRPr="000F052B">
        <w:rPr>
          <w:rFonts w:ascii="Times New Roman" w:hAnsi="Times New Roman" w:cs="Times New Roman"/>
          <w:sz w:val="24"/>
          <w:szCs w:val="24"/>
          <w:lang w:val="en-US"/>
        </w:rPr>
        <w:t xml:space="preserve"> </w:t>
      </w:r>
      <w:r w:rsidR="00133041" w:rsidRPr="000F052B">
        <w:rPr>
          <w:rFonts w:ascii="Times New Roman" w:hAnsi="Times New Roman" w:cs="Times New Roman"/>
          <w:sz w:val="24"/>
          <w:szCs w:val="24"/>
          <w:lang w:val="en-US"/>
        </w:rPr>
        <w:t>the parties.</w:t>
      </w:r>
      <w:r w:rsidR="00A11632" w:rsidRPr="000F052B">
        <w:rPr>
          <w:rFonts w:ascii="Times New Roman" w:hAnsi="Times New Roman" w:cs="Times New Roman"/>
          <w:sz w:val="24"/>
          <w:szCs w:val="24"/>
          <w:lang w:val="en-US"/>
        </w:rPr>
        <w:t xml:space="preserve"> </w:t>
      </w:r>
      <w:r w:rsidR="00265BD5" w:rsidRPr="000F052B">
        <w:rPr>
          <w:rFonts w:ascii="Times New Roman" w:hAnsi="Times New Roman" w:cs="Times New Roman"/>
          <w:sz w:val="24"/>
          <w:szCs w:val="24"/>
          <w:lang w:val="en-US"/>
        </w:rPr>
        <w:t>From this it follows that</w:t>
      </w:r>
      <w:r w:rsidR="00E17868" w:rsidRPr="000F052B">
        <w:rPr>
          <w:rFonts w:ascii="Times New Roman" w:hAnsi="Times New Roman" w:cs="Times New Roman"/>
          <w:sz w:val="24"/>
          <w:szCs w:val="24"/>
          <w:lang w:val="en-US"/>
        </w:rPr>
        <w:t xml:space="preserve"> the parties alone can benefit from</w:t>
      </w:r>
      <w:r w:rsidR="00265BD5" w:rsidRPr="000F052B">
        <w:rPr>
          <w:rFonts w:ascii="Times New Roman" w:hAnsi="Times New Roman" w:cs="Times New Roman"/>
          <w:sz w:val="24"/>
          <w:szCs w:val="24"/>
          <w:lang w:val="en-US"/>
        </w:rPr>
        <w:t>,</w:t>
      </w:r>
      <w:r w:rsidR="00E17868" w:rsidRPr="000F052B">
        <w:rPr>
          <w:rFonts w:ascii="Times New Roman" w:hAnsi="Times New Roman" w:cs="Times New Roman"/>
          <w:sz w:val="24"/>
          <w:szCs w:val="24"/>
          <w:lang w:val="en-US"/>
        </w:rPr>
        <w:t xml:space="preserve"> and enforce</w:t>
      </w:r>
      <w:r w:rsidR="00265BD5" w:rsidRPr="000F052B">
        <w:rPr>
          <w:rFonts w:ascii="Times New Roman" w:hAnsi="Times New Roman" w:cs="Times New Roman"/>
          <w:sz w:val="24"/>
          <w:szCs w:val="24"/>
          <w:lang w:val="en-US"/>
        </w:rPr>
        <w:t>, each other’s promises</w:t>
      </w:r>
      <w:r w:rsidR="00E17868" w:rsidRPr="000F052B">
        <w:rPr>
          <w:rFonts w:ascii="Times New Roman" w:hAnsi="Times New Roman" w:cs="Times New Roman"/>
          <w:sz w:val="24"/>
          <w:szCs w:val="24"/>
          <w:lang w:val="en-US"/>
        </w:rPr>
        <w:t>.</w:t>
      </w:r>
      <w:r w:rsidR="00BD6F49" w:rsidRPr="000F052B">
        <w:rPr>
          <w:rStyle w:val="FootnoteReference"/>
          <w:rFonts w:ascii="Times New Roman" w:hAnsi="Times New Roman" w:cs="Times New Roman"/>
          <w:sz w:val="24"/>
          <w:szCs w:val="24"/>
          <w:lang w:val="en-US"/>
        </w:rPr>
        <w:footnoteReference w:id="52"/>
      </w:r>
      <w:r w:rsidR="00E17868" w:rsidRPr="000F052B">
        <w:rPr>
          <w:rFonts w:ascii="Times New Roman" w:hAnsi="Times New Roman" w:cs="Times New Roman"/>
          <w:sz w:val="24"/>
          <w:szCs w:val="24"/>
          <w:lang w:val="en-US"/>
        </w:rPr>
        <w:t xml:space="preserve"> </w:t>
      </w:r>
    </w:p>
    <w:p w14:paraId="0E3C2CEB" w14:textId="7FEDCC45" w:rsidR="007D768C" w:rsidRPr="000F052B" w:rsidRDefault="00A11632" w:rsidP="00205AF2">
      <w:pPr>
        <w:spacing w:after="120" w:line="480" w:lineRule="auto"/>
        <w:ind w:firstLine="720"/>
        <w:jc w:val="both"/>
        <w:rPr>
          <w:rFonts w:ascii="Times New Roman" w:hAnsi="Times New Roman" w:cs="Times New Roman"/>
          <w:i/>
          <w:iCs/>
          <w:sz w:val="24"/>
          <w:szCs w:val="24"/>
          <w:lang w:val="en-US"/>
        </w:rPr>
      </w:pPr>
      <w:r w:rsidRPr="000F052B">
        <w:rPr>
          <w:rFonts w:ascii="Times New Roman" w:hAnsi="Times New Roman" w:cs="Times New Roman"/>
          <w:sz w:val="24"/>
          <w:szCs w:val="24"/>
          <w:lang w:val="en-US"/>
        </w:rPr>
        <w:t xml:space="preserve">That such </w:t>
      </w:r>
      <w:r w:rsidR="00265BD5" w:rsidRPr="000F052B">
        <w:rPr>
          <w:rFonts w:ascii="Times New Roman" w:hAnsi="Times New Roman" w:cs="Times New Roman"/>
          <w:sz w:val="24"/>
          <w:szCs w:val="24"/>
          <w:lang w:val="en-US"/>
        </w:rPr>
        <w:t xml:space="preserve">a reductionist </w:t>
      </w:r>
      <w:r w:rsidR="00E17868" w:rsidRPr="000F052B">
        <w:rPr>
          <w:rFonts w:ascii="Times New Roman" w:hAnsi="Times New Roman" w:cs="Times New Roman"/>
          <w:sz w:val="24"/>
          <w:szCs w:val="24"/>
          <w:lang w:val="en-US"/>
        </w:rPr>
        <w:t>scheme</w:t>
      </w:r>
      <w:r w:rsidR="00FE22A9" w:rsidRPr="000F052B">
        <w:rPr>
          <w:rFonts w:ascii="Times New Roman" w:hAnsi="Times New Roman" w:cs="Times New Roman"/>
          <w:sz w:val="24"/>
          <w:szCs w:val="24"/>
          <w:lang w:val="en-US"/>
        </w:rPr>
        <w:t>, which</w:t>
      </w:r>
      <w:r w:rsidR="00CA71CB" w:rsidRPr="000F052B">
        <w:rPr>
          <w:rFonts w:ascii="Times New Roman" w:hAnsi="Times New Roman" w:cs="Times New Roman"/>
          <w:sz w:val="24"/>
          <w:szCs w:val="24"/>
          <w:lang w:val="en-US"/>
        </w:rPr>
        <w:t xml:space="preserve"> refers ‘to a rather dimension</w:t>
      </w:r>
      <w:r w:rsidR="00FE22A9" w:rsidRPr="000F052B">
        <w:rPr>
          <w:rFonts w:ascii="Times New Roman" w:hAnsi="Times New Roman" w:cs="Times New Roman"/>
          <w:sz w:val="24"/>
          <w:szCs w:val="24"/>
          <w:lang w:val="en-US"/>
        </w:rPr>
        <w:t>al</w:t>
      </w:r>
      <w:r w:rsidR="00CA71CB" w:rsidRPr="000F052B">
        <w:rPr>
          <w:rFonts w:ascii="Times New Roman" w:hAnsi="Times New Roman" w:cs="Times New Roman"/>
          <w:sz w:val="24"/>
          <w:szCs w:val="24"/>
          <w:lang w:val="en-US"/>
        </w:rPr>
        <w:t xml:space="preserve"> and </w:t>
      </w:r>
      <w:r w:rsidR="00FE22A9" w:rsidRPr="000F052B">
        <w:rPr>
          <w:rFonts w:ascii="Times New Roman" w:hAnsi="Times New Roman" w:cs="Times New Roman"/>
          <w:sz w:val="24"/>
          <w:szCs w:val="24"/>
          <w:lang w:val="en-US"/>
        </w:rPr>
        <w:t>unabstract</w:t>
      </w:r>
      <w:r w:rsidR="00CA71CB" w:rsidRPr="000F052B">
        <w:rPr>
          <w:rFonts w:ascii="Times New Roman" w:hAnsi="Times New Roman" w:cs="Times New Roman"/>
          <w:sz w:val="24"/>
          <w:szCs w:val="24"/>
          <w:lang w:val="en-US"/>
        </w:rPr>
        <w:t xml:space="preserve"> way . . . of seeing a contract as </w:t>
      </w:r>
      <w:r w:rsidR="00FE22A9" w:rsidRPr="000F052B">
        <w:rPr>
          <w:rFonts w:ascii="Times New Roman" w:hAnsi="Times New Roman" w:cs="Times New Roman"/>
          <w:sz w:val="24"/>
          <w:szCs w:val="24"/>
          <w:lang w:val="en-US"/>
        </w:rPr>
        <w:t>a bond binding the parties’</w:t>
      </w:r>
      <w:r w:rsidRPr="000F052B">
        <w:rPr>
          <w:rFonts w:ascii="Times New Roman" w:hAnsi="Times New Roman" w:cs="Times New Roman"/>
          <w:sz w:val="24"/>
          <w:szCs w:val="24"/>
          <w:lang w:val="en-US"/>
        </w:rPr>
        <w:t xml:space="preserve"> is inconvenient in many situations </w:t>
      </w:r>
      <w:r w:rsidR="00265BD5" w:rsidRPr="000F052B">
        <w:rPr>
          <w:rFonts w:ascii="Times New Roman" w:hAnsi="Times New Roman" w:cs="Times New Roman"/>
          <w:sz w:val="24"/>
          <w:szCs w:val="24"/>
          <w:lang w:val="en-US"/>
        </w:rPr>
        <w:t>had</w:t>
      </w:r>
      <w:r w:rsidR="00E17868" w:rsidRPr="000F052B">
        <w:rPr>
          <w:rFonts w:ascii="Times New Roman" w:hAnsi="Times New Roman" w:cs="Times New Roman"/>
          <w:sz w:val="24"/>
          <w:szCs w:val="24"/>
          <w:lang w:val="en-US"/>
        </w:rPr>
        <w:t xml:space="preserve"> been </w:t>
      </w:r>
      <w:r w:rsidR="00265BD5" w:rsidRPr="000F052B">
        <w:rPr>
          <w:rFonts w:ascii="Times New Roman" w:hAnsi="Times New Roman" w:cs="Times New Roman"/>
          <w:sz w:val="24"/>
          <w:szCs w:val="24"/>
          <w:lang w:val="en-US"/>
        </w:rPr>
        <w:t xml:space="preserve">already </w:t>
      </w:r>
      <w:r w:rsidR="00E17868" w:rsidRPr="000F052B">
        <w:rPr>
          <w:rFonts w:ascii="Times New Roman" w:hAnsi="Times New Roman" w:cs="Times New Roman"/>
          <w:sz w:val="24"/>
          <w:szCs w:val="24"/>
          <w:lang w:val="en-US"/>
        </w:rPr>
        <w:t xml:space="preserve">pointed </w:t>
      </w:r>
      <w:r w:rsidR="0005742C" w:rsidRPr="000F052B">
        <w:rPr>
          <w:rFonts w:ascii="Times New Roman" w:hAnsi="Times New Roman" w:cs="Times New Roman"/>
          <w:sz w:val="24"/>
          <w:szCs w:val="24"/>
          <w:lang w:val="en-US"/>
        </w:rPr>
        <w:t xml:space="preserve">out </w:t>
      </w:r>
      <w:r w:rsidR="00CA71CB" w:rsidRPr="000F052B">
        <w:rPr>
          <w:rFonts w:ascii="Times New Roman" w:hAnsi="Times New Roman" w:cs="Times New Roman"/>
          <w:sz w:val="24"/>
          <w:szCs w:val="24"/>
          <w:lang w:val="en-US"/>
        </w:rPr>
        <w:t>by post-classical Roman lawyer</w:t>
      </w:r>
      <w:r w:rsidR="007C5626" w:rsidRPr="000F052B">
        <w:rPr>
          <w:rFonts w:ascii="Times New Roman" w:hAnsi="Times New Roman" w:cs="Times New Roman"/>
          <w:sz w:val="24"/>
          <w:szCs w:val="24"/>
          <w:lang w:val="en-US"/>
        </w:rPr>
        <w:t>s</w:t>
      </w:r>
      <w:r w:rsidR="0027583B" w:rsidRPr="000F052B">
        <w:rPr>
          <w:rFonts w:ascii="Times New Roman" w:hAnsi="Times New Roman" w:cs="Times New Roman"/>
          <w:sz w:val="24"/>
          <w:szCs w:val="24"/>
          <w:lang w:val="en-US"/>
        </w:rPr>
        <w:t>.</w:t>
      </w:r>
      <w:r w:rsidR="0027583B" w:rsidRPr="000F052B">
        <w:rPr>
          <w:rStyle w:val="FootnoteReference"/>
          <w:rFonts w:ascii="Times New Roman" w:hAnsi="Times New Roman" w:cs="Times New Roman"/>
          <w:sz w:val="24"/>
          <w:szCs w:val="24"/>
          <w:lang w:val="en-US"/>
        </w:rPr>
        <w:footnoteReference w:id="53"/>
      </w:r>
      <w:r w:rsidR="0027583B" w:rsidRPr="000F052B">
        <w:rPr>
          <w:rFonts w:ascii="Times New Roman" w:hAnsi="Times New Roman" w:cs="Times New Roman"/>
          <w:sz w:val="24"/>
          <w:szCs w:val="24"/>
          <w:lang w:val="en-US"/>
        </w:rPr>
        <w:t xml:space="preserve"> </w:t>
      </w:r>
      <w:r w:rsidR="00CA71CB" w:rsidRPr="000F052B">
        <w:rPr>
          <w:rFonts w:ascii="Times New Roman" w:hAnsi="Times New Roman" w:cs="Times New Roman"/>
          <w:sz w:val="24"/>
          <w:szCs w:val="24"/>
          <w:lang w:val="en-US"/>
        </w:rPr>
        <w:t>In modern times, it was</w:t>
      </w:r>
      <w:r w:rsidR="00E17868" w:rsidRPr="000F052B">
        <w:rPr>
          <w:rFonts w:ascii="Times New Roman" w:hAnsi="Times New Roman" w:cs="Times New Roman"/>
          <w:sz w:val="24"/>
          <w:szCs w:val="24"/>
          <w:lang w:val="en-US"/>
        </w:rPr>
        <w:t xml:space="preserve"> the Law Revision Committee </w:t>
      </w:r>
      <w:r w:rsidR="00FE22A9" w:rsidRPr="000F052B">
        <w:rPr>
          <w:rFonts w:ascii="Times New Roman" w:hAnsi="Times New Roman" w:cs="Times New Roman"/>
          <w:sz w:val="24"/>
          <w:szCs w:val="24"/>
          <w:lang w:val="en-US"/>
        </w:rPr>
        <w:t>that</w:t>
      </w:r>
      <w:r w:rsidR="00CA71CB" w:rsidRPr="000F052B">
        <w:rPr>
          <w:rFonts w:ascii="Times New Roman" w:hAnsi="Times New Roman" w:cs="Times New Roman"/>
          <w:sz w:val="24"/>
          <w:szCs w:val="24"/>
          <w:lang w:val="en-US"/>
        </w:rPr>
        <w:t xml:space="preserve"> return</w:t>
      </w:r>
      <w:r w:rsidR="00FE22A9" w:rsidRPr="000F052B">
        <w:rPr>
          <w:rFonts w:ascii="Times New Roman" w:hAnsi="Times New Roman" w:cs="Times New Roman"/>
          <w:sz w:val="24"/>
          <w:szCs w:val="24"/>
          <w:lang w:val="en-US"/>
        </w:rPr>
        <w:t>ed</w:t>
      </w:r>
      <w:r w:rsidR="007C5626" w:rsidRPr="000F052B">
        <w:rPr>
          <w:rFonts w:ascii="Times New Roman" w:hAnsi="Times New Roman" w:cs="Times New Roman"/>
          <w:sz w:val="24"/>
          <w:szCs w:val="24"/>
          <w:lang w:val="en-US"/>
        </w:rPr>
        <w:t>,</w:t>
      </w:r>
      <w:r w:rsidR="00CA71CB" w:rsidRPr="000F052B">
        <w:rPr>
          <w:rFonts w:ascii="Times New Roman" w:hAnsi="Times New Roman" w:cs="Times New Roman"/>
          <w:sz w:val="24"/>
          <w:szCs w:val="24"/>
          <w:lang w:val="en-US"/>
        </w:rPr>
        <w:t xml:space="preserve"> </w:t>
      </w:r>
      <w:r w:rsidR="007C5626" w:rsidRPr="000F052B">
        <w:rPr>
          <w:rFonts w:ascii="Times New Roman" w:hAnsi="Times New Roman" w:cs="Times New Roman"/>
          <w:sz w:val="24"/>
          <w:szCs w:val="24"/>
          <w:lang w:val="en-US"/>
        </w:rPr>
        <w:t xml:space="preserve">in 1937, </w:t>
      </w:r>
      <w:r w:rsidR="00CA71CB" w:rsidRPr="000F052B">
        <w:rPr>
          <w:rFonts w:ascii="Times New Roman" w:hAnsi="Times New Roman" w:cs="Times New Roman"/>
          <w:sz w:val="24"/>
          <w:szCs w:val="24"/>
          <w:lang w:val="en-US"/>
        </w:rPr>
        <w:t>on the subject in similar terms</w:t>
      </w:r>
      <w:r w:rsidR="00E17868" w:rsidRPr="000F052B">
        <w:rPr>
          <w:rFonts w:ascii="Times New Roman" w:hAnsi="Times New Roman" w:cs="Times New Roman"/>
          <w:sz w:val="24"/>
          <w:szCs w:val="24"/>
          <w:lang w:val="en-US"/>
        </w:rPr>
        <w:t xml:space="preserve">. </w:t>
      </w:r>
      <w:r w:rsidR="00265BD5" w:rsidRPr="000F052B">
        <w:rPr>
          <w:rFonts w:ascii="Times New Roman" w:hAnsi="Times New Roman" w:cs="Times New Roman"/>
          <w:sz w:val="24"/>
          <w:szCs w:val="24"/>
          <w:lang w:val="en-US"/>
        </w:rPr>
        <w:t xml:space="preserve">The </w:t>
      </w:r>
      <w:r w:rsidR="00CA71CB" w:rsidRPr="000F052B">
        <w:rPr>
          <w:rFonts w:ascii="Times New Roman" w:hAnsi="Times New Roman" w:cs="Times New Roman"/>
          <w:sz w:val="24"/>
          <w:szCs w:val="24"/>
          <w:lang w:val="en-US"/>
        </w:rPr>
        <w:t xml:space="preserve">same </w:t>
      </w:r>
      <w:r w:rsidR="00265BD5" w:rsidRPr="000F052B">
        <w:rPr>
          <w:rFonts w:ascii="Times New Roman" w:hAnsi="Times New Roman" w:cs="Times New Roman"/>
          <w:sz w:val="24"/>
          <w:szCs w:val="24"/>
          <w:lang w:val="en-US"/>
        </w:rPr>
        <w:t xml:space="preserve">point has also been made </w:t>
      </w:r>
      <w:r w:rsidRPr="000F052B">
        <w:rPr>
          <w:rFonts w:ascii="Times New Roman" w:hAnsi="Times New Roman" w:cs="Times New Roman"/>
          <w:sz w:val="24"/>
          <w:szCs w:val="24"/>
          <w:lang w:val="en-US"/>
        </w:rPr>
        <w:t xml:space="preserve">in </w:t>
      </w:r>
      <w:r w:rsidR="00265BD5" w:rsidRPr="000F052B">
        <w:rPr>
          <w:rFonts w:ascii="Times New Roman" w:hAnsi="Times New Roman" w:cs="Times New Roman"/>
          <w:sz w:val="24"/>
          <w:szCs w:val="24"/>
          <w:lang w:val="en-US"/>
        </w:rPr>
        <w:t xml:space="preserve">English and Australian </w:t>
      </w:r>
      <w:r w:rsidRPr="000F052B">
        <w:rPr>
          <w:rFonts w:ascii="Times New Roman" w:hAnsi="Times New Roman" w:cs="Times New Roman"/>
          <w:sz w:val="24"/>
          <w:szCs w:val="24"/>
          <w:lang w:val="en-US"/>
        </w:rPr>
        <w:t>contract law literature</w:t>
      </w:r>
      <w:r w:rsidR="00E17868" w:rsidRPr="000F052B">
        <w:rPr>
          <w:rFonts w:ascii="Times New Roman" w:hAnsi="Times New Roman" w:cs="Times New Roman"/>
          <w:sz w:val="24"/>
          <w:szCs w:val="24"/>
          <w:lang w:val="en-US"/>
        </w:rPr>
        <w:t>,</w:t>
      </w:r>
      <w:r w:rsidR="00A85010" w:rsidRPr="000F052B">
        <w:rPr>
          <w:rStyle w:val="FootnoteReference"/>
          <w:rFonts w:ascii="Times New Roman" w:hAnsi="Times New Roman" w:cs="Times New Roman"/>
          <w:sz w:val="24"/>
          <w:szCs w:val="24"/>
          <w:lang w:val="en-US"/>
        </w:rPr>
        <w:footnoteReference w:id="54"/>
      </w:r>
      <w:r w:rsidR="00E17868" w:rsidRPr="000F052B">
        <w:rPr>
          <w:rFonts w:ascii="Times New Roman" w:hAnsi="Times New Roman" w:cs="Times New Roman"/>
          <w:sz w:val="24"/>
          <w:szCs w:val="24"/>
          <w:lang w:val="en-US"/>
        </w:rPr>
        <w:t xml:space="preserve"> </w:t>
      </w:r>
      <w:r w:rsidR="0005742C" w:rsidRPr="000F052B">
        <w:rPr>
          <w:rFonts w:ascii="Times New Roman" w:hAnsi="Times New Roman" w:cs="Times New Roman"/>
          <w:sz w:val="24"/>
          <w:szCs w:val="24"/>
          <w:lang w:val="en-US"/>
        </w:rPr>
        <w:t xml:space="preserve">and </w:t>
      </w:r>
      <w:r w:rsidR="00E17868" w:rsidRPr="000F052B">
        <w:rPr>
          <w:rFonts w:ascii="Times New Roman" w:hAnsi="Times New Roman" w:cs="Times New Roman"/>
          <w:sz w:val="24"/>
          <w:szCs w:val="24"/>
          <w:lang w:val="en-US"/>
        </w:rPr>
        <w:t xml:space="preserve">even by those who uphold the </w:t>
      </w:r>
      <w:r w:rsidR="00265BD5" w:rsidRPr="000F052B">
        <w:rPr>
          <w:rFonts w:ascii="Times New Roman" w:hAnsi="Times New Roman" w:cs="Times New Roman"/>
          <w:sz w:val="24"/>
          <w:szCs w:val="24"/>
          <w:lang w:val="en-US"/>
        </w:rPr>
        <w:t xml:space="preserve">privity </w:t>
      </w:r>
      <w:r w:rsidR="00F3328B" w:rsidRPr="000F052B">
        <w:rPr>
          <w:rFonts w:ascii="Times New Roman" w:hAnsi="Times New Roman" w:cs="Times New Roman"/>
          <w:sz w:val="24"/>
          <w:szCs w:val="24"/>
          <w:lang w:val="en-US"/>
        </w:rPr>
        <w:t>doctrine.</w:t>
      </w:r>
      <w:r w:rsidR="00F3328B" w:rsidRPr="000F052B">
        <w:rPr>
          <w:rStyle w:val="FootnoteReference"/>
          <w:rFonts w:ascii="Times New Roman" w:hAnsi="Times New Roman" w:cs="Times New Roman"/>
          <w:sz w:val="24"/>
          <w:szCs w:val="24"/>
          <w:lang w:val="en-US"/>
        </w:rPr>
        <w:footnoteReference w:id="55"/>
      </w:r>
      <w:r w:rsidRPr="000F052B">
        <w:rPr>
          <w:rFonts w:ascii="Times New Roman" w:hAnsi="Times New Roman" w:cs="Times New Roman"/>
          <w:sz w:val="24"/>
          <w:szCs w:val="24"/>
          <w:lang w:val="en-US"/>
        </w:rPr>
        <w:t xml:space="preserve"> What </w:t>
      </w:r>
      <w:r w:rsidR="00903459" w:rsidRPr="000F052B">
        <w:rPr>
          <w:rFonts w:ascii="Times New Roman" w:hAnsi="Times New Roman" w:cs="Times New Roman"/>
          <w:sz w:val="24"/>
          <w:szCs w:val="24"/>
          <w:lang w:val="en-US"/>
        </w:rPr>
        <w:t>has emerged from the</w:t>
      </w:r>
      <w:r w:rsidRPr="000F052B">
        <w:rPr>
          <w:rFonts w:ascii="Times New Roman" w:hAnsi="Times New Roman" w:cs="Times New Roman"/>
          <w:sz w:val="24"/>
          <w:szCs w:val="24"/>
          <w:lang w:val="en-US"/>
        </w:rPr>
        <w:t xml:space="preserve"> </w:t>
      </w:r>
      <w:r w:rsidR="0007545D" w:rsidRPr="000F052B">
        <w:rPr>
          <w:rFonts w:ascii="Times New Roman" w:hAnsi="Times New Roman" w:cs="Times New Roman"/>
          <w:sz w:val="24"/>
          <w:szCs w:val="24"/>
          <w:lang w:val="en-US"/>
        </w:rPr>
        <w:t xml:space="preserve">academic </w:t>
      </w:r>
      <w:r w:rsidRPr="000F052B">
        <w:rPr>
          <w:rFonts w:ascii="Times New Roman" w:hAnsi="Times New Roman" w:cs="Times New Roman"/>
          <w:sz w:val="24"/>
          <w:szCs w:val="24"/>
          <w:lang w:val="en-US"/>
        </w:rPr>
        <w:t>debate</w:t>
      </w:r>
      <w:r w:rsidR="00903459" w:rsidRPr="000F052B">
        <w:rPr>
          <w:rFonts w:ascii="Times New Roman" w:hAnsi="Times New Roman" w:cs="Times New Roman"/>
          <w:sz w:val="24"/>
          <w:szCs w:val="24"/>
          <w:lang w:val="en-US"/>
        </w:rPr>
        <w:t xml:space="preserve"> </w:t>
      </w:r>
      <w:r w:rsidR="0007545D" w:rsidRPr="000F052B">
        <w:rPr>
          <w:rFonts w:ascii="Times New Roman" w:hAnsi="Times New Roman" w:cs="Times New Roman"/>
          <w:sz w:val="24"/>
          <w:szCs w:val="24"/>
          <w:lang w:val="en-US"/>
        </w:rPr>
        <w:t xml:space="preserve">on this point </w:t>
      </w:r>
      <w:r w:rsidRPr="000F052B">
        <w:rPr>
          <w:rFonts w:ascii="Times New Roman" w:hAnsi="Times New Roman" w:cs="Times New Roman"/>
          <w:sz w:val="24"/>
          <w:szCs w:val="24"/>
          <w:lang w:val="en-US"/>
        </w:rPr>
        <w:t xml:space="preserve">is that </w:t>
      </w:r>
      <w:r w:rsidR="00AD5BA0" w:rsidRPr="000F052B">
        <w:rPr>
          <w:rFonts w:ascii="Times New Roman" w:hAnsi="Times New Roman" w:cs="Times New Roman"/>
          <w:sz w:val="24"/>
          <w:szCs w:val="24"/>
          <w:lang w:val="en-US"/>
        </w:rPr>
        <w:t xml:space="preserve">the </w:t>
      </w:r>
      <w:r w:rsidRPr="000F052B">
        <w:rPr>
          <w:rFonts w:ascii="Times New Roman" w:hAnsi="Times New Roman" w:cs="Times New Roman"/>
          <w:sz w:val="24"/>
          <w:szCs w:val="24"/>
          <w:lang w:val="en-US"/>
        </w:rPr>
        <w:t xml:space="preserve">fastest way to detach the operativity of contracts from the </w:t>
      </w:r>
      <w:r w:rsidR="00AD5BA0" w:rsidRPr="000F052B">
        <w:rPr>
          <w:rFonts w:ascii="Times New Roman" w:hAnsi="Times New Roman" w:cs="Times New Roman"/>
          <w:sz w:val="24"/>
          <w:szCs w:val="24"/>
          <w:lang w:val="en-US"/>
        </w:rPr>
        <w:t>rigidity of the bargain theory is by abolishing the doctrine of privity in its entirety. Given the emphasis that Common law jurisdictions</w:t>
      </w:r>
      <w:r w:rsidR="00903459" w:rsidRPr="000F052B">
        <w:rPr>
          <w:rFonts w:ascii="Times New Roman" w:hAnsi="Times New Roman" w:cs="Times New Roman"/>
          <w:sz w:val="24"/>
          <w:szCs w:val="24"/>
          <w:lang w:val="en-US"/>
        </w:rPr>
        <w:t xml:space="preserve"> place on the expedience </w:t>
      </w:r>
      <w:r w:rsidR="007D768C" w:rsidRPr="000F052B">
        <w:rPr>
          <w:rFonts w:ascii="Times New Roman" w:hAnsi="Times New Roman" w:cs="Times New Roman"/>
          <w:sz w:val="24"/>
          <w:szCs w:val="24"/>
          <w:lang w:val="en-US"/>
        </w:rPr>
        <w:t xml:space="preserve">and flexibility </w:t>
      </w:r>
      <w:r w:rsidR="00903459" w:rsidRPr="000F052B">
        <w:rPr>
          <w:rFonts w:ascii="Times New Roman" w:hAnsi="Times New Roman" w:cs="Times New Roman"/>
          <w:sz w:val="24"/>
          <w:szCs w:val="24"/>
          <w:lang w:val="en-US"/>
        </w:rPr>
        <w:t>of business</w:t>
      </w:r>
      <w:r w:rsidR="00B70B69" w:rsidRPr="000F052B">
        <w:rPr>
          <w:rFonts w:ascii="Times New Roman" w:hAnsi="Times New Roman" w:cs="Times New Roman"/>
          <w:sz w:val="24"/>
          <w:szCs w:val="24"/>
          <w:lang w:val="en-US"/>
        </w:rPr>
        <w:t>,</w:t>
      </w:r>
      <w:r w:rsidR="00B70B69" w:rsidRPr="000F052B">
        <w:rPr>
          <w:rStyle w:val="FootnoteReference"/>
          <w:rFonts w:ascii="Times New Roman" w:hAnsi="Times New Roman" w:cs="Times New Roman"/>
          <w:sz w:val="24"/>
          <w:szCs w:val="24"/>
          <w:lang w:val="en-US"/>
        </w:rPr>
        <w:footnoteReference w:id="56"/>
      </w:r>
      <w:r w:rsidR="00B70B69" w:rsidRPr="000F052B">
        <w:rPr>
          <w:rFonts w:ascii="Times New Roman" w:hAnsi="Times New Roman" w:cs="Times New Roman"/>
          <w:sz w:val="24"/>
          <w:szCs w:val="24"/>
          <w:lang w:val="en-US"/>
        </w:rPr>
        <w:t xml:space="preserve"> it comes as no surprise that</w:t>
      </w:r>
      <w:r w:rsidR="00AD5BA0" w:rsidRPr="000F052B">
        <w:rPr>
          <w:rFonts w:ascii="Times New Roman" w:hAnsi="Times New Roman" w:cs="Times New Roman"/>
          <w:sz w:val="24"/>
          <w:szCs w:val="24"/>
          <w:lang w:val="en-US"/>
        </w:rPr>
        <w:t xml:space="preserve"> </w:t>
      </w:r>
      <w:r w:rsidR="00B70B69" w:rsidRPr="000F052B">
        <w:rPr>
          <w:rFonts w:ascii="Times New Roman" w:hAnsi="Times New Roman" w:cs="Times New Roman"/>
          <w:sz w:val="24"/>
          <w:szCs w:val="24"/>
          <w:lang w:val="en-US"/>
        </w:rPr>
        <w:t>this</w:t>
      </w:r>
      <w:r w:rsidR="00AD5BA0" w:rsidRPr="000F052B">
        <w:rPr>
          <w:rFonts w:ascii="Times New Roman" w:hAnsi="Times New Roman" w:cs="Times New Roman"/>
          <w:sz w:val="24"/>
          <w:szCs w:val="24"/>
          <w:lang w:val="en-US"/>
        </w:rPr>
        <w:t xml:space="preserve"> been the route pursued in the United Kingdom,</w:t>
      </w:r>
      <w:r w:rsidR="00AD5BA0" w:rsidRPr="000F052B">
        <w:rPr>
          <w:rStyle w:val="FootnoteReference"/>
          <w:rFonts w:ascii="Times New Roman" w:hAnsi="Times New Roman" w:cs="Times New Roman"/>
          <w:sz w:val="24"/>
          <w:szCs w:val="24"/>
          <w:lang w:val="en-US"/>
        </w:rPr>
        <w:footnoteReference w:id="57"/>
      </w:r>
      <w:r w:rsidR="00AD5BA0" w:rsidRPr="000F052B">
        <w:rPr>
          <w:rFonts w:ascii="Times New Roman" w:hAnsi="Times New Roman" w:cs="Times New Roman"/>
          <w:sz w:val="24"/>
          <w:szCs w:val="24"/>
          <w:lang w:val="en-US"/>
        </w:rPr>
        <w:t xml:space="preserve"> New Zealand,</w:t>
      </w:r>
      <w:r w:rsidR="00AD5BA0" w:rsidRPr="000F052B">
        <w:rPr>
          <w:rStyle w:val="FootnoteReference"/>
          <w:rFonts w:ascii="Times New Roman" w:hAnsi="Times New Roman" w:cs="Times New Roman"/>
          <w:sz w:val="24"/>
          <w:szCs w:val="24"/>
          <w:lang w:val="en-US"/>
        </w:rPr>
        <w:footnoteReference w:id="58"/>
      </w:r>
      <w:r w:rsidR="00AD5BA0" w:rsidRPr="000F052B">
        <w:rPr>
          <w:rFonts w:ascii="Times New Roman" w:hAnsi="Times New Roman" w:cs="Times New Roman"/>
          <w:sz w:val="24"/>
          <w:szCs w:val="24"/>
          <w:lang w:val="en-US"/>
        </w:rPr>
        <w:t xml:space="preserve"> </w:t>
      </w:r>
      <w:r w:rsidR="00CA6249" w:rsidRPr="000F052B">
        <w:rPr>
          <w:rFonts w:ascii="Times New Roman" w:hAnsi="Times New Roman" w:cs="Times New Roman"/>
          <w:sz w:val="24"/>
          <w:szCs w:val="24"/>
          <w:lang w:val="en-US"/>
        </w:rPr>
        <w:t>and in part, in the United States,</w:t>
      </w:r>
      <w:r w:rsidR="00CA6249" w:rsidRPr="000F052B">
        <w:rPr>
          <w:rStyle w:val="FootnoteReference"/>
          <w:rFonts w:ascii="Times New Roman" w:hAnsi="Times New Roman" w:cs="Times New Roman"/>
          <w:sz w:val="24"/>
          <w:szCs w:val="24"/>
          <w:lang w:val="en-US"/>
        </w:rPr>
        <w:footnoteReference w:id="59"/>
      </w:r>
      <w:r w:rsidR="00CA6249" w:rsidRPr="000F052B">
        <w:rPr>
          <w:rFonts w:ascii="Times New Roman" w:hAnsi="Times New Roman" w:cs="Times New Roman"/>
          <w:sz w:val="24"/>
          <w:szCs w:val="24"/>
          <w:lang w:val="en-US"/>
        </w:rPr>
        <w:t xml:space="preserve"> </w:t>
      </w:r>
      <w:r w:rsidR="00AD5BA0" w:rsidRPr="000F052B">
        <w:rPr>
          <w:rFonts w:ascii="Times New Roman" w:hAnsi="Times New Roman" w:cs="Times New Roman"/>
          <w:sz w:val="24"/>
          <w:szCs w:val="24"/>
          <w:lang w:val="en-US"/>
        </w:rPr>
        <w:t>and Australia.</w:t>
      </w:r>
      <w:r w:rsidR="00903459" w:rsidRPr="000F052B">
        <w:rPr>
          <w:rFonts w:ascii="Times New Roman" w:hAnsi="Times New Roman" w:cs="Times New Roman"/>
          <w:sz w:val="24"/>
          <w:szCs w:val="24"/>
          <w:lang w:val="en-US"/>
        </w:rPr>
        <w:t xml:space="preserve"> </w:t>
      </w:r>
    </w:p>
    <w:p w14:paraId="3593E0C7" w14:textId="3E2B5E2E" w:rsidR="00EB797A" w:rsidRPr="000F052B" w:rsidRDefault="0007545D"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In </w:t>
      </w:r>
      <w:r w:rsidR="00903459" w:rsidRPr="000F052B">
        <w:rPr>
          <w:rFonts w:ascii="Times New Roman" w:hAnsi="Times New Roman" w:cs="Times New Roman"/>
          <w:sz w:val="24"/>
          <w:szCs w:val="24"/>
          <w:lang w:val="en-US"/>
        </w:rPr>
        <w:t>Australia, in particular, privity has been</w:t>
      </w:r>
      <w:r w:rsidR="002718E9" w:rsidRPr="000F052B">
        <w:rPr>
          <w:rFonts w:ascii="Times New Roman" w:hAnsi="Times New Roman" w:cs="Times New Roman"/>
          <w:sz w:val="24"/>
          <w:szCs w:val="24"/>
          <w:lang w:val="en-US"/>
        </w:rPr>
        <w:t xml:space="preserve"> abolished </w:t>
      </w:r>
      <w:r w:rsidR="007D768C" w:rsidRPr="000F052B">
        <w:rPr>
          <w:rFonts w:ascii="Times New Roman" w:hAnsi="Times New Roman" w:cs="Times New Roman"/>
          <w:sz w:val="24"/>
          <w:szCs w:val="24"/>
          <w:lang w:val="en-US"/>
        </w:rPr>
        <w:t>at both t</w:t>
      </w:r>
      <w:r w:rsidR="00070640" w:rsidRPr="000F052B">
        <w:rPr>
          <w:rFonts w:ascii="Times New Roman" w:hAnsi="Times New Roman" w:cs="Times New Roman"/>
          <w:sz w:val="24"/>
          <w:szCs w:val="24"/>
          <w:lang w:val="en-US"/>
        </w:rPr>
        <w:t xml:space="preserve">he federal and local levels </w:t>
      </w:r>
      <w:r w:rsidRPr="000F052B">
        <w:rPr>
          <w:rFonts w:ascii="Times New Roman" w:hAnsi="Times New Roman" w:cs="Times New Roman"/>
          <w:sz w:val="24"/>
          <w:szCs w:val="24"/>
          <w:lang w:val="en-US"/>
        </w:rPr>
        <w:t>by</w:t>
      </w:r>
      <w:r w:rsidR="00070640" w:rsidRPr="000F052B">
        <w:rPr>
          <w:rFonts w:ascii="Times New Roman" w:hAnsi="Times New Roman" w:cs="Times New Roman"/>
          <w:sz w:val="24"/>
          <w:szCs w:val="24"/>
          <w:lang w:val="en-US"/>
        </w:rPr>
        <w:t xml:space="preserve"> </w:t>
      </w:r>
      <w:r w:rsidR="00E82CBE" w:rsidRPr="000F052B">
        <w:rPr>
          <w:rFonts w:ascii="Times New Roman" w:hAnsi="Times New Roman" w:cs="Times New Roman"/>
          <w:sz w:val="24"/>
          <w:szCs w:val="24"/>
          <w:lang w:val="en-US"/>
        </w:rPr>
        <w:t>s</w:t>
      </w:r>
      <w:r w:rsidR="0044327B">
        <w:rPr>
          <w:rFonts w:ascii="Times New Roman" w:hAnsi="Times New Roman" w:cs="Times New Roman"/>
          <w:sz w:val="24"/>
          <w:szCs w:val="24"/>
          <w:lang w:val="en-US"/>
        </w:rPr>
        <w:t>ection</w:t>
      </w:r>
      <w:r w:rsidR="00070640" w:rsidRPr="000F052B">
        <w:rPr>
          <w:rFonts w:ascii="Times New Roman" w:hAnsi="Times New Roman" w:cs="Times New Roman"/>
          <w:sz w:val="24"/>
          <w:szCs w:val="24"/>
          <w:lang w:val="en-US"/>
        </w:rPr>
        <w:t xml:space="preserve"> 48 of the </w:t>
      </w:r>
      <w:r w:rsidR="007D768C" w:rsidRPr="000F052B">
        <w:rPr>
          <w:rFonts w:ascii="Times New Roman" w:hAnsi="Times New Roman" w:cs="Times New Roman"/>
          <w:i/>
          <w:sz w:val="24"/>
          <w:szCs w:val="24"/>
          <w:lang w:val="en-US"/>
        </w:rPr>
        <w:t>Ins</w:t>
      </w:r>
      <w:r w:rsidR="00070640" w:rsidRPr="000F052B">
        <w:rPr>
          <w:rFonts w:ascii="Times New Roman" w:hAnsi="Times New Roman" w:cs="Times New Roman"/>
          <w:i/>
          <w:sz w:val="24"/>
          <w:szCs w:val="24"/>
          <w:lang w:val="en-US"/>
        </w:rPr>
        <w:t xml:space="preserve">urance Contracts Act 1984 </w:t>
      </w:r>
      <w:r w:rsidR="00070640" w:rsidRPr="000F052B">
        <w:rPr>
          <w:rFonts w:ascii="Times New Roman" w:hAnsi="Times New Roman" w:cs="Times New Roman"/>
          <w:sz w:val="24"/>
          <w:szCs w:val="24"/>
          <w:lang w:val="en-US"/>
        </w:rPr>
        <w:t>(Cth)</w:t>
      </w:r>
      <w:r w:rsidR="007167A1" w:rsidRPr="000F052B">
        <w:rPr>
          <w:rFonts w:ascii="Times New Roman" w:hAnsi="Times New Roman" w:cs="Times New Roman"/>
          <w:i/>
          <w:sz w:val="24"/>
          <w:szCs w:val="24"/>
          <w:lang w:val="en-US"/>
        </w:rPr>
        <w:t xml:space="preserve"> </w:t>
      </w:r>
      <w:r w:rsidR="007167A1" w:rsidRPr="000F052B">
        <w:rPr>
          <w:rFonts w:ascii="Times New Roman" w:hAnsi="Times New Roman" w:cs="Times New Roman"/>
          <w:sz w:val="24"/>
          <w:szCs w:val="24"/>
          <w:lang w:val="en-US"/>
        </w:rPr>
        <w:t>(hereafter ICA)</w:t>
      </w:r>
      <w:r w:rsidR="00070640" w:rsidRPr="000F052B">
        <w:rPr>
          <w:rFonts w:ascii="Times New Roman" w:hAnsi="Times New Roman" w:cs="Times New Roman"/>
          <w:sz w:val="24"/>
          <w:szCs w:val="24"/>
          <w:lang w:val="en-US"/>
        </w:rPr>
        <w:t>,</w:t>
      </w:r>
      <w:r w:rsidR="004D267F" w:rsidRPr="000F052B">
        <w:rPr>
          <w:rFonts w:ascii="Times New Roman" w:hAnsi="Times New Roman" w:cs="Times New Roman"/>
          <w:sz w:val="24"/>
          <w:szCs w:val="24"/>
          <w:lang w:val="en-US"/>
        </w:rPr>
        <w:t xml:space="preserve"> </w:t>
      </w:r>
      <w:r w:rsidR="00070640" w:rsidRPr="000F052B">
        <w:rPr>
          <w:rFonts w:ascii="Times New Roman" w:hAnsi="Times New Roman" w:cs="Times New Roman"/>
          <w:sz w:val="24"/>
          <w:szCs w:val="24"/>
          <w:lang w:val="en-US"/>
        </w:rPr>
        <w:t>s</w:t>
      </w:r>
      <w:r w:rsidR="0044327B">
        <w:rPr>
          <w:rFonts w:ascii="Times New Roman" w:hAnsi="Times New Roman" w:cs="Times New Roman"/>
          <w:sz w:val="24"/>
          <w:szCs w:val="24"/>
          <w:lang w:val="en-US"/>
        </w:rPr>
        <w:t>ection</w:t>
      </w:r>
      <w:r w:rsidR="00070640" w:rsidRPr="000F052B">
        <w:rPr>
          <w:rFonts w:ascii="Times New Roman" w:hAnsi="Times New Roman" w:cs="Times New Roman"/>
          <w:sz w:val="24"/>
          <w:szCs w:val="24"/>
          <w:lang w:val="en-US"/>
        </w:rPr>
        <w:t xml:space="preserve"> 11 of the</w:t>
      </w:r>
      <w:r w:rsidR="007D768C" w:rsidRPr="000F052B">
        <w:rPr>
          <w:rFonts w:ascii="Times New Roman" w:hAnsi="Times New Roman" w:cs="Times New Roman"/>
          <w:sz w:val="24"/>
          <w:szCs w:val="24"/>
          <w:lang w:val="en-US"/>
        </w:rPr>
        <w:t xml:space="preserve"> </w:t>
      </w:r>
      <w:r w:rsidR="007D768C" w:rsidRPr="000F052B">
        <w:rPr>
          <w:rFonts w:ascii="Times New Roman" w:hAnsi="Times New Roman" w:cs="Times New Roman"/>
          <w:i/>
          <w:sz w:val="24"/>
          <w:szCs w:val="24"/>
          <w:lang w:val="en-US"/>
        </w:rPr>
        <w:t>Property Law Act 1969</w:t>
      </w:r>
      <w:r w:rsidR="007D768C" w:rsidRPr="000F052B">
        <w:rPr>
          <w:rFonts w:ascii="Times New Roman" w:hAnsi="Times New Roman" w:cs="Times New Roman"/>
          <w:sz w:val="24"/>
          <w:szCs w:val="24"/>
          <w:lang w:val="en-US"/>
        </w:rPr>
        <w:t xml:space="preserve"> </w:t>
      </w:r>
      <w:r w:rsidR="00070640" w:rsidRPr="000F052B">
        <w:rPr>
          <w:rFonts w:ascii="Times New Roman" w:hAnsi="Times New Roman" w:cs="Times New Roman"/>
          <w:sz w:val="24"/>
          <w:szCs w:val="24"/>
          <w:lang w:val="en-US"/>
        </w:rPr>
        <w:t>(WA), s</w:t>
      </w:r>
      <w:r w:rsidR="0044327B">
        <w:rPr>
          <w:rFonts w:ascii="Times New Roman" w:hAnsi="Times New Roman" w:cs="Times New Roman"/>
          <w:sz w:val="24"/>
          <w:szCs w:val="24"/>
          <w:lang w:val="en-US"/>
        </w:rPr>
        <w:t>ection</w:t>
      </w:r>
      <w:r w:rsidR="00E82CBE" w:rsidRPr="000F052B">
        <w:rPr>
          <w:rFonts w:ascii="Times New Roman" w:hAnsi="Times New Roman" w:cs="Times New Roman"/>
          <w:sz w:val="24"/>
          <w:szCs w:val="24"/>
          <w:lang w:val="en-US"/>
        </w:rPr>
        <w:t xml:space="preserve"> </w:t>
      </w:r>
      <w:r w:rsidR="00070640" w:rsidRPr="000F052B">
        <w:rPr>
          <w:rFonts w:ascii="Times New Roman" w:hAnsi="Times New Roman" w:cs="Times New Roman"/>
          <w:sz w:val="24"/>
          <w:szCs w:val="24"/>
          <w:lang w:val="en-US"/>
        </w:rPr>
        <w:t xml:space="preserve">55 of the </w:t>
      </w:r>
      <w:r w:rsidR="007D768C" w:rsidRPr="000F052B">
        <w:rPr>
          <w:rFonts w:ascii="Times New Roman" w:hAnsi="Times New Roman" w:cs="Times New Roman"/>
          <w:i/>
          <w:sz w:val="24"/>
          <w:szCs w:val="24"/>
          <w:lang w:val="en-US"/>
        </w:rPr>
        <w:t>Property Law Act 1974</w:t>
      </w:r>
      <w:r w:rsidR="00536C49" w:rsidRPr="000F052B">
        <w:rPr>
          <w:rFonts w:ascii="Times New Roman" w:hAnsi="Times New Roman" w:cs="Times New Roman"/>
          <w:sz w:val="24"/>
          <w:szCs w:val="24"/>
          <w:lang w:val="en-US"/>
        </w:rPr>
        <w:t xml:space="preserve"> (Qld)</w:t>
      </w:r>
      <w:r w:rsidR="00070640" w:rsidRPr="000F052B">
        <w:rPr>
          <w:rFonts w:ascii="Times New Roman" w:hAnsi="Times New Roman" w:cs="Times New Roman"/>
          <w:sz w:val="24"/>
          <w:szCs w:val="24"/>
          <w:lang w:val="en-US"/>
        </w:rPr>
        <w:t>, and s</w:t>
      </w:r>
      <w:r w:rsidR="0044327B">
        <w:rPr>
          <w:rFonts w:ascii="Times New Roman" w:hAnsi="Times New Roman" w:cs="Times New Roman"/>
          <w:sz w:val="24"/>
          <w:szCs w:val="24"/>
          <w:lang w:val="en-US"/>
        </w:rPr>
        <w:t>ection</w:t>
      </w:r>
      <w:r w:rsidR="00070640" w:rsidRPr="000F052B">
        <w:rPr>
          <w:rFonts w:ascii="Times New Roman" w:hAnsi="Times New Roman" w:cs="Times New Roman"/>
          <w:sz w:val="24"/>
          <w:szCs w:val="24"/>
          <w:lang w:val="en-US"/>
        </w:rPr>
        <w:t xml:space="preserve"> 56 </w:t>
      </w:r>
      <w:r w:rsidR="00070640" w:rsidRPr="000F052B">
        <w:rPr>
          <w:rFonts w:ascii="Times New Roman" w:hAnsi="Times New Roman" w:cs="Times New Roman"/>
          <w:sz w:val="24"/>
          <w:szCs w:val="24"/>
          <w:lang w:val="en-US"/>
        </w:rPr>
        <w:lastRenderedPageBreak/>
        <w:t>of the</w:t>
      </w:r>
      <w:r w:rsidR="007D768C" w:rsidRPr="000F052B">
        <w:rPr>
          <w:rFonts w:ascii="Times New Roman" w:hAnsi="Times New Roman" w:cs="Times New Roman"/>
          <w:sz w:val="24"/>
          <w:szCs w:val="24"/>
          <w:lang w:val="en-US"/>
        </w:rPr>
        <w:t xml:space="preserve"> </w:t>
      </w:r>
      <w:r w:rsidR="007D768C" w:rsidRPr="000F052B">
        <w:rPr>
          <w:rFonts w:ascii="Times New Roman" w:hAnsi="Times New Roman" w:cs="Times New Roman"/>
          <w:i/>
          <w:sz w:val="24"/>
          <w:szCs w:val="24"/>
          <w:lang w:val="en-US"/>
        </w:rPr>
        <w:t>Law of Property Act</w:t>
      </w:r>
      <w:r w:rsidR="00070640" w:rsidRPr="000F052B">
        <w:rPr>
          <w:rFonts w:ascii="Times New Roman" w:hAnsi="Times New Roman" w:cs="Times New Roman"/>
          <w:sz w:val="24"/>
          <w:szCs w:val="24"/>
          <w:lang w:val="en-US"/>
        </w:rPr>
        <w:t xml:space="preserve"> (NT). </w:t>
      </w:r>
      <w:r w:rsidR="00397D59">
        <w:rPr>
          <w:rFonts w:ascii="Times New Roman" w:hAnsi="Times New Roman" w:cs="Times New Roman"/>
          <w:sz w:val="24"/>
          <w:szCs w:val="24"/>
          <w:lang w:val="en-US"/>
        </w:rPr>
        <w:t>Despite being the main Australian litigation centres,</w:t>
      </w:r>
      <w:r w:rsidR="00397D59" w:rsidRPr="00397D59">
        <w:rPr>
          <w:rFonts w:ascii="Times New Roman" w:hAnsi="Times New Roman" w:cs="Times New Roman"/>
          <w:sz w:val="24"/>
          <w:szCs w:val="24"/>
          <w:lang w:val="en-US"/>
        </w:rPr>
        <w:t xml:space="preserve"> N</w:t>
      </w:r>
      <w:r w:rsidR="00397D59">
        <w:rPr>
          <w:rFonts w:ascii="Times New Roman" w:hAnsi="Times New Roman" w:cs="Times New Roman"/>
          <w:sz w:val="24"/>
          <w:szCs w:val="24"/>
          <w:lang w:val="en-US"/>
        </w:rPr>
        <w:t>ew South Wales and Victoria</w:t>
      </w:r>
      <w:r w:rsidR="00397D59" w:rsidRPr="00397D59">
        <w:rPr>
          <w:rFonts w:ascii="Times New Roman" w:hAnsi="Times New Roman" w:cs="Times New Roman"/>
          <w:sz w:val="24"/>
          <w:szCs w:val="24"/>
          <w:lang w:val="en-US"/>
        </w:rPr>
        <w:t xml:space="preserve"> do not have statutes on privit</w:t>
      </w:r>
      <w:r w:rsidR="00397D59">
        <w:rPr>
          <w:rFonts w:ascii="Times New Roman" w:hAnsi="Times New Roman" w:cs="Times New Roman"/>
          <w:sz w:val="24"/>
          <w:szCs w:val="24"/>
          <w:lang w:val="en-US"/>
        </w:rPr>
        <w:t xml:space="preserve">y. </w:t>
      </w:r>
      <w:r w:rsidR="00EB797A" w:rsidRPr="000F052B">
        <w:rPr>
          <w:rFonts w:ascii="Times New Roman" w:hAnsi="Times New Roman" w:cs="Times New Roman"/>
          <w:sz w:val="24"/>
          <w:szCs w:val="24"/>
          <w:lang w:val="en-US"/>
        </w:rPr>
        <w:t>The ICA provision</w:t>
      </w:r>
      <w:r w:rsidR="008C7168" w:rsidRPr="000F052B">
        <w:rPr>
          <w:rFonts w:ascii="Times New Roman" w:hAnsi="Times New Roman" w:cs="Times New Roman"/>
          <w:sz w:val="24"/>
          <w:szCs w:val="24"/>
          <w:lang w:val="en-US"/>
        </w:rPr>
        <w:t>s</w:t>
      </w:r>
      <w:r w:rsidR="00EB797A" w:rsidRPr="000F052B">
        <w:rPr>
          <w:rFonts w:ascii="Times New Roman" w:hAnsi="Times New Roman" w:cs="Times New Roman"/>
          <w:sz w:val="24"/>
          <w:szCs w:val="24"/>
          <w:lang w:val="en-US"/>
        </w:rPr>
        <w:t xml:space="preserve"> will be discussed below in </w:t>
      </w:r>
      <w:r w:rsidR="008C7168" w:rsidRPr="000F052B">
        <w:rPr>
          <w:rFonts w:ascii="Times New Roman" w:hAnsi="Times New Roman" w:cs="Times New Roman"/>
          <w:sz w:val="24"/>
          <w:szCs w:val="24"/>
          <w:lang w:val="en-US"/>
        </w:rPr>
        <w:t>comparison with what is prescribed by local statutes for motor vehicle insurance contracts.</w:t>
      </w:r>
      <w:r w:rsidR="008C7168" w:rsidRPr="000F052B">
        <w:rPr>
          <w:rStyle w:val="FootnoteReference"/>
          <w:rFonts w:ascii="Times New Roman" w:hAnsi="Times New Roman" w:cs="Times New Roman"/>
          <w:sz w:val="24"/>
          <w:szCs w:val="24"/>
          <w:lang w:val="en-US"/>
        </w:rPr>
        <w:footnoteReference w:id="60"/>
      </w:r>
      <w:r w:rsidR="00264F9B" w:rsidRPr="000F052B">
        <w:rPr>
          <w:rFonts w:ascii="Times New Roman" w:hAnsi="Times New Roman" w:cs="Times New Roman"/>
          <w:sz w:val="24"/>
          <w:szCs w:val="24"/>
          <w:lang w:val="en-US"/>
        </w:rPr>
        <w:t xml:space="preserve"> W</w:t>
      </w:r>
      <w:r w:rsidR="00EB797A" w:rsidRPr="000F052B">
        <w:rPr>
          <w:rFonts w:ascii="Times New Roman" w:hAnsi="Times New Roman" w:cs="Times New Roman"/>
          <w:sz w:val="24"/>
          <w:szCs w:val="24"/>
          <w:lang w:val="en-US"/>
        </w:rPr>
        <w:t xml:space="preserve">ith respect to the other </w:t>
      </w:r>
      <w:r w:rsidR="00384E34" w:rsidRPr="000F052B">
        <w:rPr>
          <w:rFonts w:ascii="Times New Roman" w:hAnsi="Times New Roman" w:cs="Times New Roman"/>
          <w:sz w:val="24"/>
          <w:szCs w:val="24"/>
          <w:lang w:val="en-US"/>
        </w:rPr>
        <w:t>set of norms</w:t>
      </w:r>
      <w:r w:rsidR="00EB797A" w:rsidRPr="000F052B">
        <w:rPr>
          <w:rFonts w:ascii="Times New Roman" w:hAnsi="Times New Roman" w:cs="Times New Roman"/>
          <w:sz w:val="24"/>
          <w:szCs w:val="24"/>
          <w:lang w:val="en-US"/>
        </w:rPr>
        <w:t>, it should be noted that the Northern Territory Act is identical to that in Queensland in providing that a third party beneficiary can enforce a contractual promise if she has accepted it.</w:t>
      </w:r>
      <w:r w:rsidR="00B4608E" w:rsidRPr="000F052B">
        <w:rPr>
          <w:rStyle w:val="FootnoteReference"/>
          <w:rFonts w:ascii="Times New Roman" w:hAnsi="Times New Roman" w:cs="Times New Roman"/>
          <w:sz w:val="24"/>
          <w:szCs w:val="24"/>
          <w:lang w:val="en-US"/>
        </w:rPr>
        <w:footnoteReference w:id="61"/>
      </w:r>
      <w:r w:rsidR="00EB797A" w:rsidRPr="000F052B">
        <w:rPr>
          <w:rFonts w:ascii="Times New Roman" w:hAnsi="Times New Roman" w:cs="Times New Roman"/>
          <w:sz w:val="24"/>
          <w:szCs w:val="24"/>
          <w:lang w:val="en-US"/>
        </w:rPr>
        <w:t xml:space="preserve"> </w:t>
      </w:r>
      <w:r w:rsidR="0035606D">
        <w:rPr>
          <w:rFonts w:ascii="Times New Roman" w:hAnsi="Times New Roman" w:cs="Times New Roman"/>
          <w:sz w:val="24"/>
          <w:szCs w:val="24"/>
          <w:lang w:val="en-US"/>
        </w:rPr>
        <w:t>What is meant by “</w:t>
      </w:r>
      <w:r w:rsidR="00264F9B" w:rsidRPr="000F052B">
        <w:rPr>
          <w:rFonts w:ascii="Times New Roman" w:hAnsi="Times New Roman" w:cs="Times New Roman"/>
          <w:sz w:val="24"/>
          <w:szCs w:val="24"/>
          <w:lang w:val="en-US"/>
        </w:rPr>
        <w:t>acceptance</w:t>
      </w:r>
      <w:r w:rsidR="0035606D">
        <w:rPr>
          <w:rFonts w:ascii="Times New Roman" w:hAnsi="Times New Roman" w:cs="Times New Roman"/>
          <w:sz w:val="24"/>
          <w:szCs w:val="24"/>
          <w:lang w:val="en-US"/>
        </w:rPr>
        <w:t>”</w:t>
      </w:r>
      <w:r w:rsidR="00264F9B" w:rsidRPr="000F052B">
        <w:rPr>
          <w:rFonts w:ascii="Times New Roman" w:hAnsi="Times New Roman" w:cs="Times New Roman"/>
          <w:sz w:val="24"/>
          <w:szCs w:val="24"/>
          <w:lang w:val="en-US"/>
        </w:rPr>
        <w:t xml:space="preserve"> is defined in subsections (6) of both </w:t>
      </w:r>
      <w:r w:rsidR="00B4608E" w:rsidRPr="000F052B">
        <w:rPr>
          <w:rFonts w:ascii="Times New Roman" w:hAnsi="Times New Roman" w:cs="Times New Roman"/>
          <w:sz w:val="24"/>
          <w:szCs w:val="24"/>
          <w:lang w:val="en-US"/>
        </w:rPr>
        <w:t>norms</w:t>
      </w:r>
      <w:r w:rsidR="00536C49" w:rsidRPr="000F052B">
        <w:rPr>
          <w:rFonts w:ascii="Times New Roman" w:hAnsi="Times New Roman" w:cs="Times New Roman"/>
          <w:sz w:val="24"/>
          <w:szCs w:val="24"/>
          <w:lang w:val="en-US"/>
        </w:rPr>
        <w:t xml:space="preserve">. Most importantly, </w:t>
      </w:r>
      <w:r w:rsidR="00264F9B" w:rsidRPr="000F052B">
        <w:rPr>
          <w:rFonts w:ascii="Times New Roman" w:hAnsi="Times New Roman" w:cs="Times New Roman"/>
          <w:sz w:val="24"/>
          <w:szCs w:val="24"/>
          <w:lang w:val="en-US"/>
        </w:rPr>
        <w:t>co</w:t>
      </w:r>
      <w:r w:rsidR="00F227A3" w:rsidRPr="000F052B">
        <w:rPr>
          <w:rFonts w:ascii="Times New Roman" w:hAnsi="Times New Roman" w:cs="Times New Roman"/>
          <w:sz w:val="24"/>
          <w:szCs w:val="24"/>
          <w:lang w:val="en-US"/>
        </w:rPr>
        <w:t>nsideration need only move from the promisee</w:t>
      </w:r>
      <w:r w:rsidR="00264F9B" w:rsidRPr="000F052B">
        <w:rPr>
          <w:rFonts w:ascii="Times New Roman" w:hAnsi="Times New Roman" w:cs="Times New Roman"/>
          <w:sz w:val="24"/>
          <w:szCs w:val="24"/>
          <w:lang w:val="en-US"/>
        </w:rPr>
        <w:t xml:space="preserve">. </w:t>
      </w:r>
      <w:r w:rsidR="00B4608E" w:rsidRPr="000F052B">
        <w:rPr>
          <w:rFonts w:ascii="Times New Roman" w:hAnsi="Times New Roman" w:cs="Times New Roman"/>
          <w:sz w:val="24"/>
          <w:szCs w:val="24"/>
          <w:lang w:val="en-US"/>
        </w:rPr>
        <w:t xml:space="preserve">However, the </w:t>
      </w:r>
      <w:r w:rsidR="00536C49" w:rsidRPr="000F052B">
        <w:rPr>
          <w:rFonts w:ascii="Times New Roman" w:hAnsi="Times New Roman" w:cs="Times New Roman"/>
          <w:sz w:val="24"/>
          <w:szCs w:val="24"/>
          <w:lang w:val="en-US"/>
        </w:rPr>
        <w:t xml:space="preserve">promise must </w:t>
      </w:r>
      <w:r w:rsidR="00B4608E" w:rsidRPr="000F052B">
        <w:rPr>
          <w:rFonts w:ascii="Times New Roman" w:hAnsi="Times New Roman" w:cs="Times New Roman"/>
          <w:sz w:val="24"/>
          <w:szCs w:val="24"/>
          <w:lang w:val="en-US"/>
        </w:rPr>
        <w:t>create or appear to create a du</w:t>
      </w:r>
      <w:r w:rsidR="00D65745" w:rsidRPr="000F052B">
        <w:rPr>
          <w:rFonts w:ascii="Times New Roman" w:hAnsi="Times New Roman" w:cs="Times New Roman"/>
          <w:sz w:val="24"/>
          <w:szCs w:val="24"/>
          <w:lang w:val="en-US"/>
        </w:rPr>
        <w:t>ty enforceable by the</w:t>
      </w:r>
      <w:r w:rsidR="00A52EFD" w:rsidRPr="000F052B">
        <w:rPr>
          <w:rFonts w:ascii="Times New Roman" w:hAnsi="Times New Roman" w:cs="Times New Roman"/>
          <w:sz w:val="24"/>
          <w:szCs w:val="24"/>
          <w:lang w:val="en-US"/>
        </w:rPr>
        <w:t xml:space="preserve"> beneficiary</w:t>
      </w:r>
      <w:r w:rsidR="00B4608E" w:rsidRPr="000F052B">
        <w:rPr>
          <w:rFonts w:ascii="Times New Roman" w:hAnsi="Times New Roman" w:cs="Times New Roman"/>
          <w:sz w:val="24"/>
          <w:szCs w:val="24"/>
          <w:lang w:val="en-US"/>
        </w:rPr>
        <w:t>. This is in contrast</w:t>
      </w:r>
      <w:r w:rsidR="00536C49" w:rsidRPr="000F052B">
        <w:rPr>
          <w:rFonts w:ascii="Times New Roman" w:hAnsi="Times New Roman" w:cs="Times New Roman"/>
          <w:sz w:val="24"/>
          <w:szCs w:val="24"/>
          <w:lang w:val="en-US"/>
        </w:rPr>
        <w:t xml:space="preserve"> to what is stated in the Western Australian </w:t>
      </w:r>
      <w:r w:rsidR="00D65745" w:rsidRPr="000F052B">
        <w:rPr>
          <w:rFonts w:ascii="Times New Roman" w:hAnsi="Times New Roman" w:cs="Times New Roman"/>
          <w:sz w:val="24"/>
          <w:szCs w:val="24"/>
          <w:lang w:val="en-US"/>
        </w:rPr>
        <w:t>statute</w:t>
      </w:r>
      <w:r w:rsidR="00536C49" w:rsidRPr="000F052B">
        <w:rPr>
          <w:rFonts w:ascii="Times New Roman" w:hAnsi="Times New Roman" w:cs="Times New Roman"/>
          <w:sz w:val="24"/>
          <w:szCs w:val="24"/>
          <w:lang w:val="en-US"/>
        </w:rPr>
        <w:t xml:space="preserve">, where it is merely required that </w:t>
      </w:r>
      <w:r w:rsidR="00B4608E" w:rsidRPr="000F052B">
        <w:rPr>
          <w:rFonts w:ascii="Times New Roman" w:hAnsi="Times New Roman" w:cs="Times New Roman"/>
          <w:sz w:val="24"/>
          <w:szCs w:val="24"/>
          <w:lang w:val="en-US"/>
        </w:rPr>
        <w:t xml:space="preserve">the </w:t>
      </w:r>
      <w:r w:rsidR="00F227A3" w:rsidRPr="000F052B">
        <w:rPr>
          <w:rFonts w:ascii="Times New Roman" w:hAnsi="Times New Roman" w:cs="Times New Roman"/>
          <w:sz w:val="24"/>
          <w:szCs w:val="24"/>
          <w:lang w:val="en-US"/>
        </w:rPr>
        <w:t>contract</w:t>
      </w:r>
      <w:r w:rsidR="00B4608E" w:rsidRPr="000F052B">
        <w:rPr>
          <w:rFonts w:ascii="Times New Roman" w:hAnsi="Times New Roman" w:cs="Times New Roman"/>
          <w:sz w:val="24"/>
          <w:szCs w:val="24"/>
          <w:lang w:val="en-US"/>
        </w:rPr>
        <w:t xml:space="preserve"> </w:t>
      </w:r>
      <w:r w:rsidR="00536C49" w:rsidRPr="000F052B">
        <w:rPr>
          <w:rFonts w:ascii="Times New Roman" w:hAnsi="Times New Roman" w:cs="Times New Roman"/>
          <w:sz w:val="24"/>
          <w:szCs w:val="24"/>
          <w:lang w:val="en-US"/>
        </w:rPr>
        <w:t>confers</w:t>
      </w:r>
      <w:r w:rsidR="00B4608E" w:rsidRPr="000F052B">
        <w:rPr>
          <w:rFonts w:ascii="Times New Roman" w:hAnsi="Times New Roman" w:cs="Times New Roman"/>
          <w:sz w:val="24"/>
          <w:szCs w:val="24"/>
          <w:lang w:val="en-US"/>
        </w:rPr>
        <w:t xml:space="preserve"> a benefit to the </w:t>
      </w:r>
      <w:r w:rsidR="009E2820" w:rsidRPr="000F052B">
        <w:rPr>
          <w:rFonts w:ascii="Times New Roman" w:hAnsi="Times New Roman" w:cs="Times New Roman"/>
          <w:sz w:val="24"/>
          <w:szCs w:val="24"/>
          <w:lang w:val="en-US"/>
        </w:rPr>
        <w:t>non-signatory</w:t>
      </w:r>
      <w:r w:rsidR="00B4608E" w:rsidRPr="000F052B">
        <w:rPr>
          <w:rFonts w:ascii="Times New Roman" w:hAnsi="Times New Roman" w:cs="Times New Roman"/>
          <w:sz w:val="24"/>
          <w:szCs w:val="24"/>
          <w:lang w:val="en-US"/>
        </w:rPr>
        <w:t xml:space="preserve"> party.</w:t>
      </w:r>
      <w:r w:rsidR="00F227A3" w:rsidRPr="000F052B">
        <w:rPr>
          <w:rFonts w:ascii="Times New Roman" w:hAnsi="Times New Roman" w:cs="Times New Roman"/>
          <w:sz w:val="24"/>
          <w:szCs w:val="24"/>
          <w:lang w:val="en-US"/>
        </w:rPr>
        <w:t xml:space="preserve"> Importantly, according to s</w:t>
      </w:r>
      <w:r w:rsidR="0044327B">
        <w:rPr>
          <w:rFonts w:ascii="Times New Roman" w:hAnsi="Times New Roman" w:cs="Times New Roman"/>
          <w:sz w:val="24"/>
          <w:szCs w:val="24"/>
          <w:lang w:val="en-US"/>
        </w:rPr>
        <w:t>ection</w:t>
      </w:r>
      <w:r w:rsidR="00F227A3" w:rsidRPr="000F052B">
        <w:rPr>
          <w:rFonts w:ascii="Times New Roman" w:hAnsi="Times New Roman" w:cs="Times New Roman"/>
          <w:sz w:val="24"/>
          <w:szCs w:val="24"/>
          <w:lang w:val="en-US"/>
        </w:rPr>
        <w:t xml:space="preserve"> 11(2)(c)</w:t>
      </w:r>
      <w:r w:rsidR="00536C49" w:rsidRPr="000F052B">
        <w:rPr>
          <w:rFonts w:ascii="Times New Roman" w:hAnsi="Times New Roman" w:cs="Times New Roman"/>
          <w:sz w:val="24"/>
          <w:szCs w:val="24"/>
          <w:lang w:val="en-US"/>
        </w:rPr>
        <w:t xml:space="preserve"> of the Western Australia Act</w:t>
      </w:r>
      <w:r w:rsidR="00F227A3" w:rsidRPr="000F052B">
        <w:rPr>
          <w:rFonts w:ascii="Times New Roman" w:hAnsi="Times New Roman" w:cs="Times New Roman"/>
          <w:sz w:val="24"/>
          <w:szCs w:val="24"/>
          <w:lang w:val="en-US"/>
        </w:rPr>
        <w:t xml:space="preserve">, the </w:t>
      </w:r>
      <w:r w:rsidR="00536C49" w:rsidRPr="000F052B">
        <w:rPr>
          <w:rFonts w:ascii="Times New Roman" w:hAnsi="Times New Roman" w:cs="Times New Roman"/>
          <w:sz w:val="24"/>
          <w:szCs w:val="24"/>
          <w:lang w:val="en-US"/>
        </w:rPr>
        <w:t>third party beneficiary can only enforce the promise if ‘each person named as a party to the contract [is] joined as a pa</w:t>
      </w:r>
      <w:r w:rsidR="00302533">
        <w:rPr>
          <w:rFonts w:ascii="Times New Roman" w:hAnsi="Times New Roman" w:cs="Times New Roman"/>
          <w:sz w:val="24"/>
          <w:szCs w:val="24"/>
          <w:lang w:val="en-US"/>
        </w:rPr>
        <w:t>rty to the action or proceeding</w:t>
      </w:r>
      <w:r w:rsidR="00536C49"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00536C49" w:rsidRPr="000F052B">
        <w:rPr>
          <w:rFonts w:ascii="Times New Roman" w:hAnsi="Times New Roman" w:cs="Times New Roman"/>
          <w:sz w:val="24"/>
          <w:szCs w:val="24"/>
          <w:lang w:val="en-US"/>
        </w:rPr>
        <w:t xml:space="preserve"> </w:t>
      </w:r>
      <w:r w:rsidR="00F227A3" w:rsidRPr="000F052B">
        <w:rPr>
          <w:rFonts w:ascii="Times New Roman" w:hAnsi="Times New Roman" w:cs="Times New Roman"/>
          <w:sz w:val="24"/>
          <w:szCs w:val="24"/>
          <w:lang w:val="en-US"/>
        </w:rPr>
        <w:t>Finally, while there is no specific reference to the consideration requiremen</w:t>
      </w:r>
      <w:r w:rsidR="00C475FE" w:rsidRPr="000F052B">
        <w:rPr>
          <w:rFonts w:ascii="Times New Roman" w:hAnsi="Times New Roman" w:cs="Times New Roman"/>
          <w:sz w:val="24"/>
          <w:szCs w:val="24"/>
          <w:lang w:val="en-US"/>
        </w:rPr>
        <w:t>t, it is ‘obviously necessary’</w:t>
      </w:r>
      <w:r w:rsidR="00C475FE" w:rsidRPr="000F052B">
        <w:rPr>
          <w:rStyle w:val="FootnoteReference"/>
          <w:rFonts w:ascii="Times New Roman" w:hAnsi="Times New Roman" w:cs="Times New Roman"/>
          <w:sz w:val="24"/>
          <w:szCs w:val="24"/>
          <w:lang w:val="en-US"/>
        </w:rPr>
        <w:footnoteReference w:id="62"/>
      </w:r>
      <w:r w:rsidR="00F227A3" w:rsidRPr="000F052B">
        <w:rPr>
          <w:rFonts w:ascii="Times New Roman" w:hAnsi="Times New Roman" w:cs="Times New Roman"/>
          <w:sz w:val="24"/>
          <w:szCs w:val="24"/>
          <w:lang w:val="en-US"/>
        </w:rPr>
        <w:t xml:space="preserve"> that the promise must provide it.</w:t>
      </w:r>
      <w:r w:rsidR="004D267F" w:rsidRPr="000F052B">
        <w:rPr>
          <w:rFonts w:ascii="Times New Roman" w:hAnsi="Times New Roman" w:cs="Times New Roman"/>
          <w:sz w:val="24"/>
          <w:szCs w:val="24"/>
          <w:lang w:val="en-US"/>
        </w:rPr>
        <w:t xml:space="preserve"> The interrogative as to whether </w:t>
      </w:r>
      <w:r w:rsidR="00536C49" w:rsidRPr="000F052B">
        <w:rPr>
          <w:rFonts w:ascii="Times New Roman" w:hAnsi="Times New Roman" w:cs="Times New Roman"/>
          <w:sz w:val="24"/>
          <w:szCs w:val="24"/>
          <w:lang w:val="en-US"/>
        </w:rPr>
        <w:t>all these provisions also apply to</w:t>
      </w:r>
      <w:r w:rsidR="004D267F" w:rsidRPr="000F052B">
        <w:rPr>
          <w:rFonts w:ascii="Times New Roman" w:hAnsi="Times New Roman" w:cs="Times New Roman"/>
          <w:sz w:val="24"/>
          <w:szCs w:val="24"/>
          <w:lang w:val="en-US"/>
        </w:rPr>
        <w:t xml:space="preserve"> terms which are statutorily implied </w:t>
      </w:r>
      <w:r w:rsidR="00536C49" w:rsidRPr="000F052B">
        <w:rPr>
          <w:rFonts w:ascii="Times New Roman" w:hAnsi="Times New Roman" w:cs="Times New Roman"/>
          <w:sz w:val="24"/>
          <w:szCs w:val="24"/>
          <w:lang w:val="en-US"/>
        </w:rPr>
        <w:t xml:space="preserve">in the contract </w:t>
      </w:r>
      <w:r w:rsidR="004D267F" w:rsidRPr="000F052B">
        <w:rPr>
          <w:rFonts w:ascii="Times New Roman" w:hAnsi="Times New Roman" w:cs="Times New Roman"/>
          <w:sz w:val="24"/>
          <w:szCs w:val="24"/>
          <w:lang w:val="en-US"/>
        </w:rPr>
        <w:t>has been solved affirmatively by Australian courts.</w:t>
      </w:r>
      <w:r w:rsidR="004D267F" w:rsidRPr="000F052B">
        <w:rPr>
          <w:rStyle w:val="FootnoteReference"/>
          <w:rFonts w:ascii="Times New Roman" w:hAnsi="Times New Roman" w:cs="Times New Roman"/>
          <w:sz w:val="24"/>
          <w:szCs w:val="24"/>
          <w:lang w:val="en-US"/>
        </w:rPr>
        <w:footnoteReference w:id="63"/>
      </w:r>
    </w:p>
    <w:p w14:paraId="05230EFC" w14:textId="56DD9C6B" w:rsidR="008B255A" w:rsidRPr="000F052B" w:rsidRDefault="002718E9"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Scholars tend to agree that other statutory provisions, </w:t>
      </w:r>
      <w:r w:rsidR="008B255A" w:rsidRPr="000F052B">
        <w:rPr>
          <w:rFonts w:ascii="Times New Roman" w:hAnsi="Times New Roman" w:cs="Times New Roman"/>
          <w:sz w:val="24"/>
          <w:szCs w:val="24"/>
          <w:lang w:val="en-US"/>
        </w:rPr>
        <w:t xml:space="preserve">such as Division 2 </w:t>
      </w:r>
      <w:r w:rsidR="00E354BF" w:rsidRPr="000F052B">
        <w:rPr>
          <w:rFonts w:ascii="Times New Roman" w:hAnsi="Times New Roman" w:cs="Times New Roman"/>
          <w:sz w:val="24"/>
          <w:szCs w:val="24"/>
          <w:lang w:val="en-US"/>
        </w:rPr>
        <w:t>o</w:t>
      </w:r>
      <w:r w:rsidR="00E354BF">
        <w:rPr>
          <w:rFonts w:ascii="Times New Roman" w:hAnsi="Times New Roman" w:cs="Times New Roman"/>
          <w:sz w:val="24"/>
          <w:szCs w:val="24"/>
          <w:lang w:val="en-US"/>
        </w:rPr>
        <w:t>f</w:t>
      </w:r>
      <w:r w:rsidR="00B65D37">
        <w:rPr>
          <w:rFonts w:ascii="Times New Roman" w:hAnsi="Times New Roman" w:cs="Times New Roman"/>
          <w:sz w:val="24"/>
          <w:szCs w:val="24"/>
          <w:lang w:val="en-US"/>
        </w:rPr>
        <w:t xml:space="preserve"> </w:t>
      </w:r>
      <w:r w:rsidR="008B255A" w:rsidRPr="000F052B">
        <w:rPr>
          <w:rFonts w:ascii="Times New Roman" w:hAnsi="Times New Roman" w:cs="Times New Roman"/>
          <w:sz w:val="24"/>
          <w:szCs w:val="24"/>
          <w:lang w:val="en-US"/>
        </w:rPr>
        <w:t xml:space="preserve">Part 5-4 of the </w:t>
      </w:r>
      <w:r w:rsidR="008B255A" w:rsidRPr="000F052B">
        <w:rPr>
          <w:rFonts w:ascii="Times New Roman" w:hAnsi="Times New Roman" w:cs="Times New Roman"/>
          <w:i/>
          <w:sz w:val="24"/>
          <w:szCs w:val="24"/>
          <w:lang w:val="en-US"/>
        </w:rPr>
        <w:t>Australian Consumer Law</w:t>
      </w:r>
      <w:r w:rsidRPr="000F052B">
        <w:rPr>
          <w:rFonts w:ascii="Times New Roman" w:hAnsi="Times New Roman" w:cs="Times New Roman"/>
          <w:sz w:val="24"/>
          <w:szCs w:val="24"/>
          <w:lang w:val="en-US"/>
        </w:rPr>
        <w:t xml:space="preserve">, </w:t>
      </w:r>
      <w:r w:rsidR="00E46A08" w:rsidRPr="000F052B">
        <w:rPr>
          <w:rFonts w:ascii="Times New Roman" w:hAnsi="Times New Roman" w:cs="Times New Roman"/>
          <w:sz w:val="24"/>
          <w:szCs w:val="24"/>
          <w:lang w:val="en-US"/>
        </w:rPr>
        <w:t xml:space="preserve">introduced in 2010, </w:t>
      </w:r>
      <w:r w:rsidR="008B255A" w:rsidRPr="000F052B">
        <w:rPr>
          <w:rFonts w:ascii="Times New Roman" w:hAnsi="Times New Roman" w:cs="Times New Roman"/>
          <w:sz w:val="24"/>
          <w:szCs w:val="24"/>
          <w:lang w:val="en-US"/>
        </w:rPr>
        <w:t xml:space="preserve">or those in the </w:t>
      </w:r>
      <w:r w:rsidR="008B255A" w:rsidRPr="000F052B">
        <w:rPr>
          <w:rFonts w:ascii="Times New Roman" w:hAnsi="Times New Roman" w:cs="Times New Roman"/>
          <w:i/>
          <w:sz w:val="24"/>
          <w:szCs w:val="24"/>
          <w:lang w:val="en-US"/>
        </w:rPr>
        <w:t>Bill of Exchange Act 1909</w:t>
      </w:r>
      <w:r w:rsidR="008B255A" w:rsidRPr="000F052B">
        <w:rPr>
          <w:rFonts w:ascii="Times New Roman" w:hAnsi="Times New Roman" w:cs="Times New Roman"/>
          <w:sz w:val="24"/>
          <w:szCs w:val="24"/>
          <w:lang w:val="en-US"/>
        </w:rPr>
        <w:t xml:space="preserve"> (Cth), the </w:t>
      </w:r>
      <w:r w:rsidR="008B255A" w:rsidRPr="000F052B">
        <w:rPr>
          <w:rFonts w:ascii="Times New Roman" w:hAnsi="Times New Roman" w:cs="Times New Roman"/>
          <w:i/>
          <w:sz w:val="24"/>
          <w:szCs w:val="24"/>
          <w:lang w:val="en-US"/>
        </w:rPr>
        <w:t>Cheques Act 1986</w:t>
      </w:r>
      <w:r w:rsidR="008B255A" w:rsidRPr="000F052B">
        <w:rPr>
          <w:rFonts w:ascii="Times New Roman" w:hAnsi="Times New Roman" w:cs="Times New Roman"/>
          <w:sz w:val="24"/>
          <w:szCs w:val="24"/>
          <w:lang w:val="en-US"/>
        </w:rPr>
        <w:t xml:space="preserve"> (Cth), and </w:t>
      </w:r>
      <w:r w:rsidR="009A180F" w:rsidRPr="000F052B">
        <w:rPr>
          <w:rFonts w:ascii="Times New Roman" w:hAnsi="Times New Roman" w:cs="Times New Roman"/>
          <w:sz w:val="24"/>
          <w:szCs w:val="24"/>
          <w:lang w:val="en-US"/>
        </w:rPr>
        <w:t xml:space="preserve">the </w:t>
      </w:r>
      <w:r w:rsidR="008B255A" w:rsidRPr="000F052B">
        <w:rPr>
          <w:rFonts w:ascii="Times New Roman" w:hAnsi="Times New Roman" w:cs="Times New Roman"/>
          <w:sz w:val="24"/>
          <w:szCs w:val="24"/>
          <w:lang w:val="en-US"/>
        </w:rPr>
        <w:t>various Sea-Carriage Document Acts</w:t>
      </w:r>
      <w:r w:rsidR="004817ED"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do not represent </w:t>
      </w:r>
      <w:r w:rsidR="008B255A" w:rsidRPr="000F052B">
        <w:rPr>
          <w:rFonts w:ascii="Times New Roman" w:hAnsi="Times New Roman" w:cs="Times New Roman"/>
          <w:sz w:val="24"/>
          <w:szCs w:val="24"/>
          <w:lang w:val="en-US"/>
        </w:rPr>
        <w:t>exceptions</w:t>
      </w:r>
      <w:r w:rsidRPr="000F052B">
        <w:rPr>
          <w:rFonts w:ascii="Times New Roman" w:hAnsi="Times New Roman" w:cs="Times New Roman"/>
          <w:sz w:val="24"/>
          <w:szCs w:val="24"/>
          <w:lang w:val="en-US"/>
        </w:rPr>
        <w:t xml:space="preserve"> to the privity rule</w:t>
      </w:r>
      <w:r w:rsidR="00E46A08" w:rsidRPr="000F052B">
        <w:rPr>
          <w:rFonts w:ascii="Times New Roman" w:hAnsi="Times New Roman" w:cs="Times New Roman"/>
          <w:sz w:val="24"/>
          <w:szCs w:val="24"/>
          <w:lang w:val="en-US"/>
        </w:rPr>
        <w:t xml:space="preserve"> in the strict sense of the term</w:t>
      </w:r>
      <w:r w:rsidRPr="000F052B">
        <w:rPr>
          <w:rFonts w:ascii="Times New Roman" w:hAnsi="Times New Roman" w:cs="Times New Roman"/>
          <w:sz w:val="24"/>
          <w:szCs w:val="24"/>
          <w:lang w:val="en-US"/>
        </w:rPr>
        <w:t xml:space="preserve">. The argument put forward </w:t>
      </w:r>
      <w:r w:rsidRPr="000F052B">
        <w:rPr>
          <w:rFonts w:ascii="Times New Roman" w:hAnsi="Times New Roman" w:cs="Times New Roman"/>
          <w:sz w:val="24"/>
          <w:szCs w:val="24"/>
          <w:lang w:val="en-US"/>
        </w:rPr>
        <w:lastRenderedPageBreak/>
        <w:t>is that ‘the right being enforced is a statutory one, not one created by a contract’</w:t>
      </w:r>
      <w:r w:rsidR="00302533">
        <w:rPr>
          <w:rFonts w:ascii="Times New Roman" w:hAnsi="Times New Roman" w:cs="Times New Roman"/>
          <w:sz w:val="24"/>
          <w:szCs w:val="24"/>
          <w:lang w:val="en-US"/>
        </w:rPr>
        <w:t>.</w:t>
      </w:r>
      <w:r w:rsidR="00F3328B" w:rsidRPr="000F052B">
        <w:rPr>
          <w:rStyle w:val="FootnoteReference"/>
          <w:rFonts w:ascii="Times New Roman" w:hAnsi="Times New Roman" w:cs="Times New Roman"/>
          <w:sz w:val="24"/>
          <w:szCs w:val="24"/>
          <w:lang w:val="en-US"/>
        </w:rPr>
        <w:footnoteReference w:id="64"/>
      </w:r>
      <w:r w:rsidR="00F3328B"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While sound, in </w:t>
      </w:r>
      <w:r w:rsidR="000D5CC1" w:rsidRPr="000F052B">
        <w:rPr>
          <w:rFonts w:ascii="Times New Roman" w:hAnsi="Times New Roman" w:cs="Times New Roman"/>
          <w:sz w:val="24"/>
          <w:szCs w:val="24"/>
          <w:lang w:val="en-US"/>
        </w:rPr>
        <w:t>our opinion</w:t>
      </w:r>
      <w:r w:rsidRPr="000F052B">
        <w:rPr>
          <w:rFonts w:ascii="Times New Roman" w:hAnsi="Times New Roman" w:cs="Times New Roman"/>
          <w:sz w:val="24"/>
          <w:szCs w:val="24"/>
          <w:lang w:val="en-US"/>
        </w:rPr>
        <w:t xml:space="preserve"> </w:t>
      </w:r>
      <w:r w:rsidR="00055E81" w:rsidRPr="000F052B">
        <w:rPr>
          <w:rFonts w:ascii="Times New Roman" w:hAnsi="Times New Roman" w:cs="Times New Roman"/>
          <w:sz w:val="24"/>
          <w:szCs w:val="24"/>
          <w:lang w:val="en-US"/>
        </w:rPr>
        <w:t xml:space="preserve">this view </w:t>
      </w:r>
      <w:r w:rsidR="009A180F" w:rsidRPr="000F052B">
        <w:rPr>
          <w:rFonts w:ascii="Times New Roman" w:hAnsi="Times New Roman" w:cs="Times New Roman"/>
          <w:sz w:val="24"/>
          <w:szCs w:val="24"/>
          <w:lang w:val="en-US"/>
        </w:rPr>
        <w:t>renders exceptional measures erroneously dependen</w:t>
      </w:r>
      <w:r w:rsidR="00CF4D50" w:rsidRPr="000F052B">
        <w:rPr>
          <w:rFonts w:ascii="Times New Roman" w:hAnsi="Times New Roman" w:cs="Times New Roman"/>
          <w:sz w:val="24"/>
          <w:szCs w:val="24"/>
          <w:lang w:val="en-US"/>
        </w:rPr>
        <w:t>t on the nature of their source</w:t>
      </w:r>
      <w:r w:rsidR="00E46A08" w:rsidRPr="000F052B">
        <w:rPr>
          <w:rFonts w:ascii="Times New Roman" w:hAnsi="Times New Roman" w:cs="Times New Roman"/>
          <w:sz w:val="24"/>
          <w:szCs w:val="24"/>
          <w:lang w:val="en-US"/>
        </w:rPr>
        <w:t>, in so failing</w:t>
      </w:r>
      <w:r w:rsidR="008B255A" w:rsidRPr="000F052B">
        <w:rPr>
          <w:rFonts w:ascii="Times New Roman" w:hAnsi="Times New Roman" w:cs="Times New Roman"/>
          <w:sz w:val="24"/>
          <w:szCs w:val="24"/>
          <w:lang w:val="en-US"/>
        </w:rPr>
        <w:t xml:space="preserve"> to recogni</w:t>
      </w:r>
      <w:r w:rsidR="0044327B">
        <w:rPr>
          <w:rFonts w:ascii="Times New Roman" w:hAnsi="Times New Roman" w:cs="Times New Roman"/>
          <w:sz w:val="24"/>
          <w:szCs w:val="24"/>
          <w:lang w:val="en-US"/>
        </w:rPr>
        <w:t>z</w:t>
      </w:r>
      <w:r w:rsidR="008B255A" w:rsidRPr="000F052B">
        <w:rPr>
          <w:rFonts w:ascii="Times New Roman" w:hAnsi="Times New Roman" w:cs="Times New Roman"/>
          <w:sz w:val="24"/>
          <w:szCs w:val="24"/>
          <w:lang w:val="en-US"/>
        </w:rPr>
        <w:t xml:space="preserve">e that, from a theoretical perspective, exceptions </w:t>
      </w:r>
      <w:r w:rsidR="00E46A08" w:rsidRPr="000F052B">
        <w:rPr>
          <w:rFonts w:ascii="Times New Roman" w:hAnsi="Times New Roman" w:cs="Times New Roman"/>
          <w:sz w:val="24"/>
          <w:szCs w:val="24"/>
          <w:lang w:val="en-US"/>
        </w:rPr>
        <w:t xml:space="preserve">may </w:t>
      </w:r>
      <w:r w:rsidR="000D5CC1" w:rsidRPr="000F052B">
        <w:rPr>
          <w:rFonts w:ascii="Times New Roman" w:hAnsi="Times New Roman" w:cs="Times New Roman"/>
          <w:sz w:val="24"/>
          <w:szCs w:val="24"/>
          <w:lang w:val="en-US"/>
        </w:rPr>
        <w:t xml:space="preserve">well be </w:t>
      </w:r>
      <w:r w:rsidR="008B255A" w:rsidRPr="000F052B">
        <w:rPr>
          <w:rFonts w:ascii="Times New Roman" w:hAnsi="Times New Roman" w:cs="Times New Roman"/>
          <w:sz w:val="24"/>
          <w:szCs w:val="24"/>
          <w:lang w:val="en-US"/>
        </w:rPr>
        <w:t xml:space="preserve">introduced by statutory means. </w:t>
      </w:r>
      <w:r w:rsidR="00E46A08" w:rsidRPr="000F052B">
        <w:rPr>
          <w:rFonts w:ascii="Times New Roman" w:hAnsi="Times New Roman" w:cs="Times New Roman"/>
          <w:sz w:val="24"/>
          <w:szCs w:val="24"/>
          <w:lang w:val="en-US"/>
        </w:rPr>
        <w:t>And indeed, this is the case in Common, Civil, and mixed legal jurisdictions</w:t>
      </w:r>
      <w:r w:rsidR="00CF4D50" w:rsidRPr="000F052B">
        <w:rPr>
          <w:rFonts w:ascii="Times New Roman" w:hAnsi="Times New Roman" w:cs="Times New Roman"/>
          <w:sz w:val="24"/>
          <w:szCs w:val="24"/>
          <w:lang w:val="en-US"/>
        </w:rPr>
        <w:t xml:space="preserve"> alike</w:t>
      </w:r>
      <w:r w:rsidR="00E46A08" w:rsidRPr="000F052B">
        <w:rPr>
          <w:rFonts w:ascii="Times New Roman" w:hAnsi="Times New Roman" w:cs="Times New Roman"/>
          <w:sz w:val="24"/>
          <w:szCs w:val="24"/>
          <w:lang w:val="en-US"/>
        </w:rPr>
        <w:t xml:space="preserve">. </w:t>
      </w:r>
      <w:r w:rsidR="004817ED" w:rsidRPr="000F052B">
        <w:rPr>
          <w:rFonts w:ascii="Times New Roman" w:hAnsi="Times New Roman" w:cs="Times New Roman"/>
          <w:sz w:val="24"/>
          <w:szCs w:val="24"/>
          <w:lang w:val="en-US"/>
        </w:rPr>
        <w:t>Yet this should not lead us to conclude that the doctrine of privity no longer operates in Australia: as is the case with every exception, the above-listed ones merely create peculiar zones of inoperativity, in so confirming that the privity rule continues to apply to all the scenarios which do not fall within their purview.</w:t>
      </w:r>
    </w:p>
    <w:p w14:paraId="2E71D2A0" w14:textId="3F3DEBDB" w:rsidR="00EF3379" w:rsidRPr="000F052B" w:rsidRDefault="0008799D" w:rsidP="00EF3379">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Apart from statutory exceptions, the common law has </w:t>
      </w:r>
      <w:r w:rsidR="00FD0C31" w:rsidRPr="000F052B">
        <w:rPr>
          <w:rFonts w:ascii="Times New Roman" w:hAnsi="Times New Roman" w:cs="Times New Roman"/>
          <w:sz w:val="24"/>
          <w:szCs w:val="24"/>
          <w:lang w:val="en-US"/>
        </w:rPr>
        <w:t>recognized</w:t>
      </w:r>
      <w:r w:rsidRPr="000F052B">
        <w:rPr>
          <w:rFonts w:ascii="Times New Roman" w:hAnsi="Times New Roman" w:cs="Times New Roman"/>
          <w:sz w:val="24"/>
          <w:szCs w:val="24"/>
          <w:lang w:val="en-US"/>
        </w:rPr>
        <w:t xml:space="preserve"> a whole series of </w:t>
      </w:r>
      <w:r w:rsidR="00A13D1D" w:rsidRPr="000F052B">
        <w:rPr>
          <w:rFonts w:ascii="Times New Roman" w:hAnsi="Times New Roman" w:cs="Times New Roman"/>
          <w:sz w:val="24"/>
          <w:szCs w:val="24"/>
          <w:lang w:val="en-US"/>
        </w:rPr>
        <w:t>situations</w:t>
      </w:r>
      <w:r w:rsidRPr="000F052B">
        <w:rPr>
          <w:rFonts w:ascii="Times New Roman" w:hAnsi="Times New Roman" w:cs="Times New Roman"/>
          <w:sz w:val="24"/>
          <w:szCs w:val="24"/>
          <w:lang w:val="en-US"/>
        </w:rPr>
        <w:t xml:space="preserve"> where the privity rule ought to be displaced. </w:t>
      </w:r>
      <w:r w:rsidR="00EF3379" w:rsidRPr="000F052B">
        <w:rPr>
          <w:rFonts w:ascii="Times New Roman" w:hAnsi="Times New Roman" w:cs="Times New Roman"/>
          <w:sz w:val="24"/>
          <w:szCs w:val="24"/>
          <w:lang w:val="en-US"/>
        </w:rPr>
        <w:t xml:space="preserve">In this sense, it is worth noting that already in 1915 the High Court has argued for the necessity of keeping the privity doctrine and the rule that consideration must </w:t>
      </w:r>
      <w:r w:rsidR="0044327B">
        <w:rPr>
          <w:rFonts w:ascii="Times New Roman" w:hAnsi="Times New Roman" w:cs="Times New Roman"/>
          <w:sz w:val="24"/>
          <w:szCs w:val="24"/>
          <w:lang w:val="en-US"/>
        </w:rPr>
        <w:t>move</w:t>
      </w:r>
      <w:r w:rsidR="00EF3379" w:rsidRPr="000F052B">
        <w:rPr>
          <w:rFonts w:ascii="Times New Roman" w:hAnsi="Times New Roman" w:cs="Times New Roman"/>
          <w:sz w:val="24"/>
          <w:szCs w:val="24"/>
          <w:lang w:val="en-US"/>
        </w:rPr>
        <w:t xml:space="preserve"> from the promisee apart.   This has been done by sharing Viscount Haldane’s judgement in </w:t>
      </w:r>
      <w:r w:rsidR="00EF3379" w:rsidRPr="000F052B">
        <w:rPr>
          <w:rFonts w:ascii="Times New Roman" w:hAnsi="Times New Roman" w:cs="Times New Roman"/>
          <w:i/>
          <w:sz w:val="24"/>
          <w:szCs w:val="24"/>
          <w:lang w:val="en-US"/>
        </w:rPr>
        <w:t>Dunlop Pneumatic Tyre Company Ltd v Selfridge</w:t>
      </w:r>
      <w:r w:rsidR="00EF3379" w:rsidRPr="000F052B">
        <w:rPr>
          <w:rFonts w:ascii="Times New Roman" w:hAnsi="Times New Roman" w:cs="Times New Roman"/>
          <w:sz w:val="24"/>
          <w:szCs w:val="24"/>
          <w:lang w:val="en-US"/>
        </w:rPr>
        <w:t>.</w:t>
      </w:r>
      <w:r w:rsidR="00EF3379" w:rsidRPr="000F052B">
        <w:rPr>
          <w:rStyle w:val="FootnoteReference"/>
          <w:rFonts w:ascii="Times New Roman" w:hAnsi="Times New Roman" w:cs="Times New Roman"/>
          <w:sz w:val="24"/>
          <w:szCs w:val="24"/>
          <w:lang w:val="en-US"/>
        </w:rPr>
        <w:footnoteReference w:id="65"/>
      </w:r>
      <w:r w:rsidR="00EF3379"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T</w:t>
      </w:r>
      <w:r w:rsidR="000C2694" w:rsidRPr="000F052B">
        <w:rPr>
          <w:rFonts w:ascii="Times New Roman" w:hAnsi="Times New Roman" w:cs="Times New Roman"/>
          <w:sz w:val="24"/>
          <w:szCs w:val="24"/>
          <w:lang w:val="en-US"/>
        </w:rPr>
        <w:t xml:space="preserve">he cases of </w:t>
      </w:r>
      <w:r w:rsidR="00EF3379" w:rsidRPr="000F052B">
        <w:rPr>
          <w:rFonts w:ascii="Times New Roman" w:hAnsi="Times New Roman" w:cs="Times New Roman"/>
          <w:i/>
          <w:sz w:val="24"/>
          <w:szCs w:val="24"/>
          <w:lang w:val="en-US"/>
        </w:rPr>
        <w:t>Port Jackson Stevedoring Pty Ltd v Salmon &amp; Spraggon (Aust) Pty Ltd,</w:t>
      </w:r>
      <w:r w:rsidR="00EF3379" w:rsidRPr="000F052B">
        <w:rPr>
          <w:rStyle w:val="FootnoteReference"/>
          <w:rFonts w:ascii="Times New Roman" w:hAnsi="Times New Roman" w:cs="Times New Roman"/>
          <w:sz w:val="24"/>
          <w:szCs w:val="24"/>
          <w:lang w:val="en-US"/>
        </w:rPr>
        <w:footnoteReference w:id="66"/>
      </w:r>
      <w:r w:rsidR="000C2694" w:rsidRPr="000F052B">
        <w:rPr>
          <w:rFonts w:ascii="Times New Roman" w:hAnsi="Times New Roman" w:cs="Times New Roman"/>
          <w:i/>
          <w:sz w:val="24"/>
          <w:szCs w:val="24"/>
          <w:lang w:val="en-US"/>
        </w:rPr>
        <w:t>Waltons Stores (Interstate) Ltd v Maher</w:t>
      </w:r>
      <w:r w:rsidR="00EF3379" w:rsidRPr="000F052B">
        <w:rPr>
          <w:rFonts w:ascii="Times New Roman" w:hAnsi="Times New Roman" w:cs="Times New Roman"/>
          <w:sz w:val="24"/>
          <w:szCs w:val="24"/>
          <w:lang w:val="en-US"/>
        </w:rPr>
        <w:t>,</w:t>
      </w:r>
      <w:r w:rsidR="000C2694" w:rsidRPr="000F052B">
        <w:rPr>
          <w:rStyle w:val="FootnoteReference"/>
          <w:rFonts w:ascii="Times New Roman" w:hAnsi="Times New Roman" w:cs="Times New Roman"/>
          <w:sz w:val="24"/>
          <w:szCs w:val="24"/>
          <w:lang w:val="en-US"/>
        </w:rPr>
        <w:footnoteReference w:id="67"/>
      </w:r>
      <w:r w:rsidR="00EF3379" w:rsidRPr="000F052B">
        <w:rPr>
          <w:rFonts w:ascii="Times New Roman" w:hAnsi="Times New Roman" w:cs="Times New Roman"/>
          <w:sz w:val="24"/>
          <w:szCs w:val="24"/>
          <w:lang w:val="en-US"/>
        </w:rPr>
        <w:t xml:space="preserve"> </w:t>
      </w:r>
      <w:r w:rsidR="007167A1" w:rsidRPr="000F052B">
        <w:rPr>
          <w:rFonts w:ascii="Times New Roman" w:hAnsi="Times New Roman" w:cs="Times New Roman"/>
          <w:i/>
          <w:sz w:val="24"/>
          <w:szCs w:val="24"/>
          <w:lang w:val="en-US"/>
        </w:rPr>
        <w:t>Trident General Insurance Co Ltd v McNiece Bros Pty Ltd</w:t>
      </w:r>
      <w:r w:rsidR="00EF3379" w:rsidRPr="000F052B">
        <w:rPr>
          <w:rFonts w:ascii="Times New Roman" w:hAnsi="Times New Roman" w:cs="Times New Roman"/>
          <w:sz w:val="24"/>
          <w:szCs w:val="24"/>
          <w:lang w:val="en-US"/>
        </w:rPr>
        <w:t>,</w:t>
      </w:r>
      <w:r w:rsidR="007167A1" w:rsidRPr="000F052B">
        <w:rPr>
          <w:rStyle w:val="FootnoteReference"/>
          <w:rFonts w:ascii="Times New Roman" w:hAnsi="Times New Roman" w:cs="Times New Roman"/>
          <w:sz w:val="24"/>
          <w:szCs w:val="24"/>
          <w:lang w:val="en-US"/>
        </w:rPr>
        <w:footnoteReference w:id="68"/>
      </w:r>
      <w:r w:rsidR="007167A1"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are the most relevant for our purposes.</w:t>
      </w:r>
      <w:r w:rsidRPr="000F052B">
        <w:rPr>
          <w:rStyle w:val="FootnoteReference"/>
          <w:rFonts w:ascii="Times New Roman" w:hAnsi="Times New Roman" w:cs="Times New Roman"/>
          <w:sz w:val="24"/>
          <w:szCs w:val="24"/>
          <w:lang w:val="en-US"/>
        </w:rPr>
        <w:footnoteReference w:id="69"/>
      </w:r>
      <w:r w:rsidRPr="000F052B">
        <w:rPr>
          <w:rFonts w:ascii="Times New Roman" w:hAnsi="Times New Roman" w:cs="Times New Roman"/>
          <w:sz w:val="24"/>
          <w:szCs w:val="24"/>
          <w:lang w:val="en-US"/>
        </w:rPr>
        <w:t xml:space="preserve"> </w:t>
      </w:r>
    </w:p>
    <w:p w14:paraId="094052E6" w14:textId="614FC5B3" w:rsidR="00EF3379" w:rsidRPr="000F052B" w:rsidRDefault="00EF3379" w:rsidP="00EF3379">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In </w:t>
      </w:r>
      <w:r w:rsidRPr="000F052B">
        <w:rPr>
          <w:rFonts w:ascii="Times New Roman" w:hAnsi="Times New Roman" w:cs="Times New Roman"/>
          <w:i/>
          <w:sz w:val="24"/>
          <w:szCs w:val="24"/>
          <w:lang w:val="en-US"/>
        </w:rPr>
        <w:t>Port Jackson Stevedoring</w:t>
      </w:r>
      <w:r w:rsidRPr="000F052B">
        <w:rPr>
          <w:rFonts w:ascii="Times New Roman" w:hAnsi="Times New Roman" w:cs="Times New Roman"/>
          <w:sz w:val="24"/>
          <w:szCs w:val="24"/>
          <w:lang w:val="en-US"/>
        </w:rPr>
        <w:t>, it was held that a promise to perform an existing contractual obligation to a third party is good consideration. Unsurprisingly, this decision has received a considerable amount of attention in contract law literature.</w:t>
      </w:r>
      <w:r w:rsidRPr="000F052B">
        <w:rPr>
          <w:rStyle w:val="FootnoteReference"/>
          <w:rFonts w:ascii="Times New Roman" w:hAnsi="Times New Roman" w:cs="Times New Roman"/>
          <w:sz w:val="24"/>
          <w:szCs w:val="24"/>
          <w:lang w:val="en-US"/>
        </w:rPr>
        <w:footnoteReference w:id="70"/>
      </w:r>
      <w:r w:rsidRPr="000F052B">
        <w:rPr>
          <w:rFonts w:ascii="Times New Roman" w:hAnsi="Times New Roman" w:cs="Times New Roman"/>
          <w:sz w:val="24"/>
          <w:szCs w:val="24"/>
          <w:lang w:val="en-US"/>
        </w:rPr>
        <w:t xml:space="preserve"> Given the scope of our analysis, of particular interest are the two rationales of this rule suggested by Willmott et al: </w:t>
      </w:r>
      <w:r w:rsidRPr="000F052B">
        <w:rPr>
          <w:rFonts w:ascii="Times New Roman" w:hAnsi="Times New Roman" w:cs="Times New Roman"/>
          <w:sz w:val="24"/>
          <w:szCs w:val="24"/>
          <w:lang w:val="en-US"/>
        </w:rPr>
        <w:lastRenderedPageBreak/>
        <w:t>‘[f]irst, it may be of benefit for the promisor . . . to ensure that the original agreement is carried out. . . . Second, although the promise . . . may be contractually bound to perform the original agreement, by entering into the subsequent agreement, he or she incurs further liability to the promisor . . . if the first agreemen</w:t>
      </w:r>
      <w:r w:rsidR="00302533">
        <w:rPr>
          <w:rFonts w:ascii="Times New Roman" w:hAnsi="Times New Roman" w:cs="Times New Roman"/>
          <w:sz w:val="24"/>
          <w:szCs w:val="24"/>
          <w:lang w:val="en-US"/>
        </w:rPr>
        <w:t>t is not performed</w:t>
      </w:r>
      <w:r w:rsidR="003E5C20"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003E5C20" w:rsidRPr="000F052B">
        <w:rPr>
          <w:rStyle w:val="FootnoteReference"/>
          <w:rFonts w:ascii="Times New Roman" w:hAnsi="Times New Roman" w:cs="Times New Roman"/>
          <w:sz w:val="24"/>
          <w:szCs w:val="24"/>
          <w:lang w:val="en-US"/>
        </w:rPr>
        <w:footnoteReference w:id="71"/>
      </w:r>
    </w:p>
    <w:p w14:paraId="48F6F62D" w14:textId="185DA3F6" w:rsidR="003E5C20" w:rsidRPr="000F052B" w:rsidRDefault="003E5C20" w:rsidP="00EF3379">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In </w:t>
      </w:r>
      <w:r w:rsidR="00EF3379" w:rsidRPr="000F052B">
        <w:rPr>
          <w:rFonts w:ascii="Times New Roman" w:hAnsi="Times New Roman" w:cs="Times New Roman"/>
          <w:i/>
          <w:sz w:val="24"/>
          <w:szCs w:val="24"/>
          <w:lang w:val="en-US"/>
        </w:rPr>
        <w:t>Waltons Stores</w:t>
      </w:r>
      <w:r w:rsidR="000C2694" w:rsidRPr="000F052B">
        <w:rPr>
          <w:rFonts w:ascii="Times New Roman" w:hAnsi="Times New Roman" w:cs="Times New Roman"/>
          <w:sz w:val="24"/>
          <w:szCs w:val="24"/>
          <w:lang w:val="en-US"/>
        </w:rPr>
        <w:t>,</w:t>
      </w:r>
      <w:r w:rsidR="00D51589">
        <w:rPr>
          <w:rStyle w:val="FootnoteReference"/>
          <w:rFonts w:ascii="Times New Roman" w:hAnsi="Times New Roman" w:cs="Times New Roman"/>
          <w:sz w:val="24"/>
          <w:szCs w:val="24"/>
          <w:lang w:val="en-US"/>
        </w:rPr>
        <w:footnoteReference w:id="72"/>
      </w:r>
      <w:r w:rsidR="000C2694" w:rsidRPr="000F052B">
        <w:rPr>
          <w:rFonts w:ascii="Times New Roman" w:hAnsi="Times New Roman" w:cs="Times New Roman"/>
          <w:sz w:val="24"/>
          <w:szCs w:val="24"/>
          <w:lang w:val="en-US"/>
        </w:rPr>
        <w:t xml:space="preserve"> Brennan J set out six requirements which must </w:t>
      </w:r>
      <w:r w:rsidR="00FB0202" w:rsidRPr="000F052B">
        <w:rPr>
          <w:rFonts w:ascii="Times New Roman" w:hAnsi="Times New Roman" w:cs="Times New Roman"/>
          <w:sz w:val="24"/>
          <w:szCs w:val="24"/>
          <w:lang w:val="en-US"/>
        </w:rPr>
        <w:t xml:space="preserve">be met </w:t>
      </w:r>
      <w:r w:rsidR="000C2694" w:rsidRPr="000F052B">
        <w:rPr>
          <w:rFonts w:ascii="Times New Roman" w:hAnsi="Times New Roman" w:cs="Times New Roman"/>
          <w:sz w:val="24"/>
          <w:szCs w:val="24"/>
          <w:lang w:val="en-US"/>
        </w:rPr>
        <w:t>for a third party beneficiary to seek relief on the grounds of</w:t>
      </w:r>
      <w:r w:rsidR="00FB0202" w:rsidRPr="000F052B">
        <w:rPr>
          <w:rFonts w:ascii="Times New Roman" w:hAnsi="Times New Roman" w:cs="Times New Roman"/>
          <w:sz w:val="24"/>
          <w:szCs w:val="24"/>
          <w:lang w:val="en-US"/>
        </w:rPr>
        <w:t xml:space="preserve"> the</w:t>
      </w:r>
      <w:r w:rsidR="000C2694" w:rsidRPr="000F052B">
        <w:rPr>
          <w:rFonts w:ascii="Times New Roman" w:hAnsi="Times New Roman" w:cs="Times New Roman"/>
          <w:sz w:val="24"/>
          <w:szCs w:val="24"/>
          <w:lang w:val="en-US"/>
        </w:rPr>
        <w:t xml:space="preserve"> equitable principles</w:t>
      </w:r>
      <w:r w:rsidR="00FB0202" w:rsidRPr="000F052B">
        <w:rPr>
          <w:rFonts w:ascii="Times New Roman" w:hAnsi="Times New Roman" w:cs="Times New Roman"/>
          <w:sz w:val="24"/>
          <w:szCs w:val="24"/>
          <w:lang w:val="en-US"/>
        </w:rPr>
        <w:t xml:space="preserve"> of estoppel</w:t>
      </w:r>
      <w:r w:rsidR="000C2694" w:rsidRPr="000F052B">
        <w:rPr>
          <w:rFonts w:ascii="Times New Roman" w:hAnsi="Times New Roman" w:cs="Times New Roman"/>
          <w:sz w:val="24"/>
          <w:szCs w:val="24"/>
          <w:lang w:val="en-US"/>
        </w:rPr>
        <w:t>.</w:t>
      </w:r>
      <w:r w:rsidR="000C2694" w:rsidRPr="000F052B">
        <w:rPr>
          <w:rStyle w:val="FootnoteReference"/>
          <w:rFonts w:ascii="Times New Roman" w:hAnsi="Times New Roman" w:cs="Times New Roman"/>
          <w:sz w:val="24"/>
          <w:szCs w:val="24"/>
          <w:lang w:val="en-US"/>
        </w:rPr>
        <w:footnoteReference w:id="73"/>
      </w:r>
      <w:r w:rsidR="000C2694" w:rsidRPr="000F052B">
        <w:rPr>
          <w:rFonts w:ascii="Times New Roman" w:hAnsi="Times New Roman" w:cs="Times New Roman"/>
          <w:sz w:val="24"/>
          <w:szCs w:val="24"/>
          <w:lang w:val="en-US"/>
        </w:rPr>
        <w:t xml:space="preserve"> While the High Court has not adopted this view as a whole, it still remains the most quoted ‘formulation of principle’ in Australian</w:t>
      </w:r>
      <w:r w:rsidR="00FB0202" w:rsidRPr="000F052B">
        <w:rPr>
          <w:rFonts w:ascii="Times New Roman" w:hAnsi="Times New Roman" w:cs="Times New Roman"/>
          <w:sz w:val="24"/>
          <w:szCs w:val="24"/>
          <w:lang w:val="en-US"/>
        </w:rPr>
        <w:t xml:space="preserve"> contract</w:t>
      </w:r>
      <w:r w:rsidR="000C2694" w:rsidRPr="000F052B">
        <w:rPr>
          <w:rFonts w:ascii="Times New Roman" w:hAnsi="Times New Roman" w:cs="Times New Roman"/>
          <w:sz w:val="24"/>
          <w:szCs w:val="24"/>
          <w:lang w:val="en-US"/>
        </w:rPr>
        <w:t xml:space="preserve"> law </w:t>
      </w:r>
      <w:r w:rsidR="00F3328B" w:rsidRPr="000F052B">
        <w:rPr>
          <w:rFonts w:ascii="Times New Roman" w:hAnsi="Times New Roman" w:cs="Times New Roman"/>
          <w:sz w:val="24"/>
          <w:szCs w:val="24"/>
          <w:lang w:val="en-US"/>
        </w:rPr>
        <w:t>theory.</w:t>
      </w:r>
      <w:r w:rsidR="00F3328B" w:rsidRPr="000F052B">
        <w:rPr>
          <w:rStyle w:val="FootnoteReference"/>
          <w:rFonts w:ascii="Times New Roman" w:hAnsi="Times New Roman" w:cs="Times New Roman"/>
          <w:sz w:val="24"/>
          <w:szCs w:val="24"/>
          <w:lang w:val="en-US"/>
        </w:rPr>
        <w:footnoteReference w:id="74"/>
      </w:r>
      <w:r w:rsidR="000C2694" w:rsidRPr="000F052B">
        <w:rPr>
          <w:rFonts w:ascii="Times New Roman" w:hAnsi="Times New Roman" w:cs="Times New Roman"/>
          <w:sz w:val="24"/>
          <w:szCs w:val="24"/>
          <w:lang w:val="en-US"/>
        </w:rPr>
        <w:t xml:space="preserve"> </w:t>
      </w:r>
    </w:p>
    <w:p w14:paraId="2D02811C" w14:textId="1F0B0E75" w:rsidR="0041003A" w:rsidRPr="000F052B" w:rsidRDefault="00112813" w:rsidP="00EF3379">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regards to the</w:t>
      </w:r>
      <w:r w:rsidR="0041003A" w:rsidRPr="000F052B">
        <w:rPr>
          <w:rFonts w:ascii="Times New Roman" w:hAnsi="Times New Roman" w:cs="Times New Roman"/>
          <w:sz w:val="24"/>
          <w:szCs w:val="24"/>
          <w:lang w:val="en-US"/>
        </w:rPr>
        <w:t xml:space="preserve"> </w:t>
      </w:r>
      <w:r w:rsidR="000C2694" w:rsidRPr="000F052B">
        <w:rPr>
          <w:rFonts w:ascii="Times New Roman" w:hAnsi="Times New Roman" w:cs="Times New Roman"/>
          <w:i/>
          <w:sz w:val="24"/>
          <w:szCs w:val="24"/>
          <w:lang w:val="en-US"/>
        </w:rPr>
        <w:t>Trident</w:t>
      </w:r>
      <w:r w:rsidR="00FB0202" w:rsidRPr="000F052B">
        <w:rPr>
          <w:rFonts w:ascii="Times New Roman" w:hAnsi="Times New Roman" w:cs="Times New Roman"/>
          <w:i/>
          <w:sz w:val="24"/>
          <w:szCs w:val="24"/>
          <w:lang w:val="en-US"/>
        </w:rPr>
        <w:t xml:space="preserve"> </w:t>
      </w:r>
      <w:r w:rsidR="00FB0202" w:rsidRPr="000F052B">
        <w:rPr>
          <w:rFonts w:ascii="Times New Roman" w:hAnsi="Times New Roman" w:cs="Times New Roman"/>
          <w:sz w:val="24"/>
          <w:szCs w:val="24"/>
          <w:lang w:val="en-US"/>
        </w:rPr>
        <w:t>case</w:t>
      </w:r>
      <w:r w:rsidR="0041003A" w:rsidRPr="000F052B">
        <w:rPr>
          <w:rFonts w:ascii="Times New Roman" w:hAnsi="Times New Roman" w:cs="Times New Roman"/>
          <w:sz w:val="24"/>
          <w:szCs w:val="24"/>
          <w:lang w:val="en-US"/>
        </w:rPr>
        <w:t>, it is</w:t>
      </w:r>
      <w:r w:rsidR="00FB0202" w:rsidRPr="000F052B">
        <w:rPr>
          <w:rFonts w:ascii="Times New Roman" w:hAnsi="Times New Roman" w:cs="Times New Roman"/>
          <w:sz w:val="24"/>
          <w:szCs w:val="24"/>
          <w:lang w:val="en-US"/>
        </w:rPr>
        <w:t xml:space="preserve"> the leading</w:t>
      </w:r>
      <w:r w:rsidR="00096066" w:rsidRPr="000F052B">
        <w:rPr>
          <w:rFonts w:ascii="Times New Roman" w:hAnsi="Times New Roman" w:cs="Times New Roman"/>
          <w:sz w:val="24"/>
          <w:szCs w:val="24"/>
          <w:lang w:val="en-US"/>
        </w:rPr>
        <w:t xml:space="preserve"> case on the exception</w:t>
      </w:r>
      <w:r w:rsidR="00502B51" w:rsidRPr="000F052B">
        <w:rPr>
          <w:rFonts w:ascii="Times New Roman" w:hAnsi="Times New Roman" w:cs="Times New Roman"/>
          <w:sz w:val="24"/>
          <w:szCs w:val="24"/>
          <w:lang w:val="en-US"/>
        </w:rPr>
        <w:t xml:space="preserve"> to privity. </w:t>
      </w:r>
      <w:r w:rsidR="002F43F1" w:rsidRPr="000F052B">
        <w:rPr>
          <w:rFonts w:ascii="Times New Roman" w:hAnsi="Times New Roman" w:cs="Times New Roman"/>
          <w:sz w:val="24"/>
          <w:szCs w:val="24"/>
          <w:lang w:val="en-US"/>
        </w:rPr>
        <w:t>The amount of scholarship on it is enormous as its relevance has been addressed by contract and comparative law scholars alike in both Civil and Common law traditions.</w:t>
      </w:r>
      <w:r w:rsidR="002F43F1" w:rsidRPr="000F052B">
        <w:rPr>
          <w:rStyle w:val="FootnoteReference"/>
          <w:rFonts w:ascii="Times New Roman" w:hAnsi="Times New Roman" w:cs="Times New Roman"/>
          <w:sz w:val="24"/>
          <w:szCs w:val="24"/>
          <w:lang w:val="en-US"/>
        </w:rPr>
        <w:footnoteReference w:id="75"/>
      </w:r>
      <w:r w:rsidR="002F43F1" w:rsidRPr="000F052B">
        <w:rPr>
          <w:rFonts w:ascii="Times New Roman" w:hAnsi="Times New Roman" w:cs="Times New Roman"/>
          <w:sz w:val="24"/>
          <w:szCs w:val="24"/>
          <w:lang w:val="en-US"/>
        </w:rPr>
        <w:t xml:space="preserve"> </w:t>
      </w:r>
      <w:r w:rsidR="00ED4E98" w:rsidRPr="000F052B">
        <w:rPr>
          <w:rFonts w:ascii="Times New Roman" w:hAnsi="Times New Roman" w:cs="Times New Roman"/>
          <w:sz w:val="24"/>
          <w:szCs w:val="24"/>
          <w:lang w:val="en-US"/>
        </w:rPr>
        <w:t>The scenario</w:t>
      </w:r>
      <w:r w:rsidR="00CA71CB" w:rsidRPr="000F052B">
        <w:rPr>
          <w:rFonts w:ascii="Times New Roman" w:hAnsi="Times New Roman" w:cs="Times New Roman"/>
          <w:sz w:val="24"/>
          <w:szCs w:val="24"/>
          <w:lang w:val="en-US"/>
        </w:rPr>
        <w:t xml:space="preserve"> may be </w:t>
      </w:r>
      <w:r w:rsidR="00FD0C31" w:rsidRPr="000F052B">
        <w:rPr>
          <w:rFonts w:ascii="Times New Roman" w:hAnsi="Times New Roman" w:cs="Times New Roman"/>
          <w:sz w:val="24"/>
          <w:szCs w:val="24"/>
          <w:lang w:val="en-US"/>
        </w:rPr>
        <w:t>summarized</w:t>
      </w:r>
      <w:r w:rsidR="00CA71CB" w:rsidRPr="000F052B">
        <w:rPr>
          <w:rFonts w:ascii="Times New Roman" w:hAnsi="Times New Roman" w:cs="Times New Roman"/>
          <w:sz w:val="24"/>
          <w:szCs w:val="24"/>
          <w:lang w:val="en-US"/>
        </w:rPr>
        <w:t xml:space="preserve"> as follows: </w:t>
      </w:r>
      <w:r w:rsidR="006C5AB6" w:rsidRPr="000F052B">
        <w:rPr>
          <w:rFonts w:ascii="Times New Roman" w:hAnsi="Times New Roman" w:cs="Times New Roman"/>
          <w:sz w:val="24"/>
          <w:szCs w:val="24"/>
          <w:lang w:val="en-US"/>
        </w:rPr>
        <w:t xml:space="preserve">Trident General Insurance </w:t>
      </w:r>
      <w:r w:rsidR="00CA71CB" w:rsidRPr="000F052B">
        <w:rPr>
          <w:rFonts w:ascii="Times New Roman" w:hAnsi="Times New Roman" w:cs="Times New Roman"/>
          <w:sz w:val="24"/>
          <w:szCs w:val="24"/>
          <w:lang w:val="en-US"/>
        </w:rPr>
        <w:t xml:space="preserve">agreed to indemnify </w:t>
      </w:r>
      <w:r w:rsidR="00ED4E98" w:rsidRPr="000F052B">
        <w:rPr>
          <w:rFonts w:ascii="Times New Roman" w:hAnsi="Times New Roman" w:cs="Times New Roman"/>
          <w:sz w:val="24"/>
          <w:szCs w:val="24"/>
          <w:lang w:val="en-US"/>
        </w:rPr>
        <w:t>the</w:t>
      </w:r>
      <w:r w:rsidR="00CA71CB" w:rsidRPr="000F052B">
        <w:rPr>
          <w:rFonts w:ascii="Times New Roman" w:hAnsi="Times New Roman" w:cs="Times New Roman"/>
          <w:sz w:val="24"/>
          <w:szCs w:val="24"/>
          <w:lang w:val="en-US"/>
        </w:rPr>
        <w:t xml:space="preserve"> </w:t>
      </w:r>
      <w:r w:rsidR="00C81B1C" w:rsidRPr="000F052B">
        <w:rPr>
          <w:rFonts w:ascii="Times New Roman" w:hAnsi="Times New Roman" w:cs="Times New Roman"/>
          <w:sz w:val="24"/>
          <w:szCs w:val="24"/>
          <w:lang w:val="en-US"/>
        </w:rPr>
        <w:t>insured, Blue C</w:t>
      </w:r>
      <w:r w:rsidR="006C5AB6" w:rsidRPr="000F052B">
        <w:rPr>
          <w:rFonts w:ascii="Times New Roman" w:hAnsi="Times New Roman" w:cs="Times New Roman"/>
          <w:sz w:val="24"/>
          <w:szCs w:val="24"/>
          <w:lang w:val="en-US"/>
        </w:rPr>
        <w:t xml:space="preserve">ircle Southern Cement Ltd, </w:t>
      </w:r>
      <w:r w:rsidR="00CA71CB" w:rsidRPr="000F052B">
        <w:rPr>
          <w:rFonts w:ascii="Times New Roman" w:hAnsi="Times New Roman" w:cs="Times New Roman"/>
          <w:sz w:val="24"/>
          <w:szCs w:val="24"/>
          <w:lang w:val="en-US"/>
        </w:rPr>
        <w:t xml:space="preserve">against </w:t>
      </w:r>
      <w:r w:rsidR="00CA71CB" w:rsidRPr="000F052B">
        <w:rPr>
          <w:rFonts w:ascii="Times New Roman" w:hAnsi="Times New Roman" w:cs="Times New Roman"/>
          <w:i/>
          <w:sz w:val="24"/>
          <w:szCs w:val="24"/>
          <w:lang w:val="en-US"/>
        </w:rPr>
        <w:t>all sums</w:t>
      </w:r>
      <w:r w:rsidR="00CA71CB" w:rsidRPr="000F052B">
        <w:rPr>
          <w:rFonts w:ascii="Times New Roman" w:hAnsi="Times New Roman" w:cs="Times New Roman"/>
          <w:sz w:val="24"/>
          <w:szCs w:val="24"/>
          <w:lang w:val="en-US"/>
        </w:rPr>
        <w:t xml:space="preserve"> which </w:t>
      </w:r>
      <w:r w:rsidR="00ED4E98" w:rsidRPr="000F052B">
        <w:rPr>
          <w:rFonts w:ascii="Times New Roman" w:hAnsi="Times New Roman" w:cs="Times New Roman"/>
          <w:sz w:val="24"/>
          <w:szCs w:val="24"/>
          <w:lang w:val="en-US"/>
        </w:rPr>
        <w:t xml:space="preserve">it would be liable </w:t>
      </w:r>
      <w:r w:rsidR="00CA71CB" w:rsidRPr="000F052B">
        <w:rPr>
          <w:rFonts w:ascii="Times New Roman" w:hAnsi="Times New Roman" w:cs="Times New Roman"/>
          <w:sz w:val="24"/>
          <w:szCs w:val="24"/>
          <w:lang w:val="en-US"/>
        </w:rPr>
        <w:t xml:space="preserve">to pay in respect of injury to persons. </w:t>
      </w:r>
      <w:r w:rsidR="00ED4E98" w:rsidRPr="000F052B">
        <w:rPr>
          <w:rFonts w:ascii="Times New Roman" w:hAnsi="Times New Roman" w:cs="Times New Roman"/>
          <w:sz w:val="24"/>
          <w:szCs w:val="24"/>
          <w:lang w:val="en-US"/>
        </w:rPr>
        <w:t xml:space="preserve">Two things should be noted: first, it was agreed that this scheme applied to injuries occurred at specified sites; secondly, the </w:t>
      </w:r>
      <w:r w:rsidR="00CA71CB" w:rsidRPr="000F052B">
        <w:rPr>
          <w:rFonts w:ascii="Times New Roman" w:hAnsi="Times New Roman" w:cs="Times New Roman"/>
          <w:sz w:val="24"/>
          <w:szCs w:val="24"/>
          <w:lang w:val="en-US"/>
        </w:rPr>
        <w:t>definition of “insured” under the contract was</w:t>
      </w:r>
      <w:r w:rsidR="006C5AB6" w:rsidRPr="000F052B">
        <w:rPr>
          <w:rFonts w:ascii="Times New Roman" w:hAnsi="Times New Roman" w:cs="Times New Roman"/>
          <w:sz w:val="24"/>
          <w:szCs w:val="24"/>
          <w:lang w:val="en-US"/>
        </w:rPr>
        <w:t xml:space="preserve"> also</w:t>
      </w:r>
      <w:r w:rsidR="00CA71CB" w:rsidRPr="000F052B">
        <w:rPr>
          <w:rFonts w:ascii="Times New Roman" w:hAnsi="Times New Roman" w:cs="Times New Roman"/>
          <w:sz w:val="24"/>
          <w:szCs w:val="24"/>
          <w:lang w:val="en-US"/>
        </w:rPr>
        <w:t xml:space="preserve"> to include the company’s contractors</w:t>
      </w:r>
      <w:r w:rsidR="00ED4E98" w:rsidRPr="000F052B">
        <w:rPr>
          <w:rFonts w:ascii="Times New Roman" w:hAnsi="Times New Roman" w:cs="Times New Roman"/>
          <w:sz w:val="24"/>
          <w:szCs w:val="24"/>
          <w:lang w:val="en-US"/>
        </w:rPr>
        <w:t xml:space="preserve">, which at the time the contract had been entered into, </w:t>
      </w:r>
      <w:r w:rsidR="00ED4E98" w:rsidRPr="000F052B">
        <w:rPr>
          <w:rFonts w:ascii="Times New Roman" w:hAnsi="Times New Roman" w:cs="Times New Roman"/>
          <w:sz w:val="24"/>
          <w:szCs w:val="24"/>
          <w:lang w:val="en-US"/>
        </w:rPr>
        <w:lastRenderedPageBreak/>
        <w:t>were not identified.</w:t>
      </w:r>
      <w:r w:rsidR="00ED4E98" w:rsidRPr="000F052B">
        <w:rPr>
          <w:rStyle w:val="FootnoteReference"/>
          <w:rFonts w:ascii="Times New Roman" w:hAnsi="Times New Roman" w:cs="Times New Roman"/>
          <w:sz w:val="24"/>
          <w:szCs w:val="24"/>
          <w:lang w:val="en-US"/>
        </w:rPr>
        <w:footnoteReference w:id="76"/>
      </w:r>
      <w:r w:rsidR="00CA71CB" w:rsidRPr="000F052B">
        <w:rPr>
          <w:rFonts w:ascii="Times New Roman" w:hAnsi="Times New Roman" w:cs="Times New Roman"/>
          <w:sz w:val="24"/>
          <w:szCs w:val="24"/>
          <w:lang w:val="en-US"/>
        </w:rPr>
        <w:t xml:space="preserve"> A</w:t>
      </w:r>
      <w:r w:rsidR="00502B51" w:rsidRPr="000F052B">
        <w:rPr>
          <w:rFonts w:ascii="Times New Roman" w:hAnsi="Times New Roman" w:cs="Times New Roman"/>
          <w:sz w:val="24"/>
          <w:szCs w:val="24"/>
          <w:lang w:val="en-US"/>
        </w:rPr>
        <w:t xml:space="preserve"> </w:t>
      </w:r>
      <w:r w:rsidR="006C5AB6" w:rsidRPr="000F052B">
        <w:rPr>
          <w:rFonts w:ascii="Times New Roman" w:hAnsi="Times New Roman" w:cs="Times New Roman"/>
          <w:sz w:val="24"/>
          <w:szCs w:val="24"/>
          <w:lang w:val="en-US"/>
        </w:rPr>
        <w:t>crane driver employed by a company which was under the direction of the principal contractor for the construction work,</w:t>
      </w:r>
      <w:r w:rsidR="009F381A" w:rsidRPr="000F052B">
        <w:rPr>
          <w:rFonts w:ascii="Times New Roman" w:hAnsi="Times New Roman" w:cs="Times New Roman"/>
          <w:sz w:val="24"/>
          <w:szCs w:val="24"/>
          <w:lang w:val="en-US"/>
        </w:rPr>
        <w:t xml:space="preserve"> McNiece</w:t>
      </w:r>
      <w:r w:rsidR="006C5AB6" w:rsidRPr="000F052B">
        <w:rPr>
          <w:rFonts w:ascii="Times New Roman" w:hAnsi="Times New Roman" w:cs="Times New Roman"/>
          <w:sz w:val="24"/>
          <w:szCs w:val="24"/>
          <w:lang w:val="en-US"/>
        </w:rPr>
        <w:t xml:space="preserve"> Bros Pty Ltd</w:t>
      </w:r>
      <w:r w:rsidR="009F381A" w:rsidRPr="000F052B">
        <w:rPr>
          <w:rFonts w:ascii="Times New Roman" w:hAnsi="Times New Roman" w:cs="Times New Roman"/>
          <w:sz w:val="24"/>
          <w:szCs w:val="24"/>
          <w:lang w:val="en-US"/>
        </w:rPr>
        <w:t>,</w:t>
      </w:r>
      <w:r w:rsidR="00502B51" w:rsidRPr="000F052B">
        <w:rPr>
          <w:rFonts w:ascii="Times New Roman" w:hAnsi="Times New Roman" w:cs="Times New Roman"/>
          <w:sz w:val="24"/>
          <w:szCs w:val="24"/>
          <w:lang w:val="en-US"/>
        </w:rPr>
        <w:t xml:space="preserve"> </w:t>
      </w:r>
      <w:r w:rsidR="006C5AB6" w:rsidRPr="000F052B">
        <w:rPr>
          <w:rFonts w:ascii="Times New Roman" w:hAnsi="Times New Roman" w:cs="Times New Roman"/>
          <w:sz w:val="24"/>
          <w:szCs w:val="24"/>
          <w:lang w:val="en-US"/>
        </w:rPr>
        <w:t>was injured. The High Court held that McNiece, which was stranger to the consideration, was</w:t>
      </w:r>
      <w:r w:rsidR="00502B51" w:rsidRPr="000F052B">
        <w:rPr>
          <w:rFonts w:ascii="Times New Roman" w:hAnsi="Times New Roman" w:cs="Times New Roman"/>
          <w:sz w:val="24"/>
          <w:szCs w:val="24"/>
          <w:lang w:val="en-US"/>
        </w:rPr>
        <w:t xml:space="preserve"> entitl</w:t>
      </w:r>
      <w:r w:rsidR="00CA71CB" w:rsidRPr="000F052B">
        <w:rPr>
          <w:rFonts w:ascii="Times New Roman" w:hAnsi="Times New Roman" w:cs="Times New Roman"/>
          <w:sz w:val="24"/>
          <w:szCs w:val="24"/>
          <w:lang w:val="en-US"/>
        </w:rPr>
        <w:t xml:space="preserve">ed to be indemnified under the </w:t>
      </w:r>
      <w:r w:rsidR="00502B51" w:rsidRPr="000F052B">
        <w:rPr>
          <w:rFonts w:ascii="Times New Roman" w:hAnsi="Times New Roman" w:cs="Times New Roman"/>
          <w:sz w:val="24"/>
          <w:szCs w:val="24"/>
          <w:lang w:val="en-US"/>
        </w:rPr>
        <w:t>policy to which it had not been a party</w:t>
      </w:r>
      <w:r w:rsidR="00CA71CB" w:rsidRPr="000F052B">
        <w:rPr>
          <w:rFonts w:ascii="Times New Roman" w:hAnsi="Times New Roman" w:cs="Times New Roman"/>
          <w:sz w:val="24"/>
          <w:szCs w:val="24"/>
          <w:lang w:val="en-US"/>
        </w:rPr>
        <w:t xml:space="preserve"> when it was issued</w:t>
      </w:r>
      <w:r w:rsidR="00502B51" w:rsidRPr="000F052B">
        <w:rPr>
          <w:rFonts w:ascii="Times New Roman" w:hAnsi="Times New Roman" w:cs="Times New Roman"/>
          <w:sz w:val="24"/>
          <w:szCs w:val="24"/>
          <w:lang w:val="en-US"/>
        </w:rPr>
        <w:t>.</w:t>
      </w:r>
      <w:r w:rsidR="0041003A" w:rsidRPr="000F052B">
        <w:rPr>
          <w:rFonts w:ascii="Times New Roman" w:hAnsi="Times New Roman" w:cs="Times New Roman"/>
          <w:sz w:val="24"/>
          <w:szCs w:val="24"/>
          <w:lang w:val="en-US"/>
        </w:rPr>
        <w:t xml:space="preserve"> </w:t>
      </w:r>
      <w:r w:rsidR="00ED4E98" w:rsidRPr="000F052B">
        <w:rPr>
          <w:rFonts w:ascii="Times New Roman" w:hAnsi="Times New Roman" w:cs="Times New Roman"/>
          <w:sz w:val="24"/>
          <w:szCs w:val="24"/>
          <w:lang w:val="en-US"/>
        </w:rPr>
        <w:t xml:space="preserve">In the judgement, a majority of the High Court </w:t>
      </w:r>
      <w:r w:rsidR="00FD0C31" w:rsidRPr="000F052B">
        <w:rPr>
          <w:rFonts w:ascii="Times New Roman" w:hAnsi="Times New Roman" w:cs="Times New Roman"/>
          <w:sz w:val="24"/>
          <w:szCs w:val="24"/>
          <w:lang w:val="en-US"/>
        </w:rPr>
        <w:t>criticized</w:t>
      </w:r>
      <w:r w:rsidR="00ED4E98" w:rsidRPr="000F052B">
        <w:rPr>
          <w:rFonts w:ascii="Times New Roman" w:hAnsi="Times New Roman" w:cs="Times New Roman"/>
          <w:sz w:val="24"/>
          <w:szCs w:val="24"/>
          <w:lang w:val="en-US"/>
        </w:rPr>
        <w:t xml:space="preserve"> privity on various grounds. </w:t>
      </w:r>
      <w:r w:rsidR="006C5AB6" w:rsidRPr="000F052B">
        <w:rPr>
          <w:rFonts w:ascii="Times New Roman" w:hAnsi="Times New Roman" w:cs="Times New Roman"/>
          <w:sz w:val="24"/>
          <w:szCs w:val="24"/>
          <w:lang w:val="en-US"/>
        </w:rPr>
        <w:t>Further,</w:t>
      </w:r>
      <w:r w:rsidR="0041003A" w:rsidRPr="000F052B">
        <w:rPr>
          <w:rFonts w:ascii="Times New Roman" w:hAnsi="Times New Roman" w:cs="Times New Roman"/>
          <w:sz w:val="24"/>
          <w:szCs w:val="24"/>
          <w:lang w:val="en-US"/>
        </w:rPr>
        <w:t xml:space="preserve"> </w:t>
      </w:r>
      <w:r w:rsidR="006C5AB6" w:rsidRPr="000F052B">
        <w:rPr>
          <w:rFonts w:ascii="Times New Roman" w:hAnsi="Times New Roman" w:cs="Times New Roman"/>
          <w:sz w:val="24"/>
          <w:szCs w:val="24"/>
          <w:lang w:val="en-US"/>
        </w:rPr>
        <w:t>it was also</w:t>
      </w:r>
      <w:r w:rsidR="0041003A" w:rsidRPr="000F052B">
        <w:rPr>
          <w:rFonts w:ascii="Times New Roman" w:hAnsi="Times New Roman" w:cs="Times New Roman"/>
          <w:sz w:val="24"/>
          <w:szCs w:val="24"/>
          <w:lang w:val="en-US"/>
        </w:rPr>
        <w:t xml:space="preserve"> held that consideration and privity ought to be approached distinctively.</w:t>
      </w:r>
      <w:r w:rsidR="0041003A" w:rsidRPr="000F052B">
        <w:rPr>
          <w:rStyle w:val="FootnoteReference"/>
          <w:rFonts w:ascii="Times New Roman" w:hAnsi="Times New Roman" w:cs="Times New Roman"/>
          <w:sz w:val="24"/>
          <w:szCs w:val="24"/>
          <w:lang w:val="en-US"/>
        </w:rPr>
        <w:footnoteReference w:id="77"/>
      </w:r>
    </w:p>
    <w:p w14:paraId="541FE56A" w14:textId="23F5B687" w:rsidR="00333F2B" w:rsidRPr="000F052B" w:rsidRDefault="00502B51"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Notwithstanding the </w:t>
      </w:r>
      <w:r w:rsidR="000A2299" w:rsidRPr="000F052B">
        <w:rPr>
          <w:rFonts w:ascii="Times New Roman" w:hAnsi="Times New Roman" w:cs="Times New Roman"/>
          <w:sz w:val="24"/>
          <w:szCs w:val="24"/>
          <w:lang w:val="en-US"/>
        </w:rPr>
        <w:t xml:space="preserve">historical </w:t>
      </w:r>
      <w:r w:rsidRPr="000F052B">
        <w:rPr>
          <w:rFonts w:ascii="Times New Roman" w:hAnsi="Times New Roman" w:cs="Times New Roman"/>
          <w:sz w:val="24"/>
          <w:szCs w:val="24"/>
          <w:lang w:val="en-US"/>
        </w:rPr>
        <w:t xml:space="preserve">relevance of the </w:t>
      </w:r>
      <w:r w:rsidR="00CA71CB" w:rsidRPr="000F052B">
        <w:rPr>
          <w:rFonts w:ascii="Times New Roman" w:hAnsi="Times New Roman" w:cs="Times New Roman"/>
          <w:sz w:val="24"/>
          <w:szCs w:val="24"/>
          <w:lang w:val="en-US"/>
        </w:rPr>
        <w:t>judgment</w:t>
      </w:r>
      <w:r w:rsidRPr="000F052B">
        <w:rPr>
          <w:rFonts w:ascii="Times New Roman" w:hAnsi="Times New Roman" w:cs="Times New Roman"/>
          <w:sz w:val="24"/>
          <w:szCs w:val="24"/>
          <w:lang w:val="en-US"/>
        </w:rPr>
        <w:t>,</w:t>
      </w:r>
      <w:r w:rsidR="008A1A0F" w:rsidRPr="000F052B">
        <w:rPr>
          <w:rStyle w:val="FootnoteReference"/>
          <w:rFonts w:ascii="Times New Roman" w:hAnsi="Times New Roman" w:cs="Times New Roman"/>
          <w:sz w:val="24"/>
          <w:szCs w:val="24"/>
          <w:lang w:val="en-US"/>
        </w:rPr>
        <w:footnoteReference w:id="78"/>
      </w:r>
      <w:r w:rsidRPr="000F052B">
        <w:rPr>
          <w:rFonts w:ascii="Times New Roman" w:hAnsi="Times New Roman" w:cs="Times New Roman"/>
          <w:sz w:val="24"/>
          <w:szCs w:val="24"/>
          <w:lang w:val="en-US"/>
        </w:rPr>
        <w:t xml:space="preserve"> and the criticism showed by a leading defender of the privity </w:t>
      </w:r>
      <w:r w:rsidR="009F381A" w:rsidRPr="000F052B">
        <w:rPr>
          <w:rFonts w:ascii="Times New Roman" w:hAnsi="Times New Roman" w:cs="Times New Roman"/>
          <w:sz w:val="24"/>
          <w:szCs w:val="24"/>
          <w:lang w:val="en-US"/>
        </w:rPr>
        <w:t>requirement</w:t>
      </w:r>
      <w:r w:rsidRPr="000F052B">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79"/>
      </w:r>
      <w:r w:rsidR="009F381A" w:rsidRPr="000F052B">
        <w:rPr>
          <w:rFonts w:ascii="Times New Roman" w:hAnsi="Times New Roman" w:cs="Times New Roman"/>
          <w:sz w:val="24"/>
          <w:szCs w:val="24"/>
          <w:lang w:val="en-US"/>
        </w:rPr>
        <w:t xml:space="preserve"> it</w:t>
      </w:r>
      <w:r w:rsidRPr="000F052B">
        <w:rPr>
          <w:rFonts w:ascii="Times New Roman" w:hAnsi="Times New Roman" w:cs="Times New Roman"/>
          <w:sz w:val="24"/>
          <w:szCs w:val="24"/>
          <w:lang w:val="en-US"/>
        </w:rPr>
        <w:t xml:space="preserve"> </w:t>
      </w:r>
      <w:r w:rsidR="007167A1" w:rsidRPr="000F052B">
        <w:rPr>
          <w:rFonts w:ascii="Times New Roman" w:hAnsi="Times New Roman" w:cs="Times New Roman"/>
          <w:sz w:val="24"/>
          <w:szCs w:val="24"/>
          <w:lang w:val="en-US"/>
        </w:rPr>
        <w:t xml:space="preserve">should be borne in mind that what </w:t>
      </w:r>
      <w:r w:rsidR="00CA71CB" w:rsidRPr="000F052B">
        <w:rPr>
          <w:rFonts w:ascii="Times New Roman" w:hAnsi="Times New Roman" w:cs="Times New Roman"/>
          <w:sz w:val="24"/>
          <w:szCs w:val="24"/>
          <w:lang w:val="en-US"/>
        </w:rPr>
        <w:t>t</w:t>
      </w:r>
      <w:r w:rsidR="003E5C20" w:rsidRPr="000F052B">
        <w:rPr>
          <w:rFonts w:ascii="Times New Roman" w:hAnsi="Times New Roman" w:cs="Times New Roman"/>
          <w:sz w:val="24"/>
          <w:szCs w:val="24"/>
          <w:lang w:val="en-US"/>
        </w:rPr>
        <w:t xml:space="preserve">he High Court established in </w:t>
      </w:r>
      <w:r w:rsidR="003E5C20" w:rsidRPr="000F052B">
        <w:rPr>
          <w:rFonts w:ascii="Times New Roman" w:hAnsi="Times New Roman" w:cs="Times New Roman"/>
          <w:i/>
          <w:sz w:val="24"/>
          <w:szCs w:val="24"/>
          <w:lang w:val="en-US"/>
        </w:rPr>
        <w:t>Trident</w:t>
      </w:r>
      <w:r w:rsidR="003E5C20" w:rsidRPr="000F052B">
        <w:rPr>
          <w:rFonts w:ascii="Times New Roman" w:hAnsi="Times New Roman" w:cs="Times New Roman"/>
          <w:sz w:val="24"/>
          <w:szCs w:val="24"/>
          <w:lang w:val="en-US"/>
        </w:rPr>
        <w:t xml:space="preserve"> </w:t>
      </w:r>
      <w:r w:rsidR="00FB0202" w:rsidRPr="000F052B">
        <w:rPr>
          <w:rFonts w:ascii="Times New Roman" w:hAnsi="Times New Roman" w:cs="Times New Roman"/>
          <w:sz w:val="24"/>
          <w:szCs w:val="24"/>
          <w:lang w:val="en-US"/>
        </w:rPr>
        <w:t>had</w:t>
      </w:r>
      <w:r w:rsidR="00FB0202" w:rsidRPr="000F052B">
        <w:rPr>
          <w:rFonts w:ascii="Times New Roman" w:hAnsi="Times New Roman" w:cs="Times New Roman"/>
          <w:i/>
          <w:sz w:val="24"/>
          <w:szCs w:val="24"/>
          <w:lang w:val="en-US"/>
        </w:rPr>
        <w:t xml:space="preserve"> </w:t>
      </w:r>
      <w:r w:rsidR="007167A1" w:rsidRPr="000F052B">
        <w:rPr>
          <w:rFonts w:ascii="Times New Roman" w:hAnsi="Times New Roman" w:cs="Times New Roman"/>
          <w:sz w:val="24"/>
          <w:szCs w:val="24"/>
          <w:lang w:val="en-US"/>
        </w:rPr>
        <w:t xml:space="preserve">already been achieved by section 48 ICA. </w:t>
      </w:r>
      <w:r w:rsidR="00877023">
        <w:rPr>
          <w:rFonts w:ascii="Times New Roman" w:hAnsi="Times New Roman" w:cs="Times New Roman"/>
          <w:sz w:val="24"/>
          <w:szCs w:val="24"/>
          <w:lang w:val="en-US"/>
        </w:rPr>
        <w:t>W</w:t>
      </w:r>
      <w:r w:rsidR="007167A1" w:rsidRPr="000F052B">
        <w:rPr>
          <w:rFonts w:ascii="Times New Roman" w:hAnsi="Times New Roman" w:cs="Times New Roman"/>
          <w:sz w:val="24"/>
          <w:szCs w:val="24"/>
          <w:lang w:val="en-US"/>
        </w:rPr>
        <w:t xml:space="preserve">ith respect to other possible </w:t>
      </w:r>
      <w:r w:rsidR="00AD741B" w:rsidRPr="000F052B">
        <w:rPr>
          <w:rFonts w:ascii="Times New Roman" w:hAnsi="Times New Roman" w:cs="Times New Roman"/>
          <w:sz w:val="24"/>
          <w:szCs w:val="24"/>
          <w:lang w:val="en-US"/>
        </w:rPr>
        <w:t>situation</w:t>
      </w:r>
      <w:r w:rsidR="007167A1" w:rsidRPr="000F052B">
        <w:rPr>
          <w:rFonts w:ascii="Times New Roman" w:hAnsi="Times New Roman" w:cs="Times New Roman"/>
          <w:sz w:val="24"/>
          <w:szCs w:val="24"/>
          <w:lang w:val="en-US"/>
        </w:rPr>
        <w:t>s, scholars are divided as to how classify them. By way of an example, McKendrick and Liu</w:t>
      </w:r>
      <w:r w:rsidR="00AD741B" w:rsidRPr="000F052B">
        <w:rPr>
          <w:rFonts w:ascii="Times New Roman" w:hAnsi="Times New Roman" w:cs="Times New Roman"/>
          <w:sz w:val="24"/>
          <w:szCs w:val="24"/>
          <w:lang w:val="en-US"/>
        </w:rPr>
        <w:t xml:space="preserve"> describe both an agreement between the principal and the third party </w:t>
      </w:r>
      <w:r w:rsidR="003C25EE" w:rsidRPr="000F052B">
        <w:rPr>
          <w:rFonts w:ascii="Times New Roman" w:hAnsi="Times New Roman" w:cs="Times New Roman"/>
          <w:sz w:val="24"/>
          <w:szCs w:val="24"/>
          <w:lang w:val="en-US"/>
        </w:rPr>
        <w:t>arising from an</w:t>
      </w:r>
      <w:r w:rsidR="00AD741B" w:rsidRPr="000F052B">
        <w:rPr>
          <w:rFonts w:ascii="Times New Roman" w:hAnsi="Times New Roman" w:cs="Times New Roman"/>
          <w:sz w:val="24"/>
          <w:szCs w:val="24"/>
          <w:lang w:val="en-US"/>
        </w:rPr>
        <w:t xml:space="preserve"> agency rel</w:t>
      </w:r>
      <w:r w:rsidR="003C25EE" w:rsidRPr="000F052B">
        <w:rPr>
          <w:rFonts w:ascii="Times New Roman" w:hAnsi="Times New Roman" w:cs="Times New Roman"/>
          <w:sz w:val="24"/>
          <w:szCs w:val="24"/>
          <w:lang w:val="en-US"/>
        </w:rPr>
        <w:t>ationship and</w:t>
      </w:r>
      <w:r w:rsidR="00AD741B" w:rsidRPr="000F052B">
        <w:rPr>
          <w:rFonts w:ascii="Times New Roman" w:hAnsi="Times New Roman" w:cs="Times New Roman"/>
          <w:sz w:val="24"/>
          <w:szCs w:val="24"/>
          <w:lang w:val="en-US"/>
        </w:rPr>
        <w:t xml:space="preserve"> a trusteeship as true exceptions to th</w:t>
      </w:r>
      <w:r w:rsidR="00A12BFC" w:rsidRPr="000F052B">
        <w:rPr>
          <w:rFonts w:ascii="Times New Roman" w:hAnsi="Times New Roman" w:cs="Times New Roman"/>
          <w:sz w:val="24"/>
          <w:szCs w:val="24"/>
          <w:lang w:val="en-US"/>
        </w:rPr>
        <w:t>e doctrine of privity.</w:t>
      </w:r>
      <w:r w:rsidR="00CF4D50" w:rsidRPr="000F052B">
        <w:rPr>
          <w:rStyle w:val="FootnoteReference"/>
          <w:rFonts w:ascii="Times New Roman" w:hAnsi="Times New Roman" w:cs="Times New Roman"/>
          <w:sz w:val="24"/>
          <w:szCs w:val="24"/>
          <w:lang w:val="en-US"/>
        </w:rPr>
        <w:footnoteReference w:id="80"/>
      </w:r>
      <w:r w:rsidR="00AD741B" w:rsidRPr="000F052B">
        <w:rPr>
          <w:rFonts w:ascii="Times New Roman" w:hAnsi="Times New Roman" w:cs="Times New Roman"/>
          <w:sz w:val="24"/>
          <w:szCs w:val="24"/>
          <w:lang w:val="en-US"/>
        </w:rPr>
        <w:t xml:space="preserve"> Other</w:t>
      </w:r>
      <w:r w:rsidR="00633FA2" w:rsidRPr="000F052B">
        <w:rPr>
          <w:rFonts w:ascii="Times New Roman" w:hAnsi="Times New Roman" w:cs="Times New Roman"/>
          <w:sz w:val="24"/>
          <w:szCs w:val="24"/>
          <w:lang w:val="en-US"/>
        </w:rPr>
        <w:t xml:space="preserve"> commentators ar</w:t>
      </w:r>
      <w:r w:rsidR="00A10FC4" w:rsidRPr="000F052B">
        <w:rPr>
          <w:rFonts w:ascii="Times New Roman" w:hAnsi="Times New Roman" w:cs="Times New Roman"/>
          <w:sz w:val="24"/>
          <w:szCs w:val="24"/>
          <w:lang w:val="en-US"/>
        </w:rPr>
        <w:t>e instead reluctant to use such definition,</w:t>
      </w:r>
      <w:r w:rsidR="00A12BFC" w:rsidRPr="000F052B">
        <w:rPr>
          <w:rStyle w:val="FootnoteReference"/>
          <w:rFonts w:ascii="Times New Roman" w:hAnsi="Times New Roman" w:cs="Times New Roman"/>
          <w:sz w:val="24"/>
          <w:szCs w:val="24"/>
          <w:lang w:val="en-US"/>
        </w:rPr>
        <w:footnoteReference w:id="81"/>
      </w:r>
      <w:r w:rsidR="00AD741B" w:rsidRPr="000F052B">
        <w:rPr>
          <w:rFonts w:ascii="Times New Roman" w:hAnsi="Times New Roman" w:cs="Times New Roman"/>
          <w:sz w:val="24"/>
          <w:szCs w:val="24"/>
          <w:lang w:val="en-US"/>
        </w:rPr>
        <w:t xml:space="preserve"> </w:t>
      </w:r>
      <w:r w:rsidR="0033617E" w:rsidRPr="000F052B">
        <w:rPr>
          <w:rFonts w:ascii="Times New Roman" w:hAnsi="Times New Roman" w:cs="Times New Roman"/>
          <w:sz w:val="24"/>
          <w:szCs w:val="24"/>
          <w:lang w:val="en-US"/>
        </w:rPr>
        <w:t>and</w:t>
      </w:r>
      <w:r w:rsidR="00A10FC4" w:rsidRPr="000F052B">
        <w:rPr>
          <w:rFonts w:ascii="Times New Roman" w:hAnsi="Times New Roman" w:cs="Times New Roman"/>
          <w:sz w:val="24"/>
          <w:szCs w:val="24"/>
          <w:lang w:val="en-US"/>
        </w:rPr>
        <w:t xml:space="preserve"> prefer to </w:t>
      </w:r>
      <w:r w:rsidR="00AD741B" w:rsidRPr="000F052B">
        <w:rPr>
          <w:rFonts w:ascii="Times New Roman" w:hAnsi="Times New Roman" w:cs="Times New Roman"/>
          <w:sz w:val="24"/>
          <w:szCs w:val="24"/>
          <w:lang w:val="en-US"/>
        </w:rPr>
        <w:t xml:space="preserve">speak of </w:t>
      </w:r>
      <w:r w:rsidR="00A10FC4" w:rsidRPr="000F052B">
        <w:rPr>
          <w:rFonts w:ascii="Times New Roman" w:hAnsi="Times New Roman" w:cs="Times New Roman"/>
          <w:sz w:val="24"/>
          <w:szCs w:val="24"/>
          <w:lang w:val="en-US"/>
        </w:rPr>
        <w:t xml:space="preserve">mere </w:t>
      </w:r>
      <w:r w:rsidR="00AD741B" w:rsidRPr="000F052B">
        <w:rPr>
          <w:rFonts w:ascii="Times New Roman" w:hAnsi="Times New Roman" w:cs="Times New Roman"/>
          <w:sz w:val="24"/>
          <w:szCs w:val="24"/>
          <w:lang w:val="en-US"/>
        </w:rPr>
        <w:t>‘evasions</w:t>
      </w:r>
      <w:r w:rsidR="00A12BFC" w:rsidRPr="000F052B">
        <w:rPr>
          <w:rFonts w:ascii="Times New Roman" w:hAnsi="Times New Roman" w:cs="Times New Roman"/>
          <w:sz w:val="24"/>
          <w:szCs w:val="24"/>
          <w:lang w:val="en-US"/>
        </w:rPr>
        <w:t>,</w:t>
      </w:r>
      <w:r w:rsidR="00AD741B" w:rsidRPr="000F052B">
        <w:rPr>
          <w:rFonts w:ascii="Times New Roman" w:hAnsi="Times New Roman" w:cs="Times New Roman"/>
          <w:sz w:val="24"/>
          <w:szCs w:val="24"/>
          <w:lang w:val="en-US"/>
        </w:rPr>
        <w:t>’</w:t>
      </w:r>
      <w:r w:rsidR="00A12BFC" w:rsidRPr="000F052B">
        <w:rPr>
          <w:rStyle w:val="FootnoteReference"/>
          <w:rFonts w:ascii="Times New Roman" w:hAnsi="Times New Roman" w:cs="Times New Roman"/>
          <w:sz w:val="24"/>
          <w:szCs w:val="24"/>
          <w:lang w:val="en-US"/>
        </w:rPr>
        <w:footnoteReference w:id="82"/>
      </w:r>
      <w:r w:rsidR="00A10FC4" w:rsidRPr="000F052B">
        <w:rPr>
          <w:rFonts w:ascii="Times New Roman" w:hAnsi="Times New Roman" w:cs="Times New Roman"/>
          <w:sz w:val="24"/>
          <w:szCs w:val="24"/>
          <w:lang w:val="en-US"/>
        </w:rPr>
        <w:t xml:space="preserve"> </w:t>
      </w:r>
      <w:r w:rsidR="00B17137" w:rsidRPr="000F052B">
        <w:rPr>
          <w:rFonts w:ascii="Times New Roman" w:hAnsi="Times New Roman" w:cs="Times New Roman"/>
          <w:sz w:val="24"/>
          <w:szCs w:val="24"/>
          <w:lang w:val="en-US"/>
        </w:rPr>
        <w:t xml:space="preserve">‘non-applications’ or </w:t>
      </w:r>
      <w:r w:rsidR="009E22B5" w:rsidRPr="000F052B">
        <w:rPr>
          <w:rFonts w:ascii="Times New Roman" w:hAnsi="Times New Roman" w:cs="Times New Roman"/>
          <w:sz w:val="24"/>
          <w:szCs w:val="24"/>
          <w:lang w:val="en-US"/>
        </w:rPr>
        <w:t>‘circumnavigations’</w:t>
      </w:r>
      <w:r w:rsidR="00A12BFC" w:rsidRPr="000F052B">
        <w:rPr>
          <w:rFonts w:ascii="Times New Roman" w:hAnsi="Times New Roman" w:cs="Times New Roman"/>
          <w:sz w:val="24"/>
          <w:szCs w:val="24"/>
          <w:lang w:val="en-US"/>
        </w:rPr>
        <w:t>,</w:t>
      </w:r>
      <w:r w:rsidR="00A12BFC" w:rsidRPr="000F052B">
        <w:rPr>
          <w:rStyle w:val="FootnoteReference"/>
          <w:rFonts w:ascii="Times New Roman" w:hAnsi="Times New Roman" w:cs="Times New Roman"/>
          <w:sz w:val="24"/>
          <w:szCs w:val="24"/>
          <w:lang w:val="en-US"/>
        </w:rPr>
        <w:footnoteReference w:id="83"/>
      </w:r>
      <w:r w:rsidR="00A10FC4" w:rsidRPr="000F052B">
        <w:rPr>
          <w:rFonts w:ascii="Times New Roman" w:hAnsi="Times New Roman" w:cs="Times New Roman"/>
          <w:sz w:val="24"/>
          <w:szCs w:val="24"/>
          <w:lang w:val="en-US"/>
        </w:rPr>
        <w:t xml:space="preserve"> </w:t>
      </w:r>
      <w:r w:rsidR="00A52EFD" w:rsidRPr="000F052B">
        <w:rPr>
          <w:rFonts w:ascii="Times New Roman" w:hAnsi="Times New Roman" w:cs="Times New Roman"/>
          <w:sz w:val="24"/>
          <w:szCs w:val="24"/>
          <w:lang w:val="en-US"/>
        </w:rPr>
        <w:t>‘methods of wo</w:t>
      </w:r>
      <w:r w:rsidR="00A12BFC" w:rsidRPr="000F052B">
        <w:rPr>
          <w:rFonts w:ascii="Times New Roman" w:hAnsi="Times New Roman" w:cs="Times New Roman"/>
          <w:sz w:val="24"/>
          <w:szCs w:val="24"/>
          <w:lang w:val="en-US"/>
        </w:rPr>
        <w:t xml:space="preserve">rking around </w:t>
      </w:r>
      <w:r w:rsidR="00A12BFC" w:rsidRPr="000F052B">
        <w:rPr>
          <w:rFonts w:ascii="Times New Roman" w:hAnsi="Times New Roman" w:cs="Times New Roman"/>
          <w:sz w:val="24"/>
          <w:szCs w:val="24"/>
          <w:lang w:val="en-US"/>
        </w:rPr>
        <w:lastRenderedPageBreak/>
        <w:t>the privity rule,’</w:t>
      </w:r>
      <w:r w:rsidR="00A12BFC" w:rsidRPr="000F052B">
        <w:rPr>
          <w:rStyle w:val="FootnoteReference"/>
          <w:rFonts w:ascii="Times New Roman" w:hAnsi="Times New Roman" w:cs="Times New Roman"/>
          <w:sz w:val="24"/>
          <w:szCs w:val="24"/>
          <w:lang w:val="en-US"/>
        </w:rPr>
        <w:footnoteReference w:id="84"/>
      </w:r>
      <w:r w:rsidR="003875B2" w:rsidRPr="000F052B">
        <w:rPr>
          <w:rFonts w:ascii="Times New Roman" w:hAnsi="Times New Roman" w:cs="Times New Roman"/>
          <w:sz w:val="24"/>
          <w:szCs w:val="24"/>
          <w:lang w:val="en-US"/>
        </w:rPr>
        <w:t xml:space="preserve"> </w:t>
      </w:r>
      <w:r w:rsidR="00F62410" w:rsidRPr="000F052B">
        <w:rPr>
          <w:rFonts w:ascii="Times New Roman" w:hAnsi="Times New Roman" w:cs="Times New Roman"/>
          <w:sz w:val="24"/>
          <w:szCs w:val="24"/>
          <w:lang w:val="en-US"/>
        </w:rPr>
        <w:t>‘miscellaneous limitations</w:t>
      </w:r>
      <w:r w:rsidR="00A12BFC" w:rsidRPr="000F052B">
        <w:rPr>
          <w:rFonts w:ascii="Times New Roman" w:hAnsi="Times New Roman" w:cs="Times New Roman"/>
          <w:sz w:val="24"/>
          <w:szCs w:val="24"/>
          <w:lang w:val="en-US"/>
        </w:rPr>
        <w:t>,</w:t>
      </w:r>
      <w:r w:rsidR="00F62410" w:rsidRPr="000F052B">
        <w:rPr>
          <w:rFonts w:ascii="Times New Roman" w:hAnsi="Times New Roman" w:cs="Times New Roman"/>
          <w:sz w:val="24"/>
          <w:szCs w:val="24"/>
          <w:lang w:val="en-US"/>
        </w:rPr>
        <w:t>’</w:t>
      </w:r>
      <w:r w:rsidR="00A12BFC" w:rsidRPr="000F052B">
        <w:rPr>
          <w:rStyle w:val="FootnoteReference"/>
          <w:rFonts w:ascii="Times New Roman" w:hAnsi="Times New Roman" w:cs="Times New Roman"/>
          <w:sz w:val="24"/>
          <w:szCs w:val="24"/>
          <w:lang w:val="en-US"/>
        </w:rPr>
        <w:footnoteReference w:id="85"/>
      </w:r>
      <w:r w:rsidR="00CA368B" w:rsidRPr="000F052B">
        <w:rPr>
          <w:rFonts w:ascii="Times New Roman" w:hAnsi="Times New Roman" w:cs="Times New Roman"/>
          <w:sz w:val="24"/>
          <w:szCs w:val="24"/>
          <w:lang w:val="en-US"/>
        </w:rPr>
        <w:t xml:space="preserve"> </w:t>
      </w:r>
      <w:r w:rsidR="00F62410" w:rsidRPr="000F052B">
        <w:rPr>
          <w:rFonts w:ascii="Times New Roman" w:hAnsi="Times New Roman" w:cs="Times New Roman"/>
          <w:sz w:val="24"/>
          <w:szCs w:val="24"/>
          <w:lang w:val="en-US"/>
        </w:rPr>
        <w:t xml:space="preserve"> </w:t>
      </w:r>
      <w:r w:rsidR="00A10FC4" w:rsidRPr="000F052B">
        <w:rPr>
          <w:rFonts w:ascii="Times New Roman" w:hAnsi="Times New Roman" w:cs="Times New Roman"/>
          <w:sz w:val="24"/>
          <w:szCs w:val="24"/>
          <w:lang w:val="en-US"/>
        </w:rPr>
        <w:t>or ‘supervening doctrines to which the doctrine of privity is subservient’</w:t>
      </w:r>
      <w:r w:rsidR="00302533">
        <w:rPr>
          <w:rFonts w:ascii="Times New Roman" w:hAnsi="Times New Roman" w:cs="Times New Roman"/>
          <w:sz w:val="24"/>
          <w:szCs w:val="24"/>
          <w:lang w:val="en-US"/>
        </w:rPr>
        <w:t>.</w:t>
      </w:r>
      <w:r w:rsidR="00A12BFC" w:rsidRPr="000F052B">
        <w:rPr>
          <w:rStyle w:val="FootnoteReference"/>
          <w:rFonts w:ascii="Times New Roman" w:hAnsi="Times New Roman" w:cs="Times New Roman"/>
          <w:sz w:val="24"/>
          <w:szCs w:val="24"/>
          <w:lang w:val="en-US"/>
        </w:rPr>
        <w:footnoteReference w:id="86"/>
      </w:r>
      <w:r w:rsidR="00A12BFC" w:rsidRPr="000F052B">
        <w:rPr>
          <w:rFonts w:ascii="Times New Roman" w:hAnsi="Times New Roman" w:cs="Times New Roman"/>
          <w:sz w:val="24"/>
          <w:szCs w:val="24"/>
          <w:lang w:val="en-US"/>
        </w:rPr>
        <w:t xml:space="preserve"> </w:t>
      </w:r>
    </w:p>
    <w:p w14:paraId="66B0EFF8" w14:textId="63EFF864" w:rsidR="00814AFD" w:rsidRPr="000F052B" w:rsidRDefault="00C265AF"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Analytically, the benefit conferred to the </w:t>
      </w:r>
      <w:r w:rsidR="009E2820" w:rsidRPr="000F052B">
        <w:rPr>
          <w:rFonts w:ascii="Times New Roman" w:hAnsi="Times New Roman" w:cs="Times New Roman"/>
          <w:sz w:val="24"/>
          <w:szCs w:val="24"/>
          <w:lang w:val="en-US"/>
        </w:rPr>
        <w:t>non-signatory</w:t>
      </w:r>
      <w:r w:rsidRPr="000F052B">
        <w:rPr>
          <w:rFonts w:ascii="Times New Roman" w:hAnsi="Times New Roman" w:cs="Times New Roman"/>
          <w:sz w:val="24"/>
          <w:szCs w:val="24"/>
          <w:lang w:val="en-US"/>
        </w:rPr>
        <w:t xml:space="preserve"> party</w:t>
      </w:r>
      <w:r w:rsidR="00B17137" w:rsidRPr="000F052B">
        <w:rPr>
          <w:rFonts w:ascii="Times New Roman" w:hAnsi="Times New Roman" w:cs="Times New Roman"/>
          <w:sz w:val="24"/>
          <w:szCs w:val="24"/>
          <w:lang w:val="en-US"/>
        </w:rPr>
        <w:t xml:space="preserve"> may either be a positive one, such as in the classic case of payment of money, or a negative one, such as when</w:t>
      </w:r>
      <w:r w:rsidR="00D63AFA" w:rsidRPr="000F052B">
        <w:rPr>
          <w:rFonts w:ascii="Times New Roman" w:hAnsi="Times New Roman" w:cs="Times New Roman"/>
          <w:sz w:val="24"/>
          <w:szCs w:val="24"/>
          <w:lang w:val="en-US"/>
        </w:rPr>
        <w:t xml:space="preserve"> </w:t>
      </w:r>
      <w:r w:rsidR="000331B8" w:rsidRPr="000F052B">
        <w:rPr>
          <w:rFonts w:ascii="Times New Roman" w:hAnsi="Times New Roman" w:cs="Times New Roman"/>
          <w:sz w:val="24"/>
          <w:szCs w:val="24"/>
          <w:lang w:val="en-US"/>
        </w:rPr>
        <w:t xml:space="preserve">the parties to a contract agree not to sue </w:t>
      </w:r>
      <w:r w:rsidR="0024706B" w:rsidRPr="000F052B">
        <w:rPr>
          <w:rFonts w:ascii="Times New Roman" w:hAnsi="Times New Roman" w:cs="Times New Roman"/>
          <w:sz w:val="24"/>
          <w:szCs w:val="24"/>
          <w:lang w:val="en-US"/>
        </w:rPr>
        <w:t xml:space="preserve">third parties </w:t>
      </w:r>
      <w:r w:rsidR="00F62410" w:rsidRPr="000F052B">
        <w:rPr>
          <w:rFonts w:ascii="Times New Roman" w:hAnsi="Times New Roman" w:cs="Times New Roman"/>
          <w:sz w:val="24"/>
          <w:szCs w:val="24"/>
          <w:lang w:val="en-US"/>
        </w:rPr>
        <w:t>f</w:t>
      </w:r>
      <w:r w:rsidR="009A180F" w:rsidRPr="000F052B">
        <w:rPr>
          <w:rFonts w:ascii="Times New Roman" w:hAnsi="Times New Roman" w:cs="Times New Roman"/>
          <w:sz w:val="24"/>
          <w:szCs w:val="24"/>
          <w:lang w:val="en-US"/>
        </w:rPr>
        <w:t>or their negligent conduct.</w:t>
      </w:r>
      <w:r w:rsidR="00814AFD" w:rsidRPr="000F052B">
        <w:rPr>
          <w:rFonts w:ascii="Times New Roman" w:hAnsi="Times New Roman" w:cs="Times New Roman"/>
          <w:sz w:val="24"/>
          <w:szCs w:val="24"/>
          <w:lang w:val="en-US"/>
        </w:rPr>
        <w:t xml:space="preserve"> </w:t>
      </w:r>
      <w:r w:rsidR="00F62410" w:rsidRPr="000F052B">
        <w:rPr>
          <w:rFonts w:ascii="Times New Roman" w:hAnsi="Times New Roman" w:cs="Times New Roman"/>
          <w:sz w:val="24"/>
          <w:szCs w:val="24"/>
          <w:lang w:val="en-US"/>
        </w:rPr>
        <w:t xml:space="preserve">The two </w:t>
      </w:r>
      <w:r w:rsidR="00E354BF">
        <w:rPr>
          <w:rFonts w:ascii="Times New Roman" w:hAnsi="Times New Roman" w:cs="Times New Roman"/>
          <w:sz w:val="24"/>
          <w:szCs w:val="24"/>
          <w:lang w:val="en-US"/>
        </w:rPr>
        <w:t xml:space="preserve">hypothetical situations </w:t>
      </w:r>
      <w:r w:rsidR="00F62410" w:rsidRPr="000F052B">
        <w:rPr>
          <w:rFonts w:ascii="Times New Roman" w:hAnsi="Times New Roman" w:cs="Times New Roman"/>
          <w:sz w:val="24"/>
          <w:szCs w:val="24"/>
          <w:lang w:val="en-US"/>
        </w:rPr>
        <w:t xml:space="preserve">have to </w:t>
      </w:r>
      <w:r w:rsidR="00E354BF" w:rsidRPr="000F052B">
        <w:rPr>
          <w:rFonts w:ascii="Times New Roman" w:hAnsi="Times New Roman" w:cs="Times New Roman"/>
          <w:sz w:val="24"/>
          <w:szCs w:val="24"/>
          <w:lang w:val="en-US"/>
        </w:rPr>
        <w:t>analyzed</w:t>
      </w:r>
      <w:r w:rsidR="00012EAE" w:rsidRPr="000F052B">
        <w:rPr>
          <w:rFonts w:ascii="Times New Roman" w:hAnsi="Times New Roman" w:cs="Times New Roman"/>
          <w:sz w:val="24"/>
          <w:szCs w:val="24"/>
          <w:lang w:val="en-US"/>
        </w:rPr>
        <w:t xml:space="preserve"> separately</w:t>
      </w:r>
      <w:r w:rsidR="00F62410" w:rsidRPr="000F052B">
        <w:rPr>
          <w:rFonts w:ascii="Times New Roman" w:hAnsi="Times New Roman" w:cs="Times New Roman"/>
          <w:sz w:val="24"/>
          <w:szCs w:val="24"/>
          <w:lang w:val="en-US"/>
        </w:rPr>
        <w:t xml:space="preserve">. </w:t>
      </w:r>
      <w:r w:rsidR="0033617E" w:rsidRPr="000F052B">
        <w:rPr>
          <w:rFonts w:ascii="Times New Roman" w:hAnsi="Times New Roman" w:cs="Times New Roman"/>
          <w:sz w:val="24"/>
          <w:szCs w:val="24"/>
          <w:lang w:val="en-US"/>
        </w:rPr>
        <w:t>With respect to the first situation</w:t>
      </w:r>
      <w:r w:rsidR="00F62410" w:rsidRPr="000F052B">
        <w:rPr>
          <w:rFonts w:ascii="Times New Roman" w:hAnsi="Times New Roman" w:cs="Times New Roman"/>
          <w:sz w:val="24"/>
          <w:szCs w:val="24"/>
          <w:lang w:val="en-US"/>
        </w:rPr>
        <w:t>, under</w:t>
      </w:r>
      <w:r w:rsidR="000331B8" w:rsidRPr="000F052B">
        <w:rPr>
          <w:rFonts w:ascii="Times New Roman" w:hAnsi="Times New Roman" w:cs="Times New Roman"/>
          <w:sz w:val="24"/>
          <w:szCs w:val="24"/>
          <w:lang w:val="en-US"/>
        </w:rPr>
        <w:t xml:space="preserve"> Australian law, third par</w:t>
      </w:r>
      <w:r w:rsidR="0033617E" w:rsidRPr="000F052B">
        <w:rPr>
          <w:rFonts w:ascii="Times New Roman" w:hAnsi="Times New Roman" w:cs="Times New Roman"/>
          <w:sz w:val="24"/>
          <w:szCs w:val="24"/>
          <w:lang w:val="en-US"/>
        </w:rPr>
        <w:t>ties have no right of action</w:t>
      </w:r>
      <w:r w:rsidR="000331B8" w:rsidRPr="000F052B">
        <w:rPr>
          <w:rFonts w:ascii="Times New Roman" w:hAnsi="Times New Roman" w:cs="Times New Roman"/>
          <w:sz w:val="24"/>
          <w:szCs w:val="24"/>
          <w:lang w:val="en-US"/>
        </w:rPr>
        <w:t>.</w:t>
      </w:r>
      <w:r w:rsidR="00FB63ED" w:rsidRPr="000F052B">
        <w:rPr>
          <w:rStyle w:val="FootnoteReference"/>
          <w:rFonts w:ascii="Times New Roman" w:hAnsi="Times New Roman" w:cs="Times New Roman"/>
          <w:sz w:val="24"/>
          <w:szCs w:val="24"/>
          <w:lang w:val="en-US"/>
        </w:rPr>
        <w:footnoteReference w:id="87"/>
      </w:r>
      <w:r w:rsidR="00F62410" w:rsidRPr="000F052B">
        <w:rPr>
          <w:rFonts w:ascii="Times New Roman" w:hAnsi="Times New Roman" w:cs="Times New Roman"/>
          <w:sz w:val="24"/>
          <w:szCs w:val="24"/>
          <w:lang w:val="en-US"/>
        </w:rPr>
        <w:t xml:space="preserve"> </w:t>
      </w:r>
      <w:r w:rsidR="0033617E" w:rsidRPr="000F052B">
        <w:rPr>
          <w:rFonts w:ascii="Times New Roman" w:hAnsi="Times New Roman" w:cs="Times New Roman"/>
          <w:sz w:val="24"/>
          <w:szCs w:val="24"/>
          <w:lang w:val="en-US"/>
        </w:rPr>
        <w:t xml:space="preserve">Only the promisee is entitled to enforce the contract and </w:t>
      </w:r>
      <w:r w:rsidR="0033617E" w:rsidRPr="000F052B">
        <w:rPr>
          <w:rFonts w:ascii="Times New Roman" w:hAnsi="Times New Roman" w:cs="Times New Roman"/>
          <w:i/>
          <w:sz w:val="24"/>
          <w:szCs w:val="24"/>
          <w:lang w:val="en-US"/>
        </w:rPr>
        <w:t>not</w:t>
      </w:r>
      <w:r w:rsidR="0033617E" w:rsidRPr="000F052B">
        <w:rPr>
          <w:rFonts w:ascii="Times New Roman" w:hAnsi="Times New Roman" w:cs="Times New Roman"/>
          <w:sz w:val="24"/>
          <w:szCs w:val="24"/>
          <w:lang w:val="en-US"/>
        </w:rPr>
        <w:t xml:space="preserve"> on behalf of the third party beneficiary. This can </w:t>
      </w:r>
      <w:r w:rsidR="00F62410" w:rsidRPr="000F052B">
        <w:rPr>
          <w:rFonts w:ascii="Times New Roman" w:hAnsi="Times New Roman" w:cs="Times New Roman"/>
          <w:sz w:val="24"/>
          <w:szCs w:val="24"/>
          <w:lang w:val="en-US"/>
        </w:rPr>
        <w:t xml:space="preserve">either </w:t>
      </w:r>
      <w:r w:rsidR="0033617E" w:rsidRPr="000F052B">
        <w:rPr>
          <w:rFonts w:ascii="Times New Roman" w:hAnsi="Times New Roman" w:cs="Times New Roman"/>
          <w:sz w:val="24"/>
          <w:szCs w:val="24"/>
          <w:lang w:val="en-US"/>
        </w:rPr>
        <w:t xml:space="preserve">be done </w:t>
      </w:r>
      <w:r w:rsidR="00F62410" w:rsidRPr="000F052B">
        <w:rPr>
          <w:rFonts w:ascii="Times New Roman" w:hAnsi="Times New Roman" w:cs="Times New Roman"/>
          <w:sz w:val="24"/>
          <w:szCs w:val="24"/>
          <w:lang w:val="en-US"/>
        </w:rPr>
        <w:t>at common law by claiming damages, or in equity by seeking specific performance.</w:t>
      </w:r>
      <w:r w:rsidR="00FB63ED" w:rsidRPr="000F052B">
        <w:rPr>
          <w:rStyle w:val="FootnoteReference"/>
          <w:rFonts w:ascii="Times New Roman" w:hAnsi="Times New Roman" w:cs="Times New Roman"/>
          <w:sz w:val="24"/>
          <w:szCs w:val="24"/>
          <w:lang w:val="en-US"/>
        </w:rPr>
        <w:footnoteReference w:id="88"/>
      </w:r>
      <w:r w:rsidR="0033617E" w:rsidRPr="000F052B">
        <w:rPr>
          <w:rFonts w:ascii="Times New Roman" w:hAnsi="Times New Roman" w:cs="Times New Roman"/>
          <w:sz w:val="24"/>
          <w:szCs w:val="24"/>
          <w:lang w:val="en-US"/>
        </w:rPr>
        <w:t xml:space="preserve"> </w:t>
      </w:r>
    </w:p>
    <w:p w14:paraId="2CF2DC7B" w14:textId="730756BE" w:rsidR="00AE331A" w:rsidRPr="000F052B" w:rsidRDefault="0033617E" w:rsidP="00205AF2">
      <w:pPr>
        <w:spacing w:after="120" w:line="480" w:lineRule="auto"/>
        <w:ind w:firstLine="284"/>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The scenario becomes more complicated </w:t>
      </w:r>
      <w:r w:rsidR="00F45194" w:rsidRPr="000F052B">
        <w:rPr>
          <w:rFonts w:ascii="Times New Roman" w:hAnsi="Times New Roman" w:cs="Times New Roman"/>
          <w:sz w:val="24"/>
          <w:szCs w:val="24"/>
          <w:lang w:val="en-US"/>
        </w:rPr>
        <w:t>in the case of negative benefit</w:t>
      </w:r>
      <w:r w:rsidR="008E408E" w:rsidRPr="000F052B">
        <w:rPr>
          <w:rFonts w:ascii="Times New Roman" w:hAnsi="Times New Roman" w:cs="Times New Roman"/>
          <w:sz w:val="24"/>
          <w:szCs w:val="24"/>
          <w:lang w:val="en-US"/>
        </w:rPr>
        <w:t>s</w:t>
      </w:r>
      <w:r w:rsidR="00F45194" w:rsidRPr="000F052B">
        <w:rPr>
          <w:rFonts w:ascii="Times New Roman" w:hAnsi="Times New Roman" w:cs="Times New Roman"/>
          <w:sz w:val="24"/>
          <w:szCs w:val="24"/>
          <w:lang w:val="en-US"/>
        </w:rPr>
        <w:t xml:space="preserve">, that is, </w:t>
      </w:r>
      <w:r w:rsidRPr="000F052B">
        <w:rPr>
          <w:rFonts w:ascii="Times New Roman" w:hAnsi="Times New Roman" w:cs="Times New Roman"/>
          <w:sz w:val="24"/>
          <w:szCs w:val="24"/>
          <w:lang w:val="en-US"/>
        </w:rPr>
        <w:t xml:space="preserve">when the parties </w:t>
      </w:r>
      <w:r w:rsidR="00F45194" w:rsidRPr="000F052B">
        <w:rPr>
          <w:rFonts w:ascii="Times New Roman" w:hAnsi="Times New Roman" w:cs="Times New Roman"/>
          <w:sz w:val="24"/>
          <w:szCs w:val="24"/>
          <w:lang w:val="en-US"/>
        </w:rPr>
        <w:t>to a contract insert in it an exclusion</w:t>
      </w:r>
      <w:r w:rsidRPr="000F052B">
        <w:rPr>
          <w:rFonts w:ascii="Times New Roman" w:hAnsi="Times New Roman" w:cs="Times New Roman"/>
          <w:sz w:val="24"/>
          <w:szCs w:val="24"/>
          <w:lang w:val="en-US"/>
        </w:rPr>
        <w:t xml:space="preserve"> clause intended to benefit</w:t>
      </w:r>
      <w:r w:rsidR="0024706B" w:rsidRPr="000F052B">
        <w:rPr>
          <w:rFonts w:ascii="Times New Roman" w:hAnsi="Times New Roman" w:cs="Times New Roman"/>
          <w:sz w:val="24"/>
          <w:szCs w:val="24"/>
          <w:lang w:val="en-US"/>
        </w:rPr>
        <w:t xml:space="preserve"> agents, employees, or independent subcontractors</w:t>
      </w:r>
      <w:r w:rsidRPr="000F052B">
        <w:rPr>
          <w:rFonts w:ascii="Times New Roman" w:hAnsi="Times New Roman" w:cs="Times New Roman"/>
          <w:sz w:val="24"/>
          <w:szCs w:val="24"/>
          <w:lang w:val="en-US"/>
        </w:rPr>
        <w:t>. The classic example given by Australian scholars in this respect is that of contracts for the carriage of goods</w:t>
      </w:r>
      <w:r w:rsidR="00F45194" w:rsidRPr="000F052B">
        <w:rPr>
          <w:rFonts w:ascii="Times New Roman" w:hAnsi="Times New Roman" w:cs="Times New Roman"/>
          <w:sz w:val="24"/>
          <w:szCs w:val="24"/>
          <w:lang w:val="en-US"/>
        </w:rPr>
        <w:t>, particularly with respe</w:t>
      </w:r>
      <w:r w:rsidR="008E408E" w:rsidRPr="000F052B">
        <w:rPr>
          <w:rFonts w:ascii="Times New Roman" w:hAnsi="Times New Roman" w:cs="Times New Roman"/>
          <w:sz w:val="24"/>
          <w:szCs w:val="24"/>
          <w:lang w:val="en-US"/>
        </w:rPr>
        <w:t>ct to shipping contracts</w:t>
      </w:r>
      <w:r w:rsidR="009E7B31" w:rsidRPr="000F052B">
        <w:rPr>
          <w:rFonts w:ascii="Times New Roman" w:hAnsi="Times New Roman" w:cs="Times New Roman"/>
          <w:sz w:val="24"/>
          <w:szCs w:val="24"/>
          <w:lang w:val="en-US"/>
        </w:rPr>
        <w:t>.</w:t>
      </w:r>
      <w:r w:rsidR="00CA368B" w:rsidRPr="000F052B">
        <w:rPr>
          <w:rStyle w:val="FootnoteReference"/>
          <w:rFonts w:ascii="Times New Roman" w:hAnsi="Times New Roman" w:cs="Times New Roman"/>
          <w:sz w:val="24"/>
          <w:szCs w:val="24"/>
          <w:lang w:val="en-US"/>
        </w:rPr>
        <w:footnoteReference w:id="89"/>
      </w:r>
      <w:r w:rsidR="009E7B31" w:rsidRPr="000F052B">
        <w:rPr>
          <w:rFonts w:ascii="Times New Roman" w:hAnsi="Times New Roman" w:cs="Times New Roman"/>
          <w:sz w:val="24"/>
          <w:szCs w:val="24"/>
          <w:lang w:val="en-US"/>
        </w:rPr>
        <w:t xml:space="preserve"> </w:t>
      </w:r>
      <w:r w:rsidR="00096257" w:rsidRPr="000F052B">
        <w:rPr>
          <w:rFonts w:ascii="Times New Roman" w:hAnsi="Times New Roman" w:cs="Times New Roman"/>
          <w:sz w:val="24"/>
          <w:szCs w:val="24"/>
          <w:lang w:val="en-US"/>
        </w:rPr>
        <w:t>In these case</w:t>
      </w:r>
      <w:r w:rsidR="008C3FA9" w:rsidRPr="000F052B">
        <w:rPr>
          <w:rFonts w:ascii="Times New Roman" w:hAnsi="Times New Roman" w:cs="Times New Roman"/>
          <w:sz w:val="24"/>
          <w:szCs w:val="24"/>
          <w:lang w:val="en-US"/>
        </w:rPr>
        <w:t>s</w:t>
      </w:r>
      <w:r w:rsidR="00096257" w:rsidRPr="000F052B">
        <w:rPr>
          <w:rFonts w:ascii="Times New Roman" w:hAnsi="Times New Roman" w:cs="Times New Roman"/>
          <w:sz w:val="24"/>
          <w:szCs w:val="24"/>
          <w:lang w:val="en-US"/>
        </w:rPr>
        <w:t>, all of which have a peculiar commercial character,</w:t>
      </w:r>
      <w:r w:rsidR="00804B88" w:rsidRPr="000F052B">
        <w:rPr>
          <w:rStyle w:val="FootnoteReference"/>
          <w:rFonts w:ascii="Times New Roman" w:hAnsi="Times New Roman" w:cs="Times New Roman"/>
          <w:sz w:val="24"/>
          <w:szCs w:val="24"/>
          <w:lang w:val="en-US"/>
        </w:rPr>
        <w:footnoteReference w:id="90"/>
      </w:r>
      <w:r w:rsidR="00096257" w:rsidRPr="000F052B">
        <w:rPr>
          <w:rFonts w:ascii="Times New Roman" w:hAnsi="Times New Roman" w:cs="Times New Roman"/>
          <w:sz w:val="24"/>
          <w:szCs w:val="24"/>
          <w:lang w:val="en-US"/>
        </w:rPr>
        <w:t xml:space="preserve"> </w:t>
      </w:r>
      <w:r w:rsidR="008E408E" w:rsidRPr="000F052B">
        <w:rPr>
          <w:rFonts w:ascii="Times New Roman" w:hAnsi="Times New Roman" w:cs="Times New Roman"/>
          <w:sz w:val="24"/>
          <w:szCs w:val="24"/>
          <w:lang w:val="en-US"/>
        </w:rPr>
        <w:t>it is common practice to exempt</w:t>
      </w:r>
      <w:r w:rsidR="0024706B" w:rsidRPr="000F052B">
        <w:rPr>
          <w:rFonts w:ascii="Times New Roman" w:hAnsi="Times New Roman" w:cs="Times New Roman"/>
          <w:sz w:val="24"/>
          <w:szCs w:val="24"/>
          <w:lang w:val="en-US"/>
        </w:rPr>
        <w:t xml:space="preserve"> or limit, in the bill of lading, </w:t>
      </w:r>
      <w:r w:rsidR="008E408E" w:rsidRPr="000F052B">
        <w:rPr>
          <w:rFonts w:ascii="Times New Roman" w:hAnsi="Times New Roman" w:cs="Times New Roman"/>
          <w:sz w:val="24"/>
          <w:szCs w:val="24"/>
          <w:lang w:val="en-US"/>
        </w:rPr>
        <w:t xml:space="preserve">the </w:t>
      </w:r>
      <w:r w:rsidR="0024706B" w:rsidRPr="000F052B">
        <w:rPr>
          <w:rFonts w:ascii="Times New Roman" w:hAnsi="Times New Roman" w:cs="Times New Roman"/>
          <w:sz w:val="24"/>
          <w:szCs w:val="24"/>
          <w:lang w:val="en-US"/>
        </w:rPr>
        <w:t xml:space="preserve">liability of the </w:t>
      </w:r>
      <w:r w:rsidR="008E408E" w:rsidRPr="000F052B">
        <w:rPr>
          <w:rFonts w:ascii="Times New Roman" w:hAnsi="Times New Roman" w:cs="Times New Roman"/>
          <w:sz w:val="24"/>
          <w:szCs w:val="24"/>
          <w:lang w:val="en-US"/>
        </w:rPr>
        <w:t>stevedores engaged to unload the g</w:t>
      </w:r>
      <w:r w:rsidR="0024706B" w:rsidRPr="000F052B">
        <w:rPr>
          <w:rFonts w:ascii="Times New Roman" w:hAnsi="Times New Roman" w:cs="Times New Roman"/>
          <w:sz w:val="24"/>
          <w:szCs w:val="24"/>
          <w:lang w:val="en-US"/>
        </w:rPr>
        <w:t>oods at the port of destination. Such clauses are usually referred to as ‘Himalaya’ clause</w:t>
      </w:r>
      <w:r w:rsidR="00E46A08" w:rsidRPr="000F052B">
        <w:rPr>
          <w:rFonts w:ascii="Times New Roman" w:hAnsi="Times New Roman" w:cs="Times New Roman"/>
          <w:sz w:val="24"/>
          <w:szCs w:val="24"/>
          <w:lang w:val="en-US"/>
        </w:rPr>
        <w:t>s</w:t>
      </w:r>
      <w:r w:rsidR="00A52EFD" w:rsidRPr="000F052B">
        <w:rPr>
          <w:rFonts w:ascii="Times New Roman" w:hAnsi="Times New Roman" w:cs="Times New Roman"/>
          <w:sz w:val="24"/>
          <w:szCs w:val="24"/>
          <w:lang w:val="en-US"/>
        </w:rPr>
        <w:t xml:space="preserve">, after the </w:t>
      </w:r>
      <w:r w:rsidR="0024706B" w:rsidRPr="000F052B">
        <w:rPr>
          <w:rFonts w:ascii="Times New Roman" w:hAnsi="Times New Roman" w:cs="Times New Roman"/>
          <w:sz w:val="24"/>
          <w:szCs w:val="24"/>
          <w:lang w:val="en-US"/>
        </w:rPr>
        <w:t xml:space="preserve">decision in </w:t>
      </w:r>
      <w:r w:rsidR="0024706B" w:rsidRPr="000F052B">
        <w:rPr>
          <w:rFonts w:ascii="Times New Roman" w:hAnsi="Times New Roman" w:cs="Times New Roman"/>
          <w:i/>
          <w:sz w:val="24"/>
          <w:szCs w:val="24"/>
          <w:lang w:val="en-US"/>
        </w:rPr>
        <w:t>Adler v Dickson</w:t>
      </w:r>
      <w:r w:rsidR="0024706B" w:rsidRPr="000F052B">
        <w:rPr>
          <w:rFonts w:ascii="Times New Roman" w:hAnsi="Times New Roman" w:cs="Times New Roman"/>
          <w:sz w:val="24"/>
          <w:szCs w:val="24"/>
          <w:lang w:val="en-US"/>
        </w:rPr>
        <w:t>.</w:t>
      </w:r>
      <w:r w:rsidR="0024706B" w:rsidRPr="000F052B">
        <w:rPr>
          <w:rStyle w:val="FootnoteReference"/>
          <w:rFonts w:ascii="Times New Roman" w:hAnsi="Times New Roman" w:cs="Times New Roman"/>
          <w:sz w:val="24"/>
          <w:szCs w:val="24"/>
          <w:lang w:val="en-US"/>
        </w:rPr>
        <w:footnoteReference w:id="91"/>
      </w:r>
      <w:r w:rsidR="00BA565F" w:rsidRPr="000F052B">
        <w:rPr>
          <w:rFonts w:ascii="Times New Roman" w:hAnsi="Times New Roman" w:cs="Times New Roman"/>
          <w:sz w:val="24"/>
          <w:szCs w:val="24"/>
          <w:lang w:val="en-US"/>
        </w:rPr>
        <w:t xml:space="preserve"> </w:t>
      </w:r>
    </w:p>
    <w:p w14:paraId="7C0116EC" w14:textId="71445807" w:rsidR="009A2348" w:rsidRPr="000F052B" w:rsidRDefault="00BA565F"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The current normative landscape is the result of a peculiar</w:t>
      </w:r>
      <w:r w:rsidR="00AC20FF" w:rsidRPr="000F052B">
        <w:rPr>
          <w:rFonts w:ascii="Times New Roman" w:hAnsi="Times New Roman" w:cs="Times New Roman"/>
          <w:sz w:val="24"/>
          <w:szCs w:val="24"/>
          <w:lang w:val="en-US"/>
        </w:rPr>
        <w:t>,</w:t>
      </w:r>
      <w:r w:rsidRPr="000F052B">
        <w:rPr>
          <w:rFonts w:ascii="Times New Roman" w:hAnsi="Times New Roman" w:cs="Times New Roman"/>
          <w:sz w:val="24"/>
          <w:szCs w:val="24"/>
          <w:lang w:val="en-US"/>
        </w:rPr>
        <w:t xml:space="preserve"> </w:t>
      </w:r>
      <w:r w:rsidR="00AC20FF" w:rsidRPr="000F052B">
        <w:rPr>
          <w:rFonts w:ascii="Times New Roman" w:hAnsi="Times New Roman" w:cs="Times New Roman"/>
          <w:sz w:val="24"/>
          <w:szCs w:val="24"/>
          <w:lang w:val="en-US"/>
        </w:rPr>
        <w:t xml:space="preserve">and at times not linear, </w:t>
      </w:r>
      <w:r w:rsidRPr="000F052B">
        <w:rPr>
          <w:rFonts w:ascii="Times New Roman" w:hAnsi="Times New Roman" w:cs="Times New Roman"/>
          <w:sz w:val="24"/>
          <w:szCs w:val="24"/>
          <w:lang w:val="en-US"/>
        </w:rPr>
        <w:t>transplanting process,</w:t>
      </w:r>
      <w:r w:rsidR="00A52EFD" w:rsidRPr="000F052B">
        <w:rPr>
          <w:rStyle w:val="FootnoteReference"/>
          <w:rFonts w:ascii="Times New Roman" w:hAnsi="Times New Roman" w:cs="Times New Roman"/>
          <w:sz w:val="24"/>
          <w:szCs w:val="24"/>
          <w:lang w:val="en-US"/>
        </w:rPr>
        <w:footnoteReference w:id="92"/>
      </w:r>
      <w:r w:rsidRPr="000F052B">
        <w:rPr>
          <w:rFonts w:ascii="Times New Roman" w:hAnsi="Times New Roman" w:cs="Times New Roman"/>
          <w:sz w:val="24"/>
          <w:szCs w:val="24"/>
          <w:lang w:val="en-US"/>
        </w:rPr>
        <w:t xml:space="preserve"> whose origins may be traced back to the 1956 case of </w:t>
      </w:r>
      <w:r w:rsidRPr="000F052B">
        <w:rPr>
          <w:rFonts w:ascii="Times New Roman" w:hAnsi="Times New Roman" w:cs="Times New Roman"/>
          <w:i/>
          <w:sz w:val="24"/>
          <w:szCs w:val="24"/>
          <w:lang w:val="en-US"/>
        </w:rPr>
        <w:t>Wilson v Darling Island Stevedoring &amp; Litherage Co Ltd</w:t>
      </w:r>
      <w:r w:rsidRPr="000F052B">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93"/>
      </w:r>
      <w:r w:rsidRPr="000F052B">
        <w:rPr>
          <w:rFonts w:ascii="Times New Roman" w:hAnsi="Times New Roman" w:cs="Times New Roman"/>
          <w:sz w:val="24"/>
          <w:szCs w:val="24"/>
          <w:lang w:val="en-US"/>
        </w:rPr>
        <w:t xml:space="preserve"> where the High Court</w:t>
      </w:r>
      <w:r w:rsidR="00AE331A" w:rsidRPr="000F052B">
        <w:rPr>
          <w:rFonts w:ascii="Times New Roman" w:hAnsi="Times New Roman" w:cs="Times New Roman"/>
          <w:sz w:val="24"/>
          <w:szCs w:val="24"/>
          <w:lang w:val="en-US"/>
        </w:rPr>
        <w:t>, by a three to two majority,</w:t>
      </w:r>
      <w:r w:rsidRPr="000F052B">
        <w:rPr>
          <w:rFonts w:ascii="Times New Roman" w:hAnsi="Times New Roman" w:cs="Times New Roman"/>
          <w:sz w:val="24"/>
          <w:szCs w:val="24"/>
          <w:lang w:val="en-US"/>
        </w:rPr>
        <w:t xml:space="preserve"> held that the exclusion clause protected the carrier</w:t>
      </w:r>
      <w:r w:rsidR="00AE331A" w:rsidRPr="000F052B">
        <w:rPr>
          <w:rFonts w:ascii="Times New Roman" w:hAnsi="Times New Roman" w:cs="Times New Roman"/>
          <w:sz w:val="24"/>
          <w:szCs w:val="24"/>
          <w:lang w:val="en-US"/>
        </w:rPr>
        <w:t xml:space="preserve"> shipowner</w:t>
      </w:r>
      <w:r w:rsidRPr="000F052B">
        <w:rPr>
          <w:rFonts w:ascii="Times New Roman" w:hAnsi="Times New Roman" w:cs="Times New Roman"/>
          <w:sz w:val="24"/>
          <w:szCs w:val="24"/>
          <w:lang w:val="en-US"/>
        </w:rPr>
        <w:t xml:space="preserve"> but not the stevedore company</w:t>
      </w:r>
      <w:r w:rsidR="00AE331A" w:rsidRPr="000F052B">
        <w:rPr>
          <w:rFonts w:ascii="Times New Roman" w:hAnsi="Times New Roman" w:cs="Times New Roman"/>
          <w:sz w:val="24"/>
          <w:szCs w:val="24"/>
          <w:lang w:val="en-US"/>
        </w:rPr>
        <w:t>. The carrier issued the bill of landing containing the clause, and the stevedore, which was their agent, could not sue or be sued on the contract</w:t>
      </w:r>
      <w:r w:rsidRPr="000F052B">
        <w:rPr>
          <w:rFonts w:ascii="Times New Roman" w:hAnsi="Times New Roman" w:cs="Times New Roman"/>
          <w:sz w:val="24"/>
          <w:szCs w:val="24"/>
          <w:lang w:val="en-US"/>
        </w:rPr>
        <w:t xml:space="preserve">. After that, Australian courts have adopted the four criteria established by Lord Reid in the famous case of </w:t>
      </w:r>
      <w:r w:rsidR="001F2310" w:rsidRPr="000F052B">
        <w:rPr>
          <w:rFonts w:ascii="Times New Roman" w:hAnsi="Times New Roman" w:cs="Times New Roman"/>
          <w:i/>
          <w:sz w:val="24"/>
          <w:szCs w:val="24"/>
          <w:lang w:val="en-US"/>
        </w:rPr>
        <w:t xml:space="preserve">Midlands Silicones Ltd v </w:t>
      </w:r>
      <w:r w:rsidRPr="000F052B">
        <w:rPr>
          <w:rFonts w:ascii="Times New Roman" w:hAnsi="Times New Roman" w:cs="Times New Roman"/>
          <w:i/>
          <w:sz w:val="24"/>
          <w:szCs w:val="24"/>
          <w:lang w:val="en-US"/>
        </w:rPr>
        <w:t>Scruttons</w:t>
      </w:r>
      <w:r w:rsidR="001F2310" w:rsidRPr="000F052B">
        <w:rPr>
          <w:rFonts w:ascii="Times New Roman" w:hAnsi="Times New Roman" w:cs="Times New Roman"/>
          <w:i/>
          <w:sz w:val="24"/>
          <w:szCs w:val="24"/>
          <w:lang w:val="en-US"/>
        </w:rPr>
        <w:t xml:space="preserve"> Ltd</w:t>
      </w:r>
      <w:r w:rsidR="00AC20FF" w:rsidRPr="000F052B">
        <w:rPr>
          <w:rStyle w:val="FootnoteReference"/>
          <w:rFonts w:ascii="Times New Roman" w:hAnsi="Times New Roman" w:cs="Times New Roman"/>
          <w:sz w:val="24"/>
          <w:szCs w:val="24"/>
          <w:vertAlign w:val="baseline"/>
          <w:lang w:val="en-US"/>
        </w:rPr>
        <w:t>, where the House of Lords denied the protection of an exclusion clause in a bill of lading to a stevedore</w:t>
      </w:r>
      <w:r w:rsidR="005B7A62" w:rsidRPr="000F052B">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94"/>
      </w:r>
      <w:r w:rsidRPr="000F052B">
        <w:rPr>
          <w:rFonts w:ascii="Times New Roman" w:hAnsi="Times New Roman" w:cs="Times New Roman"/>
          <w:sz w:val="24"/>
          <w:szCs w:val="24"/>
          <w:lang w:val="en-US"/>
        </w:rPr>
        <w:t xml:space="preserve"> In </w:t>
      </w:r>
      <w:r w:rsidR="005D41DB" w:rsidRPr="000F052B">
        <w:rPr>
          <w:rFonts w:ascii="Times New Roman" w:hAnsi="Times New Roman" w:cs="Times New Roman"/>
          <w:i/>
          <w:sz w:val="24"/>
          <w:szCs w:val="24"/>
          <w:lang w:val="en-US"/>
        </w:rPr>
        <w:t>Toll (FGCT) Pty Ltd v Alphapharm Pty Ltd</w:t>
      </w:r>
      <w:r w:rsidR="005D41DB" w:rsidRPr="000F052B">
        <w:rPr>
          <w:rFonts w:ascii="Times New Roman" w:hAnsi="Times New Roman" w:cs="Times New Roman"/>
          <w:sz w:val="24"/>
          <w:szCs w:val="24"/>
          <w:lang w:val="en-US"/>
        </w:rPr>
        <w:t>,</w:t>
      </w:r>
      <w:r w:rsidR="00271CF5" w:rsidRPr="000F052B">
        <w:rPr>
          <w:rStyle w:val="FootnoteReference"/>
          <w:rFonts w:ascii="Times New Roman" w:hAnsi="Times New Roman" w:cs="Times New Roman"/>
          <w:sz w:val="24"/>
          <w:szCs w:val="24"/>
          <w:lang w:val="en-US"/>
        </w:rPr>
        <w:footnoteReference w:id="95"/>
      </w:r>
      <w:r w:rsidRPr="000F052B">
        <w:rPr>
          <w:rFonts w:ascii="Times New Roman" w:hAnsi="Times New Roman" w:cs="Times New Roman"/>
          <w:sz w:val="24"/>
          <w:szCs w:val="24"/>
          <w:lang w:val="en-US"/>
        </w:rPr>
        <w:t xml:space="preserve"> the High Court </w:t>
      </w:r>
      <w:r w:rsidR="00AC20FF" w:rsidRPr="000F052B">
        <w:rPr>
          <w:rFonts w:ascii="Times New Roman" w:hAnsi="Times New Roman" w:cs="Times New Roman"/>
          <w:sz w:val="24"/>
          <w:szCs w:val="24"/>
          <w:lang w:val="en-US"/>
        </w:rPr>
        <w:t xml:space="preserve">approved </w:t>
      </w:r>
      <w:r w:rsidRPr="000F052B">
        <w:rPr>
          <w:rFonts w:ascii="Times New Roman" w:hAnsi="Times New Roman" w:cs="Times New Roman"/>
          <w:sz w:val="24"/>
          <w:szCs w:val="24"/>
          <w:lang w:val="en-US"/>
        </w:rPr>
        <w:t xml:space="preserve">Lord Reid’s decision as </w:t>
      </w:r>
      <w:r w:rsidR="00FD0C31" w:rsidRPr="000F052B">
        <w:rPr>
          <w:rFonts w:ascii="Times New Roman" w:hAnsi="Times New Roman" w:cs="Times New Roman"/>
          <w:sz w:val="24"/>
          <w:szCs w:val="24"/>
          <w:lang w:val="en-US"/>
        </w:rPr>
        <w:t>crystallized</w:t>
      </w:r>
      <w:r w:rsidRPr="000F052B">
        <w:rPr>
          <w:rFonts w:ascii="Times New Roman" w:hAnsi="Times New Roman" w:cs="Times New Roman"/>
          <w:sz w:val="24"/>
          <w:szCs w:val="24"/>
          <w:lang w:val="en-US"/>
        </w:rPr>
        <w:t xml:space="preserve"> by the </w:t>
      </w:r>
      <w:r w:rsidR="0035606D">
        <w:rPr>
          <w:rFonts w:ascii="Times New Roman" w:hAnsi="Times New Roman" w:cs="Times New Roman"/>
          <w:sz w:val="24"/>
          <w:szCs w:val="24"/>
          <w:lang w:val="en-US"/>
        </w:rPr>
        <w:t>Privy Council in the so-called “</w:t>
      </w:r>
      <w:r w:rsidR="009A2348" w:rsidRPr="000F052B">
        <w:rPr>
          <w:rFonts w:ascii="Times New Roman" w:hAnsi="Times New Roman" w:cs="Times New Roman"/>
          <w:sz w:val="24"/>
          <w:szCs w:val="24"/>
          <w:lang w:val="en-US"/>
        </w:rPr>
        <w:t xml:space="preserve">The </w:t>
      </w:r>
      <w:r w:rsidR="0035606D">
        <w:rPr>
          <w:rFonts w:ascii="Times New Roman" w:hAnsi="Times New Roman" w:cs="Times New Roman"/>
          <w:sz w:val="24"/>
          <w:szCs w:val="24"/>
          <w:lang w:val="en-US"/>
        </w:rPr>
        <w:t>Eurymedon”</w:t>
      </w:r>
      <w:r w:rsidRPr="000F052B">
        <w:rPr>
          <w:rFonts w:ascii="Times New Roman" w:hAnsi="Times New Roman" w:cs="Times New Roman"/>
          <w:sz w:val="24"/>
          <w:szCs w:val="24"/>
          <w:lang w:val="en-US"/>
        </w:rPr>
        <w:t xml:space="preserve"> case.</w:t>
      </w:r>
      <w:r w:rsidR="00271CF5" w:rsidRPr="000F052B">
        <w:rPr>
          <w:rStyle w:val="FootnoteReference"/>
          <w:rFonts w:ascii="Times New Roman" w:hAnsi="Times New Roman" w:cs="Times New Roman"/>
          <w:sz w:val="24"/>
          <w:szCs w:val="24"/>
          <w:lang w:val="en-US"/>
        </w:rPr>
        <w:footnoteReference w:id="96"/>
      </w:r>
      <w:r w:rsidR="00096257" w:rsidRPr="000F052B">
        <w:rPr>
          <w:rFonts w:ascii="Times New Roman" w:hAnsi="Times New Roman" w:cs="Times New Roman"/>
          <w:sz w:val="24"/>
          <w:szCs w:val="24"/>
          <w:lang w:val="en-US"/>
        </w:rPr>
        <w:t xml:space="preserve"> </w:t>
      </w:r>
      <w:r w:rsidR="009A2348" w:rsidRPr="000F052B">
        <w:rPr>
          <w:rFonts w:ascii="Times New Roman" w:hAnsi="Times New Roman" w:cs="Times New Roman"/>
          <w:sz w:val="24"/>
          <w:szCs w:val="24"/>
          <w:lang w:val="en-US"/>
        </w:rPr>
        <w:t xml:space="preserve">The relevance of this passage lies in the fact that, initially, in </w:t>
      </w:r>
      <w:r w:rsidR="009A2348" w:rsidRPr="000F052B">
        <w:rPr>
          <w:rFonts w:ascii="Times New Roman" w:hAnsi="Times New Roman" w:cs="Times New Roman"/>
          <w:i/>
          <w:sz w:val="24"/>
          <w:szCs w:val="24"/>
          <w:lang w:val="en-US"/>
        </w:rPr>
        <w:t>Port Jackson Stevedoring Pty Ltd v Salmon and Spraggon (Aust) Pty Ltd (“The New York Star”)</w:t>
      </w:r>
      <w:r w:rsidR="009A2348" w:rsidRPr="000F052B">
        <w:rPr>
          <w:rFonts w:ascii="Times New Roman" w:hAnsi="Times New Roman" w:cs="Times New Roman"/>
          <w:sz w:val="24"/>
          <w:szCs w:val="24"/>
          <w:lang w:val="en-US"/>
        </w:rPr>
        <w:t>,</w:t>
      </w:r>
      <w:r w:rsidR="009A2348" w:rsidRPr="000F052B">
        <w:rPr>
          <w:rStyle w:val="FootnoteReference"/>
          <w:rFonts w:ascii="Times New Roman" w:hAnsi="Times New Roman" w:cs="Times New Roman"/>
          <w:sz w:val="24"/>
          <w:szCs w:val="24"/>
          <w:lang w:val="en-US"/>
        </w:rPr>
        <w:footnoteReference w:id="97"/>
      </w:r>
      <w:r w:rsidR="009A2348" w:rsidRPr="000F052B">
        <w:rPr>
          <w:rFonts w:ascii="Times New Roman" w:hAnsi="Times New Roman" w:cs="Times New Roman"/>
          <w:sz w:val="24"/>
          <w:szCs w:val="24"/>
          <w:lang w:val="en-US"/>
        </w:rPr>
        <w:t xml:space="preserve"> a majority of the High Court had rejected </w:t>
      </w:r>
      <w:r w:rsidR="009A2348" w:rsidRPr="005B509E">
        <w:rPr>
          <w:rFonts w:ascii="Times New Roman" w:hAnsi="Times New Roman" w:cs="Times New Roman"/>
          <w:i/>
          <w:sz w:val="24"/>
          <w:szCs w:val="24"/>
          <w:lang w:val="en-US"/>
        </w:rPr>
        <w:t>The Eurymedon</w:t>
      </w:r>
      <w:r w:rsidR="009A2348" w:rsidRPr="000F052B">
        <w:rPr>
          <w:rFonts w:ascii="Times New Roman" w:hAnsi="Times New Roman" w:cs="Times New Roman"/>
          <w:sz w:val="24"/>
          <w:szCs w:val="24"/>
          <w:lang w:val="en-US"/>
        </w:rPr>
        <w:t xml:space="preserve"> ruling. It was only when the Privy Council reversed on appeal the decision of the New </w:t>
      </w:r>
      <w:r w:rsidR="00B618FF">
        <w:rPr>
          <w:rFonts w:ascii="Times New Roman" w:hAnsi="Times New Roman" w:cs="Times New Roman"/>
          <w:sz w:val="24"/>
          <w:szCs w:val="24"/>
          <w:lang w:val="en-US"/>
        </w:rPr>
        <w:t>Zea</w:t>
      </w:r>
      <w:r w:rsidR="005B7A62" w:rsidRPr="000F052B">
        <w:rPr>
          <w:rFonts w:ascii="Times New Roman" w:hAnsi="Times New Roman" w:cs="Times New Roman"/>
          <w:sz w:val="24"/>
          <w:szCs w:val="24"/>
          <w:lang w:val="en-US"/>
        </w:rPr>
        <w:t>land</w:t>
      </w:r>
      <w:r w:rsidR="009A2348" w:rsidRPr="000F052B">
        <w:rPr>
          <w:rFonts w:ascii="Times New Roman" w:hAnsi="Times New Roman" w:cs="Times New Roman"/>
          <w:sz w:val="24"/>
          <w:szCs w:val="24"/>
          <w:lang w:val="en-US"/>
        </w:rPr>
        <w:t xml:space="preserve"> Court of Appeal that the rule star</w:t>
      </w:r>
      <w:r w:rsidR="005B7A62" w:rsidRPr="000F052B">
        <w:rPr>
          <w:rFonts w:ascii="Times New Roman" w:hAnsi="Times New Roman" w:cs="Times New Roman"/>
          <w:sz w:val="24"/>
          <w:szCs w:val="24"/>
          <w:lang w:val="en-US"/>
        </w:rPr>
        <w:t>ted being followed in Australia and applied to road transport cases as well.</w:t>
      </w:r>
      <w:r w:rsidR="005B7A62" w:rsidRPr="000F052B">
        <w:rPr>
          <w:rStyle w:val="FootnoteReference"/>
          <w:rFonts w:ascii="Times New Roman" w:hAnsi="Times New Roman" w:cs="Times New Roman"/>
          <w:sz w:val="24"/>
          <w:szCs w:val="24"/>
          <w:lang w:val="en-US"/>
        </w:rPr>
        <w:footnoteReference w:id="98"/>
      </w:r>
      <w:r w:rsidR="00154E88" w:rsidRPr="000F052B">
        <w:rPr>
          <w:rFonts w:ascii="Times New Roman" w:hAnsi="Times New Roman" w:cs="Times New Roman"/>
          <w:sz w:val="24"/>
          <w:szCs w:val="24"/>
          <w:lang w:val="en-US"/>
        </w:rPr>
        <w:t xml:space="preserve"> What emerges from </w:t>
      </w:r>
      <w:r w:rsidR="002B5D65">
        <w:rPr>
          <w:rFonts w:ascii="Times New Roman" w:hAnsi="Times New Roman" w:cs="Times New Roman"/>
          <w:sz w:val="24"/>
          <w:szCs w:val="24"/>
          <w:lang w:val="en-US"/>
        </w:rPr>
        <w:t>this trend</w:t>
      </w:r>
      <w:r w:rsidR="00154E88" w:rsidRPr="000F052B">
        <w:rPr>
          <w:rFonts w:ascii="Times New Roman" w:hAnsi="Times New Roman" w:cs="Times New Roman"/>
          <w:sz w:val="24"/>
          <w:szCs w:val="24"/>
          <w:lang w:val="en-US"/>
        </w:rPr>
        <w:t xml:space="preserve"> is that the subcontractor is not required to know of the existence of the exemption or limiting clause</w:t>
      </w:r>
      <w:r w:rsidR="006D18AA" w:rsidRPr="000F052B">
        <w:rPr>
          <w:rFonts w:ascii="Times New Roman" w:hAnsi="Times New Roman" w:cs="Times New Roman"/>
          <w:sz w:val="24"/>
          <w:szCs w:val="24"/>
          <w:lang w:val="en-US"/>
        </w:rPr>
        <w:t>. As Carter has noted, one may conclude that ‘many third party beneficiaries of exclusion clauses will have little difficulty in meeting Lord Reid’s third an</w:t>
      </w:r>
      <w:r w:rsidR="00302533">
        <w:rPr>
          <w:rFonts w:ascii="Times New Roman" w:hAnsi="Times New Roman" w:cs="Times New Roman"/>
          <w:sz w:val="24"/>
          <w:szCs w:val="24"/>
          <w:lang w:val="en-US"/>
        </w:rPr>
        <w:t>d fourth conditions</w:t>
      </w:r>
      <w:r w:rsidR="000D4297"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00AE331A" w:rsidRPr="000F052B">
        <w:rPr>
          <w:rStyle w:val="FootnoteReference"/>
          <w:rFonts w:ascii="Times New Roman" w:hAnsi="Times New Roman" w:cs="Times New Roman"/>
          <w:sz w:val="24"/>
          <w:szCs w:val="24"/>
          <w:lang w:val="en-US"/>
        </w:rPr>
        <w:footnoteReference w:id="99"/>
      </w:r>
      <w:r w:rsidR="006D18AA" w:rsidRPr="000F052B">
        <w:rPr>
          <w:rFonts w:ascii="Times New Roman" w:hAnsi="Times New Roman" w:cs="Times New Roman"/>
          <w:sz w:val="24"/>
          <w:szCs w:val="24"/>
          <w:lang w:val="en-US"/>
        </w:rPr>
        <w:t xml:space="preserve"> </w:t>
      </w:r>
    </w:p>
    <w:p w14:paraId="50D95D6F" w14:textId="11567D95" w:rsidR="00A10FC4" w:rsidRPr="000F052B" w:rsidRDefault="00096257"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 xml:space="preserve">Finally, </w:t>
      </w:r>
      <w:r w:rsidR="0035606D">
        <w:rPr>
          <w:rFonts w:ascii="Times New Roman" w:hAnsi="Times New Roman" w:cs="Times New Roman"/>
          <w:sz w:val="24"/>
          <w:szCs w:val="24"/>
          <w:lang w:val="en-US"/>
        </w:rPr>
        <w:t>it is worth mentioning the “vicarious immunity”</w:t>
      </w:r>
      <w:r w:rsidR="00012EAE" w:rsidRPr="000F052B">
        <w:rPr>
          <w:rFonts w:ascii="Times New Roman" w:hAnsi="Times New Roman" w:cs="Times New Roman"/>
          <w:sz w:val="24"/>
          <w:szCs w:val="24"/>
          <w:lang w:val="en-US"/>
        </w:rPr>
        <w:t xml:space="preserve"> clauses, which according to </w:t>
      </w:r>
      <w:r w:rsidR="00AC20FF" w:rsidRPr="000F052B">
        <w:rPr>
          <w:rFonts w:ascii="Times New Roman" w:hAnsi="Times New Roman" w:cs="Times New Roman"/>
          <w:sz w:val="24"/>
          <w:szCs w:val="24"/>
          <w:lang w:val="en-US"/>
        </w:rPr>
        <w:t>Browns</w:t>
      </w:r>
      <w:r w:rsidR="00012EAE" w:rsidRPr="000F052B">
        <w:rPr>
          <w:rFonts w:ascii="Times New Roman" w:hAnsi="Times New Roman" w:cs="Times New Roman"/>
          <w:sz w:val="24"/>
          <w:szCs w:val="24"/>
          <w:lang w:val="en-US"/>
        </w:rPr>
        <w:t>w</w:t>
      </w:r>
      <w:r w:rsidR="00AC20FF" w:rsidRPr="000F052B">
        <w:rPr>
          <w:rFonts w:ascii="Times New Roman" w:hAnsi="Times New Roman" w:cs="Times New Roman"/>
          <w:sz w:val="24"/>
          <w:szCs w:val="24"/>
          <w:lang w:val="en-US"/>
        </w:rPr>
        <w:t>o</w:t>
      </w:r>
      <w:r w:rsidR="00012EAE" w:rsidRPr="000F052B">
        <w:rPr>
          <w:rFonts w:ascii="Times New Roman" w:hAnsi="Times New Roman" w:cs="Times New Roman"/>
          <w:sz w:val="24"/>
          <w:szCs w:val="24"/>
          <w:lang w:val="en-US"/>
        </w:rPr>
        <w:t>rd are evidence of how ‘English law, having committed itself to a rather technical and schematic doctrine of contract, in application takes a practical approach’</w:t>
      </w:r>
      <w:r w:rsidR="00302533">
        <w:rPr>
          <w:rFonts w:ascii="Times New Roman" w:hAnsi="Times New Roman" w:cs="Times New Roman"/>
          <w:sz w:val="24"/>
          <w:szCs w:val="24"/>
          <w:lang w:val="en-US"/>
        </w:rPr>
        <w:t>.</w:t>
      </w:r>
      <w:r w:rsidR="000D4297" w:rsidRPr="000F052B">
        <w:rPr>
          <w:rStyle w:val="FootnoteReference"/>
          <w:rFonts w:ascii="Times New Roman" w:hAnsi="Times New Roman" w:cs="Times New Roman"/>
          <w:sz w:val="24"/>
          <w:szCs w:val="24"/>
          <w:lang w:val="en-US"/>
        </w:rPr>
        <w:footnoteReference w:id="100"/>
      </w:r>
      <w:r w:rsidR="00AC20FF" w:rsidRPr="000F052B">
        <w:rPr>
          <w:rFonts w:ascii="Times New Roman" w:hAnsi="Times New Roman" w:cs="Times New Roman"/>
          <w:sz w:val="24"/>
          <w:szCs w:val="24"/>
          <w:lang w:val="en-US"/>
        </w:rPr>
        <w:t xml:space="preserve"> </w:t>
      </w:r>
      <w:r w:rsidR="008C3767" w:rsidRPr="000F052B">
        <w:rPr>
          <w:rFonts w:ascii="Times New Roman" w:hAnsi="Times New Roman" w:cs="Times New Roman"/>
          <w:sz w:val="24"/>
          <w:szCs w:val="24"/>
          <w:lang w:val="en-US"/>
        </w:rPr>
        <w:t xml:space="preserve">Such reconstruction is surely apt as in </w:t>
      </w:r>
      <w:r w:rsidR="008C3767" w:rsidRPr="000F052B">
        <w:rPr>
          <w:rFonts w:ascii="Times New Roman" w:hAnsi="Times New Roman" w:cs="Times New Roman"/>
          <w:i/>
          <w:sz w:val="24"/>
          <w:szCs w:val="24"/>
          <w:lang w:val="en-US"/>
        </w:rPr>
        <w:t>Elder Dempster &amp; Co v Paterson, Zochinos &amp; Co Ltd</w:t>
      </w:r>
      <w:r w:rsidR="008C3767" w:rsidRPr="000F052B">
        <w:rPr>
          <w:rStyle w:val="FootnoteReference"/>
          <w:rFonts w:ascii="Times New Roman" w:hAnsi="Times New Roman" w:cs="Times New Roman"/>
          <w:sz w:val="24"/>
          <w:szCs w:val="24"/>
          <w:lang w:val="en-US"/>
        </w:rPr>
        <w:footnoteReference w:id="101"/>
      </w:r>
      <w:r w:rsidR="008C3767" w:rsidRPr="000F052B">
        <w:rPr>
          <w:rFonts w:ascii="Times New Roman" w:hAnsi="Times New Roman" w:cs="Times New Roman"/>
          <w:i/>
          <w:sz w:val="24"/>
          <w:szCs w:val="24"/>
          <w:lang w:val="en-US"/>
        </w:rPr>
        <w:t xml:space="preserve"> </w:t>
      </w:r>
      <w:r w:rsidR="008C3767" w:rsidRPr="000F052B">
        <w:rPr>
          <w:rFonts w:ascii="Times New Roman" w:hAnsi="Times New Roman" w:cs="Times New Roman"/>
          <w:sz w:val="24"/>
          <w:szCs w:val="24"/>
          <w:lang w:val="en-US"/>
        </w:rPr>
        <w:t>it was held that a clause exempting charter parties from liability extended to the owner of the ship who was not party to the contract of carriage.</w:t>
      </w:r>
      <w:r w:rsidR="00CA10A6" w:rsidRPr="000F052B">
        <w:rPr>
          <w:rFonts w:ascii="Times New Roman" w:hAnsi="Times New Roman" w:cs="Times New Roman"/>
          <w:sz w:val="24"/>
          <w:szCs w:val="24"/>
          <w:lang w:val="en-US"/>
        </w:rPr>
        <w:t xml:space="preserve"> </w:t>
      </w:r>
      <w:r w:rsidR="00AC20FF" w:rsidRPr="000F052B">
        <w:rPr>
          <w:rFonts w:ascii="Times New Roman" w:hAnsi="Times New Roman" w:cs="Times New Roman"/>
          <w:sz w:val="24"/>
          <w:szCs w:val="24"/>
          <w:lang w:val="en-US"/>
        </w:rPr>
        <w:t xml:space="preserve">Initially, </w:t>
      </w:r>
      <w:r w:rsidR="00CA10A6" w:rsidRPr="000F052B">
        <w:rPr>
          <w:rFonts w:ascii="Times New Roman" w:hAnsi="Times New Roman" w:cs="Times New Roman"/>
          <w:sz w:val="24"/>
          <w:szCs w:val="24"/>
          <w:lang w:val="en-US"/>
        </w:rPr>
        <w:t>Australia</w:t>
      </w:r>
      <w:r w:rsidR="00AC20FF" w:rsidRPr="000F052B">
        <w:rPr>
          <w:rFonts w:ascii="Times New Roman" w:hAnsi="Times New Roman" w:cs="Times New Roman"/>
          <w:sz w:val="24"/>
          <w:szCs w:val="24"/>
          <w:lang w:val="en-US"/>
        </w:rPr>
        <w:t xml:space="preserve">n courts had adopted </w:t>
      </w:r>
      <w:r w:rsidR="00CA10A6" w:rsidRPr="000F052B">
        <w:rPr>
          <w:rFonts w:ascii="Times New Roman" w:hAnsi="Times New Roman" w:cs="Times New Roman"/>
          <w:sz w:val="24"/>
          <w:szCs w:val="24"/>
          <w:lang w:val="en-US"/>
        </w:rPr>
        <w:t>the same a</w:t>
      </w:r>
      <w:r w:rsidR="00AC20FF" w:rsidRPr="000F052B">
        <w:rPr>
          <w:rFonts w:ascii="Times New Roman" w:hAnsi="Times New Roman" w:cs="Times New Roman"/>
          <w:sz w:val="24"/>
          <w:szCs w:val="24"/>
          <w:lang w:val="en-US"/>
        </w:rPr>
        <w:t>pproach in two bailment cases.</w:t>
      </w:r>
      <w:r w:rsidR="00AC20FF" w:rsidRPr="000F052B">
        <w:rPr>
          <w:rStyle w:val="FootnoteReference"/>
          <w:rFonts w:ascii="Times New Roman" w:hAnsi="Times New Roman" w:cs="Times New Roman"/>
          <w:sz w:val="24"/>
          <w:szCs w:val="24"/>
          <w:lang w:val="en-US"/>
        </w:rPr>
        <w:footnoteReference w:id="102"/>
      </w:r>
      <w:r w:rsidR="00AC20FF" w:rsidRPr="000F052B">
        <w:rPr>
          <w:rFonts w:ascii="Times New Roman" w:hAnsi="Times New Roman" w:cs="Times New Roman"/>
          <w:sz w:val="24"/>
          <w:szCs w:val="24"/>
          <w:lang w:val="en-US"/>
        </w:rPr>
        <w:t xml:space="preserve"> </w:t>
      </w:r>
      <w:r w:rsidR="005C16DE" w:rsidRPr="000F052B">
        <w:rPr>
          <w:rFonts w:ascii="Times New Roman" w:hAnsi="Times New Roman" w:cs="Times New Roman"/>
          <w:sz w:val="24"/>
          <w:szCs w:val="24"/>
          <w:lang w:val="en-US"/>
        </w:rPr>
        <w:t xml:space="preserve">Yet, in </w:t>
      </w:r>
      <w:r w:rsidR="00AC20FF" w:rsidRPr="000F052B">
        <w:rPr>
          <w:rFonts w:ascii="Times New Roman" w:hAnsi="Times New Roman" w:cs="Times New Roman"/>
          <w:i/>
          <w:sz w:val="24"/>
          <w:szCs w:val="24"/>
          <w:lang w:val="en-US"/>
        </w:rPr>
        <w:t>Wilson v Darling Island Stevedoring &amp; Litherage Co Ltd</w:t>
      </w:r>
      <w:r w:rsidR="005C16DE" w:rsidRPr="000F052B">
        <w:rPr>
          <w:rFonts w:ascii="Times New Roman" w:hAnsi="Times New Roman" w:cs="Times New Roman"/>
          <w:sz w:val="24"/>
          <w:szCs w:val="24"/>
          <w:lang w:val="en-US"/>
        </w:rPr>
        <w:t>,</w:t>
      </w:r>
      <w:r w:rsidR="005C16DE" w:rsidRPr="000F052B">
        <w:rPr>
          <w:rStyle w:val="FootnoteReference"/>
          <w:rFonts w:ascii="Times New Roman" w:hAnsi="Times New Roman" w:cs="Times New Roman"/>
          <w:sz w:val="24"/>
          <w:szCs w:val="24"/>
          <w:lang w:val="en-US"/>
        </w:rPr>
        <w:footnoteReference w:id="103"/>
      </w:r>
      <w:r w:rsidR="005C16DE" w:rsidRPr="000F052B">
        <w:rPr>
          <w:rFonts w:ascii="Times New Roman" w:hAnsi="Times New Roman" w:cs="Times New Roman"/>
          <w:sz w:val="24"/>
          <w:szCs w:val="24"/>
          <w:lang w:val="en-US"/>
        </w:rPr>
        <w:t xml:space="preserve"> the High Court has firmly disapproved it.</w:t>
      </w:r>
    </w:p>
    <w:p w14:paraId="347DCB91" w14:textId="77777777" w:rsidR="00BA471B" w:rsidRPr="000F052B" w:rsidRDefault="00BA471B" w:rsidP="00205AF2">
      <w:pPr>
        <w:spacing w:after="120" w:line="480" w:lineRule="auto"/>
        <w:jc w:val="both"/>
        <w:rPr>
          <w:rFonts w:ascii="Times New Roman" w:hAnsi="Times New Roman" w:cs="Times New Roman"/>
          <w:b/>
          <w:sz w:val="24"/>
          <w:szCs w:val="24"/>
          <w:lang w:val="en-US"/>
        </w:rPr>
      </w:pPr>
    </w:p>
    <w:p w14:paraId="03CE0456" w14:textId="7F4AB694" w:rsidR="00314A59" w:rsidRPr="00913ECF" w:rsidRDefault="006224A8" w:rsidP="00913ECF">
      <w:pPr>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2</w:t>
      </w:r>
      <w:r w:rsidR="00BA471B" w:rsidRPr="000F052B">
        <w:rPr>
          <w:rFonts w:ascii="Times New Roman" w:hAnsi="Times New Roman" w:cs="Times New Roman"/>
          <w:i/>
          <w:sz w:val="28"/>
          <w:szCs w:val="24"/>
          <w:lang w:val="en-US"/>
        </w:rPr>
        <w:t>.</w:t>
      </w:r>
      <w:r w:rsidR="00314A59" w:rsidRPr="000F052B">
        <w:rPr>
          <w:rFonts w:ascii="Times New Roman" w:hAnsi="Times New Roman" w:cs="Times New Roman"/>
          <w:i/>
          <w:sz w:val="28"/>
          <w:szCs w:val="24"/>
          <w:lang w:val="en-US"/>
        </w:rPr>
        <w:t xml:space="preserve"> South Africa</w:t>
      </w:r>
    </w:p>
    <w:p w14:paraId="2738EA81" w14:textId="26CAB2A8" w:rsidR="00B61B79" w:rsidRPr="000F052B" w:rsidRDefault="004D0520" w:rsidP="00205AF2">
      <w:pPr>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191A69" w:rsidRPr="000F052B">
        <w:rPr>
          <w:rFonts w:ascii="Times New Roman" w:hAnsi="Times New Roman" w:cs="Times New Roman"/>
          <w:sz w:val="24"/>
          <w:szCs w:val="24"/>
          <w:lang w:val="en-US"/>
        </w:rPr>
        <w:t>rivity</w:t>
      </w:r>
      <w:r w:rsidR="000F6381" w:rsidRPr="000F052B">
        <w:rPr>
          <w:rFonts w:ascii="Times New Roman" w:hAnsi="Times New Roman" w:cs="Times New Roman"/>
          <w:sz w:val="24"/>
          <w:szCs w:val="24"/>
          <w:lang w:val="en-US"/>
        </w:rPr>
        <w:t xml:space="preserve"> </w:t>
      </w:r>
      <w:r>
        <w:rPr>
          <w:rFonts w:ascii="Times New Roman" w:hAnsi="Times New Roman" w:cs="Times New Roman"/>
          <w:sz w:val="24"/>
          <w:szCs w:val="24"/>
          <w:lang w:val="en-US"/>
        </w:rPr>
        <w:t>is</w:t>
      </w:r>
      <w:r w:rsidR="000F6381" w:rsidRPr="000F052B">
        <w:rPr>
          <w:rFonts w:ascii="Times New Roman" w:hAnsi="Times New Roman" w:cs="Times New Roman"/>
          <w:sz w:val="24"/>
          <w:szCs w:val="24"/>
          <w:lang w:val="en-US"/>
        </w:rPr>
        <w:t xml:space="preserve"> a</w:t>
      </w:r>
      <w:r>
        <w:rPr>
          <w:rFonts w:ascii="Times New Roman" w:hAnsi="Times New Roman" w:cs="Times New Roman"/>
          <w:sz w:val="24"/>
          <w:szCs w:val="24"/>
          <w:lang w:val="en-US"/>
        </w:rPr>
        <w:t>n established</w:t>
      </w:r>
      <w:r w:rsidR="000F6381" w:rsidRPr="000F052B">
        <w:rPr>
          <w:rFonts w:ascii="Times New Roman" w:hAnsi="Times New Roman" w:cs="Times New Roman"/>
          <w:sz w:val="24"/>
          <w:szCs w:val="24"/>
          <w:lang w:val="en-US"/>
        </w:rPr>
        <w:t xml:space="preserve"> feature of </w:t>
      </w:r>
      <w:r>
        <w:rPr>
          <w:rFonts w:ascii="Times New Roman" w:hAnsi="Times New Roman" w:cs="Times New Roman"/>
          <w:sz w:val="24"/>
          <w:szCs w:val="24"/>
          <w:lang w:val="en-US"/>
        </w:rPr>
        <w:t xml:space="preserve">the </w:t>
      </w:r>
      <w:r w:rsidR="000F6381" w:rsidRPr="000F052B">
        <w:rPr>
          <w:rFonts w:ascii="Times New Roman" w:hAnsi="Times New Roman" w:cs="Times New Roman"/>
          <w:sz w:val="24"/>
          <w:szCs w:val="24"/>
          <w:lang w:val="en-US"/>
        </w:rPr>
        <w:t xml:space="preserve">South African </w:t>
      </w:r>
      <w:r w:rsidR="00E42DDB">
        <w:rPr>
          <w:rFonts w:ascii="Times New Roman" w:hAnsi="Times New Roman" w:cs="Times New Roman"/>
          <w:sz w:val="24"/>
          <w:szCs w:val="24"/>
          <w:lang w:val="en-US"/>
        </w:rPr>
        <w:t xml:space="preserve">common law of </w:t>
      </w:r>
      <w:r w:rsidR="000F6381" w:rsidRPr="000F052B">
        <w:rPr>
          <w:rFonts w:ascii="Times New Roman" w:hAnsi="Times New Roman" w:cs="Times New Roman"/>
          <w:sz w:val="24"/>
          <w:szCs w:val="24"/>
          <w:lang w:val="en-US"/>
        </w:rPr>
        <w:t xml:space="preserve">contract, </w:t>
      </w:r>
      <w:r w:rsidR="00191A69" w:rsidRPr="000F052B">
        <w:rPr>
          <w:rFonts w:ascii="Times New Roman" w:hAnsi="Times New Roman" w:cs="Times New Roman"/>
          <w:sz w:val="24"/>
          <w:szCs w:val="24"/>
          <w:lang w:val="en-US"/>
        </w:rPr>
        <w:t xml:space="preserve">which </w:t>
      </w:r>
      <w:r w:rsidR="000F6381" w:rsidRPr="000F052B">
        <w:rPr>
          <w:rFonts w:ascii="Times New Roman" w:hAnsi="Times New Roman" w:cs="Times New Roman"/>
          <w:sz w:val="24"/>
          <w:szCs w:val="24"/>
          <w:lang w:val="en-US"/>
        </w:rPr>
        <w:t>rest</w:t>
      </w:r>
      <w:r w:rsidR="00191A69" w:rsidRPr="000F052B">
        <w:rPr>
          <w:rFonts w:ascii="Times New Roman" w:hAnsi="Times New Roman" w:cs="Times New Roman"/>
          <w:sz w:val="24"/>
          <w:szCs w:val="24"/>
          <w:lang w:val="en-US"/>
        </w:rPr>
        <w:t>s</w:t>
      </w:r>
      <w:r w:rsidR="000F6381" w:rsidRPr="000F052B">
        <w:rPr>
          <w:rFonts w:ascii="Times New Roman" w:hAnsi="Times New Roman" w:cs="Times New Roman"/>
          <w:sz w:val="24"/>
          <w:szCs w:val="24"/>
          <w:lang w:val="en-US"/>
        </w:rPr>
        <w:t xml:space="preserve"> on the Roman</w:t>
      </w:r>
      <w:r w:rsidR="00302533">
        <w:rPr>
          <w:rFonts w:ascii="Times New Roman" w:hAnsi="Times New Roman" w:cs="Times New Roman"/>
          <w:sz w:val="24"/>
          <w:szCs w:val="24"/>
          <w:lang w:val="en-US"/>
        </w:rPr>
        <w:t xml:space="preserve"> Dutch notion of contract as a “</w:t>
      </w:r>
      <w:r w:rsidR="000F6381" w:rsidRPr="000F052B">
        <w:rPr>
          <w:rFonts w:ascii="Times New Roman" w:hAnsi="Times New Roman" w:cs="Times New Roman"/>
          <w:i/>
          <w:sz w:val="24"/>
          <w:szCs w:val="24"/>
          <w:lang w:val="en-US"/>
        </w:rPr>
        <w:t>vinculum iuris</w:t>
      </w:r>
      <w:r w:rsidR="00302533">
        <w:rPr>
          <w:rFonts w:ascii="Times New Roman" w:hAnsi="Times New Roman" w:cs="Times New Roman"/>
          <w:sz w:val="24"/>
          <w:szCs w:val="24"/>
          <w:lang w:val="en-US"/>
        </w:rPr>
        <w:t>”</w:t>
      </w:r>
      <w:r w:rsidR="000F6381" w:rsidRPr="000F052B">
        <w:rPr>
          <w:rFonts w:ascii="Times New Roman" w:hAnsi="Times New Roman" w:cs="Times New Roman"/>
          <w:sz w:val="24"/>
          <w:szCs w:val="24"/>
          <w:lang w:val="en-US"/>
        </w:rPr>
        <w:t xml:space="preserve">, </w:t>
      </w:r>
      <w:r w:rsidR="00191A69" w:rsidRPr="000F052B">
        <w:rPr>
          <w:rFonts w:ascii="Times New Roman" w:hAnsi="Times New Roman" w:cs="Times New Roman"/>
          <w:sz w:val="24"/>
          <w:szCs w:val="24"/>
          <w:lang w:val="en-US"/>
        </w:rPr>
        <w:t xml:space="preserve">which </w:t>
      </w:r>
      <w:r w:rsidR="000F6381" w:rsidRPr="000F052B">
        <w:rPr>
          <w:rFonts w:ascii="Times New Roman" w:hAnsi="Times New Roman" w:cs="Times New Roman"/>
          <w:sz w:val="24"/>
          <w:szCs w:val="24"/>
          <w:lang w:val="en-US"/>
        </w:rPr>
        <w:t>creat</w:t>
      </w:r>
      <w:r w:rsidR="00191A69" w:rsidRPr="000F052B">
        <w:rPr>
          <w:rFonts w:ascii="Times New Roman" w:hAnsi="Times New Roman" w:cs="Times New Roman"/>
          <w:sz w:val="24"/>
          <w:szCs w:val="24"/>
          <w:lang w:val="en-US"/>
        </w:rPr>
        <w:t>es</w:t>
      </w:r>
      <w:r w:rsidR="000F6381" w:rsidRPr="000F052B">
        <w:rPr>
          <w:rFonts w:ascii="Times New Roman" w:hAnsi="Times New Roman" w:cs="Times New Roman"/>
          <w:sz w:val="24"/>
          <w:szCs w:val="24"/>
          <w:lang w:val="en-US"/>
        </w:rPr>
        <w:t xml:space="preserve"> rights and duties only for the parties bound thereby.</w:t>
      </w:r>
      <w:r w:rsidR="007F10AA" w:rsidRPr="000F052B">
        <w:rPr>
          <w:rStyle w:val="FootnoteReference"/>
          <w:rFonts w:ascii="Times New Roman" w:hAnsi="Times New Roman" w:cs="Times New Roman"/>
          <w:sz w:val="24"/>
          <w:szCs w:val="24"/>
          <w:lang w:val="en-US"/>
        </w:rPr>
        <w:footnoteReference w:id="104"/>
      </w:r>
      <w:r w:rsidR="000F6381" w:rsidRPr="000F052B">
        <w:rPr>
          <w:rFonts w:ascii="Times New Roman" w:hAnsi="Times New Roman" w:cs="Times New Roman"/>
          <w:sz w:val="24"/>
          <w:szCs w:val="24"/>
          <w:lang w:val="en-US"/>
        </w:rPr>
        <w:t xml:space="preserve">  </w:t>
      </w:r>
      <w:r w:rsidR="00C61088" w:rsidRPr="000F052B">
        <w:rPr>
          <w:rFonts w:ascii="Times New Roman" w:hAnsi="Times New Roman" w:cs="Times New Roman"/>
          <w:sz w:val="24"/>
          <w:szCs w:val="24"/>
          <w:lang w:val="en-US"/>
        </w:rPr>
        <w:t xml:space="preserve">Historically, Roman law </w:t>
      </w:r>
      <w:r w:rsidR="00CD4EE8" w:rsidRPr="000F052B">
        <w:rPr>
          <w:rFonts w:ascii="Times New Roman" w:hAnsi="Times New Roman" w:cs="Times New Roman"/>
          <w:sz w:val="24"/>
          <w:szCs w:val="24"/>
          <w:lang w:val="en-US"/>
        </w:rPr>
        <w:t xml:space="preserve">(which is a conventional starting point for a history of South African law) </w:t>
      </w:r>
      <w:r w:rsidR="00C61088" w:rsidRPr="000F052B">
        <w:rPr>
          <w:rFonts w:ascii="Times New Roman" w:hAnsi="Times New Roman" w:cs="Times New Roman"/>
          <w:sz w:val="24"/>
          <w:szCs w:val="24"/>
          <w:lang w:val="en-US"/>
        </w:rPr>
        <w:t>knew no contract for the benefit of a third party, with privity of contract being strongly enforced</w:t>
      </w:r>
      <w:r w:rsidR="009B29CF" w:rsidRPr="000F052B">
        <w:rPr>
          <w:rFonts w:ascii="Times New Roman" w:hAnsi="Times New Roman" w:cs="Times New Roman"/>
          <w:sz w:val="24"/>
          <w:szCs w:val="24"/>
          <w:lang w:val="en-US"/>
        </w:rPr>
        <w:t>.</w:t>
      </w:r>
      <w:r w:rsidR="007F10AA" w:rsidRPr="000F052B">
        <w:rPr>
          <w:rStyle w:val="FootnoteReference"/>
          <w:rFonts w:ascii="Times New Roman" w:hAnsi="Times New Roman" w:cs="Times New Roman"/>
          <w:sz w:val="24"/>
          <w:szCs w:val="24"/>
          <w:lang w:val="en-US"/>
        </w:rPr>
        <w:footnoteReference w:id="105"/>
      </w:r>
      <w:r w:rsidR="009B29CF" w:rsidRPr="000F052B">
        <w:rPr>
          <w:rFonts w:ascii="Times New Roman" w:hAnsi="Times New Roman" w:cs="Times New Roman"/>
          <w:sz w:val="24"/>
          <w:szCs w:val="24"/>
          <w:lang w:val="en-US"/>
        </w:rPr>
        <w:t xml:space="preserve">  In </w:t>
      </w:r>
      <w:r w:rsidR="00C61088" w:rsidRPr="000F052B">
        <w:rPr>
          <w:rFonts w:ascii="Times New Roman" w:hAnsi="Times New Roman" w:cs="Times New Roman"/>
          <w:sz w:val="24"/>
          <w:szCs w:val="24"/>
          <w:lang w:val="en-US"/>
        </w:rPr>
        <w:t xml:space="preserve">the </w:t>
      </w:r>
      <w:r w:rsidR="009B29CF" w:rsidRPr="000F052B">
        <w:rPr>
          <w:rFonts w:ascii="Times New Roman" w:hAnsi="Times New Roman" w:cs="Times New Roman"/>
          <w:sz w:val="24"/>
          <w:szCs w:val="24"/>
          <w:lang w:val="en-US"/>
        </w:rPr>
        <w:t>Roman Dutch law</w:t>
      </w:r>
      <w:r w:rsidR="00C61088" w:rsidRPr="000F052B">
        <w:rPr>
          <w:rFonts w:ascii="Times New Roman" w:hAnsi="Times New Roman" w:cs="Times New Roman"/>
          <w:sz w:val="24"/>
          <w:szCs w:val="24"/>
          <w:lang w:val="en-US"/>
        </w:rPr>
        <w:t xml:space="preserve"> period</w:t>
      </w:r>
      <w:r w:rsidR="009B29CF" w:rsidRPr="000F052B">
        <w:rPr>
          <w:rFonts w:ascii="Times New Roman" w:hAnsi="Times New Roman" w:cs="Times New Roman"/>
          <w:sz w:val="24"/>
          <w:szCs w:val="24"/>
          <w:lang w:val="en-US"/>
        </w:rPr>
        <w:t xml:space="preserve">, </w:t>
      </w:r>
      <w:r w:rsidR="000714FC" w:rsidRPr="000F052B">
        <w:rPr>
          <w:rFonts w:ascii="Times New Roman" w:hAnsi="Times New Roman" w:cs="Times New Roman"/>
          <w:sz w:val="24"/>
          <w:szCs w:val="24"/>
          <w:lang w:val="en-US"/>
        </w:rPr>
        <w:t>which was the legal system transplanted to South Africa upon Dutch coloni</w:t>
      </w:r>
      <w:r w:rsidR="00A046BC">
        <w:rPr>
          <w:rFonts w:ascii="Times New Roman" w:hAnsi="Times New Roman" w:cs="Times New Roman"/>
          <w:sz w:val="24"/>
          <w:szCs w:val="24"/>
          <w:lang w:val="en-US"/>
        </w:rPr>
        <w:t>z</w:t>
      </w:r>
      <w:r w:rsidR="000714FC" w:rsidRPr="000F052B">
        <w:rPr>
          <w:rFonts w:ascii="Times New Roman" w:hAnsi="Times New Roman" w:cs="Times New Roman"/>
          <w:sz w:val="24"/>
          <w:szCs w:val="24"/>
          <w:lang w:val="en-US"/>
        </w:rPr>
        <w:t xml:space="preserve">ation in 1652, </w:t>
      </w:r>
      <w:r w:rsidR="009B29CF" w:rsidRPr="000F052B">
        <w:rPr>
          <w:rFonts w:ascii="Times New Roman" w:hAnsi="Times New Roman" w:cs="Times New Roman"/>
          <w:sz w:val="24"/>
          <w:szCs w:val="24"/>
          <w:lang w:val="en-US"/>
        </w:rPr>
        <w:t>the majority of writers accepted that there could be a contract for the benefit of a third party,</w:t>
      </w:r>
      <w:r w:rsidR="00546CC3" w:rsidRPr="000F052B">
        <w:rPr>
          <w:rStyle w:val="FootnoteReference"/>
          <w:rFonts w:ascii="Times New Roman" w:hAnsi="Times New Roman" w:cs="Times New Roman"/>
          <w:sz w:val="24"/>
          <w:szCs w:val="24"/>
          <w:lang w:val="en-US"/>
        </w:rPr>
        <w:footnoteReference w:id="106"/>
      </w:r>
      <w:r w:rsidR="009B29CF" w:rsidRPr="000F052B">
        <w:rPr>
          <w:rFonts w:ascii="Times New Roman" w:hAnsi="Times New Roman" w:cs="Times New Roman"/>
          <w:sz w:val="24"/>
          <w:szCs w:val="24"/>
          <w:lang w:val="en-US"/>
        </w:rPr>
        <w:t xml:space="preserve"> a</w:t>
      </w:r>
      <w:r w:rsidR="00C61088" w:rsidRPr="000F052B">
        <w:rPr>
          <w:rFonts w:ascii="Times New Roman" w:hAnsi="Times New Roman" w:cs="Times New Roman"/>
          <w:sz w:val="24"/>
          <w:szCs w:val="24"/>
          <w:lang w:val="en-US"/>
        </w:rPr>
        <w:t xml:space="preserve"> </w:t>
      </w:r>
      <w:r w:rsidR="009B29CF" w:rsidRPr="000F052B">
        <w:rPr>
          <w:rFonts w:ascii="Times New Roman" w:hAnsi="Times New Roman" w:cs="Times New Roman"/>
          <w:sz w:val="24"/>
          <w:szCs w:val="24"/>
          <w:lang w:val="en-US"/>
        </w:rPr>
        <w:t xml:space="preserve">position </w:t>
      </w:r>
      <w:r w:rsidR="000714FC" w:rsidRPr="000F052B">
        <w:rPr>
          <w:rFonts w:ascii="Times New Roman" w:hAnsi="Times New Roman" w:cs="Times New Roman"/>
          <w:sz w:val="24"/>
          <w:szCs w:val="24"/>
          <w:lang w:val="en-US"/>
        </w:rPr>
        <w:t xml:space="preserve">which </w:t>
      </w:r>
      <w:r w:rsidR="009B29CF" w:rsidRPr="000F052B">
        <w:rPr>
          <w:rFonts w:ascii="Times New Roman" w:hAnsi="Times New Roman" w:cs="Times New Roman"/>
          <w:sz w:val="24"/>
          <w:szCs w:val="24"/>
          <w:lang w:val="en-US"/>
        </w:rPr>
        <w:t xml:space="preserve">was privileged </w:t>
      </w:r>
      <w:r w:rsidR="00C61088" w:rsidRPr="000F052B">
        <w:rPr>
          <w:rFonts w:ascii="Times New Roman" w:hAnsi="Times New Roman" w:cs="Times New Roman"/>
          <w:sz w:val="24"/>
          <w:szCs w:val="24"/>
          <w:lang w:val="en-US"/>
        </w:rPr>
        <w:t xml:space="preserve">over the English law </w:t>
      </w:r>
      <w:r w:rsidR="009B29CF" w:rsidRPr="000F052B">
        <w:rPr>
          <w:rFonts w:ascii="Times New Roman" w:hAnsi="Times New Roman" w:cs="Times New Roman"/>
          <w:sz w:val="24"/>
          <w:szCs w:val="24"/>
          <w:lang w:val="en-US"/>
        </w:rPr>
        <w:t xml:space="preserve">by the early nineteenth century cases in South </w:t>
      </w:r>
      <w:r w:rsidR="009B29CF" w:rsidRPr="000F052B">
        <w:rPr>
          <w:rFonts w:ascii="Times New Roman" w:hAnsi="Times New Roman" w:cs="Times New Roman"/>
          <w:sz w:val="24"/>
          <w:szCs w:val="24"/>
          <w:lang w:val="en-US"/>
        </w:rPr>
        <w:lastRenderedPageBreak/>
        <w:t>Africa.</w:t>
      </w:r>
      <w:r w:rsidR="00F22167" w:rsidRPr="000F052B">
        <w:rPr>
          <w:rStyle w:val="FootnoteReference"/>
          <w:rFonts w:ascii="Times New Roman" w:hAnsi="Times New Roman" w:cs="Times New Roman"/>
          <w:sz w:val="24"/>
          <w:szCs w:val="24"/>
          <w:lang w:val="en-US"/>
        </w:rPr>
        <w:footnoteReference w:id="107"/>
      </w:r>
      <w:r w:rsidR="009B29CF" w:rsidRPr="000F052B">
        <w:rPr>
          <w:rFonts w:ascii="Times New Roman" w:hAnsi="Times New Roman" w:cs="Times New Roman"/>
          <w:sz w:val="24"/>
          <w:szCs w:val="24"/>
          <w:lang w:val="en-US"/>
        </w:rPr>
        <w:t xml:space="preserve">  During this formative period in South Africa’s history, the role of </w:t>
      </w:r>
      <w:r w:rsidR="00C61088" w:rsidRPr="000F052B">
        <w:rPr>
          <w:rFonts w:ascii="Times New Roman" w:hAnsi="Times New Roman" w:cs="Times New Roman"/>
          <w:sz w:val="24"/>
          <w:szCs w:val="24"/>
          <w:lang w:val="en-US"/>
        </w:rPr>
        <w:t xml:space="preserve">the </w:t>
      </w:r>
      <w:r w:rsidR="009B29CF" w:rsidRPr="000F052B">
        <w:rPr>
          <w:rFonts w:ascii="Times New Roman" w:hAnsi="Times New Roman" w:cs="Times New Roman"/>
          <w:sz w:val="24"/>
          <w:szCs w:val="24"/>
          <w:lang w:val="en-US"/>
        </w:rPr>
        <w:t xml:space="preserve">English doctrine of consideration was as </w:t>
      </w:r>
      <w:r w:rsidR="000F6381" w:rsidRPr="000F052B">
        <w:rPr>
          <w:rFonts w:ascii="Times New Roman" w:hAnsi="Times New Roman" w:cs="Times New Roman"/>
          <w:sz w:val="24"/>
          <w:szCs w:val="24"/>
          <w:lang w:val="en-US"/>
        </w:rPr>
        <w:t xml:space="preserve">of </w:t>
      </w:r>
      <w:r w:rsidR="009B29CF" w:rsidRPr="000F052B">
        <w:rPr>
          <w:rFonts w:ascii="Times New Roman" w:hAnsi="Times New Roman" w:cs="Times New Roman"/>
          <w:sz w:val="24"/>
          <w:szCs w:val="24"/>
          <w:lang w:val="en-US"/>
        </w:rPr>
        <w:t>yet uncertain.</w:t>
      </w:r>
      <w:r w:rsidR="00546CC3" w:rsidRPr="000F052B">
        <w:rPr>
          <w:rStyle w:val="FootnoteReference"/>
          <w:rFonts w:ascii="Times New Roman" w:hAnsi="Times New Roman" w:cs="Times New Roman"/>
          <w:sz w:val="24"/>
          <w:szCs w:val="24"/>
          <w:lang w:val="en-US"/>
        </w:rPr>
        <w:footnoteReference w:id="108"/>
      </w:r>
      <w:r w:rsidR="009B29CF" w:rsidRPr="000F052B">
        <w:rPr>
          <w:rFonts w:ascii="Times New Roman" w:hAnsi="Times New Roman" w:cs="Times New Roman"/>
          <w:sz w:val="24"/>
          <w:szCs w:val="24"/>
          <w:lang w:val="en-US"/>
        </w:rPr>
        <w:t xml:space="preserve">  In </w:t>
      </w:r>
      <w:r w:rsidR="009B29CF" w:rsidRPr="000F052B">
        <w:rPr>
          <w:rFonts w:ascii="Times New Roman" w:hAnsi="Times New Roman" w:cs="Times New Roman"/>
          <w:i/>
          <w:sz w:val="24"/>
          <w:szCs w:val="24"/>
          <w:lang w:val="en-US"/>
        </w:rPr>
        <w:t>Tradesmen</w:t>
      </w:r>
      <w:r w:rsidR="000F6381" w:rsidRPr="000F052B">
        <w:rPr>
          <w:rFonts w:ascii="Times New Roman" w:hAnsi="Times New Roman" w:cs="Times New Roman"/>
          <w:i/>
          <w:sz w:val="24"/>
          <w:szCs w:val="24"/>
          <w:lang w:val="en-US"/>
        </w:rPr>
        <w:t>’</w:t>
      </w:r>
      <w:r w:rsidR="009B29CF" w:rsidRPr="000F052B">
        <w:rPr>
          <w:rFonts w:ascii="Times New Roman" w:hAnsi="Times New Roman" w:cs="Times New Roman"/>
          <w:i/>
          <w:sz w:val="24"/>
          <w:szCs w:val="24"/>
          <w:lang w:val="en-US"/>
        </w:rPr>
        <w:t>s Benefit Society v Du Preez</w:t>
      </w:r>
      <w:r w:rsidR="009B29CF" w:rsidRPr="000F052B">
        <w:rPr>
          <w:rFonts w:ascii="Times New Roman" w:hAnsi="Times New Roman" w:cs="Times New Roman"/>
          <w:sz w:val="24"/>
          <w:szCs w:val="24"/>
          <w:lang w:val="en-US"/>
        </w:rPr>
        <w:t>, Lord Henry de Villiers,</w:t>
      </w:r>
      <w:r w:rsidR="00C61088" w:rsidRPr="000F052B">
        <w:rPr>
          <w:rFonts w:ascii="Times New Roman" w:hAnsi="Times New Roman" w:cs="Times New Roman"/>
          <w:sz w:val="24"/>
          <w:szCs w:val="24"/>
          <w:lang w:val="en-US"/>
        </w:rPr>
        <w:t xml:space="preserve"> then</w:t>
      </w:r>
      <w:r w:rsidR="009B29CF" w:rsidRPr="000F052B">
        <w:rPr>
          <w:rFonts w:ascii="Times New Roman" w:hAnsi="Times New Roman" w:cs="Times New Roman"/>
          <w:sz w:val="24"/>
          <w:szCs w:val="24"/>
          <w:lang w:val="en-US"/>
        </w:rPr>
        <w:t xml:space="preserve"> Chief Justice of the Cape </w:t>
      </w:r>
      <w:r w:rsidR="00A046BC">
        <w:rPr>
          <w:rFonts w:ascii="Times New Roman" w:hAnsi="Times New Roman" w:cs="Times New Roman"/>
          <w:sz w:val="24"/>
          <w:szCs w:val="24"/>
          <w:lang w:val="en-US"/>
        </w:rPr>
        <w:t>colony</w:t>
      </w:r>
      <w:r w:rsidR="009B29CF" w:rsidRPr="000F052B">
        <w:rPr>
          <w:rFonts w:ascii="Times New Roman" w:hAnsi="Times New Roman" w:cs="Times New Roman"/>
          <w:sz w:val="24"/>
          <w:szCs w:val="24"/>
          <w:lang w:val="en-US"/>
        </w:rPr>
        <w:t xml:space="preserve"> in an as of yet un</w:t>
      </w:r>
      <w:r w:rsidR="000F6381" w:rsidRPr="000F052B">
        <w:rPr>
          <w:rFonts w:ascii="Times New Roman" w:hAnsi="Times New Roman" w:cs="Times New Roman"/>
          <w:sz w:val="24"/>
          <w:szCs w:val="24"/>
          <w:lang w:val="en-US"/>
        </w:rPr>
        <w:t>-</w:t>
      </w:r>
      <w:r w:rsidR="009B29CF" w:rsidRPr="000F052B">
        <w:rPr>
          <w:rFonts w:ascii="Times New Roman" w:hAnsi="Times New Roman" w:cs="Times New Roman"/>
          <w:sz w:val="24"/>
          <w:szCs w:val="24"/>
          <w:lang w:val="en-US"/>
        </w:rPr>
        <w:t xml:space="preserve">unified South Africa, </w:t>
      </w:r>
      <w:r w:rsidR="00FD0D39" w:rsidRPr="000F052B">
        <w:rPr>
          <w:rFonts w:ascii="Times New Roman" w:hAnsi="Times New Roman" w:cs="Times New Roman"/>
          <w:sz w:val="24"/>
          <w:szCs w:val="24"/>
          <w:lang w:val="en-US"/>
        </w:rPr>
        <w:t>married the doctrine of consideration and the Roman Dutch contract for the benefit of a third party</w:t>
      </w:r>
      <w:r w:rsidR="000F6381" w:rsidRPr="000F052B">
        <w:rPr>
          <w:rFonts w:ascii="Times New Roman" w:hAnsi="Times New Roman" w:cs="Times New Roman"/>
          <w:sz w:val="24"/>
          <w:szCs w:val="24"/>
          <w:lang w:val="en-US"/>
        </w:rPr>
        <w:t>,</w:t>
      </w:r>
      <w:r w:rsidR="00FD0D39" w:rsidRPr="000F052B">
        <w:rPr>
          <w:rFonts w:ascii="Times New Roman" w:hAnsi="Times New Roman" w:cs="Times New Roman"/>
          <w:sz w:val="24"/>
          <w:szCs w:val="24"/>
          <w:lang w:val="en-US"/>
        </w:rPr>
        <w:t xml:space="preserve"> by </w:t>
      </w:r>
      <w:r w:rsidR="000F6381" w:rsidRPr="000F052B">
        <w:rPr>
          <w:rFonts w:ascii="Times New Roman" w:hAnsi="Times New Roman" w:cs="Times New Roman"/>
          <w:sz w:val="24"/>
          <w:szCs w:val="24"/>
          <w:lang w:val="en-US"/>
        </w:rPr>
        <w:t>holding that t</w:t>
      </w:r>
      <w:r w:rsidR="00302533">
        <w:rPr>
          <w:rFonts w:ascii="Times New Roman" w:hAnsi="Times New Roman" w:cs="Times New Roman"/>
          <w:sz w:val="24"/>
          <w:szCs w:val="24"/>
          <w:lang w:val="en-US"/>
        </w:rPr>
        <w:t>he consideration (described as “</w:t>
      </w:r>
      <w:r w:rsidR="000F6381" w:rsidRPr="005B509E">
        <w:rPr>
          <w:rFonts w:ascii="Times New Roman" w:hAnsi="Times New Roman" w:cs="Times New Roman"/>
          <w:i/>
          <w:sz w:val="24"/>
          <w:szCs w:val="24"/>
          <w:lang w:val="en-US"/>
        </w:rPr>
        <w:t>iusta</w:t>
      </w:r>
      <w:r w:rsidR="000F6381" w:rsidRPr="000F052B">
        <w:rPr>
          <w:rFonts w:ascii="Times New Roman" w:hAnsi="Times New Roman" w:cs="Times New Roman"/>
          <w:sz w:val="24"/>
          <w:szCs w:val="24"/>
          <w:lang w:val="en-US"/>
        </w:rPr>
        <w:t xml:space="preserve"> </w:t>
      </w:r>
      <w:r w:rsidR="000F6381" w:rsidRPr="005B509E">
        <w:rPr>
          <w:rFonts w:ascii="Times New Roman" w:hAnsi="Times New Roman" w:cs="Times New Roman"/>
          <w:i/>
          <w:sz w:val="24"/>
          <w:szCs w:val="24"/>
          <w:lang w:val="en-US"/>
        </w:rPr>
        <w:t>causa</w:t>
      </w:r>
      <w:r w:rsidR="00302533">
        <w:rPr>
          <w:rFonts w:ascii="Times New Roman" w:hAnsi="Times New Roman" w:cs="Times New Roman"/>
          <w:sz w:val="24"/>
          <w:szCs w:val="24"/>
          <w:lang w:val="en-US"/>
        </w:rPr>
        <w:t xml:space="preserve">” </w:t>
      </w:r>
      <w:r w:rsidR="000F6381" w:rsidRPr="000F052B">
        <w:rPr>
          <w:rFonts w:ascii="Times New Roman" w:hAnsi="Times New Roman" w:cs="Times New Roman"/>
          <w:sz w:val="24"/>
          <w:szCs w:val="24"/>
          <w:lang w:val="en-US"/>
        </w:rPr>
        <w:t xml:space="preserve">to better fit into the Roman Dutch </w:t>
      </w:r>
      <w:r w:rsidR="00E42DDB">
        <w:rPr>
          <w:rFonts w:ascii="Times New Roman" w:hAnsi="Times New Roman" w:cs="Times New Roman"/>
          <w:sz w:val="24"/>
          <w:szCs w:val="24"/>
          <w:lang w:val="en-US"/>
        </w:rPr>
        <w:t>mo</w:t>
      </w:r>
      <w:r w:rsidR="00C61088" w:rsidRPr="000F052B">
        <w:rPr>
          <w:rFonts w:ascii="Times New Roman" w:hAnsi="Times New Roman" w:cs="Times New Roman"/>
          <w:sz w:val="24"/>
          <w:szCs w:val="24"/>
          <w:lang w:val="en-US"/>
        </w:rPr>
        <w:t>ld</w:t>
      </w:r>
      <w:r w:rsidR="000F6381" w:rsidRPr="000F052B">
        <w:rPr>
          <w:rFonts w:ascii="Times New Roman" w:hAnsi="Times New Roman" w:cs="Times New Roman"/>
          <w:sz w:val="24"/>
          <w:szCs w:val="24"/>
          <w:lang w:val="en-US"/>
        </w:rPr>
        <w:t xml:space="preserve">) </w:t>
      </w:r>
      <w:r w:rsidR="00C61088" w:rsidRPr="000F052B">
        <w:rPr>
          <w:rFonts w:ascii="Times New Roman" w:hAnsi="Times New Roman" w:cs="Times New Roman"/>
          <w:sz w:val="24"/>
          <w:szCs w:val="24"/>
          <w:lang w:val="en-US"/>
        </w:rPr>
        <w:t xml:space="preserve">must move, </w:t>
      </w:r>
      <w:r w:rsidR="000F6381" w:rsidRPr="000F052B">
        <w:rPr>
          <w:rFonts w:ascii="Times New Roman" w:hAnsi="Times New Roman" w:cs="Times New Roman"/>
          <w:sz w:val="24"/>
          <w:szCs w:val="24"/>
          <w:lang w:val="en-US"/>
        </w:rPr>
        <w:t>in this scenario</w:t>
      </w:r>
      <w:r w:rsidR="00C61088" w:rsidRPr="000F052B">
        <w:rPr>
          <w:rFonts w:ascii="Times New Roman" w:hAnsi="Times New Roman" w:cs="Times New Roman"/>
          <w:sz w:val="24"/>
          <w:szCs w:val="24"/>
          <w:lang w:val="en-US"/>
        </w:rPr>
        <w:t>,</w:t>
      </w:r>
      <w:r w:rsidR="000F6381" w:rsidRPr="000F052B">
        <w:rPr>
          <w:rFonts w:ascii="Times New Roman" w:hAnsi="Times New Roman" w:cs="Times New Roman"/>
          <w:sz w:val="24"/>
          <w:szCs w:val="24"/>
          <w:lang w:val="en-US"/>
        </w:rPr>
        <w:t xml:space="preserve"> </w:t>
      </w:r>
      <w:r w:rsidR="00C61088" w:rsidRPr="000F052B">
        <w:rPr>
          <w:rFonts w:ascii="Times New Roman" w:hAnsi="Times New Roman" w:cs="Times New Roman"/>
          <w:sz w:val="24"/>
          <w:szCs w:val="24"/>
          <w:lang w:val="en-US"/>
        </w:rPr>
        <w:t>from</w:t>
      </w:r>
      <w:r w:rsidR="000F6381" w:rsidRPr="000F052B">
        <w:rPr>
          <w:rFonts w:ascii="Times New Roman" w:hAnsi="Times New Roman" w:cs="Times New Roman"/>
          <w:sz w:val="24"/>
          <w:szCs w:val="24"/>
          <w:lang w:val="en-US"/>
        </w:rPr>
        <w:t xml:space="preserve"> the beneficiary to the promisor.</w:t>
      </w:r>
      <w:r w:rsidR="00F22167" w:rsidRPr="000F052B">
        <w:rPr>
          <w:rStyle w:val="FootnoteReference"/>
          <w:rFonts w:ascii="Times New Roman" w:hAnsi="Times New Roman" w:cs="Times New Roman"/>
          <w:sz w:val="24"/>
          <w:szCs w:val="24"/>
          <w:lang w:val="en-US"/>
        </w:rPr>
        <w:footnoteReference w:id="109"/>
      </w:r>
      <w:r w:rsidR="00FD0D39" w:rsidRPr="000F052B">
        <w:rPr>
          <w:rFonts w:ascii="Times New Roman" w:hAnsi="Times New Roman" w:cs="Times New Roman"/>
          <w:sz w:val="24"/>
          <w:szCs w:val="24"/>
          <w:lang w:val="en-US"/>
        </w:rPr>
        <w:t xml:space="preserve">  </w:t>
      </w:r>
      <w:r w:rsidR="00C61088" w:rsidRPr="000F052B">
        <w:rPr>
          <w:rFonts w:ascii="Times New Roman" w:hAnsi="Times New Roman" w:cs="Times New Roman"/>
          <w:sz w:val="24"/>
          <w:szCs w:val="24"/>
          <w:lang w:val="en-US"/>
        </w:rPr>
        <w:t xml:space="preserve">This avoided the English complication that the beneficiary often receives a gratuitous benefit.  </w:t>
      </w:r>
      <w:r w:rsidR="003D15E1" w:rsidRPr="000F052B">
        <w:rPr>
          <w:rFonts w:ascii="Times New Roman" w:hAnsi="Times New Roman" w:cs="Times New Roman"/>
          <w:sz w:val="24"/>
          <w:szCs w:val="24"/>
          <w:lang w:val="en-US"/>
        </w:rPr>
        <w:t>The doctrine of consideration was</w:t>
      </w:r>
      <w:r w:rsidR="001C2CF8" w:rsidRPr="000F052B">
        <w:rPr>
          <w:rFonts w:ascii="Times New Roman" w:hAnsi="Times New Roman" w:cs="Times New Roman"/>
          <w:sz w:val="24"/>
          <w:szCs w:val="24"/>
          <w:lang w:val="en-US"/>
        </w:rPr>
        <w:t>, however,</w:t>
      </w:r>
      <w:r w:rsidR="003D15E1" w:rsidRPr="000F052B">
        <w:rPr>
          <w:rFonts w:ascii="Times New Roman" w:hAnsi="Times New Roman" w:cs="Times New Roman"/>
          <w:sz w:val="24"/>
          <w:szCs w:val="24"/>
          <w:lang w:val="en-US"/>
        </w:rPr>
        <w:t xml:space="preserve"> jettisoned</w:t>
      </w:r>
      <w:r w:rsidR="001C2CF8" w:rsidRPr="000F052B">
        <w:rPr>
          <w:rFonts w:ascii="Times New Roman" w:hAnsi="Times New Roman" w:cs="Times New Roman"/>
          <w:sz w:val="24"/>
          <w:szCs w:val="24"/>
          <w:lang w:val="en-US"/>
        </w:rPr>
        <w:t xml:space="preserve"> from South African contract law</w:t>
      </w:r>
      <w:r w:rsidR="003D15E1" w:rsidRPr="000F052B">
        <w:rPr>
          <w:rFonts w:ascii="Times New Roman" w:hAnsi="Times New Roman" w:cs="Times New Roman"/>
          <w:sz w:val="24"/>
          <w:szCs w:val="24"/>
          <w:lang w:val="en-US"/>
        </w:rPr>
        <w:t xml:space="preserve"> by the then apex Appellate Division in 1919</w:t>
      </w:r>
      <w:r w:rsidR="001C2CF8" w:rsidRPr="000F052B">
        <w:rPr>
          <w:rFonts w:ascii="Times New Roman" w:hAnsi="Times New Roman" w:cs="Times New Roman"/>
          <w:sz w:val="24"/>
          <w:szCs w:val="24"/>
          <w:lang w:val="en-US"/>
        </w:rPr>
        <w:t>.</w:t>
      </w:r>
      <w:r w:rsidR="00F22167" w:rsidRPr="000F052B">
        <w:rPr>
          <w:rStyle w:val="FootnoteReference"/>
          <w:rFonts w:ascii="Times New Roman" w:hAnsi="Times New Roman" w:cs="Times New Roman"/>
          <w:sz w:val="24"/>
          <w:szCs w:val="24"/>
          <w:lang w:val="en-US"/>
        </w:rPr>
        <w:footnoteReference w:id="110"/>
      </w:r>
      <w:r w:rsidR="001C2CF8" w:rsidRPr="000F052B">
        <w:rPr>
          <w:rFonts w:ascii="Times New Roman" w:hAnsi="Times New Roman" w:cs="Times New Roman"/>
          <w:sz w:val="24"/>
          <w:szCs w:val="24"/>
          <w:lang w:val="en-US"/>
        </w:rPr>
        <w:t xml:space="preserve">  There</w:t>
      </w:r>
      <w:r w:rsidR="00AC17A8" w:rsidRPr="000F052B">
        <w:rPr>
          <w:rFonts w:ascii="Times New Roman" w:hAnsi="Times New Roman" w:cs="Times New Roman"/>
          <w:sz w:val="24"/>
          <w:szCs w:val="24"/>
          <w:lang w:val="en-US"/>
        </w:rPr>
        <w:t xml:space="preserve"> the majority </w:t>
      </w:r>
      <w:r w:rsidR="001C2CF8" w:rsidRPr="000F052B">
        <w:rPr>
          <w:rFonts w:ascii="Times New Roman" w:hAnsi="Times New Roman" w:cs="Times New Roman"/>
          <w:sz w:val="24"/>
          <w:szCs w:val="24"/>
          <w:lang w:val="en-US"/>
        </w:rPr>
        <w:t xml:space="preserve">of the court </w:t>
      </w:r>
      <w:r w:rsidR="00AC17A8" w:rsidRPr="000F052B">
        <w:rPr>
          <w:rFonts w:ascii="Times New Roman" w:hAnsi="Times New Roman" w:cs="Times New Roman"/>
          <w:sz w:val="24"/>
          <w:szCs w:val="24"/>
          <w:lang w:val="en-US"/>
        </w:rPr>
        <w:t xml:space="preserve">rejected De Villiers’s equation of consideration and </w:t>
      </w:r>
      <w:r w:rsidR="00E42DDB" w:rsidRPr="005B509E">
        <w:rPr>
          <w:rFonts w:ascii="Times New Roman" w:hAnsi="Times New Roman" w:cs="Times New Roman"/>
          <w:i/>
          <w:sz w:val="24"/>
          <w:szCs w:val="24"/>
          <w:lang w:val="en-US"/>
        </w:rPr>
        <w:t>iusta</w:t>
      </w:r>
      <w:r w:rsidR="00AC17A8" w:rsidRPr="005B509E">
        <w:rPr>
          <w:rFonts w:ascii="Times New Roman" w:hAnsi="Times New Roman" w:cs="Times New Roman"/>
          <w:i/>
          <w:sz w:val="24"/>
          <w:szCs w:val="24"/>
          <w:lang w:val="en-US"/>
        </w:rPr>
        <w:t xml:space="preserve"> causa</w:t>
      </w:r>
      <w:r w:rsidR="001C2CF8" w:rsidRPr="000F052B">
        <w:rPr>
          <w:rFonts w:ascii="Times New Roman" w:hAnsi="Times New Roman" w:cs="Times New Roman"/>
          <w:sz w:val="24"/>
          <w:szCs w:val="24"/>
          <w:lang w:val="en-US"/>
        </w:rPr>
        <w:t>, with the result that contract</w:t>
      </w:r>
      <w:r w:rsidR="000714FC" w:rsidRPr="000F052B">
        <w:rPr>
          <w:rFonts w:ascii="Times New Roman" w:hAnsi="Times New Roman" w:cs="Times New Roman"/>
          <w:sz w:val="24"/>
          <w:szCs w:val="24"/>
          <w:lang w:val="en-US"/>
        </w:rPr>
        <w:t>s</w:t>
      </w:r>
      <w:r w:rsidR="001C2CF8" w:rsidRPr="000F052B">
        <w:rPr>
          <w:rFonts w:ascii="Times New Roman" w:hAnsi="Times New Roman" w:cs="Times New Roman"/>
          <w:sz w:val="24"/>
          <w:szCs w:val="24"/>
          <w:lang w:val="en-US"/>
        </w:rPr>
        <w:t xml:space="preserve"> in South Africa today are created merely by offer and acceptance</w:t>
      </w:r>
      <w:r w:rsidR="00AC17A8" w:rsidRPr="000F052B">
        <w:rPr>
          <w:rFonts w:ascii="Times New Roman" w:hAnsi="Times New Roman" w:cs="Times New Roman"/>
          <w:sz w:val="24"/>
          <w:szCs w:val="24"/>
          <w:lang w:val="en-US"/>
        </w:rPr>
        <w:t>.</w:t>
      </w:r>
      <w:r w:rsidR="00F703FA" w:rsidRPr="000F052B">
        <w:rPr>
          <w:rStyle w:val="FootnoteReference"/>
          <w:rFonts w:ascii="Times New Roman" w:hAnsi="Times New Roman" w:cs="Times New Roman"/>
          <w:sz w:val="24"/>
          <w:szCs w:val="24"/>
          <w:lang w:val="en-US"/>
        </w:rPr>
        <w:footnoteReference w:id="111"/>
      </w:r>
      <w:r w:rsidR="00AC17A8" w:rsidRPr="000F052B">
        <w:rPr>
          <w:rFonts w:ascii="Times New Roman" w:hAnsi="Times New Roman" w:cs="Times New Roman"/>
          <w:sz w:val="24"/>
          <w:szCs w:val="24"/>
          <w:lang w:val="en-US"/>
        </w:rPr>
        <w:t xml:space="preserve">  T</w:t>
      </w:r>
      <w:r w:rsidR="003D15E1" w:rsidRPr="000F052B">
        <w:rPr>
          <w:rFonts w:ascii="Times New Roman" w:hAnsi="Times New Roman" w:cs="Times New Roman"/>
          <w:sz w:val="24"/>
          <w:szCs w:val="24"/>
          <w:lang w:val="en-US"/>
        </w:rPr>
        <w:t>he same court confirm</w:t>
      </w:r>
      <w:r w:rsidR="00AC17A8" w:rsidRPr="000F052B">
        <w:rPr>
          <w:rFonts w:ascii="Times New Roman" w:hAnsi="Times New Roman" w:cs="Times New Roman"/>
          <w:sz w:val="24"/>
          <w:szCs w:val="24"/>
          <w:lang w:val="en-US"/>
        </w:rPr>
        <w:t>ed</w:t>
      </w:r>
      <w:r w:rsidR="003D15E1" w:rsidRPr="000F052B">
        <w:rPr>
          <w:rFonts w:ascii="Times New Roman" w:hAnsi="Times New Roman" w:cs="Times New Roman"/>
          <w:sz w:val="24"/>
          <w:szCs w:val="24"/>
          <w:lang w:val="en-US"/>
        </w:rPr>
        <w:t xml:space="preserve"> the following year in </w:t>
      </w:r>
      <w:r w:rsidR="003D15E1" w:rsidRPr="000F052B">
        <w:rPr>
          <w:rFonts w:ascii="Times New Roman" w:hAnsi="Times New Roman" w:cs="Times New Roman"/>
          <w:i/>
          <w:sz w:val="24"/>
          <w:szCs w:val="24"/>
          <w:lang w:val="en-US"/>
        </w:rPr>
        <w:t>McCullogh v Fern</w:t>
      </w:r>
      <w:r w:rsidR="00AC17A8" w:rsidRPr="000F052B">
        <w:rPr>
          <w:rFonts w:ascii="Times New Roman" w:hAnsi="Times New Roman" w:cs="Times New Roman"/>
          <w:i/>
          <w:sz w:val="24"/>
          <w:szCs w:val="24"/>
          <w:lang w:val="en-US"/>
        </w:rPr>
        <w:t>wood Estate</w:t>
      </w:r>
      <w:r w:rsidR="00AC17A8" w:rsidRPr="000F052B">
        <w:rPr>
          <w:rFonts w:ascii="Times New Roman" w:hAnsi="Times New Roman" w:cs="Times New Roman"/>
          <w:sz w:val="24"/>
          <w:szCs w:val="24"/>
          <w:lang w:val="en-US"/>
        </w:rPr>
        <w:t xml:space="preserve"> that consideration</w:t>
      </w:r>
      <w:r w:rsidR="001C2CF8" w:rsidRPr="000F052B">
        <w:rPr>
          <w:rFonts w:ascii="Times New Roman" w:hAnsi="Times New Roman" w:cs="Times New Roman"/>
          <w:sz w:val="24"/>
          <w:szCs w:val="24"/>
          <w:lang w:val="en-US"/>
        </w:rPr>
        <w:t>/</w:t>
      </w:r>
      <w:r w:rsidR="001C2CF8" w:rsidRPr="005B509E">
        <w:rPr>
          <w:rFonts w:ascii="Times New Roman" w:hAnsi="Times New Roman" w:cs="Times New Roman"/>
          <w:i/>
          <w:sz w:val="24"/>
          <w:szCs w:val="24"/>
          <w:lang w:val="en-US"/>
        </w:rPr>
        <w:t>iusta causa</w:t>
      </w:r>
      <w:r w:rsidR="001C2CF8" w:rsidRPr="000F052B">
        <w:rPr>
          <w:rFonts w:ascii="Times New Roman" w:hAnsi="Times New Roman" w:cs="Times New Roman"/>
          <w:sz w:val="24"/>
          <w:szCs w:val="24"/>
          <w:lang w:val="en-US"/>
        </w:rPr>
        <w:t xml:space="preserve"> </w:t>
      </w:r>
      <w:r w:rsidR="003D15E1" w:rsidRPr="000F052B">
        <w:rPr>
          <w:rFonts w:ascii="Times New Roman" w:hAnsi="Times New Roman" w:cs="Times New Roman"/>
          <w:sz w:val="24"/>
          <w:szCs w:val="24"/>
          <w:lang w:val="en-US"/>
        </w:rPr>
        <w:t>was not a</w:t>
      </w:r>
      <w:r w:rsidR="001C2CF8" w:rsidRPr="000F052B">
        <w:rPr>
          <w:rFonts w:ascii="Times New Roman" w:hAnsi="Times New Roman" w:cs="Times New Roman"/>
          <w:sz w:val="24"/>
          <w:szCs w:val="24"/>
          <w:lang w:val="en-US"/>
        </w:rPr>
        <w:t xml:space="preserve"> requirement</w:t>
      </w:r>
      <w:r w:rsidR="003D15E1" w:rsidRPr="000F052B">
        <w:rPr>
          <w:rFonts w:ascii="Times New Roman" w:hAnsi="Times New Roman" w:cs="Times New Roman"/>
          <w:sz w:val="24"/>
          <w:szCs w:val="24"/>
          <w:lang w:val="en-US"/>
        </w:rPr>
        <w:t xml:space="preserve"> for the contract for the benefit of a third party</w:t>
      </w:r>
      <w:r w:rsidR="001C2CF8" w:rsidRPr="000F052B">
        <w:rPr>
          <w:rFonts w:ascii="Times New Roman" w:hAnsi="Times New Roman" w:cs="Times New Roman"/>
          <w:sz w:val="24"/>
          <w:szCs w:val="24"/>
          <w:lang w:val="en-US"/>
        </w:rPr>
        <w:t>, in line with its decision the previous year</w:t>
      </w:r>
      <w:r w:rsidR="003D15E1" w:rsidRPr="000F052B">
        <w:rPr>
          <w:rFonts w:ascii="Times New Roman" w:hAnsi="Times New Roman" w:cs="Times New Roman"/>
          <w:sz w:val="24"/>
          <w:szCs w:val="24"/>
          <w:lang w:val="en-US"/>
        </w:rPr>
        <w:t>.</w:t>
      </w:r>
      <w:r w:rsidR="00F703FA" w:rsidRPr="000F052B">
        <w:rPr>
          <w:rStyle w:val="FootnoteReference"/>
          <w:rFonts w:ascii="Times New Roman" w:hAnsi="Times New Roman" w:cs="Times New Roman"/>
          <w:sz w:val="24"/>
          <w:szCs w:val="24"/>
          <w:lang w:val="en-US"/>
        </w:rPr>
        <w:footnoteReference w:id="112"/>
      </w:r>
      <w:r w:rsidR="003D15E1" w:rsidRPr="000F052B">
        <w:rPr>
          <w:rFonts w:ascii="Times New Roman" w:hAnsi="Times New Roman" w:cs="Times New Roman"/>
          <w:sz w:val="24"/>
          <w:szCs w:val="24"/>
          <w:lang w:val="en-US"/>
        </w:rPr>
        <w:t xml:space="preserve">  The </w:t>
      </w:r>
      <w:r w:rsidR="001C2CF8" w:rsidRPr="000F052B">
        <w:rPr>
          <w:rFonts w:ascii="Times New Roman" w:hAnsi="Times New Roman" w:cs="Times New Roman"/>
          <w:sz w:val="24"/>
          <w:szCs w:val="24"/>
          <w:lang w:val="en-US"/>
        </w:rPr>
        <w:t xml:space="preserve">proper </w:t>
      </w:r>
      <w:r w:rsidR="00C76D29" w:rsidRPr="000F052B">
        <w:rPr>
          <w:rFonts w:ascii="Times New Roman" w:hAnsi="Times New Roman" w:cs="Times New Roman"/>
          <w:sz w:val="24"/>
          <w:szCs w:val="24"/>
          <w:lang w:val="en-US"/>
        </w:rPr>
        <w:t xml:space="preserve">construction </w:t>
      </w:r>
      <w:r w:rsidR="001C2CF8" w:rsidRPr="000F052B">
        <w:rPr>
          <w:rFonts w:ascii="Times New Roman" w:hAnsi="Times New Roman" w:cs="Times New Roman"/>
          <w:sz w:val="24"/>
          <w:szCs w:val="24"/>
          <w:lang w:val="en-US"/>
        </w:rPr>
        <w:t xml:space="preserve">to be </w:t>
      </w:r>
      <w:r w:rsidR="00C76D29" w:rsidRPr="000F052B">
        <w:rPr>
          <w:rFonts w:ascii="Times New Roman" w:hAnsi="Times New Roman" w:cs="Times New Roman"/>
          <w:sz w:val="24"/>
          <w:szCs w:val="24"/>
          <w:lang w:val="en-US"/>
        </w:rPr>
        <w:t>placed upon th</w:t>
      </w:r>
      <w:r w:rsidR="00AC17A8" w:rsidRPr="000F052B">
        <w:rPr>
          <w:rFonts w:ascii="Times New Roman" w:hAnsi="Times New Roman" w:cs="Times New Roman"/>
          <w:sz w:val="24"/>
          <w:szCs w:val="24"/>
          <w:lang w:val="en-US"/>
        </w:rPr>
        <w:t>is type of arrangement</w:t>
      </w:r>
      <w:r w:rsidR="00C76D29" w:rsidRPr="000F052B">
        <w:rPr>
          <w:rFonts w:ascii="Times New Roman" w:hAnsi="Times New Roman" w:cs="Times New Roman"/>
          <w:sz w:val="24"/>
          <w:szCs w:val="24"/>
          <w:lang w:val="en-US"/>
        </w:rPr>
        <w:t xml:space="preserve"> was clearly set out by Schreiner JA in the leading case of </w:t>
      </w:r>
      <w:r w:rsidR="00C76D29" w:rsidRPr="000F052B">
        <w:rPr>
          <w:rFonts w:ascii="Times New Roman" w:hAnsi="Times New Roman" w:cs="Times New Roman"/>
          <w:i/>
          <w:sz w:val="24"/>
          <w:szCs w:val="24"/>
          <w:lang w:val="en-US"/>
        </w:rPr>
        <w:t xml:space="preserve">Crookes </w:t>
      </w:r>
      <w:r w:rsidR="00AC17A8" w:rsidRPr="000F052B">
        <w:rPr>
          <w:rFonts w:ascii="Times New Roman" w:hAnsi="Times New Roman" w:cs="Times New Roman"/>
          <w:i/>
          <w:sz w:val="24"/>
          <w:szCs w:val="24"/>
          <w:lang w:val="en-US"/>
        </w:rPr>
        <w:t xml:space="preserve">NO </w:t>
      </w:r>
      <w:r w:rsidR="00C76D29" w:rsidRPr="000F052B">
        <w:rPr>
          <w:rFonts w:ascii="Times New Roman" w:hAnsi="Times New Roman" w:cs="Times New Roman"/>
          <w:i/>
          <w:sz w:val="24"/>
          <w:szCs w:val="24"/>
          <w:lang w:val="en-US"/>
        </w:rPr>
        <w:t>v Watson</w:t>
      </w:r>
      <w:r w:rsidR="00C76D29" w:rsidRPr="000F052B">
        <w:rPr>
          <w:rFonts w:ascii="Times New Roman" w:hAnsi="Times New Roman" w:cs="Times New Roman"/>
          <w:sz w:val="24"/>
          <w:szCs w:val="24"/>
          <w:lang w:val="en-US"/>
        </w:rPr>
        <w:t xml:space="preserve"> in 1956, which remains the authoritative statement today:</w:t>
      </w:r>
    </w:p>
    <w:p w14:paraId="56C26710" w14:textId="27DD4ACF" w:rsidR="00C76D29" w:rsidRPr="000F052B" w:rsidRDefault="00C76D29" w:rsidP="00205AF2">
      <w:pPr>
        <w:spacing w:after="120" w:line="480" w:lineRule="auto"/>
        <w:ind w:left="720" w:hanging="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t xml:space="preserve">‘But in the legal sense, which alone is here relevant, what is not very appropriately styled a contract for the benefit of a third person is not simply a contract designed to benefit a third person; it is a contract between two persons that is designed to enable a third person to come in as a party to a contract with one of the other two…  [T]he typical </w:t>
      </w:r>
      <w:r w:rsidRPr="000F052B">
        <w:rPr>
          <w:rFonts w:ascii="Times New Roman" w:hAnsi="Times New Roman" w:cs="Times New Roman"/>
          <w:sz w:val="24"/>
          <w:szCs w:val="24"/>
          <w:lang w:val="en-US"/>
        </w:rPr>
        <w:lastRenderedPageBreak/>
        <w:t xml:space="preserve">contract for the benefit of a third person is one where A and B make a contract in order that C may be enabled, by notifying A, to become a party to a contract </w:t>
      </w:r>
      <w:r w:rsidR="00DF7BCF" w:rsidRPr="000F052B">
        <w:rPr>
          <w:rFonts w:ascii="Times New Roman" w:hAnsi="Times New Roman" w:cs="Times New Roman"/>
          <w:sz w:val="24"/>
          <w:szCs w:val="24"/>
          <w:lang w:val="en-US"/>
        </w:rPr>
        <w:t xml:space="preserve">between himself and A.  What contractual rights exist between A and B pending acceptance by C and how far after such acceptance it is still possible for contractual relations between A and B to persist are matters on which differences of opinion are possible; but broadly speaking the idea such transactions is that B drops out when C accepts and thenceforward it is A and C who are bound to each </w:t>
      </w:r>
      <w:r w:rsidR="00302533">
        <w:rPr>
          <w:rFonts w:ascii="Times New Roman" w:hAnsi="Times New Roman" w:cs="Times New Roman"/>
          <w:sz w:val="24"/>
          <w:szCs w:val="24"/>
          <w:lang w:val="en-US"/>
        </w:rPr>
        <w:t>other</w:t>
      </w:r>
      <w:r w:rsidR="00DF7BCF"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00DF7BCF" w:rsidRPr="000F052B">
        <w:rPr>
          <w:rStyle w:val="FootnoteReference"/>
          <w:rFonts w:ascii="Times New Roman" w:hAnsi="Times New Roman" w:cs="Times New Roman"/>
          <w:sz w:val="24"/>
          <w:szCs w:val="24"/>
          <w:lang w:val="en-US"/>
        </w:rPr>
        <w:footnoteReference w:id="113"/>
      </w:r>
    </w:p>
    <w:p w14:paraId="547B821B" w14:textId="77D2F1AD" w:rsidR="00D56124" w:rsidRDefault="00DF7BCF" w:rsidP="005B509E">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This statement con</w:t>
      </w:r>
      <w:r w:rsidR="00C705E3" w:rsidRPr="000F052B">
        <w:rPr>
          <w:rFonts w:ascii="Times New Roman" w:hAnsi="Times New Roman" w:cs="Times New Roman"/>
          <w:sz w:val="24"/>
          <w:szCs w:val="24"/>
          <w:lang w:val="en-US"/>
        </w:rPr>
        <w:t>firmed</w:t>
      </w:r>
      <w:r w:rsidRPr="000F052B">
        <w:rPr>
          <w:rFonts w:ascii="Times New Roman" w:hAnsi="Times New Roman" w:cs="Times New Roman"/>
          <w:sz w:val="24"/>
          <w:szCs w:val="24"/>
          <w:lang w:val="en-US"/>
        </w:rPr>
        <w:t xml:space="preserve"> </w:t>
      </w:r>
      <w:r w:rsidR="001C2CF8" w:rsidRPr="000F052B">
        <w:rPr>
          <w:rFonts w:ascii="Times New Roman" w:hAnsi="Times New Roman" w:cs="Times New Roman"/>
          <w:sz w:val="24"/>
          <w:szCs w:val="24"/>
          <w:lang w:val="en-US"/>
        </w:rPr>
        <w:t xml:space="preserve">the </w:t>
      </w:r>
      <w:r w:rsidRPr="000F052B">
        <w:rPr>
          <w:rFonts w:ascii="Times New Roman" w:hAnsi="Times New Roman" w:cs="Times New Roman"/>
          <w:sz w:val="24"/>
          <w:szCs w:val="24"/>
          <w:lang w:val="en-US"/>
        </w:rPr>
        <w:t xml:space="preserve">earlier </w:t>
      </w:r>
      <w:r w:rsidR="00C705E3" w:rsidRPr="000F052B">
        <w:rPr>
          <w:rFonts w:ascii="Times New Roman" w:hAnsi="Times New Roman" w:cs="Times New Roman"/>
          <w:sz w:val="24"/>
          <w:szCs w:val="24"/>
          <w:lang w:val="en-US"/>
        </w:rPr>
        <w:t>decision</w:t>
      </w:r>
      <w:r w:rsidRPr="000F052B">
        <w:rPr>
          <w:rFonts w:ascii="Times New Roman" w:hAnsi="Times New Roman" w:cs="Times New Roman"/>
          <w:sz w:val="24"/>
          <w:szCs w:val="24"/>
          <w:lang w:val="en-US"/>
        </w:rPr>
        <w:t xml:space="preserve">s </w:t>
      </w:r>
      <w:r w:rsidR="000714FC" w:rsidRPr="000F052B">
        <w:rPr>
          <w:rFonts w:ascii="Times New Roman" w:hAnsi="Times New Roman" w:cs="Times New Roman"/>
          <w:sz w:val="24"/>
          <w:szCs w:val="24"/>
          <w:lang w:val="en-US"/>
        </w:rPr>
        <w:t xml:space="preserve">and </w:t>
      </w:r>
      <w:r w:rsidRPr="000F052B">
        <w:rPr>
          <w:rFonts w:ascii="Times New Roman" w:hAnsi="Times New Roman" w:cs="Times New Roman"/>
          <w:sz w:val="24"/>
          <w:szCs w:val="24"/>
          <w:lang w:val="en-US"/>
        </w:rPr>
        <w:t xml:space="preserve">has been adhered to since then.  </w:t>
      </w:r>
      <w:r w:rsidR="001C2CF8" w:rsidRPr="000F052B">
        <w:rPr>
          <w:rFonts w:ascii="Times New Roman" w:hAnsi="Times New Roman" w:cs="Times New Roman"/>
          <w:sz w:val="24"/>
          <w:szCs w:val="24"/>
          <w:lang w:val="en-US"/>
        </w:rPr>
        <w:t>Controversies remain (</w:t>
      </w:r>
      <w:r w:rsidR="00AC17A8" w:rsidRPr="000F052B">
        <w:rPr>
          <w:rFonts w:ascii="Times New Roman" w:hAnsi="Times New Roman" w:cs="Times New Roman"/>
          <w:sz w:val="24"/>
          <w:szCs w:val="24"/>
          <w:lang w:val="en-US"/>
        </w:rPr>
        <w:t xml:space="preserve">although </w:t>
      </w:r>
      <w:r w:rsidR="009655C5" w:rsidRPr="000F052B">
        <w:rPr>
          <w:rFonts w:ascii="Times New Roman" w:hAnsi="Times New Roman" w:cs="Times New Roman"/>
          <w:sz w:val="24"/>
          <w:szCs w:val="24"/>
          <w:lang w:val="en-US"/>
        </w:rPr>
        <w:t xml:space="preserve">largely </w:t>
      </w:r>
      <w:r w:rsidR="00AC17A8" w:rsidRPr="000F052B">
        <w:rPr>
          <w:rFonts w:ascii="Times New Roman" w:hAnsi="Times New Roman" w:cs="Times New Roman"/>
          <w:sz w:val="24"/>
          <w:szCs w:val="24"/>
          <w:lang w:val="en-US"/>
        </w:rPr>
        <w:t xml:space="preserve">only </w:t>
      </w:r>
      <w:r w:rsidR="009655C5" w:rsidRPr="000F052B">
        <w:rPr>
          <w:rFonts w:ascii="Times New Roman" w:hAnsi="Times New Roman" w:cs="Times New Roman"/>
          <w:sz w:val="24"/>
          <w:szCs w:val="24"/>
          <w:lang w:val="en-US"/>
        </w:rPr>
        <w:t>in academic sources</w:t>
      </w:r>
      <w:r w:rsidR="001C2CF8" w:rsidRPr="000F052B">
        <w:rPr>
          <w:rFonts w:ascii="Times New Roman" w:hAnsi="Times New Roman" w:cs="Times New Roman"/>
          <w:sz w:val="24"/>
          <w:szCs w:val="24"/>
          <w:lang w:val="en-US"/>
        </w:rPr>
        <w:t>)</w:t>
      </w:r>
      <w:r w:rsidR="009655C5" w:rsidRPr="000F052B">
        <w:rPr>
          <w:rFonts w:ascii="Times New Roman" w:hAnsi="Times New Roman" w:cs="Times New Roman"/>
          <w:sz w:val="24"/>
          <w:szCs w:val="24"/>
          <w:lang w:val="en-US"/>
        </w:rPr>
        <w:t xml:space="preserve"> over whether the two contract construct</w:t>
      </w:r>
      <w:r w:rsidR="008C170A" w:rsidRPr="000F052B">
        <w:rPr>
          <w:rFonts w:ascii="Times New Roman" w:hAnsi="Times New Roman" w:cs="Times New Roman"/>
          <w:sz w:val="24"/>
          <w:szCs w:val="24"/>
          <w:lang w:val="en-US"/>
        </w:rPr>
        <w:t xml:space="preserve">ion is the best model, </w:t>
      </w:r>
      <w:r w:rsidR="00AC17A8" w:rsidRPr="000F052B">
        <w:rPr>
          <w:rFonts w:ascii="Times New Roman" w:hAnsi="Times New Roman" w:cs="Times New Roman"/>
          <w:sz w:val="24"/>
          <w:szCs w:val="24"/>
          <w:lang w:val="en-US"/>
        </w:rPr>
        <w:t xml:space="preserve">particularly given the </w:t>
      </w:r>
      <w:r w:rsidR="001C2CF8" w:rsidRPr="000F052B">
        <w:rPr>
          <w:rFonts w:ascii="Times New Roman" w:hAnsi="Times New Roman" w:cs="Times New Roman"/>
          <w:sz w:val="24"/>
          <w:szCs w:val="24"/>
          <w:lang w:val="en-US"/>
        </w:rPr>
        <w:t xml:space="preserve">massive </w:t>
      </w:r>
      <w:r w:rsidR="00AC17A8" w:rsidRPr="000F052B">
        <w:rPr>
          <w:rFonts w:ascii="Times New Roman" w:hAnsi="Times New Roman" w:cs="Times New Roman"/>
          <w:sz w:val="24"/>
          <w:szCs w:val="24"/>
          <w:lang w:val="en-US"/>
        </w:rPr>
        <w:t xml:space="preserve">influence of the </w:t>
      </w:r>
      <w:r w:rsidR="00F038A9">
        <w:rPr>
          <w:rFonts w:ascii="Times New Roman" w:hAnsi="Times New Roman" w:cs="Times New Roman"/>
          <w:sz w:val="24"/>
          <w:szCs w:val="24"/>
          <w:lang w:val="en-US"/>
        </w:rPr>
        <w:t>work of</w:t>
      </w:r>
      <w:r w:rsidR="00AC17A8" w:rsidRPr="000F052B">
        <w:rPr>
          <w:rFonts w:ascii="Times New Roman" w:hAnsi="Times New Roman" w:cs="Times New Roman"/>
          <w:sz w:val="24"/>
          <w:szCs w:val="24"/>
          <w:lang w:val="en-US"/>
        </w:rPr>
        <w:t xml:space="preserve"> </w:t>
      </w:r>
      <w:r w:rsidR="00F038A9">
        <w:rPr>
          <w:rFonts w:ascii="Times New Roman" w:hAnsi="Times New Roman" w:cs="Times New Roman"/>
          <w:sz w:val="24"/>
          <w:szCs w:val="24"/>
          <w:lang w:val="en-US"/>
        </w:rPr>
        <w:t xml:space="preserve">Prof </w:t>
      </w:r>
      <w:r w:rsidR="00AC17A8" w:rsidRPr="000F052B">
        <w:rPr>
          <w:rFonts w:ascii="Times New Roman" w:hAnsi="Times New Roman" w:cs="Times New Roman"/>
          <w:sz w:val="24"/>
          <w:szCs w:val="24"/>
          <w:lang w:val="en-US"/>
        </w:rPr>
        <w:t>JC de Wet</w:t>
      </w:r>
      <w:r w:rsidR="001C2CF8" w:rsidRPr="000F052B">
        <w:rPr>
          <w:rFonts w:ascii="Times New Roman" w:hAnsi="Times New Roman" w:cs="Times New Roman"/>
          <w:sz w:val="24"/>
          <w:szCs w:val="24"/>
          <w:lang w:val="en-US"/>
        </w:rPr>
        <w:t>, who proposed an alternative construction</w:t>
      </w:r>
      <w:r w:rsidR="00AC17A8" w:rsidRPr="000F052B">
        <w:rPr>
          <w:rFonts w:ascii="Times New Roman" w:hAnsi="Times New Roman" w:cs="Times New Roman"/>
          <w:sz w:val="24"/>
          <w:szCs w:val="24"/>
          <w:lang w:val="en-US"/>
        </w:rPr>
        <w:t>.</w:t>
      </w:r>
      <w:r w:rsidR="00321748" w:rsidRPr="000F052B">
        <w:rPr>
          <w:rStyle w:val="FootnoteReference"/>
          <w:rFonts w:ascii="Times New Roman" w:hAnsi="Times New Roman" w:cs="Times New Roman"/>
          <w:sz w:val="24"/>
          <w:szCs w:val="24"/>
          <w:lang w:val="en-US"/>
        </w:rPr>
        <w:footnoteReference w:id="114"/>
      </w:r>
      <w:r w:rsidR="00AC17A8" w:rsidRPr="000F052B">
        <w:rPr>
          <w:rFonts w:ascii="Times New Roman" w:hAnsi="Times New Roman" w:cs="Times New Roman"/>
          <w:sz w:val="24"/>
          <w:szCs w:val="24"/>
          <w:lang w:val="en-US"/>
        </w:rPr>
        <w:t xml:space="preserve">  </w:t>
      </w:r>
      <w:r w:rsidR="005F0D14" w:rsidRPr="000F052B">
        <w:rPr>
          <w:rFonts w:ascii="Times New Roman" w:hAnsi="Times New Roman" w:cs="Times New Roman"/>
          <w:sz w:val="24"/>
          <w:szCs w:val="24"/>
          <w:lang w:val="en-US"/>
        </w:rPr>
        <w:t>From</w:t>
      </w:r>
      <w:r w:rsidR="001666D4" w:rsidRPr="000F052B">
        <w:rPr>
          <w:rFonts w:ascii="Times New Roman" w:hAnsi="Times New Roman" w:cs="Times New Roman"/>
          <w:sz w:val="24"/>
          <w:szCs w:val="24"/>
          <w:lang w:val="en-US"/>
        </w:rPr>
        <w:t xml:space="preserve"> a practical point of view, the contract for the benefit of a third party</w:t>
      </w:r>
      <w:r w:rsidR="009655C5" w:rsidRPr="000F052B">
        <w:rPr>
          <w:rFonts w:ascii="Times New Roman" w:hAnsi="Times New Roman" w:cs="Times New Roman"/>
          <w:sz w:val="24"/>
          <w:szCs w:val="24"/>
          <w:lang w:val="en-US"/>
        </w:rPr>
        <w:t xml:space="preserve"> is firmly entrenched, </w:t>
      </w:r>
      <w:r w:rsidR="005F0D14" w:rsidRPr="000F052B">
        <w:rPr>
          <w:rFonts w:ascii="Times New Roman" w:hAnsi="Times New Roman" w:cs="Times New Roman"/>
          <w:sz w:val="24"/>
          <w:szCs w:val="24"/>
          <w:lang w:val="en-US"/>
        </w:rPr>
        <w:t xml:space="preserve">however, </w:t>
      </w:r>
      <w:r w:rsidR="008C170A" w:rsidRPr="000F052B">
        <w:rPr>
          <w:rFonts w:ascii="Times New Roman" w:hAnsi="Times New Roman" w:cs="Times New Roman"/>
          <w:sz w:val="24"/>
          <w:szCs w:val="24"/>
          <w:lang w:val="en-US"/>
        </w:rPr>
        <w:t xml:space="preserve">and is widely used </w:t>
      </w:r>
      <w:r w:rsidR="009655C5" w:rsidRPr="000F052B">
        <w:rPr>
          <w:rFonts w:ascii="Times New Roman" w:hAnsi="Times New Roman" w:cs="Times New Roman"/>
          <w:sz w:val="24"/>
          <w:szCs w:val="24"/>
          <w:lang w:val="en-US"/>
        </w:rPr>
        <w:t xml:space="preserve">in </w:t>
      </w:r>
      <w:r w:rsidR="005F0D14" w:rsidRPr="000F052B">
        <w:rPr>
          <w:rFonts w:ascii="Times New Roman" w:hAnsi="Times New Roman" w:cs="Times New Roman"/>
          <w:sz w:val="24"/>
          <w:szCs w:val="24"/>
          <w:lang w:val="en-US"/>
        </w:rPr>
        <w:t xml:space="preserve">South Africa in </w:t>
      </w:r>
      <w:r w:rsidR="009655C5" w:rsidRPr="000F052B">
        <w:rPr>
          <w:rFonts w:ascii="Times New Roman" w:hAnsi="Times New Roman" w:cs="Times New Roman"/>
          <w:sz w:val="24"/>
          <w:szCs w:val="24"/>
          <w:lang w:val="en-US"/>
        </w:rPr>
        <w:t>areas such as insurance, trusts and estate planning</w:t>
      </w:r>
      <w:r w:rsidR="008C170A" w:rsidRPr="000F052B">
        <w:rPr>
          <w:rFonts w:ascii="Times New Roman" w:hAnsi="Times New Roman" w:cs="Times New Roman"/>
          <w:sz w:val="24"/>
          <w:szCs w:val="24"/>
          <w:lang w:val="en-US"/>
        </w:rPr>
        <w:t>,</w:t>
      </w:r>
      <w:r w:rsidR="009655C5" w:rsidRPr="000F052B">
        <w:rPr>
          <w:rFonts w:ascii="Times New Roman" w:hAnsi="Times New Roman" w:cs="Times New Roman"/>
          <w:sz w:val="24"/>
          <w:szCs w:val="24"/>
          <w:lang w:val="en-US"/>
        </w:rPr>
        <w:t xml:space="preserve"> and </w:t>
      </w:r>
      <w:r w:rsidR="00D7595A" w:rsidRPr="000F052B">
        <w:rPr>
          <w:rFonts w:ascii="Times New Roman" w:hAnsi="Times New Roman" w:cs="Times New Roman"/>
          <w:sz w:val="24"/>
          <w:szCs w:val="24"/>
          <w:lang w:val="en-US"/>
        </w:rPr>
        <w:t>pension agreements</w:t>
      </w:r>
      <w:r w:rsidR="009655C5" w:rsidRPr="000F052B">
        <w:rPr>
          <w:rFonts w:ascii="Times New Roman" w:hAnsi="Times New Roman" w:cs="Times New Roman"/>
          <w:sz w:val="24"/>
          <w:szCs w:val="24"/>
          <w:lang w:val="en-US"/>
        </w:rPr>
        <w:t>.</w:t>
      </w:r>
      <w:r w:rsidR="00546CC3" w:rsidRPr="000F052B">
        <w:rPr>
          <w:rStyle w:val="FootnoteReference"/>
          <w:rFonts w:ascii="Times New Roman" w:hAnsi="Times New Roman" w:cs="Times New Roman"/>
          <w:sz w:val="24"/>
          <w:szCs w:val="24"/>
          <w:lang w:val="en-US"/>
        </w:rPr>
        <w:footnoteReference w:id="115"/>
      </w:r>
      <w:r w:rsidR="00C705E3" w:rsidRPr="000F052B">
        <w:rPr>
          <w:rFonts w:ascii="Times New Roman" w:hAnsi="Times New Roman" w:cs="Times New Roman"/>
          <w:sz w:val="24"/>
          <w:szCs w:val="24"/>
          <w:lang w:val="en-US"/>
        </w:rPr>
        <w:t xml:space="preserve">  </w:t>
      </w:r>
      <w:r w:rsidR="004B372B" w:rsidRPr="000F052B">
        <w:rPr>
          <w:rFonts w:ascii="Times New Roman" w:hAnsi="Times New Roman" w:cs="Times New Roman"/>
          <w:sz w:val="24"/>
          <w:szCs w:val="24"/>
          <w:lang w:val="en-US"/>
        </w:rPr>
        <w:t>Given the two contract model</w:t>
      </w:r>
      <w:r w:rsidR="005F0D14" w:rsidRPr="000F052B">
        <w:rPr>
          <w:rFonts w:ascii="Times New Roman" w:hAnsi="Times New Roman" w:cs="Times New Roman"/>
          <w:sz w:val="24"/>
          <w:szCs w:val="24"/>
          <w:lang w:val="en-US"/>
        </w:rPr>
        <w:t xml:space="preserve"> and the requirement of third party acceptance</w:t>
      </w:r>
      <w:r w:rsidR="004B372B" w:rsidRPr="000F052B">
        <w:rPr>
          <w:rFonts w:ascii="Times New Roman" w:hAnsi="Times New Roman" w:cs="Times New Roman"/>
          <w:sz w:val="24"/>
          <w:szCs w:val="24"/>
          <w:lang w:val="en-US"/>
        </w:rPr>
        <w:t>, the position is that promisor and promis</w:t>
      </w:r>
      <w:r w:rsidR="00F038A9">
        <w:rPr>
          <w:rFonts w:ascii="Times New Roman" w:hAnsi="Times New Roman" w:cs="Times New Roman"/>
          <w:sz w:val="24"/>
          <w:szCs w:val="24"/>
          <w:lang w:val="en-US"/>
        </w:rPr>
        <w:t>s</w:t>
      </w:r>
      <w:r w:rsidR="004B372B" w:rsidRPr="000F052B">
        <w:rPr>
          <w:rFonts w:ascii="Times New Roman" w:hAnsi="Times New Roman" w:cs="Times New Roman"/>
          <w:sz w:val="24"/>
          <w:szCs w:val="24"/>
          <w:lang w:val="en-US"/>
        </w:rPr>
        <w:t xml:space="preserve">ee may generally by agreement revoke the benefit up until acceptance by the </w:t>
      </w:r>
      <w:r w:rsidR="005F0D14" w:rsidRPr="000F052B">
        <w:rPr>
          <w:rFonts w:ascii="Times New Roman" w:hAnsi="Times New Roman" w:cs="Times New Roman"/>
          <w:sz w:val="24"/>
          <w:szCs w:val="24"/>
          <w:lang w:val="en-US"/>
        </w:rPr>
        <w:t xml:space="preserve">third party </w:t>
      </w:r>
      <w:r w:rsidR="004B372B" w:rsidRPr="000F052B">
        <w:rPr>
          <w:rFonts w:ascii="Times New Roman" w:hAnsi="Times New Roman" w:cs="Times New Roman"/>
          <w:sz w:val="24"/>
          <w:szCs w:val="24"/>
          <w:lang w:val="en-US"/>
        </w:rPr>
        <w:t>beneficiary.</w:t>
      </w:r>
      <w:r w:rsidR="00321748" w:rsidRPr="000F052B">
        <w:rPr>
          <w:rStyle w:val="FootnoteReference"/>
          <w:rFonts w:ascii="Times New Roman" w:hAnsi="Times New Roman" w:cs="Times New Roman"/>
          <w:sz w:val="24"/>
          <w:szCs w:val="24"/>
          <w:lang w:val="en-US"/>
        </w:rPr>
        <w:footnoteReference w:id="116"/>
      </w:r>
      <w:r w:rsidR="004B372B" w:rsidRPr="000F052B">
        <w:rPr>
          <w:rFonts w:ascii="Times New Roman" w:hAnsi="Times New Roman" w:cs="Times New Roman"/>
          <w:sz w:val="24"/>
          <w:szCs w:val="24"/>
          <w:lang w:val="en-US"/>
        </w:rPr>
        <w:t xml:space="preserve">  Acceptance of a benefit by the third party also requires that the third party perform any corresponding obligation which attaches to the </w:t>
      </w:r>
      <w:r w:rsidR="004B372B" w:rsidRPr="000F052B">
        <w:rPr>
          <w:rFonts w:ascii="Times New Roman" w:hAnsi="Times New Roman" w:cs="Times New Roman"/>
          <w:sz w:val="24"/>
          <w:szCs w:val="24"/>
          <w:lang w:val="en-US"/>
        </w:rPr>
        <w:lastRenderedPageBreak/>
        <w:t>benefit.</w:t>
      </w:r>
      <w:r w:rsidR="00546CC3" w:rsidRPr="000F052B">
        <w:rPr>
          <w:rStyle w:val="FootnoteReference"/>
          <w:rFonts w:ascii="Times New Roman" w:hAnsi="Times New Roman" w:cs="Times New Roman"/>
          <w:sz w:val="24"/>
          <w:szCs w:val="24"/>
          <w:lang w:val="en-US"/>
        </w:rPr>
        <w:footnoteReference w:id="117"/>
      </w:r>
      <w:r w:rsidR="004B372B" w:rsidRPr="000F052B">
        <w:rPr>
          <w:rFonts w:ascii="Times New Roman" w:hAnsi="Times New Roman" w:cs="Times New Roman"/>
          <w:sz w:val="24"/>
          <w:szCs w:val="24"/>
          <w:lang w:val="en-US"/>
        </w:rPr>
        <w:t xml:space="preserve">  </w:t>
      </w:r>
      <w:r w:rsidR="003409DE">
        <w:rPr>
          <w:rFonts w:ascii="Times New Roman" w:hAnsi="Times New Roman" w:cs="Times New Roman"/>
          <w:sz w:val="24"/>
          <w:szCs w:val="24"/>
          <w:lang w:val="en-US"/>
        </w:rPr>
        <w:t>Of course, the requirement of acceptance distinguishes the South African position from other jurisdictions where this is not req</w:t>
      </w:r>
      <w:r w:rsidR="00A0128B">
        <w:rPr>
          <w:rFonts w:ascii="Times New Roman" w:hAnsi="Times New Roman" w:cs="Times New Roman"/>
          <w:sz w:val="24"/>
          <w:szCs w:val="24"/>
          <w:lang w:val="en-US"/>
        </w:rPr>
        <w:t>uired</w:t>
      </w:r>
      <w:r w:rsidR="003409DE">
        <w:rPr>
          <w:rFonts w:ascii="Times New Roman" w:hAnsi="Times New Roman" w:cs="Times New Roman"/>
          <w:sz w:val="24"/>
          <w:szCs w:val="24"/>
          <w:lang w:val="en-US"/>
        </w:rPr>
        <w:t xml:space="preserve"> </w:t>
      </w:r>
      <w:r w:rsidR="00A0128B">
        <w:rPr>
          <w:rFonts w:ascii="Times New Roman" w:hAnsi="Times New Roman" w:cs="Times New Roman"/>
          <w:sz w:val="24"/>
          <w:szCs w:val="24"/>
          <w:lang w:val="en-US"/>
        </w:rPr>
        <w:t>(</w:t>
      </w:r>
      <w:r w:rsidR="00D56124">
        <w:rPr>
          <w:rFonts w:ascii="Times New Roman" w:hAnsi="Times New Roman" w:cs="Times New Roman"/>
          <w:sz w:val="24"/>
          <w:szCs w:val="24"/>
          <w:lang w:val="en-US"/>
        </w:rPr>
        <w:t>notably for present purpose the current English statutory regime</w:t>
      </w:r>
      <w:r w:rsidR="00A0128B">
        <w:rPr>
          <w:rFonts w:ascii="Times New Roman" w:hAnsi="Times New Roman" w:cs="Times New Roman"/>
          <w:sz w:val="24"/>
          <w:szCs w:val="24"/>
          <w:lang w:val="en-US"/>
        </w:rPr>
        <w:t>)</w:t>
      </w:r>
      <w:r w:rsidR="00191C69">
        <w:rPr>
          <w:rStyle w:val="FootnoteReference"/>
          <w:rFonts w:ascii="Times New Roman" w:hAnsi="Times New Roman" w:cs="Times New Roman"/>
          <w:sz w:val="24"/>
          <w:szCs w:val="24"/>
          <w:lang w:val="en-US"/>
        </w:rPr>
        <w:footnoteReference w:id="118"/>
      </w:r>
      <w:r w:rsidR="00D56124">
        <w:rPr>
          <w:rFonts w:ascii="Times New Roman" w:hAnsi="Times New Roman" w:cs="Times New Roman"/>
          <w:sz w:val="24"/>
          <w:szCs w:val="24"/>
          <w:lang w:val="en-US"/>
        </w:rPr>
        <w:t xml:space="preserve"> </w:t>
      </w:r>
      <w:r w:rsidR="003409DE">
        <w:rPr>
          <w:rFonts w:ascii="Times New Roman" w:hAnsi="Times New Roman" w:cs="Times New Roman"/>
          <w:sz w:val="24"/>
          <w:szCs w:val="24"/>
          <w:lang w:val="en-US"/>
        </w:rPr>
        <w:t>with consequent danger for the protection of third party reliance and reasonable expectations.</w:t>
      </w:r>
      <w:r w:rsidR="00D56124">
        <w:rPr>
          <w:rStyle w:val="FootnoteReference"/>
          <w:rFonts w:ascii="Times New Roman" w:hAnsi="Times New Roman" w:cs="Times New Roman"/>
          <w:sz w:val="24"/>
          <w:szCs w:val="24"/>
          <w:lang w:val="en-US"/>
        </w:rPr>
        <w:footnoteReference w:id="119"/>
      </w:r>
      <w:r w:rsidR="003409DE">
        <w:rPr>
          <w:rFonts w:ascii="Times New Roman" w:hAnsi="Times New Roman" w:cs="Times New Roman"/>
          <w:sz w:val="24"/>
          <w:szCs w:val="24"/>
          <w:lang w:val="en-US"/>
        </w:rPr>
        <w:t xml:space="preserve">  Visser has argued that this is due to </w:t>
      </w:r>
      <w:r w:rsidR="00D56124">
        <w:rPr>
          <w:rFonts w:ascii="Times New Roman" w:hAnsi="Times New Roman" w:cs="Times New Roman"/>
          <w:sz w:val="24"/>
          <w:szCs w:val="24"/>
          <w:lang w:val="en-US"/>
        </w:rPr>
        <w:t xml:space="preserve">the </w:t>
      </w:r>
      <w:r w:rsidR="003409DE">
        <w:rPr>
          <w:rFonts w:ascii="Times New Roman" w:hAnsi="Times New Roman" w:cs="Times New Roman"/>
          <w:sz w:val="24"/>
          <w:szCs w:val="24"/>
          <w:lang w:val="en-US"/>
        </w:rPr>
        <w:t xml:space="preserve">Roman Dutch influence </w:t>
      </w:r>
      <w:r w:rsidR="00D56124">
        <w:rPr>
          <w:rFonts w:ascii="Times New Roman" w:hAnsi="Times New Roman" w:cs="Times New Roman"/>
          <w:sz w:val="24"/>
          <w:szCs w:val="24"/>
          <w:lang w:val="en-US"/>
        </w:rPr>
        <w:t>in South Africa, which</w:t>
      </w:r>
      <w:r w:rsidR="003409DE">
        <w:rPr>
          <w:rFonts w:ascii="Times New Roman" w:hAnsi="Times New Roman" w:cs="Times New Roman"/>
          <w:sz w:val="24"/>
          <w:szCs w:val="24"/>
          <w:lang w:val="en-US"/>
        </w:rPr>
        <w:t xml:space="preserve"> emphasizes subjective consensus in contract formation, in contrast to the more objective English approach to this question.</w:t>
      </w:r>
      <w:r w:rsidR="00191C69">
        <w:rPr>
          <w:rStyle w:val="FootnoteReference"/>
          <w:rFonts w:ascii="Times New Roman" w:hAnsi="Times New Roman" w:cs="Times New Roman"/>
          <w:sz w:val="24"/>
          <w:szCs w:val="24"/>
          <w:lang w:val="en-US"/>
        </w:rPr>
        <w:footnoteReference w:id="120"/>
      </w:r>
      <w:r w:rsidR="003409DE">
        <w:rPr>
          <w:rFonts w:ascii="Times New Roman" w:hAnsi="Times New Roman" w:cs="Times New Roman"/>
          <w:sz w:val="24"/>
          <w:szCs w:val="24"/>
          <w:lang w:val="en-US"/>
        </w:rPr>
        <w:t xml:space="preserve">  </w:t>
      </w:r>
      <w:r w:rsidR="00D56124">
        <w:rPr>
          <w:rFonts w:ascii="Times New Roman" w:hAnsi="Times New Roman" w:cs="Times New Roman"/>
          <w:sz w:val="24"/>
          <w:szCs w:val="24"/>
          <w:lang w:val="en-US"/>
        </w:rPr>
        <w:t>As will be shown below in the case study on extension clauses in insurance policies, one way of getting around this difficulty has been to make use of an inference of tacit acceptance.</w:t>
      </w:r>
      <w:r w:rsidR="00E70873">
        <w:rPr>
          <w:rStyle w:val="FootnoteReference"/>
          <w:rFonts w:ascii="Times New Roman" w:hAnsi="Times New Roman" w:cs="Times New Roman"/>
          <w:sz w:val="24"/>
          <w:szCs w:val="24"/>
          <w:lang w:val="en-US"/>
        </w:rPr>
        <w:footnoteReference w:id="121"/>
      </w:r>
      <w:r w:rsidR="00D56124">
        <w:rPr>
          <w:rFonts w:ascii="Times New Roman" w:hAnsi="Times New Roman" w:cs="Times New Roman"/>
          <w:sz w:val="24"/>
          <w:szCs w:val="24"/>
          <w:lang w:val="en-US"/>
        </w:rPr>
        <w:t xml:space="preserve">  In this way, fairness inter partes can be preserved and justice obtained on an ad hoc basis.  </w:t>
      </w:r>
    </w:p>
    <w:p w14:paraId="2F866A60" w14:textId="213B1708" w:rsidR="000714FC" w:rsidRPr="000F052B" w:rsidRDefault="005F0D14" w:rsidP="005B509E">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intricacies of the South African law have been discussed at length by others; for present purposes it is merely necessary to know that t</w:t>
      </w:r>
      <w:r w:rsidR="008C170A" w:rsidRPr="000F052B">
        <w:rPr>
          <w:rFonts w:ascii="Times New Roman" w:hAnsi="Times New Roman" w:cs="Times New Roman"/>
          <w:sz w:val="24"/>
          <w:szCs w:val="24"/>
          <w:lang w:val="en-US"/>
        </w:rPr>
        <w:t>h</w:t>
      </w:r>
      <w:r w:rsidR="00C705E3" w:rsidRPr="000F052B">
        <w:rPr>
          <w:rFonts w:ascii="Times New Roman" w:hAnsi="Times New Roman" w:cs="Times New Roman"/>
          <w:sz w:val="24"/>
          <w:szCs w:val="24"/>
          <w:lang w:val="en-US"/>
        </w:rPr>
        <w:t xml:space="preserve">e contract for the benefit of a third party is a settled feature of </w:t>
      </w:r>
      <w:r w:rsidR="000714FC" w:rsidRPr="000F052B">
        <w:rPr>
          <w:rFonts w:ascii="Times New Roman" w:hAnsi="Times New Roman" w:cs="Times New Roman"/>
          <w:sz w:val="24"/>
          <w:szCs w:val="24"/>
          <w:lang w:val="en-US"/>
        </w:rPr>
        <w:t>contracting in that</w:t>
      </w:r>
      <w:r w:rsidRPr="000F052B">
        <w:rPr>
          <w:rFonts w:ascii="Times New Roman" w:hAnsi="Times New Roman" w:cs="Times New Roman"/>
          <w:sz w:val="24"/>
          <w:szCs w:val="24"/>
          <w:lang w:val="en-US"/>
        </w:rPr>
        <w:t xml:space="preserve"> country</w:t>
      </w:r>
      <w:r w:rsidR="00C705E3"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and </w:t>
      </w:r>
      <w:r w:rsidR="004B372B" w:rsidRPr="000F052B">
        <w:rPr>
          <w:rFonts w:ascii="Times New Roman" w:hAnsi="Times New Roman" w:cs="Times New Roman"/>
          <w:sz w:val="24"/>
          <w:szCs w:val="24"/>
          <w:lang w:val="en-US"/>
        </w:rPr>
        <w:t xml:space="preserve">which has been constructed in a manner which preserves intact the doctrine of privity as received from Roman Dutch law. </w:t>
      </w:r>
      <w:r w:rsidRPr="000F052B">
        <w:rPr>
          <w:rFonts w:ascii="Times New Roman" w:hAnsi="Times New Roman" w:cs="Times New Roman"/>
          <w:sz w:val="24"/>
          <w:szCs w:val="24"/>
          <w:lang w:val="en-US"/>
        </w:rPr>
        <w:t xml:space="preserve"> </w:t>
      </w:r>
    </w:p>
    <w:p w14:paraId="6E4B7748" w14:textId="1AFFFD5D" w:rsidR="00DF7BCF" w:rsidRPr="000F052B" w:rsidRDefault="005F0D14"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Thus</w:t>
      </w:r>
      <w:r w:rsidR="003A0D34" w:rsidRPr="000F052B">
        <w:rPr>
          <w:rFonts w:ascii="Times New Roman" w:hAnsi="Times New Roman" w:cs="Times New Roman"/>
          <w:sz w:val="24"/>
          <w:szCs w:val="24"/>
          <w:lang w:val="en-US"/>
        </w:rPr>
        <w:t xml:space="preserve"> South African law has not been dogged by the difficulties of English and Australian law in this regard </w:t>
      </w:r>
      <w:r w:rsidRPr="000F052B">
        <w:rPr>
          <w:rFonts w:ascii="Times New Roman" w:hAnsi="Times New Roman" w:cs="Times New Roman"/>
          <w:sz w:val="24"/>
          <w:szCs w:val="24"/>
          <w:lang w:val="en-US"/>
        </w:rPr>
        <w:t>given the absence of a doctrine of consideration.  P</w:t>
      </w:r>
      <w:r w:rsidR="003A0D34" w:rsidRPr="000F052B">
        <w:rPr>
          <w:rFonts w:ascii="Times New Roman" w:hAnsi="Times New Roman" w:cs="Times New Roman"/>
          <w:sz w:val="24"/>
          <w:szCs w:val="24"/>
          <w:lang w:val="en-US"/>
        </w:rPr>
        <w:t xml:space="preserve">rivity still stands as an obstacle to a broader notion of contractual relations between multiple parties, </w:t>
      </w:r>
      <w:r w:rsidR="000714FC" w:rsidRPr="000F052B">
        <w:rPr>
          <w:rFonts w:ascii="Times New Roman" w:hAnsi="Times New Roman" w:cs="Times New Roman"/>
          <w:sz w:val="24"/>
          <w:szCs w:val="24"/>
          <w:lang w:val="en-US"/>
        </w:rPr>
        <w:t xml:space="preserve">however, </w:t>
      </w:r>
      <w:r w:rsidR="003842D0" w:rsidRPr="000F052B">
        <w:rPr>
          <w:rFonts w:ascii="Times New Roman" w:hAnsi="Times New Roman" w:cs="Times New Roman"/>
          <w:sz w:val="24"/>
          <w:szCs w:val="24"/>
          <w:lang w:val="en-US"/>
        </w:rPr>
        <w:t>in the sense used in the relational contract literature.</w:t>
      </w:r>
      <w:r w:rsidR="00E42DDB">
        <w:rPr>
          <w:rStyle w:val="FootnoteReference"/>
          <w:rFonts w:ascii="Times New Roman" w:hAnsi="Times New Roman" w:cs="Times New Roman"/>
          <w:sz w:val="24"/>
          <w:szCs w:val="24"/>
          <w:lang w:val="en-US"/>
        </w:rPr>
        <w:footnoteReference w:id="122"/>
      </w:r>
      <w:r w:rsidR="003842D0" w:rsidRPr="000F052B">
        <w:rPr>
          <w:rFonts w:ascii="Times New Roman" w:hAnsi="Times New Roman" w:cs="Times New Roman"/>
          <w:sz w:val="24"/>
          <w:szCs w:val="24"/>
          <w:lang w:val="en-US"/>
        </w:rPr>
        <w:t xml:space="preserve">  The necessity of acceptance of an offer, giving ri</w:t>
      </w:r>
      <w:r w:rsidR="003A0D34" w:rsidRPr="000F052B">
        <w:rPr>
          <w:rFonts w:ascii="Times New Roman" w:hAnsi="Times New Roman" w:cs="Times New Roman"/>
          <w:sz w:val="24"/>
          <w:szCs w:val="24"/>
          <w:lang w:val="en-US"/>
        </w:rPr>
        <w:t xml:space="preserve">se to a binding </w:t>
      </w:r>
      <w:r w:rsidR="003A0D34" w:rsidRPr="000F052B">
        <w:rPr>
          <w:rFonts w:ascii="Times New Roman" w:hAnsi="Times New Roman" w:cs="Times New Roman"/>
          <w:i/>
          <w:sz w:val="24"/>
          <w:szCs w:val="24"/>
          <w:lang w:val="en-US"/>
        </w:rPr>
        <w:t>vinculum iuris</w:t>
      </w:r>
      <w:r w:rsidR="003A0D34" w:rsidRPr="000F052B">
        <w:rPr>
          <w:rFonts w:ascii="Times New Roman" w:hAnsi="Times New Roman" w:cs="Times New Roman"/>
          <w:sz w:val="24"/>
          <w:szCs w:val="24"/>
          <w:lang w:val="en-US"/>
        </w:rPr>
        <w:t>, or bilateral contract</w:t>
      </w:r>
      <w:r w:rsidR="003842D0" w:rsidRPr="000F052B">
        <w:rPr>
          <w:rFonts w:ascii="Times New Roman" w:hAnsi="Times New Roman" w:cs="Times New Roman"/>
          <w:sz w:val="24"/>
          <w:szCs w:val="24"/>
          <w:lang w:val="en-US"/>
        </w:rPr>
        <w:t>, problemati</w:t>
      </w:r>
      <w:r w:rsidR="00F038A9">
        <w:rPr>
          <w:rFonts w:ascii="Times New Roman" w:hAnsi="Times New Roman" w:cs="Times New Roman"/>
          <w:sz w:val="24"/>
          <w:szCs w:val="24"/>
          <w:lang w:val="en-US"/>
        </w:rPr>
        <w:t>z</w:t>
      </w:r>
      <w:r w:rsidR="003842D0" w:rsidRPr="000F052B">
        <w:rPr>
          <w:rFonts w:ascii="Times New Roman" w:hAnsi="Times New Roman" w:cs="Times New Roman"/>
          <w:sz w:val="24"/>
          <w:szCs w:val="24"/>
          <w:lang w:val="en-US"/>
        </w:rPr>
        <w:t xml:space="preserve">es multi-party relationships, which may not be strictly based on such a </w:t>
      </w:r>
      <w:r w:rsidR="000714FC" w:rsidRPr="000F052B">
        <w:rPr>
          <w:rFonts w:ascii="Times New Roman" w:hAnsi="Times New Roman" w:cs="Times New Roman"/>
          <w:sz w:val="24"/>
          <w:szCs w:val="24"/>
          <w:lang w:val="en-US"/>
        </w:rPr>
        <w:t xml:space="preserve">bi-polar </w:t>
      </w:r>
      <w:r w:rsidR="003842D0" w:rsidRPr="000F052B">
        <w:rPr>
          <w:rFonts w:ascii="Times New Roman" w:hAnsi="Times New Roman" w:cs="Times New Roman"/>
          <w:sz w:val="24"/>
          <w:szCs w:val="24"/>
          <w:lang w:val="en-US"/>
        </w:rPr>
        <w:t>contract</w:t>
      </w:r>
      <w:r w:rsidR="003A0D34" w:rsidRPr="000F052B">
        <w:rPr>
          <w:rFonts w:ascii="Times New Roman" w:hAnsi="Times New Roman" w:cs="Times New Roman"/>
          <w:sz w:val="24"/>
          <w:szCs w:val="24"/>
          <w:lang w:val="en-US"/>
        </w:rPr>
        <w:t xml:space="preserve">.  Some of the </w:t>
      </w:r>
      <w:r w:rsidR="003A0D34" w:rsidRPr="000F052B">
        <w:rPr>
          <w:rFonts w:ascii="Times New Roman" w:hAnsi="Times New Roman" w:cs="Times New Roman"/>
          <w:sz w:val="24"/>
          <w:szCs w:val="24"/>
          <w:lang w:val="en-US"/>
        </w:rPr>
        <w:lastRenderedPageBreak/>
        <w:t>difficulties whi</w:t>
      </w:r>
      <w:r w:rsidR="003842D0" w:rsidRPr="000F052B">
        <w:rPr>
          <w:rFonts w:ascii="Times New Roman" w:hAnsi="Times New Roman" w:cs="Times New Roman"/>
          <w:sz w:val="24"/>
          <w:szCs w:val="24"/>
          <w:lang w:val="en-US"/>
        </w:rPr>
        <w:t>ch the doctrine of privity</w:t>
      </w:r>
      <w:r w:rsidR="003A0D34" w:rsidRPr="000F052B">
        <w:rPr>
          <w:rFonts w:ascii="Times New Roman" w:hAnsi="Times New Roman" w:cs="Times New Roman"/>
          <w:sz w:val="24"/>
          <w:szCs w:val="24"/>
          <w:lang w:val="en-US"/>
        </w:rPr>
        <w:t xml:space="preserve"> has thrown up in practice will be considered in the following two scenarios </w:t>
      </w:r>
      <w:r w:rsidR="00272151" w:rsidRPr="000F052B">
        <w:rPr>
          <w:rFonts w:ascii="Times New Roman" w:hAnsi="Times New Roman" w:cs="Times New Roman"/>
          <w:sz w:val="24"/>
          <w:szCs w:val="24"/>
          <w:lang w:val="en-US"/>
        </w:rPr>
        <w:t xml:space="preserve">in </w:t>
      </w:r>
      <w:r w:rsidR="00220085">
        <w:rPr>
          <w:rFonts w:ascii="Times New Roman" w:hAnsi="Times New Roman" w:cs="Times New Roman"/>
          <w:sz w:val="24"/>
          <w:szCs w:val="24"/>
          <w:lang w:val="en-US"/>
        </w:rPr>
        <w:t>P</w:t>
      </w:r>
      <w:r w:rsidR="00272151" w:rsidRPr="00E35B95">
        <w:rPr>
          <w:rFonts w:ascii="Times New Roman" w:hAnsi="Times New Roman" w:cs="Times New Roman"/>
          <w:sz w:val="24"/>
          <w:szCs w:val="24"/>
          <w:lang w:val="en-US"/>
        </w:rPr>
        <w:t>art</w:t>
      </w:r>
      <w:r w:rsidR="00220085">
        <w:rPr>
          <w:rFonts w:ascii="Times New Roman" w:hAnsi="Times New Roman" w:cs="Times New Roman"/>
          <w:sz w:val="24"/>
          <w:szCs w:val="24"/>
          <w:lang w:val="en-US"/>
        </w:rPr>
        <w:t xml:space="preserve"> III, Sections B and C </w:t>
      </w:r>
      <w:r w:rsidR="003A0D34" w:rsidRPr="000F052B">
        <w:rPr>
          <w:rFonts w:ascii="Times New Roman" w:hAnsi="Times New Roman" w:cs="Times New Roman"/>
          <w:sz w:val="24"/>
          <w:szCs w:val="24"/>
          <w:lang w:val="en-US"/>
        </w:rPr>
        <w:t>below.</w:t>
      </w:r>
    </w:p>
    <w:p w14:paraId="515EEEFC" w14:textId="77777777" w:rsidR="00BA471B" w:rsidRPr="000F052B" w:rsidRDefault="00BA471B" w:rsidP="00205AF2">
      <w:pPr>
        <w:spacing w:after="120" w:line="480" w:lineRule="auto"/>
        <w:jc w:val="both"/>
        <w:rPr>
          <w:rFonts w:ascii="Times New Roman" w:hAnsi="Times New Roman" w:cs="Times New Roman"/>
          <w:i/>
          <w:sz w:val="28"/>
          <w:szCs w:val="24"/>
          <w:lang w:val="en-US"/>
        </w:rPr>
      </w:pPr>
    </w:p>
    <w:p w14:paraId="714C353B" w14:textId="4B9F9570" w:rsidR="002C54B5" w:rsidRPr="000F052B" w:rsidRDefault="00BA471B"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B.</w:t>
      </w:r>
      <w:r w:rsidR="00F27B19" w:rsidRPr="000F052B">
        <w:rPr>
          <w:rFonts w:ascii="Times New Roman" w:hAnsi="Times New Roman" w:cs="Times New Roman"/>
          <w:i/>
          <w:sz w:val="28"/>
          <w:szCs w:val="24"/>
          <w:lang w:val="en-US"/>
        </w:rPr>
        <w:t xml:space="preserve"> Extension</w:t>
      </w:r>
      <w:r w:rsidR="002C54B5" w:rsidRPr="000F052B">
        <w:rPr>
          <w:rFonts w:ascii="Times New Roman" w:hAnsi="Times New Roman" w:cs="Times New Roman"/>
          <w:i/>
          <w:sz w:val="28"/>
          <w:szCs w:val="24"/>
          <w:lang w:val="en-US"/>
        </w:rPr>
        <w:t xml:space="preserve"> Clauses in Motor Vehicle Insurance Contracts</w:t>
      </w:r>
    </w:p>
    <w:p w14:paraId="13A31139" w14:textId="4FA6CB54" w:rsidR="002C54B5" w:rsidRPr="000F052B" w:rsidRDefault="00BA5066"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1</w:t>
      </w:r>
      <w:r w:rsidR="00BA471B" w:rsidRPr="000F052B">
        <w:rPr>
          <w:rFonts w:ascii="Times New Roman" w:hAnsi="Times New Roman" w:cs="Times New Roman"/>
          <w:i/>
          <w:sz w:val="28"/>
          <w:szCs w:val="24"/>
          <w:lang w:val="en-US"/>
        </w:rPr>
        <w:t>. Nature of an Extension C</w:t>
      </w:r>
      <w:r w:rsidR="00B377A2" w:rsidRPr="000F052B">
        <w:rPr>
          <w:rFonts w:ascii="Times New Roman" w:hAnsi="Times New Roman" w:cs="Times New Roman"/>
          <w:i/>
          <w:sz w:val="28"/>
          <w:szCs w:val="24"/>
          <w:lang w:val="en-US"/>
        </w:rPr>
        <w:t>lause</w:t>
      </w:r>
    </w:p>
    <w:p w14:paraId="47B2F497" w14:textId="10AFDC11" w:rsidR="00380978" w:rsidRPr="000F052B" w:rsidRDefault="00302533" w:rsidP="00205AF2">
      <w:pPr>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“extension clause”</w:t>
      </w:r>
      <w:r w:rsidR="0047518D" w:rsidRPr="000F052B">
        <w:rPr>
          <w:rFonts w:ascii="Times New Roman" w:hAnsi="Times New Roman" w:cs="Times New Roman"/>
          <w:sz w:val="24"/>
          <w:szCs w:val="24"/>
          <w:lang w:val="en-US"/>
        </w:rPr>
        <w:t xml:space="preserve"> is a common type of provision in an indemn</w:t>
      </w:r>
      <w:r w:rsidR="00FA6EF6" w:rsidRPr="000F052B">
        <w:rPr>
          <w:rFonts w:ascii="Times New Roman" w:hAnsi="Times New Roman" w:cs="Times New Roman"/>
          <w:sz w:val="24"/>
          <w:szCs w:val="24"/>
          <w:lang w:val="en-US"/>
        </w:rPr>
        <w:t>ity insurance contract, extending cover beyond the named insured to third parties</w:t>
      </w:r>
      <w:r w:rsidR="00272151" w:rsidRPr="000F052B">
        <w:rPr>
          <w:rFonts w:ascii="Times New Roman" w:hAnsi="Times New Roman" w:cs="Times New Roman"/>
          <w:sz w:val="24"/>
          <w:szCs w:val="24"/>
          <w:lang w:val="en-US"/>
        </w:rPr>
        <w:t>, who are often named only by class</w:t>
      </w:r>
      <w:r w:rsidR="00FA6EF6" w:rsidRPr="000F052B">
        <w:rPr>
          <w:rFonts w:ascii="Times New Roman" w:hAnsi="Times New Roman" w:cs="Times New Roman"/>
          <w:sz w:val="24"/>
          <w:szCs w:val="24"/>
          <w:lang w:val="en-US"/>
        </w:rPr>
        <w:t>.</w:t>
      </w:r>
      <w:r w:rsidR="00080263" w:rsidRPr="000F052B">
        <w:rPr>
          <w:rStyle w:val="FootnoteReference"/>
          <w:rFonts w:ascii="Times New Roman" w:hAnsi="Times New Roman" w:cs="Times New Roman"/>
          <w:sz w:val="24"/>
          <w:szCs w:val="24"/>
          <w:lang w:val="en-US"/>
        </w:rPr>
        <w:footnoteReference w:id="123"/>
      </w:r>
      <w:r w:rsidR="00FA6EF6" w:rsidRPr="000F052B">
        <w:rPr>
          <w:rFonts w:ascii="Times New Roman" w:hAnsi="Times New Roman" w:cs="Times New Roman"/>
          <w:sz w:val="24"/>
          <w:szCs w:val="24"/>
          <w:lang w:val="en-US"/>
        </w:rPr>
        <w:t xml:space="preserve">  </w:t>
      </w:r>
      <w:r w:rsidR="00E35B95">
        <w:rPr>
          <w:rFonts w:ascii="Times New Roman" w:hAnsi="Times New Roman" w:cs="Times New Roman"/>
          <w:sz w:val="24"/>
          <w:szCs w:val="24"/>
          <w:lang w:val="en-US"/>
        </w:rPr>
        <w:t>In a motor vehicle policy, such clauses</w:t>
      </w:r>
      <w:r w:rsidR="00FA6EF6" w:rsidRPr="000F052B">
        <w:rPr>
          <w:rFonts w:ascii="Times New Roman" w:hAnsi="Times New Roman" w:cs="Times New Roman"/>
          <w:sz w:val="24"/>
          <w:szCs w:val="24"/>
          <w:lang w:val="en-US"/>
        </w:rPr>
        <w:t xml:space="preserve"> are typically used to extend</w:t>
      </w:r>
      <w:r w:rsidR="0047518D" w:rsidRPr="000F052B">
        <w:rPr>
          <w:rFonts w:ascii="Times New Roman" w:hAnsi="Times New Roman" w:cs="Times New Roman"/>
          <w:sz w:val="24"/>
          <w:szCs w:val="24"/>
          <w:lang w:val="en-US"/>
        </w:rPr>
        <w:t xml:space="preserve"> cover to those driving the </w:t>
      </w:r>
      <w:r w:rsidR="00CC4D51" w:rsidRPr="000F052B">
        <w:rPr>
          <w:rFonts w:ascii="Times New Roman" w:hAnsi="Times New Roman" w:cs="Times New Roman"/>
          <w:sz w:val="24"/>
          <w:szCs w:val="24"/>
          <w:lang w:val="en-US"/>
        </w:rPr>
        <w:t xml:space="preserve">insured </w:t>
      </w:r>
      <w:r w:rsidR="0047518D" w:rsidRPr="000F052B">
        <w:rPr>
          <w:rFonts w:ascii="Times New Roman" w:hAnsi="Times New Roman" w:cs="Times New Roman"/>
          <w:sz w:val="24"/>
          <w:szCs w:val="24"/>
          <w:lang w:val="en-US"/>
        </w:rPr>
        <w:t xml:space="preserve">vehicle with the permission of the insured.  </w:t>
      </w:r>
      <w:r w:rsidR="00CC4D51" w:rsidRPr="000F052B">
        <w:rPr>
          <w:rFonts w:ascii="Times New Roman" w:hAnsi="Times New Roman" w:cs="Times New Roman"/>
          <w:sz w:val="24"/>
          <w:szCs w:val="24"/>
          <w:lang w:val="en-US"/>
        </w:rPr>
        <w:t>(In other contexts, s</w:t>
      </w:r>
      <w:r w:rsidR="00FA6EF6" w:rsidRPr="000F052B">
        <w:rPr>
          <w:rFonts w:ascii="Times New Roman" w:hAnsi="Times New Roman" w:cs="Times New Roman"/>
          <w:sz w:val="24"/>
          <w:szCs w:val="24"/>
          <w:lang w:val="en-US"/>
        </w:rPr>
        <w:t xml:space="preserve">uch clauses </w:t>
      </w:r>
      <w:r w:rsidR="00CC4D51" w:rsidRPr="000F052B">
        <w:rPr>
          <w:rFonts w:ascii="Times New Roman" w:hAnsi="Times New Roman" w:cs="Times New Roman"/>
          <w:sz w:val="24"/>
          <w:szCs w:val="24"/>
          <w:lang w:val="en-US"/>
        </w:rPr>
        <w:t>could</w:t>
      </w:r>
      <w:r w:rsidR="00FA6EF6" w:rsidRPr="000F052B">
        <w:rPr>
          <w:rFonts w:ascii="Times New Roman" w:hAnsi="Times New Roman" w:cs="Times New Roman"/>
          <w:sz w:val="24"/>
          <w:szCs w:val="24"/>
          <w:lang w:val="en-US"/>
        </w:rPr>
        <w:t xml:space="preserve"> a</w:t>
      </w:r>
      <w:r w:rsidR="00CC4D51" w:rsidRPr="000F052B">
        <w:rPr>
          <w:rFonts w:ascii="Times New Roman" w:hAnsi="Times New Roman" w:cs="Times New Roman"/>
          <w:sz w:val="24"/>
          <w:szCs w:val="24"/>
          <w:lang w:val="en-US"/>
        </w:rPr>
        <w:t xml:space="preserve">lso cover, for example, loss of, or damage to, </w:t>
      </w:r>
      <w:r w:rsidR="00FA6EF6" w:rsidRPr="000F052B">
        <w:rPr>
          <w:rFonts w:ascii="Times New Roman" w:hAnsi="Times New Roman" w:cs="Times New Roman"/>
          <w:sz w:val="24"/>
          <w:szCs w:val="24"/>
          <w:lang w:val="en-US"/>
        </w:rPr>
        <w:t>goods brought onto insured premises by third parties.</w:t>
      </w:r>
      <w:r w:rsidR="00CC4D51" w:rsidRPr="000F052B">
        <w:rPr>
          <w:rFonts w:ascii="Times New Roman" w:hAnsi="Times New Roman" w:cs="Times New Roman"/>
          <w:sz w:val="24"/>
          <w:szCs w:val="24"/>
          <w:lang w:val="en-US"/>
        </w:rPr>
        <w:t>)</w:t>
      </w:r>
      <w:r w:rsidR="00080263" w:rsidRPr="000F052B">
        <w:rPr>
          <w:rStyle w:val="FootnoteReference"/>
          <w:rFonts w:ascii="Times New Roman" w:hAnsi="Times New Roman" w:cs="Times New Roman"/>
          <w:sz w:val="24"/>
          <w:szCs w:val="24"/>
          <w:lang w:val="en-US"/>
        </w:rPr>
        <w:footnoteReference w:id="124"/>
      </w:r>
      <w:r w:rsidR="00FA6EF6" w:rsidRPr="000F052B">
        <w:rPr>
          <w:rFonts w:ascii="Times New Roman" w:hAnsi="Times New Roman" w:cs="Times New Roman"/>
          <w:sz w:val="24"/>
          <w:szCs w:val="24"/>
          <w:lang w:val="en-US"/>
        </w:rPr>
        <w:t xml:space="preserve">  </w:t>
      </w:r>
      <w:r w:rsidR="0047518D" w:rsidRPr="000F052B">
        <w:rPr>
          <w:rFonts w:ascii="Times New Roman" w:hAnsi="Times New Roman" w:cs="Times New Roman"/>
          <w:sz w:val="24"/>
          <w:szCs w:val="24"/>
          <w:lang w:val="en-US"/>
        </w:rPr>
        <w:t xml:space="preserve">The object of an extension clause is </w:t>
      </w:r>
      <w:r w:rsidR="00FA6EF6" w:rsidRPr="000F052B">
        <w:rPr>
          <w:rFonts w:ascii="Times New Roman" w:hAnsi="Times New Roman" w:cs="Times New Roman"/>
          <w:sz w:val="24"/>
          <w:szCs w:val="24"/>
          <w:lang w:val="en-US"/>
        </w:rPr>
        <w:t xml:space="preserve">thus </w:t>
      </w:r>
      <w:r w:rsidR="0047518D" w:rsidRPr="000F052B">
        <w:rPr>
          <w:rFonts w:ascii="Times New Roman" w:hAnsi="Times New Roman" w:cs="Times New Roman"/>
          <w:sz w:val="24"/>
          <w:szCs w:val="24"/>
          <w:lang w:val="en-US"/>
        </w:rPr>
        <w:t>to provide cover to a class of third parties who are not party to the insurance contract,</w:t>
      </w:r>
      <w:r w:rsidR="00FA6EF6" w:rsidRPr="000F052B">
        <w:rPr>
          <w:rFonts w:ascii="Times New Roman" w:hAnsi="Times New Roman" w:cs="Times New Roman"/>
          <w:sz w:val="24"/>
          <w:szCs w:val="24"/>
          <w:lang w:val="en-US"/>
        </w:rPr>
        <w:t xml:space="preserve"> which implicates the doctrine of contractual privity.</w:t>
      </w:r>
      <w:r w:rsidR="00CC4D51" w:rsidRPr="000F052B">
        <w:rPr>
          <w:rFonts w:ascii="Times New Roman" w:hAnsi="Times New Roman" w:cs="Times New Roman"/>
          <w:sz w:val="24"/>
          <w:szCs w:val="24"/>
          <w:lang w:val="en-US"/>
        </w:rPr>
        <w:t xml:space="preserve">  </w:t>
      </w:r>
      <w:r w:rsidR="000821E8" w:rsidRPr="000F052B">
        <w:rPr>
          <w:rFonts w:ascii="Times New Roman" w:hAnsi="Times New Roman" w:cs="Times New Roman"/>
          <w:sz w:val="24"/>
          <w:szCs w:val="24"/>
          <w:lang w:val="en-US"/>
        </w:rPr>
        <w:t xml:space="preserve">The extension clause usually covers damage to property and persons, indemnifying the </w:t>
      </w:r>
      <w:r w:rsidR="00FD0C31" w:rsidRPr="000F052B">
        <w:rPr>
          <w:rFonts w:ascii="Times New Roman" w:hAnsi="Times New Roman" w:cs="Times New Roman"/>
          <w:sz w:val="24"/>
          <w:szCs w:val="24"/>
          <w:lang w:val="en-US"/>
        </w:rPr>
        <w:t>authorized</w:t>
      </w:r>
      <w:r w:rsidR="000821E8" w:rsidRPr="000F052B">
        <w:rPr>
          <w:rFonts w:ascii="Times New Roman" w:hAnsi="Times New Roman" w:cs="Times New Roman"/>
          <w:sz w:val="24"/>
          <w:szCs w:val="24"/>
          <w:lang w:val="en-US"/>
        </w:rPr>
        <w:t xml:space="preserve"> driver from third party claims</w:t>
      </w:r>
      <w:r w:rsidR="0084513B" w:rsidRPr="000F052B">
        <w:rPr>
          <w:rFonts w:ascii="Times New Roman" w:hAnsi="Times New Roman" w:cs="Times New Roman"/>
          <w:sz w:val="24"/>
          <w:szCs w:val="24"/>
          <w:lang w:val="en-US"/>
        </w:rPr>
        <w:t xml:space="preserve">.  </w:t>
      </w:r>
      <w:r w:rsidR="00CC4D51" w:rsidRPr="000F052B">
        <w:rPr>
          <w:rFonts w:ascii="Times New Roman" w:hAnsi="Times New Roman" w:cs="Times New Roman"/>
          <w:sz w:val="24"/>
          <w:szCs w:val="24"/>
          <w:lang w:val="en-US"/>
        </w:rPr>
        <w:t>Such clauses are a firmly established feature of English insurance law,</w:t>
      </w:r>
      <w:r w:rsidR="00080263" w:rsidRPr="000F052B">
        <w:rPr>
          <w:rStyle w:val="FootnoteReference"/>
          <w:rFonts w:ascii="Times New Roman" w:hAnsi="Times New Roman" w:cs="Times New Roman"/>
          <w:sz w:val="24"/>
          <w:szCs w:val="24"/>
          <w:lang w:val="en-US"/>
        </w:rPr>
        <w:footnoteReference w:id="125"/>
      </w:r>
      <w:r w:rsidR="00CC4D51" w:rsidRPr="000F052B">
        <w:rPr>
          <w:rFonts w:ascii="Times New Roman" w:hAnsi="Times New Roman" w:cs="Times New Roman"/>
          <w:sz w:val="24"/>
          <w:szCs w:val="24"/>
          <w:lang w:val="en-US"/>
        </w:rPr>
        <w:t xml:space="preserve"> and have been exported to both South Africa and Australia</w:t>
      </w:r>
      <w:r w:rsidR="000821E8" w:rsidRPr="000F052B">
        <w:rPr>
          <w:rFonts w:ascii="Times New Roman" w:hAnsi="Times New Roman" w:cs="Times New Roman"/>
          <w:sz w:val="24"/>
          <w:szCs w:val="24"/>
          <w:lang w:val="en-US"/>
        </w:rPr>
        <w:t>.</w:t>
      </w:r>
      <w:r w:rsidR="00080263" w:rsidRPr="000F052B">
        <w:rPr>
          <w:rStyle w:val="FootnoteReference"/>
          <w:rFonts w:ascii="Times New Roman" w:hAnsi="Times New Roman" w:cs="Times New Roman"/>
          <w:sz w:val="24"/>
          <w:szCs w:val="24"/>
          <w:lang w:val="en-US"/>
        </w:rPr>
        <w:footnoteReference w:id="126"/>
      </w:r>
      <w:r w:rsidR="000821E8" w:rsidRPr="000F052B">
        <w:rPr>
          <w:rFonts w:ascii="Times New Roman" w:hAnsi="Times New Roman" w:cs="Times New Roman"/>
          <w:sz w:val="24"/>
          <w:szCs w:val="24"/>
          <w:lang w:val="en-US"/>
        </w:rPr>
        <w:t xml:space="preserve">  Since the underlying intention</w:t>
      </w:r>
      <w:r w:rsidR="00CC4D51" w:rsidRPr="000F052B">
        <w:rPr>
          <w:rFonts w:ascii="Times New Roman" w:hAnsi="Times New Roman" w:cs="Times New Roman"/>
          <w:sz w:val="24"/>
          <w:szCs w:val="24"/>
          <w:lang w:val="en-US"/>
        </w:rPr>
        <w:t xml:space="preserve"> of this paper is to explore the </w:t>
      </w:r>
      <w:r w:rsidR="00272151" w:rsidRPr="000F052B">
        <w:rPr>
          <w:rFonts w:ascii="Times New Roman" w:hAnsi="Times New Roman" w:cs="Times New Roman"/>
          <w:sz w:val="24"/>
          <w:szCs w:val="24"/>
          <w:lang w:val="en-US"/>
        </w:rPr>
        <w:t>social embeddedness</w:t>
      </w:r>
      <w:r w:rsidR="00CC4D51" w:rsidRPr="000F052B">
        <w:rPr>
          <w:rFonts w:ascii="Times New Roman" w:hAnsi="Times New Roman" w:cs="Times New Roman"/>
          <w:sz w:val="24"/>
          <w:szCs w:val="24"/>
          <w:lang w:val="en-US"/>
        </w:rPr>
        <w:t xml:space="preserve"> of </w:t>
      </w:r>
      <w:r w:rsidR="000821E8" w:rsidRPr="000F052B">
        <w:rPr>
          <w:rFonts w:ascii="Times New Roman" w:hAnsi="Times New Roman" w:cs="Times New Roman"/>
          <w:sz w:val="24"/>
          <w:szCs w:val="24"/>
          <w:lang w:val="en-US"/>
        </w:rPr>
        <w:t xml:space="preserve">the </w:t>
      </w:r>
      <w:r w:rsidR="00CC4D51" w:rsidRPr="000F052B">
        <w:rPr>
          <w:rFonts w:ascii="Times New Roman" w:hAnsi="Times New Roman" w:cs="Times New Roman"/>
          <w:sz w:val="24"/>
          <w:szCs w:val="24"/>
          <w:lang w:val="en-US"/>
        </w:rPr>
        <w:t>priv</w:t>
      </w:r>
      <w:r w:rsidR="00BA6416" w:rsidRPr="000F052B">
        <w:rPr>
          <w:rFonts w:ascii="Times New Roman" w:hAnsi="Times New Roman" w:cs="Times New Roman"/>
          <w:sz w:val="24"/>
          <w:szCs w:val="24"/>
          <w:lang w:val="en-US"/>
        </w:rPr>
        <w:t>ity</w:t>
      </w:r>
      <w:r w:rsidR="000821E8" w:rsidRPr="000F052B">
        <w:rPr>
          <w:rFonts w:ascii="Times New Roman" w:hAnsi="Times New Roman" w:cs="Times New Roman"/>
          <w:sz w:val="24"/>
          <w:szCs w:val="24"/>
          <w:lang w:val="en-US"/>
        </w:rPr>
        <w:t xml:space="preserve"> doctrine</w:t>
      </w:r>
      <w:r w:rsidR="00BA6416" w:rsidRPr="000F052B">
        <w:rPr>
          <w:rFonts w:ascii="Times New Roman" w:hAnsi="Times New Roman" w:cs="Times New Roman"/>
          <w:sz w:val="24"/>
          <w:szCs w:val="24"/>
          <w:lang w:val="en-US"/>
        </w:rPr>
        <w:t>, extension clauses will</w:t>
      </w:r>
      <w:r w:rsidR="00CC4D51" w:rsidRPr="000F052B">
        <w:rPr>
          <w:rFonts w:ascii="Times New Roman" w:hAnsi="Times New Roman" w:cs="Times New Roman"/>
          <w:sz w:val="24"/>
          <w:szCs w:val="24"/>
          <w:lang w:val="en-US"/>
        </w:rPr>
        <w:t xml:space="preserve"> be used </w:t>
      </w:r>
      <w:r w:rsidR="00BA6416" w:rsidRPr="000F052B">
        <w:rPr>
          <w:rFonts w:ascii="Times New Roman" w:hAnsi="Times New Roman" w:cs="Times New Roman"/>
          <w:sz w:val="24"/>
          <w:szCs w:val="24"/>
          <w:lang w:val="en-US"/>
        </w:rPr>
        <w:t xml:space="preserve">here </w:t>
      </w:r>
      <w:r w:rsidR="00CC4D51" w:rsidRPr="000F052B">
        <w:rPr>
          <w:rFonts w:ascii="Times New Roman" w:hAnsi="Times New Roman" w:cs="Times New Roman"/>
          <w:sz w:val="24"/>
          <w:szCs w:val="24"/>
          <w:lang w:val="en-US"/>
        </w:rPr>
        <w:t xml:space="preserve">as an illustration of the </w:t>
      </w:r>
      <w:r w:rsidR="00BA6416" w:rsidRPr="000F052B">
        <w:rPr>
          <w:rFonts w:ascii="Times New Roman" w:hAnsi="Times New Roman" w:cs="Times New Roman"/>
          <w:sz w:val="24"/>
          <w:szCs w:val="24"/>
          <w:lang w:val="en-US"/>
        </w:rPr>
        <w:t>broader relational backdrop to the discrete insurance transaction between insurance company and insured driver</w:t>
      </w:r>
      <w:r w:rsidR="00272151" w:rsidRPr="000F052B">
        <w:rPr>
          <w:rFonts w:ascii="Times New Roman" w:hAnsi="Times New Roman" w:cs="Times New Roman"/>
          <w:sz w:val="24"/>
          <w:szCs w:val="24"/>
          <w:lang w:val="en-US"/>
        </w:rPr>
        <w:t>:</w:t>
      </w:r>
      <w:r w:rsidR="000821E8" w:rsidRPr="000F052B">
        <w:rPr>
          <w:rFonts w:ascii="Times New Roman" w:hAnsi="Times New Roman" w:cs="Times New Roman"/>
          <w:sz w:val="24"/>
          <w:szCs w:val="24"/>
          <w:lang w:val="en-US"/>
        </w:rPr>
        <w:t xml:space="preserve"> </w:t>
      </w:r>
      <w:r w:rsidR="00272151" w:rsidRPr="000F052B">
        <w:rPr>
          <w:rFonts w:ascii="Times New Roman" w:hAnsi="Times New Roman" w:cs="Times New Roman"/>
          <w:sz w:val="24"/>
          <w:szCs w:val="24"/>
          <w:lang w:val="en-US"/>
        </w:rPr>
        <w:t>for starters, t</w:t>
      </w:r>
      <w:r w:rsidR="00BA6416" w:rsidRPr="000F052B">
        <w:rPr>
          <w:rFonts w:ascii="Times New Roman" w:hAnsi="Times New Roman" w:cs="Times New Roman"/>
          <w:sz w:val="24"/>
          <w:szCs w:val="24"/>
          <w:lang w:val="en-US"/>
        </w:rPr>
        <w:t>h</w:t>
      </w:r>
      <w:r w:rsidR="000821E8" w:rsidRPr="000F052B">
        <w:rPr>
          <w:rFonts w:ascii="Times New Roman" w:hAnsi="Times New Roman" w:cs="Times New Roman"/>
          <w:sz w:val="24"/>
          <w:szCs w:val="24"/>
          <w:lang w:val="en-US"/>
        </w:rPr>
        <w:t xml:space="preserve">e </w:t>
      </w:r>
      <w:r w:rsidR="00FD0C31" w:rsidRPr="000F052B">
        <w:rPr>
          <w:rFonts w:ascii="Times New Roman" w:hAnsi="Times New Roman" w:cs="Times New Roman"/>
          <w:sz w:val="24"/>
          <w:szCs w:val="24"/>
          <w:lang w:val="en-US"/>
        </w:rPr>
        <w:t>authorized</w:t>
      </w:r>
      <w:r w:rsidR="000821E8" w:rsidRPr="000F052B">
        <w:rPr>
          <w:rFonts w:ascii="Times New Roman" w:hAnsi="Times New Roman" w:cs="Times New Roman"/>
          <w:sz w:val="24"/>
          <w:szCs w:val="24"/>
          <w:lang w:val="en-US"/>
        </w:rPr>
        <w:t xml:space="preserve"> drivers of an </w:t>
      </w:r>
      <w:r w:rsidR="00BA6416" w:rsidRPr="000F052B">
        <w:rPr>
          <w:rFonts w:ascii="Times New Roman" w:hAnsi="Times New Roman" w:cs="Times New Roman"/>
          <w:sz w:val="24"/>
          <w:szCs w:val="24"/>
          <w:lang w:val="en-US"/>
        </w:rPr>
        <w:t xml:space="preserve">insured vehicle are typically persons with whom the </w:t>
      </w:r>
      <w:r w:rsidR="00BA6416" w:rsidRPr="000F052B">
        <w:rPr>
          <w:rFonts w:ascii="Times New Roman" w:hAnsi="Times New Roman" w:cs="Times New Roman"/>
          <w:sz w:val="24"/>
          <w:szCs w:val="24"/>
          <w:lang w:val="en-US"/>
        </w:rPr>
        <w:lastRenderedPageBreak/>
        <w:t xml:space="preserve">insured has a close association: family members, friends and employees.  </w:t>
      </w:r>
      <w:r w:rsidR="00FD0C31" w:rsidRPr="000F052B">
        <w:rPr>
          <w:rFonts w:ascii="Times New Roman" w:hAnsi="Times New Roman" w:cs="Times New Roman"/>
          <w:sz w:val="24"/>
          <w:szCs w:val="24"/>
          <w:lang w:val="en-US"/>
        </w:rPr>
        <w:t>Authorization</w:t>
      </w:r>
      <w:r w:rsidR="00272151" w:rsidRPr="000F052B">
        <w:rPr>
          <w:rFonts w:ascii="Times New Roman" w:hAnsi="Times New Roman" w:cs="Times New Roman"/>
          <w:sz w:val="24"/>
          <w:szCs w:val="24"/>
          <w:lang w:val="en-US"/>
        </w:rPr>
        <w:t xml:space="preserve"> of such persons</w:t>
      </w:r>
      <w:r w:rsidR="00811FF5" w:rsidRPr="000F052B">
        <w:rPr>
          <w:rFonts w:ascii="Times New Roman" w:hAnsi="Times New Roman" w:cs="Times New Roman"/>
          <w:sz w:val="24"/>
          <w:szCs w:val="24"/>
          <w:lang w:val="en-US"/>
        </w:rPr>
        <w:t xml:space="preserve"> is</w:t>
      </w:r>
      <w:r w:rsidR="00F038A9">
        <w:rPr>
          <w:rFonts w:ascii="Times New Roman" w:hAnsi="Times New Roman" w:cs="Times New Roman"/>
          <w:sz w:val="24"/>
          <w:szCs w:val="24"/>
          <w:lang w:val="en-US"/>
        </w:rPr>
        <w:t>, however,</w:t>
      </w:r>
      <w:r w:rsidR="00811FF5" w:rsidRPr="000F052B">
        <w:rPr>
          <w:rFonts w:ascii="Times New Roman" w:hAnsi="Times New Roman" w:cs="Times New Roman"/>
          <w:sz w:val="24"/>
          <w:szCs w:val="24"/>
          <w:lang w:val="en-US"/>
        </w:rPr>
        <w:t xml:space="preserve"> </w:t>
      </w:r>
      <w:r w:rsidR="00DA26FE">
        <w:rPr>
          <w:rFonts w:ascii="Times New Roman" w:hAnsi="Times New Roman" w:cs="Times New Roman"/>
          <w:sz w:val="24"/>
          <w:szCs w:val="24"/>
          <w:lang w:val="en-US"/>
        </w:rPr>
        <w:t>logically typically</w:t>
      </w:r>
      <w:r w:rsidR="00811FF5" w:rsidRPr="000F052B">
        <w:rPr>
          <w:rFonts w:ascii="Times New Roman" w:hAnsi="Times New Roman" w:cs="Times New Roman"/>
          <w:sz w:val="24"/>
          <w:szCs w:val="24"/>
          <w:lang w:val="en-US"/>
        </w:rPr>
        <w:t xml:space="preserve"> viewed in a contractual light.  </w:t>
      </w:r>
      <w:r w:rsidR="00321F1F" w:rsidRPr="000F052B">
        <w:rPr>
          <w:rFonts w:ascii="Times New Roman" w:hAnsi="Times New Roman" w:cs="Times New Roman"/>
          <w:sz w:val="24"/>
          <w:szCs w:val="24"/>
          <w:lang w:val="en-US"/>
        </w:rPr>
        <w:t>The</w:t>
      </w:r>
      <w:r w:rsidR="00811FF5" w:rsidRPr="000F052B">
        <w:rPr>
          <w:rFonts w:ascii="Times New Roman" w:hAnsi="Times New Roman" w:cs="Times New Roman"/>
          <w:sz w:val="24"/>
          <w:szCs w:val="24"/>
          <w:lang w:val="en-US"/>
        </w:rPr>
        <w:t>n the</w:t>
      </w:r>
      <w:r w:rsidR="00321F1F" w:rsidRPr="000F052B">
        <w:rPr>
          <w:rFonts w:ascii="Times New Roman" w:hAnsi="Times New Roman" w:cs="Times New Roman"/>
          <w:sz w:val="24"/>
          <w:szCs w:val="24"/>
          <w:lang w:val="en-US"/>
        </w:rPr>
        <w:t xml:space="preserve"> relationship between insurer and insured</w:t>
      </w:r>
      <w:r w:rsidR="00420AD5" w:rsidRPr="000F052B">
        <w:rPr>
          <w:rFonts w:ascii="Times New Roman" w:hAnsi="Times New Roman" w:cs="Times New Roman"/>
          <w:sz w:val="24"/>
          <w:szCs w:val="24"/>
          <w:lang w:val="en-US"/>
        </w:rPr>
        <w:t>,</w:t>
      </w:r>
      <w:r>
        <w:rPr>
          <w:rFonts w:ascii="Times New Roman" w:hAnsi="Times New Roman" w:cs="Times New Roman"/>
          <w:sz w:val="24"/>
          <w:szCs w:val="24"/>
          <w:lang w:val="en-US"/>
        </w:rPr>
        <w:t xml:space="preserve"> is said to be of “utmost good faith”</w:t>
      </w:r>
      <w:r w:rsidR="00811FF5" w:rsidRPr="000F052B">
        <w:rPr>
          <w:rFonts w:ascii="Times New Roman" w:hAnsi="Times New Roman" w:cs="Times New Roman"/>
          <w:sz w:val="24"/>
          <w:szCs w:val="24"/>
          <w:lang w:val="en-US"/>
        </w:rPr>
        <w:t>, and while seldom personal, usually involve</w:t>
      </w:r>
      <w:r w:rsidR="00380978" w:rsidRPr="000F052B">
        <w:rPr>
          <w:rFonts w:ascii="Times New Roman" w:hAnsi="Times New Roman" w:cs="Times New Roman"/>
          <w:sz w:val="24"/>
          <w:szCs w:val="24"/>
          <w:lang w:val="en-US"/>
        </w:rPr>
        <w:t>s duties such as disclosure, which involve a certain amount of co-operation and inter-dependence</w:t>
      </w:r>
      <w:r w:rsidR="00321F1F" w:rsidRPr="000F052B">
        <w:rPr>
          <w:rFonts w:ascii="Times New Roman" w:hAnsi="Times New Roman" w:cs="Times New Roman"/>
          <w:sz w:val="24"/>
          <w:szCs w:val="24"/>
          <w:lang w:val="en-US"/>
        </w:rPr>
        <w:t>.</w:t>
      </w:r>
      <w:r w:rsidR="00045292" w:rsidRPr="000F052B">
        <w:rPr>
          <w:rStyle w:val="FootnoteReference"/>
          <w:rFonts w:ascii="Times New Roman" w:hAnsi="Times New Roman" w:cs="Times New Roman"/>
          <w:sz w:val="24"/>
          <w:szCs w:val="24"/>
          <w:lang w:val="en-US"/>
        </w:rPr>
        <w:footnoteReference w:id="127"/>
      </w:r>
      <w:r w:rsidR="00321F1F" w:rsidRPr="000F052B">
        <w:rPr>
          <w:rFonts w:ascii="Times New Roman" w:hAnsi="Times New Roman" w:cs="Times New Roman"/>
          <w:sz w:val="24"/>
          <w:szCs w:val="24"/>
          <w:lang w:val="en-US"/>
        </w:rPr>
        <w:t xml:space="preserve">  </w:t>
      </w:r>
      <w:r w:rsidR="00A114BF" w:rsidRPr="000F052B">
        <w:rPr>
          <w:rFonts w:ascii="Times New Roman" w:hAnsi="Times New Roman" w:cs="Times New Roman"/>
          <w:sz w:val="24"/>
          <w:szCs w:val="24"/>
          <w:lang w:val="en-US"/>
        </w:rPr>
        <w:t>T</w:t>
      </w:r>
      <w:r w:rsidR="004528F5" w:rsidRPr="000F052B">
        <w:rPr>
          <w:rFonts w:ascii="Times New Roman" w:hAnsi="Times New Roman" w:cs="Times New Roman"/>
          <w:sz w:val="24"/>
          <w:szCs w:val="24"/>
          <w:lang w:val="en-US"/>
        </w:rPr>
        <w:t>he</w:t>
      </w:r>
      <w:r w:rsidR="00380978" w:rsidRPr="000F052B">
        <w:rPr>
          <w:rFonts w:ascii="Times New Roman" w:hAnsi="Times New Roman" w:cs="Times New Roman"/>
          <w:sz w:val="24"/>
          <w:szCs w:val="24"/>
          <w:lang w:val="en-US"/>
        </w:rPr>
        <w:t>re is thus a network of</w:t>
      </w:r>
      <w:r w:rsidR="00201159" w:rsidRPr="000F052B">
        <w:rPr>
          <w:rFonts w:ascii="Times New Roman" w:hAnsi="Times New Roman" w:cs="Times New Roman"/>
          <w:sz w:val="24"/>
          <w:szCs w:val="24"/>
          <w:lang w:val="en-US"/>
        </w:rPr>
        <w:t xml:space="preserve"> contracts at play, </w:t>
      </w:r>
      <w:r w:rsidR="00380978" w:rsidRPr="000F052B">
        <w:rPr>
          <w:rFonts w:ascii="Times New Roman" w:hAnsi="Times New Roman" w:cs="Times New Roman"/>
          <w:sz w:val="24"/>
          <w:szCs w:val="24"/>
          <w:lang w:val="en-US"/>
        </w:rPr>
        <w:t xml:space="preserve">which vary in the extent to which they are relational.  The inter-connectedness of the parties in this multi-lateral relationship hinges on an extension clause.  </w:t>
      </w:r>
      <w:r w:rsidR="00A114BF" w:rsidRPr="000F052B">
        <w:rPr>
          <w:rFonts w:ascii="Times New Roman" w:hAnsi="Times New Roman" w:cs="Times New Roman"/>
          <w:sz w:val="24"/>
          <w:szCs w:val="24"/>
          <w:lang w:val="en-US"/>
        </w:rPr>
        <w:t xml:space="preserve">The manner in which an insurance company performs under such a clause, as well as the manner in which courts and a legal system view such clauses, implicates an important </w:t>
      </w:r>
      <w:r w:rsidR="00F05D09" w:rsidRPr="000F052B">
        <w:rPr>
          <w:rFonts w:ascii="Times New Roman" w:hAnsi="Times New Roman" w:cs="Times New Roman"/>
          <w:sz w:val="24"/>
          <w:szCs w:val="24"/>
          <w:lang w:val="en-US"/>
        </w:rPr>
        <w:t>socioleg</w:t>
      </w:r>
      <w:r w:rsidR="00A114BF" w:rsidRPr="000F052B">
        <w:rPr>
          <w:rFonts w:ascii="Times New Roman" w:hAnsi="Times New Roman" w:cs="Times New Roman"/>
          <w:sz w:val="24"/>
          <w:szCs w:val="24"/>
          <w:lang w:val="en-US"/>
        </w:rPr>
        <w:t>al dimen</w:t>
      </w:r>
      <w:r w:rsidR="001059B5" w:rsidRPr="000F052B">
        <w:rPr>
          <w:rFonts w:ascii="Times New Roman" w:hAnsi="Times New Roman" w:cs="Times New Roman"/>
          <w:sz w:val="24"/>
          <w:szCs w:val="24"/>
          <w:lang w:val="en-US"/>
        </w:rPr>
        <w:t xml:space="preserve">sion of the privity rule, </w:t>
      </w:r>
      <w:r w:rsidR="00380978" w:rsidRPr="000F052B">
        <w:rPr>
          <w:rFonts w:ascii="Times New Roman" w:hAnsi="Times New Roman" w:cs="Times New Roman"/>
          <w:sz w:val="24"/>
          <w:szCs w:val="24"/>
          <w:lang w:val="en-US"/>
        </w:rPr>
        <w:t xml:space="preserve">since default will have broader consequences beyond just the immediate parties of insured and insurer.  Indeed, if an extension clause is rendered unenforceable, </w:t>
      </w:r>
      <w:r w:rsidR="00420AD5" w:rsidRPr="000F052B">
        <w:rPr>
          <w:rFonts w:ascii="Times New Roman" w:hAnsi="Times New Roman" w:cs="Times New Roman"/>
          <w:sz w:val="24"/>
          <w:szCs w:val="24"/>
          <w:lang w:val="en-US"/>
        </w:rPr>
        <w:t>beyond the liability of</w:t>
      </w:r>
      <w:r w:rsidR="00380978" w:rsidRPr="000F052B">
        <w:rPr>
          <w:rFonts w:ascii="Times New Roman" w:hAnsi="Times New Roman" w:cs="Times New Roman"/>
          <w:sz w:val="24"/>
          <w:szCs w:val="24"/>
          <w:lang w:val="en-US"/>
        </w:rPr>
        <w:t xml:space="preserve"> the </w:t>
      </w:r>
      <w:r w:rsidR="00FD0C31" w:rsidRPr="000F052B">
        <w:rPr>
          <w:rFonts w:ascii="Times New Roman" w:hAnsi="Times New Roman" w:cs="Times New Roman"/>
          <w:sz w:val="24"/>
          <w:szCs w:val="24"/>
          <w:lang w:val="en-US"/>
        </w:rPr>
        <w:t>authorized</w:t>
      </w:r>
      <w:r w:rsidR="00380978" w:rsidRPr="000F052B">
        <w:rPr>
          <w:rFonts w:ascii="Times New Roman" w:hAnsi="Times New Roman" w:cs="Times New Roman"/>
          <w:sz w:val="24"/>
          <w:szCs w:val="24"/>
          <w:lang w:val="en-US"/>
        </w:rPr>
        <w:t xml:space="preserve"> driver, a</w:t>
      </w:r>
      <w:r w:rsidR="000E5892" w:rsidRPr="000F052B">
        <w:rPr>
          <w:rFonts w:ascii="Times New Roman" w:hAnsi="Times New Roman" w:cs="Times New Roman"/>
          <w:sz w:val="24"/>
          <w:szCs w:val="24"/>
          <w:lang w:val="en-US"/>
        </w:rPr>
        <w:t xml:space="preserve"> class of accident victims which is unforeseeable ex ante</w:t>
      </w:r>
      <w:r w:rsidR="00420AD5" w:rsidRPr="000F052B">
        <w:rPr>
          <w:rFonts w:ascii="Times New Roman" w:hAnsi="Times New Roman" w:cs="Times New Roman"/>
          <w:sz w:val="24"/>
          <w:szCs w:val="24"/>
          <w:lang w:val="en-US"/>
        </w:rPr>
        <w:t xml:space="preserve"> may be left without compensation</w:t>
      </w:r>
      <w:r w:rsidR="000E5892" w:rsidRPr="000F052B">
        <w:rPr>
          <w:rFonts w:ascii="Times New Roman" w:hAnsi="Times New Roman" w:cs="Times New Roman"/>
          <w:sz w:val="24"/>
          <w:szCs w:val="24"/>
          <w:lang w:val="en-US"/>
        </w:rPr>
        <w:t xml:space="preserve">.  </w:t>
      </w:r>
    </w:p>
    <w:p w14:paraId="67242664" w14:textId="063CAAAA" w:rsidR="007D54B8" w:rsidRPr="000F052B" w:rsidRDefault="004528F5"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t xml:space="preserve">Of course, there is </w:t>
      </w:r>
      <w:r w:rsidR="00E35B95">
        <w:rPr>
          <w:rFonts w:ascii="Times New Roman" w:hAnsi="Times New Roman" w:cs="Times New Roman"/>
          <w:sz w:val="24"/>
          <w:szCs w:val="24"/>
          <w:lang w:val="en-US"/>
        </w:rPr>
        <w:t xml:space="preserve">also </w:t>
      </w:r>
      <w:r w:rsidRPr="000F052B">
        <w:rPr>
          <w:rFonts w:ascii="Times New Roman" w:hAnsi="Times New Roman" w:cs="Times New Roman"/>
          <w:sz w:val="24"/>
          <w:szCs w:val="24"/>
          <w:lang w:val="en-US"/>
        </w:rPr>
        <w:t xml:space="preserve">a welfarist view which can be taken of motor vehicle insurance, viewing this as a form of accident cover intended to spread the social cost of harm caused by motor vehicle accidents to those who are </w:t>
      </w:r>
      <w:r w:rsidR="00201159" w:rsidRPr="000F052B">
        <w:rPr>
          <w:rFonts w:ascii="Times New Roman" w:hAnsi="Times New Roman" w:cs="Times New Roman"/>
          <w:sz w:val="24"/>
          <w:szCs w:val="24"/>
          <w:lang w:val="en-US"/>
        </w:rPr>
        <w:t xml:space="preserve">best </w:t>
      </w:r>
      <w:r w:rsidRPr="000F052B">
        <w:rPr>
          <w:rFonts w:ascii="Times New Roman" w:hAnsi="Times New Roman" w:cs="Times New Roman"/>
          <w:sz w:val="24"/>
          <w:szCs w:val="24"/>
          <w:lang w:val="en-US"/>
        </w:rPr>
        <w:t>able to shoulder such loss.</w:t>
      </w:r>
      <w:r w:rsidR="0051487B" w:rsidRPr="000F052B">
        <w:rPr>
          <w:rFonts w:ascii="Times New Roman" w:hAnsi="Times New Roman" w:cs="Times New Roman"/>
          <w:sz w:val="24"/>
          <w:szCs w:val="24"/>
          <w:lang w:val="en-US"/>
        </w:rPr>
        <w:t xml:space="preserve">  This welfarist dimension is dealt with differently in Australia and South Africa.  In Australia, drivers are compelled</w:t>
      </w:r>
      <w:r w:rsidR="00201159" w:rsidRPr="000F052B">
        <w:rPr>
          <w:rFonts w:ascii="Times New Roman" w:hAnsi="Times New Roman" w:cs="Times New Roman"/>
          <w:sz w:val="24"/>
          <w:szCs w:val="24"/>
          <w:lang w:val="en-US"/>
        </w:rPr>
        <w:t xml:space="preserve"> by statute law</w:t>
      </w:r>
      <w:r w:rsidR="0051487B" w:rsidRPr="000F052B">
        <w:rPr>
          <w:rFonts w:ascii="Times New Roman" w:hAnsi="Times New Roman" w:cs="Times New Roman"/>
          <w:sz w:val="24"/>
          <w:szCs w:val="24"/>
          <w:lang w:val="en-US"/>
        </w:rPr>
        <w:t xml:space="preserve"> to purchase third party insurance, which provides the cover of private insurers to third parties injured in motor vehicle accidents.</w:t>
      </w:r>
      <w:r w:rsidR="00045292" w:rsidRPr="000F052B">
        <w:rPr>
          <w:rStyle w:val="FootnoteReference"/>
          <w:rFonts w:ascii="Times New Roman" w:hAnsi="Times New Roman" w:cs="Times New Roman"/>
          <w:sz w:val="24"/>
          <w:szCs w:val="24"/>
          <w:lang w:val="en-US"/>
        </w:rPr>
        <w:footnoteReference w:id="128"/>
      </w:r>
      <w:r w:rsidR="0051487B" w:rsidRPr="000F052B">
        <w:rPr>
          <w:rFonts w:ascii="Times New Roman" w:hAnsi="Times New Roman" w:cs="Times New Roman"/>
          <w:sz w:val="24"/>
          <w:szCs w:val="24"/>
          <w:lang w:val="en-US"/>
        </w:rPr>
        <w:t xml:space="preserve">  Where a driver (unlawfully) drives without insurance and causes an accident, the costs of compensation for an injured third party will be borne by a collective </w:t>
      </w:r>
      <w:r w:rsidR="00FD0C31" w:rsidRPr="000F052B">
        <w:rPr>
          <w:rFonts w:ascii="Times New Roman" w:hAnsi="Times New Roman" w:cs="Times New Roman"/>
          <w:sz w:val="24"/>
          <w:szCs w:val="24"/>
          <w:lang w:val="en-US"/>
        </w:rPr>
        <w:t>organization</w:t>
      </w:r>
      <w:r w:rsidR="0051487B" w:rsidRPr="000F052B">
        <w:rPr>
          <w:rFonts w:ascii="Times New Roman" w:hAnsi="Times New Roman" w:cs="Times New Roman"/>
          <w:sz w:val="24"/>
          <w:szCs w:val="24"/>
          <w:lang w:val="en-US"/>
        </w:rPr>
        <w:t xml:space="preserve"> of private insurance companies</w:t>
      </w:r>
      <w:r w:rsidR="00201159" w:rsidRPr="000F052B">
        <w:rPr>
          <w:rFonts w:ascii="Times New Roman" w:hAnsi="Times New Roman" w:cs="Times New Roman"/>
          <w:sz w:val="24"/>
          <w:szCs w:val="24"/>
          <w:lang w:val="en-US"/>
        </w:rPr>
        <w:t xml:space="preserve">, with a claim </w:t>
      </w:r>
      <w:r w:rsidR="00201159" w:rsidRPr="000F052B">
        <w:rPr>
          <w:rFonts w:ascii="Times New Roman" w:hAnsi="Times New Roman" w:cs="Times New Roman"/>
          <w:sz w:val="24"/>
          <w:szCs w:val="24"/>
          <w:lang w:val="en-US"/>
        </w:rPr>
        <w:lastRenderedPageBreak/>
        <w:t>then being brought against the so-called Nominal Defendant</w:t>
      </w:r>
      <w:r w:rsidR="0051487B" w:rsidRPr="000F052B">
        <w:rPr>
          <w:rFonts w:ascii="Times New Roman" w:hAnsi="Times New Roman" w:cs="Times New Roman"/>
          <w:sz w:val="24"/>
          <w:szCs w:val="24"/>
          <w:lang w:val="en-US"/>
        </w:rPr>
        <w:t>.</w:t>
      </w:r>
      <w:r w:rsidR="00045292" w:rsidRPr="000F052B">
        <w:rPr>
          <w:rStyle w:val="FootnoteReference"/>
          <w:rFonts w:ascii="Times New Roman" w:hAnsi="Times New Roman" w:cs="Times New Roman"/>
          <w:sz w:val="24"/>
          <w:szCs w:val="24"/>
          <w:lang w:val="en-US"/>
        </w:rPr>
        <w:footnoteReference w:id="129"/>
      </w:r>
      <w:r w:rsidR="0051487B" w:rsidRPr="000F052B">
        <w:rPr>
          <w:rFonts w:ascii="Times New Roman" w:hAnsi="Times New Roman" w:cs="Times New Roman"/>
          <w:sz w:val="24"/>
          <w:szCs w:val="24"/>
          <w:lang w:val="en-US"/>
        </w:rPr>
        <w:t xml:space="preserve">  Thus the type of extension clause discussed above is </w:t>
      </w:r>
      <w:r w:rsidR="00420AD5" w:rsidRPr="000F052B">
        <w:rPr>
          <w:rFonts w:ascii="Times New Roman" w:hAnsi="Times New Roman" w:cs="Times New Roman"/>
          <w:sz w:val="24"/>
          <w:szCs w:val="24"/>
          <w:lang w:val="en-US"/>
        </w:rPr>
        <w:t xml:space="preserve">hence </w:t>
      </w:r>
      <w:r w:rsidR="0051487B" w:rsidRPr="000F052B">
        <w:rPr>
          <w:rFonts w:ascii="Times New Roman" w:hAnsi="Times New Roman" w:cs="Times New Roman"/>
          <w:sz w:val="24"/>
          <w:szCs w:val="24"/>
          <w:lang w:val="en-US"/>
        </w:rPr>
        <w:t>only relevant in Australia outside of the compulsory third party insurance scheme.</w:t>
      </w:r>
      <w:r w:rsidR="00045292" w:rsidRPr="000F052B">
        <w:rPr>
          <w:rStyle w:val="FootnoteReference"/>
          <w:rFonts w:ascii="Times New Roman" w:hAnsi="Times New Roman" w:cs="Times New Roman"/>
          <w:sz w:val="24"/>
          <w:szCs w:val="24"/>
          <w:lang w:val="en-US"/>
        </w:rPr>
        <w:footnoteReference w:id="130"/>
      </w:r>
      <w:r w:rsidR="0051487B" w:rsidRPr="000F052B">
        <w:rPr>
          <w:rFonts w:ascii="Times New Roman" w:hAnsi="Times New Roman" w:cs="Times New Roman"/>
          <w:sz w:val="24"/>
          <w:szCs w:val="24"/>
          <w:lang w:val="en-US"/>
        </w:rPr>
        <w:t xml:space="preserve">  In South Africa, anyone involved in a motor vehicle accident may claim compensation </w:t>
      </w:r>
      <w:r w:rsidR="00420AD5" w:rsidRPr="000F052B">
        <w:rPr>
          <w:rFonts w:ascii="Times New Roman" w:hAnsi="Times New Roman" w:cs="Times New Roman"/>
          <w:sz w:val="24"/>
          <w:szCs w:val="24"/>
          <w:lang w:val="en-US"/>
        </w:rPr>
        <w:t>resulting from</w:t>
      </w:r>
      <w:r w:rsidR="0051487B" w:rsidRPr="000F052B">
        <w:rPr>
          <w:rFonts w:ascii="Times New Roman" w:hAnsi="Times New Roman" w:cs="Times New Roman"/>
          <w:sz w:val="24"/>
          <w:szCs w:val="24"/>
          <w:lang w:val="en-US"/>
        </w:rPr>
        <w:t xml:space="preserve"> death or bodily injury </w:t>
      </w:r>
      <w:r w:rsidR="00420AD5" w:rsidRPr="000F052B">
        <w:rPr>
          <w:rFonts w:ascii="Times New Roman" w:hAnsi="Times New Roman" w:cs="Times New Roman"/>
          <w:sz w:val="24"/>
          <w:szCs w:val="24"/>
          <w:lang w:val="en-US"/>
        </w:rPr>
        <w:t xml:space="preserve">in a road accident </w:t>
      </w:r>
      <w:r w:rsidR="0051487B" w:rsidRPr="000F052B">
        <w:rPr>
          <w:rFonts w:ascii="Times New Roman" w:hAnsi="Times New Roman" w:cs="Times New Roman"/>
          <w:sz w:val="24"/>
          <w:szCs w:val="24"/>
          <w:lang w:val="en-US"/>
        </w:rPr>
        <w:t>from a statutory fund (the Road Accident Fund)</w:t>
      </w:r>
      <w:r w:rsidR="007D54B8" w:rsidRPr="000F052B">
        <w:rPr>
          <w:rFonts w:ascii="Times New Roman" w:hAnsi="Times New Roman" w:cs="Times New Roman"/>
          <w:sz w:val="24"/>
          <w:szCs w:val="24"/>
          <w:lang w:val="en-US"/>
        </w:rPr>
        <w:t>.</w:t>
      </w:r>
      <w:r w:rsidR="00045292" w:rsidRPr="000F052B">
        <w:rPr>
          <w:rStyle w:val="FootnoteReference"/>
          <w:rFonts w:ascii="Times New Roman" w:hAnsi="Times New Roman" w:cs="Times New Roman"/>
          <w:sz w:val="24"/>
          <w:szCs w:val="24"/>
          <w:lang w:val="en-US"/>
        </w:rPr>
        <w:footnoteReference w:id="131"/>
      </w:r>
      <w:r w:rsidR="007D54B8" w:rsidRPr="000F052B">
        <w:rPr>
          <w:rFonts w:ascii="Times New Roman" w:hAnsi="Times New Roman" w:cs="Times New Roman"/>
          <w:sz w:val="24"/>
          <w:szCs w:val="24"/>
          <w:lang w:val="en-US"/>
        </w:rPr>
        <w:t xml:space="preserve">  Claims </w:t>
      </w:r>
      <w:r w:rsidR="00106B1E" w:rsidRPr="000F052B">
        <w:rPr>
          <w:rFonts w:ascii="Times New Roman" w:hAnsi="Times New Roman" w:cs="Times New Roman"/>
          <w:sz w:val="24"/>
          <w:szCs w:val="24"/>
          <w:lang w:val="en-US"/>
        </w:rPr>
        <w:t>are</w:t>
      </w:r>
      <w:r w:rsidR="007D54B8" w:rsidRPr="000F052B">
        <w:rPr>
          <w:rFonts w:ascii="Times New Roman" w:hAnsi="Times New Roman" w:cs="Times New Roman"/>
          <w:sz w:val="24"/>
          <w:szCs w:val="24"/>
          <w:lang w:val="en-US"/>
        </w:rPr>
        <w:t xml:space="preserve"> subject to a fairly low cap,</w:t>
      </w:r>
      <w:r w:rsidR="00045292" w:rsidRPr="000F052B">
        <w:rPr>
          <w:rStyle w:val="FootnoteReference"/>
          <w:rFonts w:ascii="Times New Roman" w:hAnsi="Times New Roman" w:cs="Times New Roman"/>
          <w:sz w:val="24"/>
          <w:szCs w:val="24"/>
          <w:lang w:val="en-US"/>
        </w:rPr>
        <w:footnoteReference w:id="132"/>
      </w:r>
      <w:r w:rsidR="007D54B8" w:rsidRPr="000F052B">
        <w:rPr>
          <w:rFonts w:ascii="Times New Roman" w:hAnsi="Times New Roman" w:cs="Times New Roman"/>
          <w:sz w:val="24"/>
          <w:szCs w:val="24"/>
          <w:lang w:val="en-US"/>
        </w:rPr>
        <w:t xml:space="preserve"> however, and the possibility of a claim for compensation for damages above this cap, or </w:t>
      </w:r>
      <w:r w:rsidR="00AF534A" w:rsidRPr="000F052B">
        <w:rPr>
          <w:rFonts w:ascii="Times New Roman" w:hAnsi="Times New Roman" w:cs="Times New Roman"/>
          <w:sz w:val="24"/>
          <w:szCs w:val="24"/>
          <w:lang w:val="en-US"/>
        </w:rPr>
        <w:t xml:space="preserve">for damage </w:t>
      </w:r>
      <w:r w:rsidR="007D54B8" w:rsidRPr="000F052B">
        <w:rPr>
          <w:rFonts w:ascii="Times New Roman" w:hAnsi="Times New Roman" w:cs="Times New Roman"/>
          <w:sz w:val="24"/>
          <w:szCs w:val="24"/>
          <w:lang w:val="en-US"/>
        </w:rPr>
        <w:t>to property, leaves open a sphere in which extension clauses can operate.</w:t>
      </w:r>
    </w:p>
    <w:p w14:paraId="2974205F" w14:textId="5565D38F" w:rsidR="00C60566" w:rsidRDefault="007D54B8" w:rsidP="006231C3">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r>
      <w:r w:rsidR="009D3945" w:rsidRPr="000F052B">
        <w:rPr>
          <w:rFonts w:ascii="Times New Roman" w:hAnsi="Times New Roman" w:cs="Times New Roman"/>
          <w:sz w:val="24"/>
          <w:szCs w:val="24"/>
          <w:lang w:val="en-US"/>
        </w:rPr>
        <w:t>In what follows below, the position under both Australian and South African law with regard to this type of contractual provision will be set out.</w:t>
      </w:r>
    </w:p>
    <w:p w14:paraId="3E71EA11" w14:textId="77777777" w:rsidR="006231C3" w:rsidRPr="006231C3" w:rsidRDefault="006231C3" w:rsidP="006231C3">
      <w:pPr>
        <w:spacing w:after="120" w:line="480" w:lineRule="auto"/>
        <w:jc w:val="both"/>
        <w:rPr>
          <w:rFonts w:ascii="Times New Roman" w:hAnsi="Times New Roman" w:cs="Times New Roman"/>
          <w:sz w:val="24"/>
          <w:szCs w:val="24"/>
          <w:lang w:val="en-US"/>
        </w:rPr>
      </w:pPr>
    </w:p>
    <w:p w14:paraId="157548AE" w14:textId="5F87084D" w:rsidR="002C54B5" w:rsidRPr="000F052B" w:rsidRDefault="00BA471B"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 xml:space="preserve">2. </w:t>
      </w:r>
      <w:r w:rsidR="002C54B5" w:rsidRPr="000F052B">
        <w:rPr>
          <w:rFonts w:ascii="Times New Roman" w:hAnsi="Times New Roman" w:cs="Times New Roman"/>
          <w:i/>
          <w:sz w:val="28"/>
          <w:szCs w:val="24"/>
          <w:lang w:val="en-US"/>
        </w:rPr>
        <w:t>Australia</w:t>
      </w:r>
    </w:p>
    <w:p w14:paraId="4F720ADC" w14:textId="37FBA256" w:rsidR="000A2299" w:rsidRPr="000F052B" w:rsidRDefault="000A2299" w:rsidP="00205AF2">
      <w:pPr>
        <w:spacing w:after="120" w:line="480" w:lineRule="auto"/>
        <w:jc w:val="both"/>
        <w:rPr>
          <w:rFonts w:ascii="Times New Roman" w:hAnsi="Times New Roman" w:cs="Times New Roman"/>
          <w:bCs/>
          <w:sz w:val="24"/>
          <w:szCs w:val="24"/>
          <w:lang w:val="en-US"/>
        </w:rPr>
      </w:pPr>
      <w:r w:rsidRPr="000F052B">
        <w:rPr>
          <w:rFonts w:ascii="Times New Roman" w:hAnsi="Times New Roman" w:cs="Times New Roman"/>
          <w:sz w:val="24"/>
          <w:szCs w:val="24"/>
          <w:lang w:val="en-US"/>
        </w:rPr>
        <w:t xml:space="preserve">An insurance contract (policy) is a contract </w:t>
      </w:r>
      <w:r w:rsidR="005848D1" w:rsidRPr="000F052B">
        <w:rPr>
          <w:rFonts w:ascii="Times New Roman" w:hAnsi="Times New Roman" w:cs="Times New Roman"/>
          <w:sz w:val="24"/>
          <w:szCs w:val="24"/>
          <w:lang w:val="en-US"/>
        </w:rPr>
        <w:t xml:space="preserve">based on speculation </w:t>
      </w:r>
      <w:r w:rsidRPr="000F052B">
        <w:rPr>
          <w:rFonts w:ascii="Times New Roman" w:hAnsi="Times New Roman" w:cs="Times New Roman"/>
          <w:sz w:val="24"/>
          <w:szCs w:val="24"/>
          <w:lang w:val="en-US"/>
        </w:rPr>
        <w:t xml:space="preserve">by which the insured provides </w:t>
      </w:r>
      <w:r w:rsidRPr="000F052B">
        <w:rPr>
          <w:rFonts w:ascii="Times New Roman" w:hAnsi="Times New Roman" w:cs="Times New Roman"/>
          <w:bCs/>
          <w:sz w:val="24"/>
          <w:szCs w:val="24"/>
          <w:lang w:val="en-US"/>
        </w:rPr>
        <w:t>consideration</w:t>
      </w:r>
      <w:r w:rsidR="00B1413E" w:rsidRPr="000F052B">
        <w:rPr>
          <w:rFonts w:ascii="Times New Roman" w:hAnsi="Times New Roman" w:cs="Times New Roman"/>
          <w:bCs/>
          <w:sz w:val="24"/>
          <w:szCs w:val="24"/>
          <w:lang w:val="en-US"/>
        </w:rPr>
        <w:t>, in the form of payment of, or promise to pay, premiums,</w:t>
      </w:r>
      <w:r w:rsidRPr="000F052B">
        <w:rPr>
          <w:rFonts w:ascii="Times New Roman" w:hAnsi="Times New Roman" w:cs="Times New Roman"/>
          <w:sz w:val="24"/>
          <w:szCs w:val="24"/>
          <w:lang w:val="en-US"/>
        </w:rPr>
        <w:t xml:space="preserve"> to secure a </w:t>
      </w:r>
      <w:r w:rsidRPr="000F052B">
        <w:rPr>
          <w:rFonts w:ascii="Times New Roman" w:hAnsi="Times New Roman" w:cs="Times New Roman"/>
          <w:bCs/>
          <w:sz w:val="24"/>
          <w:szCs w:val="24"/>
          <w:lang w:val="en-US"/>
        </w:rPr>
        <w:t>benefit</w:t>
      </w:r>
      <w:r w:rsidRPr="000F052B">
        <w:rPr>
          <w:rFonts w:ascii="Times New Roman" w:hAnsi="Times New Roman" w:cs="Times New Roman"/>
          <w:sz w:val="24"/>
          <w:szCs w:val="24"/>
          <w:lang w:val="en-US"/>
        </w:rPr>
        <w:t xml:space="preserve"> on the happening of some </w:t>
      </w:r>
      <w:r w:rsidRPr="000F052B">
        <w:rPr>
          <w:rFonts w:ascii="Times New Roman" w:hAnsi="Times New Roman" w:cs="Times New Roman"/>
          <w:bCs/>
          <w:sz w:val="24"/>
          <w:szCs w:val="24"/>
          <w:lang w:val="en-US"/>
        </w:rPr>
        <w:t>event</w:t>
      </w:r>
      <w:r w:rsidRPr="000F052B">
        <w:rPr>
          <w:rFonts w:ascii="Times New Roman" w:hAnsi="Times New Roman" w:cs="Times New Roman"/>
          <w:sz w:val="24"/>
          <w:szCs w:val="24"/>
          <w:lang w:val="en-US"/>
        </w:rPr>
        <w:t xml:space="preserve">. </w:t>
      </w:r>
      <w:r w:rsidR="00712156" w:rsidRPr="000F052B">
        <w:rPr>
          <w:rFonts w:ascii="Times New Roman" w:hAnsi="Times New Roman" w:cs="Times New Roman"/>
          <w:sz w:val="24"/>
          <w:szCs w:val="24"/>
          <w:lang w:val="en-US"/>
        </w:rPr>
        <w:t>T</w:t>
      </w:r>
      <w:r w:rsidRPr="000F052B">
        <w:rPr>
          <w:rFonts w:ascii="Times New Roman" w:hAnsi="Times New Roman" w:cs="Times New Roman"/>
          <w:sz w:val="24"/>
          <w:szCs w:val="24"/>
          <w:lang w:val="en-US"/>
        </w:rPr>
        <w:t xml:space="preserve">he even must be one involving some </w:t>
      </w:r>
      <w:r w:rsidR="008655C0" w:rsidRPr="000F052B">
        <w:rPr>
          <w:rFonts w:ascii="Times New Roman" w:hAnsi="Times New Roman" w:cs="Times New Roman"/>
          <w:sz w:val="24"/>
          <w:szCs w:val="24"/>
          <w:lang w:val="en-US"/>
        </w:rPr>
        <w:t xml:space="preserve">degree of </w:t>
      </w:r>
      <w:r w:rsidRPr="000F052B">
        <w:rPr>
          <w:rFonts w:ascii="Times New Roman" w:hAnsi="Times New Roman" w:cs="Times New Roman"/>
          <w:bCs/>
          <w:sz w:val="24"/>
          <w:szCs w:val="24"/>
          <w:lang w:val="en-US"/>
        </w:rPr>
        <w:t>uncertainty</w:t>
      </w:r>
      <w:r w:rsidR="008655C0" w:rsidRPr="000F052B">
        <w:rPr>
          <w:rFonts w:ascii="Times New Roman" w:hAnsi="Times New Roman" w:cs="Times New Roman"/>
          <w:bCs/>
          <w:sz w:val="24"/>
          <w:szCs w:val="24"/>
          <w:lang w:val="en-US"/>
        </w:rPr>
        <w:t xml:space="preserve"> as to whether </w:t>
      </w:r>
      <w:r w:rsidR="00712156" w:rsidRPr="000F052B">
        <w:rPr>
          <w:rFonts w:ascii="Times New Roman" w:hAnsi="Times New Roman" w:cs="Times New Roman"/>
          <w:bCs/>
          <w:sz w:val="24"/>
          <w:szCs w:val="24"/>
          <w:lang w:val="en-US"/>
        </w:rPr>
        <w:t>it</w:t>
      </w:r>
      <w:r w:rsidR="008655C0" w:rsidRPr="000F052B">
        <w:rPr>
          <w:rFonts w:ascii="Times New Roman" w:hAnsi="Times New Roman" w:cs="Times New Roman"/>
          <w:bCs/>
          <w:sz w:val="24"/>
          <w:szCs w:val="24"/>
          <w:lang w:val="en-US"/>
        </w:rPr>
        <w:t xml:space="preserve"> will occur, or when</w:t>
      </w:r>
      <w:r w:rsidR="00B1413E" w:rsidRPr="000F052B">
        <w:rPr>
          <w:rFonts w:ascii="Times New Roman" w:hAnsi="Times New Roman" w:cs="Times New Roman"/>
          <w:bCs/>
          <w:sz w:val="24"/>
          <w:szCs w:val="24"/>
          <w:lang w:val="en-US"/>
        </w:rPr>
        <w:t xml:space="preserve"> it will occur</w:t>
      </w:r>
      <w:r w:rsidRPr="000F052B">
        <w:rPr>
          <w:rFonts w:ascii="Times New Roman" w:hAnsi="Times New Roman" w:cs="Times New Roman"/>
          <w:sz w:val="24"/>
          <w:szCs w:val="24"/>
          <w:lang w:val="en-US"/>
        </w:rPr>
        <w:t xml:space="preserve">. </w:t>
      </w:r>
      <w:r w:rsidR="0068247F" w:rsidRPr="000F052B">
        <w:rPr>
          <w:rFonts w:ascii="Times New Roman" w:hAnsi="Times New Roman" w:cs="Times New Roman"/>
          <w:sz w:val="24"/>
          <w:szCs w:val="24"/>
          <w:lang w:val="en-US"/>
        </w:rPr>
        <w:t>Hence, as a general</w:t>
      </w:r>
      <w:r w:rsidR="00712156" w:rsidRPr="000F052B">
        <w:rPr>
          <w:rFonts w:ascii="Times New Roman" w:hAnsi="Times New Roman" w:cs="Times New Roman"/>
          <w:sz w:val="24"/>
          <w:szCs w:val="24"/>
          <w:lang w:val="en-US"/>
        </w:rPr>
        <w:t xml:space="preserve"> common law rule</w:t>
      </w:r>
      <w:r w:rsidRPr="000F052B">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133"/>
      </w:r>
      <w:r w:rsidRPr="000F052B">
        <w:rPr>
          <w:rFonts w:ascii="Times New Roman" w:hAnsi="Times New Roman" w:cs="Times New Roman"/>
          <w:sz w:val="24"/>
          <w:szCs w:val="24"/>
          <w:lang w:val="en-US"/>
        </w:rPr>
        <w:t xml:space="preserve"> the event </w:t>
      </w:r>
      <w:r w:rsidR="008655C0" w:rsidRPr="000F052B">
        <w:rPr>
          <w:rFonts w:ascii="Times New Roman" w:hAnsi="Times New Roman" w:cs="Times New Roman"/>
          <w:sz w:val="24"/>
          <w:szCs w:val="24"/>
          <w:lang w:val="en-US"/>
        </w:rPr>
        <w:t xml:space="preserve">covered by the policy </w:t>
      </w:r>
      <w:r w:rsidRPr="000F052B">
        <w:rPr>
          <w:rFonts w:ascii="Times New Roman" w:hAnsi="Times New Roman" w:cs="Times New Roman"/>
          <w:sz w:val="24"/>
          <w:szCs w:val="24"/>
          <w:lang w:val="en-US"/>
        </w:rPr>
        <w:t>will be one which is adverse to the interest</w:t>
      </w:r>
      <w:r w:rsidR="00AD70E9" w:rsidRPr="000F052B">
        <w:rPr>
          <w:rFonts w:ascii="Times New Roman" w:hAnsi="Times New Roman" w:cs="Times New Roman"/>
          <w:sz w:val="24"/>
          <w:szCs w:val="24"/>
          <w:lang w:val="en-US"/>
        </w:rPr>
        <w:t>(</w:t>
      </w:r>
      <w:r w:rsidRPr="000F052B">
        <w:rPr>
          <w:rFonts w:ascii="Times New Roman" w:hAnsi="Times New Roman" w:cs="Times New Roman"/>
          <w:sz w:val="24"/>
          <w:szCs w:val="24"/>
          <w:lang w:val="en-US"/>
        </w:rPr>
        <w:t>s</w:t>
      </w:r>
      <w:r w:rsidR="00AD70E9" w:rsidRPr="000F052B">
        <w:rPr>
          <w:rFonts w:ascii="Times New Roman" w:hAnsi="Times New Roman" w:cs="Times New Roman"/>
          <w:sz w:val="24"/>
          <w:szCs w:val="24"/>
          <w:lang w:val="en-US"/>
        </w:rPr>
        <w:t>)</w:t>
      </w:r>
      <w:r w:rsidRPr="000F052B">
        <w:rPr>
          <w:rFonts w:ascii="Times New Roman" w:hAnsi="Times New Roman" w:cs="Times New Roman"/>
          <w:sz w:val="24"/>
          <w:szCs w:val="24"/>
          <w:lang w:val="en-US"/>
        </w:rPr>
        <w:t xml:space="preserve"> of the insured only. In other words, the insured must have an interest in the subject matter</w:t>
      </w:r>
      <w:r w:rsidR="008655C0" w:rsidRPr="000F052B">
        <w:rPr>
          <w:rFonts w:ascii="Times New Roman" w:hAnsi="Times New Roman" w:cs="Times New Roman"/>
          <w:sz w:val="24"/>
          <w:szCs w:val="24"/>
          <w:lang w:val="en-US"/>
        </w:rPr>
        <w:t xml:space="preserve"> of the contract</w:t>
      </w:r>
      <w:r w:rsidRPr="000F052B">
        <w:rPr>
          <w:rFonts w:ascii="Times New Roman" w:hAnsi="Times New Roman" w:cs="Times New Roman"/>
          <w:sz w:val="24"/>
          <w:szCs w:val="24"/>
          <w:lang w:val="en-US"/>
        </w:rPr>
        <w:t xml:space="preserve">. </w:t>
      </w:r>
      <w:r w:rsidR="00AD70E9" w:rsidRPr="000F052B">
        <w:rPr>
          <w:rFonts w:ascii="Times New Roman" w:hAnsi="Times New Roman" w:cs="Times New Roman"/>
          <w:sz w:val="24"/>
          <w:szCs w:val="24"/>
          <w:lang w:val="en-US"/>
        </w:rPr>
        <w:t xml:space="preserve">This is what, from a normative point of view, renders such interest(s) </w:t>
      </w:r>
      <w:r w:rsidR="00AD70E9" w:rsidRPr="000F052B">
        <w:rPr>
          <w:rFonts w:ascii="Times New Roman" w:hAnsi="Times New Roman" w:cs="Times New Roman"/>
          <w:i/>
          <w:sz w:val="24"/>
          <w:szCs w:val="24"/>
          <w:lang w:val="en-US"/>
        </w:rPr>
        <w:t>insurable</w:t>
      </w:r>
      <w:r w:rsidR="00AD70E9" w:rsidRPr="000F052B">
        <w:rPr>
          <w:rFonts w:ascii="Times New Roman" w:hAnsi="Times New Roman" w:cs="Times New Roman"/>
          <w:sz w:val="24"/>
          <w:szCs w:val="24"/>
          <w:lang w:val="en-US"/>
        </w:rPr>
        <w:t>.</w:t>
      </w:r>
      <w:r w:rsidR="00AD70E9" w:rsidRPr="000F052B">
        <w:rPr>
          <w:rStyle w:val="FootnoteReference"/>
          <w:rFonts w:ascii="Times New Roman" w:hAnsi="Times New Roman" w:cs="Times New Roman"/>
          <w:sz w:val="24"/>
          <w:szCs w:val="24"/>
          <w:lang w:val="en-US"/>
        </w:rPr>
        <w:footnoteReference w:id="134"/>
      </w:r>
      <w:r w:rsidR="00AD70E9"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From </w:t>
      </w:r>
      <w:r w:rsidR="00712156" w:rsidRPr="000F052B">
        <w:rPr>
          <w:rFonts w:ascii="Times New Roman" w:hAnsi="Times New Roman" w:cs="Times New Roman"/>
          <w:sz w:val="24"/>
          <w:szCs w:val="24"/>
          <w:lang w:val="en-US"/>
        </w:rPr>
        <w:t xml:space="preserve">this it follows </w:t>
      </w:r>
      <w:r w:rsidR="00712156" w:rsidRPr="000F052B">
        <w:rPr>
          <w:rFonts w:ascii="Times New Roman" w:hAnsi="Times New Roman" w:cs="Times New Roman"/>
          <w:sz w:val="24"/>
          <w:szCs w:val="24"/>
          <w:lang w:val="en-US"/>
        </w:rPr>
        <w:lastRenderedPageBreak/>
        <w:t>that</w:t>
      </w:r>
      <w:r w:rsidRPr="000F052B">
        <w:rPr>
          <w:rFonts w:ascii="Times New Roman" w:hAnsi="Times New Roman" w:cs="Times New Roman"/>
          <w:sz w:val="24"/>
          <w:szCs w:val="24"/>
          <w:lang w:val="en-US"/>
        </w:rPr>
        <w:t xml:space="preserve"> the transfer of risk from the insur</w:t>
      </w:r>
      <w:r w:rsidR="00717EA9" w:rsidRPr="000F052B">
        <w:rPr>
          <w:rFonts w:ascii="Times New Roman" w:hAnsi="Times New Roman" w:cs="Times New Roman"/>
          <w:sz w:val="24"/>
          <w:szCs w:val="24"/>
          <w:lang w:val="en-US"/>
        </w:rPr>
        <w:t>ed to the insurer is in line with the working logic of the privity rule</w:t>
      </w:r>
      <w:r w:rsidRPr="000F052B">
        <w:rPr>
          <w:rFonts w:ascii="Times New Roman" w:hAnsi="Times New Roman" w:cs="Times New Roman"/>
          <w:sz w:val="24"/>
          <w:szCs w:val="24"/>
          <w:lang w:val="en-US"/>
        </w:rPr>
        <w:t xml:space="preserve">. </w:t>
      </w:r>
    </w:p>
    <w:p w14:paraId="651776FB" w14:textId="1F5EA2CA" w:rsidR="00455E8F" w:rsidRPr="000F052B" w:rsidRDefault="000A2299"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This </w:t>
      </w:r>
      <w:r w:rsidR="00717EA9" w:rsidRPr="000F052B">
        <w:rPr>
          <w:rFonts w:ascii="Times New Roman" w:hAnsi="Times New Roman" w:cs="Times New Roman"/>
          <w:sz w:val="24"/>
          <w:szCs w:val="24"/>
          <w:lang w:val="en-US"/>
        </w:rPr>
        <w:t xml:space="preserve">theoretical </w:t>
      </w:r>
      <w:r w:rsidRPr="000F052B">
        <w:rPr>
          <w:rFonts w:ascii="Times New Roman" w:hAnsi="Times New Roman" w:cs="Times New Roman"/>
          <w:sz w:val="24"/>
          <w:szCs w:val="24"/>
          <w:lang w:val="en-US"/>
        </w:rPr>
        <w:t xml:space="preserve">scheme has, however, been </w:t>
      </w:r>
      <w:r w:rsidR="00717EA9" w:rsidRPr="000F052B">
        <w:rPr>
          <w:rFonts w:ascii="Times New Roman" w:hAnsi="Times New Roman" w:cs="Times New Roman"/>
          <w:sz w:val="24"/>
          <w:szCs w:val="24"/>
          <w:lang w:val="en-US"/>
        </w:rPr>
        <w:t>set aside</w:t>
      </w:r>
      <w:r w:rsidR="008655C0"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by</w:t>
      </w:r>
      <w:r w:rsidR="003808FD" w:rsidRPr="000F052B">
        <w:rPr>
          <w:rFonts w:ascii="Times New Roman" w:hAnsi="Times New Roman" w:cs="Times New Roman"/>
          <w:sz w:val="24"/>
          <w:szCs w:val="24"/>
          <w:lang w:val="en-US"/>
        </w:rPr>
        <w:t xml:space="preserve"> both</w:t>
      </w:r>
      <w:r w:rsidRPr="000F052B">
        <w:rPr>
          <w:rFonts w:ascii="Times New Roman" w:hAnsi="Times New Roman" w:cs="Times New Roman"/>
          <w:sz w:val="24"/>
          <w:szCs w:val="24"/>
          <w:lang w:val="en-US"/>
        </w:rPr>
        <w:t xml:space="preserve"> the High Court’s ruling in </w:t>
      </w:r>
      <w:r w:rsidRPr="000F052B">
        <w:rPr>
          <w:rFonts w:ascii="Times New Roman" w:hAnsi="Times New Roman" w:cs="Times New Roman"/>
          <w:i/>
          <w:sz w:val="24"/>
          <w:szCs w:val="24"/>
          <w:lang w:val="en-US"/>
        </w:rPr>
        <w:t>Trident</w:t>
      </w:r>
      <w:r w:rsidR="00455E8F" w:rsidRPr="000F052B">
        <w:rPr>
          <w:rStyle w:val="FootnoteReference"/>
          <w:rFonts w:ascii="Times New Roman" w:hAnsi="Times New Roman" w:cs="Times New Roman"/>
          <w:sz w:val="24"/>
          <w:szCs w:val="24"/>
          <w:lang w:val="en-US"/>
        </w:rPr>
        <w:t xml:space="preserve"> </w:t>
      </w:r>
      <w:r w:rsidR="00455E8F" w:rsidRPr="000F052B">
        <w:rPr>
          <w:rStyle w:val="FootnoteReference"/>
          <w:rFonts w:ascii="Times New Roman" w:hAnsi="Times New Roman" w:cs="Times New Roman"/>
          <w:sz w:val="24"/>
          <w:szCs w:val="24"/>
          <w:lang w:val="en-US"/>
        </w:rPr>
        <w:footnoteReference w:id="135"/>
      </w:r>
      <w:r w:rsidRPr="000F052B">
        <w:rPr>
          <w:rFonts w:ascii="Times New Roman" w:hAnsi="Times New Roman" w:cs="Times New Roman"/>
          <w:sz w:val="24"/>
          <w:szCs w:val="24"/>
          <w:lang w:val="en-US"/>
        </w:rPr>
        <w:t xml:space="preserve"> </w:t>
      </w:r>
      <w:r w:rsidR="00717EA9" w:rsidRPr="000F052B">
        <w:rPr>
          <w:rFonts w:ascii="Times New Roman" w:hAnsi="Times New Roman" w:cs="Times New Roman"/>
          <w:sz w:val="24"/>
          <w:szCs w:val="24"/>
          <w:lang w:val="en-US"/>
        </w:rPr>
        <w:t>and</w:t>
      </w:r>
      <w:r w:rsidR="003C6786" w:rsidRPr="000F052B">
        <w:rPr>
          <w:rFonts w:ascii="Times New Roman" w:hAnsi="Times New Roman" w:cs="Times New Roman"/>
          <w:sz w:val="24"/>
          <w:szCs w:val="24"/>
          <w:lang w:val="en-US"/>
        </w:rPr>
        <w:t xml:space="preserve"> s</w:t>
      </w:r>
      <w:r w:rsidR="001C4F2E">
        <w:rPr>
          <w:rFonts w:ascii="Times New Roman" w:hAnsi="Times New Roman" w:cs="Times New Roman"/>
          <w:sz w:val="24"/>
          <w:szCs w:val="24"/>
          <w:lang w:val="en-US"/>
        </w:rPr>
        <w:t>ection</w:t>
      </w:r>
      <w:r w:rsidR="003C6786" w:rsidRPr="000F052B">
        <w:rPr>
          <w:rFonts w:ascii="Times New Roman" w:hAnsi="Times New Roman" w:cs="Times New Roman"/>
          <w:sz w:val="24"/>
          <w:szCs w:val="24"/>
          <w:lang w:val="en-US"/>
        </w:rPr>
        <w:t xml:space="preserve"> 48 ICA </w:t>
      </w:r>
      <w:r w:rsidR="002305CC">
        <w:rPr>
          <w:rFonts w:ascii="Times New Roman" w:hAnsi="Times New Roman" w:cs="Times New Roman"/>
          <w:sz w:val="24"/>
          <w:szCs w:val="24"/>
          <w:lang w:val="en-US"/>
        </w:rPr>
        <w:t>(</w:t>
      </w:r>
      <w:r w:rsidR="003C6786" w:rsidRPr="000F052B">
        <w:rPr>
          <w:rFonts w:ascii="Times New Roman" w:hAnsi="Times New Roman" w:cs="Times New Roman"/>
          <w:sz w:val="24"/>
          <w:szCs w:val="24"/>
          <w:lang w:val="en-US"/>
        </w:rPr>
        <w:t>mentioned earlier</w:t>
      </w:r>
      <w:r w:rsidR="002305CC">
        <w:rPr>
          <w:rFonts w:ascii="Times New Roman" w:hAnsi="Times New Roman" w:cs="Times New Roman"/>
          <w:sz w:val="24"/>
          <w:szCs w:val="24"/>
          <w:lang w:val="en-US"/>
        </w:rPr>
        <w:t>)</w:t>
      </w:r>
      <w:r w:rsidR="003C6786" w:rsidRPr="000F052B">
        <w:rPr>
          <w:rFonts w:ascii="Times New Roman" w:hAnsi="Times New Roman" w:cs="Times New Roman"/>
          <w:sz w:val="24"/>
          <w:szCs w:val="24"/>
          <w:lang w:val="en-US"/>
        </w:rPr>
        <w:t>.</w:t>
      </w:r>
      <w:r w:rsidR="00AD70E9" w:rsidRPr="000F052B">
        <w:rPr>
          <w:rStyle w:val="FootnoteReference"/>
          <w:rFonts w:ascii="Times New Roman" w:hAnsi="Times New Roman" w:cs="Times New Roman"/>
          <w:sz w:val="24"/>
          <w:szCs w:val="24"/>
          <w:lang w:val="en-US"/>
        </w:rPr>
        <w:footnoteReference w:id="136"/>
      </w:r>
      <w:r w:rsidR="008655C0" w:rsidRPr="000F052B">
        <w:rPr>
          <w:rFonts w:ascii="Times New Roman" w:hAnsi="Times New Roman" w:cs="Times New Roman"/>
          <w:sz w:val="24"/>
          <w:szCs w:val="24"/>
          <w:lang w:val="en-US"/>
        </w:rPr>
        <w:t xml:space="preserve"> Indeed, u</w:t>
      </w:r>
      <w:r w:rsidR="00814AFD" w:rsidRPr="000F052B">
        <w:rPr>
          <w:rFonts w:ascii="Times New Roman" w:hAnsi="Times New Roman" w:cs="Times New Roman"/>
          <w:sz w:val="24"/>
          <w:szCs w:val="24"/>
          <w:lang w:val="en-US"/>
        </w:rPr>
        <w:t>nder s</w:t>
      </w:r>
      <w:r w:rsidR="001C4F2E">
        <w:rPr>
          <w:rFonts w:ascii="Times New Roman" w:hAnsi="Times New Roman" w:cs="Times New Roman"/>
          <w:sz w:val="24"/>
          <w:szCs w:val="24"/>
          <w:lang w:val="en-US"/>
        </w:rPr>
        <w:t>ection</w:t>
      </w:r>
      <w:r w:rsidR="00F16340" w:rsidRPr="000F052B">
        <w:rPr>
          <w:rFonts w:ascii="Times New Roman" w:hAnsi="Times New Roman" w:cs="Times New Roman"/>
          <w:sz w:val="24"/>
          <w:szCs w:val="24"/>
          <w:lang w:val="en-US"/>
        </w:rPr>
        <w:t xml:space="preserve"> 48(1) ICA, </w:t>
      </w:r>
      <w:r w:rsidR="00DC4BF3" w:rsidRPr="000F052B">
        <w:rPr>
          <w:rFonts w:ascii="Times New Roman" w:hAnsi="Times New Roman" w:cs="Times New Roman"/>
          <w:sz w:val="24"/>
          <w:szCs w:val="24"/>
          <w:lang w:val="en-US"/>
        </w:rPr>
        <w:t>‘[a] third party beneficiary has</w:t>
      </w:r>
      <w:r w:rsidR="00F16340" w:rsidRPr="000F052B">
        <w:rPr>
          <w:rFonts w:ascii="Times New Roman" w:hAnsi="Times New Roman" w:cs="Times New Roman"/>
          <w:sz w:val="24"/>
          <w:szCs w:val="24"/>
          <w:lang w:val="en-US"/>
        </w:rPr>
        <w:t xml:space="preserve"> a right to recover from the insurer, in accordance with the </w:t>
      </w:r>
      <w:r w:rsidR="00814AFD" w:rsidRPr="000F052B">
        <w:rPr>
          <w:rFonts w:ascii="Times New Roman" w:hAnsi="Times New Roman" w:cs="Times New Roman"/>
          <w:sz w:val="24"/>
          <w:szCs w:val="24"/>
          <w:lang w:val="en-US"/>
        </w:rPr>
        <w:t xml:space="preserve">contract, the amount of any loss’ </w:t>
      </w:r>
      <w:r w:rsidR="00420AD5" w:rsidRPr="000F052B">
        <w:rPr>
          <w:rFonts w:ascii="Times New Roman" w:hAnsi="Times New Roman" w:cs="Times New Roman"/>
          <w:sz w:val="24"/>
          <w:szCs w:val="24"/>
          <w:lang w:val="en-US"/>
        </w:rPr>
        <w:t>he or she</w:t>
      </w:r>
      <w:r w:rsidR="00814AFD" w:rsidRPr="000F052B">
        <w:rPr>
          <w:rFonts w:ascii="Times New Roman" w:hAnsi="Times New Roman" w:cs="Times New Roman"/>
          <w:sz w:val="24"/>
          <w:szCs w:val="24"/>
          <w:lang w:val="en-US"/>
        </w:rPr>
        <w:t xml:space="preserve"> suffered.</w:t>
      </w:r>
      <w:r w:rsidR="005D0F2B" w:rsidRPr="000F052B">
        <w:rPr>
          <w:rFonts w:ascii="Times New Roman" w:hAnsi="Times New Roman" w:cs="Times New Roman"/>
          <w:sz w:val="24"/>
          <w:szCs w:val="24"/>
          <w:lang w:val="en-US"/>
        </w:rPr>
        <w:t xml:space="preserve"> </w:t>
      </w:r>
      <w:r w:rsidR="00755250" w:rsidRPr="000F052B">
        <w:rPr>
          <w:rFonts w:ascii="Times New Roman" w:hAnsi="Times New Roman" w:cs="Times New Roman"/>
          <w:sz w:val="24"/>
          <w:szCs w:val="24"/>
          <w:lang w:val="en-US"/>
        </w:rPr>
        <w:t>A few things should be noted:</w:t>
      </w:r>
      <w:r w:rsidR="005D0F2B" w:rsidRPr="000F052B">
        <w:rPr>
          <w:rFonts w:ascii="Times New Roman" w:hAnsi="Times New Roman" w:cs="Times New Roman"/>
          <w:sz w:val="24"/>
          <w:szCs w:val="24"/>
          <w:lang w:val="en-US"/>
        </w:rPr>
        <w:t xml:space="preserve"> </w:t>
      </w:r>
      <w:r w:rsidR="00755250" w:rsidRPr="000F052B">
        <w:rPr>
          <w:rFonts w:ascii="Times New Roman" w:hAnsi="Times New Roman" w:cs="Times New Roman"/>
          <w:sz w:val="24"/>
          <w:szCs w:val="24"/>
          <w:lang w:val="en-US"/>
        </w:rPr>
        <w:t>f</w:t>
      </w:r>
      <w:r w:rsidR="005D0F2B" w:rsidRPr="000F052B">
        <w:rPr>
          <w:rFonts w:ascii="Times New Roman" w:hAnsi="Times New Roman" w:cs="Times New Roman"/>
          <w:sz w:val="24"/>
          <w:szCs w:val="24"/>
          <w:lang w:val="en-US"/>
        </w:rPr>
        <w:t xml:space="preserve">irst, </w:t>
      </w:r>
      <w:r w:rsidR="00FF4490" w:rsidRPr="000F052B">
        <w:rPr>
          <w:rFonts w:ascii="Times New Roman" w:hAnsi="Times New Roman" w:cs="Times New Roman"/>
          <w:sz w:val="24"/>
          <w:szCs w:val="24"/>
          <w:lang w:val="en-US"/>
        </w:rPr>
        <w:t xml:space="preserve">it has been contended that </w:t>
      </w:r>
      <w:r w:rsidR="005D0F2B" w:rsidRPr="000F052B">
        <w:rPr>
          <w:rFonts w:ascii="Times New Roman" w:hAnsi="Times New Roman" w:cs="Times New Roman"/>
          <w:sz w:val="24"/>
          <w:szCs w:val="24"/>
          <w:lang w:val="en-US"/>
        </w:rPr>
        <w:t xml:space="preserve">the wording is technically incorrect, the beneficiary not </w:t>
      </w:r>
      <w:r w:rsidR="00174D48">
        <w:rPr>
          <w:rFonts w:ascii="Times New Roman" w:hAnsi="Times New Roman" w:cs="Times New Roman"/>
          <w:sz w:val="24"/>
          <w:szCs w:val="24"/>
          <w:lang w:val="en-US"/>
        </w:rPr>
        <w:t xml:space="preserve">being </w:t>
      </w:r>
      <w:r w:rsidR="00302533">
        <w:rPr>
          <w:rFonts w:ascii="Times New Roman" w:hAnsi="Times New Roman" w:cs="Times New Roman"/>
          <w:sz w:val="24"/>
          <w:szCs w:val="24"/>
          <w:lang w:val="en-US"/>
        </w:rPr>
        <w:t>a “party”</w:t>
      </w:r>
      <w:r w:rsidR="005D0F2B" w:rsidRPr="000F052B">
        <w:rPr>
          <w:rFonts w:ascii="Times New Roman" w:hAnsi="Times New Roman" w:cs="Times New Roman"/>
          <w:sz w:val="24"/>
          <w:szCs w:val="24"/>
          <w:lang w:val="en-US"/>
        </w:rPr>
        <w:t>—a term</w:t>
      </w:r>
      <w:r w:rsidR="00FF4490" w:rsidRPr="000F052B">
        <w:rPr>
          <w:rFonts w:ascii="Times New Roman" w:hAnsi="Times New Roman" w:cs="Times New Roman"/>
          <w:sz w:val="24"/>
          <w:szCs w:val="24"/>
          <w:lang w:val="en-US"/>
        </w:rPr>
        <w:t xml:space="preserve"> which implies participat</w:t>
      </w:r>
      <w:r w:rsidR="00174D48">
        <w:rPr>
          <w:rFonts w:ascii="Times New Roman" w:hAnsi="Times New Roman" w:cs="Times New Roman"/>
          <w:sz w:val="24"/>
          <w:szCs w:val="24"/>
          <w:lang w:val="en-US"/>
        </w:rPr>
        <w:t>ion</w:t>
      </w:r>
      <w:r w:rsidR="00302533">
        <w:rPr>
          <w:rFonts w:ascii="Times New Roman" w:hAnsi="Times New Roman" w:cs="Times New Roman"/>
          <w:sz w:val="24"/>
          <w:szCs w:val="24"/>
          <w:lang w:val="en-US"/>
        </w:rPr>
        <w:t xml:space="preserve"> in the agreement—but rather a “</w:t>
      </w:r>
      <w:r w:rsidR="005D0F2B" w:rsidRPr="000F052B">
        <w:rPr>
          <w:rFonts w:ascii="Times New Roman" w:hAnsi="Times New Roman" w:cs="Times New Roman"/>
          <w:sz w:val="24"/>
          <w:szCs w:val="24"/>
          <w:lang w:val="en-US"/>
        </w:rPr>
        <w:t>person</w:t>
      </w:r>
      <w:r w:rsidR="00302533">
        <w:rPr>
          <w:rFonts w:ascii="Times New Roman" w:hAnsi="Times New Roman" w:cs="Times New Roman"/>
          <w:sz w:val="24"/>
          <w:szCs w:val="24"/>
          <w:lang w:val="en-US"/>
        </w:rPr>
        <w:t>”</w:t>
      </w:r>
      <w:r w:rsidR="00FF4490" w:rsidRPr="000F052B">
        <w:rPr>
          <w:rFonts w:ascii="Times New Roman" w:hAnsi="Times New Roman" w:cs="Times New Roman"/>
          <w:sz w:val="24"/>
          <w:szCs w:val="24"/>
          <w:lang w:val="en-US"/>
        </w:rPr>
        <w:t xml:space="preserve"> </w:t>
      </w:r>
      <w:r w:rsidR="00174D48">
        <w:rPr>
          <w:rFonts w:ascii="Times New Roman" w:hAnsi="Times New Roman" w:cs="Times New Roman"/>
          <w:sz w:val="24"/>
          <w:szCs w:val="24"/>
          <w:lang w:val="en-US"/>
        </w:rPr>
        <w:t>(</w:t>
      </w:r>
      <w:r w:rsidR="00FF4490" w:rsidRPr="000F052B">
        <w:rPr>
          <w:rFonts w:ascii="Times New Roman" w:hAnsi="Times New Roman" w:cs="Times New Roman"/>
          <w:sz w:val="24"/>
          <w:szCs w:val="24"/>
          <w:lang w:val="en-US"/>
        </w:rPr>
        <w:t>stranger to the contract).</w:t>
      </w:r>
      <w:r w:rsidR="00C86C88" w:rsidRPr="000F052B">
        <w:rPr>
          <w:rStyle w:val="FootnoteReference"/>
          <w:rFonts w:ascii="Times New Roman" w:hAnsi="Times New Roman" w:cs="Times New Roman"/>
          <w:sz w:val="24"/>
          <w:szCs w:val="24"/>
          <w:lang w:val="en-US"/>
        </w:rPr>
        <w:footnoteReference w:id="137"/>
      </w:r>
      <w:r w:rsidR="005D0F2B" w:rsidRPr="000F052B">
        <w:rPr>
          <w:rFonts w:ascii="Times New Roman" w:hAnsi="Times New Roman" w:cs="Times New Roman"/>
          <w:sz w:val="24"/>
          <w:szCs w:val="24"/>
          <w:lang w:val="en-US"/>
        </w:rPr>
        <w:t xml:space="preserve"> Secondly, s</w:t>
      </w:r>
      <w:r w:rsidR="001C4F2E">
        <w:rPr>
          <w:rFonts w:ascii="Times New Roman" w:hAnsi="Times New Roman" w:cs="Times New Roman"/>
          <w:sz w:val="24"/>
          <w:szCs w:val="24"/>
          <w:lang w:val="en-US"/>
        </w:rPr>
        <w:t>ection</w:t>
      </w:r>
      <w:r w:rsidR="005D0F2B" w:rsidRPr="000F052B">
        <w:rPr>
          <w:rFonts w:ascii="Times New Roman" w:hAnsi="Times New Roman" w:cs="Times New Roman"/>
          <w:sz w:val="24"/>
          <w:szCs w:val="24"/>
          <w:lang w:val="en-US"/>
        </w:rPr>
        <w:t xml:space="preserve"> 41 ICA sets out</w:t>
      </w:r>
      <w:r w:rsidR="00FF4490" w:rsidRPr="000F052B">
        <w:rPr>
          <w:rFonts w:ascii="Times New Roman" w:hAnsi="Times New Roman" w:cs="Times New Roman"/>
          <w:sz w:val="24"/>
          <w:szCs w:val="24"/>
          <w:lang w:val="en-US"/>
        </w:rPr>
        <w:t xml:space="preserve"> the</w:t>
      </w:r>
      <w:r w:rsidR="005D0F2B" w:rsidRPr="000F052B">
        <w:rPr>
          <w:rFonts w:ascii="Times New Roman" w:hAnsi="Times New Roman" w:cs="Times New Roman"/>
          <w:sz w:val="24"/>
          <w:szCs w:val="24"/>
          <w:lang w:val="en-US"/>
        </w:rPr>
        <w:t xml:space="preserve"> </w:t>
      </w:r>
      <w:r w:rsidR="001A7BCB" w:rsidRPr="000F052B">
        <w:rPr>
          <w:rFonts w:ascii="Times New Roman" w:hAnsi="Times New Roman" w:cs="Times New Roman"/>
          <w:sz w:val="24"/>
          <w:szCs w:val="24"/>
          <w:lang w:val="en-US"/>
        </w:rPr>
        <w:t xml:space="preserve">circumstances in which the non-signatory claimant can require an insurer to elect to inform them whether the contract applies to the claim and the </w:t>
      </w:r>
      <w:r w:rsidR="00FF4490" w:rsidRPr="000F052B">
        <w:rPr>
          <w:rFonts w:ascii="Times New Roman" w:hAnsi="Times New Roman" w:cs="Times New Roman"/>
          <w:sz w:val="24"/>
          <w:szCs w:val="24"/>
          <w:lang w:val="en-US"/>
        </w:rPr>
        <w:t xml:space="preserve">relative </w:t>
      </w:r>
      <w:r w:rsidR="001A7BCB" w:rsidRPr="000F052B">
        <w:rPr>
          <w:rFonts w:ascii="Times New Roman" w:hAnsi="Times New Roman" w:cs="Times New Roman"/>
          <w:sz w:val="24"/>
          <w:szCs w:val="24"/>
          <w:lang w:val="en-US"/>
        </w:rPr>
        <w:t>procedures to be followed</w:t>
      </w:r>
      <w:r w:rsidR="005D0F2B" w:rsidRPr="000F052B">
        <w:rPr>
          <w:rFonts w:ascii="Times New Roman" w:hAnsi="Times New Roman" w:cs="Times New Roman"/>
          <w:sz w:val="24"/>
          <w:szCs w:val="24"/>
          <w:lang w:val="en-US"/>
        </w:rPr>
        <w:t>. Thirdly, i</w:t>
      </w:r>
      <w:r w:rsidR="00AB59D3" w:rsidRPr="000F052B">
        <w:rPr>
          <w:rFonts w:ascii="Times New Roman" w:hAnsi="Times New Roman" w:cs="Times New Roman"/>
          <w:sz w:val="24"/>
          <w:szCs w:val="24"/>
          <w:lang w:val="en-US"/>
        </w:rPr>
        <w:t xml:space="preserve">n </w:t>
      </w:r>
      <w:r w:rsidR="00AB59D3" w:rsidRPr="000F052B">
        <w:rPr>
          <w:rFonts w:ascii="Times New Roman" w:hAnsi="Times New Roman" w:cs="Times New Roman"/>
          <w:i/>
          <w:iCs/>
          <w:sz w:val="24"/>
          <w:szCs w:val="24"/>
          <w:lang w:val="en-US"/>
        </w:rPr>
        <w:t>Lofthouse v CAN</w:t>
      </w:r>
      <w:r w:rsidR="00AB59D3" w:rsidRPr="000F052B">
        <w:rPr>
          <w:rFonts w:ascii="Times New Roman" w:hAnsi="Times New Roman" w:cs="Times New Roman"/>
          <w:iCs/>
          <w:sz w:val="24"/>
          <w:szCs w:val="24"/>
          <w:lang w:val="en-US"/>
        </w:rPr>
        <w:t>,</w:t>
      </w:r>
      <w:r w:rsidR="00AB59D3" w:rsidRPr="000F052B">
        <w:rPr>
          <w:rStyle w:val="FootnoteReference"/>
          <w:rFonts w:ascii="Times New Roman" w:hAnsi="Times New Roman" w:cs="Times New Roman"/>
          <w:iCs/>
          <w:sz w:val="24"/>
          <w:szCs w:val="24"/>
          <w:lang w:val="en-US"/>
        </w:rPr>
        <w:footnoteReference w:id="138"/>
      </w:r>
      <w:r w:rsidR="00AB59D3" w:rsidRPr="000F052B">
        <w:rPr>
          <w:rFonts w:ascii="Times New Roman" w:hAnsi="Times New Roman" w:cs="Times New Roman"/>
          <w:iCs/>
          <w:sz w:val="24"/>
          <w:szCs w:val="24"/>
          <w:lang w:val="en-US"/>
        </w:rPr>
        <w:t xml:space="preserve"> Hansen J held that the </w:t>
      </w:r>
      <w:r w:rsidR="00302533">
        <w:rPr>
          <w:rFonts w:ascii="Times New Roman" w:hAnsi="Times New Roman" w:cs="Times New Roman"/>
          <w:iCs/>
          <w:sz w:val="24"/>
          <w:szCs w:val="24"/>
          <w:lang w:val="en-US"/>
        </w:rPr>
        <w:t>notion of “claim”</w:t>
      </w:r>
      <w:r w:rsidR="00AB59D3" w:rsidRPr="000F052B">
        <w:rPr>
          <w:rFonts w:ascii="Times New Roman" w:hAnsi="Times New Roman" w:cs="Times New Roman"/>
          <w:iCs/>
          <w:sz w:val="24"/>
          <w:szCs w:val="24"/>
          <w:lang w:val="en-US"/>
        </w:rPr>
        <w:t xml:space="preserve"> for the purposes of the discipline refers</w:t>
      </w:r>
      <w:r w:rsidR="00DC4BF3" w:rsidRPr="000F052B">
        <w:rPr>
          <w:rFonts w:ascii="Times New Roman" w:hAnsi="Times New Roman" w:cs="Times New Roman"/>
          <w:iCs/>
          <w:sz w:val="24"/>
          <w:szCs w:val="24"/>
          <w:lang w:val="en-US"/>
        </w:rPr>
        <w:t xml:space="preserve"> </w:t>
      </w:r>
      <w:r w:rsidR="00AB59D3" w:rsidRPr="000F052B">
        <w:rPr>
          <w:rFonts w:ascii="Times New Roman" w:hAnsi="Times New Roman" w:cs="Times New Roman"/>
          <w:iCs/>
          <w:sz w:val="24"/>
          <w:szCs w:val="24"/>
          <w:lang w:val="en-US"/>
        </w:rPr>
        <w:t xml:space="preserve">to separate parts of the claim. </w:t>
      </w:r>
      <w:r w:rsidR="005D0F2B" w:rsidRPr="000F052B">
        <w:rPr>
          <w:rFonts w:ascii="Times New Roman" w:hAnsi="Times New Roman" w:cs="Times New Roman"/>
          <w:sz w:val="24"/>
          <w:szCs w:val="24"/>
          <w:lang w:val="en-US"/>
        </w:rPr>
        <w:t xml:space="preserve">Finally, to apply the new </w:t>
      </w:r>
      <w:r w:rsidR="001A7BCB" w:rsidRPr="000F052B">
        <w:rPr>
          <w:rFonts w:ascii="Times New Roman" w:hAnsi="Times New Roman" w:cs="Times New Roman"/>
          <w:sz w:val="24"/>
          <w:szCs w:val="24"/>
          <w:lang w:val="en-US"/>
        </w:rPr>
        <w:t>regime,</w:t>
      </w:r>
      <w:r w:rsidR="005D0F2B" w:rsidRPr="000F052B">
        <w:rPr>
          <w:rFonts w:ascii="Times New Roman" w:hAnsi="Times New Roman" w:cs="Times New Roman"/>
          <w:sz w:val="24"/>
          <w:szCs w:val="24"/>
          <w:lang w:val="en-US"/>
        </w:rPr>
        <w:t xml:space="preserve"> the interpreter is </w:t>
      </w:r>
      <w:r w:rsidR="001A7BCB" w:rsidRPr="000F052B">
        <w:rPr>
          <w:rFonts w:ascii="Times New Roman" w:hAnsi="Times New Roman" w:cs="Times New Roman"/>
          <w:sz w:val="24"/>
          <w:szCs w:val="24"/>
          <w:lang w:val="en-US"/>
        </w:rPr>
        <w:t>inevitably</w:t>
      </w:r>
      <w:r w:rsidR="005D0F2B" w:rsidRPr="000F052B">
        <w:rPr>
          <w:rFonts w:ascii="Times New Roman" w:hAnsi="Times New Roman" w:cs="Times New Roman"/>
          <w:sz w:val="24"/>
          <w:szCs w:val="24"/>
          <w:lang w:val="en-US"/>
        </w:rPr>
        <w:t xml:space="preserve"> required</w:t>
      </w:r>
      <w:r w:rsidR="007E45E7" w:rsidRPr="000F052B">
        <w:rPr>
          <w:rFonts w:ascii="Times New Roman" w:hAnsi="Times New Roman" w:cs="Times New Roman"/>
          <w:sz w:val="24"/>
          <w:szCs w:val="24"/>
          <w:lang w:val="en-US"/>
        </w:rPr>
        <w:t xml:space="preserve"> to determine whether the </w:t>
      </w:r>
      <w:r w:rsidR="003C6786" w:rsidRPr="000F052B">
        <w:rPr>
          <w:rFonts w:ascii="Times New Roman" w:hAnsi="Times New Roman" w:cs="Times New Roman"/>
          <w:sz w:val="24"/>
          <w:szCs w:val="24"/>
          <w:lang w:val="en-US"/>
        </w:rPr>
        <w:t>abrogation</w:t>
      </w:r>
      <w:r w:rsidR="007E45E7" w:rsidRPr="000F052B">
        <w:rPr>
          <w:rFonts w:ascii="Times New Roman" w:hAnsi="Times New Roman" w:cs="Times New Roman"/>
          <w:sz w:val="24"/>
          <w:szCs w:val="24"/>
          <w:lang w:val="en-US"/>
        </w:rPr>
        <w:t xml:space="preserve"> of the insurable</w:t>
      </w:r>
      <w:r w:rsidR="00755250" w:rsidRPr="000F052B">
        <w:rPr>
          <w:rFonts w:ascii="Times New Roman" w:hAnsi="Times New Roman" w:cs="Times New Roman"/>
          <w:sz w:val="24"/>
          <w:szCs w:val="24"/>
          <w:lang w:val="en-US"/>
        </w:rPr>
        <w:t xml:space="preserve"> interest</w:t>
      </w:r>
      <w:r w:rsidR="007E45E7" w:rsidRPr="000F052B">
        <w:rPr>
          <w:rFonts w:ascii="Times New Roman" w:hAnsi="Times New Roman" w:cs="Times New Roman"/>
          <w:sz w:val="24"/>
          <w:szCs w:val="24"/>
          <w:lang w:val="en-US"/>
        </w:rPr>
        <w:t xml:space="preserve"> test brought about by s</w:t>
      </w:r>
      <w:r w:rsidR="001C4F2E">
        <w:rPr>
          <w:rFonts w:ascii="Times New Roman" w:hAnsi="Times New Roman" w:cs="Times New Roman"/>
          <w:sz w:val="24"/>
          <w:szCs w:val="24"/>
          <w:lang w:val="en-US"/>
        </w:rPr>
        <w:t>ections</w:t>
      </w:r>
      <w:r w:rsidR="007E45E7" w:rsidRPr="000F052B">
        <w:rPr>
          <w:rFonts w:ascii="Times New Roman" w:hAnsi="Times New Roman" w:cs="Times New Roman"/>
          <w:sz w:val="24"/>
          <w:szCs w:val="24"/>
          <w:lang w:val="en-US"/>
        </w:rPr>
        <w:t xml:space="preserve"> 16 and 17 ICA applies to non-signatory parties as well. Indeed, while at common law this test required the insured to have a </w:t>
      </w:r>
      <w:r w:rsidR="007E45E7" w:rsidRPr="000F052B">
        <w:rPr>
          <w:rFonts w:ascii="Times New Roman" w:hAnsi="Times New Roman" w:cs="Times New Roman"/>
          <w:i/>
          <w:sz w:val="24"/>
          <w:szCs w:val="24"/>
          <w:lang w:val="en-US"/>
        </w:rPr>
        <w:t>legal</w:t>
      </w:r>
      <w:r w:rsidR="007E45E7" w:rsidRPr="000F052B">
        <w:rPr>
          <w:rFonts w:ascii="Times New Roman" w:hAnsi="Times New Roman" w:cs="Times New Roman"/>
          <w:sz w:val="24"/>
          <w:szCs w:val="24"/>
          <w:lang w:val="en-US"/>
        </w:rPr>
        <w:t xml:space="preserve"> or </w:t>
      </w:r>
      <w:r w:rsidR="007E45E7" w:rsidRPr="000F052B">
        <w:rPr>
          <w:rFonts w:ascii="Times New Roman" w:hAnsi="Times New Roman" w:cs="Times New Roman"/>
          <w:i/>
          <w:sz w:val="24"/>
          <w:szCs w:val="24"/>
          <w:lang w:val="en-US"/>
        </w:rPr>
        <w:t>equitable</w:t>
      </w:r>
      <w:r w:rsidR="007E45E7" w:rsidRPr="000F052B">
        <w:rPr>
          <w:rFonts w:ascii="Times New Roman" w:hAnsi="Times New Roman" w:cs="Times New Roman"/>
          <w:sz w:val="24"/>
          <w:szCs w:val="24"/>
          <w:lang w:val="en-US"/>
        </w:rPr>
        <w:t xml:space="preserve"> interest in the subject matter of the insurance, according to s</w:t>
      </w:r>
      <w:r w:rsidR="001C4F2E">
        <w:rPr>
          <w:rFonts w:ascii="Times New Roman" w:hAnsi="Times New Roman" w:cs="Times New Roman"/>
          <w:sz w:val="24"/>
          <w:szCs w:val="24"/>
          <w:lang w:val="en-US"/>
        </w:rPr>
        <w:t>ection</w:t>
      </w:r>
      <w:r w:rsidR="007E45E7" w:rsidRPr="000F052B">
        <w:rPr>
          <w:rFonts w:ascii="Times New Roman" w:hAnsi="Times New Roman" w:cs="Times New Roman"/>
          <w:sz w:val="24"/>
          <w:szCs w:val="24"/>
          <w:lang w:val="en-US"/>
        </w:rPr>
        <w:t xml:space="preserve">s 16 and 17 ICA, the insured is only required to have an </w:t>
      </w:r>
      <w:r w:rsidR="007E45E7" w:rsidRPr="000F052B">
        <w:rPr>
          <w:rFonts w:ascii="Times New Roman" w:hAnsi="Times New Roman" w:cs="Times New Roman"/>
          <w:i/>
          <w:sz w:val="24"/>
          <w:szCs w:val="24"/>
          <w:lang w:val="en-US"/>
        </w:rPr>
        <w:t>economic</w:t>
      </w:r>
      <w:r w:rsidR="007E45E7" w:rsidRPr="000F052B">
        <w:rPr>
          <w:rFonts w:ascii="Times New Roman" w:hAnsi="Times New Roman" w:cs="Times New Roman"/>
          <w:sz w:val="24"/>
          <w:szCs w:val="24"/>
          <w:lang w:val="en-US"/>
        </w:rPr>
        <w:t xml:space="preserve"> or </w:t>
      </w:r>
      <w:r w:rsidR="007E45E7" w:rsidRPr="000F052B">
        <w:rPr>
          <w:rFonts w:ascii="Times New Roman" w:hAnsi="Times New Roman" w:cs="Times New Roman"/>
          <w:i/>
          <w:sz w:val="24"/>
          <w:szCs w:val="24"/>
          <w:lang w:val="en-US"/>
        </w:rPr>
        <w:t xml:space="preserve">pecuniary </w:t>
      </w:r>
      <w:r w:rsidR="007E45E7" w:rsidRPr="000F052B">
        <w:rPr>
          <w:rFonts w:ascii="Times New Roman" w:hAnsi="Times New Roman" w:cs="Times New Roman"/>
          <w:sz w:val="24"/>
          <w:szCs w:val="24"/>
          <w:lang w:val="en-US"/>
        </w:rPr>
        <w:t>interest at the time the loss occurs. As s</w:t>
      </w:r>
      <w:r w:rsidR="001C4F2E">
        <w:rPr>
          <w:rFonts w:ascii="Times New Roman" w:hAnsi="Times New Roman" w:cs="Times New Roman"/>
          <w:sz w:val="24"/>
          <w:szCs w:val="24"/>
          <w:lang w:val="en-US"/>
        </w:rPr>
        <w:t>ection</w:t>
      </w:r>
      <w:r w:rsidR="007E45E7" w:rsidRPr="000F052B">
        <w:rPr>
          <w:rFonts w:ascii="Times New Roman" w:hAnsi="Times New Roman" w:cs="Times New Roman"/>
          <w:sz w:val="24"/>
          <w:szCs w:val="24"/>
          <w:lang w:val="en-US"/>
        </w:rPr>
        <w:t xml:space="preserve"> 48 ICA applies to every work covered by the policy, it might be argued that also the interest of third parties </w:t>
      </w:r>
      <w:r w:rsidR="003C6786" w:rsidRPr="000F052B">
        <w:rPr>
          <w:rFonts w:ascii="Times New Roman" w:hAnsi="Times New Roman" w:cs="Times New Roman"/>
          <w:sz w:val="24"/>
          <w:szCs w:val="24"/>
          <w:lang w:val="en-US"/>
        </w:rPr>
        <w:t>is affected by the innovation of</w:t>
      </w:r>
      <w:r w:rsidR="007E45E7" w:rsidRPr="000F052B">
        <w:rPr>
          <w:rFonts w:ascii="Times New Roman" w:hAnsi="Times New Roman" w:cs="Times New Roman"/>
          <w:sz w:val="24"/>
          <w:szCs w:val="24"/>
          <w:lang w:val="en-US"/>
        </w:rPr>
        <w:t xml:space="preserve"> s</w:t>
      </w:r>
      <w:r w:rsidR="001C4F2E">
        <w:rPr>
          <w:rFonts w:ascii="Times New Roman" w:hAnsi="Times New Roman" w:cs="Times New Roman"/>
          <w:sz w:val="24"/>
          <w:szCs w:val="24"/>
          <w:lang w:val="en-US"/>
        </w:rPr>
        <w:t>ection</w:t>
      </w:r>
      <w:r w:rsidR="007E45E7" w:rsidRPr="000F052B">
        <w:rPr>
          <w:rFonts w:ascii="Times New Roman" w:hAnsi="Times New Roman" w:cs="Times New Roman"/>
          <w:sz w:val="24"/>
          <w:szCs w:val="24"/>
          <w:lang w:val="en-US"/>
        </w:rPr>
        <w:t>s 16 and 17 ICA. Delving into this matter</w:t>
      </w:r>
      <w:r w:rsidR="00E00FC0" w:rsidRPr="000F052B">
        <w:rPr>
          <w:rFonts w:ascii="Times New Roman" w:hAnsi="Times New Roman" w:cs="Times New Roman"/>
          <w:sz w:val="24"/>
          <w:szCs w:val="24"/>
          <w:lang w:val="en-US"/>
        </w:rPr>
        <w:t xml:space="preserve"> at leng</w:t>
      </w:r>
      <w:r w:rsidR="007E45E7" w:rsidRPr="000F052B">
        <w:rPr>
          <w:rFonts w:ascii="Times New Roman" w:hAnsi="Times New Roman" w:cs="Times New Roman"/>
          <w:sz w:val="24"/>
          <w:szCs w:val="24"/>
          <w:lang w:val="en-US"/>
        </w:rPr>
        <w:t>t</w:t>
      </w:r>
      <w:r w:rsidR="00E00FC0" w:rsidRPr="000F052B">
        <w:rPr>
          <w:rFonts w:ascii="Times New Roman" w:hAnsi="Times New Roman" w:cs="Times New Roman"/>
          <w:sz w:val="24"/>
          <w:szCs w:val="24"/>
          <w:lang w:val="en-US"/>
        </w:rPr>
        <w:t>h</w:t>
      </w:r>
      <w:r w:rsidR="007E45E7" w:rsidRPr="000F052B">
        <w:rPr>
          <w:rFonts w:ascii="Times New Roman" w:hAnsi="Times New Roman" w:cs="Times New Roman"/>
          <w:sz w:val="24"/>
          <w:szCs w:val="24"/>
          <w:lang w:val="en-US"/>
        </w:rPr>
        <w:t xml:space="preserve">, Patrick Mead persuasively concluded that </w:t>
      </w:r>
      <w:r w:rsidR="00E00FC0" w:rsidRPr="000F052B">
        <w:rPr>
          <w:rFonts w:ascii="Times New Roman" w:hAnsi="Times New Roman" w:cs="Times New Roman"/>
          <w:sz w:val="24"/>
          <w:szCs w:val="24"/>
          <w:lang w:val="en-US"/>
        </w:rPr>
        <w:t>this is not the case</w:t>
      </w:r>
      <w:r w:rsidR="00DB65CF" w:rsidRPr="000F052B">
        <w:rPr>
          <w:rFonts w:ascii="Times New Roman" w:hAnsi="Times New Roman" w:cs="Times New Roman"/>
          <w:sz w:val="24"/>
          <w:szCs w:val="24"/>
          <w:lang w:val="en-US"/>
        </w:rPr>
        <w:t>.</w:t>
      </w:r>
      <w:r w:rsidR="00DB65CF" w:rsidRPr="000F052B">
        <w:rPr>
          <w:rStyle w:val="FootnoteReference"/>
          <w:rFonts w:ascii="Times New Roman" w:hAnsi="Times New Roman" w:cs="Times New Roman"/>
          <w:sz w:val="24"/>
          <w:szCs w:val="24"/>
          <w:lang w:val="en-US"/>
        </w:rPr>
        <w:footnoteReference w:id="139"/>
      </w:r>
      <w:r w:rsidR="00E00FC0" w:rsidRPr="000F052B">
        <w:rPr>
          <w:rFonts w:ascii="Times New Roman" w:hAnsi="Times New Roman" w:cs="Times New Roman"/>
          <w:sz w:val="24"/>
          <w:szCs w:val="24"/>
          <w:lang w:val="en-US"/>
        </w:rPr>
        <w:t xml:space="preserve"> </w:t>
      </w:r>
    </w:p>
    <w:p w14:paraId="503C6BF3" w14:textId="5E207DD2" w:rsidR="00E8549F" w:rsidRPr="000F052B" w:rsidRDefault="0005742C"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 xml:space="preserve">That having been said, it must be </w:t>
      </w:r>
      <w:r w:rsidR="00FD0C31" w:rsidRPr="000F052B">
        <w:rPr>
          <w:rFonts w:ascii="Times New Roman" w:hAnsi="Times New Roman" w:cs="Times New Roman"/>
          <w:sz w:val="24"/>
          <w:szCs w:val="24"/>
          <w:lang w:val="en-US"/>
        </w:rPr>
        <w:t>emphasized</w:t>
      </w:r>
      <w:r w:rsidRPr="000F052B">
        <w:rPr>
          <w:rFonts w:ascii="Times New Roman" w:hAnsi="Times New Roman" w:cs="Times New Roman"/>
          <w:sz w:val="24"/>
          <w:szCs w:val="24"/>
          <w:lang w:val="en-US"/>
        </w:rPr>
        <w:t xml:space="preserve"> that the</w:t>
      </w:r>
      <w:r w:rsidR="00814AFD" w:rsidRPr="000F052B">
        <w:rPr>
          <w:rFonts w:ascii="Times New Roman" w:hAnsi="Times New Roman" w:cs="Times New Roman"/>
          <w:sz w:val="24"/>
          <w:szCs w:val="24"/>
          <w:lang w:val="en-US"/>
        </w:rPr>
        <w:t xml:space="preserve"> principle outlined in s 48(1) </w:t>
      </w:r>
      <w:r w:rsidRPr="000F052B">
        <w:rPr>
          <w:rFonts w:ascii="Times New Roman" w:hAnsi="Times New Roman" w:cs="Times New Roman"/>
          <w:sz w:val="24"/>
          <w:szCs w:val="24"/>
          <w:lang w:val="en-US"/>
        </w:rPr>
        <w:t xml:space="preserve">ICA </w:t>
      </w:r>
      <w:r w:rsidR="00814AFD" w:rsidRPr="000F052B">
        <w:rPr>
          <w:rFonts w:ascii="Times New Roman" w:hAnsi="Times New Roman" w:cs="Times New Roman"/>
          <w:sz w:val="24"/>
          <w:szCs w:val="24"/>
          <w:lang w:val="en-US"/>
        </w:rPr>
        <w:t>gives effect to a specific recommendation made by the Australian Law Reform Commission,</w:t>
      </w:r>
      <w:r w:rsidR="00814AFD" w:rsidRPr="000F052B">
        <w:rPr>
          <w:rStyle w:val="FootnoteReference"/>
          <w:rFonts w:ascii="Times New Roman" w:hAnsi="Times New Roman" w:cs="Times New Roman"/>
          <w:sz w:val="24"/>
          <w:szCs w:val="24"/>
          <w:lang w:val="en-US"/>
        </w:rPr>
        <w:footnoteReference w:id="140"/>
      </w:r>
      <w:r w:rsidR="00814AFD" w:rsidRPr="000F052B">
        <w:rPr>
          <w:rFonts w:ascii="Times New Roman" w:hAnsi="Times New Roman" w:cs="Times New Roman"/>
          <w:sz w:val="24"/>
          <w:szCs w:val="24"/>
          <w:lang w:val="en-US"/>
        </w:rPr>
        <w:t xml:space="preserve"> and represents a clear </w:t>
      </w:r>
      <w:r w:rsidR="00804B88" w:rsidRPr="000F052B">
        <w:rPr>
          <w:rFonts w:ascii="Times New Roman" w:hAnsi="Times New Roman" w:cs="Times New Roman"/>
          <w:sz w:val="24"/>
          <w:szCs w:val="24"/>
          <w:lang w:val="en-US"/>
        </w:rPr>
        <w:t>exception to</w:t>
      </w:r>
      <w:r w:rsidR="00814AFD" w:rsidRPr="000F052B">
        <w:rPr>
          <w:rFonts w:ascii="Times New Roman" w:hAnsi="Times New Roman" w:cs="Times New Roman"/>
          <w:sz w:val="24"/>
          <w:szCs w:val="24"/>
          <w:lang w:val="en-US"/>
        </w:rPr>
        <w:t xml:space="preserve"> the general norm</w:t>
      </w:r>
      <w:r w:rsidR="00804B88" w:rsidRPr="000F052B">
        <w:rPr>
          <w:rFonts w:ascii="Times New Roman" w:hAnsi="Times New Roman" w:cs="Times New Roman"/>
          <w:sz w:val="24"/>
          <w:szCs w:val="24"/>
          <w:lang w:val="en-US"/>
        </w:rPr>
        <w:t xml:space="preserve">, discussed above, </w:t>
      </w:r>
      <w:r w:rsidR="00814AFD" w:rsidRPr="000F052B">
        <w:rPr>
          <w:rFonts w:ascii="Times New Roman" w:hAnsi="Times New Roman" w:cs="Times New Roman"/>
          <w:sz w:val="24"/>
          <w:szCs w:val="24"/>
          <w:lang w:val="en-US"/>
        </w:rPr>
        <w:t xml:space="preserve"> that a third party has no right of action against the promisor.</w:t>
      </w:r>
      <w:r w:rsidR="0013538D" w:rsidRPr="000F052B">
        <w:rPr>
          <w:rFonts w:ascii="Times New Roman" w:hAnsi="Times New Roman" w:cs="Times New Roman"/>
          <w:sz w:val="24"/>
          <w:szCs w:val="24"/>
          <w:lang w:val="en-US"/>
        </w:rPr>
        <w:t xml:space="preserve"> The provision applies to a whole series of insurance contracts, except marine, health, workers’ compensation insurance reinsurance, and more importantly for our purposes, </w:t>
      </w:r>
      <w:r w:rsidR="008E2758" w:rsidRPr="000F052B">
        <w:rPr>
          <w:rFonts w:ascii="Times New Roman" w:hAnsi="Times New Roman" w:cs="Times New Roman"/>
          <w:sz w:val="24"/>
          <w:szCs w:val="24"/>
          <w:lang w:val="en-US"/>
        </w:rPr>
        <w:t>‘to the death of a person, or to injury to arising ou</w:t>
      </w:r>
      <w:r w:rsidR="00302533">
        <w:rPr>
          <w:rFonts w:ascii="Times New Roman" w:hAnsi="Times New Roman" w:cs="Times New Roman"/>
          <w:sz w:val="24"/>
          <w:szCs w:val="24"/>
          <w:lang w:val="en-US"/>
        </w:rPr>
        <w:t>t of the use of a motor vehicle</w:t>
      </w:r>
      <w:r w:rsidR="008E2758" w:rsidRPr="000F052B">
        <w:rPr>
          <w:rFonts w:ascii="Times New Roman" w:hAnsi="Times New Roman" w:cs="Times New Roman"/>
          <w:sz w:val="24"/>
          <w:szCs w:val="24"/>
          <w:lang w:val="en-US"/>
        </w:rPr>
        <w:t>’</w:t>
      </w:r>
      <w:r w:rsidR="0013538D" w:rsidRPr="000F052B">
        <w:rPr>
          <w:rStyle w:val="FootnoteReference"/>
          <w:rFonts w:ascii="Times New Roman" w:hAnsi="Times New Roman" w:cs="Times New Roman"/>
          <w:sz w:val="24"/>
          <w:szCs w:val="24"/>
          <w:lang w:val="en-US"/>
        </w:rPr>
        <w:footnoteReference w:id="141"/>
      </w:r>
    </w:p>
    <w:p w14:paraId="39063147" w14:textId="3A35F835" w:rsidR="00845B08" w:rsidRPr="000F052B" w:rsidRDefault="000E2265"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Before discussing this scenario, it is worth noticing that s</w:t>
      </w:r>
      <w:r w:rsidR="001C4F2E">
        <w:rPr>
          <w:rFonts w:ascii="Times New Roman" w:hAnsi="Times New Roman" w:cs="Times New Roman"/>
          <w:sz w:val="24"/>
          <w:szCs w:val="24"/>
          <w:lang w:val="en-US"/>
        </w:rPr>
        <w:t>ection</w:t>
      </w:r>
      <w:r w:rsidRPr="000F052B">
        <w:rPr>
          <w:rFonts w:ascii="Times New Roman" w:hAnsi="Times New Roman" w:cs="Times New Roman"/>
          <w:sz w:val="24"/>
          <w:szCs w:val="24"/>
          <w:lang w:val="en-US"/>
        </w:rPr>
        <w:t>s 48AA and 48A ICA re-state the same principle with respect to life insurance</w:t>
      </w:r>
      <w:r w:rsidR="00A7060C" w:rsidRPr="000F052B">
        <w:rPr>
          <w:rFonts w:ascii="Times New Roman" w:hAnsi="Times New Roman" w:cs="Times New Roman"/>
          <w:sz w:val="24"/>
          <w:szCs w:val="24"/>
          <w:lang w:val="en-US"/>
        </w:rPr>
        <w:t xml:space="preserve"> policies. In these cases, non-signatory parties have</w:t>
      </w:r>
      <w:r w:rsidR="00941F08" w:rsidRPr="000F052B">
        <w:rPr>
          <w:rFonts w:ascii="Times New Roman" w:hAnsi="Times New Roman" w:cs="Times New Roman"/>
          <w:sz w:val="24"/>
          <w:szCs w:val="24"/>
          <w:lang w:val="en-US"/>
        </w:rPr>
        <w:t>, in relation to their claim, ‘the same obligations to the insurer as the third party beneficiary would have if the third party beneficiary were the insured</w:t>
      </w:r>
      <w:r w:rsidR="00A7060C"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00941F08" w:rsidRPr="000F052B">
        <w:rPr>
          <w:rFonts w:ascii="Times New Roman" w:hAnsi="Times New Roman" w:cs="Times New Roman"/>
          <w:sz w:val="24"/>
          <w:szCs w:val="24"/>
          <w:lang w:val="en-US"/>
        </w:rPr>
        <w:t xml:space="preserve"> Further, </w:t>
      </w:r>
      <w:r w:rsidR="00A7060C" w:rsidRPr="000F052B">
        <w:rPr>
          <w:rFonts w:ascii="Times New Roman" w:hAnsi="Times New Roman" w:cs="Times New Roman"/>
          <w:sz w:val="24"/>
          <w:szCs w:val="24"/>
          <w:lang w:val="en-US"/>
        </w:rPr>
        <w:t xml:space="preserve">they </w:t>
      </w:r>
      <w:r w:rsidR="00A10970" w:rsidRPr="000F052B">
        <w:rPr>
          <w:rFonts w:ascii="Times New Roman" w:hAnsi="Times New Roman" w:cs="Times New Roman"/>
          <w:sz w:val="24"/>
          <w:szCs w:val="24"/>
          <w:lang w:val="en-US"/>
        </w:rPr>
        <w:t>may discharge the insured’</w:t>
      </w:r>
      <w:r w:rsidR="00941F08" w:rsidRPr="000F052B">
        <w:rPr>
          <w:rFonts w:ascii="Times New Roman" w:hAnsi="Times New Roman" w:cs="Times New Roman"/>
          <w:sz w:val="24"/>
          <w:szCs w:val="24"/>
          <w:lang w:val="en-US"/>
        </w:rPr>
        <w:t>s obl</w:t>
      </w:r>
      <w:r w:rsidR="00A7060C" w:rsidRPr="000F052B">
        <w:rPr>
          <w:rFonts w:ascii="Times New Roman" w:hAnsi="Times New Roman" w:cs="Times New Roman"/>
          <w:sz w:val="24"/>
          <w:szCs w:val="24"/>
          <w:lang w:val="en-US"/>
        </w:rPr>
        <w:t>igations in relation to the payment of a benefit (s</w:t>
      </w:r>
      <w:r w:rsidR="001C4F2E">
        <w:rPr>
          <w:rFonts w:ascii="Times New Roman" w:hAnsi="Times New Roman" w:cs="Times New Roman"/>
          <w:sz w:val="24"/>
          <w:szCs w:val="24"/>
          <w:lang w:val="en-US"/>
        </w:rPr>
        <w:t>ection</w:t>
      </w:r>
      <w:r w:rsidR="00A7060C" w:rsidRPr="000F052B">
        <w:rPr>
          <w:rFonts w:ascii="Times New Roman" w:hAnsi="Times New Roman" w:cs="Times New Roman"/>
          <w:sz w:val="24"/>
          <w:szCs w:val="24"/>
          <w:lang w:val="en-US"/>
        </w:rPr>
        <w:t xml:space="preserve"> 48AA ICA), or in relation to the payment of any money </w:t>
      </w:r>
      <w:r w:rsidR="00F673AD" w:rsidRPr="000F052B">
        <w:rPr>
          <w:rFonts w:ascii="Times New Roman" w:hAnsi="Times New Roman" w:cs="Times New Roman"/>
          <w:sz w:val="24"/>
          <w:szCs w:val="24"/>
          <w:lang w:val="en-US"/>
        </w:rPr>
        <w:t xml:space="preserve">owed </w:t>
      </w:r>
      <w:r w:rsidR="00A7060C" w:rsidRPr="000F052B">
        <w:rPr>
          <w:rFonts w:ascii="Times New Roman" w:hAnsi="Times New Roman" w:cs="Times New Roman"/>
          <w:sz w:val="24"/>
          <w:szCs w:val="24"/>
          <w:lang w:val="en-US"/>
        </w:rPr>
        <w:t>to them under the contract (s</w:t>
      </w:r>
      <w:r w:rsidR="001C4F2E">
        <w:rPr>
          <w:rFonts w:ascii="Times New Roman" w:hAnsi="Times New Roman" w:cs="Times New Roman"/>
          <w:sz w:val="24"/>
          <w:szCs w:val="24"/>
          <w:lang w:val="en-US"/>
        </w:rPr>
        <w:t>ection</w:t>
      </w:r>
      <w:r w:rsidR="00A7060C" w:rsidRPr="000F052B">
        <w:rPr>
          <w:rFonts w:ascii="Times New Roman" w:hAnsi="Times New Roman" w:cs="Times New Roman"/>
          <w:sz w:val="24"/>
          <w:szCs w:val="24"/>
          <w:lang w:val="en-US"/>
        </w:rPr>
        <w:t xml:space="preserve"> 48A ICA). H</w:t>
      </w:r>
      <w:r w:rsidR="007C0B24" w:rsidRPr="000F052B">
        <w:rPr>
          <w:rFonts w:ascii="Times New Roman" w:hAnsi="Times New Roman" w:cs="Times New Roman"/>
          <w:sz w:val="24"/>
          <w:szCs w:val="24"/>
          <w:lang w:val="en-US"/>
        </w:rPr>
        <w:t>owever, according to s</w:t>
      </w:r>
      <w:r w:rsidR="001C4F2E">
        <w:rPr>
          <w:rFonts w:ascii="Times New Roman" w:hAnsi="Times New Roman" w:cs="Times New Roman"/>
          <w:sz w:val="24"/>
          <w:szCs w:val="24"/>
          <w:lang w:val="en-US"/>
        </w:rPr>
        <w:t>ection</w:t>
      </w:r>
      <w:r w:rsidR="007C0B24" w:rsidRPr="000F052B">
        <w:rPr>
          <w:rFonts w:ascii="Times New Roman" w:hAnsi="Times New Roman" w:cs="Times New Roman"/>
          <w:sz w:val="24"/>
          <w:szCs w:val="24"/>
          <w:lang w:val="en-US"/>
        </w:rPr>
        <w:t>s 48</w:t>
      </w:r>
      <w:r w:rsidR="00384E34" w:rsidRPr="000F052B">
        <w:rPr>
          <w:rFonts w:ascii="Times New Roman" w:hAnsi="Times New Roman" w:cs="Times New Roman"/>
          <w:sz w:val="24"/>
          <w:szCs w:val="24"/>
          <w:lang w:val="en-US"/>
        </w:rPr>
        <w:t>(3)</w:t>
      </w:r>
      <w:r w:rsidR="007C0B24" w:rsidRPr="000F052B">
        <w:rPr>
          <w:rFonts w:ascii="Times New Roman" w:hAnsi="Times New Roman" w:cs="Times New Roman"/>
          <w:sz w:val="24"/>
          <w:szCs w:val="24"/>
          <w:lang w:val="en-US"/>
        </w:rPr>
        <w:t xml:space="preserve"> and 48AA</w:t>
      </w:r>
      <w:r w:rsidR="00384E34" w:rsidRPr="000F052B">
        <w:rPr>
          <w:rFonts w:ascii="Times New Roman" w:hAnsi="Times New Roman" w:cs="Times New Roman"/>
          <w:sz w:val="24"/>
          <w:szCs w:val="24"/>
          <w:lang w:val="en-US"/>
        </w:rPr>
        <w:t>(3)</w:t>
      </w:r>
      <w:r w:rsidR="007C0B24" w:rsidRPr="000F052B">
        <w:rPr>
          <w:rFonts w:ascii="Times New Roman" w:hAnsi="Times New Roman" w:cs="Times New Roman"/>
          <w:sz w:val="24"/>
          <w:szCs w:val="24"/>
          <w:lang w:val="en-US"/>
        </w:rPr>
        <w:t>, but not 48A ICA, ‘[t]he insurer has the same defen</w:t>
      </w:r>
      <w:r w:rsidR="001C4F2E">
        <w:rPr>
          <w:rFonts w:ascii="Times New Roman" w:hAnsi="Times New Roman" w:cs="Times New Roman"/>
          <w:sz w:val="24"/>
          <w:szCs w:val="24"/>
          <w:lang w:val="en-US"/>
        </w:rPr>
        <w:t>s</w:t>
      </w:r>
      <w:r w:rsidR="007C0B24" w:rsidRPr="000F052B">
        <w:rPr>
          <w:rFonts w:ascii="Times New Roman" w:hAnsi="Times New Roman" w:cs="Times New Roman"/>
          <w:sz w:val="24"/>
          <w:szCs w:val="24"/>
          <w:lang w:val="en-US"/>
        </w:rPr>
        <w:t>es to an action under this section as the insurer would have in an action by the insured, including, but not limited to, defen</w:t>
      </w:r>
      <w:r w:rsidR="001C4F2E">
        <w:rPr>
          <w:rFonts w:ascii="Times New Roman" w:hAnsi="Times New Roman" w:cs="Times New Roman"/>
          <w:sz w:val="24"/>
          <w:szCs w:val="24"/>
          <w:lang w:val="en-US"/>
        </w:rPr>
        <w:t>s</w:t>
      </w:r>
      <w:r w:rsidR="007C0B24" w:rsidRPr="000F052B">
        <w:rPr>
          <w:rFonts w:ascii="Times New Roman" w:hAnsi="Times New Roman" w:cs="Times New Roman"/>
          <w:sz w:val="24"/>
          <w:szCs w:val="24"/>
          <w:lang w:val="en-US"/>
        </w:rPr>
        <w:t>es relating to the conduct of the insured (whether the conduct occurred before or after the contract was entered into)’.</w:t>
      </w:r>
      <w:r w:rsidR="00384E34" w:rsidRPr="000F052B">
        <w:rPr>
          <w:rStyle w:val="FootnoteReference"/>
          <w:rFonts w:ascii="Times New Roman" w:hAnsi="Times New Roman" w:cs="Times New Roman"/>
          <w:sz w:val="24"/>
          <w:szCs w:val="24"/>
          <w:lang w:val="en-US"/>
        </w:rPr>
        <w:footnoteReference w:id="142"/>
      </w:r>
      <w:r w:rsidR="007C0B24" w:rsidRPr="000F052B">
        <w:rPr>
          <w:rFonts w:ascii="Times New Roman" w:hAnsi="Times New Roman" w:cs="Times New Roman"/>
          <w:sz w:val="24"/>
          <w:szCs w:val="24"/>
          <w:lang w:val="en-US"/>
        </w:rPr>
        <w:t xml:space="preserve"> </w:t>
      </w:r>
      <w:r w:rsidR="00941F08" w:rsidRPr="000F052B">
        <w:rPr>
          <w:rFonts w:ascii="Times New Roman" w:hAnsi="Times New Roman" w:cs="Times New Roman"/>
          <w:sz w:val="24"/>
          <w:szCs w:val="24"/>
          <w:lang w:val="en-US"/>
        </w:rPr>
        <w:t>Finally, s</w:t>
      </w:r>
      <w:r w:rsidR="00D532E3">
        <w:rPr>
          <w:rFonts w:ascii="Times New Roman" w:hAnsi="Times New Roman" w:cs="Times New Roman"/>
          <w:sz w:val="24"/>
          <w:szCs w:val="24"/>
          <w:lang w:val="en-US"/>
        </w:rPr>
        <w:t>ection</w:t>
      </w:r>
      <w:r w:rsidRPr="000F052B">
        <w:rPr>
          <w:rFonts w:ascii="Times New Roman" w:hAnsi="Times New Roman" w:cs="Times New Roman"/>
          <w:sz w:val="24"/>
          <w:szCs w:val="24"/>
          <w:lang w:val="en-US"/>
        </w:rPr>
        <w:t xml:space="preserve"> 51 ICA </w:t>
      </w:r>
      <w:r w:rsidR="00A10970" w:rsidRPr="000F052B">
        <w:rPr>
          <w:rFonts w:ascii="Times New Roman" w:hAnsi="Times New Roman" w:cs="Times New Roman"/>
          <w:sz w:val="24"/>
          <w:szCs w:val="24"/>
          <w:lang w:val="en-US"/>
        </w:rPr>
        <w:t>provides that</w:t>
      </w:r>
      <w:r w:rsidRPr="000F052B">
        <w:rPr>
          <w:rFonts w:ascii="Times New Roman" w:hAnsi="Times New Roman" w:cs="Times New Roman"/>
          <w:sz w:val="24"/>
          <w:szCs w:val="24"/>
          <w:lang w:val="en-US"/>
        </w:rPr>
        <w:t xml:space="preserve"> </w:t>
      </w:r>
      <w:r w:rsidR="00941F08" w:rsidRPr="000F052B">
        <w:rPr>
          <w:rFonts w:ascii="Times New Roman" w:hAnsi="Times New Roman" w:cs="Times New Roman"/>
          <w:sz w:val="24"/>
          <w:szCs w:val="24"/>
          <w:lang w:val="en-US"/>
        </w:rPr>
        <w:t xml:space="preserve">those who have </w:t>
      </w:r>
      <w:r w:rsidR="00A10970" w:rsidRPr="000F052B">
        <w:rPr>
          <w:rFonts w:ascii="Times New Roman" w:hAnsi="Times New Roman" w:cs="Times New Roman"/>
          <w:sz w:val="24"/>
          <w:szCs w:val="24"/>
          <w:lang w:val="en-US"/>
        </w:rPr>
        <w:t xml:space="preserve">suffered a damage because of the </w:t>
      </w:r>
      <w:r w:rsidR="00941F08" w:rsidRPr="000F052B">
        <w:rPr>
          <w:rFonts w:ascii="Times New Roman" w:hAnsi="Times New Roman" w:cs="Times New Roman"/>
          <w:sz w:val="24"/>
          <w:szCs w:val="24"/>
          <w:lang w:val="en-US"/>
        </w:rPr>
        <w:t xml:space="preserve">insured or third party’s conduct </w:t>
      </w:r>
      <w:r w:rsidR="00A10970" w:rsidRPr="000F052B">
        <w:rPr>
          <w:rFonts w:ascii="Times New Roman" w:hAnsi="Times New Roman" w:cs="Times New Roman"/>
          <w:sz w:val="24"/>
          <w:szCs w:val="24"/>
          <w:lang w:val="en-US"/>
        </w:rPr>
        <w:t>are entitled to sue</w:t>
      </w:r>
      <w:r w:rsidR="00941F08" w:rsidRPr="000F052B">
        <w:rPr>
          <w:rFonts w:ascii="Times New Roman" w:hAnsi="Times New Roman" w:cs="Times New Roman"/>
          <w:sz w:val="24"/>
          <w:szCs w:val="24"/>
          <w:lang w:val="en-US"/>
        </w:rPr>
        <w:t xml:space="preserve"> the insurer if they </w:t>
      </w:r>
      <w:r w:rsidR="00A10970" w:rsidRPr="000F052B">
        <w:rPr>
          <w:rFonts w:ascii="Times New Roman" w:hAnsi="Times New Roman" w:cs="Times New Roman"/>
          <w:sz w:val="24"/>
          <w:szCs w:val="24"/>
          <w:lang w:val="en-US"/>
        </w:rPr>
        <w:t>are liable but ‘</w:t>
      </w:r>
      <w:r w:rsidR="00941F08" w:rsidRPr="000F052B">
        <w:rPr>
          <w:rFonts w:ascii="Times New Roman" w:hAnsi="Times New Roman" w:cs="Times New Roman"/>
          <w:sz w:val="24"/>
          <w:szCs w:val="24"/>
          <w:lang w:val="en-US"/>
        </w:rPr>
        <w:t>ha[ve] died or cannot, after reasonable inquiry, be found</w:t>
      </w:r>
      <w:r w:rsidR="00A10970" w:rsidRPr="000F052B">
        <w:rPr>
          <w:rFonts w:ascii="Times New Roman" w:hAnsi="Times New Roman" w:cs="Times New Roman"/>
          <w:sz w:val="24"/>
          <w:szCs w:val="24"/>
          <w:lang w:val="en-US"/>
        </w:rPr>
        <w:t>’</w:t>
      </w:r>
      <w:r w:rsidR="00941F08" w:rsidRPr="000F052B">
        <w:rPr>
          <w:rFonts w:ascii="Times New Roman" w:hAnsi="Times New Roman" w:cs="Times New Roman"/>
          <w:sz w:val="24"/>
          <w:szCs w:val="24"/>
          <w:lang w:val="en-US"/>
        </w:rPr>
        <w:t>.</w:t>
      </w:r>
    </w:p>
    <w:p w14:paraId="3D9D4F21" w14:textId="4EE244A8" w:rsidR="009F381A" w:rsidRPr="000F052B" w:rsidRDefault="009F381A"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As mentioned, however, s</w:t>
      </w:r>
      <w:r w:rsidR="00D532E3">
        <w:rPr>
          <w:rFonts w:ascii="Times New Roman" w:hAnsi="Times New Roman" w:cs="Times New Roman"/>
          <w:sz w:val="24"/>
          <w:szCs w:val="24"/>
          <w:lang w:val="en-US"/>
        </w:rPr>
        <w:t>ection</w:t>
      </w:r>
      <w:r w:rsidRPr="000F052B">
        <w:rPr>
          <w:rFonts w:ascii="Times New Roman" w:hAnsi="Times New Roman" w:cs="Times New Roman"/>
          <w:sz w:val="24"/>
          <w:szCs w:val="24"/>
          <w:lang w:val="en-US"/>
        </w:rPr>
        <w:t xml:space="preserve"> 48 ICA does not appl</w:t>
      </w:r>
      <w:r w:rsidR="00D532E3">
        <w:rPr>
          <w:rFonts w:ascii="Times New Roman" w:hAnsi="Times New Roman" w:cs="Times New Roman"/>
          <w:sz w:val="24"/>
          <w:szCs w:val="24"/>
          <w:lang w:val="en-US"/>
        </w:rPr>
        <w:t>y</w:t>
      </w:r>
      <w:r w:rsidRPr="000F052B">
        <w:rPr>
          <w:rFonts w:ascii="Times New Roman" w:hAnsi="Times New Roman" w:cs="Times New Roman"/>
          <w:sz w:val="24"/>
          <w:szCs w:val="24"/>
          <w:lang w:val="en-US"/>
        </w:rPr>
        <w:t xml:space="preserve"> to</w:t>
      </w:r>
      <w:r w:rsidR="00384E34" w:rsidRPr="000F052B">
        <w:rPr>
          <w:rFonts w:ascii="Times New Roman" w:hAnsi="Times New Roman" w:cs="Times New Roman"/>
          <w:sz w:val="24"/>
          <w:szCs w:val="24"/>
          <w:lang w:val="en-US"/>
        </w:rPr>
        <w:t xml:space="preserve"> compensation </w:t>
      </w:r>
      <w:r w:rsidR="001F3376" w:rsidRPr="000F052B">
        <w:rPr>
          <w:rFonts w:ascii="Times New Roman" w:hAnsi="Times New Roman" w:cs="Times New Roman"/>
          <w:sz w:val="24"/>
          <w:szCs w:val="24"/>
          <w:lang w:val="en-US"/>
        </w:rPr>
        <w:t>‘to</w:t>
      </w:r>
      <w:r w:rsidR="00384E34" w:rsidRPr="000F052B">
        <w:rPr>
          <w:rFonts w:ascii="Times New Roman" w:hAnsi="Times New Roman" w:cs="Times New Roman"/>
          <w:sz w:val="24"/>
          <w:szCs w:val="24"/>
          <w:lang w:val="en-US"/>
        </w:rPr>
        <w:t xml:space="preserve"> the death of a person, or for injury to a person, arising out of the use of a motor vehicle</w:t>
      </w:r>
      <w:r w:rsidR="001F3376" w:rsidRPr="000F052B">
        <w:rPr>
          <w:rFonts w:ascii="Times New Roman" w:hAnsi="Times New Roman" w:cs="Times New Roman"/>
          <w:sz w:val="24"/>
          <w:szCs w:val="24"/>
          <w:lang w:val="en-US"/>
        </w:rPr>
        <w:t>’</w:t>
      </w:r>
      <w:r w:rsidR="00384E34" w:rsidRPr="000F052B">
        <w:rPr>
          <w:rFonts w:ascii="Times New Roman" w:hAnsi="Times New Roman" w:cs="Times New Roman"/>
          <w:sz w:val="24"/>
          <w:szCs w:val="24"/>
          <w:lang w:val="en-US"/>
        </w:rPr>
        <w:t xml:space="preserve"> (s</w:t>
      </w:r>
      <w:r w:rsidR="00D532E3">
        <w:rPr>
          <w:rFonts w:ascii="Times New Roman" w:hAnsi="Times New Roman" w:cs="Times New Roman"/>
          <w:sz w:val="24"/>
          <w:szCs w:val="24"/>
          <w:lang w:val="en-US"/>
        </w:rPr>
        <w:t>ection</w:t>
      </w:r>
      <w:r w:rsidR="00384E34" w:rsidRPr="000F052B">
        <w:rPr>
          <w:rFonts w:ascii="Times New Roman" w:hAnsi="Times New Roman" w:cs="Times New Roman"/>
          <w:sz w:val="24"/>
          <w:szCs w:val="24"/>
          <w:lang w:val="en-US"/>
        </w:rPr>
        <w:t xml:space="preserve"> 9 ICA)</w:t>
      </w:r>
      <w:r w:rsidRPr="000F052B">
        <w:rPr>
          <w:rFonts w:ascii="Times New Roman" w:hAnsi="Times New Roman" w:cs="Times New Roman"/>
          <w:sz w:val="24"/>
          <w:szCs w:val="24"/>
          <w:lang w:val="en-US"/>
        </w:rPr>
        <w:t>.</w:t>
      </w:r>
      <w:r w:rsidR="00845B08" w:rsidRPr="000F052B">
        <w:rPr>
          <w:rFonts w:ascii="Times New Roman" w:hAnsi="Times New Roman" w:cs="Times New Roman"/>
          <w:sz w:val="24"/>
          <w:szCs w:val="24"/>
          <w:lang w:val="en-US"/>
        </w:rPr>
        <w:t xml:space="preserve"> </w:t>
      </w:r>
      <w:r w:rsidR="00845B08" w:rsidRPr="000F052B">
        <w:rPr>
          <w:rFonts w:ascii="Times New Roman" w:hAnsi="Times New Roman" w:cs="Times New Roman"/>
          <w:sz w:val="24"/>
          <w:szCs w:val="24"/>
          <w:lang w:val="en-US"/>
        </w:rPr>
        <w:lastRenderedPageBreak/>
        <w:t>While at first glance this exemption might represent an obstacle to appl</w:t>
      </w:r>
      <w:r w:rsidR="001F3376" w:rsidRPr="000F052B">
        <w:rPr>
          <w:rFonts w:ascii="Times New Roman" w:hAnsi="Times New Roman" w:cs="Times New Roman"/>
          <w:sz w:val="24"/>
          <w:szCs w:val="24"/>
          <w:lang w:val="en-US"/>
        </w:rPr>
        <w:t xml:space="preserve">ication of the compulsory third </w:t>
      </w:r>
      <w:r w:rsidR="00845B08" w:rsidRPr="000F052B">
        <w:rPr>
          <w:rFonts w:ascii="Times New Roman" w:hAnsi="Times New Roman" w:cs="Times New Roman"/>
          <w:sz w:val="24"/>
          <w:szCs w:val="24"/>
          <w:lang w:val="en-US"/>
        </w:rPr>
        <w:t>party motor accident insurance scheme, the issue</w:t>
      </w:r>
      <w:r w:rsidR="001F3376" w:rsidRPr="000F052B">
        <w:rPr>
          <w:rFonts w:ascii="Times New Roman" w:hAnsi="Times New Roman" w:cs="Times New Roman"/>
          <w:sz w:val="24"/>
          <w:szCs w:val="24"/>
          <w:lang w:val="en-US"/>
        </w:rPr>
        <w:t xml:space="preserve"> had been already solved </w:t>
      </w:r>
      <w:r w:rsidR="00845B08" w:rsidRPr="000F052B">
        <w:rPr>
          <w:rFonts w:ascii="Times New Roman" w:hAnsi="Times New Roman" w:cs="Times New Roman"/>
          <w:sz w:val="24"/>
          <w:szCs w:val="24"/>
          <w:lang w:val="en-US"/>
        </w:rPr>
        <w:t>by statutory means in each State and Territory.</w:t>
      </w:r>
      <w:r w:rsidR="00845B08" w:rsidRPr="000F052B">
        <w:rPr>
          <w:rStyle w:val="FootnoteReference"/>
          <w:rFonts w:ascii="Times New Roman" w:hAnsi="Times New Roman" w:cs="Times New Roman"/>
          <w:sz w:val="24"/>
          <w:szCs w:val="24"/>
          <w:lang w:val="en-US"/>
        </w:rPr>
        <w:footnoteReference w:id="143"/>
      </w:r>
      <w:r w:rsidR="00845B08" w:rsidRPr="000F052B">
        <w:rPr>
          <w:rFonts w:ascii="Times New Roman" w:hAnsi="Times New Roman" w:cs="Times New Roman"/>
          <w:sz w:val="24"/>
          <w:szCs w:val="24"/>
          <w:lang w:val="en-US"/>
        </w:rPr>
        <w:t xml:space="preserve"> </w:t>
      </w:r>
      <w:r w:rsidR="00E8549F" w:rsidRPr="000F052B">
        <w:rPr>
          <w:rFonts w:ascii="Times New Roman" w:hAnsi="Times New Roman" w:cs="Times New Roman"/>
          <w:sz w:val="24"/>
          <w:szCs w:val="24"/>
          <w:lang w:val="en-US"/>
        </w:rPr>
        <w:t xml:space="preserve">These provisions </w:t>
      </w:r>
      <w:r w:rsidR="00AB178D" w:rsidRPr="000F052B">
        <w:rPr>
          <w:rFonts w:ascii="Times New Roman" w:hAnsi="Times New Roman" w:cs="Times New Roman"/>
          <w:sz w:val="24"/>
          <w:szCs w:val="24"/>
          <w:lang w:val="en-US"/>
        </w:rPr>
        <w:t>apply to the conduct of either</w:t>
      </w:r>
      <w:r w:rsidR="00E8549F" w:rsidRPr="000F052B">
        <w:rPr>
          <w:rFonts w:ascii="Times New Roman" w:hAnsi="Times New Roman" w:cs="Times New Roman"/>
          <w:sz w:val="24"/>
          <w:szCs w:val="24"/>
          <w:lang w:val="en-US"/>
        </w:rPr>
        <w:t xml:space="preserve"> owner or the driver/user of the vehicle </w:t>
      </w:r>
      <w:r w:rsidR="00AB178D" w:rsidRPr="000F052B">
        <w:rPr>
          <w:rFonts w:ascii="Times New Roman" w:hAnsi="Times New Roman" w:cs="Times New Roman"/>
          <w:sz w:val="24"/>
          <w:szCs w:val="24"/>
          <w:lang w:val="en-US"/>
        </w:rPr>
        <w:t>in question.</w:t>
      </w:r>
      <w:r w:rsidR="00FF4490" w:rsidRPr="000F052B">
        <w:rPr>
          <w:rFonts w:ascii="Times New Roman" w:hAnsi="Times New Roman" w:cs="Times New Roman"/>
          <w:sz w:val="24"/>
          <w:szCs w:val="24"/>
          <w:lang w:val="en-US"/>
        </w:rPr>
        <w:t xml:space="preserve"> </w:t>
      </w:r>
      <w:r w:rsidR="001F3376" w:rsidRPr="000F052B">
        <w:rPr>
          <w:rFonts w:ascii="Times New Roman" w:hAnsi="Times New Roman" w:cs="Times New Roman"/>
          <w:sz w:val="24"/>
          <w:szCs w:val="24"/>
          <w:lang w:val="en-US"/>
        </w:rPr>
        <w:t xml:space="preserve">In this sense, it should be </w:t>
      </w:r>
      <w:r w:rsidR="00FD0C31" w:rsidRPr="000F052B">
        <w:rPr>
          <w:rFonts w:ascii="Times New Roman" w:hAnsi="Times New Roman" w:cs="Times New Roman"/>
          <w:sz w:val="24"/>
          <w:szCs w:val="24"/>
          <w:lang w:val="en-US"/>
        </w:rPr>
        <w:t>emphasized</w:t>
      </w:r>
      <w:r w:rsidR="001F3376" w:rsidRPr="000F052B">
        <w:rPr>
          <w:rFonts w:ascii="Times New Roman" w:hAnsi="Times New Roman" w:cs="Times New Roman"/>
          <w:sz w:val="24"/>
          <w:szCs w:val="24"/>
          <w:lang w:val="en-US"/>
        </w:rPr>
        <w:t xml:space="preserve"> that </w:t>
      </w:r>
      <w:r w:rsidR="007E5461" w:rsidRPr="000F052B">
        <w:rPr>
          <w:rFonts w:ascii="Times New Roman" w:hAnsi="Times New Roman" w:cs="Times New Roman"/>
          <w:sz w:val="24"/>
          <w:szCs w:val="24"/>
          <w:lang w:val="en-US"/>
        </w:rPr>
        <w:t>local commissions and boards have been established by various motor or transportations Acts over the years</w:t>
      </w:r>
      <w:r w:rsidR="001F3376" w:rsidRPr="000F052B">
        <w:rPr>
          <w:rFonts w:ascii="Times New Roman" w:hAnsi="Times New Roman" w:cs="Times New Roman"/>
          <w:sz w:val="24"/>
          <w:szCs w:val="24"/>
          <w:lang w:val="en-US"/>
        </w:rPr>
        <w:t xml:space="preserve"> t</w:t>
      </w:r>
      <w:r w:rsidR="007E5461" w:rsidRPr="000F052B">
        <w:rPr>
          <w:rFonts w:ascii="Times New Roman" w:hAnsi="Times New Roman" w:cs="Times New Roman"/>
          <w:sz w:val="24"/>
          <w:szCs w:val="24"/>
          <w:lang w:val="en-US"/>
        </w:rPr>
        <w:t xml:space="preserve">o </w:t>
      </w:r>
      <w:r w:rsidR="001F3376" w:rsidRPr="000F052B">
        <w:rPr>
          <w:rFonts w:ascii="Times New Roman" w:hAnsi="Times New Roman" w:cs="Times New Roman"/>
          <w:sz w:val="24"/>
          <w:szCs w:val="24"/>
          <w:lang w:val="en-US"/>
        </w:rPr>
        <w:t xml:space="preserve">manage </w:t>
      </w:r>
      <w:r w:rsidR="007E5461" w:rsidRPr="000F052B">
        <w:rPr>
          <w:rFonts w:ascii="Times New Roman" w:hAnsi="Times New Roman" w:cs="Times New Roman"/>
          <w:sz w:val="24"/>
          <w:szCs w:val="24"/>
          <w:lang w:val="en-US"/>
        </w:rPr>
        <w:t>third party claims for damages resulting from bodily injury caused by a road accident.</w:t>
      </w:r>
      <w:r w:rsidR="001F3376" w:rsidRPr="000F052B">
        <w:rPr>
          <w:rStyle w:val="FootnoteReference"/>
          <w:rFonts w:ascii="Times New Roman" w:hAnsi="Times New Roman" w:cs="Times New Roman"/>
          <w:sz w:val="24"/>
          <w:szCs w:val="24"/>
          <w:lang w:val="en-US"/>
        </w:rPr>
        <w:footnoteReference w:id="144"/>
      </w:r>
      <w:r w:rsidR="001F3376" w:rsidRPr="000F052B">
        <w:rPr>
          <w:rFonts w:ascii="Times New Roman" w:hAnsi="Times New Roman" w:cs="Times New Roman"/>
          <w:sz w:val="24"/>
          <w:szCs w:val="24"/>
          <w:lang w:val="en-US"/>
        </w:rPr>
        <w:t xml:space="preserve"> </w:t>
      </w:r>
      <w:r w:rsidR="007D688A" w:rsidRPr="000F052B">
        <w:rPr>
          <w:rFonts w:ascii="Times New Roman" w:hAnsi="Times New Roman" w:cs="Times New Roman"/>
          <w:sz w:val="24"/>
          <w:szCs w:val="24"/>
          <w:lang w:val="en-US"/>
        </w:rPr>
        <w:t>T</w:t>
      </w:r>
      <w:r w:rsidR="007E5461" w:rsidRPr="000F052B">
        <w:rPr>
          <w:rFonts w:ascii="Times New Roman" w:hAnsi="Times New Roman" w:cs="Times New Roman"/>
          <w:sz w:val="24"/>
          <w:szCs w:val="24"/>
          <w:lang w:val="en-US"/>
        </w:rPr>
        <w:t>hese are compensated by the relative funds which</w:t>
      </w:r>
      <w:r w:rsidR="001F3376" w:rsidRPr="000F052B">
        <w:rPr>
          <w:rFonts w:ascii="Times New Roman" w:hAnsi="Times New Roman" w:cs="Times New Roman"/>
          <w:sz w:val="24"/>
          <w:szCs w:val="24"/>
          <w:lang w:val="en-US"/>
        </w:rPr>
        <w:t xml:space="preserve"> come from compulsory payments made by motorists when the</w:t>
      </w:r>
      <w:r w:rsidR="00E5050F">
        <w:rPr>
          <w:rFonts w:ascii="Times New Roman" w:hAnsi="Times New Roman" w:cs="Times New Roman"/>
          <w:sz w:val="24"/>
          <w:szCs w:val="24"/>
          <w:lang w:val="en-US"/>
        </w:rPr>
        <w:t>y</w:t>
      </w:r>
      <w:r w:rsidR="001F3376" w:rsidRPr="000F052B">
        <w:rPr>
          <w:rFonts w:ascii="Times New Roman" w:hAnsi="Times New Roman" w:cs="Times New Roman"/>
          <w:sz w:val="24"/>
          <w:szCs w:val="24"/>
          <w:lang w:val="en-US"/>
        </w:rPr>
        <w:t xml:space="preserve"> register their vehicles each year. As these funds are not available to cover damage</w:t>
      </w:r>
      <w:r w:rsidR="00C347A6" w:rsidRPr="000F052B">
        <w:rPr>
          <w:rFonts w:ascii="Times New Roman" w:hAnsi="Times New Roman" w:cs="Times New Roman"/>
          <w:sz w:val="24"/>
          <w:szCs w:val="24"/>
          <w:lang w:val="en-US"/>
        </w:rPr>
        <w:t>s</w:t>
      </w:r>
      <w:r w:rsidR="001F3376" w:rsidRPr="000F052B">
        <w:rPr>
          <w:rFonts w:ascii="Times New Roman" w:hAnsi="Times New Roman" w:cs="Times New Roman"/>
          <w:sz w:val="24"/>
          <w:szCs w:val="24"/>
          <w:lang w:val="en-US"/>
        </w:rPr>
        <w:t xml:space="preserve"> to the vehicle(s) involved in the accident, the parties are left free to insert in the contract </w:t>
      </w:r>
      <w:r w:rsidR="00C347A6" w:rsidRPr="000F052B">
        <w:rPr>
          <w:rFonts w:ascii="Times New Roman" w:hAnsi="Times New Roman" w:cs="Times New Roman"/>
          <w:sz w:val="24"/>
          <w:szCs w:val="24"/>
          <w:lang w:val="en-US"/>
        </w:rPr>
        <w:t xml:space="preserve">one or more </w:t>
      </w:r>
      <w:r w:rsidR="001F3376" w:rsidRPr="000F052B">
        <w:rPr>
          <w:rFonts w:ascii="Times New Roman" w:hAnsi="Times New Roman" w:cs="Times New Roman"/>
          <w:sz w:val="24"/>
          <w:szCs w:val="24"/>
          <w:lang w:val="en-US"/>
        </w:rPr>
        <w:t>exclusion clauses to that effect</w:t>
      </w:r>
      <w:r w:rsidR="00205AF2" w:rsidRPr="000F052B">
        <w:rPr>
          <w:rFonts w:ascii="Times New Roman" w:hAnsi="Times New Roman" w:cs="Times New Roman"/>
          <w:sz w:val="24"/>
          <w:szCs w:val="24"/>
          <w:lang w:val="en-US"/>
        </w:rPr>
        <w:t>.</w:t>
      </w:r>
    </w:p>
    <w:p w14:paraId="43F872DA" w14:textId="77777777" w:rsidR="005C22A5" w:rsidRPr="000F052B" w:rsidRDefault="005C22A5" w:rsidP="00205AF2">
      <w:pPr>
        <w:spacing w:after="120" w:line="480" w:lineRule="auto"/>
        <w:jc w:val="both"/>
        <w:rPr>
          <w:rFonts w:ascii="Times New Roman" w:hAnsi="Times New Roman" w:cs="Times New Roman"/>
          <w:i/>
          <w:sz w:val="28"/>
          <w:szCs w:val="24"/>
          <w:lang w:val="en-US"/>
        </w:rPr>
      </w:pPr>
    </w:p>
    <w:p w14:paraId="6C560FD3" w14:textId="17912285" w:rsidR="00AF534A" w:rsidRPr="000F052B" w:rsidRDefault="006224A8"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3</w:t>
      </w:r>
      <w:r w:rsidR="00BA5066" w:rsidRPr="000F052B">
        <w:rPr>
          <w:rFonts w:ascii="Times New Roman" w:hAnsi="Times New Roman" w:cs="Times New Roman"/>
          <w:i/>
          <w:sz w:val="28"/>
          <w:szCs w:val="24"/>
          <w:lang w:val="en-US"/>
        </w:rPr>
        <w:t>.</w:t>
      </w:r>
      <w:r w:rsidR="00AF534A" w:rsidRPr="000F052B">
        <w:rPr>
          <w:rFonts w:ascii="Times New Roman" w:hAnsi="Times New Roman" w:cs="Times New Roman"/>
          <w:i/>
          <w:sz w:val="28"/>
          <w:szCs w:val="24"/>
          <w:lang w:val="en-US"/>
        </w:rPr>
        <w:t xml:space="preserve"> South Africa</w:t>
      </w:r>
    </w:p>
    <w:p w14:paraId="1D1A3C90" w14:textId="769A093D" w:rsidR="001312A1" w:rsidRPr="000F052B" w:rsidRDefault="00EE21B0"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absence of a statutory provision rendering third party claims under extension clauses enforceable has caused problems in the South African case history</w:t>
      </w:r>
      <w:r w:rsidR="00755250" w:rsidRPr="000F052B">
        <w:rPr>
          <w:rFonts w:ascii="Times New Roman" w:hAnsi="Times New Roman" w:cs="Times New Roman"/>
          <w:sz w:val="24"/>
          <w:szCs w:val="24"/>
          <w:lang w:val="en-US"/>
        </w:rPr>
        <w:t>, mainly due to the requirement of insurable interest</w:t>
      </w:r>
      <w:r w:rsidR="00426ED2" w:rsidRPr="000F052B">
        <w:rPr>
          <w:rFonts w:ascii="Times New Roman" w:hAnsi="Times New Roman" w:cs="Times New Roman"/>
          <w:sz w:val="24"/>
          <w:szCs w:val="24"/>
          <w:lang w:val="en-US"/>
        </w:rPr>
        <w:t xml:space="preserve"> and the specific wording used in the standard clause</w:t>
      </w:r>
      <w:r w:rsidRPr="000F052B">
        <w:rPr>
          <w:rFonts w:ascii="Times New Roman" w:hAnsi="Times New Roman" w:cs="Times New Roman"/>
          <w:sz w:val="24"/>
          <w:szCs w:val="24"/>
          <w:lang w:val="en-US"/>
        </w:rPr>
        <w:t>.</w:t>
      </w:r>
      <w:r w:rsidR="00710904" w:rsidRPr="000F052B">
        <w:rPr>
          <w:rStyle w:val="FootnoteReference"/>
          <w:rFonts w:ascii="Times New Roman" w:hAnsi="Times New Roman" w:cs="Times New Roman"/>
          <w:sz w:val="24"/>
          <w:szCs w:val="24"/>
          <w:lang w:val="en-US"/>
        </w:rPr>
        <w:footnoteReference w:id="145"/>
      </w:r>
      <w:r w:rsidRPr="000F052B">
        <w:rPr>
          <w:rFonts w:ascii="Times New Roman" w:hAnsi="Times New Roman" w:cs="Times New Roman"/>
          <w:sz w:val="24"/>
          <w:szCs w:val="24"/>
          <w:lang w:val="en-US"/>
        </w:rPr>
        <w:t xml:space="preserve">  Surprisingly, however, given that</w:t>
      </w:r>
      <w:r w:rsidR="00426ED2" w:rsidRPr="000F052B">
        <w:rPr>
          <w:rFonts w:ascii="Times New Roman" w:hAnsi="Times New Roman" w:cs="Times New Roman"/>
          <w:sz w:val="24"/>
          <w:szCs w:val="24"/>
          <w:lang w:val="en-US"/>
        </w:rPr>
        <w:t xml:space="preserve"> this is a stock standard provision</w:t>
      </w:r>
      <w:r w:rsidRPr="000F052B">
        <w:rPr>
          <w:rFonts w:ascii="Times New Roman" w:hAnsi="Times New Roman" w:cs="Times New Roman"/>
          <w:sz w:val="24"/>
          <w:szCs w:val="24"/>
          <w:lang w:val="en-US"/>
        </w:rPr>
        <w:t xml:space="preserve"> in motor policies, there are only a handful of reported judgments dealing squarely with the enforceability of extension </w:t>
      </w:r>
      <w:r w:rsidRPr="000F052B">
        <w:rPr>
          <w:rFonts w:ascii="Times New Roman" w:hAnsi="Times New Roman" w:cs="Times New Roman"/>
          <w:sz w:val="24"/>
          <w:szCs w:val="24"/>
          <w:lang w:val="en-US"/>
        </w:rPr>
        <w:lastRenderedPageBreak/>
        <w:t>clauses.</w:t>
      </w:r>
      <w:r w:rsidR="00710904" w:rsidRPr="000F052B">
        <w:rPr>
          <w:rStyle w:val="FootnoteReference"/>
          <w:rFonts w:ascii="Times New Roman" w:hAnsi="Times New Roman" w:cs="Times New Roman"/>
          <w:sz w:val="24"/>
          <w:szCs w:val="24"/>
          <w:lang w:val="en-US"/>
        </w:rPr>
        <w:footnoteReference w:id="146"/>
      </w:r>
      <w:r w:rsidRPr="000F052B">
        <w:rPr>
          <w:rFonts w:ascii="Times New Roman" w:hAnsi="Times New Roman" w:cs="Times New Roman"/>
          <w:sz w:val="24"/>
          <w:szCs w:val="24"/>
          <w:lang w:val="en-US"/>
        </w:rPr>
        <w:t xml:space="preserve">  This is probably best explained by the response that insurance companies generally pay out on such claims </w:t>
      </w:r>
      <w:r w:rsidR="00426ED2" w:rsidRPr="000F052B">
        <w:rPr>
          <w:rFonts w:ascii="Times New Roman" w:hAnsi="Times New Roman" w:cs="Times New Roman"/>
          <w:sz w:val="24"/>
          <w:szCs w:val="24"/>
          <w:lang w:val="en-US"/>
        </w:rPr>
        <w:t>for reasons of reputation, given that</w:t>
      </w:r>
      <w:r w:rsidRPr="000F052B">
        <w:rPr>
          <w:rFonts w:ascii="Times New Roman" w:hAnsi="Times New Roman" w:cs="Times New Roman"/>
          <w:sz w:val="24"/>
          <w:szCs w:val="24"/>
          <w:lang w:val="en-US"/>
        </w:rPr>
        <w:t xml:space="preserve"> the enforceability of such provisions has been debated in the secondary literature in South Africa.</w:t>
      </w:r>
      <w:r w:rsidR="00710904" w:rsidRPr="000F052B">
        <w:rPr>
          <w:rStyle w:val="FootnoteReference"/>
          <w:rFonts w:ascii="Times New Roman" w:hAnsi="Times New Roman" w:cs="Times New Roman"/>
          <w:sz w:val="24"/>
          <w:szCs w:val="24"/>
          <w:lang w:val="en-US"/>
        </w:rPr>
        <w:footnoteReference w:id="147"/>
      </w:r>
      <w:r w:rsidRPr="000F052B">
        <w:rPr>
          <w:rFonts w:ascii="Times New Roman" w:hAnsi="Times New Roman" w:cs="Times New Roman"/>
          <w:sz w:val="24"/>
          <w:szCs w:val="24"/>
          <w:lang w:val="en-US"/>
        </w:rPr>
        <w:t xml:space="preserve">  Indeed the proper theoretical construction of such clauses has been left entirely to the common law.  </w:t>
      </w:r>
      <w:r w:rsidR="001312A1" w:rsidRPr="000F052B">
        <w:rPr>
          <w:rFonts w:ascii="Times New Roman" w:hAnsi="Times New Roman" w:cs="Times New Roman"/>
          <w:sz w:val="24"/>
          <w:szCs w:val="24"/>
          <w:lang w:val="en-US"/>
        </w:rPr>
        <w:t>A standard South African extension clause might read as follows:</w:t>
      </w:r>
    </w:p>
    <w:p w14:paraId="12922852" w14:textId="6894E4D6" w:rsidR="001312A1" w:rsidRPr="000F052B" w:rsidRDefault="001312A1" w:rsidP="00205AF2">
      <w:pPr>
        <w:spacing w:after="120" w:line="480" w:lineRule="auto"/>
        <w:ind w:left="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terms of this section the company will indemnify any person who is driving or using the vehicle on the insured’s order or with his permission, provided that such person:</w:t>
      </w:r>
    </w:p>
    <w:p w14:paraId="0C219A9F" w14:textId="77777777" w:rsidR="001312A1" w:rsidRPr="000F052B" w:rsidRDefault="001312A1" w:rsidP="00205AF2">
      <w:pPr>
        <w:numPr>
          <w:ilvl w:val="1"/>
          <w:numId w:val="5"/>
        </w:num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Is not entitled to indemnity under any other policy;</w:t>
      </w:r>
    </w:p>
    <w:p w14:paraId="00358E85" w14:textId="77777777" w:rsidR="001312A1" w:rsidRPr="000F052B" w:rsidRDefault="001312A1" w:rsidP="00205AF2">
      <w:pPr>
        <w:numPr>
          <w:ilvl w:val="1"/>
          <w:numId w:val="5"/>
        </w:num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Shall as though he were the insured observe, fulfil and be subject to the terms, conditions and exceptions of this policy; and </w:t>
      </w:r>
    </w:p>
    <w:p w14:paraId="21A9461B" w14:textId="3B0A9E6D" w:rsidR="001312A1" w:rsidRPr="000F052B" w:rsidRDefault="001312A1" w:rsidP="00205AF2">
      <w:pPr>
        <w:numPr>
          <w:ilvl w:val="1"/>
          <w:numId w:val="5"/>
        </w:num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Has not been refused any motor vehicle insurance or continuance thereof by any i</w:t>
      </w:r>
      <w:r w:rsidR="00302533">
        <w:rPr>
          <w:rFonts w:ascii="Times New Roman" w:hAnsi="Times New Roman" w:cs="Times New Roman"/>
          <w:sz w:val="24"/>
          <w:szCs w:val="24"/>
          <w:lang w:val="en-US"/>
        </w:rPr>
        <w:t>nsurance company or underwriter</w:t>
      </w:r>
      <w:r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148"/>
      </w:r>
    </w:p>
    <w:p w14:paraId="75F33FB7" w14:textId="12324D74" w:rsidR="001312A1" w:rsidRPr="000F052B" w:rsidRDefault="001312A1" w:rsidP="000D4297">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Such a clause is normally accompanied, howeve</w:t>
      </w:r>
      <w:r w:rsidR="00426ED2" w:rsidRPr="000F052B">
        <w:rPr>
          <w:rFonts w:ascii="Times New Roman" w:hAnsi="Times New Roman" w:cs="Times New Roman"/>
          <w:sz w:val="24"/>
          <w:szCs w:val="24"/>
          <w:lang w:val="en-US"/>
        </w:rPr>
        <w:t>r, by this</w:t>
      </w:r>
      <w:r w:rsidR="00EE21B0"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qualifying provision: </w:t>
      </w:r>
    </w:p>
    <w:p w14:paraId="0FE049C4" w14:textId="33FF075B" w:rsidR="001312A1" w:rsidRPr="000F052B" w:rsidRDefault="001312A1" w:rsidP="00205AF2">
      <w:pPr>
        <w:spacing w:after="120" w:line="480" w:lineRule="auto"/>
        <w:ind w:left="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extension of the company’s liability to any person other than the insured shall give no right of claim hereunder to such person, the intention being that the insured shall in all cases claim for and on behalf of such person, and the receipt of the insured in any case shall absolutely discharge th</w:t>
      </w:r>
      <w:r w:rsidR="00302533">
        <w:rPr>
          <w:rFonts w:ascii="Times New Roman" w:hAnsi="Times New Roman" w:cs="Times New Roman"/>
          <w:sz w:val="24"/>
          <w:szCs w:val="24"/>
          <w:lang w:val="en-US"/>
        </w:rPr>
        <w:t>e company’s liability hereunder</w:t>
      </w:r>
      <w:r w:rsidRPr="000F052B">
        <w:rPr>
          <w:rFonts w:ascii="Times New Roman" w:hAnsi="Times New Roman" w:cs="Times New Roman"/>
          <w:sz w:val="24"/>
          <w:szCs w:val="24"/>
          <w:lang w:val="en-US"/>
        </w:rPr>
        <w:t>’</w:t>
      </w:r>
      <w:r w:rsidR="00302533">
        <w:rPr>
          <w:rFonts w:ascii="Times New Roman" w:hAnsi="Times New Roman" w:cs="Times New Roman"/>
          <w:sz w:val="24"/>
          <w:szCs w:val="24"/>
          <w:lang w:val="en-US"/>
        </w:rPr>
        <w:t>.</w:t>
      </w:r>
      <w:r w:rsidRPr="000F052B">
        <w:rPr>
          <w:rStyle w:val="FootnoteReference"/>
          <w:rFonts w:ascii="Times New Roman" w:hAnsi="Times New Roman" w:cs="Times New Roman"/>
          <w:sz w:val="24"/>
          <w:szCs w:val="24"/>
          <w:lang w:val="en-US"/>
        </w:rPr>
        <w:footnoteReference w:id="149"/>
      </w:r>
    </w:p>
    <w:p w14:paraId="5AEB9563" w14:textId="1A6FE3AC" w:rsidR="001312A1" w:rsidRPr="000F052B" w:rsidRDefault="001312A1"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 xml:space="preserve">This </w:t>
      </w:r>
      <w:r w:rsidR="00012620" w:rsidRPr="000F052B">
        <w:rPr>
          <w:rFonts w:ascii="Times New Roman" w:hAnsi="Times New Roman" w:cs="Times New Roman"/>
          <w:sz w:val="24"/>
          <w:szCs w:val="24"/>
          <w:lang w:val="en-US"/>
        </w:rPr>
        <w:t>qualifying</w:t>
      </w:r>
      <w:r w:rsidRPr="000F052B">
        <w:rPr>
          <w:rFonts w:ascii="Times New Roman" w:hAnsi="Times New Roman" w:cs="Times New Roman"/>
          <w:sz w:val="24"/>
          <w:szCs w:val="24"/>
          <w:lang w:val="en-US"/>
        </w:rPr>
        <w:t xml:space="preserve"> provision places a procedural constraint as to how the c</w:t>
      </w:r>
      <w:r w:rsidR="00940F01">
        <w:rPr>
          <w:rFonts w:ascii="Times New Roman" w:hAnsi="Times New Roman" w:cs="Times New Roman"/>
          <w:sz w:val="24"/>
          <w:szCs w:val="24"/>
          <w:lang w:val="en-US"/>
        </w:rPr>
        <w:t>laim may be brought and emphasiz</w:t>
      </w:r>
      <w:r w:rsidRPr="000F052B">
        <w:rPr>
          <w:rFonts w:ascii="Times New Roman" w:hAnsi="Times New Roman" w:cs="Times New Roman"/>
          <w:sz w:val="24"/>
          <w:szCs w:val="24"/>
          <w:lang w:val="en-US"/>
        </w:rPr>
        <w:t>es the privity of the insurance relationship.</w:t>
      </w:r>
      <w:r w:rsidR="00710904" w:rsidRPr="000F052B">
        <w:rPr>
          <w:rStyle w:val="FootnoteReference"/>
          <w:rFonts w:ascii="Times New Roman" w:hAnsi="Times New Roman" w:cs="Times New Roman"/>
          <w:sz w:val="24"/>
          <w:szCs w:val="24"/>
          <w:lang w:val="en-US"/>
        </w:rPr>
        <w:footnoteReference w:id="150"/>
      </w:r>
      <w:r w:rsidRPr="000F052B">
        <w:rPr>
          <w:rFonts w:ascii="Times New Roman" w:hAnsi="Times New Roman" w:cs="Times New Roman"/>
          <w:sz w:val="24"/>
          <w:szCs w:val="24"/>
          <w:lang w:val="en-US"/>
        </w:rPr>
        <w:t xml:space="preserve">  In what follows below, this second clause will be referred to as the ‘procedural clause’.</w:t>
      </w:r>
    </w:p>
    <w:p w14:paraId="09ADA3ED" w14:textId="3C2036EF" w:rsidR="00C65009" w:rsidRPr="000F052B" w:rsidRDefault="00613F57"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r>
      <w:r w:rsidR="00012620" w:rsidRPr="000F052B">
        <w:rPr>
          <w:rFonts w:ascii="Times New Roman" w:hAnsi="Times New Roman" w:cs="Times New Roman"/>
          <w:sz w:val="24"/>
          <w:szCs w:val="24"/>
          <w:lang w:val="en-US"/>
        </w:rPr>
        <w:t>In construing provisions such as the above, a few problems have arisen in the case law</w:t>
      </w:r>
      <w:r w:rsidRPr="000F052B">
        <w:rPr>
          <w:rFonts w:ascii="Times New Roman" w:hAnsi="Times New Roman" w:cs="Times New Roman"/>
          <w:sz w:val="24"/>
          <w:szCs w:val="24"/>
          <w:lang w:val="en-US"/>
        </w:rPr>
        <w:t>, most of which can be ascribed to the influence of English insurance law</w:t>
      </w:r>
      <w:r w:rsidR="00012620" w:rsidRPr="000F052B">
        <w:rPr>
          <w:rFonts w:ascii="Times New Roman" w:hAnsi="Times New Roman" w:cs="Times New Roman"/>
          <w:sz w:val="24"/>
          <w:szCs w:val="24"/>
          <w:lang w:val="en-US"/>
        </w:rPr>
        <w:t>, particularly the requirement of insurable interest.</w:t>
      </w:r>
      <w:r w:rsidR="00710904" w:rsidRPr="000F052B">
        <w:rPr>
          <w:rStyle w:val="FootnoteReference"/>
          <w:rFonts w:ascii="Times New Roman" w:hAnsi="Times New Roman" w:cs="Times New Roman"/>
          <w:sz w:val="24"/>
          <w:szCs w:val="24"/>
          <w:lang w:val="en-US"/>
        </w:rPr>
        <w:footnoteReference w:id="151"/>
      </w:r>
      <w:r w:rsidR="00012620" w:rsidRPr="000F052B">
        <w:rPr>
          <w:rFonts w:ascii="Times New Roman" w:hAnsi="Times New Roman" w:cs="Times New Roman"/>
          <w:sz w:val="24"/>
          <w:szCs w:val="24"/>
          <w:lang w:val="en-US"/>
        </w:rPr>
        <w:t xml:space="preserve">  The simple and prevailing view of extension clauses in South Africa is that this is</w:t>
      </w:r>
      <w:r w:rsidRPr="000F052B">
        <w:rPr>
          <w:rFonts w:ascii="Times New Roman" w:hAnsi="Times New Roman" w:cs="Times New Roman"/>
          <w:sz w:val="24"/>
          <w:szCs w:val="24"/>
          <w:lang w:val="en-US"/>
        </w:rPr>
        <w:t xml:space="preserve"> a stipulation for the benefit of a third party (the </w:t>
      </w:r>
      <w:r w:rsidR="00FD0C31" w:rsidRPr="000F052B">
        <w:rPr>
          <w:rFonts w:ascii="Times New Roman" w:hAnsi="Times New Roman" w:cs="Times New Roman"/>
          <w:sz w:val="24"/>
          <w:szCs w:val="24"/>
          <w:lang w:val="en-US"/>
        </w:rPr>
        <w:t>authorized</w:t>
      </w:r>
      <w:r w:rsidRPr="000F052B">
        <w:rPr>
          <w:rFonts w:ascii="Times New Roman" w:hAnsi="Times New Roman" w:cs="Times New Roman"/>
          <w:sz w:val="24"/>
          <w:szCs w:val="24"/>
          <w:lang w:val="en-US"/>
        </w:rPr>
        <w:t xml:space="preserve"> driver)</w:t>
      </w:r>
      <w:r w:rsidR="00012620" w:rsidRPr="000F052B">
        <w:rPr>
          <w:rFonts w:ascii="Times New Roman" w:hAnsi="Times New Roman" w:cs="Times New Roman"/>
          <w:sz w:val="24"/>
          <w:szCs w:val="24"/>
          <w:lang w:val="en-US"/>
        </w:rPr>
        <w:t>, providing her with the advantage of insurance cover.</w:t>
      </w:r>
      <w:r w:rsidR="00710904" w:rsidRPr="000F052B">
        <w:rPr>
          <w:rStyle w:val="FootnoteReference"/>
          <w:rFonts w:ascii="Times New Roman" w:hAnsi="Times New Roman" w:cs="Times New Roman"/>
          <w:sz w:val="24"/>
          <w:szCs w:val="24"/>
          <w:lang w:val="en-US"/>
        </w:rPr>
        <w:footnoteReference w:id="152"/>
      </w:r>
      <w:r w:rsidR="00012620" w:rsidRPr="000F052B">
        <w:rPr>
          <w:rFonts w:ascii="Times New Roman" w:hAnsi="Times New Roman" w:cs="Times New Roman"/>
          <w:sz w:val="24"/>
          <w:szCs w:val="24"/>
          <w:lang w:val="en-US"/>
        </w:rPr>
        <w:t xml:space="preserve">  </w:t>
      </w:r>
      <w:r w:rsidR="00C65009" w:rsidRPr="000F052B">
        <w:rPr>
          <w:rFonts w:ascii="Times New Roman" w:hAnsi="Times New Roman" w:cs="Times New Roman"/>
          <w:sz w:val="24"/>
          <w:szCs w:val="24"/>
          <w:lang w:val="en-US"/>
        </w:rPr>
        <w:t xml:space="preserve">This means that the relationship between insurer, insured and </w:t>
      </w:r>
      <w:r w:rsidR="00FD0C31" w:rsidRPr="000F052B">
        <w:rPr>
          <w:rFonts w:ascii="Times New Roman" w:hAnsi="Times New Roman" w:cs="Times New Roman"/>
          <w:sz w:val="24"/>
          <w:szCs w:val="24"/>
          <w:lang w:val="en-US"/>
        </w:rPr>
        <w:t>authorized</w:t>
      </w:r>
      <w:r w:rsidR="00C65009" w:rsidRPr="000F052B">
        <w:rPr>
          <w:rFonts w:ascii="Times New Roman" w:hAnsi="Times New Roman" w:cs="Times New Roman"/>
          <w:sz w:val="24"/>
          <w:szCs w:val="24"/>
          <w:lang w:val="en-US"/>
        </w:rPr>
        <w:t xml:space="preserve"> driver should be </w:t>
      </w:r>
      <w:r w:rsidRPr="000F052B">
        <w:rPr>
          <w:rFonts w:ascii="Times New Roman" w:hAnsi="Times New Roman" w:cs="Times New Roman"/>
          <w:sz w:val="24"/>
          <w:szCs w:val="24"/>
          <w:lang w:val="en-US"/>
        </w:rPr>
        <w:t>treated in accorda</w:t>
      </w:r>
      <w:r w:rsidR="008302FB" w:rsidRPr="000F052B">
        <w:rPr>
          <w:rFonts w:ascii="Times New Roman" w:hAnsi="Times New Roman" w:cs="Times New Roman"/>
          <w:sz w:val="24"/>
          <w:szCs w:val="24"/>
          <w:lang w:val="en-US"/>
        </w:rPr>
        <w:t>nce with the rules set out in P</w:t>
      </w:r>
      <w:r w:rsidR="00426ED2" w:rsidRPr="000F052B">
        <w:rPr>
          <w:rFonts w:ascii="Times New Roman" w:hAnsi="Times New Roman" w:cs="Times New Roman"/>
          <w:sz w:val="24"/>
          <w:szCs w:val="24"/>
          <w:lang w:val="en-US"/>
        </w:rPr>
        <w:t xml:space="preserve">art </w:t>
      </w:r>
      <w:r w:rsidR="008302FB" w:rsidRPr="000F052B">
        <w:rPr>
          <w:rFonts w:ascii="Times New Roman" w:hAnsi="Times New Roman" w:cs="Times New Roman"/>
          <w:sz w:val="24"/>
          <w:szCs w:val="24"/>
          <w:lang w:val="en-US"/>
        </w:rPr>
        <w:t xml:space="preserve">III, Section A.2 </w:t>
      </w:r>
      <w:r w:rsidRPr="000F052B">
        <w:rPr>
          <w:rFonts w:ascii="Times New Roman" w:hAnsi="Times New Roman" w:cs="Times New Roman"/>
          <w:sz w:val="24"/>
          <w:szCs w:val="24"/>
          <w:lang w:val="en-US"/>
        </w:rPr>
        <w:t>above.</w:t>
      </w:r>
      <w:r w:rsidR="00C65009" w:rsidRPr="000F052B">
        <w:rPr>
          <w:rFonts w:ascii="Times New Roman" w:hAnsi="Times New Roman" w:cs="Times New Roman"/>
          <w:sz w:val="24"/>
          <w:szCs w:val="24"/>
          <w:lang w:val="en-US"/>
        </w:rPr>
        <w:t xml:space="preserve">  (That is that there are two contracts at play: the insured contracts with the insurer for cover for the third party </w:t>
      </w:r>
      <w:r w:rsidR="00FD0C31" w:rsidRPr="000F052B">
        <w:rPr>
          <w:rFonts w:ascii="Times New Roman" w:hAnsi="Times New Roman" w:cs="Times New Roman"/>
          <w:sz w:val="24"/>
          <w:szCs w:val="24"/>
          <w:lang w:val="en-US"/>
        </w:rPr>
        <w:t>authorized</w:t>
      </w:r>
      <w:r w:rsidR="00C65009" w:rsidRPr="000F052B">
        <w:rPr>
          <w:rFonts w:ascii="Times New Roman" w:hAnsi="Times New Roman" w:cs="Times New Roman"/>
          <w:sz w:val="24"/>
          <w:szCs w:val="24"/>
          <w:lang w:val="en-US"/>
        </w:rPr>
        <w:t xml:space="preserve"> driver, who must in turn accept such cover from the insurer.)  This construction was offered in the first </w:t>
      </w:r>
      <w:r w:rsidR="00376A17" w:rsidRPr="000F052B">
        <w:rPr>
          <w:rFonts w:ascii="Times New Roman" w:hAnsi="Times New Roman" w:cs="Times New Roman"/>
          <w:sz w:val="24"/>
          <w:szCs w:val="24"/>
          <w:lang w:val="en-US"/>
        </w:rPr>
        <w:t xml:space="preserve">reported </w:t>
      </w:r>
      <w:r w:rsidR="00C65009" w:rsidRPr="000F052B">
        <w:rPr>
          <w:rFonts w:ascii="Times New Roman" w:hAnsi="Times New Roman" w:cs="Times New Roman"/>
          <w:sz w:val="24"/>
          <w:szCs w:val="24"/>
          <w:lang w:val="en-US"/>
        </w:rPr>
        <w:t>South African case</w:t>
      </w:r>
      <w:r w:rsidR="00376A17" w:rsidRPr="000F052B">
        <w:rPr>
          <w:rFonts w:ascii="Times New Roman" w:hAnsi="Times New Roman" w:cs="Times New Roman"/>
          <w:sz w:val="24"/>
          <w:szCs w:val="24"/>
          <w:lang w:val="en-US"/>
        </w:rPr>
        <w:t xml:space="preserve">, </w:t>
      </w:r>
      <w:r w:rsidR="00376A17" w:rsidRPr="000F052B">
        <w:rPr>
          <w:rFonts w:ascii="Times New Roman" w:hAnsi="Times New Roman" w:cs="Times New Roman"/>
          <w:i/>
          <w:sz w:val="24"/>
          <w:szCs w:val="24"/>
          <w:lang w:val="en-US"/>
        </w:rPr>
        <w:t>Croce v Croce</w:t>
      </w:r>
      <w:r w:rsidR="00376A17" w:rsidRPr="000F052B">
        <w:rPr>
          <w:rFonts w:ascii="Times New Roman" w:hAnsi="Times New Roman" w:cs="Times New Roman"/>
          <w:sz w:val="24"/>
          <w:szCs w:val="24"/>
          <w:lang w:val="en-US"/>
        </w:rPr>
        <w:t>,</w:t>
      </w:r>
      <w:r w:rsidR="00C65009" w:rsidRPr="000F052B">
        <w:rPr>
          <w:rFonts w:ascii="Times New Roman" w:hAnsi="Times New Roman" w:cs="Times New Roman"/>
          <w:sz w:val="24"/>
          <w:szCs w:val="24"/>
          <w:lang w:val="en-US"/>
        </w:rPr>
        <w:t xml:space="preserve"> in 1940, and despite intervening academic controversy, has bee</w:t>
      </w:r>
      <w:r w:rsidR="00376A17" w:rsidRPr="000F052B">
        <w:rPr>
          <w:rFonts w:ascii="Times New Roman" w:hAnsi="Times New Roman" w:cs="Times New Roman"/>
          <w:sz w:val="24"/>
          <w:szCs w:val="24"/>
          <w:lang w:val="en-US"/>
        </w:rPr>
        <w:t xml:space="preserve">n </w:t>
      </w:r>
      <w:r w:rsidR="00FA037C" w:rsidRPr="000F052B">
        <w:rPr>
          <w:rFonts w:ascii="Times New Roman" w:hAnsi="Times New Roman" w:cs="Times New Roman"/>
          <w:sz w:val="24"/>
          <w:szCs w:val="24"/>
          <w:lang w:val="en-US"/>
        </w:rPr>
        <w:t xml:space="preserve">recently </w:t>
      </w:r>
      <w:r w:rsidR="00376A17" w:rsidRPr="000F052B">
        <w:rPr>
          <w:rFonts w:ascii="Times New Roman" w:hAnsi="Times New Roman" w:cs="Times New Roman"/>
          <w:sz w:val="24"/>
          <w:szCs w:val="24"/>
          <w:lang w:val="en-US"/>
        </w:rPr>
        <w:t>confirmed</w:t>
      </w:r>
      <w:r w:rsidR="00C65009" w:rsidRPr="000F052B">
        <w:rPr>
          <w:rFonts w:ascii="Times New Roman" w:hAnsi="Times New Roman" w:cs="Times New Roman"/>
          <w:sz w:val="24"/>
          <w:szCs w:val="24"/>
          <w:lang w:val="en-US"/>
        </w:rPr>
        <w:t xml:space="preserve"> by </w:t>
      </w:r>
      <w:r w:rsidR="00A74879" w:rsidRPr="000F052B">
        <w:rPr>
          <w:rFonts w:ascii="Times New Roman" w:hAnsi="Times New Roman" w:cs="Times New Roman"/>
          <w:sz w:val="24"/>
          <w:szCs w:val="24"/>
          <w:lang w:val="en-US"/>
        </w:rPr>
        <w:t>the Supreme Court of Appeal</w:t>
      </w:r>
      <w:r w:rsidR="00C65009" w:rsidRPr="000F052B">
        <w:rPr>
          <w:rFonts w:ascii="Times New Roman" w:hAnsi="Times New Roman" w:cs="Times New Roman"/>
          <w:sz w:val="24"/>
          <w:szCs w:val="24"/>
          <w:lang w:val="en-US"/>
        </w:rPr>
        <w:t>.</w:t>
      </w:r>
      <w:r w:rsidR="00710904" w:rsidRPr="000F052B">
        <w:rPr>
          <w:rStyle w:val="FootnoteReference"/>
          <w:rFonts w:ascii="Times New Roman" w:hAnsi="Times New Roman" w:cs="Times New Roman"/>
          <w:sz w:val="24"/>
          <w:szCs w:val="24"/>
          <w:lang w:val="en-US"/>
        </w:rPr>
        <w:footnoteReference w:id="153"/>
      </w:r>
      <w:r w:rsidR="00C65009" w:rsidRPr="000F052B">
        <w:rPr>
          <w:rFonts w:ascii="Times New Roman" w:hAnsi="Times New Roman" w:cs="Times New Roman"/>
          <w:sz w:val="24"/>
          <w:szCs w:val="24"/>
          <w:lang w:val="en-US"/>
        </w:rPr>
        <w:t xml:space="preserve">  This resolves the difficult question as to a perceived lack of insurable interest by the insured in the delictual liability of the </w:t>
      </w:r>
      <w:r w:rsidR="00FD0C31" w:rsidRPr="000F052B">
        <w:rPr>
          <w:rFonts w:ascii="Times New Roman" w:hAnsi="Times New Roman" w:cs="Times New Roman"/>
          <w:sz w:val="24"/>
          <w:szCs w:val="24"/>
          <w:lang w:val="en-US"/>
        </w:rPr>
        <w:t>authorized</w:t>
      </w:r>
      <w:r w:rsidR="00C65009" w:rsidRPr="000F052B">
        <w:rPr>
          <w:rFonts w:ascii="Times New Roman" w:hAnsi="Times New Roman" w:cs="Times New Roman"/>
          <w:sz w:val="24"/>
          <w:szCs w:val="24"/>
          <w:lang w:val="en-US"/>
        </w:rPr>
        <w:t xml:space="preserve"> driver.</w:t>
      </w:r>
      <w:r w:rsidR="002B591B" w:rsidRPr="000F052B">
        <w:rPr>
          <w:rFonts w:ascii="Times New Roman" w:hAnsi="Times New Roman" w:cs="Times New Roman"/>
          <w:sz w:val="24"/>
          <w:szCs w:val="24"/>
          <w:lang w:val="en-US"/>
        </w:rPr>
        <w:t xml:space="preserve">  If the contract is in truth intended to provide the benefit of cover for the </w:t>
      </w:r>
      <w:r w:rsidR="00FD0C31" w:rsidRPr="000F052B">
        <w:rPr>
          <w:rFonts w:ascii="Times New Roman" w:hAnsi="Times New Roman" w:cs="Times New Roman"/>
          <w:sz w:val="24"/>
          <w:szCs w:val="24"/>
          <w:lang w:val="en-US"/>
        </w:rPr>
        <w:t>authorized</w:t>
      </w:r>
      <w:r w:rsidR="002B591B" w:rsidRPr="000F052B">
        <w:rPr>
          <w:rFonts w:ascii="Times New Roman" w:hAnsi="Times New Roman" w:cs="Times New Roman"/>
          <w:sz w:val="24"/>
          <w:szCs w:val="24"/>
          <w:lang w:val="en-US"/>
        </w:rPr>
        <w:t xml:space="preserve"> driver, then it is the authori</w:t>
      </w:r>
      <w:r w:rsidR="006F3726">
        <w:rPr>
          <w:rFonts w:ascii="Times New Roman" w:hAnsi="Times New Roman" w:cs="Times New Roman"/>
          <w:sz w:val="24"/>
          <w:szCs w:val="24"/>
          <w:lang w:val="en-US"/>
        </w:rPr>
        <w:t>z</w:t>
      </w:r>
      <w:r w:rsidR="002B591B" w:rsidRPr="000F052B">
        <w:rPr>
          <w:rFonts w:ascii="Times New Roman" w:hAnsi="Times New Roman" w:cs="Times New Roman"/>
          <w:sz w:val="24"/>
          <w:szCs w:val="24"/>
          <w:lang w:val="en-US"/>
        </w:rPr>
        <w:t>ed driver’s insurable interest which is relevant, and not that of the insured.  The authori</w:t>
      </w:r>
      <w:r w:rsidR="006F3726">
        <w:rPr>
          <w:rFonts w:ascii="Times New Roman" w:hAnsi="Times New Roman" w:cs="Times New Roman"/>
          <w:sz w:val="24"/>
          <w:szCs w:val="24"/>
          <w:lang w:val="en-US"/>
        </w:rPr>
        <w:t>z</w:t>
      </w:r>
      <w:r w:rsidR="002B591B" w:rsidRPr="000F052B">
        <w:rPr>
          <w:rFonts w:ascii="Times New Roman" w:hAnsi="Times New Roman" w:cs="Times New Roman"/>
          <w:sz w:val="24"/>
          <w:szCs w:val="24"/>
          <w:lang w:val="en-US"/>
        </w:rPr>
        <w:t xml:space="preserve">ed driver clearly has an interest in her own delictual liability.  Insurable interest is in any event no longer viewed as the major stumbling block to an </w:t>
      </w:r>
      <w:r w:rsidR="00376A17" w:rsidRPr="000F052B">
        <w:rPr>
          <w:rFonts w:ascii="Times New Roman" w:hAnsi="Times New Roman" w:cs="Times New Roman"/>
          <w:sz w:val="24"/>
          <w:szCs w:val="24"/>
          <w:lang w:val="en-US"/>
        </w:rPr>
        <w:t>insurance claim in South Africa</w:t>
      </w:r>
      <w:r w:rsidR="002B591B" w:rsidRPr="000F052B">
        <w:rPr>
          <w:rFonts w:ascii="Times New Roman" w:hAnsi="Times New Roman" w:cs="Times New Roman"/>
          <w:sz w:val="24"/>
          <w:szCs w:val="24"/>
          <w:lang w:val="en-US"/>
        </w:rPr>
        <w:t xml:space="preserve"> which it once was.</w:t>
      </w:r>
      <w:r w:rsidR="003E56DF" w:rsidRPr="000F052B">
        <w:rPr>
          <w:rStyle w:val="FootnoteReference"/>
          <w:rFonts w:ascii="Times New Roman" w:hAnsi="Times New Roman" w:cs="Times New Roman"/>
          <w:sz w:val="24"/>
          <w:szCs w:val="24"/>
          <w:lang w:val="en-US"/>
        </w:rPr>
        <w:footnoteReference w:id="154"/>
      </w:r>
      <w:r w:rsidR="002B591B" w:rsidRPr="000F052B">
        <w:rPr>
          <w:rFonts w:ascii="Times New Roman" w:hAnsi="Times New Roman" w:cs="Times New Roman"/>
          <w:sz w:val="24"/>
          <w:szCs w:val="24"/>
          <w:lang w:val="en-US"/>
        </w:rPr>
        <w:t xml:space="preserve">  </w:t>
      </w:r>
      <w:r w:rsidR="00376A17" w:rsidRPr="000F052B">
        <w:rPr>
          <w:rFonts w:ascii="Times New Roman" w:hAnsi="Times New Roman" w:cs="Times New Roman"/>
          <w:sz w:val="24"/>
          <w:szCs w:val="24"/>
          <w:lang w:val="en-US"/>
        </w:rPr>
        <w:t>Prior a</w:t>
      </w:r>
      <w:r w:rsidR="002B591B" w:rsidRPr="000F052B">
        <w:rPr>
          <w:rFonts w:ascii="Times New Roman" w:hAnsi="Times New Roman" w:cs="Times New Roman"/>
          <w:sz w:val="24"/>
          <w:szCs w:val="24"/>
          <w:lang w:val="en-US"/>
        </w:rPr>
        <w:t xml:space="preserve">cceptance of cover can sometimes present another </w:t>
      </w:r>
      <w:r w:rsidR="002B591B" w:rsidRPr="000F052B">
        <w:rPr>
          <w:rFonts w:ascii="Times New Roman" w:hAnsi="Times New Roman" w:cs="Times New Roman"/>
          <w:sz w:val="24"/>
          <w:szCs w:val="24"/>
          <w:lang w:val="en-US"/>
        </w:rPr>
        <w:lastRenderedPageBreak/>
        <w:t xml:space="preserve">potential stumbling block </w:t>
      </w:r>
      <w:r w:rsidR="008828A7">
        <w:rPr>
          <w:rFonts w:ascii="Times New Roman" w:hAnsi="Times New Roman" w:cs="Times New Roman"/>
          <w:sz w:val="24"/>
          <w:szCs w:val="24"/>
          <w:lang w:val="en-US"/>
        </w:rPr>
        <w:t>for claims on behalf of authoriz</w:t>
      </w:r>
      <w:r w:rsidR="002B591B" w:rsidRPr="000F052B">
        <w:rPr>
          <w:rFonts w:ascii="Times New Roman" w:hAnsi="Times New Roman" w:cs="Times New Roman"/>
          <w:sz w:val="24"/>
          <w:szCs w:val="24"/>
          <w:lang w:val="en-US"/>
        </w:rPr>
        <w:t>ed drivers, but such acceptance is normally tacitly inferred from the circumstances.</w:t>
      </w:r>
      <w:r w:rsidR="003E56DF" w:rsidRPr="000F052B">
        <w:rPr>
          <w:rStyle w:val="FootnoteReference"/>
          <w:rFonts w:ascii="Times New Roman" w:hAnsi="Times New Roman" w:cs="Times New Roman"/>
          <w:sz w:val="24"/>
          <w:szCs w:val="24"/>
          <w:lang w:val="en-US"/>
        </w:rPr>
        <w:footnoteReference w:id="155"/>
      </w:r>
      <w:r w:rsidR="002B591B" w:rsidRPr="000F052B">
        <w:rPr>
          <w:rFonts w:ascii="Times New Roman" w:hAnsi="Times New Roman" w:cs="Times New Roman"/>
          <w:sz w:val="24"/>
          <w:szCs w:val="24"/>
          <w:lang w:val="en-US"/>
        </w:rPr>
        <w:t xml:space="preserve">  </w:t>
      </w:r>
    </w:p>
    <w:p w14:paraId="4067A612" w14:textId="2FF124A1" w:rsidR="00613F57" w:rsidRPr="000F052B" w:rsidRDefault="002B591B"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t xml:space="preserve">The complicating factor with the contract for the benefit of a third party model, however, is the procedural clause.  Normally, once the beneficiary accepts the benefit, this is directly enforceable by her against the promisor.  Here, however, the procedural clause prevents this, by requiring the claim against the insurer to be brought by the insured.  In </w:t>
      </w:r>
      <w:r w:rsidRPr="000F052B">
        <w:rPr>
          <w:rFonts w:ascii="Times New Roman" w:hAnsi="Times New Roman" w:cs="Times New Roman"/>
          <w:i/>
          <w:sz w:val="24"/>
          <w:szCs w:val="24"/>
          <w:lang w:val="en-US"/>
        </w:rPr>
        <w:t>Unitrans Freight v Santam</w:t>
      </w:r>
      <w:r w:rsidRPr="000F052B">
        <w:rPr>
          <w:rFonts w:ascii="Times New Roman" w:hAnsi="Times New Roman" w:cs="Times New Roman"/>
          <w:sz w:val="24"/>
          <w:szCs w:val="24"/>
          <w:lang w:val="en-US"/>
        </w:rPr>
        <w:t>, it was authoritatively laid down that this type of clause does not negate the contract for the benefit of a third party construction, it merely lays down a procedure as to how the beneficiary must enforce her claim against the insurer.</w:t>
      </w:r>
      <w:r w:rsidR="003E56DF" w:rsidRPr="000F052B">
        <w:rPr>
          <w:rStyle w:val="FootnoteReference"/>
          <w:rFonts w:ascii="Times New Roman" w:hAnsi="Times New Roman" w:cs="Times New Roman"/>
          <w:sz w:val="24"/>
          <w:szCs w:val="24"/>
          <w:lang w:val="en-US"/>
        </w:rPr>
        <w:footnoteReference w:id="156"/>
      </w:r>
      <w:r w:rsidRPr="000F052B">
        <w:rPr>
          <w:rFonts w:ascii="Times New Roman" w:hAnsi="Times New Roman" w:cs="Times New Roman"/>
          <w:sz w:val="24"/>
          <w:szCs w:val="24"/>
          <w:lang w:val="en-US"/>
        </w:rPr>
        <w:t xml:space="preserve">  In another case, </w:t>
      </w:r>
      <w:r w:rsidRPr="000F052B">
        <w:rPr>
          <w:rFonts w:ascii="Times New Roman" w:hAnsi="Times New Roman" w:cs="Times New Roman"/>
          <w:i/>
          <w:sz w:val="24"/>
          <w:szCs w:val="24"/>
          <w:lang w:val="en-US"/>
        </w:rPr>
        <w:t>Jacobs NO v Braaf</w:t>
      </w:r>
      <w:r w:rsidR="00CE17F9" w:rsidRPr="000F052B">
        <w:rPr>
          <w:rFonts w:ascii="Times New Roman" w:hAnsi="Times New Roman" w:cs="Times New Roman"/>
          <w:sz w:val="24"/>
          <w:szCs w:val="24"/>
          <w:lang w:val="en-US"/>
        </w:rPr>
        <w:t>, an insured who refused to br</w:t>
      </w:r>
      <w:r w:rsidR="00376A17" w:rsidRPr="000F052B">
        <w:rPr>
          <w:rFonts w:ascii="Times New Roman" w:hAnsi="Times New Roman" w:cs="Times New Roman"/>
          <w:sz w:val="24"/>
          <w:szCs w:val="24"/>
          <w:lang w:val="en-US"/>
        </w:rPr>
        <w:t>ing such a claim on behalf of a deceased</w:t>
      </w:r>
      <w:r w:rsidR="00CE17F9" w:rsidRPr="000F052B">
        <w:rPr>
          <w:rFonts w:ascii="Times New Roman" w:hAnsi="Times New Roman" w:cs="Times New Roman"/>
          <w:sz w:val="24"/>
          <w:szCs w:val="24"/>
          <w:lang w:val="en-US"/>
        </w:rPr>
        <w:t xml:space="preserve"> </w:t>
      </w:r>
      <w:r w:rsidR="00FD0C31" w:rsidRPr="000F052B">
        <w:rPr>
          <w:rFonts w:ascii="Times New Roman" w:hAnsi="Times New Roman" w:cs="Times New Roman"/>
          <w:sz w:val="24"/>
          <w:szCs w:val="24"/>
          <w:lang w:val="en-US"/>
        </w:rPr>
        <w:t>authorized</w:t>
      </w:r>
      <w:r w:rsidR="00CE17F9" w:rsidRPr="000F052B">
        <w:rPr>
          <w:rFonts w:ascii="Times New Roman" w:hAnsi="Times New Roman" w:cs="Times New Roman"/>
          <w:sz w:val="24"/>
          <w:szCs w:val="24"/>
          <w:lang w:val="en-US"/>
        </w:rPr>
        <w:t xml:space="preserve"> driver</w:t>
      </w:r>
      <w:r w:rsidR="00376A17" w:rsidRPr="000F052B">
        <w:rPr>
          <w:rFonts w:ascii="Times New Roman" w:hAnsi="Times New Roman" w:cs="Times New Roman"/>
          <w:sz w:val="24"/>
          <w:szCs w:val="24"/>
          <w:lang w:val="en-US"/>
        </w:rPr>
        <w:t xml:space="preserve"> (who was also his son)</w:t>
      </w:r>
      <w:r w:rsidR="00CE17F9" w:rsidRPr="000F052B">
        <w:rPr>
          <w:rFonts w:ascii="Times New Roman" w:hAnsi="Times New Roman" w:cs="Times New Roman"/>
          <w:sz w:val="24"/>
          <w:szCs w:val="24"/>
          <w:lang w:val="en-US"/>
        </w:rPr>
        <w:t xml:space="preserve"> was ordered to do so, relying on a prior tacit undertak</w:t>
      </w:r>
      <w:r w:rsidR="00376A17" w:rsidRPr="000F052B">
        <w:rPr>
          <w:rFonts w:ascii="Times New Roman" w:hAnsi="Times New Roman" w:cs="Times New Roman"/>
          <w:sz w:val="24"/>
          <w:szCs w:val="24"/>
          <w:lang w:val="en-US"/>
        </w:rPr>
        <w:t>ing that the insured would bring a claim</w:t>
      </w:r>
      <w:r w:rsidR="00CE17F9" w:rsidRPr="000F052B">
        <w:rPr>
          <w:rFonts w:ascii="Times New Roman" w:hAnsi="Times New Roman" w:cs="Times New Roman"/>
          <w:sz w:val="24"/>
          <w:szCs w:val="24"/>
          <w:lang w:val="en-US"/>
        </w:rPr>
        <w:t xml:space="preserve"> in the event of an accident involving the </w:t>
      </w:r>
      <w:r w:rsidR="00FD0C31" w:rsidRPr="000F052B">
        <w:rPr>
          <w:rFonts w:ascii="Times New Roman" w:hAnsi="Times New Roman" w:cs="Times New Roman"/>
          <w:sz w:val="24"/>
          <w:szCs w:val="24"/>
          <w:lang w:val="en-US"/>
        </w:rPr>
        <w:t>authorized</w:t>
      </w:r>
      <w:r w:rsidR="00CE17F9" w:rsidRPr="000F052B">
        <w:rPr>
          <w:rFonts w:ascii="Times New Roman" w:hAnsi="Times New Roman" w:cs="Times New Roman"/>
          <w:sz w:val="24"/>
          <w:szCs w:val="24"/>
          <w:lang w:val="en-US"/>
        </w:rPr>
        <w:t xml:space="preserve"> driver.</w:t>
      </w:r>
      <w:r w:rsidR="003E56DF" w:rsidRPr="000F052B">
        <w:rPr>
          <w:rStyle w:val="FootnoteReference"/>
          <w:rFonts w:ascii="Times New Roman" w:hAnsi="Times New Roman" w:cs="Times New Roman"/>
          <w:sz w:val="24"/>
          <w:szCs w:val="24"/>
          <w:lang w:val="en-US"/>
        </w:rPr>
        <w:footnoteReference w:id="157"/>
      </w:r>
      <w:r w:rsidR="00CE17F9" w:rsidRPr="000F052B">
        <w:rPr>
          <w:rFonts w:ascii="Times New Roman" w:hAnsi="Times New Roman" w:cs="Times New Roman"/>
          <w:sz w:val="24"/>
          <w:szCs w:val="24"/>
          <w:lang w:val="en-US"/>
        </w:rPr>
        <w:t xml:space="preserve">  In this way, the deceased estate of an impecunious </w:t>
      </w:r>
      <w:r w:rsidR="00FD0C31" w:rsidRPr="000F052B">
        <w:rPr>
          <w:rFonts w:ascii="Times New Roman" w:hAnsi="Times New Roman" w:cs="Times New Roman"/>
          <w:sz w:val="24"/>
          <w:szCs w:val="24"/>
          <w:lang w:val="en-US"/>
        </w:rPr>
        <w:t>authorized</w:t>
      </w:r>
      <w:r w:rsidR="00376A17" w:rsidRPr="000F052B">
        <w:rPr>
          <w:rFonts w:ascii="Times New Roman" w:hAnsi="Times New Roman" w:cs="Times New Roman"/>
          <w:sz w:val="24"/>
          <w:szCs w:val="24"/>
          <w:lang w:val="en-US"/>
        </w:rPr>
        <w:t xml:space="preserve"> driver, which had been held</w:t>
      </w:r>
      <w:r w:rsidR="00CE17F9" w:rsidRPr="000F052B">
        <w:rPr>
          <w:rFonts w:ascii="Times New Roman" w:hAnsi="Times New Roman" w:cs="Times New Roman"/>
          <w:sz w:val="24"/>
          <w:szCs w:val="24"/>
          <w:lang w:val="en-US"/>
        </w:rPr>
        <w:t xml:space="preserve"> delictually liable to a seriously injured plaintiff</w:t>
      </w:r>
      <w:r w:rsidR="00376A17" w:rsidRPr="000F052B">
        <w:rPr>
          <w:rFonts w:ascii="Times New Roman" w:hAnsi="Times New Roman" w:cs="Times New Roman"/>
          <w:sz w:val="24"/>
          <w:szCs w:val="24"/>
          <w:lang w:val="en-US"/>
        </w:rPr>
        <w:t xml:space="preserve"> (the girlfriend of the deceased driver)</w:t>
      </w:r>
      <w:r w:rsidR="00CE17F9" w:rsidRPr="000F052B">
        <w:rPr>
          <w:rFonts w:ascii="Times New Roman" w:hAnsi="Times New Roman" w:cs="Times New Roman"/>
          <w:sz w:val="24"/>
          <w:szCs w:val="24"/>
          <w:lang w:val="en-US"/>
        </w:rPr>
        <w:t>, compelled the insured to institute a claim indemnifying the deceased estate.</w:t>
      </w:r>
      <w:r w:rsidR="003E56DF" w:rsidRPr="000F052B">
        <w:rPr>
          <w:rStyle w:val="FootnoteReference"/>
          <w:rFonts w:ascii="Times New Roman" w:hAnsi="Times New Roman" w:cs="Times New Roman"/>
          <w:sz w:val="24"/>
          <w:szCs w:val="24"/>
          <w:lang w:val="en-US"/>
        </w:rPr>
        <w:footnoteReference w:id="158"/>
      </w:r>
      <w:r w:rsidR="00CE17F9" w:rsidRPr="000F052B">
        <w:rPr>
          <w:rFonts w:ascii="Times New Roman" w:hAnsi="Times New Roman" w:cs="Times New Roman"/>
          <w:sz w:val="24"/>
          <w:szCs w:val="24"/>
          <w:lang w:val="en-US"/>
        </w:rPr>
        <w:t xml:space="preserve">  Hence, by means of tacit contracts, compensation was found for the injured plaintiff, who had received only minimal statutory compensation from the Road Accident Fund.</w:t>
      </w:r>
      <w:r w:rsidR="003E56DF" w:rsidRPr="000F052B">
        <w:rPr>
          <w:rStyle w:val="FootnoteReference"/>
          <w:rFonts w:ascii="Times New Roman" w:hAnsi="Times New Roman" w:cs="Times New Roman"/>
          <w:sz w:val="24"/>
          <w:szCs w:val="24"/>
          <w:lang w:val="en-US"/>
        </w:rPr>
        <w:footnoteReference w:id="159"/>
      </w:r>
      <w:r w:rsidR="00CE17F9" w:rsidRPr="000F052B">
        <w:rPr>
          <w:rFonts w:ascii="Times New Roman" w:hAnsi="Times New Roman" w:cs="Times New Roman"/>
          <w:sz w:val="24"/>
          <w:szCs w:val="24"/>
          <w:lang w:val="en-US"/>
        </w:rPr>
        <w:t xml:space="preserve"> </w:t>
      </w:r>
    </w:p>
    <w:p w14:paraId="4DF70CEE" w14:textId="7B7178BE" w:rsidR="00A67970" w:rsidRPr="000F052B" w:rsidRDefault="00CE17F9"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ab/>
        <w:t xml:space="preserve">Indeed, the Road Accident Fund in South Africa, despite its noble purpose of bringing public relief to </w:t>
      </w:r>
      <w:r w:rsidR="0064302F" w:rsidRPr="000F052B">
        <w:rPr>
          <w:rFonts w:ascii="Times New Roman" w:hAnsi="Times New Roman" w:cs="Times New Roman"/>
          <w:sz w:val="24"/>
          <w:szCs w:val="24"/>
          <w:lang w:val="en-US"/>
        </w:rPr>
        <w:t xml:space="preserve">those injured on the country’s roads, is widely viewed as being a failed institution.  </w:t>
      </w:r>
      <w:r w:rsidR="00A61637" w:rsidRPr="000F052B">
        <w:rPr>
          <w:rFonts w:ascii="Times New Roman" w:hAnsi="Times New Roman" w:cs="Times New Roman"/>
          <w:sz w:val="24"/>
          <w:szCs w:val="24"/>
          <w:lang w:val="en-US"/>
        </w:rPr>
        <w:t>There is a c</w:t>
      </w:r>
      <w:r w:rsidR="0064302F" w:rsidRPr="000F052B">
        <w:rPr>
          <w:rFonts w:ascii="Times New Roman" w:hAnsi="Times New Roman" w:cs="Times New Roman"/>
          <w:sz w:val="24"/>
          <w:szCs w:val="24"/>
          <w:lang w:val="en-US"/>
        </w:rPr>
        <w:t>ap</w:t>
      </w:r>
      <w:r w:rsidR="00A61637" w:rsidRPr="000F052B">
        <w:rPr>
          <w:rFonts w:ascii="Times New Roman" w:hAnsi="Times New Roman" w:cs="Times New Roman"/>
          <w:sz w:val="24"/>
          <w:szCs w:val="24"/>
          <w:lang w:val="en-US"/>
        </w:rPr>
        <w:t xml:space="preserve"> </w:t>
      </w:r>
      <w:r w:rsidR="0064302F" w:rsidRPr="000F052B">
        <w:rPr>
          <w:rFonts w:ascii="Times New Roman" w:hAnsi="Times New Roman" w:cs="Times New Roman"/>
          <w:sz w:val="24"/>
          <w:szCs w:val="24"/>
          <w:lang w:val="en-US"/>
        </w:rPr>
        <w:t xml:space="preserve">on claims </w:t>
      </w:r>
      <w:r w:rsidR="007E1504" w:rsidRPr="000F052B">
        <w:rPr>
          <w:rFonts w:ascii="Times New Roman" w:hAnsi="Times New Roman" w:cs="Times New Roman"/>
          <w:sz w:val="24"/>
          <w:szCs w:val="24"/>
          <w:lang w:val="en-US"/>
        </w:rPr>
        <w:t xml:space="preserve">for bodily injury or death </w:t>
      </w:r>
      <w:r w:rsidR="00A61637" w:rsidRPr="000F052B">
        <w:rPr>
          <w:rFonts w:ascii="Times New Roman" w:hAnsi="Times New Roman" w:cs="Times New Roman"/>
          <w:sz w:val="24"/>
          <w:szCs w:val="24"/>
          <w:lang w:val="en-US"/>
        </w:rPr>
        <w:t xml:space="preserve">of R25 000, which is </w:t>
      </w:r>
      <w:r w:rsidR="0064302F" w:rsidRPr="000F052B">
        <w:rPr>
          <w:rFonts w:ascii="Times New Roman" w:hAnsi="Times New Roman" w:cs="Times New Roman"/>
          <w:sz w:val="24"/>
          <w:szCs w:val="24"/>
          <w:lang w:val="en-US"/>
        </w:rPr>
        <w:t>low and</w:t>
      </w:r>
      <w:r w:rsidR="007E1504" w:rsidRPr="000F052B">
        <w:rPr>
          <w:rFonts w:ascii="Times New Roman" w:hAnsi="Times New Roman" w:cs="Times New Roman"/>
          <w:sz w:val="24"/>
          <w:szCs w:val="24"/>
          <w:lang w:val="en-US"/>
        </w:rPr>
        <w:t xml:space="preserve"> will usually not compensate in full for losses, </w:t>
      </w:r>
      <w:r w:rsidR="00A61637" w:rsidRPr="000F052B">
        <w:rPr>
          <w:rFonts w:ascii="Times New Roman" w:hAnsi="Times New Roman" w:cs="Times New Roman"/>
          <w:sz w:val="24"/>
          <w:szCs w:val="24"/>
          <w:lang w:val="en-US"/>
        </w:rPr>
        <w:t xml:space="preserve">as is reflected in cases such as </w:t>
      </w:r>
      <w:r w:rsidR="00A61637" w:rsidRPr="000F052B">
        <w:rPr>
          <w:rFonts w:ascii="Times New Roman" w:hAnsi="Times New Roman" w:cs="Times New Roman"/>
          <w:i/>
          <w:sz w:val="24"/>
          <w:szCs w:val="24"/>
          <w:lang w:val="en-US"/>
        </w:rPr>
        <w:t>Unitrans Freight</w:t>
      </w:r>
      <w:r w:rsidR="00A61637" w:rsidRPr="000F052B">
        <w:rPr>
          <w:rFonts w:ascii="Times New Roman" w:hAnsi="Times New Roman" w:cs="Times New Roman"/>
          <w:sz w:val="24"/>
          <w:szCs w:val="24"/>
          <w:lang w:val="en-US"/>
        </w:rPr>
        <w:t xml:space="preserve"> </w:t>
      </w:r>
      <w:r w:rsidR="00A61637" w:rsidRPr="000F052B">
        <w:rPr>
          <w:rFonts w:ascii="Times New Roman" w:hAnsi="Times New Roman" w:cs="Times New Roman"/>
          <w:sz w:val="24"/>
          <w:szCs w:val="24"/>
          <w:lang w:val="en-US"/>
        </w:rPr>
        <w:lastRenderedPageBreak/>
        <w:t xml:space="preserve">and </w:t>
      </w:r>
      <w:r w:rsidR="00A61637" w:rsidRPr="000F052B">
        <w:rPr>
          <w:rFonts w:ascii="Times New Roman" w:hAnsi="Times New Roman" w:cs="Times New Roman"/>
          <w:i/>
          <w:sz w:val="24"/>
          <w:szCs w:val="24"/>
          <w:lang w:val="en-US"/>
        </w:rPr>
        <w:t>Jacobs NO</w:t>
      </w:r>
      <w:r w:rsidR="00A61637" w:rsidRPr="000F052B">
        <w:rPr>
          <w:rFonts w:ascii="Times New Roman" w:hAnsi="Times New Roman" w:cs="Times New Roman"/>
          <w:sz w:val="24"/>
          <w:szCs w:val="24"/>
          <w:lang w:val="en-US"/>
        </w:rPr>
        <w:t>.</w:t>
      </w:r>
      <w:r w:rsidR="007E1504" w:rsidRPr="000F052B">
        <w:rPr>
          <w:rStyle w:val="FootnoteReference"/>
          <w:rFonts w:ascii="Times New Roman" w:hAnsi="Times New Roman" w:cs="Times New Roman"/>
          <w:sz w:val="24"/>
          <w:szCs w:val="24"/>
          <w:lang w:val="en-US"/>
        </w:rPr>
        <w:footnoteReference w:id="160"/>
      </w:r>
      <w:r w:rsidR="00A61637" w:rsidRPr="000F052B">
        <w:rPr>
          <w:rFonts w:ascii="Times New Roman" w:hAnsi="Times New Roman" w:cs="Times New Roman"/>
          <w:sz w:val="24"/>
          <w:szCs w:val="24"/>
          <w:lang w:val="en-US"/>
        </w:rPr>
        <w:t xml:space="preserve">  </w:t>
      </w:r>
      <w:r w:rsidR="00FA037C" w:rsidRPr="000F052B">
        <w:rPr>
          <w:rFonts w:ascii="Times New Roman" w:hAnsi="Times New Roman" w:cs="Times New Roman"/>
          <w:sz w:val="24"/>
          <w:szCs w:val="24"/>
          <w:lang w:val="en-US"/>
        </w:rPr>
        <w:t>R</w:t>
      </w:r>
      <w:r w:rsidR="00A61637" w:rsidRPr="000F052B">
        <w:rPr>
          <w:rFonts w:ascii="Times New Roman" w:hAnsi="Times New Roman" w:cs="Times New Roman"/>
          <w:sz w:val="24"/>
          <w:szCs w:val="24"/>
          <w:lang w:val="en-US"/>
        </w:rPr>
        <w:t xml:space="preserve">eports claim that this fund, funded by a fuel levy, is </w:t>
      </w:r>
      <w:r w:rsidR="00E46D4B" w:rsidRPr="000F052B">
        <w:rPr>
          <w:rFonts w:ascii="Times New Roman" w:hAnsi="Times New Roman" w:cs="Times New Roman"/>
          <w:sz w:val="24"/>
          <w:szCs w:val="24"/>
          <w:lang w:val="en-US"/>
        </w:rPr>
        <w:t>insolvent</w:t>
      </w:r>
      <w:r w:rsidR="00FA037C" w:rsidRPr="000F052B">
        <w:rPr>
          <w:rFonts w:ascii="Times New Roman" w:hAnsi="Times New Roman" w:cs="Times New Roman"/>
          <w:sz w:val="24"/>
          <w:szCs w:val="24"/>
          <w:lang w:val="en-US"/>
        </w:rPr>
        <w:t xml:space="preserve"> and has been so for some time</w:t>
      </w:r>
      <w:r w:rsidR="00A61637" w:rsidRPr="000F052B">
        <w:rPr>
          <w:rFonts w:ascii="Times New Roman" w:hAnsi="Times New Roman" w:cs="Times New Roman"/>
          <w:sz w:val="24"/>
          <w:szCs w:val="24"/>
          <w:lang w:val="en-US"/>
        </w:rPr>
        <w:t>.</w:t>
      </w:r>
      <w:r w:rsidR="003E56DF" w:rsidRPr="000F052B">
        <w:rPr>
          <w:rStyle w:val="FootnoteReference"/>
          <w:rFonts w:ascii="Times New Roman" w:hAnsi="Times New Roman" w:cs="Times New Roman"/>
          <w:sz w:val="24"/>
          <w:szCs w:val="24"/>
          <w:lang w:val="en-US"/>
        </w:rPr>
        <w:footnoteReference w:id="161"/>
      </w:r>
      <w:r w:rsidR="00A61637" w:rsidRPr="000F052B">
        <w:rPr>
          <w:rFonts w:ascii="Times New Roman" w:hAnsi="Times New Roman" w:cs="Times New Roman"/>
          <w:sz w:val="24"/>
          <w:szCs w:val="24"/>
          <w:lang w:val="en-US"/>
        </w:rPr>
        <w:t xml:space="preserve">  This means that unlike in Australia, the question of the proper treatment of extension clauses in motor vehicle policies remains one of great importance.</w:t>
      </w:r>
      <w:r w:rsidR="008D0A27" w:rsidRPr="000F052B">
        <w:rPr>
          <w:rFonts w:ascii="Times New Roman" w:hAnsi="Times New Roman" w:cs="Times New Roman"/>
          <w:sz w:val="24"/>
          <w:szCs w:val="24"/>
          <w:lang w:val="en-US"/>
        </w:rPr>
        <w:t xml:space="preserve">  </w:t>
      </w:r>
    </w:p>
    <w:p w14:paraId="3784F341" w14:textId="77777777" w:rsidR="00BA5066" w:rsidRPr="000F052B" w:rsidRDefault="00BA5066" w:rsidP="00BA5066">
      <w:pPr>
        <w:spacing w:after="120" w:line="480" w:lineRule="auto"/>
        <w:rPr>
          <w:rFonts w:ascii="Times New Roman" w:hAnsi="Times New Roman" w:cs="Times New Roman"/>
          <w:b/>
          <w:i/>
          <w:sz w:val="24"/>
          <w:szCs w:val="24"/>
          <w:lang w:val="en-US"/>
        </w:rPr>
      </w:pPr>
    </w:p>
    <w:p w14:paraId="62011C59" w14:textId="5FC6D809" w:rsidR="00BB04F2" w:rsidRPr="000F052B" w:rsidRDefault="00BA5066"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4.</w:t>
      </w:r>
      <w:r w:rsidR="00090B8D" w:rsidRPr="000F052B">
        <w:rPr>
          <w:rFonts w:ascii="Times New Roman" w:hAnsi="Times New Roman" w:cs="Times New Roman"/>
          <w:i/>
          <w:sz w:val="28"/>
          <w:szCs w:val="24"/>
          <w:lang w:val="en-US"/>
        </w:rPr>
        <w:t xml:space="preserve"> </w:t>
      </w:r>
      <w:r w:rsidRPr="000F052B">
        <w:rPr>
          <w:rFonts w:ascii="Times New Roman" w:hAnsi="Times New Roman" w:cs="Times New Roman"/>
          <w:i/>
          <w:sz w:val="28"/>
          <w:szCs w:val="24"/>
          <w:lang w:val="en-US"/>
        </w:rPr>
        <w:t>A Practical Comparative A</w:t>
      </w:r>
      <w:r w:rsidR="006963AE" w:rsidRPr="000F052B">
        <w:rPr>
          <w:rFonts w:ascii="Times New Roman" w:hAnsi="Times New Roman" w:cs="Times New Roman"/>
          <w:i/>
          <w:sz w:val="28"/>
          <w:szCs w:val="24"/>
          <w:lang w:val="en-US"/>
        </w:rPr>
        <w:t>nalysis</w:t>
      </w:r>
    </w:p>
    <w:p w14:paraId="58375BD4" w14:textId="794A352E" w:rsidR="009A09B5" w:rsidRPr="000F052B" w:rsidRDefault="001D021B"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The </w:t>
      </w:r>
      <w:r w:rsidR="00090B8D" w:rsidRPr="000F052B">
        <w:rPr>
          <w:rFonts w:ascii="Times New Roman" w:hAnsi="Times New Roman" w:cs="Times New Roman"/>
          <w:sz w:val="24"/>
          <w:szCs w:val="24"/>
          <w:lang w:val="en-US"/>
        </w:rPr>
        <w:t xml:space="preserve">economic dimension </w:t>
      </w:r>
      <w:r w:rsidR="009C1B0D" w:rsidRPr="000F052B">
        <w:rPr>
          <w:rFonts w:ascii="Times New Roman" w:hAnsi="Times New Roman" w:cs="Times New Roman"/>
          <w:sz w:val="24"/>
          <w:szCs w:val="24"/>
          <w:lang w:val="en-US"/>
        </w:rPr>
        <w:t>of contractual relations</w:t>
      </w:r>
      <w:r w:rsidR="00090B8D" w:rsidRPr="000F052B">
        <w:rPr>
          <w:rFonts w:ascii="Times New Roman" w:hAnsi="Times New Roman" w:cs="Times New Roman"/>
          <w:sz w:val="24"/>
          <w:szCs w:val="24"/>
          <w:lang w:val="en-US"/>
        </w:rPr>
        <w:t xml:space="preserve"> provides control o</w:t>
      </w:r>
      <w:r w:rsidR="009C1B0D" w:rsidRPr="000F052B">
        <w:rPr>
          <w:rFonts w:ascii="Times New Roman" w:hAnsi="Times New Roman" w:cs="Times New Roman"/>
          <w:sz w:val="24"/>
          <w:szCs w:val="24"/>
          <w:lang w:val="en-US"/>
        </w:rPr>
        <w:t>ver</w:t>
      </w:r>
      <w:r w:rsidR="00090B8D" w:rsidRPr="000F052B">
        <w:rPr>
          <w:rFonts w:ascii="Times New Roman" w:hAnsi="Times New Roman" w:cs="Times New Roman"/>
          <w:sz w:val="24"/>
          <w:szCs w:val="24"/>
          <w:lang w:val="en-US"/>
        </w:rPr>
        <w:t xml:space="preserve"> party </w:t>
      </w:r>
      <w:r w:rsidR="00FD0C31" w:rsidRPr="000F052B">
        <w:rPr>
          <w:rFonts w:ascii="Times New Roman" w:hAnsi="Times New Roman" w:cs="Times New Roman"/>
          <w:sz w:val="24"/>
          <w:szCs w:val="24"/>
          <w:lang w:val="en-US"/>
        </w:rPr>
        <w:t>behavior</w:t>
      </w:r>
      <w:r w:rsidR="00E46D4B" w:rsidRPr="000F052B">
        <w:rPr>
          <w:rFonts w:ascii="Times New Roman" w:hAnsi="Times New Roman" w:cs="Times New Roman"/>
          <w:sz w:val="24"/>
          <w:szCs w:val="24"/>
          <w:lang w:val="en-US"/>
        </w:rPr>
        <w:t xml:space="preserve"> through market sanctions</w:t>
      </w:r>
      <w:r w:rsidR="00090B8D" w:rsidRPr="000F052B">
        <w:rPr>
          <w:rFonts w:ascii="Times New Roman" w:hAnsi="Times New Roman" w:cs="Times New Roman"/>
          <w:sz w:val="24"/>
          <w:szCs w:val="24"/>
          <w:lang w:val="en-US"/>
        </w:rPr>
        <w:t>.</w:t>
      </w:r>
      <w:r w:rsidR="003E56DF" w:rsidRPr="000F052B">
        <w:rPr>
          <w:rStyle w:val="FootnoteReference"/>
          <w:rFonts w:ascii="Times New Roman" w:hAnsi="Times New Roman" w:cs="Times New Roman"/>
          <w:sz w:val="24"/>
          <w:szCs w:val="24"/>
          <w:lang w:val="en-US"/>
        </w:rPr>
        <w:footnoteReference w:id="162"/>
      </w:r>
      <w:r w:rsidR="00090B8D" w:rsidRPr="000F052B">
        <w:rPr>
          <w:rFonts w:ascii="Times New Roman" w:hAnsi="Times New Roman" w:cs="Times New Roman"/>
          <w:sz w:val="24"/>
          <w:szCs w:val="24"/>
          <w:lang w:val="en-US"/>
        </w:rPr>
        <w:t xml:space="preserve">  </w:t>
      </w:r>
      <w:r w:rsidR="009C1B0D" w:rsidRPr="000F052B">
        <w:rPr>
          <w:rFonts w:ascii="Times New Roman" w:hAnsi="Times New Roman" w:cs="Times New Roman"/>
          <w:sz w:val="24"/>
          <w:szCs w:val="24"/>
          <w:lang w:val="en-US"/>
        </w:rPr>
        <w:t xml:space="preserve">From </w:t>
      </w:r>
      <w:r w:rsidRPr="000F052B">
        <w:rPr>
          <w:rFonts w:ascii="Times New Roman" w:hAnsi="Times New Roman" w:cs="Times New Roman"/>
          <w:sz w:val="24"/>
          <w:szCs w:val="24"/>
          <w:lang w:val="en-US"/>
        </w:rPr>
        <w:t>this</w:t>
      </w:r>
      <w:r w:rsidR="009C1B0D" w:rsidRPr="000F052B">
        <w:rPr>
          <w:rFonts w:ascii="Times New Roman" w:hAnsi="Times New Roman" w:cs="Times New Roman"/>
          <w:sz w:val="24"/>
          <w:szCs w:val="24"/>
          <w:lang w:val="en-US"/>
        </w:rPr>
        <w:t xml:space="preserve"> perspective,</w:t>
      </w:r>
      <w:r w:rsidR="00AC1934" w:rsidRPr="000F052B">
        <w:rPr>
          <w:rFonts w:ascii="Times New Roman" w:hAnsi="Times New Roman" w:cs="Times New Roman"/>
          <w:sz w:val="24"/>
          <w:szCs w:val="24"/>
          <w:lang w:val="en-US"/>
        </w:rPr>
        <w:t xml:space="preserve"> the insurer will wish to maintain its business reputation and possibly to retain the insured as a future client</w:t>
      </w:r>
      <w:r w:rsidR="009C1B0D" w:rsidRPr="000F052B">
        <w:rPr>
          <w:rFonts w:ascii="Times New Roman" w:hAnsi="Times New Roman" w:cs="Times New Roman"/>
          <w:sz w:val="24"/>
          <w:szCs w:val="24"/>
          <w:lang w:val="en-US"/>
        </w:rPr>
        <w:t>; while t</w:t>
      </w:r>
      <w:r w:rsidR="00AC1934" w:rsidRPr="000F052B">
        <w:rPr>
          <w:rFonts w:ascii="Times New Roman" w:hAnsi="Times New Roman" w:cs="Times New Roman"/>
          <w:sz w:val="24"/>
          <w:szCs w:val="24"/>
          <w:lang w:val="en-US"/>
        </w:rPr>
        <w:t>he insured will wish to avoid an increase in premiums occasioned by the institution of a claim, or the potential loss of a no-claim</w:t>
      </w:r>
      <w:r w:rsidRPr="000F052B">
        <w:rPr>
          <w:rFonts w:ascii="Times New Roman" w:hAnsi="Times New Roman" w:cs="Times New Roman"/>
          <w:sz w:val="24"/>
          <w:szCs w:val="24"/>
          <w:lang w:val="en-US"/>
        </w:rPr>
        <w:t xml:space="preserve"> bonus.  There are thus</w:t>
      </w:r>
      <w:r w:rsidR="00AC1934" w:rsidRPr="000F052B">
        <w:rPr>
          <w:rFonts w:ascii="Times New Roman" w:hAnsi="Times New Roman" w:cs="Times New Roman"/>
          <w:sz w:val="24"/>
          <w:szCs w:val="24"/>
          <w:lang w:val="en-US"/>
        </w:rPr>
        <w:t xml:space="preserve"> incentives to co-operation on both sides.  </w:t>
      </w:r>
      <w:r w:rsidRPr="000F052B">
        <w:rPr>
          <w:rFonts w:ascii="Times New Roman" w:hAnsi="Times New Roman" w:cs="Times New Roman"/>
          <w:sz w:val="24"/>
          <w:szCs w:val="24"/>
          <w:lang w:val="en-US"/>
        </w:rPr>
        <w:t>A social welfare dimension is also at play</w:t>
      </w:r>
      <w:r w:rsidR="00B4667C" w:rsidRPr="000F052B">
        <w:rPr>
          <w:rFonts w:ascii="Times New Roman" w:hAnsi="Times New Roman" w:cs="Times New Roman"/>
          <w:sz w:val="24"/>
          <w:szCs w:val="24"/>
          <w:lang w:val="en-US"/>
        </w:rPr>
        <w:t>,</w:t>
      </w:r>
      <w:r w:rsidRPr="000F052B">
        <w:rPr>
          <w:rFonts w:ascii="Times New Roman" w:hAnsi="Times New Roman" w:cs="Times New Roman"/>
          <w:sz w:val="24"/>
          <w:szCs w:val="24"/>
          <w:lang w:val="en-US"/>
        </w:rPr>
        <w:t xml:space="preserve"> however</w:t>
      </w:r>
      <w:r w:rsidR="006F3726">
        <w:rPr>
          <w:rFonts w:ascii="Times New Roman" w:hAnsi="Times New Roman" w:cs="Times New Roman"/>
          <w:sz w:val="24"/>
          <w:szCs w:val="24"/>
          <w:lang w:val="en-US"/>
        </w:rPr>
        <w:t>:</w:t>
      </w:r>
      <w:r w:rsidR="00B4667C" w:rsidRPr="000F052B">
        <w:rPr>
          <w:rFonts w:ascii="Times New Roman" w:hAnsi="Times New Roman" w:cs="Times New Roman"/>
          <w:sz w:val="24"/>
          <w:szCs w:val="24"/>
          <w:lang w:val="en-US"/>
        </w:rPr>
        <w:t xml:space="preserve"> the insurer is obliged by not only economic considerations of reputation, but also in Australia and now South Africa, by an enforceable </w:t>
      </w:r>
      <w:r w:rsidR="00FA037C" w:rsidRPr="000F052B">
        <w:rPr>
          <w:rFonts w:ascii="Times New Roman" w:hAnsi="Times New Roman" w:cs="Times New Roman"/>
          <w:sz w:val="24"/>
          <w:szCs w:val="24"/>
          <w:lang w:val="en-US"/>
        </w:rPr>
        <w:t xml:space="preserve">statutory or </w:t>
      </w:r>
      <w:r w:rsidR="00B4667C" w:rsidRPr="000F052B">
        <w:rPr>
          <w:rFonts w:ascii="Times New Roman" w:hAnsi="Times New Roman" w:cs="Times New Roman"/>
          <w:sz w:val="24"/>
          <w:szCs w:val="24"/>
          <w:lang w:val="en-US"/>
        </w:rPr>
        <w:t xml:space="preserve">contractual provision to provide cover to </w:t>
      </w:r>
      <w:r w:rsidRPr="000F052B">
        <w:rPr>
          <w:rFonts w:ascii="Times New Roman" w:hAnsi="Times New Roman" w:cs="Times New Roman"/>
          <w:sz w:val="24"/>
          <w:szCs w:val="24"/>
          <w:lang w:val="en-US"/>
        </w:rPr>
        <w:t>potential claimants</w:t>
      </w:r>
      <w:r w:rsidR="00B4667C" w:rsidRPr="000F052B">
        <w:rPr>
          <w:rFonts w:ascii="Times New Roman" w:hAnsi="Times New Roman" w:cs="Times New Roman"/>
          <w:sz w:val="24"/>
          <w:szCs w:val="24"/>
          <w:lang w:val="en-US"/>
        </w:rPr>
        <w:t xml:space="preserve">.  </w:t>
      </w:r>
      <w:r w:rsidR="009C1B0D" w:rsidRPr="000F052B">
        <w:rPr>
          <w:rFonts w:ascii="Times New Roman" w:hAnsi="Times New Roman" w:cs="Times New Roman"/>
          <w:sz w:val="24"/>
          <w:szCs w:val="24"/>
          <w:lang w:val="en-US"/>
        </w:rPr>
        <w:t>In addition to benefits to the immediate parties, t</w:t>
      </w:r>
      <w:r w:rsidR="00B24710" w:rsidRPr="000F052B">
        <w:rPr>
          <w:rFonts w:ascii="Times New Roman" w:hAnsi="Times New Roman" w:cs="Times New Roman"/>
          <w:sz w:val="24"/>
          <w:szCs w:val="24"/>
          <w:lang w:val="en-US"/>
        </w:rPr>
        <w:t>h</w:t>
      </w:r>
      <w:r w:rsidR="00794D1C" w:rsidRPr="000F052B">
        <w:rPr>
          <w:rFonts w:ascii="Times New Roman" w:hAnsi="Times New Roman" w:cs="Times New Roman"/>
          <w:sz w:val="24"/>
          <w:szCs w:val="24"/>
          <w:lang w:val="en-US"/>
        </w:rPr>
        <w:t>is brings</w:t>
      </w:r>
      <w:r w:rsidR="00B24710" w:rsidRPr="000F052B">
        <w:rPr>
          <w:rFonts w:ascii="Times New Roman" w:hAnsi="Times New Roman" w:cs="Times New Roman"/>
          <w:sz w:val="24"/>
          <w:szCs w:val="24"/>
          <w:lang w:val="en-US"/>
        </w:rPr>
        <w:t xml:space="preserve"> a </w:t>
      </w:r>
      <w:r w:rsidR="009A09B5" w:rsidRPr="000F052B">
        <w:rPr>
          <w:rFonts w:ascii="Times New Roman" w:hAnsi="Times New Roman" w:cs="Times New Roman"/>
          <w:sz w:val="24"/>
          <w:szCs w:val="24"/>
          <w:lang w:val="en-US"/>
        </w:rPr>
        <w:t xml:space="preserve">broader </w:t>
      </w:r>
      <w:r w:rsidR="00B24710" w:rsidRPr="000F052B">
        <w:rPr>
          <w:rFonts w:ascii="Times New Roman" w:hAnsi="Times New Roman" w:cs="Times New Roman"/>
          <w:sz w:val="24"/>
          <w:szCs w:val="24"/>
          <w:lang w:val="en-US"/>
        </w:rPr>
        <w:t xml:space="preserve">social benefit, since accident compensation is transferred to insurance companies who are able to </w:t>
      </w:r>
      <w:r w:rsidR="009A09B5" w:rsidRPr="000F052B">
        <w:rPr>
          <w:rFonts w:ascii="Times New Roman" w:hAnsi="Times New Roman" w:cs="Times New Roman"/>
          <w:sz w:val="24"/>
          <w:szCs w:val="24"/>
          <w:lang w:val="en-US"/>
        </w:rPr>
        <w:t>afford</w:t>
      </w:r>
      <w:r w:rsidR="00B24710" w:rsidRPr="000F052B">
        <w:rPr>
          <w:rFonts w:ascii="Times New Roman" w:hAnsi="Times New Roman" w:cs="Times New Roman"/>
          <w:sz w:val="24"/>
          <w:szCs w:val="24"/>
          <w:lang w:val="en-US"/>
        </w:rPr>
        <w:t xml:space="preserve"> this, and who </w:t>
      </w:r>
      <w:r w:rsidR="00794D1C" w:rsidRPr="000F052B">
        <w:rPr>
          <w:rFonts w:ascii="Times New Roman" w:hAnsi="Times New Roman" w:cs="Times New Roman"/>
          <w:sz w:val="24"/>
          <w:szCs w:val="24"/>
          <w:lang w:val="en-US"/>
        </w:rPr>
        <w:t xml:space="preserve">spread the costs of such cover amongst a pool of </w:t>
      </w:r>
      <w:r w:rsidR="00B24710" w:rsidRPr="000F052B">
        <w:rPr>
          <w:rFonts w:ascii="Times New Roman" w:hAnsi="Times New Roman" w:cs="Times New Roman"/>
          <w:sz w:val="24"/>
          <w:szCs w:val="24"/>
          <w:lang w:val="en-US"/>
        </w:rPr>
        <w:t>insured parties.</w:t>
      </w:r>
      <w:r w:rsidR="009C1B0D" w:rsidRPr="000F052B">
        <w:rPr>
          <w:rFonts w:ascii="Times New Roman" w:hAnsi="Times New Roman" w:cs="Times New Roman"/>
          <w:sz w:val="24"/>
          <w:szCs w:val="24"/>
          <w:lang w:val="en-US"/>
        </w:rPr>
        <w:t xml:space="preserve">  Thus a practical view of extension clauses should consider the problem from a broader </w:t>
      </w:r>
      <w:r w:rsidRPr="000F052B">
        <w:rPr>
          <w:rFonts w:ascii="Times New Roman" w:hAnsi="Times New Roman" w:cs="Times New Roman"/>
          <w:sz w:val="24"/>
          <w:szCs w:val="24"/>
          <w:lang w:val="en-US"/>
        </w:rPr>
        <w:t xml:space="preserve">economic and </w:t>
      </w:r>
      <w:r w:rsidR="009C1B0D" w:rsidRPr="000F052B">
        <w:rPr>
          <w:rFonts w:ascii="Times New Roman" w:hAnsi="Times New Roman" w:cs="Times New Roman"/>
          <w:sz w:val="24"/>
          <w:szCs w:val="24"/>
          <w:lang w:val="en-US"/>
        </w:rPr>
        <w:t>social welfare perspective</w:t>
      </w:r>
      <w:r w:rsidR="00794D1C" w:rsidRPr="000F052B">
        <w:rPr>
          <w:rFonts w:ascii="Times New Roman" w:hAnsi="Times New Roman" w:cs="Times New Roman"/>
          <w:sz w:val="24"/>
          <w:szCs w:val="24"/>
          <w:lang w:val="en-US"/>
        </w:rPr>
        <w:t>: the impact of third party motor accident compensation extends far beyond the</w:t>
      </w:r>
      <w:r w:rsidR="009C1B0D" w:rsidRPr="000F052B">
        <w:rPr>
          <w:rFonts w:ascii="Times New Roman" w:hAnsi="Times New Roman" w:cs="Times New Roman"/>
          <w:sz w:val="24"/>
          <w:szCs w:val="24"/>
          <w:lang w:val="en-US"/>
        </w:rPr>
        <w:t xml:space="preserve"> business relationship between insured and insurer.</w:t>
      </w:r>
      <w:r w:rsidRPr="000F052B">
        <w:rPr>
          <w:rFonts w:ascii="Times New Roman" w:hAnsi="Times New Roman" w:cs="Times New Roman"/>
          <w:sz w:val="24"/>
          <w:szCs w:val="24"/>
          <w:lang w:val="en-US"/>
        </w:rPr>
        <w:t xml:space="preserve">  With its clearly defined statutory regime, Australia has gone further down the public regulation path</w:t>
      </w:r>
      <w:r w:rsidR="00794D1C" w:rsidRPr="000F052B">
        <w:rPr>
          <w:rFonts w:ascii="Times New Roman" w:hAnsi="Times New Roman" w:cs="Times New Roman"/>
          <w:sz w:val="24"/>
          <w:szCs w:val="24"/>
          <w:lang w:val="en-US"/>
        </w:rPr>
        <w:t xml:space="preserve"> here</w:t>
      </w:r>
      <w:r w:rsidRPr="000F052B">
        <w:rPr>
          <w:rFonts w:ascii="Times New Roman" w:hAnsi="Times New Roman" w:cs="Times New Roman"/>
          <w:sz w:val="24"/>
          <w:szCs w:val="24"/>
          <w:lang w:val="en-US"/>
        </w:rPr>
        <w:t xml:space="preserve"> than South Africa</w:t>
      </w:r>
      <w:r w:rsidR="00794D1C" w:rsidRPr="000F052B">
        <w:rPr>
          <w:rFonts w:ascii="Times New Roman" w:hAnsi="Times New Roman" w:cs="Times New Roman"/>
          <w:sz w:val="24"/>
          <w:szCs w:val="24"/>
          <w:lang w:val="en-US"/>
        </w:rPr>
        <w:t xml:space="preserve"> has</w:t>
      </w:r>
      <w:r w:rsidRPr="000F052B">
        <w:rPr>
          <w:rFonts w:ascii="Times New Roman" w:hAnsi="Times New Roman" w:cs="Times New Roman"/>
          <w:sz w:val="24"/>
          <w:szCs w:val="24"/>
          <w:lang w:val="en-US"/>
        </w:rPr>
        <w:t xml:space="preserve">.  Compulsory third party motor insurance is undoubtedly a public advantage, but reflects also a legal culture of respect for the law and indeed a certain level of affluence.  South Africa’s private, contractual regime, backed up by a </w:t>
      </w:r>
      <w:r w:rsidRPr="000F052B">
        <w:rPr>
          <w:rFonts w:ascii="Times New Roman" w:hAnsi="Times New Roman" w:cs="Times New Roman"/>
          <w:sz w:val="24"/>
          <w:szCs w:val="24"/>
          <w:lang w:val="en-US"/>
        </w:rPr>
        <w:lastRenderedPageBreak/>
        <w:t>public accident compensation fund, is reflective of the social reality</w:t>
      </w:r>
      <w:r w:rsidR="00B24710"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of that country.</w:t>
      </w:r>
      <w:r w:rsidR="00794D1C" w:rsidRPr="000F052B">
        <w:rPr>
          <w:rFonts w:ascii="Times New Roman" w:hAnsi="Times New Roman" w:cs="Times New Roman"/>
          <w:sz w:val="24"/>
          <w:szCs w:val="24"/>
          <w:lang w:val="en-US"/>
        </w:rPr>
        <w:t xml:space="preserve">  In a</w:t>
      </w:r>
      <w:r w:rsidR="008B4720">
        <w:rPr>
          <w:rFonts w:ascii="Times New Roman" w:hAnsi="Times New Roman" w:cs="Times New Roman"/>
          <w:sz w:val="24"/>
          <w:szCs w:val="24"/>
          <w:lang w:val="en-US"/>
        </w:rPr>
        <w:t xml:space="preserve"> welfarist</w:t>
      </w:r>
      <w:r w:rsidR="00794D1C" w:rsidRPr="000F052B">
        <w:rPr>
          <w:rFonts w:ascii="Times New Roman" w:hAnsi="Times New Roman" w:cs="Times New Roman"/>
          <w:sz w:val="24"/>
          <w:szCs w:val="24"/>
          <w:lang w:val="en-US"/>
        </w:rPr>
        <w:t xml:space="preserve"> setting, privity must play a secondary role to public regulation, as is achieved by different means in each system.</w:t>
      </w:r>
      <w:r w:rsidR="00B24710" w:rsidRPr="000F052B">
        <w:rPr>
          <w:rFonts w:ascii="Times New Roman" w:hAnsi="Times New Roman" w:cs="Times New Roman"/>
          <w:sz w:val="24"/>
          <w:szCs w:val="24"/>
          <w:lang w:val="en-US"/>
        </w:rPr>
        <w:t xml:space="preserve"> </w:t>
      </w:r>
    </w:p>
    <w:p w14:paraId="64FD327F" w14:textId="77777777" w:rsidR="00BA5066" w:rsidRPr="000F052B" w:rsidRDefault="00BA5066" w:rsidP="00205AF2">
      <w:pPr>
        <w:spacing w:after="120" w:line="480" w:lineRule="auto"/>
        <w:jc w:val="both"/>
        <w:rPr>
          <w:rFonts w:ascii="Times New Roman" w:hAnsi="Times New Roman" w:cs="Times New Roman"/>
          <w:i/>
          <w:sz w:val="28"/>
          <w:szCs w:val="24"/>
          <w:lang w:val="en-US"/>
        </w:rPr>
      </w:pPr>
    </w:p>
    <w:p w14:paraId="19B7E519" w14:textId="4EF60705" w:rsidR="002C54B5" w:rsidRPr="000F052B" w:rsidRDefault="008828A7" w:rsidP="00F22959">
      <w:pPr>
        <w:spacing w:after="120" w:line="480" w:lineRule="auto"/>
        <w:jc w:val="center"/>
        <w:rPr>
          <w:rFonts w:ascii="Times New Roman" w:hAnsi="Times New Roman" w:cs="Times New Roman"/>
          <w:i/>
          <w:sz w:val="28"/>
          <w:szCs w:val="24"/>
          <w:lang w:val="en-US"/>
        </w:rPr>
      </w:pPr>
      <w:r>
        <w:rPr>
          <w:rFonts w:ascii="Times New Roman" w:hAnsi="Times New Roman" w:cs="Times New Roman"/>
          <w:i/>
          <w:sz w:val="28"/>
          <w:szCs w:val="24"/>
          <w:lang w:val="en-US"/>
        </w:rPr>
        <w:t>C</w:t>
      </w:r>
      <w:r w:rsidR="00BA5066" w:rsidRPr="000F052B">
        <w:rPr>
          <w:rFonts w:ascii="Times New Roman" w:hAnsi="Times New Roman" w:cs="Times New Roman"/>
          <w:i/>
          <w:sz w:val="28"/>
          <w:szCs w:val="24"/>
          <w:lang w:val="en-US"/>
        </w:rPr>
        <w:t xml:space="preserve">. </w:t>
      </w:r>
      <w:r w:rsidR="00D97663" w:rsidRPr="000F052B">
        <w:rPr>
          <w:rFonts w:ascii="Times New Roman" w:hAnsi="Times New Roman" w:cs="Times New Roman"/>
          <w:i/>
          <w:sz w:val="28"/>
          <w:szCs w:val="24"/>
          <w:lang w:val="en-US"/>
        </w:rPr>
        <w:t xml:space="preserve"> Umbrella Agreements</w:t>
      </w:r>
    </w:p>
    <w:p w14:paraId="3EDCB35E" w14:textId="272F3BD6" w:rsidR="002C54B5" w:rsidRPr="000F052B" w:rsidRDefault="00BA5066"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1. Umbrella Agreements as a Business P</w:t>
      </w:r>
      <w:r w:rsidR="0099762B" w:rsidRPr="000F052B">
        <w:rPr>
          <w:rFonts w:ascii="Times New Roman" w:hAnsi="Times New Roman" w:cs="Times New Roman"/>
          <w:i/>
          <w:sz w:val="28"/>
          <w:szCs w:val="24"/>
          <w:lang w:val="en-US"/>
        </w:rPr>
        <w:t>henomenon</w:t>
      </w:r>
    </w:p>
    <w:p w14:paraId="7716F27A" w14:textId="1D30ED16" w:rsidR="00CF173A" w:rsidRPr="000F052B" w:rsidRDefault="00302533" w:rsidP="00205AF2">
      <w:pPr>
        <w:spacing w:after="12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w:t>
      </w:r>
      <w:r w:rsidR="00336608" w:rsidRPr="000F052B">
        <w:rPr>
          <w:rFonts w:ascii="Times New Roman" w:hAnsi="Times New Roman" w:cs="Times New Roman"/>
          <w:sz w:val="24"/>
          <w:szCs w:val="24"/>
          <w:lang w:val="en-US"/>
        </w:rPr>
        <w:t>umbrella</w:t>
      </w:r>
      <w:r>
        <w:rPr>
          <w:rFonts w:ascii="Times New Roman" w:hAnsi="Times New Roman" w:cs="Times New Roman"/>
          <w:sz w:val="24"/>
          <w:szCs w:val="24"/>
          <w:lang w:val="en-US"/>
        </w:rPr>
        <w:t>”</w:t>
      </w:r>
      <w:r w:rsidR="00336608" w:rsidRPr="000F052B">
        <w:rPr>
          <w:rFonts w:ascii="Times New Roman" w:hAnsi="Times New Roman" w:cs="Times New Roman"/>
          <w:sz w:val="24"/>
          <w:szCs w:val="24"/>
          <w:lang w:val="en-US"/>
        </w:rPr>
        <w:t xml:space="preserve"> agreement is in many ways mo</w:t>
      </w:r>
      <w:r w:rsidR="00A02DEC">
        <w:rPr>
          <w:rFonts w:ascii="Times New Roman" w:hAnsi="Times New Roman" w:cs="Times New Roman"/>
          <w:sz w:val="24"/>
          <w:szCs w:val="24"/>
          <w:lang w:val="en-US"/>
        </w:rPr>
        <w:t>re a feature of business organiz</w:t>
      </w:r>
      <w:r w:rsidR="00336608" w:rsidRPr="000F052B">
        <w:rPr>
          <w:rFonts w:ascii="Times New Roman" w:hAnsi="Times New Roman" w:cs="Times New Roman"/>
          <w:sz w:val="24"/>
          <w:szCs w:val="24"/>
          <w:lang w:val="en-US"/>
        </w:rPr>
        <w:t>ation than contract law.  Hence, Mouzas and Furmston define umbrella agreements as ‘private arrangements that provide a framework of clauses which regulate future contracts’</w:t>
      </w:r>
      <w:r w:rsidR="00695FFD" w:rsidRPr="000F052B">
        <w:rPr>
          <w:rFonts w:ascii="Times New Roman" w:hAnsi="Times New Roman" w:cs="Times New Roman"/>
          <w:sz w:val="24"/>
          <w:szCs w:val="24"/>
          <w:lang w:val="en-US"/>
        </w:rPr>
        <w:t>,</w:t>
      </w:r>
      <w:r w:rsidR="00695FFD" w:rsidRPr="000F052B">
        <w:rPr>
          <w:rStyle w:val="FootnoteReference"/>
          <w:rFonts w:ascii="Times New Roman" w:hAnsi="Times New Roman" w:cs="Times New Roman"/>
          <w:sz w:val="24"/>
          <w:szCs w:val="24"/>
          <w:lang w:val="en-US"/>
        </w:rPr>
        <w:footnoteReference w:id="163"/>
      </w:r>
      <w:r w:rsidR="00695FFD" w:rsidRPr="000F052B">
        <w:rPr>
          <w:rFonts w:ascii="Times New Roman" w:hAnsi="Times New Roman" w:cs="Times New Roman"/>
          <w:sz w:val="24"/>
          <w:szCs w:val="24"/>
          <w:lang w:val="en-US"/>
        </w:rPr>
        <w:t xml:space="preserve"> and as ‘“constitutions” of contracts’.</w:t>
      </w:r>
      <w:r w:rsidR="00695FFD" w:rsidRPr="000F052B">
        <w:rPr>
          <w:rStyle w:val="FootnoteReference"/>
          <w:rFonts w:ascii="Times New Roman" w:hAnsi="Times New Roman" w:cs="Times New Roman"/>
          <w:sz w:val="24"/>
          <w:szCs w:val="24"/>
          <w:lang w:val="en-US"/>
        </w:rPr>
        <w:footnoteReference w:id="164"/>
      </w:r>
      <w:r w:rsidR="00695FFD" w:rsidRPr="000F052B">
        <w:rPr>
          <w:rFonts w:ascii="Times New Roman" w:hAnsi="Times New Roman" w:cs="Times New Roman"/>
          <w:sz w:val="24"/>
          <w:szCs w:val="24"/>
          <w:lang w:val="en-US"/>
        </w:rPr>
        <w:t xml:space="preserve">  The intenti</w:t>
      </w:r>
      <w:r>
        <w:rPr>
          <w:rFonts w:ascii="Times New Roman" w:hAnsi="Times New Roman" w:cs="Times New Roman"/>
          <w:sz w:val="24"/>
          <w:szCs w:val="24"/>
          <w:lang w:val="en-US"/>
        </w:rPr>
        <w:t>on is generally to establish a “partnering”</w:t>
      </w:r>
      <w:r w:rsidR="00695FFD" w:rsidRPr="000F052B">
        <w:rPr>
          <w:rFonts w:ascii="Times New Roman" w:hAnsi="Times New Roman" w:cs="Times New Roman"/>
          <w:sz w:val="24"/>
          <w:szCs w:val="24"/>
          <w:lang w:val="en-US"/>
        </w:rPr>
        <w:t xml:space="preserve"> relationship, which need not necessarily be based on an enforceable contract.</w:t>
      </w:r>
      <w:r w:rsidR="00695FFD" w:rsidRPr="000F052B">
        <w:rPr>
          <w:rStyle w:val="FootnoteReference"/>
          <w:rFonts w:ascii="Times New Roman" w:hAnsi="Times New Roman" w:cs="Times New Roman"/>
          <w:sz w:val="24"/>
          <w:szCs w:val="24"/>
          <w:lang w:val="en-US"/>
        </w:rPr>
        <w:footnoteReference w:id="165"/>
      </w:r>
      <w:r w:rsidR="00695FFD" w:rsidRPr="000F052B">
        <w:rPr>
          <w:rFonts w:ascii="Times New Roman" w:hAnsi="Times New Roman" w:cs="Times New Roman"/>
          <w:sz w:val="24"/>
          <w:szCs w:val="24"/>
          <w:lang w:val="en-US"/>
        </w:rPr>
        <w:t xml:space="preserve">  Such a business relationship may often endure over a long period of time, however, giving rise</w:t>
      </w:r>
      <w:r w:rsidR="004A2083" w:rsidRPr="000F052B">
        <w:rPr>
          <w:rFonts w:ascii="Times New Roman" w:hAnsi="Times New Roman" w:cs="Times New Roman"/>
          <w:sz w:val="24"/>
          <w:szCs w:val="24"/>
          <w:lang w:val="en-US"/>
        </w:rPr>
        <w:t xml:space="preserve"> </w:t>
      </w:r>
      <w:r w:rsidR="004A2083" w:rsidRPr="00D66B9D">
        <w:rPr>
          <w:rFonts w:ascii="Times New Roman" w:hAnsi="Times New Roman" w:cs="Times New Roman"/>
          <w:sz w:val="24"/>
          <w:szCs w:val="24"/>
          <w:lang w:val="en-US"/>
        </w:rPr>
        <w:t>to the possibility of</w:t>
      </w:r>
      <w:r w:rsidR="00695FFD" w:rsidRPr="00D66B9D">
        <w:rPr>
          <w:rFonts w:ascii="Times New Roman" w:hAnsi="Times New Roman" w:cs="Times New Roman"/>
          <w:sz w:val="24"/>
          <w:szCs w:val="24"/>
          <w:lang w:val="en-US"/>
        </w:rPr>
        <w:t xml:space="preserve"> ‘contractual relations’, </w:t>
      </w:r>
      <w:r w:rsidR="00442D8A" w:rsidRPr="00CF138F">
        <w:rPr>
          <w:rFonts w:ascii="Times New Roman" w:hAnsi="Times New Roman" w:cs="Times New Roman"/>
          <w:sz w:val="24"/>
          <w:szCs w:val="24"/>
          <w:lang w:val="en-US"/>
        </w:rPr>
        <w:t>a</w:t>
      </w:r>
      <w:r w:rsidR="00695FFD" w:rsidRPr="00CF138F">
        <w:rPr>
          <w:rFonts w:ascii="Times New Roman" w:hAnsi="Times New Roman" w:cs="Times New Roman"/>
          <w:sz w:val="24"/>
          <w:szCs w:val="24"/>
          <w:lang w:val="en-US"/>
        </w:rPr>
        <w:t>s per Macneil</w:t>
      </w:r>
      <w:r w:rsidR="00442D8A" w:rsidRPr="00B76545">
        <w:rPr>
          <w:rFonts w:ascii="Times New Roman" w:hAnsi="Times New Roman" w:cs="Times New Roman"/>
          <w:sz w:val="24"/>
          <w:szCs w:val="24"/>
          <w:lang w:val="en-US"/>
        </w:rPr>
        <w:t>’s analysis</w:t>
      </w:r>
      <w:r w:rsidR="00695FFD" w:rsidRPr="000A6ECC">
        <w:rPr>
          <w:rFonts w:ascii="Times New Roman" w:hAnsi="Times New Roman" w:cs="Times New Roman"/>
          <w:sz w:val="24"/>
          <w:szCs w:val="24"/>
          <w:lang w:val="en-US"/>
        </w:rPr>
        <w:t>.</w:t>
      </w:r>
      <w:r w:rsidR="00442D8A" w:rsidRPr="000A6ECC">
        <w:rPr>
          <w:rStyle w:val="FootnoteReference"/>
          <w:rFonts w:ascii="Times New Roman" w:hAnsi="Times New Roman" w:cs="Times New Roman"/>
          <w:sz w:val="24"/>
          <w:szCs w:val="24"/>
          <w:lang w:val="en-US"/>
        </w:rPr>
        <w:footnoteReference w:id="166"/>
      </w:r>
      <w:r w:rsidR="00695FFD" w:rsidRPr="000A6ECC">
        <w:rPr>
          <w:rFonts w:ascii="Times New Roman" w:hAnsi="Times New Roman" w:cs="Times New Roman"/>
          <w:sz w:val="24"/>
          <w:szCs w:val="24"/>
          <w:lang w:val="en-US"/>
        </w:rPr>
        <w:t xml:space="preserve">  Where such contractual relations e</w:t>
      </w:r>
      <w:r w:rsidR="004A2083" w:rsidRPr="000A6ECC">
        <w:rPr>
          <w:rFonts w:ascii="Times New Roman" w:hAnsi="Times New Roman" w:cs="Times New Roman"/>
          <w:sz w:val="24"/>
          <w:szCs w:val="24"/>
          <w:lang w:val="en-US"/>
        </w:rPr>
        <w:t>xist</w:t>
      </w:r>
      <w:r w:rsidR="00695FFD" w:rsidRPr="000A6ECC">
        <w:rPr>
          <w:rFonts w:ascii="Times New Roman" w:hAnsi="Times New Roman" w:cs="Times New Roman"/>
          <w:sz w:val="24"/>
          <w:szCs w:val="24"/>
          <w:lang w:val="en-US"/>
        </w:rPr>
        <w:t>, there is likely</w:t>
      </w:r>
      <w:r w:rsidR="00695FFD" w:rsidRPr="005249A8">
        <w:rPr>
          <w:rFonts w:ascii="Times New Roman" w:hAnsi="Times New Roman" w:cs="Times New Roman"/>
          <w:sz w:val="24"/>
          <w:szCs w:val="24"/>
          <w:lang w:val="en-US"/>
        </w:rPr>
        <w:t xml:space="preserve"> to be </w:t>
      </w:r>
      <w:r w:rsidR="00442D8A" w:rsidRPr="005249A8">
        <w:rPr>
          <w:rFonts w:ascii="Times New Roman" w:hAnsi="Times New Roman" w:cs="Times New Roman"/>
          <w:sz w:val="24"/>
          <w:szCs w:val="24"/>
          <w:lang w:val="en-US"/>
        </w:rPr>
        <w:t>reliance by third parties on such</w:t>
      </w:r>
      <w:r w:rsidR="00695FFD" w:rsidRPr="005249A8">
        <w:rPr>
          <w:rFonts w:ascii="Times New Roman" w:hAnsi="Times New Roman" w:cs="Times New Roman"/>
          <w:sz w:val="24"/>
          <w:szCs w:val="24"/>
          <w:lang w:val="en-US"/>
        </w:rPr>
        <w:t xml:space="preserve"> relationship.  </w:t>
      </w:r>
      <w:r w:rsidR="004A2083" w:rsidRPr="005249A8">
        <w:rPr>
          <w:rFonts w:ascii="Times New Roman" w:hAnsi="Times New Roman" w:cs="Times New Roman"/>
          <w:sz w:val="24"/>
          <w:szCs w:val="24"/>
          <w:lang w:val="en-US"/>
        </w:rPr>
        <w:t>Formal contract law is problematic for the enforceability of</w:t>
      </w:r>
      <w:r w:rsidR="00CF173A" w:rsidRPr="00E32FD2">
        <w:rPr>
          <w:rFonts w:ascii="Times New Roman" w:hAnsi="Times New Roman" w:cs="Times New Roman"/>
          <w:sz w:val="24"/>
          <w:szCs w:val="24"/>
          <w:lang w:val="en-US"/>
        </w:rPr>
        <w:t xml:space="preserve"> umbrella agreement</w:t>
      </w:r>
      <w:r w:rsidR="004A2083" w:rsidRPr="003104CE">
        <w:rPr>
          <w:rFonts w:ascii="Times New Roman" w:hAnsi="Times New Roman" w:cs="Times New Roman"/>
          <w:sz w:val="24"/>
          <w:szCs w:val="24"/>
          <w:lang w:val="en-US"/>
        </w:rPr>
        <w:t>s, however</w:t>
      </w:r>
      <w:r w:rsidR="00646BCF" w:rsidRPr="003104CE">
        <w:rPr>
          <w:rFonts w:ascii="Times New Roman" w:hAnsi="Times New Roman" w:cs="Times New Roman"/>
          <w:sz w:val="24"/>
          <w:szCs w:val="24"/>
          <w:lang w:val="en-US"/>
        </w:rPr>
        <w:t>:</w:t>
      </w:r>
      <w:r w:rsidR="00CF173A" w:rsidRPr="00681EF9">
        <w:rPr>
          <w:rFonts w:ascii="Times New Roman" w:hAnsi="Times New Roman" w:cs="Times New Roman"/>
          <w:sz w:val="24"/>
          <w:szCs w:val="24"/>
          <w:lang w:val="en-US"/>
        </w:rPr>
        <w:t xml:space="preserve"> </w:t>
      </w:r>
      <w:r w:rsidR="004A2083" w:rsidRPr="00681EF9">
        <w:rPr>
          <w:rFonts w:ascii="Times New Roman" w:hAnsi="Times New Roman" w:cs="Times New Roman"/>
          <w:sz w:val="24"/>
          <w:szCs w:val="24"/>
          <w:lang w:val="en-US"/>
        </w:rPr>
        <w:t xml:space="preserve">even if the certainty of content hurdle is overcome, </w:t>
      </w:r>
      <w:r w:rsidR="00CF173A" w:rsidRPr="00681EF9">
        <w:rPr>
          <w:rFonts w:ascii="Times New Roman" w:hAnsi="Times New Roman" w:cs="Times New Roman"/>
          <w:sz w:val="24"/>
          <w:szCs w:val="24"/>
          <w:lang w:val="en-US"/>
        </w:rPr>
        <w:t xml:space="preserve">reliant third parties would be blocked by the </w:t>
      </w:r>
      <w:r w:rsidR="00E73D67" w:rsidRPr="00681EF9">
        <w:rPr>
          <w:rFonts w:ascii="Times New Roman" w:hAnsi="Times New Roman" w:cs="Times New Roman"/>
          <w:sz w:val="24"/>
          <w:szCs w:val="24"/>
          <w:lang w:val="en-US"/>
        </w:rPr>
        <w:t xml:space="preserve">privity </w:t>
      </w:r>
      <w:r w:rsidR="00CF173A" w:rsidRPr="00A15C8B">
        <w:rPr>
          <w:rFonts w:ascii="Times New Roman" w:hAnsi="Times New Roman" w:cs="Times New Roman"/>
          <w:sz w:val="24"/>
          <w:szCs w:val="24"/>
          <w:lang w:val="en-US"/>
        </w:rPr>
        <w:lastRenderedPageBreak/>
        <w:t>rule from instituting a contractual cause of action</w:t>
      </w:r>
      <w:r w:rsidR="00E73D67" w:rsidRPr="00F00F56">
        <w:rPr>
          <w:rFonts w:ascii="Times New Roman" w:hAnsi="Times New Roman" w:cs="Times New Roman"/>
          <w:sz w:val="24"/>
          <w:szCs w:val="24"/>
          <w:lang w:val="en-US"/>
        </w:rPr>
        <w:t>.</w:t>
      </w:r>
      <w:r w:rsidR="00CF173A" w:rsidRPr="0031357E">
        <w:rPr>
          <w:rFonts w:ascii="Times New Roman" w:hAnsi="Times New Roman" w:cs="Times New Roman"/>
          <w:sz w:val="24"/>
          <w:szCs w:val="24"/>
          <w:lang w:val="en-US"/>
        </w:rPr>
        <w:t xml:space="preserve">  This means that if a legal system wishes to protect third party reliance here, an alternative (non-contractual) solution needs to be found.</w:t>
      </w:r>
      <w:r w:rsidR="00E73D67" w:rsidRPr="000F052B">
        <w:rPr>
          <w:rFonts w:ascii="Times New Roman" w:hAnsi="Times New Roman" w:cs="Times New Roman"/>
          <w:sz w:val="24"/>
          <w:szCs w:val="24"/>
          <w:lang w:val="en-US"/>
        </w:rPr>
        <w:t xml:space="preserve">  </w:t>
      </w:r>
    </w:p>
    <w:p w14:paraId="634F7C35" w14:textId="0C4D7717" w:rsidR="00E73D67" w:rsidRPr="000F052B" w:rsidRDefault="00646BCF"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what follows below, the reader will notice that we have illustrated our argument</w:t>
      </w:r>
      <w:r w:rsidR="00180FE3">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with </w:t>
      </w:r>
      <w:r w:rsidR="00B64346">
        <w:rPr>
          <w:rFonts w:ascii="Times New Roman" w:hAnsi="Times New Roman" w:cs="Times New Roman"/>
          <w:sz w:val="24"/>
          <w:szCs w:val="24"/>
          <w:lang w:val="en-US"/>
        </w:rPr>
        <w:t>English</w:t>
      </w:r>
      <w:r w:rsidRPr="000F052B">
        <w:rPr>
          <w:rFonts w:ascii="Times New Roman" w:hAnsi="Times New Roman" w:cs="Times New Roman"/>
          <w:sz w:val="24"/>
          <w:szCs w:val="24"/>
          <w:lang w:val="en-US"/>
        </w:rPr>
        <w:t xml:space="preserve"> case law and materials</w:t>
      </w:r>
      <w:r w:rsidR="006D3226">
        <w:rPr>
          <w:rFonts w:ascii="Times New Roman" w:hAnsi="Times New Roman" w:cs="Times New Roman"/>
          <w:sz w:val="24"/>
          <w:szCs w:val="24"/>
          <w:lang w:val="en-US"/>
        </w:rPr>
        <w:t xml:space="preserve"> in addition to those from Australia and South Africa</w:t>
      </w:r>
      <w:r w:rsidRPr="000F052B">
        <w:rPr>
          <w:rFonts w:ascii="Times New Roman" w:hAnsi="Times New Roman" w:cs="Times New Roman"/>
          <w:sz w:val="24"/>
          <w:szCs w:val="24"/>
          <w:lang w:val="en-US"/>
        </w:rPr>
        <w:t>.  This is due to</w:t>
      </w:r>
      <w:r w:rsidR="00CF173A" w:rsidRPr="000F052B">
        <w:rPr>
          <w:rFonts w:ascii="Times New Roman" w:hAnsi="Times New Roman" w:cs="Times New Roman"/>
          <w:sz w:val="24"/>
          <w:szCs w:val="24"/>
          <w:lang w:val="en-US"/>
        </w:rPr>
        <w:t xml:space="preserve"> the </w:t>
      </w:r>
      <w:r w:rsidR="00420FF7">
        <w:rPr>
          <w:rFonts w:ascii="Times New Roman" w:hAnsi="Times New Roman" w:cs="Times New Roman"/>
          <w:sz w:val="24"/>
          <w:szCs w:val="24"/>
          <w:lang w:val="en-US"/>
        </w:rPr>
        <w:t>paucity</w:t>
      </w:r>
      <w:r w:rsidR="006D3226">
        <w:rPr>
          <w:rFonts w:ascii="Times New Roman" w:hAnsi="Times New Roman" w:cs="Times New Roman"/>
          <w:sz w:val="24"/>
          <w:szCs w:val="24"/>
          <w:lang w:val="en-US"/>
        </w:rPr>
        <w:t xml:space="preserve"> of</w:t>
      </w:r>
      <w:r w:rsidR="00CF173A" w:rsidRPr="000F052B">
        <w:rPr>
          <w:rFonts w:ascii="Times New Roman" w:hAnsi="Times New Roman" w:cs="Times New Roman"/>
          <w:sz w:val="24"/>
          <w:szCs w:val="24"/>
          <w:lang w:val="en-US"/>
        </w:rPr>
        <w:t xml:space="preserve"> </w:t>
      </w:r>
      <w:r w:rsidR="00420FF7">
        <w:rPr>
          <w:rFonts w:ascii="Times New Roman" w:hAnsi="Times New Roman" w:cs="Times New Roman"/>
          <w:sz w:val="24"/>
          <w:szCs w:val="24"/>
          <w:lang w:val="en-US"/>
        </w:rPr>
        <w:t xml:space="preserve">the </w:t>
      </w:r>
      <w:r w:rsidR="00CF173A" w:rsidRPr="000F052B">
        <w:rPr>
          <w:rFonts w:ascii="Times New Roman" w:hAnsi="Times New Roman" w:cs="Times New Roman"/>
          <w:sz w:val="24"/>
          <w:szCs w:val="24"/>
          <w:lang w:val="en-US"/>
        </w:rPr>
        <w:t xml:space="preserve">published discourse on the umbrella agreement phenomenon in </w:t>
      </w:r>
      <w:r w:rsidR="00072F70" w:rsidRPr="000F052B">
        <w:rPr>
          <w:rFonts w:ascii="Times New Roman" w:hAnsi="Times New Roman" w:cs="Times New Roman"/>
          <w:sz w:val="24"/>
          <w:szCs w:val="24"/>
          <w:lang w:val="en-US"/>
        </w:rPr>
        <w:t>ou</w:t>
      </w:r>
      <w:r w:rsidR="00CF173A" w:rsidRPr="000F052B">
        <w:rPr>
          <w:rFonts w:ascii="Times New Roman" w:hAnsi="Times New Roman" w:cs="Times New Roman"/>
          <w:sz w:val="24"/>
          <w:szCs w:val="24"/>
          <w:lang w:val="en-US"/>
        </w:rPr>
        <w:t>r target jurisdictions.  We will thus use the readily accessible materials from</w:t>
      </w:r>
      <w:r w:rsidR="00E73D67" w:rsidRPr="000F052B">
        <w:rPr>
          <w:rFonts w:ascii="Times New Roman" w:hAnsi="Times New Roman" w:cs="Times New Roman"/>
          <w:sz w:val="24"/>
          <w:szCs w:val="24"/>
          <w:lang w:val="en-US"/>
        </w:rPr>
        <w:t xml:space="preserve"> the parent system</w:t>
      </w:r>
      <w:r w:rsidR="00072F70" w:rsidRPr="000F052B">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of English law </w:t>
      </w:r>
      <w:r w:rsidR="00072F70" w:rsidRPr="000F052B">
        <w:rPr>
          <w:rFonts w:ascii="Times New Roman" w:hAnsi="Times New Roman" w:cs="Times New Roman"/>
          <w:sz w:val="24"/>
          <w:szCs w:val="24"/>
          <w:lang w:val="en-US"/>
        </w:rPr>
        <w:t>as our starting point, backing this</w:t>
      </w:r>
      <w:r w:rsidR="00CF173A" w:rsidRPr="000F052B">
        <w:rPr>
          <w:rFonts w:ascii="Times New Roman" w:hAnsi="Times New Roman" w:cs="Times New Roman"/>
          <w:sz w:val="24"/>
          <w:szCs w:val="24"/>
          <w:lang w:val="en-US"/>
        </w:rPr>
        <w:t xml:space="preserve"> up with sources from Australia and South Africa</w:t>
      </w:r>
      <w:r w:rsidRPr="000F052B">
        <w:rPr>
          <w:rFonts w:ascii="Times New Roman" w:hAnsi="Times New Roman" w:cs="Times New Roman"/>
          <w:sz w:val="24"/>
          <w:szCs w:val="24"/>
          <w:lang w:val="en-US"/>
        </w:rPr>
        <w:t xml:space="preserve"> where available</w:t>
      </w:r>
      <w:r w:rsidR="00072F70" w:rsidRPr="000F052B">
        <w:rPr>
          <w:rFonts w:ascii="Times New Roman" w:hAnsi="Times New Roman" w:cs="Times New Roman"/>
          <w:sz w:val="24"/>
          <w:szCs w:val="24"/>
          <w:lang w:val="en-US"/>
        </w:rPr>
        <w:t>, in order</w:t>
      </w:r>
      <w:r w:rsidR="00CF173A" w:rsidRPr="000F052B">
        <w:rPr>
          <w:rFonts w:ascii="Times New Roman" w:hAnsi="Times New Roman" w:cs="Times New Roman"/>
          <w:sz w:val="24"/>
          <w:szCs w:val="24"/>
          <w:lang w:val="en-US"/>
        </w:rPr>
        <w:t xml:space="preserve"> to test the universality and comparative applicability of our argument</w:t>
      </w:r>
      <w:r w:rsidR="00E73D67" w:rsidRPr="000F052B">
        <w:rPr>
          <w:rFonts w:ascii="Times New Roman" w:hAnsi="Times New Roman" w:cs="Times New Roman"/>
          <w:sz w:val="24"/>
          <w:szCs w:val="24"/>
          <w:lang w:val="en-US"/>
        </w:rPr>
        <w:t xml:space="preserve">.  </w:t>
      </w:r>
    </w:p>
    <w:p w14:paraId="2C7F6B3E" w14:textId="77777777" w:rsidR="00BA5066" w:rsidRPr="000F052B" w:rsidRDefault="00BA5066" w:rsidP="00205AF2">
      <w:pPr>
        <w:spacing w:after="120" w:line="480" w:lineRule="auto"/>
        <w:jc w:val="both"/>
        <w:rPr>
          <w:rFonts w:ascii="Times New Roman" w:hAnsi="Times New Roman" w:cs="Times New Roman"/>
          <w:i/>
          <w:sz w:val="28"/>
          <w:szCs w:val="24"/>
          <w:lang w:val="en-US"/>
        </w:rPr>
      </w:pPr>
    </w:p>
    <w:p w14:paraId="33D9FB56" w14:textId="12A70535" w:rsidR="002C54B5" w:rsidRPr="000F052B" w:rsidRDefault="00440CDC"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2</w:t>
      </w:r>
      <w:r w:rsidR="00BA5066" w:rsidRPr="000F052B">
        <w:rPr>
          <w:rFonts w:ascii="Times New Roman" w:hAnsi="Times New Roman" w:cs="Times New Roman"/>
          <w:i/>
          <w:sz w:val="28"/>
          <w:szCs w:val="24"/>
          <w:lang w:val="en-US"/>
        </w:rPr>
        <w:t>. Comparative Usage of Umbrella A</w:t>
      </w:r>
      <w:r w:rsidR="00336608" w:rsidRPr="000F052B">
        <w:rPr>
          <w:rFonts w:ascii="Times New Roman" w:hAnsi="Times New Roman" w:cs="Times New Roman"/>
          <w:i/>
          <w:sz w:val="28"/>
          <w:szCs w:val="24"/>
          <w:lang w:val="en-US"/>
        </w:rPr>
        <w:t>greements</w:t>
      </w:r>
    </w:p>
    <w:p w14:paraId="239FCF66" w14:textId="7A07FA0E" w:rsidR="007113F2" w:rsidRPr="000F052B" w:rsidRDefault="00072F70"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O</w:t>
      </w:r>
      <w:r w:rsidR="00487E2B" w:rsidRPr="000F052B">
        <w:rPr>
          <w:rFonts w:ascii="Times New Roman" w:hAnsi="Times New Roman" w:cs="Times New Roman"/>
          <w:sz w:val="24"/>
          <w:szCs w:val="24"/>
          <w:lang w:val="en-US"/>
        </w:rPr>
        <w:t xml:space="preserve">ur analysis </w:t>
      </w:r>
      <w:r w:rsidR="00646BCF" w:rsidRPr="000F052B">
        <w:rPr>
          <w:rFonts w:ascii="Times New Roman" w:hAnsi="Times New Roman" w:cs="Times New Roman"/>
          <w:sz w:val="24"/>
          <w:szCs w:val="24"/>
          <w:lang w:val="en-US"/>
        </w:rPr>
        <w:t>here</w:t>
      </w:r>
      <w:r w:rsidRPr="000F052B">
        <w:rPr>
          <w:rFonts w:ascii="Times New Roman" w:hAnsi="Times New Roman" w:cs="Times New Roman"/>
          <w:sz w:val="24"/>
          <w:szCs w:val="24"/>
          <w:lang w:val="en-US"/>
        </w:rPr>
        <w:t xml:space="preserve"> </w:t>
      </w:r>
      <w:r w:rsidR="00487E2B" w:rsidRPr="000F052B">
        <w:rPr>
          <w:rFonts w:ascii="Times New Roman" w:hAnsi="Times New Roman" w:cs="Times New Roman"/>
          <w:sz w:val="24"/>
          <w:szCs w:val="24"/>
          <w:lang w:val="en-US"/>
        </w:rPr>
        <w:t>will be sectoral, allow</w:t>
      </w:r>
      <w:r w:rsidRPr="000F052B">
        <w:rPr>
          <w:rFonts w:ascii="Times New Roman" w:hAnsi="Times New Roman" w:cs="Times New Roman"/>
          <w:sz w:val="24"/>
          <w:szCs w:val="24"/>
          <w:lang w:val="en-US"/>
        </w:rPr>
        <w:t>ing</w:t>
      </w:r>
      <w:r w:rsidR="00487E2B" w:rsidRPr="000F052B">
        <w:rPr>
          <w:rFonts w:ascii="Times New Roman" w:hAnsi="Times New Roman" w:cs="Times New Roman"/>
          <w:sz w:val="24"/>
          <w:szCs w:val="24"/>
          <w:lang w:val="en-US"/>
        </w:rPr>
        <w:t xml:space="preserve"> for reference to specific regulatory regimes, where applicable.</w:t>
      </w:r>
      <w:r w:rsidRPr="000F052B">
        <w:rPr>
          <w:rFonts w:ascii="Times New Roman" w:hAnsi="Times New Roman" w:cs="Times New Roman"/>
          <w:sz w:val="24"/>
          <w:szCs w:val="24"/>
          <w:lang w:val="en-US"/>
        </w:rPr>
        <w:t xml:space="preserve">  This facilitates reference to extra-contractual responses to the umbrella agreements phenomenon</w:t>
      </w:r>
      <w:r w:rsidR="006D3226">
        <w:rPr>
          <w:rFonts w:ascii="Times New Roman" w:hAnsi="Times New Roman" w:cs="Times New Roman"/>
          <w:sz w:val="24"/>
          <w:szCs w:val="24"/>
          <w:lang w:val="en-US"/>
        </w:rPr>
        <w:t>, particularly from the point of view of public regulation of contracts and the protection of (third party) reliance</w:t>
      </w:r>
      <w:r w:rsidRPr="000F052B">
        <w:rPr>
          <w:rFonts w:ascii="Times New Roman" w:hAnsi="Times New Roman" w:cs="Times New Roman"/>
          <w:sz w:val="24"/>
          <w:szCs w:val="24"/>
          <w:lang w:val="en-US"/>
        </w:rPr>
        <w:t>.</w:t>
      </w:r>
      <w:r w:rsidR="00487E2B" w:rsidRPr="000F052B">
        <w:rPr>
          <w:rFonts w:ascii="Times New Roman" w:hAnsi="Times New Roman" w:cs="Times New Roman"/>
          <w:sz w:val="24"/>
          <w:szCs w:val="24"/>
          <w:lang w:val="en-US"/>
        </w:rPr>
        <w:t xml:space="preserve">  Our </w:t>
      </w:r>
      <w:r w:rsidRPr="000F052B">
        <w:rPr>
          <w:rFonts w:ascii="Times New Roman" w:hAnsi="Times New Roman" w:cs="Times New Roman"/>
          <w:sz w:val="24"/>
          <w:szCs w:val="24"/>
          <w:lang w:val="en-US"/>
        </w:rPr>
        <w:t xml:space="preserve">chosen </w:t>
      </w:r>
      <w:r w:rsidR="00487E2B" w:rsidRPr="000F052B">
        <w:rPr>
          <w:rFonts w:ascii="Times New Roman" w:hAnsi="Times New Roman" w:cs="Times New Roman"/>
          <w:sz w:val="24"/>
          <w:szCs w:val="24"/>
          <w:lang w:val="en-US"/>
        </w:rPr>
        <w:t xml:space="preserve">examples are: supply chain arrangements; </w:t>
      </w:r>
      <w:r w:rsidRPr="000F052B">
        <w:rPr>
          <w:rFonts w:ascii="Times New Roman" w:hAnsi="Times New Roman" w:cs="Times New Roman"/>
          <w:sz w:val="24"/>
          <w:szCs w:val="24"/>
          <w:lang w:val="en-US"/>
        </w:rPr>
        <w:t xml:space="preserve">casual </w:t>
      </w:r>
      <w:r w:rsidR="00487E2B" w:rsidRPr="000F052B">
        <w:rPr>
          <w:rFonts w:ascii="Times New Roman" w:hAnsi="Times New Roman" w:cs="Times New Roman"/>
          <w:sz w:val="24"/>
          <w:szCs w:val="24"/>
          <w:lang w:val="en-US"/>
        </w:rPr>
        <w:t>emp</w:t>
      </w:r>
      <w:r w:rsidRPr="000F052B">
        <w:rPr>
          <w:rFonts w:ascii="Times New Roman" w:hAnsi="Times New Roman" w:cs="Times New Roman"/>
          <w:sz w:val="24"/>
          <w:szCs w:val="24"/>
          <w:lang w:val="en-US"/>
        </w:rPr>
        <w:t>loyment arrangements; and financial sector arrangements.</w:t>
      </w:r>
    </w:p>
    <w:p w14:paraId="1FE92838" w14:textId="4B1DA485" w:rsidR="00487E2B" w:rsidRPr="000F052B" w:rsidRDefault="00BA5066" w:rsidP="00813D3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2.1 Supply Chain A</w:t>
      </w:r>
      <w:r w:rsidR="00487E2B" w:rsidRPr="000F052B">
        <w:rPr>
          <w:rFonts w:ascii="Times New Roman" w:hAnsi="Times New Roman" w:cs="Times New Roman"/>
          <w:i/>
          <w:sz w:val="28"/>
          <w:szCs w:val="24"/>
          <w:lang w:val="en-US"/>
        </w:rPr>
        <w:t>rrangements</w:t>
      </w:r>
    </w:p>
    <w:p w14:paraId="0650F1AF" w14:textId="776E5D64" w:rsidR="008F7A18" w:rsidRPr="000F052B" w:rsidRDefault="00646BCF"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key English</w:t>
      </w:r>
      <w:r w:rsidR="00487E2B" w:rsidRPr="000F052B">
        <w:rPr>
          <w:rFonts w:ascii="Times New Roman" w:hAnsi="Times New Roman" w:cs="Times New Roman"/>
          <w:sz w:val="24"/>
          <w:szCs w:val="24"/>
          <w:lang w:val="en-US"/>
        </w:rPr>
        <w:t xml:space="preserve"> case, </w:t>
      </w:r>
      <w:r w:rsidR="00487E2B" w:rsidRPr="000F052B">
        <w:rPr>
          <w:rFonts w:ascii="Times New Roman" w:hAnsi="Times New Roman" w:cs="Times New Roman"/>
          <w:i/>
          <w:sz w:val="24"/>
          <w:szCs w:val="24"/>
          <w:lang w:val="en-US"/>
        </w:rPr>
        <w:t>Baird</w:t>
      </w:r>
      <w:r w:rsidR="0086541C" w:rsidRPr="000F052B">
        <w:rPr>
          <w:rFonts w:ascii="Times New Roman" w:hAnsi="Times New Roman" w:cs="Times New Roman"/>
          <w:i/>
          <w:sz w:val="24"/>
          <w:szCs w:val="24"/>
          <w:lang w:val="en-US"/>
        </w:rPr>
        <w:t xml:space="preserve"> Textile Holdings Ltd v Marks and Spencer plc</w:t>
      </w:r>
      <w:r w:rsidR="0086541C" w:rsidRPr="000F052B">
        <w:rPr>
          <w:rFonts w:ascii="Times New Roman" w:hAnsi="Times New Roman" w:cs="Times New Roman"/>
          <w:sz w:val="24"/>
          <w:szCs w:val="24"/>
          <w:lang w:val="en-US"/>
        </w:rPr>
        <w:t>,</w:t>
      </w:r>
      <w:r w:rsidR="0086541C" w:rsidRPr="000F052B">
        <w:rPr>
          <w:rStyle w:val="FootnoteReference"/>
          <w:rFonts w:ascii="Times New Roman" w:hAnsi="Times New Roman" w:cs="Times New Roman"/>
          <w:sz w:val="24"/>
          <w:szCs w:val="24"/>
          <w:lang w:val="en-US"/>
        </w:rPr>
        <w:footnoteReference w:id="167"/>
      </w:r>
      <w:r w:rsidR="0086541C" w:rsidRPr="000F052B">
        <w:rPr>
          <w:rFonts w:ascii="Times New Roman" w:hAnsi="Times New Roman" w:cs="Times New Roman"/>
          <w:sz w:val="24"/>
          <w:szCs w:val="24"/>
          <w:lang w:val="en-US"/>
        </w:rPr>
        <w:t xml:space="preserve"> will be used to illustrate </w:t>
      </w:r>
      <w:r w:rsidR="0005260F" w:rsidRPr="000F052B">
        <w:rPr>
          <w:rFonts w:ascii="Times New Roman" w:hAnsi="Times New Roman" w:cs="Times New Roman"/>
          <w:sz w:val="24"/>
          <w:szCs w:val="24"/>
          <w:lang w:val="en-US"/>
        </w:rPr>
        <w:t>the problems with umbrella agreements in this sector</w:t>
      </w:r>
      <w:r w:rsidR="0086541C" w:rsidRPr="000F052B">
        <w:rPr>
          <w:rFonts w:ascii="Times New Roman" w:hAnsi="Times New Roman" w:cs="Times New Roman"/>
          <w:sz w:val="24"/>
          <w:szCs w:val="24"/>
          <w:lang w:val="en-US"/>
        </w:rPr>
        <w:t xml:space="preserve">.  </w:t>
      </w:r>
      <w:r w:rsidR="00302533">
        <w:rPr>
          <w:rFonts w:ascii="Times New Roman" w:hAnsi="Times New Roman" w:cs="Times New Roman"/>
          <w:sz w:val="24"/>
          <w:szCs w:val="24"/>
          <w:lang w:val="en-US"/>
        </w:rPr>
        <w:t>Baird Textile Holdings (“BTH”</w:t>
      </w:r>
      <w:r w:rsidR="003679A6" w:rsidRPr="000F052B">
        <w:rPr>
          <w:rFonts w:ascii="Times New Roman" w:hAnsi="Times New Roman" w:cs="Times New Roman"/>
          <w:sz w:val="24"/>
          <w:szCs w:val="24"/>
          <w:lang w:val="en-US"/>
        </w:rPr>
        <w:t xml:space="preserve">) had been one of the principal suppliers of clothing </w:t>
      </w:r>
      <w:r w:rsidR="00302533">
        <w:rPr>
          <w:rFonts w:ascii="Times New Roman" w:hAnsi="Times New Roman" w:cs="Times New Roman"/>
          <w:sz w:val="24"/>
          <w:szCs w:val="24"/>
          <w:lang w:val="en-US"/>
        </w:rPr>
        <w:t>items to Marks and Spencer (“M&amp;S”</w:t>
      </w:r>
      <w:r w:rsidR="003679A6" w:rsidRPr="000F052B">
        <w:rPr>
          <w:rFonts w:ascii="Times New Roman" w:hAnsi="Times New Roman" w:cs="Times New Roman"/>
          <w:sz w:val="24"/>
          <w:szCs w:val="24"/>
          <w:lang w:val="en-US"/>
        </w:rPr>
        <w:t>) for thirty years when they were given notice in October 1999 that M&amp;S intended to terminate the relationship at the end of that season’s production.</w:t>
      </w:r>
      <w:r w:rsidR="001969CC" w:rsidRPr="000F052B">
        <w:rPr>
          <w:rStyle w:val="FootnoteReference"/>
          <w:rFonts w:ascii="Times New Roman" w:hAnsi="Times New Roman" w:cs="Times New Roman"/>
          <w:sz w:val="24"/>
          <w:szCs w:val="24"/>
          <w:lang w:val="en-US"/>
        </w:rPr>
        <w:footnoteReference w:id="168"/>
      </w:r>
      <w:r w:rsidR="003679A6" w:rsidRPr="000F052B">
        <w:rPr>
          <w:rFonts w:ascii="Times New Roman" w:hAnsi="Times New Roman" w:cs="Times New Roman"/>
          <w:sz w:val="24"/>
          <w:szCs w:val="24"/>
          <w:lang w:val="en-US"/>
        </w:rPr>
        <w:t xml:space="preserve">  Witnesses for </w:t>
      </w:r>
      <w:r w:rsidR="00302533">
        <w:rPr>
          <w:rFonts w:ascii="Times New Roman" w:hAnsi="Times New Roman" w:cs="Times New Roman"/>
          <w:sz w:val="24"/>
          <w:szCs w:val="24"/>
          <w:lang w:val="en-US"/>
        </w:rPr>
        <w:t xml:space="preserve">M&amp;S </w:t>
      </w:r>
      <w:r w:rsidR="00302533">
        <w:rPr>
          <w:rFonts w:ascii="Times New Roman" w:hAnsi="Times New Roman" w:cs="Times New Roman"/>
          <w:sz w:val="24"/>
          <w:szCs w:val="24"/>
          <w:lang w:val="en-US"/>
        </w:rPr>
        <w:lastRenderedPageBreak/>
        <w:t>testified to the fact that “partnering”</w:t>
      </w:r>
      <w:r w:rsidR="003679A6" w:rsidRPr="000F052B">
        <w:rPr>
          <w:rFonts w:ascii="Times New Roman" w:hAnsi="Times New Roman" w:cs="Times New Roman"/>
          <w:sz w:val="24"/>
          <w:szCs w:val="24"/>
          <w:lang w:val="en-US"/>
        </w:rPr>
        <w:t xml:space="preserve"> was a key feature of the M&amp;S business model – by </w:t>
      </w:r>
      <w:r w:rsidR="0005260F" w:rsidRPr="000F052B">
        <w:rPr>
          <w:rFonts w:ascii="Times New Roman" w:hAnsi="Times New Roman" w:cs="Times New Roman"/>
          <w:sz w:val="24"/>
          <w:szCs w:val="24"/>
          <w:lang w:val="en-US"/>
        </w:rPr>
        <w:t>this</w:t>
      </w:r>
      <w:r w:rsidR="003679A6" w:rsidRPr="000F052B">
        <w:rPr>
          <w:rFonts w:ascii="Times New Roman" w:hAnsi="Times New Roman" w:cs="Times New Roman"/>
          <w:sz w:val="24"/>
          <w:szCs w:val="24"/>
          <w:lang w:val="en-US"/>
        </w:rPr>
        <w:t xml:space="preserve"> they meant not partnership in the legal sense, but rather a long</w:t>
      </w:r>
      <w:r w:rsidR="0005260F" w:rsidRPr="000F052B">
        <w:rPr>
          <w:rFonts w:ascii="Times New Roman" w:hAnsi="Times New Roman" w:cs="Times New Roman"/>
          <w:sz w:val="24"/>
          <w:szCs w:val="24"/>
          <w:lang w:val="en-US"/>
        </w:rPr>
        <w:t>-</w:t>
      </w:r>
      <w:r w:rsidR="003679A6" w:rsidRPr="000F052B">
        <w:rPr>
          <w:rFonts w:ascii="Times New Roman" w:hAnsi="Times New Roman" w:cs="Times New Roman"/>
          <w:sz w:val="24"/>
          <w:szCs w:val="24"/>
          <w:lang w:val="en-US"/>
        </w:rPr>
        <w:t xml:space="preserve">term relationship of </w:t>
      </w:r>
      <w:r w:rsidR="0005260F" w:rsidRPr="000F052B">
        <w:rPr>
          <w:rFonts w:ascii="Times New Roman" w:hAnsi="Times New Roman" w:cs="Times New Roman"/>
          <w:sz w:val="24"/>
          <w:szCs w:val="24"/>
          <w:lang w:val="en-US"/>
        </w:rPr>
        <w:t xml:space="preserve">inter-firm </w:t>
      </w:r>
      <w:r w:rsidR="003679A6" w:rsidRPr="000F052B">
        <w:rPr>
          <w:rFonts w:ascii="Times New Roman" w:hAnsi="Times New Roman" w:cs="Times New Roman"/>
          <w:sz w:val="24"/>
          <w:szCs w:val="24"/>
          <w:lang w:val="en-US"/>
        </w:rPr>
        <w:t>co-operation.</w:t>
      </w:r>
      <w:r w:rsidR="001969CC" w:rsidRPr="000F052B">
        <w:rPr>
          <w:rStyle w:val="FootnoteReference"/>
          <w:rFonts w:ascii="Times New Roman" w:hAnsi="Times New Roman" w:cs="Times New Roman"/>
          <w:sz w:val="24"/>
          <w:szCs w:val="24"/>
          <w:lang w:val="en-US"/>
        </w:rPr>
        <w:footnoteReference w:id="169"/>
      </w:r>
      <w:r w:rsidR="003679A6" w:rsidRPr="000F052B">
        <w:rPr>
          <w:rFonts w:ascii="Times New Roman" w:hAnsi="Times New Roman" w:cs="Times New Roman"/>
          <w:sz w:val="24"/>
          <w:szCs w:val="24"/>
          <w:lang w:val="en-US"/>
        </w:rPr>
        <w:t xml:space="preserve">  Baird had relied on this relationship, which accounted for 30-40 per cent of its total turnover, due </w:t>
      </w:r>
      <w:r w:rsidR="00471296" w:rsidRPr="000F052B">
        <w:rPr>
          <w:rFonts w:ascii="Times New Roman" w:hAnsi="Times New Roman" w:cs="Times New Roman"/>
          <w:sz w:val="24"/>
          <w:szCs w:val="24"/>
          <w:lang w:val="en-US"/>
        </w:rPr>
        <w:t>to its long-term duration and representations from M&amp;S that this relationship would continue indefinitely.</w:t>
      </w:r>
      <w:r w:rsidR="001969CC" w:rsidRPr="000F052B">
        <w:rPr>
          <w:rStyle w:val="FootnoteReference"/>
          <w:rFonts w:ascii="Times New Roman" w:hAnsi="Times New Roman" w:cs="Times New Roman"/>
          <w:sz w:val="24"/>
          <w:szCs w:val="24"/>
          <w:lang w:val="en-US"/>
        </w:rPr>
        <w:footnoteReference w:id="170"/>
      </w:r>
      <w:r w:rsidR="00471296" w:rsidRPr="000F052B">
        <w:rPr>
          <w:rFonts w:ascii="Times New Roman" w:hAnsi="Times New Roman" w:cs="Times New Roman"/>
          <w:sz w:val="24"/>
          <w:szCs w:val="24"/>
          <w:lang w:val="en-US"/>
        </w:rPr>
        <w:t xml:space="preserve">  </w:t>
      </w:r>
      <w:r w:rsidR="008F7A18" w:rsidRPr="000F052B">
        <w:rPr>
          <w:rFonts w:ascii="Times New Roman" w:hAnsi="Times New Roman" w:cs="Times New Roman"/>
          <w:sz w:val="24"/>
          <w:szCs w:val="24"/>
          <w:lang w:val="en-US"/>
        </w:rPr>
        <w:t xml:space="preserve">Indeed, Baird had invested a good deal of </w:t>
      </w:r>
      <w:r w:rsidR="0005260F" w:rsidRPr="000F052B">
        <w:rPr>
          <w:rFonts w:ascii="Times New Roman" w:hAnsi="Times New Roman" w:cs="Times New Roman"/>
          <w:sz w:val="24"/>
          <w:szCs w:val="24"/>
          <w:lang w:val="en-US"/>
        </w:rPr>
        <w:t xml:space="preserve">sunk </w:t>
      </w:r>
      <w:r w:rsidR="008F7A18" w:rsidRPr="000F052B">
        <w:rPr>
          <w:rFonts w:ascii="Times New Roman" w:hAnsi="Times New Roman" w:cs="Times New Roman"/>
          <w:sz w:val="24"/>
          <w:szCs w:val="24"/>
          <w:lang w:val="en-US"/>
        </w:rPr>
        <w:t>expenditure in assets and employees in order to be able to respond to M&amp;S’s needs.</w:t>
      </w:r>
      <w:r w:rsidR="001969CC" w:rsidRPr="000F052B">
        <w:rPr>
          <w:rStyle w:val="FootnoteReference"/>
          <w:rFonts w:ascii="Times New Roman" w:hAnsi="Times New Roman" w:cs="Times New Roman"/>
          <w:sz w:val="24"/>
          <w:szCs w:val="24"/>
          <w:lang w:val="en-US"/>
        </w:rPr>
        <w:footnoteReference w:id="171"/>
      </w:r>
      <w:r w:rsidR="008F7A18" w:rsidRPr="000F052B">
        <w:rPr>
          <w:rFonts w:ascii="Times New Roman" w:hAnsi="Times New Roman" w:cs="Times New Roman"/>
          <w:sz w:val="24"/>
          <w:szCs w:val="24"/>
          <w:lang w:val="en-US"/>
        </w:rPr>
        <w:t xml:space="preserve">  </w:t>
      </w:r>
      <w:r w:rsidR="00471296" w:rsidRPr="000F052B">
        <w:rPr>
          <w:rFonts w:ascii="Times New Roman" w:hAnsi="Times New Roman" w:cs="Times New Roman"/>
          <w:sz w:val="24"/>
          <w:szCs w:val="24"/>
          <w:lang w:val="en-US"/>
        </w:rPr>
        <w:t>What was clear, however, was that there was no express long-term contractual undertaking</w:t>
      </w:r>
      <w:r w:rsidR="0005260F" w:rsidRPr="000F052B">
        <w:rPr>
          <w:rFonts w:ascii="Times New Roman" w:hAnsi="Times New Roman" w:cs="Times New Roman"/>
          <w:sz w:val="24"/>
          <w:szCs w:val="24"/>
          <w:lang w:val="en-US"/>
        </w:rPr>
        <w:t xml:space="preserve"> on M&amp;S’s part</w:t>
      </w:r>
      <w:r w:rsidR="00471296" w:rsidRPr="000F052B">
        <w:rPr>
          <w:rFonts w:ascii="Times New Roman" w:hAnsi="Times New Roman" w:cs="Times New Roman"/>
          <w:sz w:val="24"/>
          <w:szCs w:val="24"/>
          <w:lang w:val="en-US"/>
        </w:rPr>
        <w:t>.</w:t>
      </w:r>
      <w:r w:rsidR="001969CC" w:rsidRPr="000F052B">
        <w:rPr>
          <w:rStyle w:val="FootnoteReference"/>
          <w:rFonts w:ascii="Times New Roman" w:hAnsi="Times New Roman" w:cs="Times New Roman"/>
          <w:sz w:val="24"/>
          <w:szCs w:val="24"/>
          <w:lang w:val="en-US"/>
        </w:rPr>
        <w:footnoteReference w:id="172"/>
      </w:r>
      <w:r w:rsidR="00471296" w:rsidRPr="000F052B">
        <w:rPr>
          <w:rFonts w:ascii="Times New Roman" w:hAnsi="Times New Roman" w:cs="Times New Roman"/>
          <w:sz w:val="24"/>
          <w:szCs w:val="24"/>
          <w:lang w:val="en-US"/>
        </w:rPr>
        <w:t xml:space="preserve">  At most, there was a long-term </w:t>
      </w:r>
      <w:r w:rsidR="0005260F" w:rsidRPr="000F052B">
        <w:rPr>
          <w:rFonts w:ascii="Times New Roman" w:hAnsi="Times New Roman" w:cs="Times New Roman"/>
          <w:sz w:val="24"/>
          <w:szCs w:val="24"/>
          <w:lang w:val="en-US"/>
        </w:rPr>
        <w:t xml:space="preserve">business </w:t>
      </w:r>
      <w:r w:rsidR="00471296" w:rsidRPr="000F052B">
        <w:rPr>
          <w:rFonts w:ascii="Times New Roman" w:hAnsi="Times New Roman" w:cs="Times New Roman"/>
          <w:sz w:val="24"/>
          <w:szCs w:val="24"/>
          <w:lang w:val="en-US"/>
        </w:rPr>
        <w:t>relationship, which Baird argued could only be terminated on reasonable notice (three years</w:t>
      </w:r>
      <w:r w:rsidR="0005260F" w:rsidRPr="000F052B">
        <w:rPr>
          <w:rFonts w:ascii="Times New Roman" w:hAnsi="Times New Roman" w:cs="Times New Roman"/>
          <w:sz w:val="24"/>
          <w:szCs w:val="24"/>
          <w:lang w:val="en-US"/>
        </w:rPr>
        <w:t xml:space="preserve"> was their submission</w:t>
      </w:r>
      <w:r w:rsidR="00471296" w:rsidRPr="000F052B">
        <w:rPr>
          <w:rFonts w:ascii="Times New Roman" w:hAnsi="Times New Roman" w:cs="Times New Roman"/>
          <w:sz w:val="24"/>
          <w:szCs w:val="24"/>
          <w:lang w:val="en-US"/>
        </w:rPr>
        <w:t>).</w:t>
      </w:r>
      <w:r w:rsidR="001969CC" w:rsidRPr="000F052B">
        <w:rPr>
          <w:rStyle w:val="FootnoteReference"/>
          <w:rFonts w:ascii="Times New Roman" w:hAnsi="Times New Roman" w:cs="Times New Roman"/>
          <w:sz w:val="24"/>
          <w:szCs w:val="24"/>
          <w:lang w:val="en-US"/>
        </w:rPr>
        <w:footnoteReference w:id="173"/>
      </w:r>
      <w:r w:rsidR="00471296" w:rsidRPr="000F052B">
        <w:rPr>
          <w:rFonts w:ascii="Times New Roman" w:hAnsi="Times New Roman" w:cs="Times New Roman"/>
          <w:sz w:val="24"/>
          <w:szCs w:val="24"/>
          <w:lang w:val="en-US"/>
        </w:rPr>
        <w:t xml:space="preserve">  </w:t>
      </w:r>
    </w:p>
    <w:p w14:paraId="1B879096" w14:textId="412C2DC8" w:rsidR="00487E2B" w:rsidRPr="000F052B" w:rsidRDefault="00471296"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the Court of Appeal, Baird failed to convince any of the members of the court that their claim for damages resulting from M&amp;S’s summary termination of the business relationship should proceed to trial.</w:t>
      </w:r>
      <w:r w:rsidR="001969CC" w:rsidRPr="000F052B">
        <w:rPr>
          <w:rStyle w:val="FootnoteReference"/>
          <w:rFonts w:ascii="Times New Roman" w:hAnsi="Times New Roman" w:cs="Times New Roman"/>
          <w:sz w:val="24"/>
          <w:szCs w:val="24"/>
          <w:lang w:val="en-US"/>
        </w:rPr>
        <w:footnoteReference w:id="174"/>
      </w:r>
      <w:r w:rsidR="00AA694E" w:rsidRPr="000F052B">
        <w:rPr>
          <w:rFonts w:ascii="Times New Roman" w:hAnsi="Times New Roman" w:cs="Times New Roman"/>
          <w:sz w:val="24"/>
          <w:szCs w:val="24"/>
          <w:lang w:val="en-US"/>
        </w:rPr>
        <w:t xml:space="preserve">  Two major potential causes of action were considered: first, in the absence of an express contract, Baird argued for tacit agreement</w:t>
      </w:r>
      <w:r w:rsidR="0005260F" w:rsidRPr="000F052B">
        <w:rPr>
          <w:rFonts w:ascii="Times New Roman" w:hAnsi="Times New Roman" w:cs="Times New Roman"/>
          <w:sz w:val="24"/>
          <w:szCs w:val="24"/>
          <w:lang w:val="en-US"/>
        </w:rPr>
        <w:t>, incorporating</w:t>
      </w:r>
      <w:r w:rsidR="00AA694E" w:rsidRPr="000F052B">
        <w:rPr>
          <w:rFonts w:ascii="Times New Roman" w:hAnsi="Times New Roman" w:cs="Times New Roman"/>
          <w:sz w:val="24"/>
          <w:szCs w:val="24"/>
          <w:lang w:val="en-US"/>
        </w:rPr>
        <w:t xml:space="preserve"> a proper notice period.</w:t>
      </w:r>
      <w:r w:rsidR="001969CC" w:rsidRPr="000F052B">
        <w:rPr>
          <w:rStyle w:val="FootnoteReference"/>
          <w:rFonts w:ascii="Times New Roman" w:hAnsi="Times New Roman" w:cs="Times New Roman"/>
          <w:sz w:val="24"/>
          <w:szCs w:val="24"/>
          <w:lang w:val="en-US"/>
        </w:rPr>
        <w:footnoteReference w:id="175"/>
      </w:r>
      <w:r w:rsidR="00AA694E" w:rsidRPr="000F052B">
        <w:rPr>
          <w:rFonts w:ascii="Times New Roman" w:hAnsi="Times New Roman" w:cs="Times New Roman"/>
          <w:sz w:val="24"/>
          <w:szCs w:val="24"/>
          <w:lang w:val="en-US"/>
        </w:rPr>
        <w:t xml:space="preserve">  This claim failed: the court was of the view that the lack of certainty in the business relationship as to quantity of goods to be supplied or price</w:t>
      </w:r>
      <w:r w:rsidR="0005260F" w:rsidRPr="000F052B">
        <w:rPr>
          <w:rFonts w:ascii="Times New Roman" w:hAnsi="Times New Roman" w:cs="Times New Roman"/>
          <w:sz w:val="24"/>
          <w:szCs w:val="24"/>
          <w:lang w:val="en-US"/>
        </w:rPr>
        <w:t>,</w:t>
      </w:r>
      <w:r w:rsidR="00AA694E" w:rsidRPr="000F052B">
        <w:rPr>
          <w:rFonts w:ascii="Times New Roman" w:hAnsi="Times New Roman" w:cs="Times New Roman"/>
          <w:sz w:val="24"/>
          <w:szCs w:val="24"/>
          <w:lang w:val="en-US"/>
        </w:rPr>
        <w:t xml:space="preserve"> prevented a cause of action for damages in contract.</w:t>
      </w:r>
      <w:r w:rsidR="001969CC" w:rsidRPr="000F052B">
        <w:rPr>
          <w:rStyle w:val="FootnoteReference"/>
          <w:rFonts w:ascii="Times New Roman" w:hAnsi="Times New Roman" w:cs="Times New Roman"/>
          <w:sz w:val="24"/>
          <w:szCs w:val="24"/>
          <w:lang w:val="en-US"/>
        </w:rPr>
        <w:footnoteReference w:id="176"/>
      </w:r>
      <w:r w:rsidR="00AA694E" w:rsidRPr="000F052B">
        <w:rPr>
          <w:rFonts w:ascii="Times New Roman" w:hAnsi="Times New Roman" w:cs="Times New Roman"/>
          <w:sz w:val="24"/>
          <w:szCs w:val="24"/>
          <w:lang w:val="en-US"/>
        </w:rPr>
        <w:t xml:space="preserve">  The second argument rested on estoppel, namely that the nature of the relationship between Baird and </w:t>
      </w:r>
      <w:r w:rsidR="00080010" w:rsidRPr="000F052B">
        <w:rPr>
          <w:rFonts w:ascii="Times New Roman" w:hAnsi="Times New Roman" w:cs="Times New Roman"/>
          <w:sz w:val="24"/>
          <w:szCs w:val="24"/>
          <w:lang w:val="en-US"/>
        </w:rPr>
        <w:t>M&amp;S estopp</w:t>
      </w:r>
      <w:r w:rsidR="00AA694E" w:rsidRPr="000F052B">
        <w:rPr>
          <w:rFonts w:ascii="Times New Roman" w:hAnsi="Times New Roman" w:cs="Times New Roman"/>
          <w:sz w:val="24"/>
          <w:szCs w:val="24"/>
          <w:lang w:val="en-US"/>
        </w:rPr>
        <w:t>ed M&amp;S from denying the existence of a tacit long-te</w:t>
      </w:r>
      <w:r w:rsidR="0005260F" w:rsidRPr="000F052B">
        <w:rPr>
          <w:rFonts w:ascii="Times New Roman" w:hAnsi="Times New Roman" w:cs="Times New Roman"/>
          <w:sz w:val="24"/>
          <w:szCs w:val="24"/>
          <w:lang w:val="en-US"/>
        </w:rPr>
        <w:t>rm supply contract between them;</w:t>
      </w:r>
      <w:r w:rsidR="00AA694E" w:rsidRPr="000F052B">
        <w:rPr>
          <w:rFonts w:ascii="Times New Roman" w:hAnsi="Times New Roman" w:cs="Times New Roman"/>
          <w:sz w:val="24"/>
          <w:szCs w:val="24"/>
          <w:lang w:val="en-US"/>
        </w:rPr>
        <w:t xml:space="preserve"> or alternatively, that estoppel precluded the termination of the relationship other than on reasonable notice.</w:t>
      </w:r>
      <w:r w:rsidR="001969CC" w:rsidRPr="000F052B">
        <w:rPr>
          <w:rStyle w:val="FootnoteReference"/>
          <w:rFonts w:ascii="Times New Roman" w:hAnsi="Times New Roman" w:cs="Times New Roman"/>
          <w:sz w:val="24"/>
          <w:szCs w:val="24"/>
          <w:lang w:val="en-US"/>
        </w:rPr>
        <w:footnoteReference w:id="177"/>
      </w:r>
      <w:r w:rsidR="008F7A18" w:rsidRPr="000F052B">
        <w:rPr>
          <w:rFonts w:ascii="Times New Roman" w:hAnsi="Times New Roman" w:cs="Times New Roman"/>
          <w:sz w:val="24"/>
          <w:szCs w:val="24"/>
          <w:lang w:val="en-US"/>
        </w:rPr>
        <w:t xml:space="preserve">  This second claim also failed: an argument as to estoppel based on the existence of a tacit contract could not succeed </w:t>
      </w:r>
      <w:r w:rsidR="008F7A18" w:rsidRPr="000F052B">
        <w:rPr>
          <w:rFonts w:ascii="Times New Roman" w:hAnsi="Times New Roman" w:cs="Times New Roman"/>
          <w:sz w:val="24"/>
          <w:szCs w:val="24"/>
          <w:lang w:val="en-US"/>
        </w:rPr>
        <w:lastRenderedPageBreak/>
        <w:t xml:space="preserve">where there was </w:t>
      </w:r>
      <w:r w:rsidR="00080010" w:rsidRPr="000F052B">
        <w:rPr>
          <w:rFonts w:ascii="Times New Roman" w:hAnsi="Times New Roman" w:cs="Times New Roman"/>
          <w:sz w:val="24"/>
          <w:szCs w:val="24"/>
          <w:lang w:val="en-US"/>
        </w:rPr>
        <w:t xml:space="preserve">held to be </w:t>
      </w:r>
      <w:r w:rsidR="008F7A18" w:rsidRPr="000F052B">
        <w:rPr>
          <w:rFonts w:ascii="Times New Roman" w:hAnsi="Times New Roman" w:cs="Times New Roman"/>
          <w:sz w:val="24"/>
          <w:szCs w:val="24"/>
          <w:lang w:val="en-US"/>
        </w:rPr>
        <w:t xml:space="preserve">no </w:t>
      </w:r>
      <w:r w:rsidR="00080010" w:rsidRPr="000F052B">
        <w:rPr>
          <w:rFonts w:ascii="Times New Roman" w:hAnsi="Times New Roman" w:cs="Times New Roman"/>
          <w:sz w:val="24"/>
          <w:szCs w:val="24"/>
          <w:lang w:val="en-US"/>
        </w:rPr>
        <w:t>such</w:t>
      </w:r>
      <w:r w:rsidR="008F7A18" w:rsidRPr="000F052B">
        <w:rPr>
          <w:rFonts w:ascii="Times New Roman" w:hAnsi="Times New Roman" w:cs="Times New Roman"/>
          <w:sz w:val="24"/>
          <w:szCs w:val="24"/>
          <w:lang w:val="en-US"/>
        </w:rPr>
        <w:t xml:space="preserve"> contract</w:t>
      </w:r>
      <w:r w:rsidR="00080010" w:rsidRPr="000F052B">
        <w:rPr>
          <w:rFonts w:ascii="Times New Roman" w:hAnsi="Times New Roman" w:cs="Times New Roman"/>
          <w:sz w:val="24"/>
          <w:szCs w:val="24"/>
          <w:lang w:val="en-US"/>
        </w:rPr>
        <w:t>;</w:t>
      </w:r>
      <w:r w:rsidR="008F7A18" w:rsidRPr="000F052B">
        <w:rPr>
          <w:rFonts w:ascii="Times New Roman" w:hAnsi="Times New Roman" w:cs="Times New Roman"/>
          <w:sz w:val="24"/>
          <w:szCs w:val="24"/>
          <w:lang w:val="en-US"/>
        </w:rPr>
        <w:t xml:space="preserve"> and the alternative of a reasonable notice period without a tacit contract required estoppel itself to found the cause of action, which was not possible in the circumstances in English law.</w:t>
      </w:r>
      <w:r w:rsidR="001969CC" w:rsidRPr="000F052B">
        <w:rPr>
          <w:rStyle w:val="FootnoteReference"/>
          <w:rFonts w:ascii="Times New Roman" w:hAnsi="Times New Roman" w:cs="Times New Roman"/>
          <w:sz w:val="24"/>
          <w:szCs w:val="24"/>
          <w:lang w:val="en-US"/>
        </w:rPr>
        <w:footnoteReference w:id="178"/>
      </w:r>
    </w:p>
    <w:p w14:paraId="516BE30F" w14:textId="3F2450CE" w:rsidR="008F7A18" w:rsidRPr="00847964" w:rsidRDefault="008F7A18" w:rsidP="00205AF2">
      <w:pPr>
        <w:spacing w:after="120" w:line="480" w:lineRule="auto"/>
        <w:ind w:firstLine="720"/>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The clear emergent picture here is of a business relationship between a dominant and a weaker</w:t>
      </w:r>
      <w:r w:rsidR="00C43236" w:rsidRPr="000F052B">
        <w:rPr>
          <w:rFonts w:ascii="Times New Roman" w:hAnsi="Times New Roman" w:cs="Times New Roman"/>
          <w:sz w:val="24"/>
          <w:szCs w:val="24"/>
          <w:lang w:val="en-US"/>
        </w:rPr>
        <w:t xml:space="preserve"> party in a supply chain</w:t>
      </w:r>
      <w:r w:rsidRPr="000F052B">
        <w:rPr>
          <w:rFonts w:ascii="Times New Roman" w:hAnsi="Times New Roman" w:cs="Times New Roman"/>
          <w:sz w:val="24"/>
          <w:szCs w:val="24"/>
          <w:lang w:val="en-US"/>
        </w:rPr>
        <w:t xml:space="preserve">.  </w:t>
      </w:r>
      <w:r w:rsidR="00291196" w:rsidRPr="000F052B">
        <w:rPr>
          <w:rFonts w:ascii="Times New Roman" w:hAnsi="Times New Roman" w:cs="Times New Roman"/>
          <w:sz w:val="24"/>
          <w:szCs w:val="24"/>
          <w:lang w:val="en-US"/>
        </w:rPr>
        <w:t xml:space="preserve">Due to its dominant position, M&amp;S was able to dictate the nature </w:t>
      </w:r>
      <w:r w:rsidR="00C43236" w:rsidRPr="000F052B">
        <w:rPr>
          <w:rFonts w:ascii="Times New Roman" w:hAnsi="Times New Roman" w:cs="Times New Roman"/>
          <w:sz w:val="24"/>
          <w:szCs w:val="24"/>
          <w:lang w:val="en-US"/>
        </w:rPr>
        <w:t>of such</w:t>
      </w:r>
      <w:r w:rsidR="00291196" w:rsidRPr="000F052B">
        <w:rPr>
          <w:rFonts w:ascii="Times New Roman" w:hAnsi="Times New Roman" w:cs="Times New Roman"/>
          <w:sz w:val="24"/>
          <w:szCs w:val="24"/>
          <w:lang w:val="en-US"/>
        </w:rPr>
        <w:t xml:space="preserve"> relationship to Baird.</w:t>
      </w:r>
      <w:r w:rsidR="001969CC" w:rsidRPr="000F052B">
        <w:rPr>
          <w:rStyle w:val="FootnoteReference"/>
          <w:rFonts w:ascii="Times New Roman" w:hAnsi="Times New Roman" w:cs="Times New Roman"/>
          <w:sz w:val="24"/>
          <w:szCs w:val="24"/>
          <w:lang w:val="en-US"/>
        </w:rPr>
        <w:footnoteReference w:id="179"/>
      </w:r>
      <w:r w:rsidR="00291196" w:rsidRPr="000F052B">
        <w:rPr>
          <w:rFonts w:ascii="Times New Roman" w:hAnsi="Times New Roman" w:cs="Times New Roman"/>
          <w:sz w:val="24"/>
          <w:szCs w:val="24"/>
          <w:lang w:val="en-US"/>
        </w:rPr>
        <w:t xml:space="preserve">  This allowed a measure of flexibility to M&amp;S, enabling its requirements to be adjusted on a seasonal basis.</w:t>
      </w:r>
      <w:r w:rsidR="001969CC" w:rsidRPr="000F052B">
        <w:rPr>
          <w:rStyle w:val="FootnoteReference"/>
          <w:rFonts w:ascii="Times New Roman" w:hAnsi="Times New Roman" w:cs="Times New Roman"/>
          <w:sz w:val="24"/>
          <w:szCs w:val="24"/>
          <w:lang w:val="en-US"/>
        </w:rPr>
        <w:footnoteReference w:id="180"/>
      </w:r>
      <w:r w:rsidR="00291196" w:rsidRPr="000F052B">
        <w:rPr>
          <w:rFonts w:ascii="Times New Roman" w:hAnsi="Times New Roman" w:cs="Times New Roman"/>
          <w:sz w:val="24"/>
          <w:szCs w:val="24"/>
          <w:lang w:val="en-US"/>
        </w:rPr>
        <w:t xml:space="preserve">  Baird relied on this relationship, incurring sunk expenditure specifically towards catering for M&amp;S</w:t>
      </w:r>
      <w:r w:rsidR="00080010" w:rsidRPr="000F052B">
        <w:rPr>
          <w:rFonts w:ascii="Times New Roman" w:hAnsi="Times New Roman" w:cs="Times New Roman"/>
          <w:sz w:val="24"/>
          <w:szCs w:val="24"/>
          <w:lang w:val="en-US"/>
        </w:rPr>
        <w:t>’s needs</w:t>
      </w:r>
      <w:r w:rsidR="00291196" w:rsidRPr="000F052B">
        <w:rPr>
          <w:rFonts w:ascii="Times New Roman" w:hAnsi="Times New Roman" w:cs="Times New Roman"/>
          <w:sz w:val="24"/>
          <w:szCs w:val="24"/>
          <w:lang w:val="en-US"/>
        </w:rPr>
        <w:t xml:space="preserve">.  For thirty years, this partnering relationship benefitted both parties, but Baird was left exposed thereby to M&amp;S’s opportunism.  </w:t>
      </w:r>
      <w:r w:rsidR="00080010" w:rsidRPr="000F052B">
        <w:rPr>
          <w:rFonts w:ascii="Times New Roman" w:hAnsi="Times New Roman" w:cs="Times New Roman"/>
          <w:sz w:val="24"/>
          <w:szCs w:val="24"/>
          <w:lang w:val="en-US"/>
        </w:rPr>
        <w:t xml:space="preserve">Of course, </w:t>
      </w:r>
      <w:r w:rsidR="00291196" w:rsidRPr="000F052B">
        <w:rPr>
          <w:rFonts w:ascii="Times New Roman" w:hAnsi="Times New Roman" w:cs="Times New Roman"/>
          <w:sz w:val="24"/>
          <w:szCs w:val="24"/>
          <w:lang w:val="en-US"/>
        </w:rPr>
        <w:t xml:space="preserve">Baird was by no means a vulnerable small business.  The annual turnover from </w:t>
      </w:r>
      <w:r w:rsidR="00080010" w:rsidRPr="000F052B">
        <w:rPr>
          <w:rFonts w:ascii="Times New Roman" w:hAnsi="Times New Roman" w:cs="Times New Roman"/>
          <w:sz w:val="24"/>
          <w:szCs w:val="24"/>
          <w:lang w:val="en-US"/>
        </w:rPr>
        <w:t xml:space="preserve">their </w:t>
      </w:r>
      <w:r w:rsidR="00291196" w:rsidRPr="000F052B">
        <w:rPr>
          <w:rFonts w:ascii="Times New Roman" w:hAnsi="Times New Roman" w:cs="Times New Roman"/>
          <w:sz w:val="24"/>
          <w:szCs w:val="24"/>
          <w:lang w:val="en-US"/>
        </w:rPr>
        <w:t xml:space="preserve">business with M&amp;S alone amounted to </w:t>
      </w:r>
      <w:r w:rsidR="000C0E97" w:rsidRPr="000F052B">
        <w:rPr>
          <w:rFonts w:ascii="Times New Roman" w:hAnsi="Times New Roman" w:cs="Times New Roman"/>
          <w:sz w:val="24"/>
          <w:szCs w:val="24"/>
          <w:lang w:val="en-US"/>
        </w:rPr>
        <w:t>over £100 million, which in turn compris</w:t>
      </w:r>
      <w:r w:rsidR="00080010" w:rsidRPr="000F052B">
        <w:rPr>
          <w:rFonts w:ascii="Times New Roman" w:hAnsi="Times New Roman" w:cs="Times New Roman"/>
          <w:sz w:val="24"/>
          <w:szCs w:val="24"/>
          <w:lang w:val="en-US"/>
        </w:rPr>
        <w:t>ed only 30 to 40 per cent of Baird’s total business.</w:t>
      </w:r>
      <w:r w:rsidR="001969CC" w:rsidRPr="000F052B">
        <w:rPr>
          <w:rStyle w:val="FootnoteReference"/>
          <w:rFonts w:ascii="Times New Roman" w:hAnsi="Times New Roman" w:cs="Times New Roman"/>
          <w:sz w:val="24"/>
          <w:szCs w:val="24"/>
          <w:lang w:val="en-US"/>
        </w:rPr>
        <w:footnoteReference w:id="181"/>
      </w:r>
      <w:r w:rsidR="00080010" w:rsidRPr="000F052B">
        <w:rPr>
          <w:rFonts w:ascii="Times New Roman" w:hAnsi="Times New Roman" w:cs="Times New Roman"/>
          <w:sz w:val="24"/>
          <w:szCs w:val="24"/>
          <w:lang w:val="en-US"/>
        </w:rPr>
        <w:t xml:space="preserve">  Partnering had</w:t>
      </w:r>
      <w:r w:rsidR="000C0E97" w:rsidRPr="000F052B">
        <w:rPr>
          <w:rFonts w:ascii="Times New Roman" w:hAnsi="Times New Roman" w:cs="Times New Roman"/>
          <w:sz w:val="24"/>
          <w:szCs w:val="24"/>
          <w:lang w:val="en-US"/>
        </w:rPr>
        <w:t xml:space="preserve"> </w:t>
      </w:r>
      <w:r w:rsidR="00080010" w:rsidRPr="000F052B">
        <w:rPr>
          <w:rFonts w:ascii="Times New Roman" w:hAnsi="Times New Roman" w:cs="Times New Roman"/>
          <w:sz w:val="24"/>
          <w:szCs w:val="24"/>
          <w:lang w:val="en-US"/>
        </w:rPr>
        <w:t xml:space="preserve">thus </w:t>
      </w:r>
      <w:r w:rsidR="000C0E97" w:rsidRPr="000F052B">
        <w:rPr>
          <w:rFonts w:ascii="Times New Roman" w:hAnsi="Times New Roman" w:cs="Times New Roman"/>
          <w:sz w:val="24"/>
          <w:szCs w:val="24"/>
          <w:lang w:val="en-US"/>
        </w:rPr>
        <w:t xml:space="preserve">indeed </w:t>
      </w:r>
      <w:r w:rsidR="00080010" w:rsidRPr="000F052B">
        <w:rPr>
          <w:rFonts w:ascii="Times New Roman" w:hAnsi="Times New Roman" w:cs="Times New Roman"/>
          <w:sz w:val="24"/>
          <w:szCs w:val="24"/>
          <w:lang w:val="en-US"/>
        </w:rPr>
        <w:t xml:space="preserve">been </w:t>
      </w:r>
      <w:r w:rsidR="000C0E97" w:rsidRPr="000F052B">
        <w:rPr>
          <w:rFonts w:ascii="Times New Roman" w:hAnsi="Times New Roman" w:cs="Times New Roman"/>
          <w:sz w:val="24"/>
          <w:szCs w:val="24"/>
          <w:lang w:val="en-US"/>
        </w:rPr>
        <w:t>a mutually profitable approach</w:t>
      </w:r>
      <w:r w:rsidR="00080010" w:rsidRPr="000F052B">
        <w:rPr>
          <w:rFonts w:ascii="Times New Roman" w:hAnsi="Times New Roman" w:cs="Times New Roman"/>
          <w:sz w:val="24"/>
          <w:szCs w:val="24"/>
          <w:lang w:val="en-US"/>
        </w:rPr>
        <w:t xml:space="preserve"> up until notice was given.  Given these economic details, one could speculate here that the </w:t>
      </w:r>
      <w:r w:rsidR="00C43236" w:rsidRPr="000F052B">
        <w:rPr>
          <w:rFonts w:ascii="Times New Roman" w:hAnsi="Times New Roman" w:cs="Times New Roman"/>
          <w:sz w:val="24"/>
          <w:szCs w:val="24"/>
          <w:lang w:val="en-US"/>
        </w:rPr>
        <w:t>most vulnerable persons</w:t>
      </w:r>
      <w:r w:rsidR="000C0E97" w:rsidRPr="000F052B">
        <w:rPr>
          <w:rFonts w:ascii="Times New Roman" w:hAnsi="Times New Roman" w:cs="Times New Roman"/>
          <w:sz w:val="24"/>
          <w:szCs w:val="24"/>
          <w:lang w:val="en-US"/>
        </w:rPr>
        <w:t xml:space="preserve"> to the M&amp;S termination were possibly </w:t>
      </w:r>
      <w:r w:rsidR="00080010" w:rsidRPr="000F052B">
        <w:rPr>
          <w:rFonts w:ascii="Times New Roman" w:hAnsi="Times New Roman" w:cs="Times New Roman"/>
          <w:sz w:val="24"/>
          <w:szCs w:val="24"/>
          <w:lang w:val="en-US"/>
        </w:rPr>
        <w:t xml:space="preserve">third parties to it, namely </w:t>
      </w:r>
      <w:r w:rsidR="000C0E97" w:rsidRPr="000F052B">
        <w:rPr>
          <w:rFonts w:ascii="Times New Roman" w:hAnsi="Times New Roman" w:cs="Times New Roman"/>
          <w:sz w:val="24"/>
          <w:szCs w:val="24"/>
          <w:lang w:val="en-US"/>
        </w:rPr>
        <w:t>the employees of Baird</w:t>
      </w:r>
      <w:r w:rsidR="00C15032" w:rsidRPr="000F052B">
        <w:rPr>
          <w:rFonts w:ascii="Times New Roman" w:hAnsi="Times New Roman" w:cs="Times New Roman"/>
          <w:sz w:val="24"/>
          <w:szCs w:val="24"/>
          <w:lang w:val="en-US"/>
        </w:rPr>
        <w:t>.</w:t>
      </w:r>
      <w:r w:rsidR="000C0E97" w:rsidRPr="000F052B">
        <w:rPr>
          <w:rFonts w:ascii="Times New Roman" w:hAnsi="Times New Roman" w:cs="Times New Roman"/>
          <w:sz w:val="24"/>
          <w:szCs w:val="24"/>
          <w:lang w:val="en-US"/>
        </w:rPr>
        <w:t xml:space="preserve">  The clear implication of the reported judgment is that a downscaling of operations at Baird would have resulted from </w:t>
      </w:r>
      <w:r w:rsidR="000C0E97" w:rsidRPr="0036003E">
        <w:rPr>
          <w:rFonts w:ascii="Times New Roman" w:hAnsi="Times New Roman" w:cs="Times New Roman"/>
          <w:sz w:val="24"/>
          <w:szCs w:val="24"/>
          <w:lang w:val="en-US"/>
        </w:rPr>
        <w:t>M&amp;S’s actions</w:t>
      </w:r>
      <w:r w:rsidR="00080010" w:rsidRPr="0036003E">
        <w:rPr>
          <w:rFonts w:ascii="Times New Roman" w:hAnsi="Times New Roman" w:cs="Times New Roman"/>
          <w:sz w:val="24"/>
          <w:szCs w:val="24"/>
          <w:lang w:val="en-US"/>
        </w:rPr>
        <w:t>, which</w:t>
      </w:r>
      <w:r w:rsidR="000C0E97" w:rsidRPr="0036003E">
        <w:rPr>
          <w:rFonts w:ascii="Times New Roman" w:hAnsi="Times New Roman" w:cs="Times New Roman"/>
          <w:sz w:val="24"/>
          <w:szCs w:val="24"/>
          <w:lang w:val="en-US"/>
        </w:rPr>
        <w:t xml:space="preserve"> would have led to the retrenchment of </w:t>
      </w:r>
      <w:r w:rsidR="00C15032" w:rsidRPr="0036003E">
        <w:rPr>
          <w:rFonts w:ascii="Times New Roman" w:hAnsi="Times New Roman" w:cs="Times New Roman"/>
          <w:sz w:val="24"/>
          <w:szCs w:val="24"/>
          <w:lang w:val="en-US"/>
        </w:rPr>
        <w:t>some of their employees:</w:t>
      </w:r>
      <w:r w:rsidR="000C0E97" w:rsidRPr="0036003E">
        <w:rPr>
          <w:rFonts w:ascii="Times New Roman" w:hAnsi="Times New Roman" w:cs="Times New Roman"/>
          <w:sz w:val="24"/>
          <w:szCs w:val="24"/>
          <w:lang w:val="en-US"/>
        </w:rPr>
        <w:t xml:space="preserve"> third parties to the </w:t>
      </w:r>
      <w:r w:rsidR="000C0E97" w:rsidRPr="00847964">
        <w:rPr>
          <w:rFonts w:ascii="Times New Roman" w:hAnsi="Times New Roman" w:cs="Times New Roman"/>
          <w:sz w:val="24"/>
          <w:szCs w:val="24"/>
          <w:lang w:val="en-US"/>
        </w:rPr>
        <w:t>business relationship, but no less reliant on it.</w:t>
      </w:r>
    </w:p>
    <w:p w14:paraId="3F08C93A" w14:textId="3F4D2876" w:rsidR="009355E3" w:rsidRDefault="0036003E" w:rsidP="00205AF2">
      <w:pPr>
        <w:spacing w:after="120" w:line="480" w:lineRule="auto"/>
        <w:ind w:firstLine="720"/>
        <w:jc w:val="both"/>
        <w:rPr>
          <w:rFonts w:ascii="Times New Roman" w:hAnsi="Times New Roman" w:cs="Times New Roman"/>
          <w:sz w:val="24"/>
          <w:szCs w:val="24"/>
        </w:rPr>
      </w:pPr>
      <w:r w:rsidRPr="00847964">
        <w:rPr>
          <w:rFonts w:ascii="Times New Roman" w:hAnsi="Times New Roman" w:cs="Times New Roman"/>
          <w:sz w:val="24"/>
          <w:szCs w:val="24"/>
          <w:lang w:val="en-US"/>
        </w:rPr>
        <w:t xml:space="preserve">A </w:t>
      </w:r>
      <w:r w:rsidR="008B4720">
        <w:rPr>
          <w:rFonts w:ascii="Times New Roman" w:hAnsi="Times New Roman" w:cs="Times New Roman"/>
          <w:sz w:val="24"/>
          <w:szCs w:val="24"/>
          <w:lang w:val="en-US"/>
        </w:rPr>
        <w:t>brief</w:t>
      </w:r>
      <w:r w:rsidRPr="005C22A5">
        <w:rPr>
          <w:rFonts w:ascii="Times New Roman" w:hAnsi="Times New Roman" w:cs="Times New Roman"/>
          <w:sz w:val="24"/>
          <w:szCs w:val="24"/>
          <w:lang w:val="en-US"/>
        </w:rPr>
        <w:t xml:space="preserve"> </w:t>
      </w:r>
      <w:r w:rsidR="008B4720">
        <w:rPr>
          <w:rFonts w:ascii="Times New Roman" w:hAnsi="Times New Roman" w:cs="Times New Roman"/>
          <w:sz w:val="24"/>
          <w:szCs w:val="24"/>
          <w:lang w:val="en-US"/>
        </w:rPr>
        <w:t>examination of</w:t>
      </w:r>
      <w:r w:rsidRPr="005C22A5">
        <w:rPr>
          <w:rFonts w:ascii="Times New Roman" w:hAnsi="Times New Roman" w:cs="Times New Roman"/>
          <w:sz w:val="24"/>
          <w:szCs w:val="24"/>
          <w:lang w:val="en-US"/>
        </w:rPr>
        <w:t xml:space="preserve"> the Australia database shows that, since 1987, 76 cases concerning umbr</w:t>
      </w:r>
      <w:r w:rsidRPr="00847964">
        <w:rPr>
          <w:rFonts w:ascii="Times New Roman" w:hAnsi="Times New Roman" w:cs="Times New Roman"/>
          <w:sz w:val="24"/>
          <w:szCs w:val="24"/>
          <w:lang w:val="en-US"/>
        </w:rPr>
        <w:t xml:space="preserve">ella agreements have been </w:t>
      </w:r>
      <w:r w:rsidR="00591D5B" w:rsidRPr="00847964">
        <w:rPr>
          <w:rFonts w:ascii="Times New Roman" w:hAnsi="Times New Roman" w:cs="Times New Roman"/>
          <w:sz w:val="24"/>
          <w:szCs w:val="24"/>
          <w:lang w:val="en-US"/>
        </w:rPr>
        <w:t>heard by the courts</w:t>
      </w:r>
      <w:r w:rsidRPr="00847964">
        <w:rPr>
          <w:rFonts w:ascii="Times New Roman" w:hAnsi="Times New Roman" w:cs="Times New Roman"/>
          <w:sz w:val="24"/>
          <w:szCs w:val="24"/>
          <w:lang w:val="en-US"/>
        </w:rPr>
        <w:t>. This is testament to the commonality of such arrangements in business transactions. The</w:t>
      </w:r>
      <w:r w:rsidR="000F052B" w:rsidRPr="00847964">
        <w:rPr>
          <w:rFonts w:ascii="Times New Roman" w:hAnsi="Times New Roman" w:cs="Times New Roman"/>
          <w:sz w:val="24"/>
          <w:szCs w:val="24"/>
          <w:lang w:val="en-US"/>
        </w:rPr>
        <w:t xml:space="preserve"> leading case is</w:t>
      </w:r>
      <w:r w:rsidRPr="00847964">
        <w:rPr>
          <w:rFonts w:ascii="Times New Roman" w:hAnsi="Times New Roman" w:cs="Times New Roman"/>
          <w:sz w:val="24"/>
          <w:szCs w:val="24"/>
          <w:lang w:val="en-US"/>
        </w:rPr>
        <w:t xml:space="preserve"> the well-known</w:t>
      </w:r>
      <w:r w:rsidR="000F052B" w:rsidRPr="00847964">
        <w:rPr>
          <w:rFonts w:ascii="Times New Roman" w:hAnsi="Times New Roman" w:cs="Times New Roman"/>
          <w:sz w:val="24"/>
          <w:szCs w:val="24"/>
          <w:lang w:val="en-US"/>
        </w:rPr>
        <w:t xml:space="preserve"> </w:t>
      </w:r>
      <w:r w:rsidR="000F052B" w:rsidRPr="008458A4">
        <w:rPr>
          <w:rFonts w:ascii="Times New Roman" w:hAnsi="Times New Roman" w:cs="Times New Roman"/>
          <w:i/>
          <w:sz w:val="24"/>
          <w:szCs w:val="24"/>
        </w:rPr>
        <w:t>Burger King Corp v Hungry Jacks Pty Ltd</w:t>
      </w:r>
      <w:r w:rsidR="00D8512E">
        <w:rPr>
          <w:rFonts w:ascii="Times New Roman" w:hAnsi="Times New Roman" w:cs="Times New Roman"/>
          <w:sz w:val="24"/>
          <w:szCs w:val="24"/>
        </w:rPr>
        <w:t>,</w:t>
      </w:r>
      <w:r w:rsidR="005C22A5" w:rsidRPr="00FE4303">
        <w:rPr>
          <w:rStyle w:val="FootnoteReference"/>
          <w:rFonts w:ascii="Times New Roman" w:hAnsi="Times New Roman" w:cs="Times New Roman"/>
          <w:sz w:val="24"/>
          <w:szCs w:val="24"/>
        </w:rPr>
        <w:footnoteReference w:id="182"/>
      </w:r>
      <w:r w:rsidR="005C22A5">
        <w:rPr>
          <w:rFonts w:ascii="Times New Roman" w:hAnsi="Times New Roman" w:cs="Times New Roman"/>
          <w:sz w:val="24"/>
          <w:szCs w:val="24"/>
        </w:rPr>
        <w:t xml:space="preserve"> </w:t>
      </w:r>
      <w:r w:rsidR="00A635C8">
        <w:rPr>
          <w:rFonts w:ascii="Times New Roman" w:hAnsi="Times New Roman" w:cs="Times New Roman"/>
          <w:sz w:val="24"/>
          <w:szCs w:val="24"/>
        </w:rPr>
        <w:t xml:space="preserve">a </w:t>
      </w:r>
      <w:r w:rsidR="005C22A5">
        <w:rPr>
          <w:rFonts w:ascii="Times New Roman" w:hAnsi="Times New Roman" w:cs="Times New Roman"/>
          <w:sz w:val="24"/>
          <w:szCs w:val="24"/>
        </w:rPr>
        <w:t xml:space="preserve">case which may also shed new light on </w:t>
      </w:r>
      <w:r w:rsidR="005C22A5">
        <w:rPr>
          <w:rFonts w:ascii="Times New Roman" w:hAnsi="Times New Roman" w:cs="Times New Roman"/>
          <w:sz w:val="24"/>
          <w:szCs w:val="24"/>
        </w:rPr>
        <w:lastRenderedPageBreak/>
        <w:t xml:space="preserve">Australian contract law’s transition towards an implied duty to act in good faith and reasonably, discussed above in Part II, Section B.1. </w:t>
      </w:r>
      <w:r w:rsidRPr="00847964">
        <w:rPr>
          <w:rFonts w:ascii="Times New Roman" w:hAnsi="Times New Roman" w:cs="Times New Roman"/>
          <w:sz w:val="24"/>
          <w:szCs w:val="24"/>
        </w:rPr>
        <w:t>What matters for our purposes is that, in 1990, the parties entered into four agreement</w:t>
      </w:r>
      <w:r w:rsidR="00591D5B" w:rsidRPr="00847964">
        <w:rPr>
          <w:rFonts w:ascii="Times New Roman" w:hAnsi="Times New Roman" w:cs="Times New Roman"/>
          <w:sz w:val="24"/>
          <w:szCs w:val="24"/>
        </w:rPr>
        <w:t>s</w:t>
      </w:r>
      <w:r w:rsidRPr="005C22A5">
        <w:rPr>
          <w:rFonts w:ascii="Times New Roman" w:hAnsi="Times New Roman" w:cs="Times New Roman"/>
          <w:sz w:val="24"/>
          <w:szCs w:val="24"/>
        </w:rPr>
        <w:t xml:space="preserve"> to settle a series of dispute relating to Hungry Jack’s activities as franchisee of Burger King in Australi</w:t>
      </w:r>
      <w:r w:rsidR="00302533">
        <w:rPr>
          <w:rFonts w:ascii="Times New Roman" w:hAnsi="Times New Roman" w:cs="Times New Roman"/>
          <w:sz w:val="24"/>
          <w:szCs w:val="24"/>
        </w:rPr>
        <w:t>a. One of such agreements, the “Settlement Agreement”</w:t>
      </w:r>
      <w:r w:rsidRPr="005C22A5">
        <w:rPr>
          <w:rFonts w:ascii="Times New Roman" w:hAnsi="Times New Roman" w:cs="Times New Roman"/>
          <w:sz w:val="24"/>
          <w:szCs w:val="24"/>
        </w:rPr>
        <w:t xml:space="preserve"> </w:t>
      </w:r>
      <w:r w:rsidR="00591D5B" w:rsidRPr="005C22A5">
        <w:rPr>
          <w:rFonts w:ascii="Times New Roman" w:hAnsi="Times New Roman" w:cs="Times New Roman"/>
          <w:sz w:val="24"/>
          <w:szCs w:val="24"/>
        </w:rPr>
        <w:t>was categorised by the Court of Appeal of New South Wales as an umbrella agreement.</w:t>
      </w:r>
      <w:r w:rsidR="00591D5B" w:rsidRPr="00847964">
        <w:rPr>
          <w:rStyle w:val="FootnoteReference"/>
          <w:rFonts w:ascii="Times New Roman" w:hAnsi="Times New Roman" w:cs="Times New Roman"/>
          <w:sz w:val="24"/>
          <w:szCs w:val="24"/>
        </w:rPr>
        <w:footnoteReference w:id="183"/>
      </w:r>
      <w:r w:rsidRPr="00847964">
        <w:rPr>
          <w:rFonts w:ascii="Times New Roman" w:hAnsi="Times New Roman" w:cs="Times New Roman"/>
          <w:sz w:val="24"/>
          <w:szCs w:val="24"/>
        </w:rPr>
        <w:t xml:space="preserve"> </w:t>
      </w:r>
      <w:r w:rsidR="00591D5B" w:rsidRPr="00847964">
        <w:rPr>
          <w:rFonts w:ascii="Times New Roman" w:hAnsi="Times New Roman" w:cs="Times New Roman"/>
          <w:sz w:val="24"/>
          <w:szCs w:val="24"/>
        </w:rPr>
        <w:t>Among other things, t</w:t>
      </w:r>
      <w:r w:rsidR="00591D5B" w:rsidRPr="005C22A5">
        <w:rPr>
          <w:rFonts w:ascii="Times New Roman" w:hAnsi="Times New Roman" w:cs="Times New Roman"/>
          <w:sz w:val="24"/>
          <w:szCs w:val="24"/>
        </w:rPr>
        <w:t xml:space="preserve">he agreement served to terminate certain of the existing agreements and specify which other agreements, including existing franchise agreements, still applied. </w:t>
      </w:r>
      <w:r w:rsidR="00591D5B" w:rsidRPr="008458A4">
        <w:rPr>
          <w:rFonts w:ascii="Times New Roman" w:hAnsi="Times New Roman" w:cs="Times New Roman"/>
          <w:sz w:val="24"/>
          <w:szCs w:val="24"/>
        </w:rPr>
        <w:t xml:space="preserve">After a few years, Burger King Corp </w:t>
      </w:r>
      <w:r w:rsidR="00847964" w:rsidRPr="008458A4">
        <w:rPr>
          <w:rFonts w:ascii="Times New Roman" w:hAnsi="Times New Roman" w:cs="Times New Roman"/>
          <w:sz w:val="24"/>
          <w:szCs w:val="24"/>
        </w:rPr>
        <w:t>decided to increase its own participati</w:t>
      </w:r>
      <w:r w:rsidR="00E2419A">
        <w:rPr>
          <w:rFonts w:ascii="Times New Roman" w:hAnsi="Times New Roman" w:cs="Times New Roman"/>
          <w:sz w:val="24"/>
          <w:szCs w:val="24"/>
        </w:rPr>
        <w:t>on</w:t>
      </w:r>
      <w:r w:rsidR="00847964" w:rsidRPr="008458A4">
        <w:rPr>
          <w:rFonts w:ascii="Times New Roman" w:hAnsi="Times New Roman" w:cs="Times New Roman"/>
          <w:sz w:val="24"/>
          <w:szCs w:val="24"/>
        </w:rPr>
        <w:t xml:space="preserve"> in the Australian market and reduce that of Hungry Jack. Important measures were taken to that effect, including a</w:t>
      </w:r>
      <w:r w:rsidR="00591D5B" w:rsidRPr="008458A4">
        <w:rPr>
          <w:rFonts w:ascii="Times New Roman" w:hAnsi="Times New Roman" w:cs="Times New Roman"/>
          <w:sz w:val="24"/>
          <w:szCs w:val="24"/>
        </w:rPr>
        <w:t xml:space="preserve"> freeze on </w:t>
      </w:r>
      <w:r w:rsidR="00847964" w:rsidRPr="008458A4">
        <w:rPr>
          <w:rFonts w:ascii="Times New Roman" w:hAnsi="Times New Roman" w:cs="Times New Roman"/>
          <w:sz w:val="24"/>
          <w:szCs w:val="24"/>
        </w:rPr>
        <w:t xml:space="preserve">Hungry Jack </w:t>
      </w:r>
      <w:r w:rsidR="00591D5B" w:rsidRPr="008458A4">
        <w:rPr>
          <w:rFonts w:ascii="Times New Roman" w:hAnsi="Times New Roman" w:cs="Times New Roman"/>
          <w:sz w:val="24"/>
          <w:szCs w:val="24"/>
        </w:rPr>
        <w:t xml:space="preserve">recruiting </w:t>
      </w:r>
      <w:r w:rsidR="00847964" w:rsidRPr="008458A4">
        <w:rPr>
          <w:rFonts w:ascii="Times New Roman" w:hAnsi="Times New Roman" w:cs="Times New Roman"/>
          <w:sz w:val="24"/>
          <w:szCs w:val="24"/>
        </w:rPr>
        <w:t>third party franchisees, imposing</w:t>
      </w:r>
      <w:r w:rsidR="00847964" w:rsidRPr="00847964">
        <w:rPr>
          <w:rFonts w:ascii="Times New Roman" w:hAnsi="Times New Roman" w:cs="Times New Roman"/>
          <w:sz w:val="24"/>
          <w:szCs w:val="24"/>
        </w:rPr>
        <w:t xml:space="preserve"> a $10,000 </w:t>
      </w:r>
      <w:r w:rsidR="00847964">
        <w:rPr>
          <w:rFonts w:ascii="Times New Roman" w:hAnsi="Times New Roman" w:cs="Times New Roman"/>
          <w:sz w:val="24"/>
          <w:szCs w:val="24"/>
        </w:rPr>
        <w:t>‘</w:t>
      </w:r>
      <w:r w:rsidR="00847964" w:rsidRPr="00847964">
        <w:rPr>
          <w:rFonts w:ascii="Times New Roman" w:hAnsi="Times New Roman" w:cs="Times New Roman"/>
          <w:sz w:val="24"/>
          <w:szCs w:val="24"/>
        </w:rPr>
        <w:t>non-refundable deposit</w:t>
      </w:r>
      <w:r w:rsidR="00847964">
        <w:rPr>
          <w:rFonts w:ascii="Times New Roman" w:hAnsi="Times New Roman" w:cs="Times New Roman"/>
          <w:sz w:val="24"/>
          <w:szCs w:val="24"/>
        </w:rPr>
        <w:t xml:space="preserve">’ </w:t>
      </w:r>
      <w:r w:rsidR="00591D5B" w:rsidRPr="008458A4">
        <w:rPr>
          <w:rFonts w:ascii="Times New Roman" w:hAnsi="Times New Roman" w:cs="Times New Roman"/>
          <w:sz w:val="24"/>
          <w:szCs w:val="24"/>
        </w:rPr>
        <w:t>on each new restaurant</w:t>
      </w:r>
      <w:r w:rsidR="00847964" w:rsidRPr="008458A4">
        <w:rPr>
          <w:rFonts w:ascii="Times New Roman" w:hAnsi="Times New Roman" w:cs="Times New Roman"/>
          <w:sz w:val="24"/>
          <w:szCs w:val="24"/>
        </w:rPr>
        <w:t xml:space="preserve"> that Hungry Jack </w:t>
      </w:r>
      <w:r w:rsidR="00847964" w:rsidRPr="00847964">
        <w:rPr>
          <w:rFonts w:ascii="Times New Roman" w:hAnsi="Times New Roman" w:cs="Times New Roman"/>
          <w:sz w:val="24"/>
          <w:szCs w:val="24"/>
        </w:rPr>
        <w:t>was required to open</w:t>
      </w:r>
      <w:r w:rsidR="00847964" w:rsidRPr="008458A4">
        <w:rPr>
          <w:rFonts w:ascii="Times New Roman" w:hAnsi="Times New Roman" w:cs="Times New Roman"/>
          <w:sz w:val="24"/>
          <w:szCs w:val="24"/>
        </w:rPr>
        <w:t xml:space="preserve"> under the 1990 agreements</w:t>
      </w:r>
      <w:r w:rsidR="00591D5B" w:rsidRPr="008458A4">
        <w:rPr>
          <w:rFonts w:ascii="Times New Roman" w:hAnsi="Times New Roman" w:cs="Times New Roman"/>
          <w:sz w:val="24"/>
          <w:szCs w:val="24"/>
        </w:rPr>
        <w:t xml:space="preserve">, </w:t>
      </w:r>
      <w:r w:rsidR="00847964" w:rsidRPr="008458A4">
        <w:rPr>
          <w:rFonts w:ascii="Times New Roman" w:hAnsi="Times New Roman" w:cs="Times New Roman"/>
          <w:sz w:val="24"/>
          <w:szCs w:val="24"/>
        </w:rPr>
        <w:t xml:space="preserve">and withdrawing of </w:t>
      </w:r>
      <w:r w:rsidR="00591D5B" w:rsidRPr="008458A4">
        <w:rPr>
          <w:rFonts w:ascii="Times New Roman" w:hAnsi="Times New Roman" w:cs="Times New Roman"/>
          <w:sz w:val="24"/>
          <w:szCs w:val="24"/>
        </w:rPr>
        <w:t xml:space="preserve">financial and operational approval. </w:t>
      </w:r>
      <w:r w:rsidR="00847964" w:rsidRPr="008458A4">
        <w:rPr>
          <w:rFonts w:ascii="Times New Roman" w:hAnsi="Times New Roman" w:cs="Times New Roman"/>
          <w:sz w:val="24"/>
          <w:szCs w:val="24"/>
        </w:rPr>
        <w:t>Lastly, Burger King Corp purported to</w:t>
      </w:r>
      <w:r w:rsidR="00591D5B" w:rsidRPr="008458A4">
        <w:rPr>
          <w:rFonts w:ascii="Times New Roman" w:hAnsi="Times New Roman" w:cs="Times New Roman"/>
          <w:sz w:val="24"/>
          <w:szCs w:val="24"/>
        </w:rPr>
        <w:t xml:space="preserve"> </w:t>
      </w:r>
      <w:r w:rsidR="00302533">
        <w:rPr>
          <w:rFonts w:ascii="Times New Roman" w:hAnsi="Times New Roman" w:cs="Times New Roman"/>
          <w:sz w:val="24"/>
          <w:szCs w:val="24"/>
        </w:rPr>
        <w:t>terminate the “</w:t>
      </w:r>
      <w:r w:rsidR="00847964" w:rsidRPr="008458A4">
        <w:rPr>
          <w:rFonts w:ascii="Times New Roman" w:hAnsi="Times New Roman" w:cs="Times New Roman"/>
          <w:sz w:val="24"/>
          <w:szCs w:val="24"/>
        </w:rPr>
        <w:t>Development A</w:t>
      </w:r>
      <w:r w:rsidR="00591D5B" w:rsidRPr="008458A4">
        <w:rPr>
          <w:rFonts w:ascii="Times New Roman" w:hAnsi="Times New Roman" w:cs="Times New Roman"/>
          <w:sz w:val="24"/>
          <w:szCs w:val="24"/>
        </w:rPr>
        <w:t>greement</w:t>
      </w:r>
      <w:r w:rsidR="00302533">
        <w:rPr>
          <w:rFonts w:ascii="Times New Roman" w:hAnsi="Times New Roman" w:cs="Times New Roman"/>
          <w:sz w:val="24"/>
          <w:szCs w:val="24"/>
        </w:rPr>
        <w:t>”</w:t>
      </w:r>
      <w:r w:rsidR="00847964" w:rsidRPr="008458A4">
        <w:rPr>
          <w:rFonts w:ascii="Times New Roman" w:hAnsi="Times New Roman" w:cs="Times New Roman"/>
          <w:sz w:val="24"/>
          <w:szCs w:val="24"/>
        </w:rPr>
        <w:t xml:space="preserve"> for breach, as Hungry Jack</w:t>
      </w:r>
      <w:r w:rsidR="00591D5B" w:rsidRPr="008458A4">
        <w:rPr>
          <w:rFonts w:ascii="Times New Roman" w:hAnsi="Times New Roman" w:cs="Times New Roman"/>
          <w:sz w:val="24"/>
          <w:szCs w:val="24"/>
        </w:rPr>
        <w:t xml:space="preserve"> had not been able to open then required number of new restaurants. </w:t>
      </w:r>
      <w:r w:rsidR="00847964">
        <w:rPr>
          <w:rFonts w:ascii="Times New Roman" w:hAnsi="Times New Roman" w:cs="Times New Roman"/>
          <w:sz w:val="24"/>
          <w:szCs w:val="24"/>
        </w:rPr>
        <w:t xml:space="preserve">This was </w:t>
      </w:r>
      <w:r w:rsidR="00591D5B" w:rsidRPr="008458A4">
        <w:rPr>
          <w:rFonts w:ascii="Times New Roman" w:hAnsi="Times New Roman" w:cs="Times New Roman"/>
          <w:sz w:val="24"/>
          <w:szCs w:val="24"/>
        </w:rPr>
        <w:t xml:space="preserve">challenged </w:t>
      </w:r>
      <w:r w:rsidR="00847964">
        <w:rPr>
          <w:rFonts w:ascii="Times New Roman" w:hAnsi="Times New Roman" w:cs="Times New Roman"/>
          <w:sz w:val="24"/>
          <w:szCs w:val="24"/>
        </w:rPr>
        <w:t xml:space="preserve">by Hungry Jack, who </w:t>
      </w:r>
      <w:r w:rsidR="00591D5B" w:rsidRPr="008458A4">
        <w:rPr>
          <w:rFonts w:ascii="Times New Roman" w:hAnsi="Times New Roman" w:cs="Times New Roman"/>
          <w:sz w:val="24"/>
          <w:szCs w:val="24"/>
        </w:rPr>
        <w:t>succeede</w:t>
      </w:r>
      <w:r w:rsidR="00847964" w:rsidRPr="00847964">
        <w:rPr>
          <w:rFonts w:ascii="Times New Roman" w:hAnsi="Times New Roman" w:cs="Times New Roman"/>
          <w:sz w:val="24"/>
          <w:szCs w:val="24"/>
        </w:rPr>
        <w:t>d before the New South Wales</w:t>
      </w:r>
      <w:r w:rsidR="00591D5B" w:rsidRPr="008458A4">
        <w:rPr>
          <w:rFonts w:ascii="Times New Roman" w:hAnsi="Times New Roman" w:cs="Times New Roman"/>
          <w:sz w:val="24"/>
          <w:szCs w:val="24"/>
        </w:rPr>
        <w:t xml:space="preserve"> Supreme Court. </w:t>
      </w:r>
      <w:r w:rsidR="00847964">
        <w:rPr>
          <w:rFonts w:ascii="Times New Roman" w:hAnsi="Times New Roman" w:cs="Times New Roman"/>
          <w:sz w:val="24"/>
          <w:szCs w:val="24"/>
        </w:rPr>
        <w:t xml:space="preserve">On appeal, it was held that </w:t>
      </w:r>
      <w:r w:rsidR="00847964" w:rsidRPr="00847964">
        <w:rPr>
          <w:rFonts w:ascii="Times New Roman" w:hAnsi="Times New Roman" w:cs="Times New Roman"/>
          <w:sz w:val="24"/>
          <w:szCs w:val="24"/>
        </w:rPr>
        <w:t xml:space="preserve">that </w:t>
      </w:r>
      <w:r w:rsidR="00847964">
        <w:rPr>
          <w:rFonts w:ascii="Times New Roman" w:hAnsi="Times New Roman" w:cs="Times New Roman"/>
          <w:sz w:val="24"/>
          <w:szCs w:val="24"/>
        </w:rPr>
        <w:t>Burger King’s conduct had breached several implied dut</w:t>
      </w:r>
      <w:r w:rsidR="00E2419A">
        <w:rPr>
          <w:rFonts w:ascii="Times New Roman" w:hAnsi="Times New Roman" w:cs="Times New Roman"/>
          <w:sz w:val="24"/>
          <w:szCs w:val="24"/>
        </w:rPr>
        <w:t>ies</w:t>
      </w:r>
      <w:r w:rsidR="00847964">
        <w:rPr>
          <w:rFonts w:ascii="Times New Roman" w:hAnsi="Times New Roman" w:cs="Times New Roman"/>
          <w:sz w:val="24"/>
          <w:szCs w:val="24"/>
        </w:rPr>
        <w:t xml:space="preserve"> to act in good faith and reasonably. The targeted behaviour included </w:t>
      </w:r>
      <w:r w:rsidR="00847964" w:rsidRPr="00847964">
        <w:rPr>
          <w:rFonts w:ascii="Times New Roman" w:hAnsi="Times New Roman" w:cs="Times New Roman"/>
          <w:sz w:val="24"/>
          <w:szCs w:val="24"/>
        </w:rPr>
        <w:t>the freeze imposed</w:t>
      </w:r>
      <w:r w:rsidR="00847964">
        <w:rPr>
          <w:rFonts w:ascii="Times New Roman" w:hAnsi="Times New Roman" w:cs="Times New Roman"/>
          <w:sz w:val="24"/>
          <w:szCs w:val="24"/>
        </w:rPr>
        <w:t xml:space="preserve"> on third-party franchisees, </w:t>
      </w:r>
      <w:r w:rsidR="00847964" w:rsidRPr="00847964">
        <w:rPr>
          <w:rFonts w:ascii="Times New Roman" w:hAnsi="Times New Roman" w:cs="Times New Roman"/>
          <w:sz w:val="24"/>
          <w:szCs w:val="24"/>
        </w:rPr>
        <w:t>the withdrawal of financ</w:t>
      </w:r>
      <w:r w:rsidR="00847964">
        <w:rPr>
          <w:rFonts w:ascii="Times New Roman" w:hAnsi="Times New Roman" w:cs="Times New Roman"/>
          <w:sz w:val="24"/>
          <w:szCs w:val="24"/>
        </w:rPr>
        <w:t>ial and operational approval, and the use of</w:t>
      </w:r>
      <w:r w:rsidR="00116025">
        <w:rPr>
          <w:rFonts w:ascii="Times New Roman" w:hAnsi="Times New Roman" w:cs="Times New Roman"/>
          <w:sz w:val="24"/>
          <w:szCs w:val="24"/>
        </w:rPr>
        <w:t xml:space="preserve"> a Hun</w:t>
      </w:r>
      <w:r w:rsidR="00847964">
        <w:rPr>
          <w:rFonts w:ascii="Times New Roman" w:hAnsi="Times New Roman" w:cs="Times New Roman"/>
          <w:sz w:val="24"/>
          <w:szCs w:val="24"/>
        </w:rPr>
        <w:t>g</w:t>
      </w:r>
      <w:r w:rsidR="00116025">
        <w:rPr>
          <w:rFonts w:ascii="Times New Roman" w:hAnsi="Times New Roman" w:cs="Times New Roman"/>
          <w:sz w:val="24"/>
          <w:szCs w:val="24"/>
        </w:rPr>
        <w:t>r</w:t>
      </w:r>
      <w:r w:rsidR="00847964">
        <w:rPr>
          <w:rFonts w:ascii="Times New Roman" w:hAnsi="Times New Roman" w:cs="Times New Roman"/>
          <w:sz w:val="24"/>
          <w:szCs w:val="24"/>
        </w:rPr>
        <w:t>y Jack’s employee’s advice to undermine HJPL’</w:t>
      </w:r>
      <w:r w:rsidR="00847964" w:rsidRPr="00847964">
        <w:rPr>
          <w:rFonts w:ascii="Times New Roman" w:hAnsi="Times New Roman" w:cs="Times New Roman"/>
          <w:sz w:val="24"/>
          <w:szCs w:val="24"/>
        </w:rPr>
        <w:t>s position</w:t>
      </w:r>
      <w:r w:rsidR="00847964">
        <w:rPr>
          <w:rFonts w:ascii="Times New Roman" w:hAnsi="Times New Roman" w:cs="Times New Roman"/>
          <w:sz w:val="24"/>
          <w:szCs w:val="24"/>
        </w:rPr>
        <w:t>.</w:t>
      </w:r>
      <w:r w:rsidR="00847964">
        <w:rPr>
          <w:rStyle w:val="FootnoteReference"/>
          <w:rFonts w:ascii="Times New Roman" w:hAnsi="Times New Roman" w:cs="Times New Roman"/>
          <w:sz w:val="24"/>
          <w:szCs w:val="24"/>
        </w:rPr>
        <w:footnoteReference w:id="184"/>
      </w:r>
      <w:r w:rsidR="00A635C8">
        <w:rPr>
          <w:rFonts w:ascii="Times New Roman" w:hAnsi="Times New Roman" w:cs="Times New Roman"/>
          <w:sz w:val="24"/>
          <w:szCs w:val="24"/>
        </w:rPr>
        <w:t xml:space="preserve"> </w:t>
      </w:r>
    </w:p>
    <w:p w14:paraId="13AD47A2" w14:textId="4531653C" w:rsidR="009355E3" w:rsidRDefault="00D04DC7" w:rsidP="00205AF2">
      <w:pPr>
        <w:spacing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Burger King case thus illustrates two points for present purposes: first, an umbrella agreement between two powerful corporations had a particular impact on a vulnerable class of third parties, not party to the business arrangement: namely, Hungry Jacks franchisees in Australia.  Secondly, Australian law takes a dim view of opportunistic exploitation of </w:t>
      </w:r>
      <w:r>
        <w:rPr>
          <w:rFonts w:ascii="Times New Roman" w:hAnsi="Times New Roman" w:cs="Times New Roman"/>
          <w:sz w:val="24"/>
          <w:szCs w:val="24"/>
        </w:rPr>
        <w:lastRenderedPageBreak/>
        <w:t>contractual powers as Burger King attempted to do.  The latter point speaks to the business culture and context of Australia, but also indirectly to how such culture views the macro picture, which would include those further down the Hungry Jacks supply chain, including franchisees.  In an influential study, Hadfield has drawn attention to the potential for exploitation which franchisees face.</w:t>
      </w:r>
      <w:r w:rsidR="000B102A">
        <w:rPr>
          <w:rStyle w:val="FootnoteReference"/>
          <w:rFonts w:ascii="Times New Roman" w:hAnsi="Times New Roman" w:cs="Times New Roman"/>
          <w:sz w:val="24"/>
          <w:szCs w:val="24"/>
        </w:rPr>
        <w:footnoteReference w:id="185"/>
      </w:r>
      <w:r>
        <w:rPr>
          <w:rFonts w:ascii="Times New Roman" w:hAnsi="Times New Roman" w:cs="Times New Roman"/>
          <w:sz w:val="24"/>
          <w:szCs w:val="24"/>
        </w:rPr>
        <w:t xml:space="preserve">  Although Hadfield’s study focussed on the United States, the picture she paints appears to be universal.</w:t>
      </w:r>
      <w:r w:rsidR="000B102A">
        <w:rPr>
          <w:rStyle w:val="FootnoteReference"/>
          <w:rFonts w:ascii="Times New Roman" w:hAnsi="Times New Roman" w:cs="Times New Roman"/>
          <w:sz w:val="24"/>
          <w:szCs w:val="24"/>
        </w:rPr>
        <w:footnoteReference w:id="186"/>
      </w:r>
      <w:r w:rsidR="000B102A">
        <w:rPr>
          <w:rFonts w:ascii="Times New Roman" w:hAnsi="Times New Roman" w:cs="Times New Roman"/>
          <w:sz w:val="24"/>
          <w:szCs w:val="24"/>
        </w:rPr>
        <w:t xml:space="preserve">  </w:t>
      </w:r>
    </w:p>
    <w:p w14:paraId="766F928E" w14:textId="65B56BE8" w:rsidR="000C0E97" w:rsidRPr="000F052B" w:rsidRDefault="000C0E97" w:rsidP="00205AF2">
      <w:pPr>
        <w:spacing w:after="120" w:line="480" w:lineRule="auto"/>
        <w:ind w:firstLine="720"/>
        <w:jc w:val="both"/>
        <w:rPr>
          <w:rFonts w:ascii="Times New Roman" w:hAnsi="Times New Roman" w:cs="Times New Roman"/>
          <w:sz w:val="24"/>
          <w:szCs w:val="24"/>
          <w:lang w:val="en-US"/>
        </w:rPr>
      </w:pPr>
      <w:r w:rsidRPr="00847964">
        <w:rPr>
          <w:rFonts w:ascii="Times New Roman" w:hAnsi="Times New Roman" w:cs="Times New Roman"/>
          <w:sz w:val="24"/>
          <w:szCs w:val="24"/>
          <w:lang w:val="en-US"/>
        </w:rPr>
        <w:t>South Africa</w:t>
      </w:r>
      <w:r w:rsidR="000B102A">
        <w:rPr>
          <w:rFonts w:ascii="Times New Roman" w:hAnsi="Times New Roman" w:cs="Times New Roman"/>
          <w:sz w:val="24"/>
          <w:szCs w:val="24"/>
          <w:lang w:val="en-US"/>
        </w:rPr>
        <w:t xml:space="preserve"> does not have a seminal case on umbrella agreements</w:t>
      </w:r>
      <w:r w:rsidR="00FF035D">
        <w:rPr>
          <w:rFonts w:ascii="Times New Roman" w:hAnsi="Times New Roman" w:cs="Times New Roman"/>
          <w:sz w:val="24"/>
          <w:szCs w:val="24"/>
          <w:lang w:val="en-US"/>
        </w:rPr>
        <w:t xml:space="preserve"> in the supply chain context</w:t>
      </w:r>
      <w:r w:rsidRPr="00847964">
        <w:rPr>
          <w:rFonts w:ascii="Times New Roman" w:hAnsi="Times New Roman" w:cs="Times New Roman"/>
          <w:sz w:val="24"/>
          <w:szCs w:val="24"/>
          <w:lang w:val="en-US"/>
        </w:rPr>
        <w:t xml:space="preserve">, </w:t>
      </w:r>
      <w:r w:rsidR="00FF035D">
        <w:rPr>
          <w:rFonts w:ascii="Times New Roman" w:hAnsi="Times New Roman" w:cs="Times New Roman"/>
          <w:sz w:val="24"/>
          <w:szCs w:val="24"/>
          <w:lang w:val="en-US"/>
        </w:rPr>
        <w:t xml:space="preserve">although </w:t>
      </w:r>
      <w:r w:rsidRPr="00847964">
        <w:rPr>
          <w:rFonts w:ascii="Times New Roman" w:hAnsi="Times New Roman" w:cs="Times New Roman"/>
          <w:sz w:val="24"/>
          <w:szCs w:val="24"/>
          <w:lang w:val="en-US"/>
        </w:rPr>
        <w:t>scholars dealing with retail supply chains have drawn attention to the vulnerability of small scale producers to large corporate retailers, who squeeze suppliers in a manner often alleged to be exploitative.</w:t>
      </w:r>
      <w:r w:rsidR="00C15032" w:rsidRPr="00847964">
        <w:rPr>
          <w:rStyle w:val="FootnoteReference"/>
          <w:rFonts w:ascii="Times New Roman" w:hAnsi="Times New Roman" w:cs="Times New Roman"/>
          <w:sz w:val="24"/>
          <w:szCs w:val="24"/>
          <w:lang w:val="en-US"/>
        </w:rPr>
        <w:footnoteReference w:id="187"/>
      </w:r>
      <w:r w:rsidR="000A2CFB" w:rsidRPr="00847964">
        <w:rPr>
          <w:rFonts w:ascii="Times New Roman" w:hAnsi="Times New Roman" w:cs="Times New Roman"/>
          <w:sz w:val="24"/>
          <w:szCs w:val="24"/>
          <w:lang w:val="en-US"/>
        </w:rPr>
        <w:t xml:space="preserve">  While the type of umbrella agreements which might govern such relationships – if the relationship is even formali</w:t>
      </w:r>
      <w:r w:rsidR="00832562">
        <w:rPr>
          <w:rFonts w:ascii="Times New Roman" w:hAnsi="Times New Roman" w:cs="Times New Roman"/>
          <w:sz w:val="24"/>
          <w:szCs w:val="24"/>
          <w:lang w:val="en-US"/>
        </w:rPr>
        <w:t>z</w:t>
      </w:r>
      <w:r w:rsidR="000A2CFB" w:rsidRPr="00847964">
        <w:rPr>
          <w:rFonts w:ascii="Times New Roman" w:hAnsi="Times New Roman" w:cs="Times New Roman"/>
          <w:sz w:val="24"/>
          <w:szCs w:val="24"/>
          <w:lang w:val="en-US"/>
        </w:rPr>
        <w:t>ed to this extent – are unavailable</w:t>
      </w:r>
      <w:r w:rsidR="00C43236" w:rsidRPr="00847964">
        <w:rPr>
          <w:rFonts w:ascii="Times New Roman" w:hAnsi="Times New Roman" w:cs="Times New Roman"/>
          <w:sz w:val="24"/>
          <w:szCs w:val="24"/>
          <w:lang w:val="en-US"/>
        </w:rPr>
        <w:t xml:space="preserve"> to the present authors</w:t>
      </w:r>
      <w:r w:rsidR="000A2CFB" w:rsidRPr="005C22A5">
        <w:rPr>
          <w:rFonts w:ascii="Times New Roman" w:hAnsi="Times New Roman" w:cs="Times New Roman"/>
          <w:sz w:val="24"/>
          <w:szCs w:val="24"/>
          <w:lang w:val="en-US"/>
        </w:rPr>
        <w:t>, the literature on global value chains speaks to the need for protection of weaker supplying parties.</w:t>
      </w:r>
      <w:r w:rsidR="00C15032" w:rsidRPr="00847964">
        <w:rPr>
          <w:rStyle w:val="FootnoteReference"/>
          <w:rFonts w:ascii="Times New Roman" w:hAnsi="Times New Roman" w:cs="Times New Roman"/>
          <w:sz w:val="24"/>
          <w:szCs w:val="24"/>
          <w:lang w:val="en-US"/>
        </w:rPr>
        <w:footnoteReference w:id="188"/>
      </w:r>
      <w:r w:rsidR="000A2CFB" w:rsidRPr="00847964">
        <w:rPr>
          <w:rFonts w:ascii="Times New Roman" w:hAnsi="Times New Roman" w:cs="Times New Roman"/>
          <w:sz w:val="24"/>
          <w:szCs w:val="24"/>
          <w:lang w:val="en-US"/>
        </w:rPr>
        <w:t xml:space="preserve">  The reliance of such suppliers and their third party depend</w:t>
      </w:r>
      <w:r w:rsidR="00832562">
        <w:rPr>
          <w:rFonts w:ascii="Times New Roman" w:hAnsi="Times New Roman" w:cs="Times New Roman"/>
          <w:sz w:val="24"/>
          <w:szCs w:val="24"/>
          <w:lang w:val="en-US"/>
        </w:rPr>
        <w:t>e</w:t>
      </w:r>
      <w:r w:rsidR="000A2CFB" w:rsidRPr="00847964">
        <w:rPr>
          <w:rFonts w:ascii="Times New Roman" w:hAnsi="Times New Roman" w:cs="Times New Roman"/>
          <w:sz w:val="24"/>
          <w:szCs w:val="24"/>
          <w:lang w:val="en-US"/>
        </w:rPr>
        <w:t>nts on the patronage of retailers exposes them to exploitation.  The response of the South African legislature has been to extend the protection of consumer law to small enterprises: the general Consumer Protection Act protects businesses with an annual turnover or asset value of R2 million or less;</w:t>
      </w:r>
      <w:r w:rsidR="00C15032" w:rsidRPr="00847964">
        <w:rPr>
          <w:rStyle w:val="FootnoteReference"/>
          <w:rFonts w:ascii="Times New Roman" w:hAnsi="Times New Roman" w:cs="Times New Roman"/>
          <w:sz w:val="24"/>
          <w:szCs w:val="24"/>
          <w:lang w:val="en-US"/>
        </w:rPr>
        <w:footnoteReference w:id="189"/>
      </w:r>
      <w:r w:rsidR="000A2CFB" w:rsidRPr="00847964">
        <w:rPr>
          <w:rFonts w:ascii="Times New Roman" w:hAnsi="Times New Roman" w:cs="Times New Roman"/>
          <w:sz w:val="24"/>
          <w:szCs w:val="24"/>
          <w:lang w:val="en-US"/>
        </w:rPr>
        <w:t xml:space="preserve"> while those businesses with an annual turnover or asset value of R1</w:t>
      </w:r>
      <w:r w:rsidR="000A2CFB" w:rsidRPr="000F052B">
        <w:rPr>
          <w:rFonts w:ascii="Times New Roman" w:hAnsi="Times New Roman" w:cs="Times New Roman"/>
          <w:sz w:val="24"/>
          <w:szCs w:val="24"/>
          <w:lang w:val="en-US"/>
        </w:rPr>
        <w:t xml:space="preserve"> million or less are also protected by the National Credit Act.</w:t>
      </w:r>
      <w:r w:rsidR="00C15032" w:rsidRPr="000F052B">
        <w:rPr>
          <w:rStyle w:val="FootnoteReference"/>
          <w:rFonts w:ascii="Times New Roman" w:hAnsi="Times New Roman" w:cs="Times New Roman"/>
          <w:sz w:val="24"/>
          <w:szCs w:val="24"/>
          <w:lang w:val="en-US"/>
        </w:rPr>
        <w:footnoteReference w:id="190"/>
      </w:r>
      <w:r w:rsidR="000A2CFB" w:rsidRPr="000F052B">
        <w:rPr>
          <w:rFonts w:ascii="Times New Roman" w:hAnsi="Times New Roman" w:cs="Times New Roman"/>
          <w:sz w:val="24"/>
          <w:szCs w:val="24"/>
          <w:lang w:val="en-US"/>
        </w:rPr>
        <w:t xml:space="preserve"> </w:t>
      </w:r>
      <w:r w:rsidR="00832562">
        <w:rPr>
          <w:rFonts w:ascii="Times New Roman" w:hAnsi="Times New Roman" w:cs="Times New Roman"/>
          <w:sz w:val="24"/>
          <w:szCs w:val="24"/>
          <w:lang w:val="en-US"/>
        </w:rPr>
        <w:t xml:space="preserve"> </w:t>
      </w:r>
      <w:r w:rsidR="00823CB2">
        <w:rPr>
          <w:rFonts w:ascii="Times New Roman" w:hAnsi="Times New Roman" w:cs="Times New Roman"/>
          <w:sz w:val="24"/>
          <w:szCs w:val="24"/>
          <w:lang w:val="en-US"/>
        </w:rPr>
        <w:t>The Consumer Protecti</w:t>
      </w:r>
      <w:r w:rsidR="00302533">
        <w:rPr>
          <w:rFonts w:ascii="Times New Roman" w:hAnsi="Times New Roman" w:cs="Times New Roman"/>
          <w:sz w:val="24"/>
          <w:szCs w:val="24"/>
          <w:lang w:val="en-US"/>
        </w:rPr>
        <w:t>on Act also expressly includes “franchisees” in the category “</w:t>
      </w:r>
      <w:r w:rsidR="00823CB2">
        <w:rPr>
          <w:rFonts w:ascii="Times New Roman" w:hAnsi="Times New Roman" w:cs="Times New Roman"/>
          <w:sz w:val="24"/>
          <w:szCs w:val="24"/>
          <w:lang w:val="en-US"/>
        </w:rPr>
        <w:t>consu</w:t>
      </w:r>
      <w:r w:rsidR="00302533">
        <w:rPr>
          <w:rFonts w:ascii="Times New Roman" w:hAnsi="Times New Roman" w:cs="Times New Roman"/>
          <w:sz w:val="24"/>
          <w:szCs w:val="24"/>
          <w:lang w:val="en-US"/>
        </w:rPr>
        <w:t>mer”</w:t>
      </w:r>
      <w:r w:rsidR="00823CB2">
        <w:rPr>
          <w:rFonts w:ascii="Times New Roman" w:hAnsi="Times New Roman" w:cs="Times New Roman"/>
          <w:sz w:val="24"/>
          <w:szCs w:val="24"/>
          <w:lang w:val="en-US"/>
        </w:rPr>
        <w:t>.</w:t>
      </w:r>
      <w:r w:rsidR="00176CEB">
        <w:rPr>
          <w:rStyle w:val="FootnoteReference"/>
          <w:rFonts w:ascii="Times New Roman" w:hAnsi="Times New Roman" w:cs="Times New Roman"/>
          <w:sz w:val="24"/>
          <w:szCs w:val="24"/>
          <w:lang w:val="en-US"/>
        </w:rPr>
        <w:footnoteReference w:id="191"/>
      </w:r>
      <w:r w:rsidR="00823CB2">
        <w:rPr>
          <w:rFonts w:ascii="Times New Roman" w:hAnsi="Times New Roman" w:cs="Times New Roman"/>
          <w:sz w:val="24"/>
          <w:szCs w:val="24"/>
          <w:lang w:val="en-US"/>
        </w:rPr>
        <w:t xml:space="preserve">  This statute further stipulates </w:t>
      </w:r>
      <w:r w:rsidR="00823CB2">
        <w:rPr>
          <w:rFonts w:ascii="Times New Roman" w:hAnsi="Times New Roman" w:cs="Times New Roman"/>
          <w:sz w:val="24"/>
          <w:szCs w:val="24"/>
          <w:lang w:val="en-US"/>
        </w:rPr>
        <w:lastRenderedPageBreak/>
        <w:t>that franchisees are always to be regarded as consumers, regardless of the size of a given franchisee juristic person.</w:t>
      </w:r>
      <w:r w:rsidR="00176CEB">
        <w:rPr>
          <w:rStyle w:val="FootnoteReference"/>
          <w:rFonts w:ascii="Times New Roman" w:hAnsi="Times New Roman" w:cs="Times New Roman"/>
          <w:sz w:val="24"/>
          <w:szCs w:val="24"/>
          <w:lang w:val="en-US"/>
        </w:rPr>
        <w:footnoteReference w:id="192"/>
      </w:r>
      <w:r w:rsidR="00176CEB">
        <w:rPr>
          <w:rFonts w:ascii="Times New Roman" w:hAnsi="Times New Roman" w:cs="Times New Roman"/>
          <w:sz w:val="24"/>
          <w:szCs w:val="24"/>
          <w:lang w:val="en-US"/>
        </w:rPr>
        <w:t xml:space="preserve">  There are also formal rules as to franchise agreements, which must be in writing and contain certain types of information.</w:t>
      </w:r>
      <w:r w:rsidR="00317D59">
        <w:rPr>
          <w:rStyle w:val="FootnoteReference"/>
          <w:rFonts w:ascii="Times New Roman" w:hAnsi="Times New Roman" w:cs="Times New Roman"/>
          <w:sz w:val="24"/>
          <w:szCs w:val="24"/>
          <w:lang w:val="en-US"/>
        </w:rPr>
        <w:footnoteReference w:id="193"/>
      </w:r>
      <w:r w:rsidR="00176CEB">
        <w:rPr>
          <w:rFonts w:ascii="Times New Roman" w:hAnsi="Times New Roman" w:cs="Times New Roman"/>
          <w:sz w:val="24"/>
          <w:szCs w:val="24"/>
          <w:lang w:val="en-US"/>
        </w:rPr>
        <w:t xml:space="preserve">  Finally, a franchisee has a 10 day cooling off period in which to withdraw from a franchise agreement.</w:t>
      </w:r>
      <w:r w:rsidR="00317D59">
        <w:rPr>
          <w:rStyle w:val="FootnoteReference"/>
          <w:rFonts w:ascii="Times New Roman" w:hAnsi="Times New Roman" w:cs="Times New Roman"/>
          <w:sz w:val="24"/>
          <w:szCs w:val="24"/>
          <w:lang w:val="en-US"/>
        </w:rPr>
        <w:footnoteReference w:id="194"/>
      </w:r>
      <w:r w:rsidR="00176CEB">
        <w:rPr>
          <w:rFonts w:ascii="Times New Roman" w:hAnsi="Times New Roman" w:cs="Times New Roman"/>
          <w:sz w:val="24"/>
          <w:szCs w:val="24"/>
          <w:lang w:val="en-US"/>
        </w:rPr>
        <w:t xml:space="preserve">  </w:t>
      </w:r>
      <w:r w:rsidR="000A2CFB" w:rsidRPr="000F052B">
        <w:rPr>
          <w:rFonts w:ascii="Times New Roman" w:hAnsi="Times New Roman" w:cs="Times New Roman"/>
          <w:sz w:val="24"/>
          <w:szCs w:val="24"/>
          <w:lang w:val="en-US"/>
        </w:rPr>
        <w:t xml:space="preserve">In this way, </w:t>
      </w:r>
      <w:r w:rsidR="00176CEB">
        <w:rPr>
          <w:rFonts w:ascii="Times New Roman" w:hAnsi="Times New Roman" w:cs="Times New Roman"/>
          <w:sz w:val="24"/>
          <w:szCs w:val="24"/>
          <w:lang w:val="en-US"/>
        </w:rPr>
        <w:t xml:space="preserve">consumer legislation offers </w:t>
      </w:r>
      <w:r w:rsidR="000A2CFB" w:rsidRPr="000F052B">
        <w:rPr>
          <w:rFonts w:ascii="Times New Roman" w:hAnsi="Times New Roman" w:cs="Times New Roman"/>
          <w:sz w:val="24"/>
          <w:szCs w:val="24"/>
          <w:lang w:val="en-US"/>
        </w:rPr>
        <w:t xml:space="preserve">a greater measure of protection to suppliers, </w:t>
      </w:r>
      <w:r w:rsidR="00176CEB">
        <w:rPr>
          <w:rFonts w:ascii="Times New Roman" w:hAnsi="Times New Roman" w:cs="Times New Roman"/>
          <w:sz w:val="24"/>
          <w:szCs w:val="24"/>
          <w:lang w:val="en-US"/>
        </w:rPr>
        <w:t xml:space="preserve">including franchisees, </w:t>
      </w:r>
      <w:r w:rsidR="000A2CFB" w:rsidRPr="000F052B">
        <w:rPr>
          <w:rFonts w:ascii="Times New Roman" w:hAnsi="Times New Roman" w:cs="Times New Roman"/>
          <w:sz w:val="24"/>
          <w:szCs w:val="24"/>
          <w:lang w:val="en-US"/>
        </w:rPr>
        <w:t>along with the availability of various alternative dispute resolution platforms.</w:t>
      </w:r>
      <w:r w:rsidR="006E73E1">
        <w:rPr>
          <w:rFonts w:ascii="Times New Roman" w:hAnsi="Times New Roman" w:cs="Times New Roman"/>
          <w:sz w:val="24"/>
          <w:szCs w:val="24"/>
          <w:lang w:val="en-US"/>
        </w:rPr>
        <w:t xml:space="preserve"> </w:t>
      </w:r>
      <w:r w:rsidR="00AB129F">
        <w:rPr>
          <w:rFonts w:ascii="Times New Roman" w:hAnsi="Times New Roman" w:cs="Times New Roman"/>
          <w:sz w:val="24"/>
          <w:szCs w:val="24"/>
          <w:lang w:val="en-US"/>
        </w:rPr>
        <w:t xml:space="preserve">It is our contention that developing powers of constitutional review of discretionary contractual powers would also assist a South African franchisee in the </w:t>
      </w:r>
      <w:r w:rsidR="00A54F84">
        <w:rPr>
          <w:rFonts w:ascii="Times New Roman" w:hAnsi="Times New Roman" w:cs="Times New Roman"/>
          <w:sz w:val="24"/>
          <w:szCs w:val="24"/>
          <w:lang w:val="en-US"/>
        </w:rPr>
        <w:t>Burger King scenario, so that an unfair termination of a franchise agreement could possibly be reversed by a court.</w:t>
      </w:r>
      <w:r w:rsidR="00A54F84">
        <w:rPr>
          <w:rStyle w:val="FootnoteReference"/>
          <w:rFonts w:ascii="Times New Roman" w:hAnsi="Times New Roman" w:cs="Times New Roman"/>
          <w:sz w:val="24"/>
          <w:szCs w:val="24"/>
          <w:lang w:val="en-US"/>
        </w:rPr>
        <w:footnoteReference w:id="195"/>
      </w:r>
      <w:r w:rsidR="006E73E1">
        <w:rPr>
          <w:rFonts w:ascii="Times New Roman" w:hAnsi="Times New Roman" w:cs="Times New Roman"/>
          <w:sz w:val="24"/>
          <w:szCs w:val="24"/>
          <w:lang w:val="en-US"/>
        </w:rPr>
        <w:t xml:space="preserve"> </w:t>
      </w:r>
    </w:p>
    <w:p w14:paraId="6391F718" w14:textId="77777777" w:rsidR="00BA5066" w:rsidRPr="000F052B" w:rsidRDefault="00BA5066" w:rsidP="00205AF2">
      <w:pPr>
        <w:spacing w:after="120" w:line="480" w:lineRule="auto"/>
        <w:ind w:firstLine="720"/>
        <w:jc w:val="both"/>
        <w:rPr>
          <w:rFonts w:ascii="Times New Roman" w:hAnsi="Times New Roman" w:cs="Times New Roman"/>
          <w:sz w:val="24"/>
          <w:szCs w:val="24"/>
          <w:lang w:val="en-US"/>
        </w:rPr>
      </w:pPr>
    </w:p>
    <w:p w14:paraId="5ABE03A5" w14:textId="4B3D533D" w:rsidR="0007757E" w:rsidRPr="000F052B" w:rsidRDefault="00072F70"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2.2</w:t>
      </w:r>
      <w:r w:rsidR="00BA5066" w:rsidRPr="000F052B">
        <w:rPr>
          <w:rFonts w:ascii="Times New Roman" w:hAnsi="Times New Roman" w:cs="Times New Roman"/>
          <w:i/>
          <w:sz w:val="28"/>
          <w:szCs w:val="24"/>
          <w:lang w:val="en-US"/>
        </w:rPr>
        <w:t xml:space="preserve"> Casual E</w:t>
      </w:r>
      <w:r w:rsidRPr="000F052B">
        <w:rPr>
          <w:rFonts w:ascii="Times New Roman" w:hAnsi="Times New Roman" w:cs="Times New Roman"/>
          <w:i/>
          <w:sz w:val="28"/>
          <w:szCs w:val="24"/>
          <w:lang w:val="en-US"/>
        </w:rPr>
        <w:t>mployment</w:t>
      </w:r>
      <w:r w:rsidR="00BA5066" w:rsidRPr="000F052B">
        <w:rPr>
          <w:rFonts w:ascii="Times New Roman" w:hAnsi="Times New Roman" w:cs="Times New Roman"/>
          <w:i/>
          <w:sz w:val="28"/>
          <w:szCs w:val="24"/>
          <w:lang w:val="en-US"/>
        </w:rPr>
        <w:t xml:space="preserve"> A</w:t>
      </w:r>
      <w:r w:rsidR="0007757E" w:rsidRPr="000F052B">
        <w:rPr>
          <w:rFonts w:ascii="Times New Roman" w:hAnsi="Times New Roman" w:cs="Times New Roman"/>
          <w:i/>
          <w:sz w:val="28"/>
          <w:szCs w:val="24"/>
          <w:lang w:val="en-US"/>
        </w:rPr>
        <w:t>rrangements</w:t>
      </w:r>
    </w:p>
    <w:p w14:paraId="31D4784E" w14:textId="121CBE05" w:rsidR="00131CB6" w:rsidRPr="000F052B" w:rsidRDefault="007A0267" w:rsidP="00893A33">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 xml:space="preserve">Casual </w:t>
      </w:r>
      <w:r w:rsidR="00877023" w:rsidRPr="000F052B">
        <w:rPr>
          <w:rFonts w:ascii="Times New Roman" w:hAnsi="Times New Roman" w:cs="Times New Roman"/>
          <w:sz w:val="24"/>
          <w:szCs w:val="24"/>
          <w:lang w:val="en-US"/>
        </w:rPr>
        <w:t>labor</w:t>
      </w:r>
      <w:r w:rsidRPr="000F052B">
        <w:rPr>
          <w:rFonts w:ascii="Times New Roman" w:hAnsi="Times New Roman" w:cs="Times New Roman"/>
          <w:sz w:val="24"/>
          <w:szCs w:val="24"/>
          <w:lang w:val="en-US"/>
        </w:rPr>
        <w:t xml:space="preserve"> may also </w:t>
      </w:r>
      <w:r w:rsidR="006E73E1">
        <w:rPr>
          <w:rFonts w:ascii="Times New Roman" w:hAnsi="Times New Roman" w:cs="Times New Roman"/>
          <w:sz w:val="24"/>
          <w:szCs w:val="24"/>
          <w:lang w:val="en-US"/>
        </w:rPr>
        <w:t>be procured by means of</w:t>
      </w:r>
      <w:r w:rsidRPr="000F052B">
        <w:rPr>
          <w:rFonts w:ascii="Times New Roman" w:hAnsi="Times New Roman" w:cs="Times New Roman"/>
          <w:sz w:val="24"/>
          <w:szCs w:val="24"/>
          <w:lang w:val="en-US"/>
        </w:rPr>
        <w:t xml:space="preserve"> an umbrella ag</w:t>
      </w:r>
      <w:r w:rsidR="00302533">
        <w:rPr>
          <w:rFonts w:ascii="Times New Roman" w:hAnsi="Times New Roman" w:cs="Times New Roman"/>
          <w:sz w:val="24"/>
          <w:szCs w:val="24"/>
          <w:lang w:val="en-US"/>
        </w:rPr>
        <w:t>reement, such as the so-called “zero hour contract”</w:t>
      </w:r>
      <w:r w:rsidRPr="000F052B">
        <w:rPr>
          <w:rFonts w:ascii="Times New Roman" w:hAnsi="Times New Roman" w:cs="Times New Roman"/>
          <w:sz w:val="24"/>
          <w:szCs w:val="24"/>
          <w:lang w:val="en-US"/>
        </w:rPr>
        <w:t xml:space="preserve"> found in the UK and Australian </w:t>
      </w:r>
      <w:r w:rsidR="00F65B5F" w:rsidRPr="000F052B">
        <w:rPr>
          <w:rFonts w:ascii="Times New Roman" w:hAnsi="Times New Roman" w:cs="Times New Roman"/>
          <w:sz w:val="24"/>
          <w:szCs w:val="24"/>
          <w:lang w:val="en-US"/>
        </w:rPr>
        <w:t>labor</w:t>
      </w:r>
      <w:r w:rsidRPr="000F052B">
        <w:rPr>
          <w:rFonts w:ascii="Times New Roman" w:hAnsi="Times New Roman" w:cs="Times New Roman"/>
          <w:sz w:val="24"/>
          <w:szCs w:val="24"/>
          <w:lang w:val="en-US"/>
        </w:rPr>
        <w:t xml:space="preserve"> market</w:t>
      </w:r>
      <w:r w:rsidR="006E73E1">
        <w:rPr>
          <w:rFonts w:ascii="Times New Roman" w:hAnsi="Times New Roman" w:cs="Times New Roman"/>
          <w:sz w:val="24"/>
          <w:szCs w:val="24"/>
          <w:lang w:val="en-US"/>
        </w:rPr>
        <w:t>s</w:t>
      </w:r>
      <w:r w:rsidRPr="000F052B">
        <w:rPr>
          <w:rFonts w:ascii="Times New Roman" w:hAnsi="Times New Roman" w:cs="Times New Roman"/>
          <w:sz w:val="24"/>
          <w:szCs w:val="24"/>
          <w:lang w:val="en-US"/>
        </w:rPr>
        <w:t>.</w:t>
      </w:r>
      <w:r w:rsidR="00C15032" w:rsidRPr="000F052B">
        <w:rPr>
          <w:rStyle w:val="FootnoteReference"/>
          <w:rFonts w:ascii="Times New Roman" w:hAnsi="Times New Roman" w:cs="Times New Roman"/>
          <w:sz w:val="24"/>
          <w:szCs w:val="24"/>
          <w:lang w:val="en-US"/>
        </w:rPr>
        <w:footnoteReference w:id="196"/>
      </w:r>
      <w:r w:rsidRPr="000F052B">
        <w:rPr>
          <w:rFonts w:ascii="Times New Roman" w:hAnsi="Times New Roman" w:cs="Times New Roman"/>
          <w:sz w:val="24"/>
          <w:szCs w:val="24"/>
          <w:lang w:val="en-US"/>
        </w:rPr>
        <w:t xml:space="preserve">  In terms of a zero hour contract, an individual undertakes to be available to work for an employer, but is not actually guaranteed any specific number of hours per month.</w:t>
      </w:r>
      <w:r w:rsidR="00C15032" w:rsidRPr="000F052B">
        <w:rPr>
          <w:rStyle w:val="FootnoteReference"/>
          <w:rFonts w:ascii="Times New Roman" w:hAnsi="Times New Roman" w:cs="Times New Roman"/>
          <w:sz w:val="24"/>
          <w:szCs w:val="24"/>
          <w:lang w:val="en-US"/>
        </w:rPr>
        <w:footnoteReference w:id="197"/>
      </w:r>
      <w:r w:rsidR="005B7458" w:rsidRPr="000F052B">
        <w:rPr>
          <w:rFonts w:ascii="Times New Roman" w:hAnsi="Times New Roman" w:cs="Times New Roman"/>
          <w:sz w:val="24"/>
          <w:szCs w:val="24"/>
          <w:lang w:val="en-US"/>
        </w:rPr>
        <w:t xml:space="preserve">  Statistics </w:t>
      </w:r>
      <w:r w:rsidR="00F22BFC" w:rsidRPr="000F052B">
        <w:rPr>
          <w:rFonts w:ascii="Times New Roman" w:hAnsi="Times New Roman" w:cs="Times New Roman"/>
          <w:sz w:val="24"/>
          <w:szCs w:val="24"/>
          <w:lang w:val="en-US"/>
        </w:rPr>
        <w:t>in the UK reveal that this is a fairly common practice there, allowing employers to avoid having to commit to paying employees when not required.</w:t>
      </w:r>
      <w:r w:rsidR="00C15032" w:rsidRPr="000F052B">
        <w:rPr>
          <w:rStyle w:val="FootnoteReference"/>
          <w:rFonts w:ascii="Times New Roman" w:hAnsi="Times New Roman" w:cs="Times New Roman"/>
          <w:sz w:val="24"/>
          <w:szCs w:val="24"/>
          <w:lang w:val="en-US"/>
        </w:rPr>
        <w:footnoteReference w:id="198"/>
      </w:r>
      <w:r w:rsidR="00F22BFC" w:rsidRPr="000F052B">
        <w:rPr>
          <w:rFonts w:ascii="Times New Roman" w:hAnsi="Times New Roman" w:cs="Times New Roman"/>
          <w:sz w:val="24"/>
          <w:szCs w:val="24"/>
          <w:lang w:val="en-US"/>
        </w:rPr>
        <w:t xml:space="preserve">  Empirical studies </w:t>
      </w:r>
      <w:r w:rsidR="005B7458" w:rsidRPr="000F052B">
        <w:rPr>
          <w:rFonts w:ascii="Times New Roman" w:hAnsi="Times New Roman" w:cs="Times New Roman"/>
          <w:sz w:val="24"/>
          <w:szCs w:val="24"/>
          <w:lang w:val="en-US"/>
        </w:rPr>
        <w:t xml:space="preserve">also </w:t>
      </w:r>
      <w:r w:rsidR="00F22BFC" w:rsidRPr="000F052B">
        <w:rPr>
          <w:rFonts w:ascii="Times New Roman" w:hAnsi="Times New Roman" w:cs="Times New Roman"/>
          <w:sz w:val="24"/>
          <w:szCs w:val="24"/>
          <w:lang w:val="en-US"/>
        </w:rPr>
        <w:t xml:space="preserve">suggest that zero hour employees are </w:t>
      </w:r>
      <w:r w:rsidR="00F22BFC" w:rsidRPr="000F052B">
        <w:rPr>
          <w:rFonts w:ascii="Times New Roman" w:hAnsi="Times New Roman" w:cs="Times New Roman"/>
          <w:sz w:val="24"/>
          <w:szCs w:val="24"/>
          <w:lang w:val="en-US"/>
        </w:rPr>
        <w:lastRenderedPageBreak/>
        <w:t>often engaged in several such contracts at any point in time, or are students, or mothers, not looking for full time employment.</w:t>
      </w:r>
      <w:r w:rsidR="00C15032" w:rsidRPr="000F052B">
        <w:rPr>
          <w:rStyle w:val="FootnoteReference"/>
          <w:rFonts w:ascii="Times New Roman" w:hAnsi="Times New Roman" w:cs="Times New Roman"/>
          <w:sz w:val="24"/>
          <w:szCs w:val="24"/>
          <w:lang w:val="en-US"/>
        </w:rPr>
        <w:footnoteReference w:id="199"/>
      </w:r>
      <w:r w:rsidR="00F22BFC" w:rsidRPr="000F052B">
        <w:rPr>
          <w:rFonts w:ascii="Times New Roman" w:hAnsi="Times New Roman" w:cs="Times New Roman"/>
          <w:sz w:val="24"/>
          <w:szCs w:val="24"/>
          <w:lang w:val="en-US"/>
        </w:rPr>
        <w:t xml:space="preserve">  The risk of zero hour contracts, however, is that employers could use these to avoid the dictates of employment legislation.  </w:t>
      </w:r>
    </w:p>
    <w:p w14:paraId="64986C93" w14:textId="71203853" w:rsidR="0023391A" w:rsidRDefault="00F22BFC" w:rsidP="00131CB6">
      <w:pPr>
        <w:spacing w:after="120" w:line="480" w:lineRule="auto"/>
        <w:ind w:firstLine="709"/>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South Africa,</w:t>
      </w:r>
      <w:r w:rsidR="002E4F0A">
        <w:rPr>
          <w:rFonts w:ascii="Times New Roman" w:hAnsi="Times New Roman" w:cs="Times New Roman"/>
          <w:sz w:val="24"/>
          <w:szCs w:val="24"/>
          <w:lang w:val="en-US"/>
        </w:rPr>
        <w:t xml:space="preserve"> so-called</w:t>
      </w:r>
      <w:r w:rsidR="00302533">
        <w:rPr>
          <w:rFonts w:ascii="Times New Roman" w:hAnsi="Times New Roman" w:cs="Times New Roman"/>
          <w:sz w:val="24"/>
          <w:szCs w:val="24"/>
          <w:lang w:val="en-US"/>
        </w:rPr>
        <w:t xml:space="preserve"> “non-standard”</w:t>
      </w:r>
      <w:r w:rsidR="00EB4A8C">
        <w:rPr>
          <w:rFonts w:ascii="Times New Roman" w:hAnsi="Times New Roman" w:cs="Times New Roman"/>
          <w:sz w:val="24"/>
          <w:szCs w:val="24"/>
          <w:lang w:val="en-US"/>
        </w:rPr>
        <w:t xml:space="preserve"> employment is closely governed by statute, introduced by amendments to the Labour Relations Act in 2014.</w:t>
      </w:r>
      <w:r w:rsidR="00EC7458">
        <w:rPr>
          <w:rStyle w:val="FootnoteReference"/>
          <w:rFonts w:ascii="Times New Roman" w:hAnsi="Times New Roman" w:cs="Times New Roman"/>
          <w:sz w:val="24"/>
          <w:szCs w:val="24"/>
          <w:lang w:val="en-US"/>
        </w:rPr>
        <w:footnoteReference w:id="200"/>
      </w:r>
      <w:r w:rsidR="00EB4A8C">
        <w:rPr>
          <w:rFonts w:ascii="Times New Roman" w:hAnsi="Times New Roman" w:cs="Times New Roman"/>
          <w:sz w:val="24"/>
          <w:szCs w:val="24"/>
          <w:lang w:val="en-US"/>
        </w:rPr>
        <w:t xml:space="preserve">  Sections 198A-D of this Act now contain d</w:t>
      </w:r>
      <w:r w:rsidR="00302533">
        <w:rPr>
          <w:rFonts w:ascii="Times New Roman" w:hAnsi="Times New Roman" w:cs="Times New Roman"/>
          <w:sz w:val="24"/>
          <w:szCs w:val="24"/>
          <w:lang w:val="en-US"/>
        </w:rPr>
        <w:t>etailed provisions relating to “temporary”</w:t>
      </w:r>
      <w:r w:rsidR="00EB4A8C">
        <w:rPr>
          <w:rFonts w:ascii="Times New Roman" w:hAnsi="Times New Roman" w:cs="Times New Roman"/>
          <w:sz w:val="24"/>
          <w:szCs w:val="24"/>
          <w:lang w:val="en-US"/>
        </w:rPr>
        <w:t>,</w:t>
      </w:r>
      <w:r w:rsidR="00302533">
        <w:rPr>
          <w:rFonts w:ascii="Times New Roman" w:hAnsi="Times New Roman" w:cs="Times New Roman"/>
          <w:sz w:val="24"/>
          <w:szCs w:val="24"/>
          <w:lang w:val="en-US"/>
        </w:rPr>
        <w:t xml:space="preserve"> “fixed term”, and “part time”</w:t>
      </w:r>
      <w:r w:rsidR="005E7242">
        <w:rPr>
          <w:rFonts w:ascii="Times New Roman" w:hAnsi="Times New Roman" w:cs="Times New Roman"/>
          <w:sz w:val="24"/>
          <w:szCs w:val="24"/>
          <w:lang w:val="en-US"/>
        </w:rPr>
        <w:t xml:space="preserve"> employees, who earn below a certain threshold.  A earlier reported decision on a zero hour contract scenario makes </w:t>
      </w:r>
      <w:r w:rsidR="006E73E1">
        <w:rPr>
          <w:rFonts w:ascii="Times New Roman" w:hAnsi="Times New Roman" w:cs="Times New Roman"/>
          <w:sz w:val="24"/>
          <w:szCs w:val="24"/>
          <w:lang w:val="en-US"/>
        </w:rPr>
        <w:t xml:space="preserve">it </w:t>
      </w:r>
      <w:r w:rsidR="005E7242">
        <w:rPr>
          <w:rFonts w:ascii="Times New Roman" w:hAnsi="Times New Roman" w:cs="Times New Roman"/>
          <w:sz w:val="24"/>
          <w:szCs w:val="24"/>
          <w:lang w:val="en-US"/>
        </w:rPr>
        <w:t>clear that persons employed in suc</w:t>
      </w:r>
      <w:r w:rsidR="00302533">
        <w:rPr>
          <w:rFonts w:ascii="Times New Roman" w:hAnsi="Times New Roman" w:cs="Times New Roman"/>
          <w:sz w:val="24"/>
          <w:szCs w:val="24"/>
          <w:lang w:val="en-US"/>
        </w:rPr>
        <w:t>h a capacity had the status of “employees”</w:t>
      </w:r>
      <w:r w:rsidR="005E7242">
        <w:rPr>
          <w:rFonts w:ascii="Times New Roman" w:hAnsi="Times New Roman" w:cs="Times New Roman"/>
          <w:sz w:val="24"/>
          <w:szCs w:val="24"/>
          <w:lang w:val="en-US"/>
        </w:rPr>
        <w:t xml:space="preserve"> </w:t>
      </w:r>
      <w:r w:rsidR="006E73E1">
        <w:rPr>
          <w:rFonts w:ascii="Times New Roman" w:hAnsi="Times New Roman" w:cs="Times New Roman"/>
          <w:sz w:val="24"/>
          <w:szCs w:val="24"/>
          <w:lang w:val="en-US"/>
        </w:rPr>
        <w:t xml:space="preserve">in South Africa </w:t>
      </w:r>
      <w:r w:rsidR="005E7242">
        <w:rPr>
          <w:rFonts w:ascii="Times New Roman" w:hAnsi="Times New Roman" w:cs="Times New Roman"/>
          <w:sz w:val="24"/>
          <w:szCs w:val="24"/>
          <w:lang w:val="en-US"/>
        </w:rPr>
        <w:t>and were hence entitled to statutory protection</w:t>
      </w:r>
      <w:r w:rsidR="006E73E1">
        <w:rPr>
          <w:rFonts w:ascii="Times New Roman" w:hAnsi="Times New Roman" w:cs="Times New Roman"/>
          <w:sz w:val="24"/>
          <w:szCs w:val="24"/>
          <w:lang w:val="en-US"/>
        </w:rPr>
        <w:t xml:space="preserve"> even prior to the legislative amendments</w:t>
      </w:r>
      <w:r w:rsidR="005E7242">
        <w:rPr>
          <w:rFonts w:ascii="Times New Roman" w:hAnsi="Times New Roman" w:cs="Times New Roman"/>
          <w:sz w:val="24"/>
          <w:szCs w:val="24"/>
          <w:lang w:val="en-US"/>
        </w:rPr>
        <w:t>.</w:t>
      </w:r>
      <w:r w:rsidR="00627136">
        <w:rPr>
          <w:rStyle w:val="FootnoteReference"/>
          <w:rFonts w:ascii="Times New Roman" w:hAnsi="Times New Roman" w:cs="Times New Roman"/>
          <w:sz w:val="24"/>
          <w:szCs w:val="24"/>
          <w:lang w:val="en-US"/>
        </w:rPr>
        <w:footnoteReference w:id="201"/>
      </w:r>
      <w:r w:rsidR="005E7242">
        <w:rPr>
          <w:rFonts w:ascii="Times New Roman" w:hAnsi="Times New Roman" w:cs="Times New Roman"/>
          <w:sz w:val="24"/>
          <w:szCs w:val="24"/>
          <w:lang w:val="en-US"/>
        </w:rPr>
        <w:t xml:space="preserve">  </w:t>
      </w:r>
      <w:r w:rsidR="0023391A">
        <w:rPr>
          <w:rFonts w:ascii="Times New Roman" w:hAnsi="Times New Roman" w:cs="Times New Roman"/>
          <w:sz w:val="24"/>
          <w:szCs w:val="24"/>
          <w:lang w:val="en-US"/>
        </w:rPr>
        <w:t>Section 198C in</w:t>
      </w:r>
      <w:r w:rsidR="002E4F0A">
        <w:rPr>
          <w:rFonts w:ascii="Times New Roman" w:hAnsi="Times New Roman" w:cs="Times New Roman"/>
          <w:sz w:val="24"/>
          <w:szCs w:val="24"/>
          <w:lang w:val="en-US"/>
        </w:rPr>
        <w:t xml:space="preserve"> particular, which deals with </w:t>
      </w:r>
      <w:r w:rsidR="006E73E1">
        <w:rPr>
          <w:rFonts w:ascii="Times New Roman" w:hAnsi="Times New Roman" w:cs="Times New Roman"/>
          <w:sz w:val="24"/>
          <w:szCs w:val="24"/>
          <w:lang w:val="en-US"/>
        </w:rPr>
        <w:t>p</w:t>
      </w:r>
      <w:r w:rsidR="0023391A">
        <w:rPr>
          <w:rFonts w:ascii="Times New Roman" w:hAnsi="Times New Roman" w:cs="Times New Roman"/>
          <w:sz w:val="24"/>
          <w:szCs w:val="24"/>
          <w:lang w:val="en-US"/>
        </w:rPr>
        <w:t>art-time employ</w:t>
      </w:r>
      <w:r w:rsidR="006E73E1">
        <w:rPr>
          <w:rFonts w:ascii="Times New Roman" w:hAnsi="Times New Roman" w:cs="Times New Roman"/>
          <w:sz w:val="24"/>
          <w:szCs w:val="24"/>
          <w:lang w:val="en-US"/>
        </w:rPr>
        <w:t>ees</w:t>
      </w:r>
      <w:r w:rsidR="00911C13">
        <w:rPr>
          <w:rFonts w:ascii="Times New Roman" w:hAnsi="Times New Roman" w:cs="Times New Roman"/>
          <w:sz w:val="24"/>
          <w:szCs w:val="24"/>
          <w:lang w:val="en-US"/>
        </w:rPr>
        <w:t xml:space="preserve"> earning below a minimum threshold</w:t>
      </w:r>
      <w:r w:rsidR="0023391A">
        <w:rPr>
          <w:rFonts w:ascii="Times New Roman" w:hAnsi="Times New Roman" w:cs="Times New Roman"/>
          <w:sz w:val="24"/>
          <w:szCs w:val="24"/>
          <w:lang w:val="en-US"/>
        </w:rPr>
        <w:t>, provides that employe</w:t>
      </w:r>
      <w:r w:rsidR="00911C13">
        <w:rPr>
          <w:rFonts w:ascii="Times New Roman" w:hAnsi="Times New Roman" w:cs="Times New Roman"/>
          <w:sz w:val="24"/>
          <w:szCs w:val="24"/>
          <w:lang w:val="en-US"/>
        </w:rPr>
        <w:t>r</w:t>
      </w:r>
      <w:r w:rsidR="0023391A">
        <w:rPr>
          <w:rFonts w:ascii="Times New Roman" w:hAnsi="Times New Roman" w:cs="Times New Roman"/>
          <w:sz w:val="24"/>
          <w:szCs w:val="24"/>
          <w:lang w:val="en-US"/>
        </w:rPr>
        <w:t>s must tr</w:t>
      </w:r>
      <w:r w:rsidR="002E4F0A">
        <w:rPr>
          <w:rFonts w:ascii="Times New Roman" w:hAnsi="Times New Roman" w:cs="Times New Roman"/>
          <w:sz w:val="24"/>
          <w:szCs w:val="24"/>
          <w:lang w:val="en-US"/>
        </w:rPr>
        <w:t>eat</w:t>
      </w:r>
      <w:r w:rsidR="00911C13">
        <w:rPr>
          <w:rFonts w:ascii="Times New Roman" w:hAnsi="Times New Roman" w:cs="Times New Roman"/>
          <w:sz w:val="24"/>
          <w:szCs w:val="24"/>
          <w:lang w:val="en-US"/>
        </w:rPr>
        <w:t xml:space="preserve"> such workers</w:t>
      </w:r>
      <w:r w:rsidR="002E4F0A">
        <w:rPr>
          <w:rFonts w:ascii="Times New Roman" w:hAnsi="Times New Roman" w:cs="Times New Roman"/>
          <w:sz w:val="24"/>
          <w:szCs w:val="24"/>
          <w:lang w:val="en-US"/>
        </w:rPr>
        <w:t xml:space="preserve"> no less favo</w:t>
      </w:r>
      <w:r w:rsidR="0023391A">
        <w:rPr>
          <w:rFonts w:ascii="Times New Roman" w:hAnsi="Times New Roman" w:cs="Times New Roman"/>
          <w:sz w:val="24"/>
          <w:szCs w:val="24"/>
          <w:lang w:val="en-US"/>
        </w:rPr>
        <w:t>rably than full-time employ</w:t>
      </w:r>
      <w:r w:rsidR="002E4F0A">
        <w:rPr>
          <w:rFonts w:ascii="Times New Roman" w:hAnsi="Times New Roman" w:cs="Times New Roman"/>
          <w:sz w:val="24"/>
          <w:szCs w:val="24"/>
          <w:lang w:val="en-US"/>
        </w:rPr>
        <w:t xml:space="preserve">ees doing the same job and </w:t>
      </w:r>
      <w:r w:rsidR="00911C13">
        <w:rPr>
          <w:rFonts w:ascii="Times New Roman" w:hAnsi="Times New Roman" w:cs="Times New Roman"/>
          <w:sz w:val="24"/>
          <w:szCs w:val="24"/>
          <w:lang w:val="en-US"/>
        </w:rPr>
        <w:t>that such persons must</w:t>
      </w:r>
      <w:r w:rsidR="0023391A">
        <w:rPr>
          <w:rFonts w:ascii="Times New Roman" w:hAnsi="Times New Roman" w:cs="Times New Roman"/>
          <w:sz w:val="24"/>
          <w:szCs w:val="24"/>
          <w:lang w:val="en-US"/>
        </w:rPr>
        <w:t xml:space="preserve"> be provided with training and skills development comparable to full-time employees.</w:t>
      </w:r>
      <w:r w:rsidR="00627136">
        <w:rPr>
          <w:rStyle w:val="FootnoteReference"/>
          <w:rFonts w:ascii="Times New Roman" w:hAnsi="Times New Roman" w:cs="Times New Roman"/>
          <w:sz w:val="24"/>
          <w:szCs w:val="24"/>
          <w:lang w:val="en-US"/>
        </w:rPr>
        <w:footnoteReference w:id="202"/>
      </w:r>
      <w:r w:rsidR="0023391A">
        <w:rPr>
          <w:rFonts w:ascii="Times New Roman" w:hAnsi="Times New Roman" w:cs="Times New Roman"/>
          <w:sz w:val="24"/>
          <w:szCs w:val="24"/>
          <w:lang w:val="en-US"/>
        </w:rPr>
        <w:t xml:space="preserve">  </w:t>
      </w:r>
      <w:r w:rsidRPr="000F052B">
        <w:rPr>
          <w:rFonts w:ascii="Times New Roman" w:hAnsi="Times New Roman" w:cs="Times New Roman"/>
          <w:sz w:val="24"/>
          <w:szCs w:val="24"/>
          <w:lang w:val="en-US"/>
        </w:rPr>
        <w:t xml:space="preserve">  </w:t>
      </w:r>
    </w:p>
    <w:p w14:paraId="5BA4104C" w14:textId="22C140C6" w:rsidR="00F22BFC" w:rsidRDefault="00EC7458" w:rsidP="00131CB6">
      <w:pPr>
        <w:spacing w:after="12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893A33" w:rsidRPr="000F052B">
        <w:rPr>
          <w:rFonts w:ascii="Times New Roman" w:hAnsi="Times New Roman" w:cs="Times New Roman"/>
          <w:sz w:val="24"/>
          <w:szCs w:val="24"/>
          <w:lang w:val="en-US"/>
        </w:rPr>
        <w:t xml:space="preserve">n Australia </w:t>
      </w:r>
      <w:r>
        <w:rPr>
          <w:rFonts w:ascii="Times New Roman" w:hAnsi="Times New Roman" w:cs="Times New Roman"/>
          <w:sz w:val="24"/>
          <w:szCs w:val="24"/>
          <w:lang w:val="en-US"/>
        </w:rPr>
        <w:t>zero hour</w:t>
      </w:r>
      <w:r w:rsidR="00893A33" w:rsidRPr="000F052B">
        <w:rPr>
          <w:rFonts w:ascii="Times New Roman" w:hAnsi="Times New Roman" w:cs="Times New Roman"/>
          <w:sz w:val="24"/>
          <w:szCs w:val="24"/>
          <w:lang w:val="en-US"/>
        </w:rPr>
        <w:t xml:space="preserve"> contracts are used in casual employment situations (roughly, </w:t>
      </w:r>
      <w:r>
        <w:rPr>
          <w:rFonts w:ascii="Times New Roman" w:hAnsi="Times New Roman" w:cs="Times New Roman"/>
          <w:sz w:val="24"/>
          <w:szCs w:val="24"/>
          <w:lang w:val="en-US"/>
        </w:rPr>
        <w:t>2</w:t>
      </w:r>
      <w:r w:rsidR="00893A33" w:rsidRPr="000F052B">
        <w:rPr>
          <w:rFonts w:ascii="Times New Roman" w:hAnsi="Times New Roman" w:cs="Times New Roman"/>
          <w:sz w:val="24"/>
          <w:szCs w:val="24"/>
          <w:lang w:val="en-US"/>
        </w:rPr>
        <w:t xml:space="preserve">3% of all employment contracts). This is due to the fact that this requirement does not figure in the so-called National Employment Standards, which with respect to casual employees only cover </w:t>
      </w:r>
      <w:r w:rsidR="00893A33" w:rsidRPr="000F052B">
        <w:rPr>
          <w:rFonts w:ascii="Times New Roman" w:hAnsi="Times New Roman" w:cs="Times New Roman"/>
          <w:sz w:val="24"/>
          <w:szCs w:val="24"/>
        </w:rPr>
        <w:t>unpaid carer’s leave, unpaid compassionate leave, community service leave, and the Fair Work Information Statement</w:t>
      </w:r>
      <w:r w:rsidR="00893A33" w:rsidRPr="000F052B">
        <w:rPr>
          <w:rFonts w:ascii="Times New Roman" w:hAnsi="Times New Roman" w:cs="Times New Roman"/>
          <w:sz w:val="24"/>
          <w:szCs w:val="24"/>
          <w:lang w:val="en-US"/>
        </w:rPr>
        <w:t>.</w:t>
      </w:r>
      <w:r w:rsidR="00893A33" w:rsidRPr="000F052B">
        <w:rPr>
          <w:rStyle w:val="FootnoteReference"/>
          <w:rFonts w:ascii="Times New Roman" w:hAnsi="Times New Roman" w:cs="Times New Roman"/>
          <w:sz w:val="24"/>
          <w:szCs w:val="24"/>
          <w:lang w:val="en-US"/>
        </w:rPr>
        <w:footnoteReference w:id="203"/>
      </w:r>
      <w:r>
        <w:rPr>
          <w:rFonts w:ascii="Times New Roman" w:hAnsi="Times New Roman" w:cs="Times New Roman"/>
          <w:sz w:val="24"/>
          <w:szCs w:val="24"/>
          <w:lang w:val="en-US"/>
        </w:rPr>
        <w:t xml:space="preserve">  </w:t>
      </w:r>
    </w:p>
    <w:p w14:paraId="17545D06" w14:textId="76C88D79" w:rsidR="009B79F9" w:rsidRPr="008458A4" w:rsidRDefault="005B5D32" w:rsidP="00131CB6">
      <w:pPr>
        <w:spacing w:after="120" w:line="480" w:lineRule="auto"/>
        <w:ind w:firstLine="709"/>
        <w:jc w:val="both"/>
        <w:rPr>
          <w:rFonts w:ascii="Times New Roman" w:hAnsi="Times New Roman" w:cs="Times New Roman"/>
          <w:sz w:val="24"/>
          <w:szCs w:val="24"/>
        </w:rPr>
      </w:pPr>
      <w:r w:rsidRPr="005B5D32">
        <w:rPr>
          <w:rFonts w:ascii="Times New Roman" w:hAnsi="Times New Roman" w:cs="Times New Roman"/>
          <w:sz w:val="24"/>
          <w:szCs w:val="24"/>
          <w:lang w:val="en-US"/>
        </w:rPr>
        <w:t>Employment is one of the</w:t>
      </w:r>
      <w:r w:rsidR="00911C13" w:rsidRPr="005B509E">
        <w:rPr>
          <w:rFonts w:ascii="Times New Roman" w:hAnsi="Times New Roman" w:cs="Times New Roman"/>
          <w:sz w:val="24"/>
          <w:szCs w:val="24"/>
          <w:lang w:val="en-US"/>
        </w:rPr>
        <w:t xml:space="preserve"> archetypal example</w:t>
      </w:r>
      <w:r>
        <w:rPr>
          <w:rFonts w:ascii="Times New Roman" w:hAnsi="Times New Roman" w:cs="Times New Roman"/>
          <w:sz w:val="24"/>
          <w:szCs w:val="24"/>
          <w:lang w:val="en-US"/>
        </w:rPr>
        <w:t>s</w:t>
      </w:r>
      <w:r w:rsidR="00911C13" w:rsidRPr="005B509E">
        <w:rPr>
          <w:rFonts w:ascii="Times New Roman" w:hAnsi="Times New Roman" w:cs="Times New Roman"/>
          <w:sz w:val="24"/>
          <w:szCs w:val="24"/>
          <w:lang w:val="en-US"/>
        </w:rPr>
        <w:t xml:space="preserve"> of a relational contract.  </w:t>
      </w:r>
      <w:r w:rsidR="006A377F">
        <w:rPr>
          <w:rFonts w:ascii="Times New Roman" w:hAnsi="Times New Roman" w:cs="Times New Roman"/>
          <w:sz w:val="24"/>
          <w:szCs w:val="24"/>
          <w:lang w:val="en-US"/>
        </w:rPr>
        <w:t>Fringe forms of employment, such as zer</w:t>
      </w:r>
      <w:r>
        <w:rPr>
          <w:rFonts w:ascii="Times New Roman" w:hAnsi="Times New Roman" w:cs="Times New Roman"/>
          <w:sz w:val="24"/>
          <w:szCs w:val="24"/>
          <w:lang w:val="en-US"/>
        </w:rPr>
        <w:t>o hour contracts and other modes of casual labo</w:t>
      </w:r>
      <w:r w:rsidR="006A377F">
        <w:rPr>
          <w:rFonts w:ascii="Times New Roman" w:hAnsi="Times New Roman" w:cs="Times New Roman"/>
          <w:sz w:val="24"/>
          <w:szCs w:val="24"/>
          <w:lang w:val="en-US"/>
        </w:rPr>
        <w:t xml:space="preserve">r illustrate not only </w:t>
      </w:r>
      <w:r w:rsidR="006A377F">
        <w:rPr>
          <w:rFonts w:ascii="Times New Roman" w:hAnsi="Times New Roman" w:cs="Times New Roman"/>
          <w:sz w:val="24"/>
          <w:szCs w:val="24"/>
          <w:lang w:val="en-US"/>
        </w:rPr>
        <w:lastRenderedPageBreak/>
        <w:t xml:space="preserve">how an umbrella contract can operate in this context, but also how the laxity of such an arrangement leaves workers and their third party dependents exposed.  South Africa appears to have gone the furthest in terms of providing statutory protection to such workers and their relational networks, with Australia and UK relying more on market controls to manage the employment relationship.  </w:t>
      </w:r>
      <w:r w:rsidR="00E70873">
        <w:rPr>
          <w:rFonts w:ascii="Times New Roman" w:hAnsi="Times New Roman" w:cs="Times New Roman"/>
          <w:sz w:val="24"/>
          <w:szCs w:val="24"/>
          <w:lang w:val="en-US"/>
        </w:rPr>
        <w:t xml:space="preserve">One </w:t>
      </w:r>
      <w:r w:rsidR="00D914D2">
        <w:rPr>
          <w:rFonts w:ascii="Times New Roman" w:hAnsi="Times New Roman" w:cs="Times New Roman"/>
          <w:sz w:val="24"/>
          <w:szCs w:val="24"/>
          <w:lang w:val="en-US"/>
        </w:rPr>
        <w:t>could here hypothesize that a possible reas</w:t>
      </w:r>
      <w:r w:rsidR="00E70873">
        <w:rPr>
          <w:rFonts w:ascii="Times New Roman" w:hAnsi="Times New Roman" w:cs="Times New Roman"/>
          <w:sz w:val="24"/>
          <w:szCs w:val="24"/>
          <w:lang w:val="en-US"/>
        </w:rPr>
        <w:t>on for this is the fact that</w:t>
      </w:r>
      <w:r w:rsidR="006A377F">
        <w:rPr>
          <w:rFonts w:ascii="Times New Roman" w:hAnsi="Times New Roman" w:cs="Times New Roman"/>
          <w:sz w:val="24"/>
          <w:szCs w:val="24"/>
          <w:lang w:val="en-US"/>
        </w:rPr>
        <w:t xml:space="preserve"> social welfare in the latter countries</w:t>
      </w:r>
      <w:r w:rsidR="00E70873">
        <w:rPr>
          <w:rFonts w:ascii="Times New Roman" w:hAnsi="Times New Roman" w:cs="Times New Roman"/>
          <w:sz w:val="24"/>
          <w:szCs w:val="24"/>
          <w:lang w:val="en-US"/>
        </w:rPr>
        <w:t xml:space="preserve"> provides an extensive safety net to the unemployed;</w:t>
      </w:r>
      <w:r w:rsidR="006A377F">
        <w:rPr>
          <w:rFonts w:ascii="Times New Roman" w:hAnsi="Times New Roman" w:cs="Times New Roman"/>
          <w:sz w:val="24"/>
          <w:szCs w:val="24"/>
          <w:lang w:val="en-US"/>
        </w:rPr>
        <w:t xml:space="preserve"> South Africans without employment face a far bleaker prospect in the face of widespread poverty and a tightly stretch</w:t>
      </w:r>
      <w:r w:rsidR="00526C0B">
        <w:rPr>
          <w:rFonts w:ascii="Times New Roman" w:hAnsi="Times New Roman" w:cs="Times New Roman"/>
          <w:sz w:val="24"/>
          <w:szCs w:val="24"/>
          <w:lang w:val="en-US"/>
        </w:rPr>
        <w:t>ed</w:t>
      </w:r>
      <w:r w:rsidR="006A377F">
        <w:rPr>
          <w:rFonts w:ascii="Times New Roman" w:hAnsi="Times New Roman" w:cs="Times New Roman"/>
          <w:sz w:val="24"/>
          <w:szCs w:val="24"/>
          <w:lang w:val="en-US"/>
        </w:rPr>
        <w:t xml:space="preserve"> social welfare system.</w:t>
      </w:r>
    </w:p>
    <w:p w14:paraId="2BEF1E58" w14:textId="77777777" w:rsidR="00D90314" w:rsidRDefault="00D90314" w:rsidP="00FC6E0E">
      <w:pPr>
        <w:spacing w:after="120" w:line="480" w:lineRule="auto"/>
        <w:rPr>
          <w:rFonts w:ascii="Times New Roman" w:hAnsi="Times New Roman" w:cs="Times New Roman"/>
          <w:i/>
          <w:sz w:val="28"/>
          <w:szCs w:val="24"/>
          <w:lang w:val="en-US"/>
        </w:rPr>
      </w:pPr>
    </w:p>
    <w:p w14:paraId="0BEF02CF" w14:textId="54E3DBED" w:rsidR="000A2CFB" w:rsidRPr="000F052B" w:rsidRDefault="0007757E" w:rsidP="00F22959">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2.3</w:t>
      </w:r>
      <w:r w:rsidR="00BA5066" w:rsidRPr="000F052B">
        <w:rPr>
          <w:rFonts w:ascii="Times New Roman" w:hAnsi="Times New Roman" w:cs="Times New Roman"/>
          <w:i/>
          <w:sz w:val="28"/>
          <w:szCs w:val="24"/>
          <w:lang w:val="en-US"/>
        </w:rPr>
        <w:t xml:space="preserve"> Financial Sector A</w:t>
      </w:r>
      <w:r w:rsidR="000A2CFB" w:rsidRPr="000F052B">
        <w:rPr>
          <w:rFonts w:ascii="Times New Roman" w:hAnsi="Times New Roman" w:cs="Times New Roman"/>
          <w:i/>
          <w:sz w:val="28"/>
          <w:szCs w:val="24"/>
          <w:lang w:val="en-US"/>
        </w:rPr>
        <w:t>rrangements</w:t>
      </w:r>
    </w:p>
    <w:p w14:paraId="384BEFBF" w14:textId="1946C2EE" w:rsidR="00131CB6" w:rsidRPr="000F052B" w:rsidRDefault="0007757E"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t>In the context of financial transactions, constitutive umbrella agreements are commonly used in both Australia and South Africa. A particularly pertinent example is the use of the International Swaps and</w:t>
      </w:r>
      <w:r w:rsidR="00302533">
        <w:rPr>
          <w:rFonts w:ascii="Times New Roman" w:hAnsi="Times New Roman" w:cs="Times New Roman"/>
          <w:sz w:val="24"/>
          <w:szCs w:val="24"/>
          <w:lang w:val="en-US"/>
        </w:rPr>
        <w:t xml:space="preserve"> Derivatives Association, Inc (“ISDA”</w:t>
      </w:r>
      <w:r w:rsidRPr="000F052B">
        <w:rPr>
          <w:rFonts w:ascii="Times New Roman" w:hAnsi="Times New Roman" w:cs="Times New Roman"/>
          <w:sz w:val="24"/>
          <w:szCs w:val="24"/>
          <w:lang w:val="en-US"/>
        </w:rPr>
        <w:t>) 2002 Master Agreement.</w:t>
      </w:r>
      <w:r w:rsidR="007D6E6C" w:rsidRPr="000F052B">
        <w:rPr>
          <w:rStyle w:val="FootnoteReference"/>
          <w:rFonts w:ascii="Times New Roman" w:hAnsi="Times New Roman" w:cs="Times New Roman"/>
          <w:sz w:val="24"/>
          <w:szCs w:val="24"/>
          <w:lang w:val="en-US"/>
        </w:rPr>
        <w:footnoteReference w:id="204"/>
      </w:r>
      <w:r w:rsidRPr="000F052B">
        <w:rPr>
          <w:rFonts w:ascii="Times New Roman" w:hAnsi="Times New Roman" w:cs="Times New Roman"/>
          <w:sz w:val="24"/>
          <w:szCs w:val="24"/>
          <w:lang w:val="en-US"/>
        </w:rPr>
        <w:t xml:space="preserve"> </w:t>
      </w:r>
      <w:r w:rsidR="00A0575C" w:rsidRPr="000F052B">
        <w:rPr>
          <w:rFonts w:ascii="Times New Roman" w:hAnsi="Times New Roman" w:cs="Times New Roman"/>
          <w:sz w:val="24"/>
          <w:szCs w:val="24"/>
          <w:lang w:val="en-US"/>
        </w:rPr>
        <w:t>This Master Agreement is an international document, freely available on the internet, and is designed to be tailored for individual use in a given country.  Typically the governing legal regime chosen is English or New York law, reflecting the international nature of this type of transaction, as well as its business orientation.  The Master Agreement provides detailed terms to govern the netting of transactions and as to</w:t>
      </w:r>
      <w:r w:rsidR="007D6E6C" w:rsidRPr="000F052B">
        <w:rPr>
          <w:rFonts w:ascii="Times New Roman" w:hAnsi="Times New Roman" w:cs="Times New Roman"/>
          <w:sz w:val="24"/>
          <w:szCs w:val="24"/>
          <w:lang w:val="en-US"/>
        </w:rPr>
        <w:t xml:space="preserve"> how</w:t>
      </w:r>
      <w:r w:rsidR="00A0575C" w:rsidRPr="000F052B">
        <w:rPr>
          <w:rFonts w:ascii="Times New Roman" w:hAnsi="Times New Roman" w:cs="Times New Roman"/>
          <w:sz w:val="24"/>
          <w:szCs w:val="24"/>
          <w:lang w:val="en-US"/>
        </w:rPr>
        <w:t xml:space="preserve"> default should be dealt with.  </w:t>
      </w:r>
    </w:p>
    <w:p w14:paraId="06CEFA35" w14:textId="2A1AC7E0" w:rsidR="00735E76" w:rsidRDefault="00A0575C" w:rsidP="00195471">
      <w:pPr>
        <w:spacing w:after="120" w:line="480" w:lineRule="auto"/>
        <w:ind w:firstLine="720"/>
        <w:jc w:val="both"/>
        <w:rPr>
          <w:rFonts w:ascii="Times New Roman" w:hAnsi="Times New Roman" w:cs="Times New Roman"/>
          <w:sz w:val="24"/>
          <w:szCs w:val="24"/>
        </w:rPr>
      </w:pPr>
      <w:r w:rsidRPr="000F052B">
        <w:rPr>
          <w:rFonts w:ascii="Times New Roman" w:hAnsi="Times New Roman" w:cs="Times New Roman"/>
          <w:sz w:val="24"/>
          <w:szCs w:val="24"/>
          <w:lang w:val="en-US"/>
        </w:rPr>
        <w:t xml:space="preserve">In South Africa, the use of this type of umbrella agreement has received statutory </w:t>
      </w:r>
      <w:r w:rsidR="007A0267" w:rsidRPr="000F052B">
        <w:rPr>
          <w:rFonts w:ascii="Times New Roman" w:hAnsi="Times New Roman" w:cs="Times New Roman"/>
          <w:sz w:val="24"/>
          <w:szCs w:val="24"/>
          <w:lang w:val="en-US"/>
        </w:rPr>
        <w:t>reco</w:t>
      </w:r>
      <w:r w:rsidR="007D6E6C" w:rsidRPr="000F052B">
        <w:rPr>
          <w:rFonts w:ascii="Times New Roman" w:hAnsi="Times New Roman" w:cs="Times New Roman"/>
          <w:sz w:val="24"/>
          <w:szCs w:val="24"/>
          <w:lang w:val="en-US"/>
        </w:rPr>
        <w:t>gnition through</w:t>
      </w:r>
      <w:r w:rsidR="007A0267" w:rsidRPr="000F052B">
        <w:rPr>
          <w:rFonts w:ascii="Times New Roman" w:hAnsi="Times New Roman" w:cs="Times New Roman"/>
          <w:sz w:val="24"/>
          <w:szCs w:val="24"/>
          <w:lang w:val="en-US"/>
        </w:rPr>
        <w:t xml:space="preserve"> </w:t>
      </w:r>
      <w:r w:rsidR="007D6E6C" w:rsidRPr="000F052B">
        <w:rPr>
          <w:rFonts w:ascii="Times New Roman" w:hAnsi="Times New Roman" w:cs="Times New Roman"/>
          <w:sz w:val="24"/>
          <w:szCs w:val="24"/>
          <w:lang w:val="en-US"/>
        </w:rPr>
        <w:t>se</w:t>
      </w:r>
      <w:r w:rsidR="007A0267" w:rsidRPr="000F052B">
        <w:rPr>
          <w:rFonts w:ascii="Times New Roman" w:hAnsi="Times New Roman" w:cs="Times New Roman"/>
          <w:sz w:val="24"/>
          <w:szCs w:val="24"/>
          <w:lang w:val="en-US"/>
        </w:rPr>
        <w:t>ction 35B of the Insolvency Act,</w:t>
      </w:r>
      <w:r w:rsidR="00835D8F" w:rsidRPr="000F052B">
        <w:rPr>
          <w:rStyle w:val="FootnoteReference"/>
          <w:rFonts w:ascii="Times New Roman" w:hAnsi="Times New Roman" w:cs="Times New Roman"/>
          <w:sz w:val="24"/>
          <w:szCs w:val="24"/>
          <w:lang w:val="en-US"/>
        </w:rPr>
        <w:footnoteReference w:id="205"/>
      </w:r>
      <w:r w:rsidR="007A0267" w:rsidRPr="000F052B">
        <w:rPr>
          <w:rFonts w:ascii="Times New Roman" w:hAnsi="Times New Roman" w:cs="Times New Roman"/>
          <w:sz w:val="24"/>
          <w:szCs w:val="24"/>
          <w:lang w:val="en-US"/>
        </w:rPr>
        <w:t xml:space="preserve"> which refers specifical</w:t>
      </w:r>
      <w:r w:rsidR="007D6E6C" w:rsidRPr="000F052B">
        <w:rPr>
          <w:rFonts w:ascii="Times New Roman" w:hAnsi="Times New Roman" w:cs="Times New Roman"/>
          <w:sz w:val="24"/>
          <w:szCs w:val="24"/>
          <w:lang w:val="en-US"/>
        </w:rPr>
        <w:t xml:space="preserve">ly to the ISDA Master Agreement, establishing an insolvency framework specifically tailored to this type of </w:t>
      </w:r>
      <w:r w:rsidR="007D6E6C" w:rsidRPr="000F052B">
        <w:rPr>
          <w:rFonts w:ascii="Times New Roman" w:hAnsi="Times New Roman" w:cs="Times New Roman"/>
          <w:sz w:val="24"/>
          <w:szCs w:val="24"/>
          <w:lang w:val="en-US"/>
        </w:rPr>
        <w:lastRenderedPageBreak/>
        <w:t>transaction and governing both corporates and individuals.</w:t>
      </w:r>
      <w:r w:rsidR="00131CB6" w:rsidRPr="000F052B">
        <w:rPr>
          <w:rFonts w:ascii="Times New Roman" w:hAnsi="Times New Roman" w:cs="Times New Roman"/>
          <w:sz w:val="24"/>
          <w:szCs w:val="24"/>
          <w:lang w:val="en-US"/>
        </w:rPr>
        <w:t xml:space="preserve"> </w:t>
      </w:r>
      <w:r w:rsidR="001723A4" w:rsidRPr="000F052B">
        <w:rPr>
          <w:rFonts w:ascii="Times New Roman" w:hAnsi="Times New Roman" w:cs="Times New Roman"/>
          <w:sz w:val="24"/>
          <w:szCs w:val="24"/>
          <w:lang w:val="en-US"/>
        </w:rPr>
        <w:t>With respect to the Australian scenario, particular attention should be paid to the relative provisions of the ISDA Reporting Delegation Agreement.</w:t>
      </w:r>
      <w:r w:rsidR="001723A4" w:rsidRPr="000F052B">
        <w:rPr>
          <w:rStyle w:val="FootnoteReference"/>
          <w:rFonts w:ascii="Times New Roman" w:hAnsi="Times New Roman" w:cs="Times New Roman"/>
          <w:sz w:val="24"/>
          <w:szCs w:val="24"/>
          <w:lang w:val="en-US"/>
        </w:rPr>
        <w:t xml:space="preserve"> </w:t>
      </w:r>
      <w:r w:rsidR="001723A4" w:rsidRPr="000F052B">
        <w:rPr>
          <w:rStyle w:val="FootnoteReference"/>
          <w:rFonts w:ascii="Times New Roman" w:hAnsi="Times New Roman" w:cs="Times New Roman"/>
          <w:sz w:val="24"/>
          <w:szCs w:val="24"/>
          <w:lang w:val="en-US"/>
        </w:rPr>
        <w:footnoteReference w:id="206"/>
      </w:r>
      <w:r w:rsidR="001723A4" w:rsidRPr="000F052B">
        <w:rPr>
          <w:rFonts w:ascii="Times New Roman" w:hAnsi="Times New Roman" w:cs="Times New Roman"/>
          <w:sz w:val="24"/>
          <w:szCs w:val="24"/>
          <w:lang w:val="en-US"/>
        </w:rPr>
        <w:t xml:space="preserve"> The document has been drafted with the aim to help delegates comply with reporting obligations </w:t>
      </w:r>
      <w:r w:rsidR="001723A4" w:rsidRPr="000F052B">
        <w:rPr>
          <w:rFonts w:ascii="Times New Roman" w:hAnsi="Times New Roman" w:cs="Times New Roman"/>
          <w:sz w:val="24"/>
          <w:szCs w:val="24"/>
        </w:rPr>
        <w:t xml:space="preserve">to a trade repository. </w:t>
      </w:r>
      <w:r w:rsidR="00F32FF8" w:rsidRPr="000F052B">
        <w:rPr>
          <w:rFonts w:ascii="Times New Roman" w:hAnsi="Times New Roman" w:cs="Times New Roman"/>
          <w:sz w:val="24"/>
          <w:szCs w:val="24"/>
        </w:rPr>
        <w:t xml:space="preserve">Importantly, a new bill has </w:t>
      </w:r>
      <w:r w:rsidR="001723A4" w:rsidRPr="000F052B">
        <w:rPr>
          <w:rFonts w:ascii="Times New Roman" w:hAnsi="Times New Roman" w:cs="Times New Roman"/>
          <w:sz w:val="24"/>
          <w:szCs w:val="24"/>
        </w:rPr>
        <w:t xml:space="preserve">been recently enacted, </w:t>
      </w:r>
      <w:r w:rsidR="00F32FF8" w:rsidRPr="000F052B">
        <w:rPr>
          <w:rFonts w:ascii="Times New Roman" w:hAnsi="Times New Roman" w:cs="Times New Roman"/>
          <w:sz w:val="24"/>
          <w:szCs w:val="24"/>
        </w:rPr>
        <w:t xml:space="preserve">namely, </w:t>
      </w:r>
      <w:r w:rsidR="001723A4" w:rsidRPr="000F052B">
        <w:rPr>
          <w:rFonts w:ascii="Times New Roman" w:hAnsi="Times New Roman" w:cs="Times New Roman"/>
          <w:sz w:val="24"/>
          <w:szCs w:val="24"/>
        </w:rPr>
        <w:t>the Financial System Legislation Amendment (Resilience and Collate</w:t>
      </w:r>
      <w:r w:rsidR="000F052B" w:rsidRPr="000F052B">
        <w:rPr>
          <w:rFonts w:ascii="Times New Roman" w:hAnsi="Times New Roman" w:cs="Times New Roman"/>
          <w:sz w:val="24"/>
          <w:szCs w:val="24"/>
        </w:rPr>
        <w:t>ral Protection) Act 2016</w:t>
      </w:r>
      <w:r w:rsidR="001723A4" w:rsidRPr="000F052B">
        <w:rPr>
          <w:rFonts w:ascii="Times New Roman" w:hAnsi="Times New Roman" w:cs="Times New Roman"/>
          <w:sz w:val="24"/>
          <w:szCs w:val="24"/>
        </w:rPr>
        <w:t>.</w:t>
      </w:r>
      <w:r w:rsidR="000F052B" w:rsidRPr="000F052B">
        <w:rPr>
          <w:rStyle w:val="FootnoteReference"/>
          <w:rFonts w:ascii="Times New Roman" w:hAnsi="Times New Roman" w:cs="Times New Roman"/>
          <w:sz w:val="24"/>
          <w:szCs w:val="24"/>
        </w:rPr>
        <w:footnoteReference w:id="207"/>
      </w:r>
      <w:r w:rsidR="00F32FF8" w:rsidRPr="000F052B">
        <w:rPr>
          <w:rFonts w:ascii="Times New Roman" w:hAnsi="Times New Roman" w:cs="Times New Roman"/>
          <w:sz w:val="24"/>
          <w:szCs w:val="24"/>
        </w:rPr>
        <w:t xml:space="preserve"> </w:t>
      </w:r>
      <w:r w:rsidR="000F052B" w:rsidRPr="000F052B">
        <w:rPr>
          <w:rFonts w:ascii="Times New Roman" w:hAnsi="Times New Roman" w:cs="Times New Roman"/>
          <w:sz w:val="24"/>
          <w:szCs w:val="24"/>
        </w:rPr>
        <w:t xml:space="preserve">The Act is </w:t>
      </w:r>
      <w:r w:rsidR="00F32FF8" w:rsidRPr="000F052B">
        <w:rPr>
          <w:rFonts w:ascii="Times New Roman" w:hAnsi="Times New Roman" w:cs="Times New Roman"/>
          <w:sz w:val="24"/>
          <w:szCs w:val="24"/>
        </w:rPr>
        <w:t>directly related to the ISDA 2015 Universal Protocol</w:t>
      </w:r>
      <w:r w:rsidR="00195471">
        <w:rPr>
          <w:rFonts w:ascii="Times New Roman" w:hAnsi="Times New Roman" w:cs="Times New Roman"/>
          <w:sz w:val="24"/>
          <w:szCs w:val="24"/>
        </w:rPr>
        <w:t>.</w:t>
      </w:r>
      <w:r w:rsidR="00F32FF8" w:rsidRPr="000F052B">
        <w:rPr>
          <w:rStyle w:val="FootnoteReference"/>
          <w:rFonts w:ascii="Times New Roman" w:hAnsi="Times New Roman" w:cs="Times New Roman"/>
          <w:sz w:val="24"/>
          <w:szCs w:val="24"/>
          <w:lang w:val="en-US"/>
        </w:rPr>
        <w:footnoteReference w:id="208"/>
      </w:r>
    </w:p>
    <w:p w14:paraId="40EC113A" w14:textId="4F440E88" w:rsidR="008B77D0" w:rsidRPr="000F052B" w:rsidRDefault="008B77D0" w:rsidP="00195471">
      <w:pPr>
        <w:spacing w:after="120" w:line="48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In the financial services sector, banking transactions involving large sums of money may leave creditors and debtors expose</w:t>
      </w:r>
      <w:r w:rsidR="005B5D32">
        <w:rPr>
          <w:rFonts w:ascii="Times New Roman" w:hAnsi="Times New Roman" w:cs="Times New Roman"/>
          <w:sz w:val="24"/>
          <w:szCs w:val="24"/>
        </w:rPr>
        <w:t>d</w:t>
      </w:r>
      <w:r>
        <w:rPr>
          <w:rFonts w:ascii="Times New Roman" w:hAnsi="Times New Roman" w:cs="Times New Roman"/>
          <w:sz w:val="24"/>
          <w:szCs w:val="24"/>
        </w:rPr>
        <w:t xml:space="preserve"> should markets shift. Reliable procedures for payment</w:t>
      </w:r>
      <w:r w:rsidR="005B5D32">
        <w:rPr>
          <w:rFonts w:ascii="Times New Roman" w:hAnsi="Times New Roman" w:cs="Times New Roman"/>
          <w:sz w:val="24"/>
          <w:szCs w:val="24"/>
        </w:rPr>
        <w:t>,</w:t>
      </w:r>
      <w:r>
        <w:rPr>
          <w:rFonts w:ascii="Times New Roman" w:hAnsi="Times New Roman" w:cs="Times New Roman"/>
          <w:sz w:val="24"/>
          <w:szCs w:val="24"/>
        </w:rPr>
        <w:t xml:space="preserve"> and protection against debtor default</w:t>
      </w:r>
      <w:r w:rsidR="005B5D32">
        <w:rPr>
          <w:rFonts w:ascii="Times New Roman" w:hAnsi="Times New Roman" w:cs="Times New Roman"/>
          <w:sz w:val="24"/>
          <w:szCs w:val="24"/>
        </w:rPr>
        <w:t>,</w:t>
      </w:r>
      <w:r>
        <w:rPr>
          <w:rFonts w:ascii="Times New Roman" w:hAnsi="Times New Roman" w:cs="Times New Roman"/>
          <w:sz w:val="24"/>
          <w:szCs w:val="24"/>
        </w:rPr>
        <w:t xml:space="preserve"> are vital to protect third party interests. </w:t>
      </w:r>
      <w:r w:rsidR="005B5D32">
        <w:rPr>
          <w:rFonts w:ascii="Times New Roman" w:hAnsi="Times New Roman" w:cs="Times New Roman"/>
          <w:sz w:val="24"/>
          <w:szCs w:val="24"/>
        </w:rPr>
        <w:t xml:space="preserve"> Thus (for example) guarantors</w:t>
      </w:r>
      <w:r>
        <w:rPr>
          <w:rFonts w:ascii="Times New Roman" w:hAnsi="Times New Roman" w:cs="Times New Roman"/>
          <w:sz w:val="24"/>
          <w:szCs w:val="24"/>
        </w:rPr>
        <w:t xml:space="preserve"> may be third parties to a given financial contractual relation, but should default occur, the risk of such guarantors needs to be managed in a financially sound manner.  The use of model agreements in this sector</w:t>
      </w:r>
      <w:r w:rsidR="00526C0B">
        <w:rPr>
          <w:rFonts w:ascii="Times New Roman" w:hAnsi="Times New Roman" w:cs="Times New Roman"/>
          <w:sz w:val="24"/>
          <w:szCs w:val="24"/>
        </w:rPr>
        <w:t>, as well as the recognition of such agreements in statute law,</w:t>
      </w:r>
      <w:r>
        <w:rPr>
          <w:rFonts w:ascii="Times New Roman" w:hAnsi="Times New Roman" w:cs="Times New Roman"/>
          <w:sz w:val="24"/>
          <w:szCs w:val="24"/>
        </w:rPr>
        <w:t xml:space="preserve"> thus both allows banking to occur on an efficient basis, as well protects third party reliance, with beneficial effects for the economy as a whole.</w:t>
      </w:r>
    </w:p>
    <w:p w14:paraId="05DEE921" w14:textId="77777777" w:rsidR="009355E3" w:rsidRDefault="009355E3" w:rsidP="009355E3">
      <w:pPr>
        <w:spacing w:after="120" w:line="480" w:lineRule="auto"/>
        <w:jc w:val="center"/>
        <w:rPr>
          <w:rFonts w:ascii="Times New Roman" w:hAnsi="Times New Roman" w:cs="Times New Roman"/>
          <w:i/>
          <w:sz w:val="28"/>
          <w:szCs w:val="24"/>
          <w:lang w:val="en-US"/>
        </w:rPr>
      </w:pPr>
    </w:p>
    <w:p w14:paraId="71F61C5C" w14:textId="77777777" w:rsidR="006231C3" w:rsidRDefault="006231C3" w:rsidP="009355E3">
      <w:pPr>
        <w:spacing w:after="120" w:line="480" w:lineRule="auto"/>
        <w:jc w:val="center"/>
        <w:rPr>
          <w:rFonts w:ascii="Times New Roman" w:hAnsi="Times New Roman" w:cs="Times New Roman"/>
          <w:i/>
          <w:sz w:val="28"/>
          <w:szCs w:val="24"/>
          <w:lang w:val="en-US"/>
        </w:rPr>
      </w:pPr>
    </w:p>
    <w:p w14:paraId="1FE1B856" w14:textId="332D7534" w:rsidR="00877023" w:rsidRDefault="009B79F9" w:rsidP="009355E3">
      <w:pPr>
        <w:spacing w:after="120" w:line="480" w:lineRule="auto"/>
        <w:jc w:val="center"/>
        <w:rPr>
          <w:rFonts w:ascii="Times New Roman" w:hAnsi="Times New Roman" w:cs="Times New Roman"/>
          <w:i/>
          <w:sz w:val="28"/>
          <w:szCs w:val="24"/>
          <w:lang w:val="en-US"/>
        </w:rPr>
      </w:pPr>
      <w:r>
        <w:rPr>
          <w:rFonts w:ascii="Times New Roman" w:hAnsi="Times New Roman" w:cs="Times New Roman"/>
          <w:i/>
          <w:sz w:val="28"/>
          <w:szCs w:val="24"/>
          <w:lang w:val="en-US"/>
        </w:rPr>
        <w:t>3</w:t>
      </w:r>
      <w:r w:rsidR="00F22959" w:rsidRPr="000F052B">
        <w:rPr>
          <w:rFonts w:ascii="Times New Roman" w:hAnsi="Times New Roman" w:cs="Times New Roman"/>
          <w:i/>
          <w:sz w:val="28"/>
          <w:szCs w:val="24"/>
          <w:lang w:val="en-US"/>
        </w:rPr>
        <w:t>. A</w:t>
      </w:r>
      <w:r w:rsidR="00336608" w:rsidRPr="000F052B">
        <w:rPr>
          <w:rFonts w:ascii="Times New Roman" w:hAnsi="Times New Roman" w:cs="Times New Roman"/>
          <w:i/>
          <w:sz w:val="28"/>
          <w:szCs w:val="24"/>
          <w:lang w:val="en-US"/>
        </w:rPr>
        <w:t xml:space="preserve"> </w:t>
      </w:r>
      <w:r w:rsidR="00F22959" w:rsidRPr="000F052B">
        <w:rPr>
          <w:rFonts w:ascii="Times New Roman" w:hAnsi="Times New Roman" w:cs="Times New Roman"/>
          <w:i/>
          <w:sz w:val="28"/>
          <w:szCs w:val="24"/>
          <w:lang w:val="en-US"/>
        </w:rPr>
        <w:t>P</w:t>
      </w:r>
      <w:r w:rsidR="000C2480" w:rsidRPr="000F052B">
        <w:rPr>
          <w:rFonts w:ascii="Times New Roman" w:hAnsi="Times New Roman" w:cs="Times New Roman"/>
          <w:i/>
          <w:sz w:val="28"/>
          <w:szCs w:val="24"/>
          <w:lang w:val="en-US"/>
        </w:rPr>
        <w:t>ractic</w:t>
      </w:r>
      <w:r w:rsidR="00336608" w:rsidRPr="000F052B">
        <w:rPr>
          <w:rFonts w:ascii="Times New Roman" w:hAnsi="Times New Roman" w:cs="Times New Roman"/>
          <w:i/>
          <w:sz w:val="28"/>
          <w:szCs w:val="24"/>
          <w:lang w:val="en-US"/>
        </w:rPr>
        <w:t xml:space="preserve">al </w:t>
      </w:r>
      <w:r w:rsidR="00F22959" w:rsidRPr="000F052B">
        <w:rPr>
          <w:rFonts w:ascii="Times New Roman" w:hAnsi="Times New Roman" w:cs="Times New Roman"/>
          <w:i/>
          <w:sz w:val="28"/>
          <w:szCs w:val="24"/>
          <w:lang w:val="en-US"/>
        </w:rPr>
        <w:t>C</w:t>
      </w:r>
      <w:r w:rsidR="000C2480" w:rsidRPr="000F052B">
        <w:rPr>
          <w:rFonts w:ascii="Times New Roman" w:hAnsi="Times New Roman" w:cs="Times New Roman"/>
          <w:i/>
          <w:sz w:val="28"/>
          <w:szCs w:val="24"/>
          <w:lang w:val="en-US"/>
        </w:rPr>
        <w:t xml:space="preserve">omparative </w:t>
      </w:r>
      <w:r w:rsidR="009355E3">
        <w:rPr>
          <w:rFonts w:ascii="Times New Roman" w:hAnsi="Times New Roman" w:cs="Times New Roman"/>
          <w:i/>
          <w:sz w:val="28"/>
          <w:szCs w:val="24"/>
          <w:lang w:val="en-US"/>
        </w:rPr>
        <w:t xml:space="preserve">Analysis </w:t>
      </w:r>
    </w:p>
    <w:p w14:paraId="17CB3C1E" w14:textId="31697FE1" w:rsidR="00440CDC" w:rsidRPr="000F052B" w:rsidRDefault="00F22959" w:rsidP="009355E3">
      <w:pPr>
        <w:spacing w:after="120" w:line="480" w:lineRule="auto"/>
        <w:jc w:val="center"/>
        <w:rPr>
          <w:rFonts w:ascii="Times New Roman" w:hAnsi="Times New Roman" w:cs="Times New Roman"/>
          <w:i/>
          <w:sz w:val="28"/>
          <w:szCs w:val="24"/>
          <w:lang w:val="en-US"/>
        </w:rPr>
      </w:pPr>
      <w:r w:rsidRPr="000F052B">
        <w:rPr>
          <w:rFonts w:ascii="Times New Roman" w:hAnsi="Times New Roman" w:cs="Times New Roman"/>
          <w:i/>
          <w:sz w:val="28"/>
          <w:szCs w:val="24"/>
          <w:lang w:val="en-US"/>
        </w:rPr>
        <w:t>with Re</w:t>
      </w:r>
      <w:r w:rsidR="00336608" w:rsidRPr="000F052B">
        <w:rPr>
          <w:rFonts w:ascii="Times New Roman" w:hAnsi="Times New Roman" w:cs="Times New Roman"/>
          <w:i/>
          <w:sz w:val="28"/>
          <w:szCs w:val="24"/>
          <w:lang w:val="en-US"/>
        </w:rPr>
        <w:t xml:space="preserve">gard to the </w:t>
      </w:r>
      <w:r w:rsidRPr="000F052B">
        <w:rPr>
          <w:rFonts w:ascii="Times New Roman" w:hAnsi="Times New Roman" w:cs="Times New Roman"/>
          <w:i/>
          <w:sz w:val="28"/>
          <w:szCs w:val="24"/>
          <w:lang w:val="en-US"/>
        </w:rPr>
        <w:t>P</w:t>
      </w:r>
      <w:r w:rsidR="00835D8F" w:rsidRPr="000F052B">
        <w:rPr>
          <w:rFonts w:ascii="Times New Roman" w:hAnsi="Times New Roman" w:cs="Times New Roman"/>
          <w:i/>
          <w:sz w:val="28"/>
          <w:szCs w:val="24"/>
          <w:lang w:val="en-US"/>
        </w:rPr>
        <w:t>osition of</w:t>
      </w:r>
      <w:r w:rsidRPr="000F052B">
        <w:rPr>
          <w:rFonts w:ascii="Times New Roman" w:hAnsi="Times New Roman" w:cs="Times New Roman"/>
          <w:i/>
          <w:sz w:val="28"/>
          <w:szCs w:val="24"/>
          <w:lang w:val="en-US"/>
        </w:rPr>
        <w:t xml:space="preserve"> Third P</w:t>
      </w:r>
      <w:r w:rsidR="00336608" w:rsidRPr="000F052B">
        <w:rPr>
          <w:rFonts w:ascii="Times New Roman" w:hAnsi="Times New Roman" w:cs="Times New Roman"/>
          <w:i/>
          <w:sz w:val="28"/>
          <w:szCs w:val="24"/>
          <w:lang w:val="en-US"/>
        </w:rPr>
        <w:t>arties</w:t>
      </w:r>
    </w:p>
    <w:p w14:paraId="11107D31" w14:textId="301C7397" w:rsidR="00EF3CBE" w:rsidRPr="000F052B" w:rsidRDefault="00EF3CBE" w:rsidP="00205AF2">
      <w:pPr>
        <w:spacing w:after="120" w:line="480" w:lineRule="auto"/>
        <w:jc w:val="both"/>
        <w:rPr>
          <w:rFonts w:ascii="Times New Roman" w:hAnsi="Times New Roman" w:cs="Times New Roman"/>
          <w:sz w:val="24"/>
          <w:szCs w:val="24"/>
          <w:lang w:val="en-US"/>
        </w:rPr>
      </w:pPr>
      <w:r w:rsidRPr="000F052B">
        <w:rPr>
          <w:rFonts w:ascii="Times New Roman" w:hAnsi="Times New Roman" w:cs="Times New Roman"/>
          <w:sz w:val="24"/>
          <w:szCs w:val="24"/>
          <w:lang w:val="en-US"/>
        </w:rPr>
        <w:lastRenderedPageBreak/>
        <w:t xml:space="preserve">The </w:t>
      </w:r>
      <w:r w:rsidRPr="000F052B">
        <w:rPr>
          <w:rFonts w:ascii="Times New Roman" w:hAnsi="Times New Roman" w:cs="Times New Roman"/>
          <w:i/>
          <w:sz w:val="24"/>
          <w:szCs w:val="24"/>
          <w:lang w:val="en-US"/>
        </w:rPr>
        <w:t>Baird Textile</w:t>
      </w:r>
      <w:r w:rsidRPr="000F052B">
        <w:rPr>
          <w:rFonts w:ascii="Times New Roman" w:hAnsi="Times New Roman" w:cs="Times New Roman"/>
          <w:sz w:val="24"/>
          <w:szCs w:val="24"/>
          <w:lang w:val="en-US"/>
        </w:rPr>
        <w:t xml:space="preserve"> decision is a key </w:t>
      </w:r>
      <w:r w:rsidR="00835D8F" w:rsidRPr="000F052B">
        <w:rPr>
          <w:rFonts w:ascii="Times New Roman" w:hAnsi="Times New Roman" w:cs="Times New Roman"/>
          <w:sz w:val="24"/>
          <w:szCs w:val="24"/>
          <w:lang w:val="en-US"/>
        </w:rPr>
        <w:t xml:space="preserve">international </w:t>
      </w:r>
      <w:r w:rsidRPr="000F052B">
        <w:rPr>
          <w:rFonts w:ascii="Times New Roman" w:hAnsi="Times New Roman" w:cs="Times New Roman"/>
          <w:sz w:val="24"/>
          <w:szCs w:val="24"/>
          <w:lang w:val="en-US"/>
        </w:rPr>
        <w:t xml:space="preserve">example of the disconnect between relational contract theory, which deals with business relationships and the </w:t>
      </w:r>
      <w:r w:rsidR="00FD0C31" w:rsidRPr="000F052B">
        <w:rPr>
          <w:rFonts w:ascii="Times New Roman" w:hAnsi="Times New Roman" w:cs="Times New Roman"/>
          <w:sz w:val="24"/>
          <w:szCs w:val="24"/>
          <w:lang w:val="en-US"/>
        </w:rPr>
        <w:t>behavior</w:t>
      </w:r>
      <w:r w:rsidRPr="000F052B">
        <w:rPr>
          <w:rFonts w:ascii="Times New Roman" w:hAnsi="Times New Roman" w:cs="Times New Roman"/>
          <w:sz w:val="24"/>
          <w:szCs w:val="24"/>
          <w:lang w:val="en-US"/>
        </w:rPr>
        <w:t xml:space="preserve"> of contracting parties while s</w:t>
      </w:r>
      <w:r w:rsidR="00835D8F" w:rsidRPr="000F052B">
        <w:rPr>
          <w:rFonts w:ascii="Times New Roman" w:hAnsi="Times New Roman" w:cs="Times New Roman"/>
          <w:sz w:val="24"/>
          <w:szCs w:val="24"/>
          <w:lang w:val="en-US"/>
        </w:rPr>
        <w:t>uch relationship remains intact;</w:t>
      </w:r>
      <w:r w:rsidRPr="000F052B">
        <w:rPr>
          <w:rFonts w:ascii="Times New Roman" w:hAnsi="Times New Roman" w:cs="Times New Roman"/>
          <w:sz w:val="24"/>
          <w:szCs w:val="24"/>
          <w:lang w:val="en-US"/>
        </w:rPr>
        <w:t xml:space="preserve"> and contract law, which takes over when a dispute reaches formal litigation proceedings.  In court proceedings, it is contract law, complete with its formal requirements of certaint</w:t>
      </w:r>
      <w:r w:rsidR="00835D8F" w:rsidRPr="000F052B">
        <w:rPr>
          <w:rFonts w:ascii="Times New Roman" w:hAnsi="Times New Roman" w:cs="Times New Roman"/>
          <w:sz w:val="24"/>
          <w:szCs w:val="24"/>
          <w:lang w:val="en-US"/>
        </w:rPr>
        <w:t>y and privity, which governs a</w:t>
      </w:r>
      <w:r w:rsidRPr="000F052B">
        <w:rPr>
          <w:rFonts w:ascii="Times New Roman" w:hAnsi="Times New Roman" w:cs="Times New Roman"/>
          <w:sz w:val="24"/>
          <w:szCs w:val="24"/>
          <w:lang w:val="en-US"/>
        </w:rPr>
        <w:t xml:space="preserve"> dispute</w:t>
      </w:r>
      <w:r w:rsidR="00835D8F" w:rsidRPr="000F052B">
        <w:rPr>
          <w:rFonts w:ascii="Times New Roman" w:hAnsi="Times New Roman" w:cs="Times New Roman"/>
          <w:sz w:val="24"/>
          <w:szCs w:val="24"/>
          <w:lang w:val="en-US"/>
        </w:rPr>
        <w:t xml:space="preserve"> based on a contractual relationship</w:t>
      </w:r>
      <w:r w:rsidRPr="000F052B">
        <w:rPr>
          <w:rFonts w:ascii="Times New Roman" w:hAnsi="Times New Roman" w:cs="Times New Roman"/>
          <w:sz w:val="24"/>
          <w:szCs w:val="24"/>
          <w:lang w:val="en-US"/>
        </w:rPr>
        <w:t xml:space="preserve"> – evidence as to the exi</w:t>
      </w:r>
      <w:r w:rsidR="00835D8F" w:rsidRPr="000F052B">
        <w:rPr>
          <w:rFonts w:ascii="Times New Roman" w:hAnsi="Times New Roman" w:cs="Times New Roman"/>
          <w:sz w:val="24"/>
          <w:szCs w:val="24"/>
          <w:lang w:val="en-US"/>
        </w:rPr>
        <w:t>stence of</w:t>
      </w:r>
      <w:r w:rsidRPr="000F052B">
        <w:rPr>
          <w:rFonts w:ascii="Times New Roman" w:hAnsi="Times New Roman" w:cs="Times New Roman"/>
          <w:sz w:val="24"/>
          <w:szCs w:val="24"/>
          <w:lang w:val="en-US"/>
        </w:rPr>
        <w:t xml:space="preserve"> norms present in such relationship while it endured is often not helpful in defining a cause of action.  Thus, while Macneil’s hypothesis that in a state of relational contracting </w:t>
      </w:r>
      <w:r w:rsidR="00835D8F" w:rsidRPr="000F052B">
        <w:rPr>
          <w:rFonts w:ascii="Times New Roman" w:hAnsi="Times New Roman" w:cs="Times New Roman"/>
          <w:sz w:val="24"/>
          <w:szCs w:val="24"/>
          <w:lang w:val="en-US"/>
        </w:rPr>
        <w:t xml:space="preserve">formal </w:t>
      </w:r>
      <w:r w:rsidRPr="000F052B">
        <w:rPr>
          <w:rFonts w:ascii="Times New Roman" w:hAnsi="Times New Roman" w:cs="Times New Roman"/>
          <w:sz w:val="24"/>
          <w:szCs w:val="24"/>
          <w:lang w:val="en-US"/>
        </w:rPr>
        <w:t>concepts such as privity would become of secondary importance</w:t>
      </w:r>
      <w:r w:rsidR="00835D8F" w:rsidRPr="000F052B">
        <w:rPr>
          <w:rFonts w:ascii="Times New Roman" w:hAnsi="Times New Roman" w:cs="Times New Roman"/>
          <w:sz w:val="24"/>
          <w:szCs w:val="24"/>
          <w:lang w:val="en-US"/>
        </w:rPr>
        <w:t xml:space="preserve"> to business considerations</w:t>
      </w:r>
      <w:r w:rsidR="00691B52" w:rsidRPr="000F052B">
        <w:rPr>
          <w:rFonts w:ascii="Times New Roman" w:hAnsi="Times New Roman" w:cs="Times New Roman"/>
          <w:sz w:val="24"/>
          <w:szCs w:val="24"/>
          <w:lang w:val="en-US"/>
        </w:rPr>
        <w:t xml:space="preserve"> is demonstrably true,</w:t>
      </w:r>
      <w:r w:rsidR="009C668D" w:rsidRPr="000F052B">
        <w:rPr>
          <w:rStyle w:val="FootnoteReference"/>
          <w:rFonts w:ascii="Times New Roman" w:hAnsi="Times New Roman" w:cs="Times New Roman"/>
          <w:sz w:val="24"/>
          <w:szCs w:val="24"/>
          <w:lang w:val="en-US"/>
        </w:rPr>
        <w:footnoteReference w:id="209"/>
      </w:r>
      <w:r w:rsidR="00691B52" w:rsidRPr="000F052B">
        <w:rPr>
          <w:rFonts w:ascii="Times New Roman" w:hAnsi="Times New Roman" w:cs="Times New Roman"/>
          <w:sz w:val="24"/>
          <w:szCs w:val="24"/>
          <w:lang w:val="en-US"/>
        </w:rPr>
        <w:t xml:space="preserve"> this has had little effect on the strictures of contract law.  Hence privity remains a </w:t>
      </w:r>
      <w:r w:rsidR="002F20D3" w:rsidRPr="000F052B">
        <w:rPr>
          <w:rFonts w:ascii="Times New Roman" w:hAnsi="Times New Roman" w:cs="Times New Roman"/>
          <w:sz w:val="24"/>
          <w:szCs w:val="24"/>
          <w:lang w:val="en-US"/>
        </w:rPr>
        <w:t xml:space="preserve">legal </w:t>
      </w:r>
      <w:r w:rsidR="00691B52" w:rsidRPr="000F052B">
        <w:rPr>
          <w:rFonts w:ascii="Times New Roman" w:hAnsi="Times New Roman" w:cs="Times New Roman"/>
          <w:sz w:val="24"/>
          <w:szCs w:val="24"/>
          <w:lang w:val="en-US"/>
        </w:rPr>
        <w:t>requirement</w:t>
      </w:r>
      <w:r w:rsidR="00373EE5" w:rsidRPr="000F052B">
        <w:rPr>
          <w:rFonts w:ascii="Times New Roman" w:hAnsi="Times New Roman" w:cs="Times New Roman"/>
          <w:sz w:val="24"/>
          <w:szCs w:val="24"/>
          <w:lang w:val="en-US"/>
        </w:rPr>
        <w:t xml:space="preserve"> in Australia and South Africa</w:t>
      </w:r>
      <w:r w:rsidR="002F20D3" w:rsidRPr="000F052B">
        <w:rPr>
          <w:rFonts w:ascii="Times New Roman" w:hAnsi="Times New Roman" w:cs="Times New Roman"/>
          <w:sz w:val="24"/>
          <w:szCs w:val="24"/>
          <w:lang w:val="en-US"/>
        </w:rPr>
        <w:t>:</w:t>
      </w:r>
      <w:r w:rsidR="00691B52" w:rsidRPr="000F052B">
        <w:rPr>
          <w:rFonts w:ascii="Times New Roman" w:hAnsi="Times New Roman" w:cs="Times New Roman"/>
          <w:sz w:val="24"/>
          <w:szCs w:val="24"/>
          <w:lang w:val="en-US"/>
        </w:rPr>
        <w:t xml:space="preserve"> </w:t>
      </w:r>
      <w:r w:rsidR="002F20D3" w:rsidRPr="000F052B">
        <w:rPr>
          <w:rFonts w:ascii="Times New Roman" w:hAnsi="Times New Roman" w:cs="Times New Roman"/>
          <w:sz w:val="24"/>
          <w:szCs w:val="24"/>
          <w:lang w:val="en-US"/>
        </w:rPr>
        <w:t>both immediate parties to contractual relations – and third parties such as e</w:t>
      </w:r>
      <w:r w:rsidR="00691B52" w:rsidRPr="000F052B">
        <w:rPr>
          <w:rFonts w:ascii="Times New Roman" w:hAnsi="Times New Roman" w:cs="Times New Roman"/>
          <w:sz w:val="24"/>
          <w:szCs w:val="24"/>
          <w:lang w:val="en-US"/>
        </w:rPr>
        <w:t>mployees</w:t>
      </w:r>
      <w:r w:rsidR="002F20D3" w:rsidRPr="000F052B">
        <w:rPr>
          <w:rFonts w:ascii="Times New Roman" w:hAnsi="Times New Roman" w:cs="Times New Roman"/>
          <w:sz w:val="24"/>
          <w:szCs w:val="24"/>
          <w:lang w:val="en-US"/>
        </w:rPr>
        <w:t xml:space="preserve">, </w:t>
      </w:r>
      <w:r w:rsidR="00691B52" w:rsidRPr="000F052B">
        <w:rPr>
          <w:rFonts w:ascii="Times New Roman" w:hAnsi="Times New Roman" w:cs="Times New Roman"/>
          <w:sz w:val="24"/>
          <w:szCs w:val="24"/>
          <w:lang w:val="en-US"/>
        </w:rPr>
        <w:t xml:space="preserve">who rely on the existence of </w:t>
      </w:r>
      <w:r w:rsidR="002F20D3" w:rsidRPr="000F052B">
        <w:rPr>
          <w:rFonts w:ascii="Times New Roman" w:hAnsi="Times New Roman" w:cs="Times New Roman"/>
          <w:sz w:val="24"/>
          <w:szCs w:val="24"/>
          <w:lang w:val="en-US"/>
        </w:rPr>
        <w:t>such</w:t>
      </w:r>
      <w:r w:rsidR="00691B52" w:rsidRPr="000F052B">
        <w:rPr>
          <w:rFonts w:ascii="Times New Roman" w:hAnsi="Times New Roman" w:cs="Times New Roman"/>
          <w:sz w:val="24"/>
          <w:szCs w:val="24"/>
          <w:lang w:val="en-US"/>
        </w:rPr>
        <w:t xml:space="preserve"> relations between others </w:t>
      </w:r>
      <w:r w:rsidR="002F20D3" w:rsidRPr="000F052B">
        <w:rPr>
          <w:rFonts w:ascii="Times New Roman" w:hAnsi="Times New Roman" w:cs="Times New Roman"/>
          <w:sz w:val="24"/>
          <w:szCs w:val="24"/>
          <w:lang w:val="en-US"/>
        </w:rPr>
        <w:t xml:space="preserve">– </w:t>
      </w:r>
      <w:r w:rsidR="00691B52" w:rsidRPr="000F052B">
        <w:rPr>
          <w:rFonts w:ascii="Times New Roman" w:hAnsi="Times New Roman" w:cs="Times New Roman"/>
          <w:sz w:val="24"/>
          <w:szCs w:val="24"/>
          <w:lang w:val="en-US"/>
        </w:rPr>
        <w:t>will have to be protected by forms of intervention other than contract law.  It is here that there is scope</w:t>
      </w:r>
      <w:r w:rsidR="002F20D3" w:rsidRPr="000F052B">
        <w:rPr>
          <w:rFonts w:ascii="Times New Roman" w:hAnsi="Times New Roman" w:cs="Times New Roman"/>
          <w:sz w:val="24"/>
          <w:szCs w:val="24"/>
          <w:lang w:val="en-US"/>
        </w:rPr>
        <w:t xml:space="preserve"> for application</w:t>
      </w:r>
      <w:r w:rsidR="00691B52" w:rsidRPr="000F052B">
        <w:rPr>
          <w:rFonts w:ascii="Times New Roman" w:hAnsi="Times New Roman" w:cs="Times New Roman"/>
          <w:sz w:val="24"/>
          <w:szCs w:val="24"/>
          <w:lang w:val="en-US"/>
        </w:rPr>
        <w:t xml:space="preserve"> for the parallel branch of contract law which has grown up in both </w:t>
      </w:r>
      <w:r w:rsidR="00373EE5" w:rsidRPr="000F052B">
        <w:rPr>
          <w:rFonts w:ascii="Times New Roman" w:hAnsi="Times New Roman" w:cs="Times New Roman"/>
          <w:sz w:val="24"/>
          <w:szCs w:val="24"/>
          <w:lang w:val="en-US"/>
        </w:rPr>
        <w:t>jurisdictions</w:t>
      </w:r>
      <w:r w:rsidR="00691B52" w:rsidRPr="000F052B">
        <w:rPr>
          <w:rFonts w:ascii="Times New Roman" w:hAnsi="Times New Roman" w:cs="Times New Roman"/>
          <w:sz w:val="24"/>
          <w:szCs w:val="24"/>
          <w:lang w:val="en-US"/>
        </w:rPr>
        <w:t xml:space="preserve"> to protect weaker parties, particularly consumers and employees.  This type of statutory intervention, as outlined above, fills the gaps left by privity and other doctrines of contract law</w:t>
      </w:r>
      <w:r w:rsidR="002F20D3" w:rsidRPr="000F052B">
        <w:rPr>
          <w:rFonts w:ascii="Times New Roman" w:hAnsi="Times New Roman" w:cs="Times New Roman"/>
          <w:sz w:val="24"/>
          <w:szCs w:val="24"/>
          <w:lang w:val="en-US"/>
        </w:rPr>
        <w:t xml:space="preserve"> to</w:t>
      </w:r>
      <w:r w:rsidR="00691B52" w:rsidRPr="000F052B">
        <w:rPr>
          <w:rFonts w:ascii="Times New Roman" w:hAnsi="Times New Roman" w:cs="Times New Roman"/>
          <w:sz w:val="24"/>
          <w:szCs w:val="24"/>
          <w:lang w:val="en-US"/>
        </w:rPr>
        <w:t xml:space="preserve"> protect reliance, including that </w:t>
      </w:r>
      <w:r w:rsidR="002F20D3" w:rsidRPr="000F052B">
        <w:rPr>
          <w:rFonts w:ascii="Times New Roman" w:hAnsi="Times New Roman" w:cs="Times New Roman"/>
          <w:sz w:val="24"/>
          <w:szCs w:val="24"/>
          <w:lang w:val="en-US"/>
        </w:rPr>
        <w:t>by</w:t>
      </w:r>
      <w:r w:rsidR="00691B52" w:rsidRPr="000F052B">
        <w:rPr>
          <w:rFonts w:ascii="Times New Roman" w:hAnsi="Times New Roman" w:cs="Times New Roman"/>
          <w:sz w:val="24"/>
          <w:szCs w:val="24"/>
          <w:lang w:val="en-US"/>
        </w:rPr>
        <w:t xml:space="preserve"> third parties.  Again, </w:t>
      </w:r>
      <w:r w:rsidR="002F20D3" w:rsidRPr="000F052B">
        <w:rPr>
          <w:rFonts w:ascii="Times New Roman" w:hAnsi="Times New Roman" w:cs="Times New Roman"/>
          <w:sz w:val="24"/>
          <w:szCs w:val="24"/>
          <w:lang w:val="en-US"/>
        </w:rPr>
        <w:t>we are forced to look beyond Common law</w:t>
      </w:r>
      <w:r w:rsidR="00373EE5" w:rsidRPr="000F052B">
        <w:rPr>
          <w:rFonts w:ascii="Times New Roman" w:hAnsi="Times New Roman" w:cs="Times New Roman"/>
          <w:sz w:val="24"/>
          <w:szCs w:val="24"/>
          <w:lang w:val="en-US"/>
        </w:rPr>
        <w:t xml:space="preserve"> in studying the implementation and effects of umbrella agreements in both countries</w:t>
      </w:r>
      <w:r w:rsidR="00691B52" w:rsidRPr="000F052B">
        <w:rPr>
          <w:rFonts w:ascii="Times New Roman" w:hAnsi="Times New Roman" w:cs="Times New Roman"/>
          <w:sz w:val="24"/>
          <w:szCs w:val="24"/>
          <w:lang w:val="en-US"/>
        </w:rPr>
        <w:t>.</w:t>
      </w:r>
      <w:r w:rsidRPr="000F052B">
        <w:rPr>
          <w:rFonts w:ascii="Times New Roman" w:hAnsi="Times New Roman" w:cs="Times New Roman"/>
          <w:sz w:val="24"/>
          <w:szCs w:val="24"/>
          <w:lang w:val="en-US"/>
        </w:rPr>
        <w:t xml:space="preserve"> </w:t>
      </w:r>
    </w:p>
    <w:p w14:paraId="6F29A80C" w14:textId="77777777" w:rsidR="00027FFA" w:rsidRPr="000F052B" w:rsidRDefault="00027FFA" w:rsidP="00205AF2">
      <w:pPr>
        <w:spacing w:after="120" w:line="480" w:lineRule="auto"/>
        <w:ind w:left="284" w:hanging="284"/>
        <w:jc w:val="both"/>
        <w:rPr>
          <w:rFonts w:ascii="Times New Roman" w:hAnsi="Times New Roman" w:cs="Times New Roman"/>
          <w:b/>
          <w:sz w:val="24"/>
          <w:szCs w:val="24"/>
          <w:lang w:val="en-US"/>
        </w:rPr>
      </w:pPr>
    </w:p>
    <w:p w14:paraId="14E335CA" w14:textId="09AAF8C6" w:rsidR="00660311" w:rsidRPr="000F052B" w:rsidRDefault="00F22959" w:rsidP="00F22959">
      <w:pPr>
        <w:spacing w:after="120" w:line="480" w:lineRule="auto"/>
        <w:ind w:left="284" w:hanging="284"/>
        <w:jc w:val="center"/>
        <w:rPr>
          <w:rFonts w:ascii="Times New Roman" w:hAnsi="Times New Roman" w:cs="Times New Roman"/>
          <w:smallCaps/>
          <w:sz w:val="28"/>
          <w:szCs w:val="24"/>
          <w:lang w:val="en-US"/>
        </w:rPr>
      </w:pPr>
      <w:r w:rsidRPr="000F052B">
        <w:rPr>
          <w:rFonts w:ascii="Times New Roman" w:hAnsi="Times New Roman" w:cs="Times New Roman"/>
          <w:smallCaps/>
          <w:sz w:val="28"/>
          <w:szCs w:val="24"/>
          <w:lang w:val="en-US"/>
        </w:rPr>
        <w:t>IV</w:t>
      </w:r>
      <w:r w:rsidR="00B07B52" w:rsidRPr="000F052B">
        <w:rPr>
          <w:rFonts w:ascii="Times New Roman" w:hAnsi="Times New Roman" w:cs="Times New Roman"/>
          <w:smallCaps/>
          <w:sz w:val="28"/>
          <w:szCs w:val="24"/>
          <w:lang w:val="en-US"/>
        </w:rPr>
        <w:t xml:space="preserve">. </w:t>
      </w:r>
      <w:r w:rsidR="00B07B52" w:rsidRPr="000F052B">
        <w:rPr>
          <w:rFonts w:ascii="Times New Roman" w:hAnsi="Times New Roman" w:cs="Times New Roman"/>
          <w:smallCaps/>
          <w:sz w:val="32"/>
          <w:szCs w:val="24"/>
          <w:lang w:val="en-US"/>
        </w:rPr>
        <w:t>Conclusion</w:t>
      </w:r>
    </w:p>
    <w:p w14:paraId="51C635E6" w14:textId="77777777" w:rsidR="003104CE" w:rsidRDefault="008C2468" w:rsidP="00205AF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Historically, the ke</w:t>
      </w:r>
      <w:r w:rsidR="00A91AAE">
        <w:rPr>
          <w:rFonts w:ascii="Times New Roman" w:hAnsi="Times New Roman" w:cs="Times New Roman"/>
          <w:sz w:val="24"/>
          <w:szCs w:val="24"/>
          <w:lang w:val="en-US"/>
        </w:rPr>
        <w:t xml:space="preserve">y problems with </w:t>
      </w:r>
      <w:r>
        <w:rPr>
          <w:rFonts w:ascii="Times New Roman" w:hAnsi="Times New Roman" w:cs="Times New Roman"/>
          <w:sz w:val="24"/>
          <w:szCs w:val="24"/>
          <w:lang w:val="en-US"/>
        </w:rPr>
        <w:t xml:space="preserve">privity </w:t>
      </w:r>
      <w:r w:rsidR="00A91AAE">
        <w:rPr>
          <w:rFonts w:ascii="Times New Roman" w:hAnsi="Times New Roman" w:cs="Times New Roman"/>
          <w:sz w:val="24"/>
          <w:szCs w:val="24"/>
          <w:lang w:val="en-US"/>
        </w:rPr>
        <w:t xml:space="preserve">in the Common law world </w:t>
      </w:r>
      <w:r>
        <w:rPr>
          <w:rFonts w:ascii="Times New Roman" w:hAnsi="Times New Roman" w:cs="Times New Roman"/>
          <w:sz w:val="24"/>
          <w:szCs w:val="24"/>
          <w:lang w:val="en-US"/>
        </w:rPr>
        <w:t xml:space="preserve">have turned on a recognized need to protect reasonable expectations, </w:t>
      </w:r>
      <w:r w:rsidR="003104CE">
        <w:rPr>
          <w:rFonts w:ascii="Times New Roman" w:hAnsi="Times New Roman" w:cs="Times New Roman"/>
          <w:sz w:val="24"/>
          <w:szCs w:val="24"/>
          <w:lang w:val="en-US"/>
        </w:rPr>
        <w:t xml:space="preserve">often </w:t>
      </w:r>
      <w:r>
        <w:rPr>
          <w:rFonts w:ascii="Times New Roman" w:hAnsi="Times New Roman" w:cs="Times New Roman"/>
          <w:sz w:val="24"/>
          <w:szCs w:val="24"/>
          <w:lang w:val="en-US"/>
        </w:rPr>
        <w:t xml:space="preserve">in conflict with </w:t>
      </w:r>
      <w:r w:rsidR="00A91AAE">
        <w:rPr>
          <w:rFonts w:ascii="Times New Roman" w:hAnsi="Times New Roman" w:cs="Times New Roman"/>
          <w:sz w:val="24"/>
          <w:szCs w:val="24"/>
          <w:lang w:val="en-US"/>
        </w:rPr>
        <w:t xml:space="preserve">both this doctrine </w:t>
      </w:r>
      <w:r w:rsidR="003104CE">
        <w:rPr>
          <w:rFonts w:ascii="Times New Roman" w:hAnsi="Times New Roman" w:cs="Times New Roman"/>
          <w:sz w:val="24"/>
          <w:szCs w:val="24"/>
          <w:lang w:val="en-US"/>
        </w:rPr>
        <w:t xml:space="preserve">itself </w:t>
      </w:r>
      <w:r w:rsidR="00A91AAE">
        <w:rPr>
          <w:rFonts w:ascii="Times New Roman" w:hAnsi="Times New Roman" w:cs="Times New Roman"/>
          <w:sz w:val="24"/>
          <w:szCs w:val="24"/>
          <w:lang w:val="en-US"/>
        </w:rPr>
        <w:t xml:space="preserve">and </w:t>
      </w:r>
      <w:r w:rsidR="003104CE">
        <w:rPr>
          <w:rFonts w:ascii="Times New Roman" w:hAnsi="Times New Roman" w:cs="Times New Roman"/>
          <w:sz w:val="24"/>
          <w:szCs w:val="24"/>
          <w:lang w:val="en-US"/>
        </w:rPr>
        <w:t xml:space="preserve">also </w:t>
      </w:r>
      <w:r w:rsidR="00A91AAE">
        <w:rPr>
          <w:rFonts w:ascii="Times New Roman" w:hAnsi="Times New Roman" w:cs="Times New Roman"/>
          <w:sz w:val="24"/>
          <w:szCs w:val="24"/>
          <w:lang w:val="en-US"/>
        </w:rPr>
        <w:t xml:space="preserve">the related concept of consideration.  The result (in Australia) is that while privity remains a cornerstone of contract in principle, there are a myriad of exceptions to it, created by both precedent and statute.  In South Africa by contrast, a </w:t>
      </w:r>
      <w:r w:rsidR="003104CE">
        <w:rPr>
          <w:rFonts w:ascii="Times New Roman" w:hAnsi="Times New Roman" w:cs="Times New Roman"/>
          <w:sz w:val="24"/>
          <w:szCs w:val="24"/>
          <w:lang w:val="en-US"/>
        </w:rPr>
        <w:t xml:space="preserve">mixed </w:t>
      </w:r>
      <w:r w:rsidR="00A91AAE">
        <w:rPr>
          <w:rFonts w:ascii="Times New Roman" w:hAnsi="Times New Roman" w:cs="Times New Roman"/>
          <w:sz w:val="24"/>
          <w:szCs w:val="24"/>
          <w:lang w:val="en-US"/>
        </w:rPr>
        <w:t xml:space="preserve">system where the Common law has had a lesser influence, privity is also a feature of contract law, but without a doctrine of consideration to problematize the long established contract for the benefit of a third party.  </w:t>
      </w:r>
    </w:p>
    <w:p w14:paraId="5DF902D9" w14:textId="182B280C" w:rsidR="008C2468" w:rsidRDefault="00A91AAE" w:rsidP="005B509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much is clearly established by our first case study above and is largely trite.  Comparison here merely reveals the differences between a Common law system and mixed system with strong Civilian roots.  What is more interesting is to contextualize privity in a broader macro view, which includes key questions such as how are reasonable expectations protected in the law of contract and </w:t>
      </w:r>
      <w:r w:rsidR="00D1242F">
        <w:rPr>
          <w:rFonts w:ascii="Times New Roman" w:hAnsi="Times New Roman" w:cs="Times New Roman"/>
          <w:sz w:val="24"/>
          <w:szCs w:val="24"/>
          <w:lang w:val="en-US"/>
        </w:rPr>
        <w:t>in what manner are corrective and distributive justice achieved in the legal system as a whole.  Th</w:t>
      </w:r>
      <w:r w:rsidR="003104CE">
        <w:rPr>
          <w:rFonts w:ascii="Times New Roman" w:hAnsi="Times New Roman" w:cs="Times New Roman"/>
          <w:sz w:val="24"/>
          <w:szCs w:val="24"/>
          <w:lang w:val="en-US"/>
        </w:rPr>
        <w:t>is type of question reveals certain</w:t>
      </w:r>
      <w:r w:rsidR="00D1242F">
        <w:rPr>
          <w:rFonts w:ascii="Times New Roman" w:hAnsi="Times New Roman" w:cs="Times New Roman"/>
          <w:sz w:val="24"/>
          <w:szCs w:val="24"/>
          <w:lang w:val="en-US"/>
        </w:rPr>
        <w:t xml:space="preserve"> key contextual differences between Australia and South Africa: first, Australia has a long tradition of social welfare and is easily characterized as a rich society with fairly evenly distributed levels of income.</w:t>
      </w:r>
      <w:r w:rsidR="003104CE">
        <w:rPr>
          <w:rStyle w:val="FootnoteReference"/>
          <w:rFonts w:ascii="Times New Roman" w:hAnsi="Times New Roman" w:cs="Times New Roman"/>
          <w:sz w:val="24"/>
          <w:szCs w:val="24"/>
          <w:lang w:val="en-US"/>
        </w:rPr>
        <w:footnoteReference w:id="210"/>
      </w:r>
      <w:r w:rsidR="00D1242F">
        <w:rPr>
          <w:rFonts w:ascii="Times New Roman" w:hAnsi="Times New Roman" w:cs="Times New Roman"/>
          <w:sz w:val="24"/>
          <w:szCs w:val="24"/>
          <w:lang w:val="en-US"/>
        </w:rPr>
        <w:t xml:space="preserve">  South Africa, by contrast, has a far shorter history of social welfare, particularly </w:t>
      </w:r>
      <w:r w:rsidR="003104CE">
        <w:rPr>
          <w:rFonts w:ascii="Times New Roman" w:hAnsi="Times New Roman" w:cs="Times New Roman"/>
          <w:sz w:val="24"/>
          <w:szCs w:val="24"/>
          <w:lang w:val="en-US"/>
        </w:rPr>
        <w:t xml:space="preserve">with regard to the interests of </w:t>
      </w:r>
      <w:r w:rsidR="00D1242F">
        <w:rPr>
          <w:rFonts w:ascii="Times New Roman" w:hAnsi="Times New Roman" w:cs="Times New Roman"/>
          <w:sz w:val="24"/>
          <w:szCs w:val="24"/>
          <w:lang w:val="en-US"/>
        </w:rPr>
        <w:t>its previously dis</w:t>
      </w:r>
      <w:r w:rsidR="003104CE">
        <w:rPr>
          <w:rFonts w:ascii="Times New Roman" w:hAnsi="Times New Roman" w:cs="Times New Roman"/>
          <w:sz w:val="24"/>
          <w:szCs w:val="24"/>
          <w:lang w:val="en-US"/>
        </w:rPr>
        <w:t>enfranchised</w:t>
      </w:r>
      <w:r w:rsidR="00D1242F">
        <w:rPr>
          <w:rFonts w:ascii="Times New Roman" w:hAnsi="Times New Roman" w:cs="Times New Roman"/>
          <w:sz w:val="24"/>
          <w:szCs w:val="24"/>
          <w:lang w:val="en-US"/>
        </w:rPr>
        <w:t xml:space="preserve"> black majority, an economic and political feature which the democratic Constitution is intended to address.</w:t>
      </w:r>
      <w:r w:rsidR="00681EF9">
        <w:rPr>
          <w:rStyle w:val="FootnoteReference"/>
          <w:rFonts w:ascii="Times New Roman" w:hAnsi="Times New Roman" w:cs="Times New Roman"/>
          <w:sz w:val="24"/>
          <w:szCs w:val="24"/>
          <w:lang w:val="en-US"/>
        </w:rPr>
        <w:footnoteReference w:id="211"/>
      </w:r>
      <w:r w:rsidR="00D1242F">
        <w:rPr>
          <w:rFonts w:ascii="Times New Roman" w:hAnsi="Times New Roman" w:cs="Times New Roman"/>
          <w:sz w:val="24"/>
          <w:szCs w:val="24"/>
          <w:lang w:val="en-US"/>
        </w:rPr>
        <w:t xml:space="preserve">  This climate of </w:t>
      </w:r>
      <w:r w:rsidR="003104CE">
        <w:rPr>
          <w:rFonts w:ascii="Times New Roman" w:hAnsi="Times New Roman" w:cs="Times New Roman"/>
          <w:sz w:val="24"/>
          <w:szCs w:val="24"/>
          <w:lang w:val="en-US"/>
        </w:rPr>
        <w:t xml:space="preserve">legal and social </w:t>
      </w:r>
      <w:r w:rsidR="00D1242F">
        <w:rPr>
          <w:rFonts w:ascii="Times New Roman" w:hAnsi="Times New Roman" w:cs="Times New Roman"/>
          <w:sz w:val="24"/>
          <w:szCs w:val="24"/>
          <w:lang w:val="en-US"/>
        </w:rPr>
        <w:t>transformation</w:t>
      </w:r>
      <w:r w:rsidR="003104CE">
        <w:rPr>
          <w:rFonts w:ascii="Times New Roman" w:hAnsi="Times New Roman" w:cs="Times New Roman"/>
          <w:sz w:val="24"/>
          <w:szCs w:val="24"/>
          <w:lang w:val="en-US"/>
        </w:rPr>
        <w:t xml:space="preserve"> </w:t>
      </w:r>
      <w:r w:rsidR="00D1242F">
        <w:rPr>
          <w:rFonts w:ascii="Times New Roman" w:hAnsi="Times New Roman" w:cs="Times New Roman"/>
          <w:sz w:val="24"/>
          <w:szCs w:val="24"/>
          <w:lang w:val="en-US"/>
        </w:rPr>
        <w:t>is problematized, however, by massive inequality and a small tax base from which to effect redistribution.  The result in South Africa, is an increasingly w</w:t>
      </w:r>
      <w:r w:rsidR="003104CE">
        <w:rPr>
          <w:rFonts w:ascii="Times New Roman" w:hAnsi="Times New Roman" w:cs="Times New Roman"/>
          <w:sz w:val="24"/>
          <w:szCs w:val="24"/>
          <w:lang w:val="en-US"/>
        </w:rPr>
        <w:t>elfarist system of contract law –</w:t>
      </w:r>
      <w:r w:rsidR="00D1242F">
        <w:rPr>
          <w:rFonts w:ascii="Times New Roman" w:hAnsi="Times New Roman" w:cs="Times New Roman"/>
          <w:sz w:val="24"/>
          <w:szCs w:val="24"/>
          <w:lang w:val="en-US"/>
        </w:rPr>
        <w:t xml:space="preserve"> </w:t>
      </w:r>
      <w:r w:rsidR="003104CE">
        <w:rPr>
          <w:rFonts w:ascii="Times New Roman" w:hAnsi="Times New Roman" w:cs="Times New Roman"/>
          <w:sz w:val="24"/>
          <w:szCs w:val="24"/>
          <w:lang w:val="en-US"/>
        </w:rPr>
        <w:t>i</w:t>
      </w:r>
      <w:r w:rsidR="00D1242F">
        <w:rPr>
          <w:rFonts w:ascii="Times New Roman" w:hAnsi="Times New Roman" w:cs="Times New Roman"/>
          <w:sz w:val="24"/>
          <w:szCs w:val="24"/>
          <w:lang w:val="en-US"/>
        </w:rPr>
        <w:t>ncluding commercial contract law</w:t>
      </w:r>
      <w:r w:rsidR="003104CE">
        <w:rPr>
          <w:rFonts w:ascii="Times New Roman" w:hAnsi="Times New Roman" w:cs="Times New Roman"/>
          <w:sz w:val="24"/>
          <w:szCs w:val="24"/>
          <w:lang w:val="en-US"/>
        </w:rPr>
        <w:t xml:space="preserve"> –</w:t>
      </w:r>
      <w:r w:rsidR="00AF59E5">
        <w:rPr>
          <w:rFonts w:ascii="Times New Roman" w:hAnsi="Times New Roman" w:cs="Times New Roman"/>
          <w:sz w:val="24"/>
          <w:szCs w:val="24"/>
          <w:lang w:val="en-US"/>
        </w:rPr>
        <w:t xml:space="preserve"> as both the Legislature </w:t>
      </w:r>
      <w:r w:rsidR="00AF59E5">
        <w:rPr>
          <w:rFonts w:ascii="Times New Roman" w:hAnsi="Times New Roman" w:cs="Times New Roman"/>
          <w:sz w:val="24"/>
          <w:szCs w:val="24"/>
          <w:lang w:val="en-US"/>
        </w:rPr>
        <w:lastRenderedPageBreak/>
        <w:t>and the courts impose public law conceptions of distributive ju</w:t>
      </w:r>
      <w:r w:rsidR="00681EF9">
        <w:rPr>
          <w:rFonts w:ascii="Times New Roman" w:hAnsi="Times New Roman" w:cs="Times New Roman"/>
          <w:sz w:val="24"/>
          <w:szCs w:val="24"/>
          <w:lang w:val="en-US"/>
        </w:rPr>
        <w:t>stice on the common law of private contracting</w:t>
      </w:r>
      <w:r w:rsidR="00AF59E5">
        <w:rPr>
          <w:rFonts w:ascii="Times New Roman" w:hAnsi="Times New Roman" w:cs="Times New Roman"/>
          <w:sz w:val="24"/>
          <w:szCs w:val="24"/>
          <w:lang w:val="en-US"/>
        </w:rPr>
        <w:t>.  These features speak to legal culture and context in Australia and South Africa and are the backdrop which must inform any comparison.</w:t>
      </w:r>
    </w:p>
    <w:p w14:paraId="3BD52997" w14:textId="006C3E84" w:rsidR="00681EF9" w:rsidRDefault="00AF59E5" w:rsidP="00205AF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For this reason, our case studies were selected to illustrate not only the paradigmatic contract for the benefit of a third part</w:t>
      </w:r>
      <w:r w:rsidR="00681EF9">
        <w:rPr>
          <w:rFonts w:ascii="Times New Roman" w:hAnsi="Times New Roman" w:cs="Times New Roman"/>
          <w:sz w:val="24"/>
          <w:szCs w:val="24"/>
          <w:lang w:val="en-US"/>
        </w:rPr>
        <w:t>y, but also certain</w:t>
      </w:r>
      <w:r>
        <w:rPr>
          <w:rFonts w:ascii="Times New Roman" w:hAnsi="Times New Roman" w:cs="Times New Roman"/>
          <w:sz w:val="24"/>
          <w:szCs w:val="24"/>
          <w:lang w:val="en-US"/>
        </w:rPr>
        <w:t xml:space="preserve"> more niche areas of contracting where public and private interests are mixed</w:t>
      </w:r>
      <w:r w:rsidR="00806E6D">
        <w:rPr>
          <w:rFonts w:ascii="Times New Roman" w:hAnsi="Times New Roman" w:cs="Times New Roman"/>
          <w:sz w:val="24"/>
          <w:szCs w:val="24"/>
          <w:lang w:val="en-US"/>
        </w:rPr>
        <w:t>,</w:t>
      </w:r>
      <w:r>
        <w:rPr>
          <w:rFonts w:ascii="Times New Roman" w:hAnsi="Times New Roman" w:cs="Times New Roman"/>
          <w:sz w:val="24"/>
          <w:szCs w:val="24"/>
          <w:lang w:val="en-US"/>
        </w:rPr>
        <w:t xml:space="preserve"> namely</w:t>
      </w:r>
      <w:r w:rsidR="00806E6D">
        <w:rPr>
          <w:rFonts w:ascii="Times New Roman" w:hAnsi="Times New Roman" w:cs="Times New Roman"/>
          <w:sz w:val="24"/>
          <w:szCs w:val="24"/>
          <w:lang w:val="en-US"/>
        </w:rPr>
        <w:t>:</w:t>
      </w:r>
      <w:r>
        <w:rPr>
          <w:rFonts w:ascii="Times New Roman" w:hAnsi="Times New Roman" w:cs="Times New Roman"/>
          <w:sz w:val="24"/>
          <w:szCs w:val="24"/>
          <w:lang w:val="en-US"/>
        </w:rPr>
        <w:t xml:space="preserve"> motor vehicle accident insurance, retail supply chain</w:t>
      </w:r>
      <w:r w:rsidR="00681EF9">
        <w:rPr>
          <w:rFonts w:ascii="Times New Roman" w:hAnsi="Times New Roman" w:cs="Times New Roman"/>
          <w:sz w:val="24"/>
          <w:szCs w:val="24"/>
          <w:lang w:val="en-US"/>
        </w:rPr>
        <w:t>s and</w:t>
      </w:r>
      <w:r>
        <w:rPr>
          <w:rFonts w:ascii="Times New Roman" w:hAnsi="Times New Roman" w:cs="Times New Roman"/>
          <w:sz w:val="24"/>
          <w:szCs w:val="24"/>
          <w:lang w:val="en-US"/>
        </w:rPr>
        <w:t xml:space="preserve"> casual employment.  </w:t>
      </w:r>
      <w:r w:rsidR="00D33DEE">
        <w:rPr>
          <w:rFonts w:ascii="Times New Roman" w:hAnsi="Times New Roman" w:cs="Times New Roman"/>
          <w:sz w:val="24"/>
          <w:szCs w:val="24"/>
          <w:lang w:val="en-US"/>
        </w:rPr>
        <w:t>Indeed, even f</w:t>
      </w:r>
      <w:r>
        <w:rPr>
          <w:rFonts w:ascii="Times New Roman" w:hAnsi="Times New Roman" w:cs="Times New Roman"/>
          <w:sz w:val="24"/>
          <w:szCs w:val="24"/>
          <w:lang w:val="en-US"/>
        </w:rPr>
        <w:t>inancial transactions, while market linked</w:t>
      </w:r>
      <w:r w:rsidR="006A6416">
        <w:rPr>
          <w:rFonts w:ascii="Times New Roman" w:hAnsi="Times New Roman" w:cs="Times New Roman"/>
          <w:sz w:val="24"/>
          <w:szCs w:val="24"/>
          <w:lang w:val="en-US"/>
        </w:rPr>
        <w:t xml:space="preserve"> an</w:t>
      </w:r>
      <w:r w:rsidR="00D33DEE">
        <w:rPr>
          <w:rFonts w:ascii="Times New Roman" w:hAnsi="Times New Roman" w:cs="Times New Roman"/>
          <w:sz w:val="24"/>
          <w:szCs w:val="24"/>
          <w:lang w:val="en-US"/>
        </w:rPr>
        <w:t xml:space="preserve">d commercially orientated, form an integral part of the banking system on which modern economies rest.  It is the view of the authors that public and private law are increasingly </w:t>
      </w:r>
      <w:r w:rsidR="00681EF9">
        <w:rPr>
          <w:rFonts w:ascii="Times New Roman" w:hAnsi="Times New Roman" w:cs="Times New Roman"/>
          <w:sz w:val="24"/>
          <w:szCs w:val="24"/>
          <w:lang w:val="en-US"/>
        </w:rPr>
        <w:t>becoming inter-</w:t>
      </w:r>
      <w:r w:rsidR="00D33DEE">
        <w:rPr>
          <w:rFonts w:ascii="Times New Roman" w:hAnsi="Times New Roman" w:cs="Times New Roman"/>
          <w:sz w:val="24"/>
          <w:szCs w:val="24"/>
          <w:lang w:val="en-US"/>
        </w:rPr>
        <w:t xml:space="preserve">twined in both Australia and South Africa, and that all contracts should thus be viewed in their contextual setting, including both the social and economic dimensions.  </w:t>
      </w:r>
    </w:p>
    <w:p w14:paraId="346D5028" w14:textId="3431F779" w:rsidR="00AF59E5" w:rsidRDefault="00D33DEE" w:rsidP="005B509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here that relational contract theory in </w:t>
      </w:r>
      <w:r w:rsidR="00681EF9">
        <w:rPr>
          <w:rFonts w:ascii="Times New Roman" w:hAnsi="Times New Roman" w:cs="Times New Roman"/>
          <w:sz w:val="24"/>
          <w:szCs w:val="24"/>
          <w:lang w:val="en-US"/>
        </w:rPr>
        <w:t xml:space="preserve">all </w:t>
      </w:r>
      <w:r>
        <w:rPr>
          <w:rFonts w:ascii="Times New Roman" w:hAnsi="Times New Roman" w:cs="Times New Roman"/>
          <w:sz w:val="24"/>
          <w:szCs w:val="24"/>
          <w:lang w:val="en-US"/>
        </w:rPr>
        <w:t>its many forms has key insights to offer as a vehicle for analyzing contractual relations.  It is becoming increasingly apparent, through the rise of consumer and human rights interests in contract law, that context matters and that the classical law of contrac</w:t>
      </w:r>
      <w:r w:rsidR="0063373C">
        <w:rPr>
          <w:rFonts w:ascii="Times New Roman" w:hAnsi="Times New Roman" w:cs="Times New Roman"/>
          <w:sz w:val="24"/>
          <w:szCs w:val="24"/>
          <w:lang w:val="en-US"/>
        </w:rPr>
        <w:t>t is deficient in appropriately addressing all contractual problems.  Socially embedded contractual relations can have a drastic effect on both the immediate parties and other reliant third parties.  When viewed as a relationship, rather than the product of a bipolar</w:t>
      </w:r>
      <w:r w:rsidR="00D914D2">
        <w:rPr>
          <w:rFonts w:ascii="Times New Roman" w:hAnsi="Times New Roman" w:cs="Times New Roman"/>
          <w:sz w:val="24"/>
          <w:szCs w:val="24"/>
          <w:lang w:val="en-US"/>
        </w:rPr>
        <w:t>,</w:t>
      </w:r>
      <w:r w:rsidR="0063373C">
        <w:rPr>
          <w:rFonts w:ascii="Times New Roman" w:hAnsi="Times New Roman" w:cs="Times New Roman"/>
          <w:sz w:val="24"/>
          <w:szCs w:val="24"/>
          <w:lang w:val="en-US"/>
        </w:rPr>
        <w:t xml:space="preserve"> </w:t>
      </w:r>
      <w:r w:rsidR="00D914D2">
        <w:rPr>
          <w:rFonts w:ascii="Times New Roman" w:hAnsi="Times New Roman" w:cs="Times New Roman"/>
          <w:sz w:val="24"/>
          <w:szCs w:val="24"/>
          <w:lang w:val="en-US"/>
        </w:rPr>
        <w:t xml:space="preserve">usually </w:t>
      </w:r>
      <w:r w:rsidR="0063373C">
        <w:rPr>
          <w:rFonts w:ascii="Times New Roman" w:hAnsi="Times New Roman" w:cs="Times New Roman"/>
          <w:sz w:val="24"/>
          <w:szCs w:val="24"/>
          <w:lang w:val="en-US"/>
        </w:rPr>
        <w:t>written</w:t>
      </w:r>
      <w:r w:rsidR="00D914D2">
        <w:rPr>
          <w:rFonts w:ascii="Times New Roman" w:hAnsi="Times New Roman" w:cs="Times New Roman"/>
          <w:sz w:val="24"/>
          <w:szCs w:val="24"/>
          <w:lang w:val="en-US"/>
        </w:rPr>
        <w:t>,</w:t>
      </w:r>
      <w:r w:rsidR="0063373C">
        <w:rPr>
          <w:rFonts w:ascii="Times New Roman" w:hAnsi="Times New Roman" w:cs="Times New Roman"/>
          <w:sz w:val="24"/>
          <w:szCs w:val="24"/>
          <w:lang w:val="en-US"/>
        </w:rPr>
        <w:t xml:space="preserve"> instrument, contracting draws in interests beyond the signatories, so that third parties may also have an interest, or may reasonably rely, on the contractual relation.  While relational theory is often viewed as more at home in healthy business dealings than adversarial litigation,</w:t>
      </w:r>
      <w:r w:rsidR="00681EF9">
        <w:rPr>
          <w:rStyle w:val="FootnoteReference"/>
          <w:rFonts w:ascii="Times New Roman" w:hAnsi="Times New Roman" w:cs="Times New Roman"/>
          <w:sz w:val="24"/>
          <w:szCs w:val="24"/>
          <w:lang w:val="en-US"/>
        </w:rPr>
        <w:footnoteReference w:id="212"/>
      </w:r>
      <w:r w:rsidR="0063373C">
        <w:rPr>
          <w:rFonts w:ascii="Times New Roman" w:hAnsi="Times New Roman" w:cs="Times New Roman"/>
          <w:sz w:val="24"/>
          <w:szCs w:val="24"/>
          <w:lang w:val="en-US"/>
        </w:rPr>
        <w:t xml:space="preserve"> the problem of how to protect reasonable expectations cannot be ignored.  Where </w:t>
      </w:r>
      <w:r w:rsidR="00591CD9">
        <w:rPr>
          <w:rFonts w:ascii="Times New Roman" w:hAnsi="Times New Roman" w:cs="Times New Roman"/>
          <w:sz w:val="24"/>
          <w:szCs w:val="24"/>
          <w:lang w:val="en-US"/>
        </w:rPr>
        <w:t xml:space="preserve">classical </w:t>
      </w:r>
      <w:r w:rsidR="0063373C">
        <w:rPr>
          <w:rFonts w:ascii="Times New Roman" w:hAnsi="Times New Roman" w:cs="Times New Roman"/>
          <w:sz w:val="24"/>
          <w:szCs w:val="24"/>
          <w:lang w:val="en-US"/>
        </w:rPr>
        <w:t>contract law has proved deficient here (as illustrated in our case studies above)</w:t>
      </w:r>
      <w:r w:rsidR="00591CD9">
        <w:rPr>
          <w:rFonts w:ascii="Times New Roman" w:hAnsi="Times New Roman" w:cs="Times New Roman"/>
          <w:sz w:val="24"/>
          <w:szCs w:val="24"/>
          <w:lang w:val="en-US"/>
        </w:rPr>
        <w:t>, public regulation through statute has had to fill the gaps.</w:t>
      </w:r>
      <w:r w:rsidR="00414614">
        <w:rPr>
          <w:rFonts w:ascii="Times New Roman" w:hAnsi="Times New Roman" w:cs="Times New Roman"/>
          <w:sz w:val="24"/>
          <w:szCs w:val="24"/>
          <w:lang w:val="en-US"/>
        </w:rPr>
        <w:t xml:space="preserve">  The net result, to use </w:t>
      </w:r>
      <w:r w:rsidR="00414614">
        <w:rPr>
          <w:rFonts w:ascii="Times New Roman" w:hAnsi="Times New Roman" w:cs="Times New Roman"/>
          <w:sz w:val="24"/>
          <w:szCs w:val="24"/>
          <w:lang w:val="en-US"/>
        </w:rPr>
        <w:lastRenderedPageBreak/>
        <w:t>Macneil’s terminology, has been the introduction of neo-classical</w:t>
      </w:r>
      <w:r w:rsidR="00A15C8B">
        <w:rPr>
          <w:rStyle w:val="FootnoteReference"/>
          <w:rFonts w:ascii="Times New Roman" w:hAnsi="Times New Roman" w:cs="Times New Roman"/>
          <w:sz w:val="24"/>
          <w:szCs w:val="24"/>
          <w:lang w:val="en-US"/>
        </w:rPr>
        <w:footnoteReference w:id="213"/>
      </w:r>
      <w:r w:rsidR="00414614">
        <w:rPr>
          <w:rFonts w:ascii="Times New Roman" w:hAnsi="Times New Roman" w:cs="Times New Roman"/>
          <w:sz w:val="24"/>
          <w:szCs w:val="24"/>
          <w:lang w:val="en-US"/>
        </w:rPr>
        <w:t xml:space="preserve"> contract law: through statutory intervention and an increased role for good faith in Australia; and through resorting to redistributive welfarism</w:t>
      </w:r>
      <w:r w:rsidR="00681EF9">
        <w:rPr>
          <w:rFonts w:ascii="Times New Roman" w:hAnsi="Times New Roman" w:cs="Times New Roman"/>
          <w:sz w:val="24"/>
          <w:szCs w:val="24"/>
          <w:lang w:val="en-US"/>
        </w:rPr>
        <w:t xml:space="preserve"> in private contract law</w:t>
      </w:r>
      <w:r w:rsidR="00414614">
        <w:rPr>
          <w:rFonts w:ascii="Times New Roman" w:hAnsi="Times New Roman" w:cs="Times New Roman"/>
          <w:sz w:val="24"/>
          <w:szCs w:val="24"/>
          <w:lang w:val="en-US"/>
        </w:rPr>
        <w:t xml:space="preserve"> under the auspices of a transformative Constitution in South Africa.</w:t>
      </w:r>
    </w:p>
    <w:p w14:paraId="5E43460F" w14:textId="2C73C9EA" w:rsidR="009E37EC" w:rsidRPr="000F052B" w:rsidRDefault="00414614" w:rsidP="00806E6D">
      <w:pPr>
        <w:spacing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ab/>
        <w:t>The emergent view is that comparison of a commonly held doctrine in both Australia and South Africa reveals from a micro perspective certain key macro differences between the legal contexts in these countries, but also cer</w:t>
      </w:r>
      <w:r w:rsidR="00681EF9">
        <w:rPr>
          <w:rFonts w:ascii="Times New Roman" w:hAnsi="Times New Roman" w:cs="Times New Roman"/>
          <w:sz w:val="24"/>
          <w:szCs w:val="24"/>
          <w:lang w:val="en-US"/>
        </w:rPr>
        <w:t>tain macro similarities, including</w:t>
      </w:r>
      <w:r>
        <w:rPr>
          <w:rFonts w:ascii="Times New Roman" w:hAnsi="Times New Roman" w:cs="Times New Roman"/>
          <w:sz w:val="24"/>
          <w:szCs w:val="24"/>
          <w:lang w:val="en-US"/>
        </w:rPr>
        <w:t xml:space="preserve"> an increased awareness of the socially-embedded, or relational, dimension of contracting, and a movement from classical to neo-classical contract law.</w:t>
      </w:r>
    </w:p>
    <w:sectPr w:rsidR="009E37EC" w:rsidRPr="000F052B" w:rsidSect="004A782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DE95B" w14:textId="77777777" w:rsidR="00DC6A4E" w:rsidRDefault="00DC6A4E" w:rsidP="005C4502">
      <w:pPr>
        <w:spacing w:after="0" w:line="240" w:lineRule="auto"/>
      </w:pPr>
      <w:r>
        <w:separator/>
      </w:r>
    </w:p>
  </w:endnote>
  <w:endnote w:type="continuationSeparator" w:id="0">
    <w:p w14:paraId="4EDE19AE" w14:textId="77777777" w:rsidR="00DC6A4E" w:rsidRDefault="00DC6A4E" w:rsidP="005C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55EC" w14:textId="77777777" w:rsidR="00181643" w:rsidRDefault="00181643">
    <w:pPr>
      <w:pStyle w:val="Footer"/>
      <w:jc w:val="center"/>
    </w:pPr>
  </w:p>
  <w:p w14:paraId="4AB2D9F0" w14:textId="77777777" w:rsidR="00181643" w:rsidRDefault="0018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E74FE" w14:textId="77777777" w:rsidR="00DC6A4E" w:rsidRDefault="00DC6A4E" w:rsidP="005C4502">
      <w:pPr>
        <w:spacing w:after="0" w:line="240" w:lineRule="auto"/>
      </w:pPr>
      <w:r>
        <w:separator/>
      </w:r>
    </w:p>
  </w:footnote>
  <w:footnote w:type="continuationSeparator" w:id="0">
    <w:p w14:paraId="79516997" w14:textId="77777777" w:rsidR="00DC6A4E" w:rsidRDefault="00DC6A4E" w:rsidP="005C4502">
      <w:pPr>
        <w:spacing w:after="0" w:line="240" w:lineRule="auto"/>
      </w:pPr>
      <w:r>
        <w:continuationSeparator/>
      </w:r>
    </w:p>
  </w:footnote>
  <w:footnote w:id="1">
    <w:p w14:paraId="1C7AB0E7" w14:textId="77777777"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t>*</w:t>
      </w:r>
      <w:r w:rsidRPr="00181643">
        <w:rPr>
          <w:rFonts w:ascii="Times New Roman" w:hAnsi="Times New Roman" w:cs="Times New Roman"/>
        </w:rPr>
        <w:t xml:space="preserve"> Associate Professor in the Department of Commercial Law, University of Cape Town.  </w:t>
      </w:r>
    </w:p>
  </w:footnote>
  <w:footnote w:id="2">
    <w:p w14:paraId="29E1448B" w14:textId="77777777" w:rsidR="00181643" w:rsidRPr="00181643" w:rsidRDefault="00181643" w:rsidP="00181643">
      <w:pPr>
        <w:pStyle w:val="FootnoteText"/>
        <w:jc w:val="both"/>
        <w:rPr>
          <w:rFonts w:ascii="Times New Roman" w:hAnsi="Times New Roman" w:cs="Times New Roman"/>
        </w:rPr>
      </w:pPr>
      <w:r w:rsidRPr="00181643">
        <w:rPr>
          <w:rStyle w:val="FootnoteReference"/>
          <w:rFonts w:ascii="Times New Roman" w:hAnsi="Times New Roman" w:cs="Times New Roman"/>
        </w:rPr>
        <w:t>**</w:t>
      </w:r>
      <w:r w:rsidRPr="00181643">
        <w:rPr>
          <w:rFonts w:ascii="Times New Roman" w:hAnsi="Times New Roman" w:cs="Times New Roman"/>
        </w:rPr>
        <w:t xml:space="preserve"> Senior Lecturer in the Department of Law, Liverpool Hope University.</w:t>
      </w:r>
    </w:p>
    <w:p w14:paraId="420F4BEF" w14:textId="77777777" w:rsidR="00181643" w:rsidRPr="00181643" w:rsidRDefault="00181643" w:rsidP="00181643">
      <w:pPr>
        <w:pStyle w:val="FootnoteText"/>
        <w:jc w:val="both"/>
        <w:rPr>
          <w:rFonts w:ascii="Times New Roman" w:hAnsi="Times New Roman" w:cs="Times New Roman"/>
        </w:rPr>
      </w:pPr>
      <w:r w:rsidRPr="00181643">
        <w:rPr>
          <w:rFonts w:ascii="Times New Roman" w:hAnsi="Times New Roman" w:cs="Times New Roman"/>
        </w:rPr>
        <w:t xml:space="preserve">Acknowledgment: Dr Hutchison conducted part of this research at the Max Planck Institute for Comparative and International Private Law in Hamburg, during an extended visit in 2016.  He would like to thank the MPI for funding his stay in Hamburg and for access to their library during this time. </w:t>
      </w:r>
    </w:p>
    <w:p w14:paraId="5FE0D595" w14:textId="2969975D" w:rsidR="00181643" w:rsidRPr="00181643" w:rsidRDefault="00181643" w:rsidP="00181643">
      <w:pPr>
        <w:pStyle w:val="FootnoteText"/>
        <w:jc w:val="both"/>
        <w:rPr>
          <w:rFonts w:ascii="Times New Roman" w:hAnsi="Times New Roman" w:cs="Times New Roman"/>
        </w:rPr>
      </w:pPr>
      <w:r w:rsidRPr="00181643">
        <w:rPr>
          <w:rFonts w:ascii="Times New Roman" w:hAnsi="Times New Roman" w:cs="Times New Roman"/>
        </w:rPr>
        <w:t>Both authors would also like to thank Reinhard Zimmermann, David Campbell, Dale Hutchison, and Sieg Eiselen for constructive comments on earlier drafts of this article.</w:t>
      </w:r>
    </w:p>
    <w:p w14:paraId="600DAAA7" w14:textId="4CB69A84" w:rsidR="00181643" w:rsidRPr="00181643" w:rsidRDefault="00181643" w:rsidP="00181643">
      <w:pPr>
        <w:pStyle w:val="FootnoteText"/>
        <w:jc w:val="both"/>
        <w:rPr>
          <w:rFonts w:ascii="Times New Roman" w:hAnsi="Times New Roman" w:cs="Times New Roman"/>
          <w:lang w:val="en-GB"/>
        </w:rPr>
      </w:pPr>
    </w:p>
  </w:footnote>
  <w:footnote w:id="3">
    <w:p w14:paraId="10BC02A5" w14:textId="5CF105B8" w:rsidR="00181643" w:rsidRPr="00181643" w:rsidRDefault="00181643" w:rsidP="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As is well-known, according to classical English contract law, the privity doctrine consists of two rules: first, that only the parties to a contract may enforce it; and second, that a contract only imposes obligations on the parties to it. Cf. </w:t>
      </w:r>
      <w:r w:rsidRPr="00181643">
        <w:rPr>
          <w:rFonts w:ascii="Times New Roman" w:hAnsi="Times New Roman" w:cs="Times New Roman"/>
          <w:i/>
          <w:lang w:val="en-ZA"/>
        </w:rPr>
        <w:t xml:space="preserve">Tweddle v Atkinson </w:t>
      </w:r>
      <w:r w:rsidRPr="00181643">
        <w:rPr>
          <w:rFonts w:ascii="Times New Roman" w:hAnsi="Times New Roman" w:cs="Times New Roman"/>
        </w:rPr>
        <w:t xml:space="preserve">(1861) 1 B&amp;S 393; 121 ER 762. To be compared to </w:t>
      </w:r>
      <w:r w:rsidRPr="00181643">
        <w:rPr>
          <w:rFonts w:ascii="Times New Roman" w:hAnsi="Times New Roman" w:cs="Times New Roman"/>
          <w:bCs/>
          <w:i/>
        </w:rPr>
        <w:t>Dutton v Poole</w:t>
      </w:r>
      <w:r w:rsidRPr="00181643">
        <w:rPr>
          <w:rFonts w:ascii="Times New Roman" w:hAnsi="Times New Roman" w:cs="Times New Roman"/>
        </w:rPr>
        <w:t xml:space="preserve"> (1677) 2 Lev 210. The modern authority for the rule is said to be </w:t>
      </w:r>
      <w:r w:rsidRPr="00181643">
        <w:rPr>
          <w:rFonts w:ascii="Times New Roman" w:hAnsi="Times New Roman" w:cs="Times New Roman"/>
          <w:i/>
        </w:rPr>
        <w:t>Dunlop Pneumatic Tyre Co. Ltd v Selfridge &amp; Co Ltd</w:t>
      </w:r>
      <w:r w:rsidRPr="00181643">
        <w:rPr>
          <w:rFonts w:ascii="Times New Roman" w:hAnsi="Times New Roman" w:cs="Times New Roman"/>
        </w:rPr>
        <w:t xml:space="preserve"> [1915] AC 847. See also note 43 below.</w:t>
      </w:r>
    </w:p>
    <w:p w14:paraId="50F053AA" w14:textId="7D9ECF93" w:rsidR="00181643" w:rsidRPr="00181643" w:rsidRDefault="00181643" w:rsidP="00181643">
      <w:pPr>
        <w:pStyle w:val="FootnoteText"/>
        <w:jc w:val="both"/>
        <w:rPr>
          <w:rFonts w:ascii="Times New Roman" w:hAnsi="Times New Roman" w:cs="Times New Roman"/>
          <w:lang w:val="en-US"/>
        </w:rPr>
      </w:pPr>
      <w:r w:rsidRPr="00181643">
        <w:rPr>
          <w:rFonts w:ascii="Times New Roman" w:hAnsi="Times New Roman" w:cs="Times New Roman"/>
        </w:rPr>
        <w:t xml:space="preserve">From an English Common Law point of view, the concept of a “classical law of contract”, marked by notions such as privity and freedom of contract, is reflected in P. S. Atiyah, </w:t>
      </w:r>
      <w:r w:rsidRPr="00181643">
        <w:rPr>
          <w:rFonts w:ascii="Times New Roman" w:hAnsi="Times New Roman" w:cs="Times New Roman"/>
          <w:i/>
        </w:rPr>
        <w:t>The Rise and Fall of Freedom of Contract</w:t>
      </w:r>
      <w:r w:rsidRPr="00181643">
        <w:rPr>
          <w:rFonts w:ascii="Times New Roman" w:hAnsi="Times New Roman" w:cs="Times New Roman"/>
          <w:smallCaps/>
        </w:rPr>
        <w:t xml:space="preserve"> (</w:t>
      </w:r>
      <w:r w:rsidRPr="00181643">
        <w:rPr>
          <w:rFonts w:ascii="Times New Roman" w:hAnsi="Times New Roman" w:cs="Times New Roman"/>
        </w:rPr>
        <w:t xml:space="preserve">1979) as having reached a peak between 1770 and 1870. “Classical contract law” and its association with “classical economics” are themes of criticism in relational contract literature, which views this as a blinkered perspective on the socially-embedded institution of contracting. See by way of example: Ian R. </w:t>
      </w:r>
      <w:r w:rsidRPr="00181643">
        <w:rPr>
          <w:rFonts w:ascii="Times New Roman" w:hAnsi="Times New Roman" w:cs="Times New Roman"/>
          <w:lang w:val="en-GB"/>
        </w:rPr>
        <w:t>Macneil, “</w:t>
      </w:r>
      <w:r w:rsidRPr="00181643">
        <w:rPr>
          <w:rFonts w:ascii="Times New Roman" w:hAnsi="Times New Roman" w:cs="Times New Roman"/>
          <w:lang w:val="en-US"/>
        </w:rPr>
        <w:t>Contracts: Adjustment of Long</w:t>
      </w:r>
      <w:r w:rsidRPr="00181643">
        <w:rPr>
          <w:rFonts w:ascii="Times New Roman" w:hAnsi="Times New Roman" w:cs="Times New Roman"/>
          <w:lang w:val="en-US"/>
        </w:rPr>
        <w:noBreakHyphen/>
        <w:t>term Economic Relations under Classical, Neo</w:t>
      </w:r>
      <w:r w:rsidRPr="00181643">
        <w:rPr>
          <w:rFonts w:ascii="Times New Roman" w:hAnsi="Times New Roman" w:cs="Times New Roman"/>
          <w:lang w:val="en-US"/>
        </w:rPr>
        <w:noBreakHyphen/>
        <w:t>classical and Relational Contract Law”</w:t>
      </w:r>
      <w:r w:rsidRPr="00181643">
        <w:rPr>
          <w:rFonts w:ascii="Times New Roman" w:hAnsi="Times New Roman" w:cs="Times New Roman"/>
          <w:i/>
          <w:lang w:val="en-US"/>
        </w:rPr>
        <w:t>,</w:t>
      </w:r>
      <w:r w:rsidRPr="00181643">
        <w:rPr>
          <w:rFonts w:ascii="Times New Roman" w:hAnsi="Times New Roman" w:cs="Times New Roman"/>
          <w:lang w:val="en-US"/>
        </w:rPr>
        <w:t xml:space="preserve"> </w:t>
      </w:r>
      <w:r w:rsidRPr="00181643">
        <w:rPr>
          <w:rFonts w:ascii="Times New Roman" w:hAnsi="Times New Roman" w:cs="Times New Roman"/>
          <w:i/>
          <w:lang w:val="en-US"/>
        </w:rPr>
        <w:t>Northwestern University Law Review</w:t>
      </w:r>
      <w:r w:rsidRPr="00181643">
        <w:rPr>
          <w:rFonts w:ascii="Times New Roman" w:hAnsi="Times New Roman" w:cs="Times New Roman"/>
          <w:lang w:val="en-US"/>
        </w:rPr>
        <w:t>, LXXII (1978), p.</w:t>
      </w:r>
      <w:r w:rsidRPr="00181643">
        <w:rPr>
          <w:rFonts w:ascii="Times New Roman" w:hAnsi="Times New Roman" w:cs="Times New Roman"/>
          <w:i/>
          <w:iCs/>
          <w:lang w:val="en-US"/>
        </w:rPr>
        <w:t xml:space="preserve"> </w:t>
      </w:r>
      <w:r w:rsidRPr="00181643">
        <w:rPr>
          <w:rFonts w:ascii="Times New Roman" w:hAnsi="Times New Roman" w:cs="Times New Roman"/>
          <w:lang w:val="en-US"/>
        </w:rPr>
        <w:t>854.</w:t>
      </w:r>
    </w:p>
    <w:p w14:paraId="709FF0F4" w14:textId="176A594D" w:rsidR="00181643" w:rsidRPr="00181643" w:rsidRDefault="00181643" w:rsidP="00181643">
      <w:pPr>
        <w:pStyle w:val="FootnoteText"/>
        <w:jc w:val="both"/>
        <w:rPr>
          <w:rFonts w:ascii="Times New Roman" w:hAnsi="Times New Roman" w:cs="Times New Roman"/>
          <w:lang w:val="en-ZA"/>
        </w:rPr>
      </w:pPr>
      <w:r w:rsidRPr="00181643">
        <w:rPr>
          <w:rFonts w:ascii="Times New Roman" w:hAnsi="Times New Roman" w:cs="Times New Roman"/>
          <w:lang w:val="en-US"/>
        </w:rPr>
        <w:t xml:space="preserve">From a civilian point of view, privity was a key feature of the Roman law of obligations, including the early roots of what later became the law of contract. This was carried through into the prohibition in Justinian’s code on contracts for the benefit of a third person (D.45.1.38.17). Thus, the historical roots of civilian private law reflect a strong attachment to privity, which is reflected in the modern mixed system of South African contract law. The contract for the benefit of a third person was developed in the </w:t>
      </w:r>
      <w:r w:rsidRPr="00181643">
        <w:rPr>
          <w:rFonts w:ascii="Times New Roman" w:hAnsi="Times New Roman" w:cs="Times New Roman"/>
          <w:i/>
          <w:lang w:val="en-US"/>
        </w:rPr>
        <w:t>ius commune</w:t>
      </w:r>
      <w:r w:rsidRPr="00181643">
        <w:rPr>
          <w:rFonts w:ascii="Times New Roman" w:hAnsi="Times New Roman" w:cs="Times New Roman"/>
          <w:lang w:val="en-US"/>
        </w:rPr>
        <w:t xml:space="preserve"> of medieval times, including by the Roman Dutch jurists whose writings were to be so influential in South Africa. See generally: Reinhard Zimmermann, </w:t>
      </w:r>
      <w:r w:rsidRPr="00181643">
        <w:rPr>
          <w:rFonts w:ascii="Times New Roman" w:hAnsi="Times New Roman" w:cs="Times New Roman"/>
          <w:i/>
          <w:lang w:val="en-US"/>
        </w:rPr>
        <w:t>The Law of Obligations: Roman Foundations of the Civilian Tradition</w:t>
      </w:r>
      <w:r w:rsidRPr="00181643">
        <w:rPr>
          <w:rFonts w:ascii="Times New Roman" w:hAnsi="Times New Roman" w:cs="Times New Roman"/>
          <w:smallCaps/>
          <w:lang w:val="en-US"/>
        </w:rPr>
        <w:t xml:space="preserve"> (</w:t>
      </w:r>
      <w:r w:rsidRPr="00181643">
        <w:rPr>
          <w:rFonts w:ascii="Times New Roman" w:hAnsi="Times New Roman" w:cs="Times New Roman"/>
          <w:lang w:val="en-US"/>
        </w:rPr>
        <w:t>1996), ch. 1-2.</w:t>
      </w:r>
    </w:p>
  </w:footnote>
  <w:footnote w:id="4">
    <w:p w14:paraId="474286A6" w14:textId="3C45A267"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181643">
        <w:rPr>
          <w:rFonts w:ascii="Times New Roman" w:hAnsi="Times New Roman" w:cs="Times New Roman"/>
          <w:lang w:val="en-ZA"/>
        </w:rPr>
        <w:t>We acknowledge that much is to be learned from civil law systems such as Germany and France in this regard, but confine ourselves to the law of two countries with which we are intimately connected – South Africa and Australia.</w:t>
      </w:r>
    </w:p>
  </w:footnote>
  <w:footnote w:id="5">
    <w:p w14:paraId="11F4319E" w14:textId="27D250E3" w:rsidR="00181643" w:rsidRPr="00181643" w:rsidRDefault="00181643" w:rsidP="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We use capital “C” to refer to the Common law as a legal tradition. Common (with an uppercase c) law and common law are two different things: whereas the former is a legal tradition marked by a number of particular characteristics, the latter refers to a part of the Common law (and includes elements of both case law and customary law).</w:t>
      </w:r>
    </w:p>
  </w:footnote>
  <w:footnote w:id="6">
    <w:p w14:paraId="623E9EA2" w14:textId="4C894A38" w:rsidR="00181643" w:rsidRPr="00181643" w:rsidRDefault="00181643" w:rsidP="00181643">
      <w:pPr>
        <w:pStyle w:val="FootnoteText"/>
        <w:jc w:val="both"/>
        <w:rPr>
          <w:rFonts w:ascii="Times New Roman" w:hAnsi="Times New Roman" w:cs="Times New Roman"/>
          <w:i/>
          <w:iC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Cf. </w:t>
      </w:r>
      <w:r w:rsidRPr="00181643">
        <w:rPr>
          <w:rFonts w:ascii="Times New Roman" w:hAnsi="Times New Roman" w:cs="Times New Roman"/>
          <w:i/>
          <w:iCs/>
        </w:rPr>
        <w:t xml:space="preserve">Hospital Products Ltd v United States Surgical Corporation </w:t>
      </w:r>
      <w:r w:rsidRPr="00181643">
        <w:rPr>
          <w:rFonts w:ascii="Times New Roman" w:hAnsi="Times New Roman" w:cs="Times New Roman"/>
        </w:rPr>
        <w:t>(1984) 55 ALR 417 at 48.</w:t>
      </w:r>
    </w:p>
  </w:footnote>
  <w:footnote w:id="7">
    <w:p w14:paraId="1B27B0B8" w14:textId="176ACBF0"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181643">
        <w:rPr>
          <w:rFonts w:ascii="Times New Roman" w:hAnsi="Times New Roman" w:cs="Times New Roman"/>
          <w:lang w:val="en-ZA"/>
        </w:rPr>
        <w:t xml:space="preserve">For an historical private law perspective, see generally: </w:t>
      </w:r>
      <w:r w:rsidRPr="00181643">
        <w:rPr>
          <w:rFonts w:ascii="Times New Roman" w:hAnsi="Times New Roman" w:cs="Times New Roman"/>
        </w:rPr>
        <w:t>Reinhard Zimmermann and Daniel Visser (eds.),</w:t>
      </w:r>
      <w:r w:rsidRPr="00181643">
        <w:rPr>
          <w:rFonts w:ascii="Times New Roman" w:hAnsi="Times New Roman" w:cs="Times New Roman"/>
          <w:lang w:val="en-ZA"/>
        </w:rPr>
        <w:t xml:space="preserve"> </w:t>
      </w:r>
      <w:r w:rsidRPr="00181643">
        <w:rPr>
          <w:rFonts w:ascii="Times New Roman" w:hAnsi="Times New Roman" w:cs="Times New Roman"/>
          <w:i/>
          <w:lang w:val="en-ZA"/>
        </w:rPr>
        <w:t>Southern Cross: Civil Law and Common Law in South Africa</w:t>
      </w:r>
      <w:r w:rsidRPr="00181643">
        <w:rPr>
          <w:rFonts w:ascii="Times New Roman" w:hAnsi="Times New Roman" w:cs="Times New Roman"/>
          <w:i/>
        </w:rPr>
        <w:t xml:space="preserve"> </w:t>
      </w:r>
      <w:r w:rsidRPr="00181643">
        <w:rPr>
          <w:rFonts w:ascii="Times New Roman" w:hAnsi="Times New Roman" w:cs="Times New Roman"/>
        </w:rPr>
        <w:t>(1996).</w:t>
      </w:r>
    </w:p>
  </w:footnote>
  <w:footnote w:id="8">
    <w:p w14:paraId="3064873D" w14:textId="401BFAEB" w:rsidR="00181643" w:rsidRPr="00181643" w:rsidRDefault="00181643" w:rsidP="00181643">
      <w:pPr>
        <w:pStyle w:val="FootnoteText"/>
        <w:jc w:val="both"/>
        <w:rPr>
          <w:rFonts w:ascii="Times New Roman" w:hAnsi="Times New Roman" w:cs="Times New Roman"/>
          <w:lang w:val="en-GB"/>
        </w:rPr>
      </w:pPr>
      <w:r w:rsidRPr="00181643">
        <w:rPr>
          <w:rStyle w:val="FootnoteReference"/>
          <w:rFonts w:ascii="Times New Roman" w:hAnsi="Times New Roman" w:cs="Times New Roman"/>
        </w:rPr>
        <w:footnoteRef/>
      </w:r>
      <w:r w:rsidRPr="00181643">
        <w:rPr>
          <w:rFonts w:ascii="Times New Roman" w:hAnsi="Times New Roman" w:cs="Times New Roman"/>
        </w:rPr>
        <w:t xml:space="preserve">See Viscount Haldane LC’s remarks in </w:t>
      </w:r>
      <w:r w:rsidRPr="00181643">
        <w:rPr>
          <w:rFonts w:ascii="Times New Roman" w:hAnsi="Times New Roman" w:cs="Times New Roman"/>
          <w:i/>
        </w:rPr>
        <w:t>Dunlop Pneumatic Tyre Co. Ltd v Selfridge &amp; Co Ltd</w:t>
      </w:r>
      <w:r w:rsidRPr="00181643">
        <w:rPr>
          <w:rFonts w:ascii="Times New Roman" w:hAnsi="Times New Roman" w:cs="Times New Roman"/>
        </w:rPr>
        <w:t xml:space="preserve"> [1915] AC 847. In literature, see </w:t>
      </w:r>
      <w:r w:rsidRPr="00181643">
        <w:rPr>
          <w:rFonts w:ascii="Times New Roman" w:hAnsi="Times New Roman" w:cs="Times New Roman"/>
          <w:iCs/>
        </w:rPr>
        <w:t>Sir J. Baker,</w:t>
      </w:r>
      <w:r w:rsidRPr="00181643">
        <w:rPr>
          <w:rFonts w:ascii="Times New Roman" w:hAnsi="Times New Roman" w:cs="Times New Roman"/>
        </w:rPr>
        <w:t xml:space="preserve"> “Privity of Contract in the Common Law before 1680”, in </w:t>
      </w:r>
      <w:r w:rsidRPr="00181643">
        <w:rPr>
          <w:rFonts w:ascii="Times New Roman" w:hAnsi="Times New Roman" w:cs="Times New Roman"/>
          <w:bCs/>
        </w:rPr>
        <w:t>Eltjo J. H. Schrage</w:t>
      </w:r>
      <w:r w:rsidRPr="00181643">
        <w:rPr>
          <w:rFonts w:ascii="Times New Roman" w:hAnsi="Times New Roman" w:cs="Times New Roman"/>
        </w:rPr>
        <w:t xml:space="preserve"> (ed.), </w:t>
      </w:r>
      <w:r w:rsidRPr="00181643">
        <w:rPr>
          <w:rFonts w:ascii="Times New Roman" w:hAnsi="Times New Roman" w:cs="Times New Roman"/>
          <w:i/>
        </w:rPr>
        <w:t>Ius QuAesitum Tertio</w:t>
      </w:r>
      <w:r w:rsidRPr="00181643">
        <w:rPr>
          <w:rFonts w:ascii="Times New Roman" w:hAnsi="Times New Roman" w:cs="Times New Roman"/>
        </w:rPr>
        <w:t xml:space="preserve"> (2008), pp. </w:t>
      </w:r>
      <w:r w:rsidRPr="00181643">
        <w:rPr>
          <w:rFonts w:ascii="Times New Roman" w:hAnsi="Times New Roman" w:cs="Times New Roman"/>
          <w:bCs/>
        </w:rPr>
        <w:t>35</w:t>
      </w:r>
      <w:r w:rsidRPr="00181643">
        <w:rPr>
          <w:rFonts w:ascii="Times New Roman" w:hAnsi="Times New Roman" w:cs="Times New Roman"/>
          <w:bCs/>
          <w:lang w:val="en-US"/>
        </w:rPr>
        <w:t>-</w:t>
      </w:r>
      <w:r w:rsidRPr="00181643">
        <w:rPr>
          <w:rFonts w:ascii="Times New Roman" w:hAnsi="Times New Roman" w:cs="Times New Roman"/>
          <w:bCs/>
        </w:rPr>
        <w:t>60</w:t>
      </w:r>
      <w:r w:rsidRPr="00181643">
        <w:rPr>
          <w:rFonts w:ascii="Times New Roman" w:hAnsi="Times New Roman" w:cs="Times New Roman"/>
        </w:rPr>
        <w:t xml:space="preserve">; </w:t>
      </w:r>
      <w:r w:rsidRPr="00181643">
        <w:rPr>
          <w:rFonts w:ascii="Times New Roman" w:hAnsi="Times New Roman" w:cs="Times New Roman"/>
          <w:iCs/>
        </w:rPr>
        <w:t>David J. Ibbetson and W. Swain,</w:t>
      </w:r>
      <w:r w:rsidRPr="00181643">
        <w:rPr>
          <w:rFonts w:ascii="Times New Roman" w:hAnsi="Times New Roman" w:cs="Times New Roman"/>
        </w:rPr>
        <w:t> “Third Party Beneficiaries in English Law: From Dutton v. Poole to Tweddle v. Atkinson”, ibid., pp. 191</w:t>
      </w:r>
      <w:r w:rsidRPr="00181643">
        <w:rPr>
          <w:rFonts w:ascii="Times New Roman" w:hAnsi="Times New Roman" w:cs="Times New Roman"/>
          <w:lang w:val="en-US"/>
        </w:rPr>
        <w:t>-</w:t>
      </w:r>
      <w:r w:rsidRPr="00181643">
        <w:rPr>
          <w:rFonts w:ascii="Times New Roman" w:hAnsi="Times New Roman" w:cs="Times New Roman"/>
        </w:rPr>
        <w:t>214.</w:t>
      </w:r>
    </w:p>
  </w:footnote>
  <w:footnote w:id="9">
    <w:p w14:paraId="43587D73" w14:textId="2B79C82E"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181643">
        <w:rPr>
          <w:rFonts w:ascii="Times New Roman" w:hAnsi="Times New Roman" w:cs="Times New Roman"/>
          <w:lang w:val="en-ZA"/>
        </w:rPr>
        <w:t>This is particularly so for the discussion of “umbrella agreements” – in many ways more a business concept than a legal one.</w:t>
      </w:r>
    </w:p>
  </w:footnote>
  <w:footnote w:id="10">
    <w:p w14:paraId="015486AE" w14:textId="22D15469" w:rsidR="00181643" w:rsidRPr="00A74918" w:rsidRDefault="00181643" w:rsidP="00A74918">
      <w:pPr>
        <w:pStyle w:val="FootnoteText"/>
        <w:jc w:val="both"/>
        <w:rPr>
          <w:rFonts w:ascii="Times New Roman" w:hAnsi="Times New Roman" w:cs="Times New Roman"/>
          <w:lang w:val="en-ZA"/>
        </w:rPr>
      </w:pPr>
      <w:r w:rsidRPr="00A74918">
        <w:rPr>
          <w:rStyle w:val="FootnoteReference"/>
          <w:rFonts w:ascii="Times New Roman" w:hAnsi="Times New Roman" w:cs="Times New Roman"/>
        </w:rPr>
        <w:footnoteRef/>
      </w:r>
      <w:r w:rsidRPr="00A74918">
        <w:rPr>
          <w:rFonts w:ascii="Times New Roman" w:hAnsi="Times New Roman" w:cs="Times New Roman"/>
        </w:rPr>
        <w:t xml:space="preserve"> </w:t>
      </w:r>
      <w:r w:rsidRPr="00A74918">
        <w:rPr>
          <w:rFonts w:ascii="Times New Roman" w:hAnsi="Times New Roman" w:cs="Times New Roman"/>
          <w:lang w:val="en-ZA"/>
        </w:rPr>
        <w:t xml:space="preserve">We are strengthened in </w:t>
      </w:r>
      <w:r>
        <w:rPr>
          <w:rFonts w:ascii="Times New Roman" w:hAnsi="Times New Roman" w:cs="Times New Roman"/>
          <w:lang w:val="en-ZA"/>
        </w:rPr>
        <w:t xml:space="preserve">this </w:t>
      </w:r>
      <w:r w:rsidRPr="00A74918">
        <w:rPr>
          <w:rFonts w:ascii="Times New Roman" w:hAnsi="Times New Roman" w:cs="Times New Roman"/>
          <w:lang w:val="en-ZA"/>
        </w:rPr>
        <w:t xml:space="preserve">approach by the recently published argument of Smits, who also has begun to question the continuing </w:t>
      </w:r>
      <w:r>
        <w:rPr>
          <w:rFonts w:ascii="Times New Roman" w:hAnsi="Times New Roman" w:cs="Times New Roman"/>
          <w:lang w:val="en-ZA"/>
        </w:rPr>
        <w:t xml:space="preserve">normative </w:t>
      </w:r>
      <w:r w:rsidRPr="00A74918">
        <w:rPr>
          <w:rFonts w:ascii="Times New Roman" w:hAnsi="Times New Roman" w:cs="Times New Roman"/>
          <w:lang w:val="en-ZA"/>
        </w:rPr>
        <w:t>validity o</w:t>
      </w:r>
      <w:r w:rsidRPr="00181643">
        <w:rPr>
          <w:rFonts w:ascii="Times New Roman" w:hAnsi="Times New Roman" w:cs="Times New Roman"/>
          <w:lang w:val="en-ZA"/>
        </w:rPr>
        <w:t xml:space="preserve">f a rule of contractual privity </w:t>
      </w:r>
      <w:r w:rsidRPr="00A74918">
        <w:rPr>
          <w:rFonts w:ascii="Times New Roman" w:hAnsi="Times New Roman" w:cs="Times New Roman"/>
          <w:lang w:val="en-ZA"/>
        </w:rPr>
        <w:t>which excludes contractual claims in a situation where relationships external to the contracting parties are directly or indirectly impacted by the</w:t>
      </w:r>
      <w:r w:rsidR="00CD15EB">
        <w:rPr>
          <w:rFonts w:ascii="Times New Roman" w:hAnsi="Times New Roman" w:cs="Times New Roman"/>
          <w:lang w:val="en-ZA"/>
        </w:rPr>
        <w:t>ir</w:t>
      </w:r>
      <w:r w:rsidRPr="00A74918">
        <w:rPr>
          <w:rFonts w:ascii="Times New Roman" w:hAnsi="Times New Roman" w:cs="Times New Roman"/>
          <w:lang w:val="en-ZA"/>
        </w:rPr>
        <w:t xml:space="preserve"> contractual choices.  Smits’s argument moves in a slightly different trajectory </w:t>
      </w:r>
      <w:r w:rsidR="00CB128D">
        <w:rPr>
          <w:rFonts w:ascii="Times New Roman" w:hAnsi="Times New Roman" w:cs="Times New Roman"/>
          <w:lang w:val="en-ZA"/>
        </w:rPr>
        <w:t xml:space="preserve">to </w:t>
      </w:r>
      <w:r w:rsidRPr="00A74918">
        <w:rPr>
          <w:rFonts w:ascii="Times New Roman" w:hAnsi="Times New Roman" w:cs="Times New Roman"/>
          <w:lang w:val="en-ZA"/>
        </w:rPr>
        <w:t>ours, however</w:t>
      </w:r>
      <w:r w:rsidR="00CB128D">
        <w:rPr>
          <w:rFonts w:ascii="Times New Roman" w:hAnsi="Times New Roman" w:cs="Times New Roman"/>
          <w:lang w:val="en-ZA"/>
        </w:rPr>
        <w:t>:</w:t>
      </w:r>
      <w:r w:rsidRPr="00A74918">
        <w:rPr>
          <w:rFonts w:ascii="Times New Roman" w:hAnsi="Times New Roman" w:cs="Times New Roman"/>
          <w:lang w:val="en-ZA"/>
        </w:rPr>
        <w:t xml:space="preserve"> he proposes corporate </w:t>
      </w:r>
      <w:r w:rsidR="00CB128D">
        <w:rPr>
          <w:rFonts w:ascii="Times New Roman" w:hAnsi="Times New Roman" w:cs="Times New Roman"/>
          <w:lang w:val="en-ZA"/>
        </w:rPr>
        <w:t xml:space="preserve">social </w:t>
      </w:r>
      <w:r w:rsidRPr="00A74918">
        <w:rPr>
          <w:rFonts w:ascii="Times New Roman" w:hAnsi="Times New Roman" w:cs="Times New Roman"/>
          <w:lang w:val="en-ZA"/>
        </w:rPr>
        <w:t>responsibility regimes as the appropriate avenue for challenging contractual terms or conduct.  His primary example is the direct effect whic</w:t>
      </w:r>
      <w:r w:rsidR="00CB128D" w:rsidRPr="00CB128D">
        <w:rPr>
          <w:rFonts w:ascii="Times New Roman" w:hAnsi="Times New Roman" w:cs="Times New Roman"/>
          <w:lang w:val="en-ZA"/>
        </w:rPr>
        <w:t xml:space="preserve">h the contracts of </w:t>
      </w:r>
      <w:r w:rsidR="00CB128D">
        <w:rPr>
          <w:rFonts w:ascii="Times New Roman" w:hAnsi="Times New Roman" w:cs="Times New Roman"/>
          <w:lang w:val="en-ZA"/>
        </w:rPr>
        <w:t xml:space="preserve">large </w:t>
      </w:r>
      <w:r w:rsidR="00CB128D" w:rsidRPr="00CB128D">
        <w:rPr>
          <w:rFonts w:ascii="Times New Roman" w:hAnsi="Times New Roman" w:cs="Times New Roman"/>
          <w:lang w:val="en-ZA"/>
        </w:rPr>
        <w:t xml:space="preserve">retail </w:t>
      </w:r>
      <w:r w:rsidR="00CB128D">
        <w:rPr>
          <w:rFonts w:ascii="Times New Roman" w:hAnsi="Times New Roman" w:cs="Times New Roman"/>
          <w:lang w:val="en-ZA"/>
        </w:rPr>
        <w:t>corporate</w:t>
      </w:r>
      <w:r w:rsidR="00CB128D" w:rsidRPr="00CB128D">
        <w:rPr>
          <w:rFonts w:ascii="Times New Roman" w:hAnsi="Times New Roman" w:cs="Times New Roman"/>
          <w:lang w:val="en-ZA"/>
        </w:rPr>
        <w:t>s</w:t>
      </w:r>
      <w:r w:rsidRPr="00A74918">
        <w:rPr>
          <w:rFonts w:ascii="Times New Roman" w:hAnsi="Times New Roman" w:cs="Times New Roman"/>
          <w:lang w:val="en-ZA"/>
        </w:rPr>
        <w:t xml:space="preserve"> in developed countries have on labour conditions in developing cou</w:t>
      </w:r>
      <w:r w:rsidR="00CB128D" w:rsidRPr="00CB128D">
        <w:rPr>
          <w:rFonts w:ascii="Times New Roman" w:hAnsi="Times New Roman" w:cs="Times New Roman"/>
          <w:lang w:val="en-ZA"/>
        </w:rPr>
        <w:t>ntry factories further back in the</w:t>
      </w:r>
      <w:r w:rsidRPr="00A74918">
        <w:rPr>
          <w:rFonts w:ascii="Times New Roman" w:hAnsi="Times New Roman" w:cs="Times New Roman"/>
          <w:lang w:val="en-ZA"/>
        </w:rPr>
        <w:t xml:space="preserve"> supply chain.  See generally: J.M. Smits, “The Expanding Circle of Contract Law”, </w:t>
      </w:r>
      <w:r w:rsidRPr="00A74918">
        <w:rPr>
          <w:rFonts w:ascii="Times New Roman" w:hAnsi="Times New Roman" w:cs="Times New Roman"/>
          <w:i/>
          <w:lang w:val="en-ZA"/>
        </w:rPr>
        <w:t xml:space="preserve">Stellenbosch LR, </w:t>
      </w:r>
      <w:r w:rsidRPr="00A74918">
        <w:rPr>
          <w:rFonts w:ascii="Times New Roman" w:hAnsi="Times New Roman" w:cs="Times New Roman"/>
          <w:lang w:val="en-ZA"/>
        </w:rPr>
        <w:t xml:space="preserve">XXVII (2016), p. 227. </w:t>
      </w:r>
    </w:p>
  </w:footnote>
  <w:footnote w:id="11">
    <w:p w14:paraId="32F8B3F2" w14:textId="5DAC77D0"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181643">
        <w:rPr>
          <w:rFonts w:ascii="Times New Roman" w:hAnsi="Times New Roman" w:cs="Times New Roman"/>
          <w:lang w:val="en-ZA"/>
        </w:rPr>
        <w:t>The leading proponent of the “law in action”</w:t>
      </w:r>
      <w:r w:rsidRPr="00CB128D">
        <w:rPr>
          <w:rFonts w:ascii="Times New Roman" w:hAnsi="Times New Roman" w:cs="Times New Roman"/>
          <w:lang w:val="en-ZA"/>
        </w:rPr>
        <w:t xml:space="preserve"> approach to contract analysis is Stewart Macaulay.  See in particular: </w:t>
      </w:r>
      <w:r w:rsidRPr="00CB128D">
        <w:rPr>
          <w:rFonts w:ascii="Times New Roman" w:hAnsi="Times New Roman" w:cs="Times New Roman"/>
        </w:rPr>
        <w:t xml:space="preserve">Stewart Macaulay, “Non-contractual Relations in Business – A Preliminary Study”, </w:t>
      </w:r>
      <w:r w:rsidRPr="00181643">
        <w:rPr>
          <w:rFonts w:ascii="Times New Roman" w:hAnsi="Times New Roman" w:cs="Times New Roman"/>
          <w:i/>
        </w:rPr>
        <w:t>American Soc Rev</w:t>
      </w:r>
      <w:r w:rsidRPr="00181643">
        <w:rPr>
          <w:rFonts w:ascii="Times New Roman" w:hAnsi="Times New Roman" w:cs="Times New Roman"/>
        </w:rPr>
        <w:t>, XXVIII (1963), p. 55. See (</w:t>
      </w:r>
      <w:r w:rsidRPr="00181643">
        <w:rPr>
          <w:rFonts w:ascii="Times New Roman" w:hAnsi="Times New Roman" w:cs="Times New Roman"/>
          <w:i/>
        </w:rPr>
        <w:t>ex pluribus</w:t>
      </w:r>
      <w:r w:rsidRPr="00181643">
        <w:rPr>
          <w:rFonts w:ascii="Times New Roman" w:hAnsi="Times New Roman" w:cs="Times New Roman"/>
        </w:rPr>
        <w:t xml:space="preserve">) for a further example: Lisa Bernstein, “Merchant Law in a Merchant Court: Rethinking the Code’s Search for Immanent Business Norms”, </w:t>
      </w:r>
      <w:r w:rsidRPr="00181643">
        <w:rPr>
          <w:rFonts w:ascii="Times New Roman" w:hAnsi="Times New Roman" w:cs="Times New Roman"/>
          <w:i/>
        </w:rPr>
        <w:t>U Penn L Rev</w:t>
      </w:r>
      <w:r w:rsidRPr="00181643">
        <w:rPr>
          <w:rFonts w:ascii="Times New Roman" w:hAnsi="Times New Roman" w:cs="Times New Roman"/>
        </w:rPr>
        <w:t>,</w:t>
      </w:r>
      <w:r w:rsidRPr="00181643">
        <w:rPr>
          <w:rFonts w:ascii="Times New Roman" w:hAnsi="Times New Roman" w:cs="Times New Roman"/>
          <w:i/>
        </w:rPr>
        <w:t xml:space="preserve"> </w:t>
      </w:r>
      <w:r w:rsidRPr="00181643">
        <w:rPr>
          <w:rFonts w:ascii="Times New Roman" w:hAnsi="Times New Roman" w:cs="Times New Roman"/>
          <w:lang w:val="en-GB"/>
        </w:rPr>
        <w:t>CXLIV</w:t>
      </w:r>
      <w:r w:rsidRPr="00181643">
        <w:rPr>
          <w:rFonts w:ascii="Times New Roman" w:hAnsi="Times New Roman" w:cs="Times New Roman"/>
        </w:rPr>
        <w:t xml:space="preserve"> (1995-1996), p. 1765.  For a UK perspective, see: Hugh Beale and Tony Dugdale, “Contracts between Businessmen: Planning and the Use of Contractual Remedies”, </w:t>
      </w:r>
      <w:r w:rsidRPr="00181643">
        <w:rPr>
          <w:rFonts w:ascii="Times New Roman" w:hAnsi="Times New Roman" w:cs="Times New Roman"/>
          <w:i/>
        </w:rPr>
        <w:t>Br J of Law and Society</w:t>
      </w:r>
      <w:r w:rsidRPr="00181643">
        <w:rPr>
          <w:rFonts w:ascii="Times New Roman" w:hAnsi="Times New Roman" w:cs="Times New Roman"/>
        </w:rPr>
        <w:t>, II</w:t>
      </w:r>
      <w:r w:rsidRPr="00181643">
        <w:rPr>
          <w:rFonts w:ascii="Times New Roman" w:hAnsi="Times New Roman" w:cs="Times New Roman"/>
          <w:i/>
        </w:rPr>
        <w:t xml:space="preserve"> </w:t>
      </w:r>
      <w:r w:rsidRPr="00181643">
        <w:rPr>
          <w:rFonts w:ascii="Times New Roman" w:hAnsi="Times New Roman" w:cs="Times New Roman"/>
        </w:rPr>
        <w:t>(1975), p. 45.</w:t>
      </w:r>
    </w:p>
  </w:footnote>
  <w:footnote w:id="12">
    <w:p w14:paraId="20A331B8" w14:textId="0F38B98B"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by way of example: Ian R Macneil, </w:t>
      </w:r>
      <w:r w:rsidRPr="00CB128D">
        <w:rPr>
          <w:rFonts w:ascii="Times New Roman" w:hAnsi="Times New Roman" w:cs="Times New Roman"/>
        </w:rPr>
        <w:t xml:space="preserve">“The Many Futures of Contracts”, </w:t>
      </w:r>
      <w:r w:rsidRPr="00CB128D">
        <w:rPr>
          <w:rFonts w:ascii="Times New Roman" w:hAnsi="Times New Roman" w:cs="Times New Roman"/>
          <w:i/>
        </w:rPr>
        <w:t xml:space="preserve">So Cal L Rev, </w:t>
      </w:r>
      <w:r w:rsidRPr="00CB128D">
        <w:rPr>
          <w:rFonts w:ascii="Times New Roman" w:hAnsi="Times New Roman" w:cs="Times New Roman"/>
          <w:lang w:val="en-GB"/>
        </w:rPr>
        <w:t>XLVII</w:t>
      </w:r>
      <w:r w:rsidRPr="00CB128D">
        <w:rPr>
          <w:rFonts w:ascii="Times New Roman" w:hAnsi="Times New Roman" w:cs="Times New Roman"/>
        </w:rPr>
        <w:t xml:space="preserve"> (1974), p. 691, and Ian R Macneil, </w:t>
      </w:r>
      <w:r w:rsidRPr="00181643">
        <w:rPr>
          <w:rFonts w:ascii="Times New Roman" w:hAnsi="Times New Roman" w:cs="Times New Roman"/>
          <w:i/>
        </w:rPr>
        <w:t>The New Social Contract: An Inquiry into Modern Contractual Relations</w:t>
      </w:r>
      <w:r w:rsidRPr="00181643">
        <w:rPr>
          <w:rFonts w:ascii="Times New Roman" w:hAnsi="Times New Roman" w:cs="Times New Roman"/>
          <w:smallCaps/>
        </w:rPr>
        <w:t xml:space="preserve"> </w:t>
      </w:r>
      <w:r w:rsidRPr="00181643">
        <w:rPr>
          <w:rFonts w:ascii="Times New Roman" w:hAnsi="Times New Roman" w:cs="Times New Roman"/>
        </w:rPr>
        <w:t xml:space="preserve">(1980).  For secondary literature on Macneil’s work, see: David Campbell (ed.), </w:t>
      </w:r>
      <w:r w:rsidRPr="00181643">
        <w:rPr>
          <w:rFonts w:ascii="Times New Roman" w:hAnsi="Times New Roman" w:cs="Times New Roman"/>
          <w:i/>
        </w:rPr>
        <w:t>The Relational Theory of Contract: Selected Works of Ian Macneil</w:t>
      </w:r>
      <w:r w:rsidRPr="00181643">
        <w:rPr>
          <w:rFonts w:ascii="Times New Roman" w:hAnsi="Times New Roman" w:cs="Times New Roman"/>
        </w:rPr>
        <w:t xml:space="preserve"> (2001); David Campbell, Linda Mulcahy and Sally Wheeler (eds.),</w:t>
      </w:r>
      <w:r w:rsidRPr="00181643">
        <w:rPr>
          <w:rFonts w:ascii="Times New Roman" w:hAnsi="Times New Roman" w:cs="Times New Roman"/>
          <w:smallCaps/>
        </w:rPr>
        <w:t xml:space="preserve"> </w:t>
      </w:r>
      <w:r w:rsidRPr="00181643">
        <w:rPr>
          <w:rFonts w:ascii="Times New Roman" w:hAnsi="Times New Roman" w:cs="Times New Roman"/>
          <w:i/>
        </w:rPr>
        <w:t>Changing Concepts of Contract: Essays in Honour of Ian Macneil</w:t>
      </w:r>
      <w:r w:rsidRPr="00181643">
        <w:rPr>
          <w:rFonts w:ascii="Times New Roman" w:hAnsi="Times New Roman" w:cs="Times New Roman"/>
        </w:rPr>
        <w:t xml:space="preserve"> (2016).  </w:t>
      </w:r>
    </w:p>
  </w:footnote>
  <w:footnote w:id="13">
    <w:p w14:paraId="3B345D62" w14:textId="29C0B250" w:rsidR="00181643" w:rsidRPr="00181643" w:rsidRDefault="00181643" w:rsidP="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In addition to his classic 1963 paper, Macaulay, </w:t>
      </w:r>
      <w:r w:rsidRPr="00CB128D">
        <w:rPr>
          <w:rFonts w:ascii="Times New Roman" w:hAnsi="Times New Roman" w:cs="Times New Roman"/>
          <w:i/>
        </w:rPr>
        <w:t>Non-contractual Relations in Business</w:t>
      </w:r>
      <w:r w:rsidRPr="00CB128D">
        <w:rPr>
          <w:rFonts w:ascii="Times New Roman" w:hAnsi="Times New Roman" w:cs="Times New Roman"/>
        </w:rPr>
        <w:t xml:space="preserve">, </w:t>
      </w:r>
      <w:r w:rsidRPr="00CB128D">
        <w:rPr>
          <w:rFonts w:ascii="Times New Roman" w:hAnsi="Times New Roman" w:cs="Times New Roman"/>
          <w:i/>
        </w:rPr>
        <w:t>supra</w:t>
      </w:r>
      <w:r w:rsidRPr="00CB128D">
        <w:rPr>
          <w:rFonts w:ascii="Times New Roman" w:hAnsi="Times New Roman" w:cs="Times New Roman"/>
        </w:rPr>
        <w:t xml:space="preserve"> note </w:t>
      </w:r>
      <w:r w:rsidR="004A4D78">
        <w:rPr>
          <w:rFonts w:ascii="Times New Roman" w:hAnsi="Times New Roman" w:cs="Times New Roman"/>
        </w:rPr>
        <w:t>9</w:t>
      </w:r>
      <w:r w:rsidRPr="00CB128D">
        <w:rPr>
          <w:rFonts w:ascii="Times New Roman" w:hAnsi="Times New Roman" w:cs="Times New Roman"/>
        </w:rPr>
        <w:t xml:space="preserve">, see the essays collected in: Jean Braucher, John Kidwell and William C Whitford (eds.), </w:t>
      </w:r>
      <w:r w:rsidRPr="00181643">
        <w:rPr>
          <w:rFonts w:ascii="Times New Roman" w:hAnsi="Times New Roman" w:cs="Times New Roman"/>
          <w:i/>
        </w:rPr>
        <w:t>Revisiting the Contracts Scholarship of Stewart Macaulay</w:t>
      </w:r>
      <w:r w:rsidRPr="00181643">
        <w:rPr>
          <w:rFonts w:ascii="Times New Roman" w:hAnsi="Times New Roman" w:cs="Times New Roman"/>
        </w:rPr>
        <w:t xml:space="preserve"> (2013).</w:t>
      </w:r>
    </w:p>
  </w:footnote>
  <w:footnote w:id="14">
    <w:p w14:paraId="76F7EFCD" w14:textId="5CD3C817" w:rsidR="00181643" w:rsidRPr="00CB128D" w:rsidRDefault="00181643" w:rsidP="00CB128D">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ZA"/>
        </w:rPr>
        <w:t xml:space="preserve">This argument is cogently made in Hugh Collins, </w:t>
      </w:r>
      <w:r w:rsidRPr="00CB128D">
        <w:rPr>
          <w:rFonts w:ascii="Times New Roman" w:hAnsi="Times New Roman" w:cs="Times New Roman"/>
          <w:i/>
          <w:lang w:val="en-ZA"/>
        </w:rPr>
        <w:t>Regulating Contracts</w:t>
      </w:r>
      <w:r w:rsidRPr="00CB128D">
        <w:rPr>
          <w:rFonts w:ascii="Times New Roman" w:hAnsi="Times New Roman" w:cs="Times New Roman"/>
          <w:lang w:val="en-ZA"/>
        </w:rPr>
        <w:t xml:space="preserve"> (1999).</w:t>
      </w:r>
    </w:p>
  </w:footnote>
  <w:footnote w:id="15">
    <w:p w14:paraId="76F186AE" w14:textId="7CB4AF54" w:rsidR="00181643" w:rsidRPr="004A4D78" w:rsidRDefault="00181643" w:rsidP="00CB128D">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These ideas are central to Macneil’s work on relational contracts.  See by way of example Macneil, </w:t>
      </w:r>
      <w:r w:rsidRPr="00CB128D">
        <w:rPr>
          <w:rFonts w:ascii="Times New Roman" w:hAnsi="Times New Roman" w:cs="Times New Roman"/>
          <w:i/>
        </w:rPr>
        <w:t>The Many Futures of Contracts</w:t>
      </w:r>
      <w:r w:rsidRPr="004A4D78">
        <w:rPr>
          <w:rFonts w:ascii="Times New Roman" w:hAnsi="Times New Roman" w:cs="Times New Roman"/>
        </w:rPr>
        <w:t xml:space="preserve">, </w:t>
      </w:r>
      <w:r w:rsidRPr="004A4D78">
        <w:rPr>
          <w:rFonts w:ascii="Times New Roman" w:hAnsi="Times New Roman" w:cs="Times New Roman"/>
          <w:i/>
        </w:rPr>
        <w:t>supra</w:t>
      </w:r>
      <w:r w:rsidRPr="004A4D78">
        <w:rPr>
          <w:rFonts w:ascii="Times New Roman" w:hAnsi="Times New Roman" w:cs="Times New Roman"/>
        </w:rPr>
        <w:t xml:space="preserve"> note </w:t>
      </w:r>
      <w:r w:rsidR="004A4D78">
        <w:rPr>
          <w:rFonts w:ascii="Times New Roman" w:hAnsi="Times New Roman" w:cs="Times New Roman"/>
        </w:rPr>
        <w:t>10</w:t>
      </w:r>
      <w:r w:rsidRPr="004A4D78">
        <w:rPr>
          <w:rFonts w:ascii="Times New Roman" w:hAnsi="Times New Roman" w:cs="Times New Roman"/>
        </w:rPr>
        <w:t>; Macneil,</w:t>
      </w:r>
      <w:r w:rsidRPr="004A4D78">
        <w:rPr>
          <w:rFonts w:ascii="Times New Roman" w:hAnsi="Times New Roman" w:cs="Times New Roman"/>
          <w:i/>
        </w:rPr>
        <w:t xml:space="preserve"> The New Social Contract</w:t>
      </w:r>
      <w:r w:rsidRPr="004A4D78">
        <w:rPr>
          <w:rFonts w:ascii="Times New Roman" w:hAnsi="Times New Roman" w:cs="Times New Roman"/>
          <w:smallCaps/>
        </w:rPr>
        <w:t xml:space="preserve">, </w:t>
      </w:r>
      <w:r w:rsidRPr="004A4D78">
        <w:rPr>
          <w:rFonts w:ascii="Times New Roman" w:hAnsi="Times New Roman" w:cs="Times New Roman"/>
          <w:i/>
        </w:rPr>
        <w:t xml:space="preserve">supra </w:t>
      </w:r>
      <w:r w:rsidRPr="004A4D78">
        <w:rPr>
          <w:rFonts w:ascii="Times New Roman" w:hAnsi="Times New Roman" w:cs="Times New Roman"/>
        </w:rPr>
        <w:t xml:space="preserve">note </w:t>
      </w:r>
      <w:r w:rsidR="004A4D78">
        <w:rPr>
          <w:rFonts w:ascii="Times New Roman" w:hAnsi="Times New Roman" w:cs="Times New Roman"/>
        </w:rPr>
        <w:t>10</w:t>
      </w:r>
      <w:r w:rsidRPr="004A4D78">
        <w:rPr>
          <w:rFonts w:ascii="Times New Roman" w:hAnsi="Times New Roman" w:cs="Times New Roman"/>
        </w:rPr>
        <w:t xml:space="preserve">.  </w:t>
      </w:r>
    </w:p>
  </w:footnote>
  <w:footnote w:id="16">
    <w:p w14:paraId="78BFE6B2" w14:textId="3AB72107" w:rsidR="00181643" w:rsidRPr="00181643" w:rsidRDefault="00181643" w:rsidP="00CB128D">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Compare </w:t>
      </w:r>
      <w:r w:rsidRPr="00CB128D">
        <w:rPr>
          <w:rFonts w:ascii="Times New Roman" w:hAnsi="Times New Roman" w:cs="Times New Roman"/>
          <w:lang w:val="en-GB"/>
        </w:rPr>
        <w:t>Macneil, “</w:t>
      </w:r>
      <w:r w:rsidRPr="00CB128D">
        <w:rPr>
          <w:rFonts w:ascii="Times New Roman" w:hAnsi="Times New Roman" w:cs="Times New Roman"/>
          <w:lang w:val="en-US"/>
        </w:rPr>
        <w:t>Contracts: Adjustment of Long</w:t>
      </w:r>
      <w:r w:rsidRPr="00CB128D">
        <w:rPr>
          <w:rFonts w:ascii="Times New Roman" w:hAnsi="Times New Roman" w:cs="Times New Roman"/>
          <w:lang w:val="en-US"/>
        </w:rPr>
        <w:noBreakHyphen/>
        <w:t>term Economic Relations under Classical, Neo</w:t>
      </w:r>
      <w:r w:rsidRPr="00CB128D">
        <w:rPr>
          <w:rFonts w:ascii="Times New Roman" w:hAnsi="Times New Roman" w:cs="Times New Roman"/>
          <w:lang w:val="en-US"/>
        </w:rPr>
        <w:noBreakHyphen/>
        <w:t>classical and Relational Contract Law”</w:t>
      </w:r>
      <w:r w:rsidRPr="004A4D78">
        <w:rPr>
          <w:rFonts w:ascii="Times New Roman" w:hAnsi="Times New Roman" w:cs="Times New Roman"/>
          <w:i/>
          <w:lang w:val="en-US"/>
        </w:rPr>
        <w:t>,</w:t>
      </w:r>
      <w:r w:rsidRPr="004A4D78">
        <w:rPr>
          <w:rFonts w:ascii="Times New Roman" w:hAnsi="Times New Roman" w:cs="Times New Roman"/>
          <w:lang w:val="en-US"/>
        </w:rPr>
        <w:t xml:space="preserve"> </w:t>
      </w:r>
      <w:r w:rsidRPr="004A4D78">
        <w:rPr>
          <w:rFonts w:ascii="Times New Roman" w:hAnsi="Times New Roman" w:cs="Times New Roman"/>
          <w:i/>
          <w:lang w:val="en-US"/>
        </w:rPr>
        <w:t xml:space="preserve">supra </w:t>
      </w:r>
      <w:r w:rsidRPr="004A4D78">
        <w:rPr>
          <w:rFonts w:ascii="Times New Roman" w:hAnsi="Times New Roman" w:cs="Times New Roman"/>
          <w:lang w:val="en-US"/>
        </w:rPr>
        <w:t xml:space="preserve">note </w:t>
      </w:r>
      <w:r w:rsidR="004A4D78">
        <w:rPr>
          <w:rFonts w:ascii="Times New Roman" w:hAnsi="Times New Roman" w:cs="Times New Roman"/>
          <w:lang w:val="en-US"/>
        </w:rPr>
        <w:t>2</w:t>
      </w:r>
      <w:r w:rsidRPr="004A4D78">
        <w:rPr>
          <w:rFonts w:ascii="Times New Roman" w:hAnsi="Times New Roman" w:cs="Times New Roman"/>
          <w:lang w:val="en-US"/>
        </w:rPr>
        <w:t>, at</w:t>
      </w:r>
      <w:r w:rsidRPr="004A4D78">
        <w:rPr>
          <w:rFonts w:ascii="Times New Roman" w:hAnsi="Times New Roman" w:cs="Times New Roman"/>
        </w:rPr>
        <w:t xml:space="preserve"> 886</w:t>
      </w:r>
      <w:r w:rsidRPr="004A4D78">
        <w:rPr>
          <w:rFonts w:ascii="Times New Roman" w:hAnsi="Times New Roman" w:cs="Times New Roman"/>
          <w:lang w:val="en-US"/>
        </w:rPr>
        <w:t>-</w:t>
      </w:r>
      <w:r w:rsidRPr="004A4D78">
        <w:rPr>
          <w:rFonts w:ascii="Times New Roman" w:hAnsi="Times New Roman" w:cs="Times New Roman"/>
        </w:rPr>
        <w:t>900.  See generally: David Campbell, “Ian Macneil and the Relational Theory of Contract”, in David</w:t>
      </w:r>
      <w:r w:rsidRPr="00181643">
        <w:rPr>
          <w:rFonts w:ascii="Times New Roman" w:hAnsi="Times New Roman" w:cs="Times New Roman"/>
        </w:rPr>
        <w:t xml:space="preserve"> Campbell (ed.), </w:t>
      </w:r>
      <w:r w:rsidRPr="00181643">
        <w:rPr>
          <w:rFonts w:ascii="Times New Roman" w:hAnsi="Times New Roman" w:cs="Times New Roman"/>
          <w:i/>
        </w:rPr>
        <w:t>The Relational Theory of Contract: Selected Works of Ian Macneil</w:t>
      </w:r>
      <w:r w:rsidRPr="00181643">
        <w:rPr>
          <w:rFonts w:ascii="Times New Roman" w:hAnsi="Times New Roman" w:cs="Times New Roman"/>
          <w:smallCaps/>
        </w:rPr>
        <w:t xml:space="preserve"> (</w:t>
      </w:r>
      <w:r w:rsidRPr="00181643">
        <w:rPr>
          <w:rFonts w:ascii="Times New Roman" w:hAnsi="Times New Roman" w:cs="Times New Roman"/>
        </w:rPr>
        <w:t>2001), pp. 3-58.</w:t>
      </w:r>
    </w:p>
  </w:footnote>
  <w:footnote w:id="17">
    <w:p w14:paraId="7FCBFB22" w14:textId="79E916B3" w:rsidR="00181643" w:rsidRPr="00181643"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Compare Macneil, </w:t>
      </w:r>
      <w:r w:rsidRPr="00CB128D">
        <w:rPr>
          <w:rFonts w:ascii="Times New Roman" w:hAnsi="Times New Roman" w:cs="Times New Roman"/>
        </w:rPr>
        <w:t>“</w:t>
      </w:r>
      <w:r w:rsidRPr="00CB128D">
        <w:rPr>
          <w:rFonts w:ascii="Times New Roman" w:hAnsi="Times New Roman" w:cs="Times New Roman"/>
          <w:lang w:val="en-US"/>
        </w:rPr>
        <w:t>Contracts: Adjustment of Long</w:t>
      </w:r>
      <w:r w:rsidRPr="00CB128D">
        <w:rPr>
          <w:rFonts w:ascii="Times New Roman" w:hAnsi="Times New Roman" w:cs="Times New Roman"/>
          <w:lang w:val="en-US"/>
        </w:rPr>
        <w:noBreakHyphen/>
        <w:t>term Economic Relations under Classical, Neo</w:t>
      </w:r>
      <w:r w:rsidRPr="00CB128D">
        <w:rPr>
          <w:rFonts w:ascii="Times New Roman" w:hAnsi="Times New Roman" w:cs="Times New Roman"/>
          <w:lang w:val="en-US"/>
        </w:rPr>
        <w:noBreakHyphen/>
        <w:t>classical and Relational Contract Law”,</w:t>
      </w:r>
      <w:r w:rsidRPr="00181643">
        <w:rPr>
          <w:rFonts w:ascii="Times New Roman" w:hAnsi="Times New Roman" w:cs="Times New Roman"/>
          <w:i/>
          <w:lang w:val="en-US"/>
        </w:rPr>
        <w:t xml:space="preserve"> supra </w:t>
      </w:r>
      <w:r w:rsidRPr="00181643">
        <w:rPr>
          <w:rFonts w:ascii="Times New Roman" w:hAnsi="Times New Roman" w:cs="Times New Roman"/>
          <w:lang w:val="en-US"/>
        </w:rPr>
        <w:t xml:space="preserve">note 1, at </w:t>
      </w:r>
      <w:r w:rsidRPr="00181643">
        <w:rPr>
          <w:rFonts w:ascii="Times New Roman" w:hAnsi="Times New Roman" w:cs="Times New Roman"/>
        </w:rPr>
        <w:t>886</w:t>
      </w:r>
      <w:r w:rsidRPr="00181643">
        <w:rPr>
          <w:rFonts w:ascii="Times New Roman" w:hAnsi="Times New Roman" w:cs="Times New Roman"/>
          <w:lang w:val="en-US"/>
        </w:rPr>
        <w:t>-</w:t>
      </w:r>
      <w:r w:rsidRPr="00181643">
        <w:rPr>
          <w:rFonts w:ascii="Times New Roman" w:hAnsi="Times New Roman" w:cs="Times New Roman"/>
        </w:rPr>
        <w:t xml:space="preserve">900.  For a discussion of contractual relations in networks and chains, see the essays collected in Marc Amstutz and Guenther Teubner (eds.), </w:t>
      </w:r>
      <w:r w:rsidRPr="00181643">
        <w:rPr>
          <w:rFonts w:ascii="Times New Roman" w:hAnsi="Times New Roman" w:cs="Times New Roman"/>
          <w:i/>
        </w:rPr>
        <w:t xml:space="preserve">Networks: Legal Issues of Multilateral Co-operation </w:t>
      </w:r>
      <w:r w:rsidRPr="00181643">
        <w:rPr>
          <w:rFonts w:ascii="Times New Roman" w:hAnsi="Times New Roman" w:cs="Times New Roman"/>
        </w:rPr>
        <w:t xml:space="preserve">(2009).  For a business perspective, see WW Powell, “Neither Market nor Hierarchy: Network Forms of Organization”, </w:t>
      </w:r>
      <w:r w:rsidRPr="00181643">
        <w:rPr>
          <w:rFonts w:ascii="Times New Roman" w:hAnsi="Times New Roman" w:cs="Times New Roman"/>
          <w:i/>
        </w:rPr>
        <w:t>Research In Organizational Behavior</w:t>
      </w:r>
      <w:r w:rsidRPr="00181643">
        <w:rPr>
          <w:rFonts w:ascii="Times New Roman" w:hAnsi="Times New Roman" w:cs="Times New Roman"/>
        </w:rPr>
        <w:t xml:space="preserve"> XII (1990), p. 295.</w:t>
      </w:r>
    </w:p>
  </w:footnote>
  <w:footnote w:id="18">
    <w:p w14:paraId="4B9AE056" w14:textId="1E7AD898" w:rsidR="00181643" w:rsidRPr="00CB128D"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smallCaps/>
        </w:rPr>
        <w:t xml:space="preserve"> </w:t>
      </w:r>
      <w:r w:rsidRPr="00CB128D">
        <w:rPr>
          <w:rFonts w:ascii="Times New Roman" w:hAnsi="Times New Roman" w:cs="Times New Roman"/>
        </w:rPr>
        <w:t xml:space="preserve">This is the approach advocated in Collins, </w:t>
      </w:r>
      <w:r w:rsidRPr="00CB128D">
        <w:rPr>
          <w:rFonts w:ascii="Times New Roman" w:hAnsi="Times New Roman" w:cs="Times New Roman"/>
          <w:i/>
        </w:rPr>
        <w:t>Regulating Contracts</w:t>
      </w:r>
      <w:r w:rsidRPr="00CB128D">
        <w:rPr>
          <w:rFonts w:ascii="Times New Roman" w:hAnsi="Times New Roman" w:cs="Times New Roman"/>
          <w:smallCaps/>
        </w:rPr>
        <w:t xml:space="preserve">, </w:t>
      </w:r>
      <w:r w:rsidRPr="00CB128D">
        <w:rPr>
          <w:rFonts w:ascii="Times New Roman" w:hAnsi="Times New Roman" w:cs="Times New Roman"/>
          <w:i/>
        </w:rPr>
        <w:t>supra</w:t>
      </w:r>
      <w:r w:rsidRPr="00CB128D">
        <w:rPr>
          <w:rFonts w:ascii="Times New Roman" w:hAnsi="Times New Roman" w:cs="Times New Roman"/>
        </w:rPr>
        <w:t xml:space="preserve"> note 1</w:t>
      </w:r>
      <w:r w:rsidR="004A4D78">
        <w:rPr>
          <w:rFonts w:ascii="Times New Roman" w:hAnsi="Times New Roman" w:cs="Times New Roman"/>
        </w:rPr>
        <w:t>2</w:t>
      </w:r>
      <w:r w:rsidRPr="00CB128D">
        <w:rPr>
          <w:rFonts w:ascii="Times New Roman" w:hAnsi="Times New Roman" w:cs="Times New Roman"/>
        </w:rPr>
        <w:t>.</w:t>
      </w:r>
    </w:p>
  </w:footnote>
  <w:footnote w:id="19">
    <w:p w14:paraId="7A8AF262" w14:textId="2155BFE8"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This is not surprising as High Court is yet to endorse the implied term of good faith and socio-legal scholars a</w:t>
      </w:r>
      <w:r w:rsidRPr="00CB128D">
        <w:rPr>
          <w:rFonts w:ascii="Times New Roman" w:hAnsi="Times New Roman" w:cs="Times New Roman"/>
        </w:rPr>
        <w:t>re debating about the basis for its implication at law. In</w:t>
      </w:r>
      <w:r w:rsidRPr="00181643">
        <w:rPr>
          <w:rFonts w:ascii="Times New Roman" w:hAnsi="Times New Roman" w:cs="Times New Roman"/>
          <w:i/>
        </w:rPr>
        <w:t xml:space="preserve"> Strzelecki Holdings Pty Ltd v Cable Sands Pty Ltd</w:t>
      </w:r>
      <w:r w:rsidRPr="00181643">
        <w:rPr>
          <w:rFonts w:ascii="Times New Roman" w:hAnsi="Times New Roman" w:cs="Times New Roman"/>
        </w:rPr>
        <w:t xml:space="preserve"> [2010] WASCA 222, at 61, for instance, Pullin JA and Newnes JA of the Supreme Court of Western Australia concluded that to act </w:t>
      </w:r>
      <w:r w:rsidRPr="00181643">
        <w:rPr>
          <w:rFonts w:ascii="Times New Roman" w:hAnsi="Times New Roman" w:cs="Times New Roman"/>
          <w:i/>
        </w:rPr>
        <w:t>bona fides</w:t>
      </w:r>
      <w:r w:rsidRPr="00181643">
        <w:rPr>
          <w:rFonts w:ascii="Times New Roman" w:hAnsi="Times New Roman" w:cs="Times New Roman"/>
        </w:rPr>
        <w:t xml:space="preserve"> is to act “honestly”—the same conceptualisation which is at the centre of the various Sale of Goods Acts, mentioned below. On the contrary, Murphy JA, at 94</w:t>
      </w:r>
      <w:r w:rsidRPr="00181643">
        <w:rPr>
          <w:rFonts w:ascii="Times New Roman" w:hAnsi="Times New Roman" w:cs="Times New Roman"/>
          <w:lang w:val="en-US"/>
        </w:rPr>
        <w:t>–</w:t>
      </w:r>
      <w:r w:rsidRPr="00181643">
        <w:rPr>
          <w:rFonts w:ascii="Times New Roman" w:hAnsi="Times New Roman" w:cs="Times New Roman"/>
        </w:rPr>
        <w:t xml:space="preserve">7, construed the notion of good faith so that to include in it reasonable and honest conduct as well as loyalty to the bargain. While Pullin JA and Newnes JA’s approach has the practical effect of voiding the good faith requirement of meaning, whose essence, as set out by Rudolph von Jhering, Gabriele Fagella and Emilio Betti, requires the parties to take each other’s interest into account, Murphy JA’s is in line with the definition given by Sir Anthony Mason in 2003, former Chief Justice of Australia, in </w:t>
      </w:r>
      <w:r w:rsidRPr="00181643">
        <w:rPr>
          <w:rFonts w:ascii="Times New Roman" w:hAnsi="Times New Roman" w:cs="Times New Roman"/>
          <w:i/>
        </w:rPr>
        <w:t>Contract and its Relationship with Equitable Standards and the Doctrine of Good Faith</w:t>
      </w:r>
      <w:r w:rsidRPr="00181643">
        <w:rPr>
          <w:rFonts w:ascii="Times New Roman" w:hAnsi="Times New Roman" w:cs="Times New Roman"/>
        </w:rPr>
        <w:t>, The Cambridge Lecturers Canadian Institute of Advanced Legal Studies, Cambridge University  (an  amended  version  under  the  title  “Contract,  Good  Faith  and  Equitable  Standards  in  Fair  Dealing”</w:t>
      </w:r>
      <w:r w:rsidRPr="00181643">
        <w:rPr>
          <w:rFonts w:ascii="Times New Roman" w:hAnsi="Times New Roman" w:cs="Times New Roman"/>
          <w:i/>
        </w:rPr>
        <w:t xml:space="preserve">  </w:t>
      </w:r>
      <w:r w:rsidRPr="00181643">
        <w:rPr>
          <w:rFonts w:ascii="Times New Roman" w:hAnsi="Times New Roman" w:cs="Times New Roman"/>
        </w:rPr>
        <w:t xml:space="preserve">appears </w:t>
      </w:r>
      <w:r w:rsidRPr="00181643">
        <w:rPr>
          <w:rFonts w:ascii="Times New Roman" w:hAnsi="Times New Roman" w:cs="Times New Roman"/>
          <w:i/>
        </w:rPr>
        <w:t>Law  Quarterly Review</w:t>
      </w:r>
      <w:r w:rsidRPr="00181643">
        <w:rPr>
          <w:rFonts w:ascii="Times New Roman" w:hAnsi="Times New Roman" w:cs="Times New Roman"/>
        </w:rPr>
        <w:t>, CXVI (2000), p. 66.</w:t>
      </w:r>
    </w:p>
    <w:p w14:paraId="52F06922" w14:textId="6833A2C9" w:rsidR="00181643" w:rsidRPr="00181643" w:rsidRDefault="00181643">
      <w:pPr>
        <w:pStyle w:val="FootnoteText"/>
        <w:jc w:val="both"/>
        <w:rPr>
          <w:rFonts w:ascii="Times New Roman" w:hAnsi="Times New Roman" w:cs="Times New Roman"/>
        </w:rPr>
      </w:pPr>
      <w:r w:rsidRPr="00181643">
        <w:rPr>
          <w:rFonts w:ascii="Times New Roman" w:hAnsi="Times New Roman" w:cs="Times New Roman"/>
        </w:rPr>
        <w:t xml:space="preserve">Cf. also </w:t>
      </w:r>
      <w:r w:rsidRPr="00181643">
        <w:rPr>
          <w:rFonts w:ascii="Times New Roman" w:hAnsi="Times New Roman" w:cs="Times New Roman"/>
          <w:i/>
          <w:iCs/>
        </w:rPr>
        <w:t xml:space="preserve">North East Solutions Pty Ltd v Masters Home Improvement Australia Pty Ltd </w:t>
      </w:r>
      <w:r w:rsidRPr="00181643">
        <w:rPr>
          <w:rFonts w:ascii="Times New Roman" w:hAnsi="Times New Roman" w:cs="Times New Roman"/>
          <w:iCs/>
        </w:rPr>
        <w:t>[2016] VSC 1;</w:t>
      </w:r>
      <w:r w:rsidRPr="00181643">
        <w:rPr>
          <w:rFonts w:ascii="Times New Roman" w:hAnsi="Times New Roman" w:cs="Times New Roman"/>
          <w:i/>
          <w:iCs/>
        </w:rPr>
        <w:t xml:space="preserve"> </w:t>
      </w:r>
      <w:r w:rsidRPr="00181643">
        <w:rPr>
          <w:rFonts w:ascii="Times New Roman" w:hAnsi="Times New Roman" w:cs="Times New Roman"/>
          <w:i/>
        </w:rPr>
        <w:t>FLSmidth Pty Ltd v Duro Felguera Australia Pty Ltd</w:t>
      </w:r>
      <w:r w:rsidRPr="00181643">
        <w:rPr>
          <w:rFonts w:ascii="Times New Roman" w:hAnsi="Times New Roman" w:cs="Times New Roman"/>
        </w:rPr>
        <w:t xml:space="preserve"> [2016] WASC 191; </w:t>
      </w:r>
      <w:r w:rsidRPr="00181643">
        <w:rPr>
          <w:rFonts w:ascii="Times New Roman" w:hAnsi="Times New Roman" w:cs="Times New Roman"/>
          <w:i/>
        </w:rPr>
        <w:t>Paciocco v Australia and New Zealand Banking Group Limited</w:t>
      </w:r>
      <w:r w:rsidRPr="00181643">
        <w:rPr>
          <w:rFonts w:ascii="Times New Roman" w:hAnsi="Times New Roman" w:cs="Times New Roman"/>
        </w:rPr>
        <w:t xml:space="preserve"> [2015] FCAFC 50, at 292. In contract law literature, see Elizabeth Peden, “The Meaning of Contractual Good Faith”, </w:t>
      </w:r>
      <w:r w:rsidRPr="00181643">
        <w:rPr>
          <w:rFonts w:ascii="Times New Roman" w:hAnsi="Times New Roman" w:cs="Times New Roman"/>
          <w:i/>
        </w:rPr>
        <w:t>Australian Bar Review</w:t>
      </w:r>
      <w:r w:rsidRPr="00181643">
        <w:rPr>
          <w:rFonts w:ascii="Times New Roman" w:hAnsi="Times New Roman" w:cs="Times New Roman"/>
        </w:rPr>
        <w:t xml:space="preserve">, XXII 235 (2002), p. 235; </w:t>
      </w:r>
      <w:r w:rsidRPr="00181643">
        <w:rPr>
          <w:rFonts w:ascii="Times New Roman" w:hAnsi="Times New Roman" w:cs="Times New Roman"/>
          <w:i/>
        </w:rPr>
        <w:t>id</w:t>
      </w:r>
      <w:r w:rsidRPr="00181643">
        <w:rPr>
          <w:rFonts w:ascii="Times New Roman" w:hAnsi="Times New Roman" w:cs="Times New Roman"/>
        </w:rPr>
        <w:t xml:space="preserve">. “The Mistake of Looking for Legislative Inﬂuence in Contractual Good Faith”, </w:t>
      </w:r>
      <w:r w:rsidRPr="00181643">
        <w:rPr>
          <w:rFonts w:ascii="Times New Roman" w:hAnsi="Times New Roman" w:cs="Times New Roman"/>
          <w:i/>
        </w:rPr>
        <w:t>Commercial Law Quarterly</w:t>
      </w:r>
      <w:r w:rsidRPr="00181643">
        <w:rPr>
          <w:rFonts w:ascii="Times New Roman" w:hAnsi="Times New Roman" w:cs="Times New Roman"/>
        </w:rPr>
        <w:t xml:space="preserve">, XVI (2002), p. 20; </w:t>
      </w:r>
      <w:r w:rsidRPr="00181643">
        <w:rPr>
          <w:rFonts w:ascii="Times New Roman" w:hAnsi="Times New Roman" w:cs="Times New Roman"/>
          <w:i/>
        </w:rPr>
        <w:t>id</w:t>
      </w:r>
      <w:r w:rsidRPr="00181643">
        <w:rPr>
          <w:rFonts w:ascii="Times New Roman" w:hAnsi="Times New Roman" w:cs="Times New Roman"/>
        </w:rPr>
        <w:t xml:space="preserve">. “Contractual Good Faith: Can Australia beneﬁt from the American Experience”, </w:t>
      </w:r>
      <w:r w:rsidRPr="00181643">
        <w:rPr>
          <w:rFonts w:ascii="Times New Roman" w:hAnsi="Times New Roman" w:cs="Times New Roman"/>
          <w:i/>
        </w:rPr>
        <w:t>Bond Law Review</w:t>
      </w:r>
      <w:r w:rsidRPr="00181643">
        <w:rPr>
          <w:rFonts w:ascii="Times New Roman" w:hAnsi="Times New Roman" w:cs="Times New Roman"/>
        </w:rPr>
        <w:t xml:space="preserve">, XV (2003), p. 186; </w:t>
      </w:r>
      <w:r w:rsidRPr="00181643">
        <w:rPr>
          <w:rFonts w:ascii="Times New Roman" w:hAnsi="Times New Roman" w:cs="Times New Roman"/>
          <w:i/>
        </w:rPr>
        <w:t>id</w:t>
      </w:r>
      <w:r w:rsidRPr="00181643">
        <w:rPr>
          <w:rFonts w:ascii="Times New Roman" w:hAnsi="Times New Roman" w:cs="Times New Roman"/>
        </w:rPr>
        <w:t xml:space="preserve">. </w:t>
      </w:r>
      <w:r w:rsidRPr="00181643">
        <w:rPr>
          <w:rFonts w:ascii="Times New Roman" w:hAnsi="Times New Roman" w:cs="Times New Roman"/>
          <w:i/>
        </w:rPr>
        <w:t>Good Faith in the Performance of Contract</w:t>
      </w:r>
      <w:r w:rsidRPr="00181643">
        <w:rPr>
          <w:rFonts w:ascii="Times New Roman" w:hAnsi="Times New Roman" w:cs="Times New Roman"/>
        </w:rPr>
        <w:t xml:space="preserve"> (2003); </w:t>
      </w:r>
      <w:r w:rsidRPr="00181643">
        <w:rPr>
          <w:rFonts w:ascii="Times New Roman" w:hAnsi="Times New Roman" w:cs="Times New Roman"/>
          <w:i/>
        </w:rPr>
        <w:t>id</w:t>
      </w:r>
      <w:r w:rsidRPr="00181643">
        <w:rPr>
          <w:rFonts w:ascii="Times New Roman" w:hAnsi="Times New Roman" w:cs="Times New Roman"/>
        </w:rPr>
        <w:t xml:space="preserve">. “When Common law Trumps Equity: The Rise of Good Faith and Reasonableness and the Demise of Unconscionability”, </w:t>
      </w:r>
      <w:r w:rsidRPr="00181643">
        <w:rPr>
          <w:rFonts w:ascii="Times New Roman" w:hAnsi="Times New Roman" w:cs="Times New Roman"/>
          <w:i/>
        </w:rPr>
        <w:t>Journal of Contract Law</w:t>
      </w:r>
      <w:r w:rsidRPr="00181643">
        <w:rPr>
          <w:rFonts w:ascii="Times New Roman" w:hAnsi="Times New Roman" w:cs="Times New Roman"/>
        </w:rPr>
        <w:t xml:space="preserve">, XXI (2005), p. 226; </w:t>
      </w:r>
      <w:r w:rsidRPr="00181643">
        <w:rPr>
          <w:rFonts w:ascii="Times New Roman" w:hAnsi="Times New Roman" w:cs="Times New Roman"/>
          <w:i/>
        </w:rPr>
        <w:t>id</w:t>
      </w:r>
      <w:r w:rsidRPr="00181643">
        <w:rPr>
          <w:rFonts w:ascii="Times New Roman" w:hAnsi="Times New Roman" w:cs="Times New Roman"/>
        </w:rPr>
        <w:t xml:space="preserve">. “Implicit Good Faith – Or do We Still Need an Implied Term of Good Faith?”, </w:t>
      </w:r>
      <w:r w:rsidRPr="00181643">
        <w:rPr>
          <w:rFonts w:ascii="Times New Roman" w:hAnsi="Times New Roman" w:cs="Times New Roman"/>
          <w:i/>
        </w:rPr>
        <w:t>Journal of Contract Law</w:t>
      </w:r>
      <w:r w:rsidRPr="00181643">
        <w:rPr>
          <w:rFonts w:ascii="Times New Roman" w:hAnsi="Times New Roman" w:cs="Times New Roman"/>
        </w:rPr>
        <w:t xml:space="preserve"> XXV (2009). p. 50; John W Carter and Elisabeth Peden, “A Good Faith Perspective on Liquidated Damages”, </w:t>
      </w:r>
      <w:r w:rsidRPr="00181643">
        <w:rPr>
          <w:rFonts w:ascii="Times New Roman" w:hAnsi="Times New Roman" w:cs="Times New Roman"/>
          <w:i/>
        </w:rPr>
        <w:t>Journal of Contract Law</w:t>
      </w:r>
      <w:r w:rsidRPr="00181643">
        <w:rPr>
          <w:rFonts w:ascii="Times New Roman" w:hAnsi="Times New Roman" w:cs="Times New Roman"/>
        </w:rPr>
        <w:t>, XXIII</w:t>
      </w:r>
      <w:r w:rsidRPr="00181643">
        <w:rPr>
          <w:rFonts w:ascii="Times New Roman" w:hAnsi="Times New Roman" w:cs="Times New Roman"/>
          <w:i/>
        </w:rPr>
        <w:t xml:space="preserve"> </w:t>
      </w:r>
      <w:r w:rsidRPr="00181643">
        <w:rPr>
          <w:rFonts w:ascii="Times New Roman" w:hAnsi="Times New Roman" w:cs="Times New Roman"/>
        </w:rPr>
        <w:t xml:space="preserve">157 (2007), p. 157; </w:t>
      </w:r>
      <w:r w:rsidRPr="00181643">
        <w:rPr>
          <w:rFonts w:ascii="Times New Roman" w:hAnsi="Times New Roman" w:cs="Times New Roman"/>
          <w:i/>
        </w:rPr>
        <w:t>id</w:t>
      </w:r>
      <w:r w:rsidRPr="00181643">
        <w:rPr>
          <w:rFonts w:ascii="Times New Roman" w:hAnsi="Times New Roman" w:cs="Times New Roman"/>
        </w:rPr>
        <w:t>. John W Carter and Elisabeth Peden</w:t>
      </w:r>
      <w:r w:rsidRPr="00181643">
        <w:rPr>
          <w:rFonts w:ascii="Times New Roman" w:hAnsi="Times New Roman" w:cs="Times New Roman"/>
          <w:i/>
        </w:rPr>
        <w:t xml:space="preserve">, </w:t>
      </w:r>
      <w:r w:rsidRPr="00181643">
        <w:rPr>
          <w:rFonts w:ascii="Times New Roman" w:hAnsi="Times New Roman" w:cs="Times New Roman"/>
        </w:rPr>
        <w:t xml:space="preserve">“Good Faith in Australian Contract Law”, </w:t>
      </w:r>
      <w:r w:rsidRPr="00181643">
        <w:rPr>
          <w:rFonts w:ascii="Times New Roman" w:hAnsi="Times New Roman" w:cs="Times New Roman"/>
          <w:i/>
        </w:rPr>
        <w:t>Journal of Contract Law</w:t>
      </w:r>
      <w:r w:rsidRPr="00181643">
        <w:rPr>
          <w:rFonts w:ascii="Times New Roman" w:hAnsi="Times New Roman" w:cs="Times New Roman"/>
        </w:rPr>
        <w:t xml:space="preserve">, XIX (2003), p. 155; Howard Munro, “The ‘Good Faith’ Controversy in Australian Commercial Law: A Survey of the Spectrum of Academic Legal Opinion”, </w:t>
      </w:r>
      <w:r w:rsidRPr="00181643">
        <w:rPr>
          <w:rFonts w:ascii="Times New Roman" w:hAnsi="Times New Roman" w:cs="Times New Roman"/>
          <w:i/>
        </w:rPr>
        <w:t>University of Queensland Law Journal</w:t>
      </w:r>
      <w:r w:rsidRPr="00181643">
        <w:rPr>
          <w:rFonts w:ascii="Times New Roman" w:hAnsi="Times New Roman" w:cs="Times New Roman"/>
        </w:rPr>
        <w:t>, XXVIII (2009), p. 167.</w:t>
      </w:r>
    </w:p>
  </w:footnote>
  <w:footnote w:id="20">
    <w:p w14:paraId="6BFE1265" w14:textId="77777777" w:rsidR="00181643" w:rsidRPr="00181643" w:rsidRDefault="00181643">
      <w:pPr>
        <w:pStyle w:val="FootnoteText"/>
        <w:jc w:val="both"/>
        <w:rPr>
          <w:rFonts w:ascii="Times New Roman" w:hAnsi="Times New Roman" w:cs="Times New Roman"/>
          <w:bC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Recent, although not linear, trends in various Common legal systems challenge this historical feature. Cf. </w:t>
      </w:r>
      <w:r w:rsidRPr="00CB128D">
        <w:rPr>
          <w:rFonts w:ascii="Times New Roman" w:hAnsi="Times New Roman" w:cs="Times New Roman"/>
          <w:bCs/>
          <w:i/>
        </w:rPr>
        <w:t>Lymington Marina Ltd v MacNamara</w:t>
      </w:r>
      <w:r w:rsidRPr="00CB128D">
        <w:rPr>
          <w:rFonts w:ascii="Times New Roman" w:hAnsi="Times New Roman" w:cs="Times New Roman"/>
          <w:bCs/>
        </w:rPr>
        <w:t xml:space="preserve"> [2007] Bus LR Digest D29; </w:t>
      </w:r>
      <w:r w:rsidRPr="00CB128D">
        <w:rPr>
          <w:rFonts w:ascii="Times New Roman" w:hAnsi="Times New Roman" w:cs="Times New Roman"/>
          <w:bCs/>
          <w:i/>
        </w:rPr>
        <w:t xml:space="preserve">Socimer International Bank Ltd v Standard Bank London Ltd </w:t>
      </w:r>
      <w:r w:rsidRPr="00181643">
        <w:rPr>
          <w:rFonts w:ascii="Times New Roman" w:hAnsi="Times New Roman" w:cs="Times New Roman"/>
          <w:bCs/>
        </w:rPr>
        <w:t xml:space="preserve">[2008] 1 Lloyd’s Rep 558; </w:t>
      </w:r>
      <w:r w:rsidRPr="00181643">
        <w:rPr>
          <w:rFonts w:ascii="Times New Roman" w:hAnsi="Times New Roman" w:cs="Times New Roman"/>
          <w:bCs/>
          <w:i/>
          <w:lang w:val="en-ZA"/>
        </w:rPr>
        <w:t xml:space="preserve">Yam Seng Pte Ltd v International Trade Corporation Ltd, </w:t>
      </w:r>
      <w:r w:rsidRPr="00181643">
        <w:rPr>
          <w:rFonts w:ascii="Times New Roman" w:hAnsi="Times New Roman" w:cs="Times New Roman"/>
          <w:bCs/>
          <w:lang w:val="en-ZA"/>
        </w:rPr>
        <w:t>[2013] EWHC 111 QB</w:t>
      </w:r>
      <w:r w:rsidRPr="00181643">
        <w:rPr>
          <w:rFonts w:ascii="Times New Roman" w:hAnsi="Times New Roman" w:cs="Times New Roman"/>
          <w:bCs/>
        </w:rPr>
        <w:t xml:space="preserve">; </w:t>
      </w:r>
      <w:r w:rsidRPr="00181643">
        <w:rPr>
          <w:rFonts w:ascii="Times New Roman" w:hAnsi="Times New Roman" w:cs="Times New Roman"/>
          <w:bCs/>
          <w:i/>
        </w:rPr>
        <w:t>Bobux Marketing Ltd v Raynor Marketing Ltd</w:t>
      </w:r>
      <w:r w:rsidRPr="00181643">
        <w:rPr>
          <w:rFonts w:ascii="Times New Roman" w:hAnsi="Times New Roman" w:cs="Times New Roman"/>
          <w:bCs/>
        </w:rPr>
        <w:t xml:space="preserve"> [2002] 1 NZLR 506;  </w:t>
      </w:r>
      <w:r w:rsidRPr="00181643">
        <w:rPr>
          <w:rFonts w:ascii="Times New Roman" w:hAnsi="Times New Roman" w:cs="Times New Roman"/>
          <w:bCs/>
          <w:i/>
        </w:rPr>
        <w:t>Smith v Bank of Scotland,</w:t>
      </w:r>
      <w:r w:rsidRPr="00181643">
        <w:rPr>
          <w:rFonts w:ascii="Times New Roman" w:hAnsi="Times New Roman" w:cs="Times New Roman"/>
          <w:bCs/>
        </w:rPr>
        <w:t xml:space="preserve"> [1997] SC (HL) 111.</w:t>
      </w:r>
    </w:p>
    <w:p w14:paraId="11F54FC4" w14:textId="6B79A65F" w:rsidR="00181643" w:rsidRPr="00181643" w:rsidRDefault="00181643">
      <w:pPr>
        <w:pStyle w:val="FootnoteText"/>
        <w:jc w:val="both"/>
        <w:rPr>
          <w:rFonts w:ascii="Times New Roman" w:hAnsi="Times New Roman" w:cs="Times New Roman"/>
        </w:rPr>
      </w:pPr>
      <w:r w:rsidRPr="00181643">
        <w:rPr>
          <w:rFonts w:ascii="Times New Roman" w:hAnsi="Times New Roman" w:cs="Times New Roman"/>
        </w:rPr>
        <w:t>It seems that the courts shared Martijn W. Hesselink’s conviction that ‘common law lawyers should not fear the concept of good faith’. See Martijn W Hesselink, “The Concept of Good Faith”, in Hartkamp AS et al. (eds.)</w:t>
      </w:r>
      <w:r w:rsidRPr="00181643">
        <w:rPr>
          <w:rFonts w:ascii="Times New Roman" w:hAnsi="Times New Roman" w:cs="Times New Roman"/>
          <w:smallCaps/>
        </w:rPr>
        <w:t xml:space="preserve">, </w:t>
      </w:r>
      <w:r w:rsidRPr="00181643">
        <w:rPr>
          <w:rFonts w:ascii="Times New Roman" w:hAnsi="Times New Roman" w:cs="Times New Roman"/>
          <w:i/>
        </w:rPr>
        <w:t>Towards a European Civil Code</w:t>
      </w:r>
      <w:r w:rsidRPr="00181643">
        <w:rPr>
          <w:rFonts w:ascii="Times New Roman" w:hAnsi="Times New Roman" w:cs="Times New Roman"/>
        </w:rPr>
        <w:t xml:space="preserve"> (2011), pp. 619-49. See further: Simon Whittaker and Reinhard Zimmermann, “Good Faith in European Contract Law: Surveying the Landscape”, in Reinhard Zimmermann and Simon Whittaker (eds.), </w:t>
      </w:r>
      <w:r w:rsidRPr="00181643">
        <w:rPr>
          <w:rFonts w:ascii="Times New Roman" w:hAnsi="Times New Roman" w:cs="Times New Roman"/>
          <w:i/>
        </w:rPr>
        <w:t>Good Faith in European Contract Law</w:t>
      </w:r>
      <w:r w:rsidRPr="00181643">
        <w:rPr>
          <w:rFonts w:ascii="Times New Roman" w:hAnsi="Times New Roman" w:cs="Times New Roman"/>
          <w:smallCaps/>
        </w:rPr>
        <w:t xml:space="preserve"> (</w:t>
      </w:r>
      <w:r w:rsidRPr="00181643">
        <w:rPr>
          <w:rFonts w:ascii="Times New Roman" w:hAnsi="Times New Roman" w:cs="Times New Roman"/>
        </w:rPr>
        <w:t xml:space="preserve">2000), pp. 7-62, especially at 15. </w:t>
      </w:r>
      <w:r w:rsidRPr="00181643">
        <w:rPr>
          <w:rFonts w:ascii="Times New Roman" w:hAnsi="Times New Roman" w:cs="Times New Roman"/>
          <w:i/>
        </w:rPr>
        <w:t>Contra</w:t>
      </w:r>
      <w:r w:rsidRPr="00181643">
        <w:rPr>
          <w:rFonts w:ascii="Times New Roman" w:hAnsi="Times New Roman" w:cs="Times New Roman"/>
        </w:rPr>
        <w:t xml:space="preserve">, arguing that good faith ‘is not a concept foreign to the common law’, see Allsop JC’s remarks in </w:t>
      </w:r>
      <w:r w:rsidRPr="00181643">
        <w:rPr>
          <w:rFonts w:ascii="Times New Roman" w:hAnsi="Times New Roman" w:cs="Times New Roman"/>
          <w:i/>
        </w:rPr>
        <w:t>United Group Rail Services Ltd v Rail Corporation New South Wales</w:t>
      </w:r>
      <w:r w:rsidRPr="00181643">
        <w:rPr>
          <w:rFonts w:ascii="Times New Roman" w:hAnsi="Times New Roman" w:cs="Times New Roman"/>
        </w:rPr>
        <w:t xml:space="preserve"> [2009] NSWCA 177, at 634 [58], and in </w:t>
      </w:r>
      <w:r w:rsidRPr="00181643">
        <w:rPr>
          <w:rFonts w:ascii="Times New Roman" w:hAnsi="Times New Roman" w:cs="Times New Roman"/>
          <w:i/>
        </w:rPr>
        <w:t>Paciocco v Australia and New Zealand Banking Group Limited</w:t>
      </w:r>
      <w:r w:rsidRPr="00181643">
        <w:rPr>
          <w:rFonts w:ascii="Times New Roman" w:hAnsi="Times New Roman" w:cs="Times New Roman"/>
        </w:rPr>
        <w:t xml:space="preserve">, [2015] FCAFC 50, at 287. </w:t>
      </w:r>
    </w:p>
  </w:footnote>
  <w:footnote w:id="21">
    <w:p w14:paraId="78AE7F1E" w14:textId="74D95951"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Luca Siliquin</w:t>
      </w:r>
      <w:r w:rsidRPr="00CB128D">
        <w:rPr>
          <w:rFonts w:ascii="Times New Roman" w:hAnsi="Times New Roman" w:cs="Times New Roman"/>
        </w:rPr>
        <w:t xml:space="preserve">i-Cinelli and Andrew Hutchison, “Constitutionalism, Good Faith and the Doctrine of Specific Performance: Rights, Duties and Equitable Discretion”, </w:t>
      </w:r>
      <w:r w:rsidRPr="00181643">
        <w:rPr>
          <w:rFonts w:ascii="Times New Roman" w:hAnsi="Times New Roman" w:cs="Times New Roman"/>
          <w:i/>
        </w:rPr>
        <w:t>South African Law Journal</w:t>
      </w:r>
      <w:r w:rsidRPr="00181643">
        <w:rPr>
          <w:rFonts w:ascii="Times New Roman" w:hAnsi="Times New Roman" w:cs="Times New Roman"/>
        </w:rPr>
        <w:t>, CXXXIII (2016), p.73.</w:t>
      </w:r>
    </w:p>
  </w:footnote>
  <w:footnote w:id="22">
    <w:p w14:paraId="2EF2BB11" w14:textId="38B4D1E2" w:rsidR="00181643" w:rsidRPr="00181643" w:rsidRDefault="00181643">
      <w:pPr>
        <w:pStyle w:val="FootnoteText"/>
        <w:jc w:val="both"/>
        <w:rPr>
          <w:rFonts w:ascii="Times New Roman" w:hAnsi="Times New Roman" w:cs="Times New Roman"/>
          <w:color w:val="000000" w:themeColor="text1"/>
        </w:rPr>
      </w:pPr>
      <w:r w:rsidRPr="00181643">
        <w:rPr>
          <w:rStyle w:val="FootnoteReference"/>
          <w:rFonts w:ascii="Times New Roman" w:hAnsi="Times New Roman" w:cs="Times New Roman"/>
          <w:color w:val="000000" w:themeColor="text1"/>
        </w:rPr>
        <w:footnoteRef/>
      </w:r>
      <w:r w:rsidRPr="00181643">
        <w:rPr>
          <w:rFonts w:ascii="Times New Roman" w:hAnsi="Times New Roman" w:cs="Times New Roman"/>
          <w:color w:val="000000" w:themeColor="text1"/>
        </w:rPr>
        <w:t xml:space="preserve"> A comprehensive case list may be found in </w:t>
      </w:r>
      <w:r w:rsidRPr="00CB128D">
        <w:rPr>
          <w:rFonts w:ascii="Times New Roman" w:hAnsi="Times New Roman" w:cs="Times New Roman"/>
          <w:color w:val="000000" w:themeColor="text1"/>
        </w:rPr>
        <w:t>Mark Irving,</w:t>
      </w:r>
      <w:r w:rsidRPr="00CB128D">
        <w:rPr>
          <w:rFonts w:ascii="Times New Roman" w:hAnsi="Times New Roman" w:cs="Times New Roman"/>
          <w:i/>
          <w:color w:val="000000" w:themeColor="text1"/>
        </w:rPr>
        <w:t xml:space="preserve"> The Contract of Employment</w:t>
      </w:r>
      <w:r w:rsidRPr="00CB128D">
        <w:rPr>
          <w:rFonts w:ascii="Times New Roman" w:hAnsi="Times New Roman" w:cs="Times New Roman"/>
          <w:color w:val="000000" w:themeColor="text1"/>
        </w:rPr>
        <w:t xml:space="preserve"> (2012), pp. 503</w:t>
      </w:r>
      <w:r w:rsidRPr="004A4D78">
        <w:rPr>
          <w:rFonts w:ascii="Times New Roman" w:hAnsi="Times New Roman" w:cs="Times New Roman"/>
          <w:color w:val="000000" w:themeColor="text1"/>
          <w:lang w:val="en-US"/>
        </w:rPr>
        <w:t>-</w:t>
      </w:r>
      <w:r w:rsidRPr="004A4D78">
        <w:rPr>
          <w:rFonts w:ascii="Times New Roman" w:hAnsi="Times New Roman" w:cs="Times New Roman"/>
          <w:color w:val="000000" w:themeColor="text1"/>
        </w:rPr>
        <w:t xml:space="preserve">12. See also Andrew Stewart, “Good Faith: A Necessary Element in Australian Employment Law?”, </w:t>
      </w:r>
      <w:r w:rsidRPr="00181643">
        <w:rPr>
          <w:rFonts w:ascii="Times New Roman" w:hAnsi="Times New Roman" w:cs="Times New Roman"/>
          <w:i/>
          <w:color w:val="000000" w:themeColor="text1"/>
        </w:rPr>
        <w:t>Comparative Labor Law and Policy Journal</w:t>
      </w:r>
      <w:r w:rsidRPr="00181643">
        <w:rPr>
          <w:rFonts w:ascii="Times New Roman" w:hAnsi="Times New Roman" w:cs="Times New Roman"/>
          <w:color w:val="000000" w:themeColor="text1"/>
        </w:rPr>
        <w:t xml:space="preserve">, XXXII (2011), p. 521; Joellen Riley, “Siblings but Not Twins: Making Sense of ‘Mutual Trust’ and ‘Good Faith’ in Employment Contracts”, </w:t>
      </w:r>
      <w:r w:rsidRPr="00181643">
        <w:rPr>
          <w:rFonts w:ascii="Times New Roman" w:hAnsi="Times New Roman" w:cs="Times New Roman"/>
          <w:i/>
          <w:color w:val="000000" w:themeColor="text1"/>
        </w:rPr>
        <w:t>Melbourne University Law Review</w:t>
      </w:r>
      <w:r w:rsidRPr="00181643">
        <w:rPr>
          <w:rFonts w:ascii="Times New Roman" w:hAnsi="Times New Roman" w:cs="Times New Roman"/>
          <w:color w:val="000000" w:themeColor="text1"/>
        </w:rPr>
        <w:t xml:space="preserve">, XXXVI (2012), p. 521; </w:t>
      </w:r>
      <w:r w:rsidRPr="00181643">
        <w:rPr>
          <w:rFonts w:ascii="Times New Roman" w:hAnsi="Times New Roman" w:cs="Times New Roman"/>
          <w:i/>
          <w:color w:val="000000" w:themeColor="text1"/>
        </w:rPr>
        <w:t>id</w:t>
      </w:r>
      <w:r w:rsidRPr="00181643">
        <w:rPr>
          <w:rFonts w:ascii="Times New Roman" w:hAnsi="Times New Roman" w:cs="Times New Roman"/>
          <w:color w:val="000000" w:themeColor="text1"/>
        </w:rPr>
        <w:t xml:space="preserve">. “Before the High Court ‘Mutual Trust and Confidence’ on Trial: At Last”, </w:t>
      </w:r>
      <w:r w:rsidRPr="00181643">
        <w:rPr>
          <w:rFonts w:ascii="Times New Roman" w:hAnsi="Times New Roman" w:cs="Times New Roman"/>
          <w:i/>
          <w:color w:val="000000" w:themeColor="text1"/>
        </w:rPr>
        <w:t>Sydney Law Review</w:t>
      </w:r>
      <w:r w:rsidRPr="00181643">
        <w:rPr>
          <w:rFonts w:ascii="Times New Roman" w:hAnsi="Times New Roman" w:cs="Times New Roman"/>
          <w:color w:val="000000" w:themeColor="text1"/>
        </w:rPr>
        <w:t>, XXXVI (2014), p. 152.</w:t>
      </w:r>
    </w:p>
    <w:p w14:paraId="0B01C0E3" w14:textId="7330ABAB" w:rsidR="00181643" w:rsidRPr="00181643" w:rsidRDefault="00181643">
      <w:pPr>
        <w:pStyle w:val="FootnoteText"/>
        <w:jc w:val="both"/>
        <w:rPr>
          <w:rFonts w:ascii="Times New Roman" w:hAnsi="Times New Roman" w:cs="Times New Roman"/>
          <w:color w:val="000000" w:themeColor="text1"/>
        </w:rPr>
      </w:pPr>
      <w:r w:rsidRPr="00181643">
        <w:rPr>
          <w:rFonts w:ascii="Times New Roman" w:hAnsi="Times New Roman" w:cs="Times New Roman"/>
          <w:color w:val="000000" w:themeColor="text1"/>
        </w:rPr>
        <w:t xml:space="preserve">In </w:t>
      </w:r>
      <w:r w:rsidRPr="00181643">
        <w:rPr>
          <w:rFonts w:ascii="Times New Roman" w:hAnsi="Times New Roman" w:cs="Times New Roman"/>
          <w:bCs/>
          <w:i/>
          <w:iCs/>
          <w:color w:val="000000" w:themeColor="text1"/>
        </w:rPr>
        <w:t>Commonwealth Bank of Australia v Barker</w:t>
      </w:r>
      <w:r w:rsidRPr="00181643">
        <w:rPr>
          <w:rFonts w:ascii="Times New Roman" w:hAnsi="Times New Roman" w:cs="Times New Roman"/>
          <w:bCs/>
          <w:color w:val="000000" w:themeColor="text1"/>
        </w:rPr>
        <w:t xml:space="preserve"> [2014] HCA 32, </w:t>
      </w:r>
      <w:r w:rsidRPr="00181643">
        <w:rPr>
          <w:rFonts w:ascii="Times New Roman" w:hAnsi="Times New Roman" w:cs="Times New Roman"/>
          <w:color w:val="000000" w:themeColor="text1"/>
        </w:rPr>
        <w:t xml:space="preserve">the High Court has ultimately held that there is not an implied term of mutual trust and confidence in Australian employment contracts. However, French CJ, Bell and Keane left </w:t>
      </w:r>
      <w:r w:rsidRPr="00181643">
        <w:rPr>
          <w:rFonts w:ascii="Times New Roman" w:hAnsi="Times New Roman" w:cs="Times New Roman"/>
          <w:iCs/>
          <w:color w:val="000000" w:themeColor="text1"/>
        </w:rPr>
        <w:t>open</w:t>
      </w:r>
      <w:r w:rsidRPr="00181643">
        <w:rPr>
          <w:rFonts w:ascii="Times New Roman" w:hAnsi="Times New Roman" w:cs="Times New Roman"/>
          <w:color w:val="000000" w:themeColor="text1"/>
        </w:rPr>
        <w:t xml:space="preserve"> the question of ‘whether there is a general obligation to act in good faith in the performance of contracts’ and of ‘whether contractual powers and discretions may be limited by good faith and rationality requirements’, at 42. Kiefel J agreed, at 107.</w:t>
      </w:r>
    </w:p>
  </w:footnote>
  <w:footnote w:id="23">
    <w:p w14:paraId="5D517E28" w14:textId="77777777" w:rsidR="00181643" w:rsidRPr="00181643" w:rsidRDefault="00181643">
      <w:pPr>
        <w:pStyle w:val="FootnoteText"/>
        <w:jc w:val="both"/>
        <w:rPr>
          <w:rFonts w:ascii="Times New Roman" w:hAnsi="Times New Roman" w:cs="Times New Roman"/>
          <w:color w:val="000000" w:themeColor="text1"/>
        </w:rPr>
      </w:pPr>
      <w:r w:rsidRPr="00181643">
        <w:rPr>
          <w:rStyle w:val="FootnoteReference"/>
          <w:rFonts w:ascii="Times New Roman" w:hAnsi="Times New Roman" w:cs="Times New Roman"/>
          <w:color w:val="000000" w:themeColor="text1"/>
        </w:rPr>
        <w:footnoteRef/>
      </w:r>
      <w:r w:rsidRPr="00181643">
        <w:rPr>
          <w:rFonts w:ascii="Times New Roman" w:hAnsi="Times New Roman" w:cs="Times New Roman"/>
          <w:color w:val="000000" w:themeColor="text1"/>
        </w:rPr>
        <w:t xml:space="preserve"> </w:t>
      </w:r>
      <w:r w:rsidRPr="00CB128D">
        <w:rPr>
          <w:rFonts w:ascii="Times New Roman" w:hAnsi="Times New Roman" w:cs="Times New Roman"/>
          <w:i/>
          <w:color w:val="000000" w:themeColor="text1"/>
        </w:rPr>
        <w:t xml:space="preserve">Horkulak v Cantor Fitzgerald International </w:t>
      </w:r>
      <w:r w:rsidRPr="00CB128D">
        <w:rPr>
          <w:rFonts w:ascii="Times New Roman" w:hAnsi="Times New Roman" w:cs="Times New Roman"/>
          <w:color w:val="000000" w:themeColor="text1"/>
        </w:rPr>
        <w:t xml:space="preserve">[2005] ICR 402; </w:t>
      </w:r>
      <w:r w:rsidRPr="00CB128D">
        <w:rPr>
          <w:rFonts w:ascii="Times New Roman" w:hAnsi="Times New Roman" w:cs="Times New Roman"/>
          <w:i/>
          <w:color w:val="000000" w:themeColor="text1"/>
        </w:rPr>
        <w:t>Whittaker v Unisys Australia Pty Ltd</w:t>
      </w:r>
      <w:r w:rsidRPr="004A4D78">
        <w:rPr>
          <w:rFonts w:ascii="Times New Roman" w:hAnsi="Times New Roman" w:cs="Times New Roman"/>
          <w:color w:val="000000" w:themeColor="text1"/>
        </w:rPr>
        <w:t xml:space="preserve"> (2010) 26 VR 668; [20-10] VSC 9; </w:t>
      </w:r>
      <w:r w:rsidRPr="00181643">
        <w:rPr>
          <w:rFonts w:ascii="Times New Roman" w:hAnsi="Times New Roman" w:cs="Times New Roman"/>
          <w:i/>
          <w:color w:val="000000" w:themeColor="text1"/>
        </w:rPr>
        <w:t>Hussain v Surrey and Sussex Healthcare NHS Trust</w:t>
      </w:r>
      <w:r w:rsidRPr="00181643">
        <w:rPr>
          <w:rFonts w:ascii="Times New Roman" w:hAnsi="Times New Roman" w:cs="Times New Roman"/>
          <w:color w:val="000000" w:themeColor="text1"/>
        </w:rPr>
        <w:t xml:space="preserve"> [2011] EWQHC 1670 (QB).</w:t>
      </w:r>
    </w:p>
  </w:footnote>
  <w:footnote w:id="24">
    <w:p w14:paraId="1A61BF7E" w14:textId="77777777" w:rsidR="00181643" w:rsidRPr="00CB128D" w:rsidRDefault="00181643">
      <w:pPr>
        <w:pStyle w:val="FootnoteText"/>
        <w:jc w:val="both"/>
        <w:rPr>
          <w:rFonts w:ascii="Times New Roman" w:hAnsi="Times New Roman" w:cs="Times New Roman"/>
          <w:color w:val="000000" w:themeColor="text1"/>
        </w:rPr>
      </w:pPr>
      <w:r w:rsidRPr="00181643">
        <w:rPr>
          <w:rStyle w:val="FootnoteReference"/>
          <w:rFonts w:ascii="Times New Roman" w:hAnsi="Times New Roman" w:cs="Times New Roman"/>
          <w:color w:val="000000" w:themeColor="text1"/>
        </w:rPr>
        <w:footnoteRef/>
      </w:r>
      <w:r w:rsidRPr="00181643">
        <w:rPr>
          <w:rFonts w:ascii="Times New Roman" w:hAnsi="Times New Roman" w:cs="Times New Roman"/>
          <w:color w:val="000000" w:themeColor="text1"/>
        </w:rPr>
        <w:t xml:space="preserve"> See s 20 (unconscionable conduct) and ss 21-22 (statutory unconscionability) of the </w:t>
      </w:r>
      <w:r w:rsidRPr="00CB128D">
        <w:rPr>
          <w:rFonts w:ascii="Times New Roman" w:hAnsi="Times New Roman" w:cs="Times New Roman"/>
          <w:i/>
          <w:color w:val="000000" w:themeColor="text1"/>
        </w:rPr>
        <w:t>Competition and Consumer Act 2010</w:t>
      </w:r>
      <w:r w:rsidRPr="00CB128D">
        <w:rPr>
          <w:rFonts w:ascii="Times New Roman" w:hAnsi="Times New Roman" w:cs="Times New Roman"/>
          <w:color w:val="000000" w:themeColor="text1"/>
        </w:rPr>
        <w:t>, Sch 2, commonly known as ‘Australian Consumer Law’ (ACL). In particular, s 22(2)-(3) ACL classifies bad faith conduct in terms of unconscionable conduct.</w:t>
      </w:r>
    </w:p>
    <w:p w14:paraId="32FBFB06" w14:textId="77777777" w:rsidR="00181643" w:rsidRPr="00181643" w:rsidRDefault="00181643">
      <w:pPr>
        <w:pStyle w:val="FootnoteText"/>
        <w:jc w:val="both"/>
        <w:rPr>
          <w:rFonts w:ascii="Times New Roman" w:hAnsi="Times New Roman" w:cs="Times New Roman"/>
          <w:color w:val="000000" w:themeColor="text1"/>
        </w:rPr>
      </w:pPr>
      <w:r w:rsidRPr="00181643">
        <w:rPr>
          <w:rFonts w:ascii="Times New Roman" w:hAnsi="Times New Roman" w:cs="Times New Roman"/>
          <w:color w:val="000000" w:themeColor="text1"/>
        </w:rPr>
        <w:t xml:space="preserve">Importantly, the duty to act in good faith within the meaning of the various Sale of Good Acts requires the parties to perform their contractual obligation(s) honestly, whether this is done negligently or not. See s 5(2) </w:t>
      </w:r>
      <w:r w:rsidRPr="00181643">
        <w:rPr>
          <w:rFonts w:ascii="Times New Roman" w:hAnsi="Times New Roman" w:cs="Times New Roman"/>
          <w:i/>
          <w:color w:val="000000" w:themeColor="text1"/>
        </w:rPr>
        <w:t>Sale of Goods Act 1923</w:t>
      </w:r>
      <w:r w:rsidRPr="00181643">
        <w:rPr>
          <w:rFonts w:ascii="Times New Roman" w:hAnsi="Times New Roman" w:cs="Times New Roman"/>
          <w:color w:val="000000" w:themeColor="text1"/>
        </w:rPr>
        <w:t xml:space="preserve"> (NSW); s 3(2) </w:t>
      </w:r>
      <w:r w:rsidRPr="00181643">
        <w:rPr>
          <w:rFonts w:ascii="Times New Roman" w:hAnsi="Times New Roman" w:cs="Times New Roman"/>
          <w:i/>
          <w:color w:val="000000" w:themeColor="text1"/>
        </w:rPr>
        <w:t>Goods Act 1958</w:t>
      </w:r>
      <w:r w:rsidRPr="00181643">
        <w:rPr>
          <w:rFonts w:ascii="Times New Roman" w:hAnsi="Times New Roman" w:cs="Times New Roman"/>
          <w:color w:val="000000" w:themeColor="text1"/>
        </w:rPr>
        <w:t xml:space="preserve"> (Vic); s A2(2) </w:t>
      </w:r>
      <w:r w:rsidRPr="00181643">
        <w:rPr>
          <w:rFonts w:ascii="Times New Roman" w:hAnsi="Times New Roman" w:cs="Times New Roman"/>
          <w:i/>
          <w:color w:val="000000" w:themeColor="text1"/>
        </w:rPr>
        <w:t>Sale of Goods Act 1895-1972</w:t>
      </w:r>
      <w:r w:rsidRPr="00181643">
        <w:rPr>
          <w:rFonts w:ascii="Times New Roman" w:hAnsi="Times New Roman" w:cs="Times New Roman"/>
          <w:color w:val="000000" w:themeColor="text1"/>
        </w:rPr>
        <w:t xml:space="preserve"> (SA); s 60(2) S</w:t>
      </w:r>
      <w:r w:rsidRPr="00181643">
        <w:rPr>
          <w:rFonts w:ascii="Times New Roman" w:hAnsi="Times New Roman" w:cs="Times New Roman"/>
          <w:i/>
          <w:color w:val="000000" w:themeColor="text1"/>
        </w:rPr>
        <w:t>ale of Goods Act 1895</w:t>
      </w:r>
      <w:r w:rsidRPr="00181643">
        <w:rPr>
          <w:rFonts w:ascii="Times New Roman" w:hAnsi="Times New Roman" w:cs="Times New Roman"/>
          <w:color w:val="000000" w:themeColor="text1"/>
        </w:rPr>
        <w:t xml:space="preserve"> (WA); s 3(2) </w:t>
      </w:r>
      <w:r w:rsidRPr="00181643">
        <w:rPr>
          <w:rFonts w:ascii="Times New Roman" w:hAnsi="Times New Roman" w:cs="Times New Roman"/>
          <w:i/>
          <w:color w:val="000000" w:themeColor="text1"/>
        </w:rPr>
        <w:t xml:space="preserve">Sale of Goods Acts 1986 </w:t>
      </w:r>
      <w:r w:rsidRPr="00181643">
        <w:rPr>
          <w:rFonts w:ascii="Times New Roman" w:hAnsi="Times New Roman" w:cs="Times New Roman"/>
          <w:color w:val="000000" w:themeColor="text1"/>
        </w:rPr>
        <w:t xml:space="preserve">(Qld); s 5(2)(a) </w:t>
      </w:r>
      <w:r w:rsidRPr="00181643">
        <w:rPr>
          <w:rFonts w:ascii="Times New Roman" w:hAnsi="Times New Roman" w:cs="Times New Roman"/>
          <w:i/>
          <w:color w:val="000000" w:themeColor="text1"/>
        </w:rPr>
        <w:t>Sale of Goods Act 1975</w:t>
      </w:r>
      <w:r w:rsidRPr="00181643">
        <w:rPr>
          <w:rFonts w:ascii="Times New Roman" w:hAnsi="Times New Roman" w:cs="Times New Roman"/>
          <w:color w:val="000000" w:themeColor="text1"/>
        </w:rPr>
        <w:t xml:space="preserve"> (ACT); s 5(2) </w:t>
      </w:r>
      <w:r w:rsidRPr="00181643">
        <w:rPr>
          <w:rFonts w:ascii="Times New Roman" w:hAnsi="Times New Roman" w:cs="Times New Roman"/>
          <w:i/>
          <w:color w:val="000000" w:themeColor="text1"/>
        </w:rPr>
        <w:t>Sale of Goods Act 1972</w:t>
      </w:r>
      <w:r w:rsidRPr="00181643">
        <w:rPr>
          <w:rFonts w:ascii="Times New Roman" w:hAnsi="Times New Roman" w:cs="Times New Roman"/>
          <w:color w:val="000000" w:themeColor="text1"/>
        </w:rPr>
        <w:t xml:space="preserve"> (NT). Cf. also </w:t>
      </w:r>
      <w:r w:rsidRPr="00181643">
        <w:rPr>
          <w:rFonts w:ascii="Times New Roman" w:hAnsi="Times New Roman" w:cs="Times New Roman"/>
          <w:i/>
          <w:color w:val="000000" w:themeColor="text1"/>
        </w:rPr>
        <w:t>Itaoui v Yamaha Motor Finance Australia Pty Ltd</w:t>
      </w:r>
      <w:r w:rsidRPr="00181643">
        <w:rPr>
          <w:rFonts w:ascii="Times New Roman" w:hAnsi="Times New Roman" w:cs="Times New Roman"/>
          <w:color w:val="000000" w:themeColor="text1"/>
        </w:rPr>
        <w:t xml:space="preserve"> [2009] NSWSC 1363, at 36; </w:t>
      </w:r>
      <w:r w:rsidRPr="00181643">
        <w:rPr>
          <w:rFonts w:ascii="Times New Roman" w:hAnsi="Times New Roman" w:cs="Times New Roman"/>
          <w:i/>
          <w:color w:val="000000" w:themeColor="text1"/>
        </w:rPr>
        <w:t>Associated Midland Corporation v Sanderson Motors Pty Ltd</w:t>
      </w:r>
      <w:r w:rsidRPr="00181643">
        <w:rPr>
          <w:rFonts w:ascii="Times New Roman" w:hAnsi="Times New Roman" w:cs="Times New Roman"/>
          <w:color w:val="000000" w:themeColor="text1"/>
        </w:rPr>
        <w:t xml:space="preserve"> [1983] 3 NSWLR 395, at 401.</w:t>
      </w:r>
    </w:p>
  </w:footnote>
  <w:footnote w:id="25">
    <w:p w14:paraId="07D9DC24" w14:textId="0A6988DC"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Nor the notion is provided by the Australian Law Reform Commission Discussion Paper and the Explanatory Memorandum. In literature, see Brenda McGivern, who speaks of ‘the </w:t>
      </w:r>
      <w:r w:rsidRPr="00CB128D">
        <w:rPr>
          <w:rFonts w:ascii="Times New Roman" w:hAnsi="Times New Roman" w:cs="Times New Roman"/>
          <w:i/>
        </w:rPr>
        <w:t>resistance</w:t>
      </w:r>
      <w:r w:rsidRPr="00CB128D">
        <w:rPr>
          <w:rFonts w:ascii="Times New Roman" w:hAnsi="Times New Roman" w:cs="Times New Roman"/>
        </w:rPr>
        <w:t xml:space="preserve"> of the courts to fully articulate the composi</w:t>
      </w:r>
      <w:r w:rsidRPr="00181643">
        <w:rPr>
          <w:rFonts w:ascii="Times New Roman" w:hAnsi="Times New Roman" w:cs="Times New Roman"/>
        </w:rPr>
        <w:t xml:space="preserve">tion of or approach to determining a duty of utmost good faith’, in “Coming to the Party: The Evolution of Post-contractual Duties of Utmost Good Faith under the ICA”, </w:t>
      </w:r>
      <w:r w:rsidRPr="00181643">
        <w:rPr>
          <w:rFonts w:ascii="Times New Roman" w:hAnsi="Times New Roman" w:cs="Times New Roman"/>
          <w:i/>
        </w:rPr>
        <w:t>Insurance Law Journal</w:t>
      </w:r>
      <w:r w:rsidRPr="00181643">
        <w:rPr>
          <w:rFonts w:ascii="Times New Roman" w:hAnsi="Times New Roman" w:cs="Times New Roman"/>
        </w:rPr>
        <w:t>, XXIV (2013), p. 159, at 169.</w:t>
      </w:r>
    </w:p>
  </w:footnote>
  <w:footnote w:id="26">
    <w:p w14:paraId="15CAB1E2" w14:textId="3727AAC4" w:rsidR="00181643" w:rsidRPr="00181643" w:rsidRDefault="00181643">
      <w:pPr>
        <w:pStyle w:val="FootnoteText"/>
        <w:jc w:val="both"/>
        <w:rPr>
          <w:rFonts w:ascii="Times New Roman" w:hAnsi="Times New Roman" w:cs="Times New Roman"/>
          <w:color w:val="000000" w:themeColor="text1"/>
        </w:rPr>
      </w:pPr>
      <w:r w:rsidRPr="00181643">
        <w:rPr>
          <w:rStyle w:val="FootnoteReference"/>
          <w:rFonts w:ascii="Times New Roman" w:hAnsi="Times New Roman" w:cs="Times New Roman"/>
          <w:color w:val="000000" w:themeColor="text1"/>
        </w:rPr>
        <w:footnoteRef/>
      </w:r>
      <w:r w:rsidRPr="00181643">
        <w:rPr>
          <w:rFonts w:ascii="Times New Roman" w:hAnsi="Times New Roman" w:cs="Times New Roman"/>
          <w:color w:val="000000" w:themeColor="text1"/>
        </w:rPr>
        <w:t xml:space="preserve"> S 13ICA. Cf. </w:t>
      </w:r>
      <w:r w:rsidRPr="00CB128D">
        <w:rPr>
          <w:rFonts w:ascii="Times New Roman" w:hAnsi="Times New Roman" w:cs="Times New Roman"/>
          <w:i/>
          <w:color w:val="000000" w:themeColor="text1"/>
        </w:rPr>
        <w:t>CGU Insurance Ltd v AMP Financial Planning Pty Ltd</w:t>
      </w:r>
      <w:r w:rsidRPr="00CB128D">
        <w:rPr>
          <w:rFonts w:ascii="Times New Roman" w:hAnsi="Times New Roman" w:cs="Times New Roman"/>
          <w:color w:val="000000" w:themeColor="text1"/>
        </w:rPr>
        <w:t xml:space="preserve"> (2007) 235 CLR 1, in which even though issues of good faith were not involved, it was held that such duty requires that </w:t>
      </w:r>
      <w:r w:rsidRPr="00181643">
        <w:rPr>
          <w:rFonts w:ascii="Times New Roman" w:hAnsi="Times New Roman" w:cs="Times New Roman"/>
          <w:color w:val="000000" w:themeColor="text1"/>
          <w:lang w:val="en-US"/>
        </w:rPr>
        <w:t xml:space="preserve">insurer’s rights and obligations must be assessed strictly in accordance with the contract. </w:t>
      </w:r>
      <w:r w:rsidRPr="00181643">
        <w:rPr>
          <w:rFonts w:ascii="Times New Roman" w:hAnsi="Times New Roman" w:cs="Times New Roman"/>
          <w:color w:val="000000" w:themeColor="text1"/>
        </w:rPr>
        <w:t xml:space="preserve">The classic statement of the principle was given by Lord Mansfield CJ in </w:t>
      </w:r>
      <w:r w:rsidRPr="00181643">
        <w:rPr>
          <w:rFonts w:ascii="Times New Roman" w:hAnsi="Times New Roman" w:cs="Times New Roman"/>
          <w:i/>
          <w:color w:val="000000" w:themeColor="text1"/>
        </w:rPr>
        <w:t>Carter v Boehm</w:t>
      </w:r>
      <w:r w:rsidRPr="00181643">
        <w:rPr>
          <w:rFonts w:ascii="Times New Roman" w:hAnsi="Times New Roman" w:cs="Times New Roman"/>
          <w:color w:val="000000" w:themeColor="text1"/>
        </w:rPr>
        <w:t xml:space="preserve"> (1766) 3 Burr 1905. Cf. also </w:t>
      </w:r>
      <w:r w:rsidRPr="00181643">
        <w:rPr>
          <w:rFonts w:ascii="Times New Roman" w:hAnsi="Times New Roman" w:cs="Times New Roman"/>
          <w:i/>
          <w:color w:val="000000" w:themeColor="text1"/>
        </w:rPr>
        <w:t>Moss v Sun Alliance Aust Ltd</w:t>
      </w:r>
      <w:r w:rsidRPr="00181643">
        <w:rPr>
          <w:rFonts w:ascii="Times New Roman" w:hAnsi="Times New Roman" w:cs="Times New Roman"/>
          <w:color w:val="000000" w:themeColor="text1"/>
        </w:rPr>
        <w:t xml:space="preserve"> (1990) 55 SASR 145. If reliance on a provision would be to fail to act with the utmost good faith, the party may not rely on the provision (s 14 ICA). The duty does not extend to the conduct in the course of litigation: </w:t>
      </w:r>
      <w:r w:rsidRPr="00181643">
        <w:rPr>
          <w:rFonts w:ascii="Times New Roman" w:hAnsi="Times New Roman" w:cs="Times New Roman"/>
          <w:i/>
          <w:color w:val="000000" w:themeColor="text1"/>
        </w:rPr>
        <w:t>Imagining Applications Pty Ltd v Vero Insurance Ltd</w:t>
      </w:r>
      <w:r w:rsidRPr="00181643">
        <w:rPr>
          <w:rFonts w:ascii="Times New Roman" w:hAnsi="Times New Roman" w:cs="Times New Roman"/>
          <w:color w:val="000000" w:themeColor="text1"/>
        </w:rPr>
        <w:t xml:space="preserve"> [2008] VSC 178. </w:t>
      </w:r>
    </w:p>
    <w:p w14:paraId="387356C0" w14:textId="62EFF4F8" w:rsidR="00181643" w:rsidRPr="00181643" w:rsidRDefault="00181643">
      <w:pPr>
        <w:pStyle w:val="FootnoteText"/>
        <w:jc w:val="both"/>
        <w:rPr>
          <w:rFonts w:ascii="Times New Roman" w:hAnsi="Times New Roman" w:cs="Times New Roman"/>
          <w:color w:val="000000" w:themeColor="text1"/>
        </w:rPr>
      </w:pPr>
      <w:r w:rsidRPr="00181643">
        <w:rPr>
          <w:rFonts w:ascii="Times New Roman" w:hAnsi="Times New Roman" w:cs="Times New Roman"/>
          <w:color w:val="000000" w:themeColor="text1"/>
        </w:rPr>
        <w:t xml:space="preserve">The Australian Securities and Investments Commission, in its capacity as the insurance regulator, can treat breach of good faith as a breach of a financial service of law (s 14A ICA), the definition of which is provided by s 761A </w:t>
      </w:r>
      <w:r w:rsidRPr="00181643">
        <w:rPr>
          <w:rFonts w:ascii="Times New Roman" w:hAnsi="Times New Roman" w:cs="Times New Roman"/>
          <w:i/>
          <w:color w:val="000000" w:themeColor="text1"/>
        </w:rPr>
        <w:t>Corporations Act 2001</w:t>
      </w:r>
      <w:r w:rsidRPr="00181643">
        <w:rPr>
          <w:rFonts w:ascii="Times New Roman" w:hAnsi="Times New Roman" w:cs="Times New Roman"/>
          <w:color w:val="000000" w:themeColor="text1"/>
        </w:rPr>
        <w:t xml:space="preserve"> (Cth). For a business-oriented account of the discipline, see Paul Latimer, </w:t>
      </w:r>
      <w:r w:rsidRPr="00181643">
        <w:rPr>
          <w:rFonts w:ascii="Times New Roman" w:hAnsi="Times New Roman" w:cs="Times New Roman"/>
          <w:i/>
          <w:color w:val="000000" w:themeColor="text1"/>
        </w:rPr>
        <w:t>Australian Business Law</w:t>
      </w:r>
      <w:r w:rsidRPr="00181643">
        <w:rPr>
          <w:rFonts w:ascii="Times New Roman" w:hAnsi="Times New Roman" w:cs="Times New Roman"/>
          <w:color w:val="000000" w:themeColor="text1"/>
        </w:rPr>
        <w:t>, 35</w:t>
      </w:r>
      <w:r w:rsidRPr="00181643">
        <w:rPr>
          <w:rFonts w:ascii="Times New Roman" w:hAnsi="Times New Roman" w:cs="Times New Roman"/>
          <w:color w:val="000000" w:themeColor="text1"/>
          <w:vertAlign w:val="superscript"/>
        </w:rPr>
        <w:t>th</w:t>
      </w:r>
      <w:r w:rsidRPr="00181643">
        <w:rPr>
          <w:rFonts w:ascii="Times New Roman" w:hAnsi="Times New Roman" w:cs="Times New Roman"/>
          <w:color w:val="000000" w:themeColor="text1"/>
        </w:rPr>
        <w:t xml:space="preserve"> edn (2016), pp. 172-83.</w:t>
      </w:r>
    </w:p>
  </w:footnote>
  <w:footnote w:id="27">
    <w:p w14:paraId="5FEF0908" w14:textId="09EA7BCD"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2002 (4) SA 1 (SCA) at para. 22. </w:t>
      </w:r>
    </w:p>
  </w:footnote>
  <w:footnote w:id="28">
    <w:p w14:paraId="703A6F57" w14:textId="0FB938C7" w:rsidR="00181643" w:rsidRPr="00181643"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the lengthy discussion of the historical sources by Joubert JA in </w:t>
      </w:r>
      <w:r w:rsidRPr="00CB128D">
        <w:rPr>
          <w:rFonts w:ascii="Times New Roman" w:hAnsi="Times New Roman" w:cs="Times New Roman"/>
          <w:i/>
          <w:color w:val="000000" w:themeColor="text1"/>
        </w:rPr>
        <w:t xml:space="preserve">Bank of Lisbon and South Africa Ltd v De Ornelas </w:t>
      </w:r>
      <w:r w:rsidRPr="00CB128D">
        <w:rPr>
          <w:rFonts w:ascii="Times New Roman" w:hAnsi="Times New Roman" w:cs="Times New Roman"/>
          <w:color w:val="000000" w:themeColor="text1"/>
        </w:rPr>
        <w:t xml:space="preserve">1988 (3) SA 580 (A); </w:t>
      </w:r>
      <w:r w:rsidRPr="00181643">
        <w:rPr>
          <w:rFonts w:ascii="Times New Roman" w:hAnsi="Times New Roman" w:cs="Times New Roman"/>
          <w:i/>
          <w:color w:val="000000" w:themeColor="text1"/>
        </w:rPr>
        <w:t>Brisley v Drotsky</w:t>
      </w:r>
      <w:r w:rsidRPr="00181643">
        <w:rPr>
          <w:rFonts w:ascii="Times New Roman" w:hAnsi="Times New Roman" w:cs="Times New Roman"/>
          <w:color w:val="000000" w:themeColor="text1"/>
        </w:rPr>
        <w:t xml:space="preserve"> </w:t>
      </w:r>
      <w:r w:rsidRPr="00181643">
        <w:rPr>
          <w:rFonts w:ascii="Times New Roman" w:hAnsi="Times New Roman" w:cs="Times New Roman"/>
        </w:rPr>
        <w:t>2002 (4) SA 1 (SCA) at para. 22.  See generally further:</w:t>
      </w:r>
      <w:r w:rsidRPr="00181643">
        <w:rPr>
          <w:rFonts w:ascii="Times New Roman" w:hAnsi="Times New Roman" w:cs="Times New Roman"/>
          <w:lang w:val="en-ZA"/>
        </w:rPr>
        <w:t xml:space="preserve"> </w:t>
      </w:r>
      <w:r w:rsidRPr="00181643">
        <w:rPr>
          <w:rFonts w:ascii="Times New Roman" w:hAnsi="Times New Roman" w:cs="Times New Roman"/>
        </w:rPr>
        <w:t xml:space="preserve">Reinhard Zimmermann, “Good Faith and Equity”, in Reinhard Zimmermann and Daniel Visser (eds.), </w:t>
      </w:r>
      <w:r w:rsidRPr="00181643">
        <w:rPr>
          <w:rFonts w:ascii="Times New Roman" w:hAnsi="Times New Roman" w:cs="Times New Roman"/>
          <w:i/>
        </w:rPr>
        <w:t>Southern Cross: Civil Law and Common Law in South Africa</w:t>
      </w:r>
      <w:r w:rsidRPr="00181643">
        <w:rPr>
          <w:rFonts w:ascii="Times New Roman" w:hAnsi="Times New Roman" w:cs="Times New Roman"/>
          <w:smallCaps/>
        </w:rPr>
        <w:t xml:space="preserve">, </w:t>
      </w:r>
      <w:r w:rsidRPr="00181643">
        <w:rPr>
          <w:rFonts w:ascii="Times New Roman" w:hAnsi="Times New Roman" w:cs="Times New Roman"/>
          <w:i/>
        </w:rPr>
        <w:t>supra</w:t>
      </w:r>
      <w:r w:rsidRPr="00181643">
        <w:rPr>
          <w:rFonts w:ascii="Times New Roman" w:hAnsi="Times New Roman" w:cs="Times New Roman"/>
        </w:rPr>
        <w:t xml:space="preserve"> note</w:t>
      </w:r>
      <w:r w:rsidRPr="00181643">
        <w:rPr>
          <w:rFonts w:ascii="Times New Roman" w:hAnsi="Times New Roman" w:cs="Times New Roman"/>
          <w:smallCaps/>
        </w:rPr>
        <w:t xml:space="preserve"> 5,</w:t>
      </w:r>
      <w:r w:rsidRPr="00181643">
        <w:rPr>
          <w:rFonts w:ascii="Times New Roman" w:hAnsi="Times New Roman" w:cs="Times New Roman"/>
        </w:rPr>
        <w:t xml:space="preserve"> pp. </w:t>
      </w:r>
      <w:r w:rsidRPr="00181643">
        <w:rPr>
          <w:rFonts w:ascii="Times New Roman" w:hAnsi="Times New Roman" w:cs="Times New Roman"/>
          <w:smallCaps/>
        </w:rPr>
        <w:t>217-60</w:t>
      </w:r>
      <w:r w:rsidRPr="00181643">
        <w:rPr>
          <w:rFonts w:ascii="Times New Roman" w:hAnsi="Times New Roman" w:cs="Times New Roman"/>
        </w:rPr>
        <w:t>; Dale Hutchison, “Good Faith in the South African Law of Contract”</w:t>
      </w:r>
      <w:r w:rsidRPr="00181643">
        <w:rPr>
          <w:rFonts w:ascii="Times New Roman" w:hAnsi="Times New Roman" w:cs="Times New Roman"/>
          <w:i/>
        </w:rPr>
        <w:t xml:space="preserve">, </w:t>
      </w:r>
      <w:r w:rsidRPr="00181643">
        <w:rPr>
          <w:rFonts w:ascii="Times New Roman" w:hAnsi="Times New Roman" w:cs="Times New Roman"/>
        </w:rPr>
        <w:t>in</w:t>
      </w:r>
      <w:r w:rsidRPr="00181643">
        <w:rPr>
          <w:rFonts w:ascii="Times New Roman" w:hAnsi="Times New Roman" w:cs="Times New Roman"/>
          <w:i/>
        </w:rPr>
        <w:t xml:space="preserve">  </w:t>
      </w:r>
      <w:r w:rsidRPr="00181643">
        <w:rPr>
          <w:rFonts w:ascii="Times New Roman" w:hAnsi="Times New Roman" w:cs="Times New Roman"/>
        </w:rPr>
        <w:t xml:space="preserve">Roger Brownsword, Norma J Hird and Geraint Howells (eds.), </w:t>
      </w:r>
      <w:r w:rsidRPr="00181643">
        <w:rPr>
          <w:rFonts w:ascii="Times New Roman" w:hAnsi="Times New Roman" w:cs="Times New Roman"/>
          <w:i/>
        </w:rPr>
        <w:t>Good Faith in Contract: Concept and Context</w:t>
      </w:r>
      <w:r w:rsidRPr="00181643">
        <w:rPr>
          <w:rFonts w:ascii="Times New Roman" w:hAnsi="Times New Roman" w:cs="Times New Roman"/>
          <w:smallCaps/>
        </w:rPr>
        <w:t xml:space="preserve"> </w:t>
      </w:r>
      <w:r w:rsidRPr="00181643">
        <w:rPr>
          <w:rFonts w:ascii="Times New Roman" w:hAnsi="Times New Roman" w:cs="Times New Roman"/>
        </w:rPr>
        <w:t>(1999)</w:t>
      </w:r>
      <w:r w:rsidRPr="00181643">
        <w:rPr>
          <w:rFonts w:ascii="Times New Roman" w:hAnsi="Times New Roman" w:cs="Times New Roman"/>
          <w:lang w:val="en-ZA"/>
        </w:rPr>
        <w:t>, pp.</w:t>
      </w:r>
      <w:r w:rsidRPr="00181643">
        <w:rPr>
          <w:rFonts w:ascii="Times New Roman" w:hAnsi="Times New Roman" w:cs="Times New Roman"/>
          <w:smallCaps/>
        </w:rPr>
        <w:t xml:space="preserve"> 213-42.</w:t>
      </w:r>
    </w:p>
  </w:footnote>
  <w:footnote w:id="29">
    <w:p w14:paraId="0CCE4AFA" w14:textId="76F0626F"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color w:val="000000" w:themeColor="text1"/>
        </w:rPr>
        <w:t>Sasfin (Pty) Ltd v Beukes</w:t>
      </w:r>
      <w:r w:rsidRPr="00CB128D">
        <w:rPr>
          <w:rFonts w:ascii="Times New Roman" w:hAnsi="Times New Roman" w:cs="Times New Roman"/>
          <w:color w:val="000000" w:themeColor="text1"/>
        </w:rPr>
        <w:t xml:space="preserve"> 1989 (1) SA 1 (A) at 7H-9G.</w:t>
      </w:r>
      <w:r w:rsidRPr="00CB128D">
        <w:rPr>
          <w:rFonts w:ascii="Times New Roman" w:hAnsi="Times New Roman" w:cs="Times New Roman"/>
        </w:rPr>
        <w:t xml:space="preserve"> </w:t>
      </w:r>
    </w:p>
  </w:footnote>
  <w:footnote w:id="30">
    <w:p w14:paraId="611F21B9" w14:textId="2D00C3E6" w:rsidR="00181643" w:rsidRPr="004A4D78" w:rsidRDefault="00181643">
      <w:pPr>
        <w:pStyle w:val="FootnoteText"/>
        <w:jc w:val="both"/>
        <w:rPr>
          <w:rFonts w:ascii="Times New Roman" w:hAnsi="Times New Roman" w:cs="Times New Roman"/>
          <w:b/>
          <w:lang w:val="fr-FR"/>
        </w:rPr>
      </w:pPr>
      <w:r w:rsidRPr="00181643">
        <w:rPr>
          <w:rStyle w:val="FootnoteReference"/>
          <w:rFonts w:ascii="Times New Roman" w:hAnsi="Times New Roman" w:cs="Times New Roman"/>
        </w:rPr>
        <w:footnoteRef/>
      </w:r>
      <w:r w:rsidRPr="00181643">
        <w:rPr>
          <w:rFonts w:ascii="Times New Roman" w:hAnsi="Times New Roman" w:cs="Times New Roman"/>
          <w:lang w:val="fr-FR"/>
        </w:rPr>
        <w:t xml:space="preserve"> </w:t>
      </w:r>
      <w:r w:rsidRPr="00CB128D">
        <w:rPr>
          <w:rFonts w:ascii="Times New Roman" w:hAnsi="Times New Roman" w:cs="Times New Roman"/>
          <w:i/>
          <w:lang w:val="fr-FR"/>
        </w:rPr>
        <w:t>Barkhuizen v Napier</w:t>
      </w:r>
      <w:r w:rsidRPr="00CB128D">
        <w:rPr>
          <w:rFonts w:ascii="Times New Roman" w:hAnsi="Times New Roman" w:cs="Times New Roman"/>
          <w:lang w:val="fr-FR"/>
        </w:rPr>
        <w:t xml:space="preserve"> 2007 (5) SA 323 (CC) at paras. 23-30, 56.</w:t>
      </w:r>
    </w:p>
  </w:footnote>
  <w:footnote w:id="31">
    <w:p w14:paraId="025DAC4C" w14:textId="77777777" w:rsidR="00181643" w:rsidRPr="00CB128D" w:rsidRDefault="00181643">
      <w:pPr>
        <w:pStyle w:val="FootnoteText"/>
        <w:jc w:val="both"/>
        <w:rPr>
          <w:rFonts w:ascii="Times New Roman" w:hAnsi="Times New Roman" w:cs="Times New Roman"/>
          <w:lang w:val="fr-FR"/>
        </w:rPr>
      </w:pPr>
      <w:r w:rsidRPr="00181643">
        <w:rPr>
          <w:rStyle w:val="FootnoteReference"/>
          <w:rFonts w:ascii="Times New Roman" w:hAnsi="Times New Roman" w:cs="Times New Roman"/>
        </w:rPr>
        <w:footnoteRef/>
      </w:r>
      <w:r w:rsidRPr="00181643">
        <w:rPr>
          <w:rFonts w:ascii="Times New Roman" w:hAnsi="Times New Roman" w:cs="Times New Roman"/>
          <w:lang w:val="fr-FR"/>
        </w:rPr>
        <w:t xml:space="preserve"> 2007 (5) SA 323 (CC).</w:t>
      </w:r>
    </w:p>
  </w:footnote>
  <w:footnote w:id="32">
    <w:p w14:paraId="5EA79D46" w14:textId="741642AF"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lang w:val="fr-FR"/>
        </w:rPr>
        <w:t xml:space="preserve"> </w:t>
      </w:r>
      <w:r w:rsidRPr="00CB128D">
        <w:rPr>
          <w:rFonts w:ascii="Times New Roman" w:hAnsi="Times New Roman" w:cs="Times New Roman"/>
          <w:i/>
          <w:lang w:val="fr-FR"/>
        </w:rPr>
        <w:t>Id.</w:t>
      </w:r>
      <w:r w:rsidRPr="00CB128D">
        <w:rPr>
          <w:rFonts w:ascii="Times New Roman" w:hAnsi="Times New Roman" w:cs="Times New Roman"/>
          <w:lang w:val="fr-FR"/>
        </w:rPr>
        <w:t xml:space="preserve"> at paras. </w:t>
      </w:r>
      <w:r w:rsidRPr="00CB128D">
        <w:rPr>
          <w:rFonts w:ascii="Times New Roman" w:hAnsi="Times New Roman" w:cs="Times New Roman"/>
        </w:rPr>
        <w:t>79-82.</w:t>
      </w:r>
    </w:p>
  </w:footnote>
  <w:footnote w:id="33">
    <w:p w14:paraId="5F497314" w14:textId="0866DA3F"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82.</w:t>
      </w:r>
    </w:p>
  </w:footnote>
  <w:footnote w:id="34">
    <w:p w14:paraId="1FD09F48" w14:textId="69350177" w:rsidR="00181643" w:rsidRPr="00181643"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ZA"/>
        </w:rPr>
        <w:t xml:space="preserve">For discussion of the transformation imperative in South African law, including the common law of contract, see: </w:t>
      </w:r>
      <w:r w:rsidRPr="00CB128D">
        <w:rPr>
          <w:rFonts w:ascii="Times New Roman" w:hAnsi="Times New Roman" w:cs="Times New Roman"/>
          <w:color w:val="000000" w:themeColor="text1"/>
        </w:rPr>
        <w:t xml:space="preserve">Pius Langa, “Transformative Constitutionalism”, </w:t>
      </w:r>
      <w:r w:rsidRPr="00181643">
        <w:rPr>
          <w:rFonts w:ascii="Times New Roman" w:hAnsi="Times New Roman" w:cs="Times New Roman"/>
          <w:i/>
          <w:color w:val="000000" w:themeColor="text1"/>
        </w:rPr>
        <w:t>Stellenbosch Law Rev</w:t>
      </w:r>
      <w:r w:rsidRPr="00181643">
        <w:rPr>
          <w:rFonts w:ascii="Times New Roman" w:hAnsi="Times New Roman" w:cs="Times New Roman"/>
          <w:smallCaps/>
          <w:color w:val="000000" w:themeColor="text1"/>
        </w:rPr>
        <w:t xml:space="preserve">, XVI </w:t>
      </w:r>
      <w:r w:rsidRPr="00181643">
        <w:rPr>
          <w:rFonts w:ascii="Times New Roman" w:hAnsi="Times New Roman" w:cs="Times New Roman"/>
          <w:color w:val="000000" w:themeColor="text1"/>
        </w:rPr>
        <w:t xml:space="preserve">(2006), p. 351; Dikgang Moseneke, “Transformative Constitutionalism: its Implications for the Law of Contract”, </w:t>
      </w:r>
      <w:r w:rsidRPr="00181643">
        <w:rPr>
          <w:rFonts w:ascii="Times New Roman" w:hAnsi="Times New Roman" w:cs="Times New Roman"/>
          <w:i/>
          <w:color w:val="000000" w:themeColor="text1"/>
        </w:rPr>
        <w:t>Stellenbosch Law Rev</w:t>
      </w:r>
      <w:r w:rsidRPr="00181643">
        <w:rPr>
          <w:rFonts w:ascii="Times New Roman" w:hAnsi="Times New Roman" w:cs="Times New Roman"/>
          <w:color w:val="000000" w:themeColor="text1"/>
        </w:rPr>
        <w:t xml:space="preserve"> 3 (2009), p. 3; </w:t>
      </w:r>
      <w:r w:rsidRPr="00181643">
        <w:rPr>
          <w:rFonts w:ascii="Times New Roman" w:hAnsi="Times New Roman" w:cs="Times New Roman"/>
        </w:rPr>
        <w:t xml:space="preserve">Dennis M Davis and Karl Klare, “Transformative Constitutionalism and the Common and Customary Law”, 26 </w:t>
      </w:r>
      <w:r w:rsidRPr="00181643">
        <w:rPr>
          <w:rFonts w:ascii="Times New Roman" w:hAnsi="Times New Roman" w:cs="Times New Roman"/>
          <w:i/>
        </w:rPr>
        <w:t>South African Journal of Human Rights</w:t>
      </w:r>
      <w:r w:rsidRPr="00181643">
        <w:rPr>
          <w:rFonts w:ascii="Times New Roman" w:hAnsi="Times New Roman" w:cs="Times New Roman"/>
          <w:smallCaps/>
        </w:rPr>
        <w:t xml:space="preserve">, XXVI </w:t>
      </w:r>
      <w:r w:rsidRPr="00181643">
        <w:rPr>
          <w:rFonts w:ascii="Times New Roman" w:hAnsi="Times New Roman" w:cs="Times New Roman"/>
        </w:rPr>
        <w:t>(2010), p. 403</w:t>
      </w:r>
      <w:r w:rsidRPr="00181643">
        <w:rPr>
          <w:rFonts w:ascii="Times New Roman" w:hAnsi="Times New Roman" w:cs="Times New Roman"/>
          <w:color w:val="000000" w:themeColor="text1"/>
        </w:rPr>
        <w:t xml:space="preserve">; Karl Klare, “Legal Culture and Transformative Constitutionalism”,  </w:t>
      </w:r>
      <w:r w:rsidRPr="00181643">
        <w:rPr>
          <w:rFonts w:ascii="Times New Roman" w:hAnsi="Times New Roman" w:cs="Times New Roman"/>
          <w:i/>
          <w:color w:val="000000" w:themeColor="text1"/>
        </w:rPr>
        <w:t>South African Journal of Human Rights</w:t>
      </w:r>
      <w:r w:rsidRPr="00181643">
        <w:rPr>
          <w:rFonts w:ascii="Times New Roman" w:hAnsi="Times New Roman" w:cs="Times New Roman"/>
          <w:color w:val="000000" w:themeColor="text1"/>
        </w:rPr>
        <w:t>, XIV (1998), p. 146.</w:t>
      </w:r>
    </w:p>
  </w:footnote>
  <w:footnote w:id="35">
    <w:p w14:paraId="14F4A447" w14:textId="3D0E58CE"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lang w:val="en-ZA"/>
        </w:rPr>
        <w:t xml:space="preserve"> </w:t>
      </w:r>
      <w:r w:rsidRPr="00CB128D">
        <w:rPr>
          <w:rFonts w:ascii="Times New Roman" w:hAnsi="Times New Roman" w:cs="Times New Roman"/>
          <w:i/>
        </w:rPr>
        <w:t xml:space="preserve">Barkhuizen v Napier </w:t>
      </w:r>
      <w:r w:rsidRPr="00CB128D">
        <w:rPr>
          <w:rFonts w:ascii="Times New Roman" w:hAnsi="Times New Roman" w:cs="Times New Roman"/>
        </w:rPr>
        <w:t xml:space="preserve">2007 (5) SA 323 (CC); </w:t>
      </w:r>
      <w:r w:rsidRPr="00CB128D">
        <w:rPr>
          <w:rFonts w:ascii="Times New Roman" w:hAnsi="Times New Roman" w:cs="Times New Roman"/>
          <w:i/>
        </w:rPr>
        <w:t xml:space="preserve">Everfresh Market </w:t>
      </w:r>
      <w:r w:rsidRPr="004A4D78">
        <w:rPr>
          <w:rFonts w:ascii="Times New Roman" w:hAnsi="Times New Roman" w:cs="Times New Roman"/>
          <w:i/>
        </w:rPr>
        <w:t>Virginia (Pty) Ltd v Shoprite Checkers (Pty) Ltd</w:t>
      </w:r>
      <w:r w:rsidRPr="004A4D78">
        <w:rPr>
          <w:rFonts w:ascii="Times New Roman" w:hAnsi="Times New Roman" w:cs="Times New Roman"/>
        </w:rPr>
        <w:t xml:space="preserve"> 2012 (1) SA 256 (CC); </w:t>
      </w:r>
      <w:r w:rsidRPr="00181643">
        <w:rPr>
          <w:rFonts w:ascii="Times New Roman" w:hAnsi="Times New Roman" w:cs="Times New Roman"/>
          <w:i/>
        </w:rPr>
        <w:t>Maphango v Aengus Lifestyle Properties (Pty) Ltd</w:t>
      </w:r>
      <w:r w:rsidRPr="00181643">
        <w:rPr>
          <w:rFonts w:ascii="Times New Roman" w:hAnsi="Times New Roman" w:cs="Times New Roman"/>
        </w:rPr>
        <w:t xml:space="preserve"> 2012 (3) SA 531 (CC); </w:t>
      </w:r>
      <w:r w:rsidRPr="00181643">
        <w:rPr>
          <w:rFonts w:ascii="Times New Roman" w:hAnsi="Times New Roman" w:cs="Times New Roman"/>
          <w:i/>
        </w:rPr>
        <w:t>Botha v Rich NO</w:t>
      </w:r>
      <w:r w:rsidRPr="00181643">
        <w:rPr>
          <w:rFonts w:ascii="Times New Roman" w:hAnsi="Times New Roman" w:cs="Times New Roman"/>
        </w:rPr>
        <w:t xml:space="preserve"> 2014 (4) SA 124 (CC); </w:t>
      </w:r>
      <w:r w:rsidRPr="00181643">
        <w:rPr>
          <w:rFonts w:ascii="Times New Roman" w:hAnsi="Times New Roman" w:cs="Times New Roman"/>
          <w:i/>
        </w:rPr>
        <w:t>Cool Ideas 1186 (CC) v Hubbard</w:t>
      </w:r>
      <w:r w:rsidRPr="00181643">
        <w:rPr>
          <w:rFonts w:ascii="Times New Roman" w:hAnsi="Times New Roman" w:cs="Times New Roman"/>
        </w:rPr>
        <w:t xml:space="preserve"> 2014 (4) SA 474 (CC); </w:t>
      </w:r>
      <w:r w:rsidRPr="00181643">
        <w:rPr>
          <w:rFonts w:ascii="Times New Roman" w:hAnsi="Times New Roman" w:cs="Times New Roman"/>
          <w:i/>
        </w:rPr>
        <w:t>Malan v City of Cape Town</w:t>
      </w:r>
      <w:r w:rsidRPr="00181643">
        <w:rPr>
          <w:rFonts w:ascii="Times New Roman" w:hAnsi="Times New Roman" w:cs="Times New Roman"/>
        </w:rPr>
        <w:t xml:space="preserve"> 2014 (6) SA 315 (CC); </w:t>
      </w:r>
      <w:r w:rsidRPr="00181643">
        <w:rPr>
          <w:rFonts w:ascii="Times New Roman" w:hAnsi="Times New Roman" w:cs="Times New Roman"/>
          <w:i/>
        </w:rPr>
        <w:t>Paulsen v Slipknot Investments 777 (Pty) Ltd</w:t>
      </w:r>
      <w:r w:rsidRPr="00181643">
        <w:rPr>
          <w:rFonts w:ascii="Times New Roman" w:hAnsi="Times New Roman" w:cs="Times New Roman"/>
        </w:rPr>
        <w:t xml:space="preserve"> 2015 (3) SA 479 (CC); </w:t>
      </w:r>
      <w:r w:rsidRPr="00181643">
        <w:rPr>
          <w:rFonts w:ascii="Times New Roman" w:hAnsi="Times New Roman" w:cs="Times New Roman"/>
          <w:i/>
        </w:rPr>
        <w:t>Nkata v Firstrand Bank Ltd</w:t>
      </w:r>
      <w:r w:rsidRPr="00181643">
        <w:rPr>
          <w:rFonts w:ascii="Times New Roman" w:hAnsi="Times New Roman" w:cs="Times New Roman"/>
        </w:rPr>
        <w:t xml:space="preserve"> 2016 (4) SA 257 (CC); </w:t>
      </w:r>
      <w:r w:rsidRPr="00181643">
        <w:rPr>
          <w:rFonts w:ascii="Times New Roman" w:hAnsi="Times New Roman" w:cs="Times New Roman"/>
          <w:i/>
        </w:rPr>
        <w:t>Makate v Vodacom Ltd</w:t>
      </w:r>
      <w:r w:rsidRPr="00181643">
        <w:rPr>
          <w:rFonts w:ascii="Times New Roman" w:hAnsi="Times New Roman" w:cs="Times New Roman"/>
        </w:rPr>
        <w:t xml:space="preserve"> 2016 (4) SA 121 (CC).  Specifically on the role of African customs, including the much-discussed value of “Ubuntu” (read: communitarianism, solidarity), see in particular (from this list) the </w:t>
      </w:r>
      <w:r w:rsidRPr="00181643">
        <w:rPr>
          <w:rFonts w:ascii="Times New Roman" w:hAnsi="Times New Roman" w:cs="Times New Roman"/>
          <w:i/>
        </w:rPr>
        <w:t>Barkhuizen</w:t>
      </w:r>
      <w:r w:rsidRPr="00181643">
        <w:rPr>
          <w:rFonts w:ascii="Times New Roman" w:hAnsi="Times New Roman" w:cs="Times New Roman"/>
        </w:rPr>
        <w:t xml:space="preserve"> case at para. 51 and the </w:t>
      </w:r>
      <w:r w:rsidRPr="00181643">
        <w:rPr>
          <w:rFonts w:ascii="Times New Roman" w:hAnsi="Times New Roman" w:cs="Times New Roman"/>
          <w:i/>
        </w:rPr>
        <w:t>Everfresh</w:t>
      </w:r>
      <w:r w:rsidRPr="00181643">
        <w:rPr>
          <w:rFonts w:ascii="Times New Roman" w:hAnsi="Times New Roman" w:cs="Times New Roman"/>
        </w:rPr>
        <w:t xml:space="preserve"> case at paras. 23, 72.</w:t>
      </w:r>
    </w:p>
  </w:footnote>
  <w:footnote w:id="36">
    <w:p w14:paraId="084F01E7" w14:textId="77777777" w:rsidR="00181643" w:rsidRPr="00CB128D"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Labour Relations Act 66 of 1995; Basic Conditions of Employment Act 75 of 1997; National Credit Act 34 of 2005; Consumer Protection Act 68 of 2008; Rental Housing Act 50 of </w:t>
      </w:r>
      <w:r w:rsidRPr="00CB128D">
        <w:rPr>
          <w:rFonts w:ascii="Times New Roman" w:hAnsi="Times New Roman" w:cs="Times New Roman"/>
        </w:rPr>
        <w:t>1999.</w:t>
      </w:r>
    </w:p>
  </w:footnote>
  <w:footnote w:id="37">
    <w:p w14:paraId="5A08A0AE" w14:textId="4CF60F5D" w:rsidR="00181643" w:rsidRPr="00181643"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the policyholder protection rules under the Long-term Insurance Act 52</w:t>
      </w:r>
      <w:r w:rsidRPr="00CB128D">
        <w:rPr>
          <w:rFonts w:ascii="Times New Roman" w:hAnsi="Times New Roman" w:cs="Times New Roman"/>
        </w:rPr>
        <w:t xml:space="preserve"> of 1998 and Short-term Insurance Act 53 of 1998; with regard to regulation of financial</w:t>
      </w:r>
      <w:r w:rsidRPr="00181643">
        <w:rPr>
          <w:rFonts w:ascii="Times New Roman" w:hAnsi="Times New Roman" w:cs="Times New Roman"/>
        </w:rPr>
        <w:t xml:space="preserve"> intermediaries, see: Financial Advisory and Intermediary Services Act 37 of 2002</w:t>
      </w:r>
      <w:r w:rsidRPr="00181643">
        <w:rPr>
          <w:rFonts w:ascii="Times New Roman" w:hAnsi="Times New Roman" w:cs="Times New Roman"/>
          <w:lang w:val="en-ZA"/>
        </w:rPr>
        <w:t xml:space="preserve">.  With regard to the provision of “microinsurance” specifically to low-income individuals, see: </w:t>
      </w:r>
      <w:r w:rsidRPr="00181643">
        <w:rPr>
          <w:rFonts w:ascii="Times New Roman" w:hAnsi="Times New Roman" w:cs="Times New Roman"/>
        </w:rPr>
        <w:t xml:space="preserve">South African National Treasury Policy Document, </w:t>
      </w:r>
      <w:r w:rsidRPr="00181643">
        <w:rPr>
          <w:rFonts w:ascii="Times New Roman" w:hAnsi="Times New Roman" w:cs="Times New Roman"/>
          <w:i/>
        </w:rPr>
        <w:t>The South African Microinsurance Regulatory Framework</w:t>
      </w:r>
      <w:r w:rsidRPr="00181643">
        <w:rPr>
          <w:rFonts w:ascii="Times New Roman" w:hAnsi="Times New Roman" w:cs="Times New Roman"/>
        </w:rPr>
        <w:t xml:space="preserve"> (July 2011).</w:t>
      </w:r>
    </w:p>
  </w:footnote>
  <w:footnote w:id="38">
    <w:p w14:paraId="18092208" w14:textId="77777777" w:rsidR="00181643" w:rsidRPr="00181643"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By way of example, one possible interpretation of </w:t>
      </w:r>
      <w:r w:rsidRPr="00CB128D">
        <w:rPr>
          <w:rFonts w:ascii="Times New Roman" w:hAnsi="Times New Roman" w:cs="Times New Roman"/>
          <w:i/>
        </w:rPr>
        <w:t>Makate v Vodacom Ltd</w:t>
      </w:r>
      <w:r w:rsidRPr="00CB128D">
        <w:rPr>
          <w:rFonts w:ascii="Times New Roman" w:hAnsi="Times New Roman" w:cs="Times New Roman"/>
        </w:rPr>
        <w:t xml:space="preserve"> 2016 (4) SA 121 (CC) </w:t>
      </w:r>
      <w:r w:rsidRPr="00CB128D">
        <w:rPr>
          <w:rFonts w:ascii="Times New Roman" w:hAnsi="Times New Roman" w:cs="Times New Roman"/>
          <w:lang w:val="en-ZA"/>
        </w:rPr>
        <w:t xml:space="preserve">is that this case creates a new form of ostensible authority not based on estoppel (which is the settled position in the UK </w:t>
      </w:r>
      <w:r w:rsidRPr="00181643">
        <w:rPr>
          <w:rFonts w:ascii="Times New Roman" w:hAnsi="Times New Roman" w:cs="Times New Roman"/>
          <w:lang w:val="en-ZA"/>
        </w:rPr>
        <w:t xml:space="preserve">and was previously settled law in South Africa too) in order to remedy a perceived defect in the existing South African law of estoppel that this (defence) can only be pleaded in replication and cannot found a cause of action on its own.  While the Constitutional Court majority’s decision here brought justice to Mr Makate and was widely praised in the media, it has unsettled a previously settled area of South African contract law. </w:t>
      </w:r>
    </w:p>
  </w:footnote>
  <w:footnote w:id="39">
    <w:p w14:paraId="6C725ADE" w14:textId="28B69757"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From a South African perspective, a connection between the ethos of relational contract theory and transformative constitutionalism is made in: </w:t>
      </w:r>
      <w:r w:rsidRPr="00540185">
        <w:rPr>
          <w:rFonts w:ascii="Times New Roman" w:hAnsi="Times New Roman" w:cs="Times New Roman"/>
        </w:rPr>
        <w:t xml:space="preserve">Andrew Hutchison, </w:t>
      </w:r>
      <w:r w:rsidR="00C606C7" w:rsidRPr="00C606C7">
        <w:rPr>
          <w:rFonts w:ascii="Times New Roman" w:hAnsi="Times New Roman" w:cs="Times New Roman"/>
        </w:rPr>
        <w:t xml:space="preserve">“Relational Theory, Context and Commercial Common Sense: Views on Contract Interpretation and Adjudication”, </w:t>
      </w:r>
      <w:r w:rsidR="00C606C7" w:rsidRPr="00C606C7">
        <w:rPr>
          <w:rFonts w:ascii="Times New Roman" w:hAnsi="Times New Roman" w:cs="Times New Roman"/>
          <w:i/>
        </w:rPr>
        <w:t>South African Law Journal</w:t>
      </w:r>
      <w:r w:rsidR="00C606C7" w:rsidRPr="00C606C7">
        <w:rPr>
          <w:rFonts w:ascii="Times New Roman" w:hAnsi="Times New Roman" w:cs="Times New Roman"/>
        </w:rPr>
        <w:t>, CXXXIV (2017), p. 298.</w:t>
      </w:r>
    </w:p>
  </w:footnote>
  <w:footnote w:id="40">
    <w:p w14:paraId="1306F38C" w14:textId="575AC1BD"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Julie Clarke and Philip Clarke, </w:t>
      </w:r>
      <w:r w:rsidRPr="00CB128D">
        <w:rPr>
          <w:rFonts w:ascii="Times New Roman" w:hAnsi="Times New Roman" w:cs="Times New Roman"/>
          <w:i/>
        </w:rPr>
        <w:t>Contract Law. Commentaries, Cases and Perspectives</w:t>
      </w:r>
      <w:r w:rsidRPr="004A4D78">
        <w:rPr>
          <w:rFonts w:ascii="Times New Roman" w:hAnsi="Times New Roman" w:cs="Times New Roman"/>
        </w:rPr>
        <w:t>, 3</w:t>
      </w:r>
      <w:r w:rsidRPr="004A4D78">
        <w:rPr>
          <w:rFonts w:ascii="Times New Roman" w:hAnsi="Times New Roman" w:cs="Times New Roman"/>
          <w:vertAlign w:val="superscript"/>
        </w:rPr>
        <w:t>rd</w:t>
      </w:r>
      <w:r w:rsidRPr="004A4D78">
        <w:rPr>
          <w:rFonts w:ascii="Times New Roman" w:hAnsi="Times New Roman" w:cs="Times New Roman"/>
        </w:rPr>
        <w:t xml:space="preserve"> edn (2016), p. 16; John W. Carter, </w:t>
      </w:r>
      <w:r w:rsidRPr="004A4D78">
        <w:rPr>
          <w:rFonts w:ascii="Times New Roman" w:hAnsi="Times New Roman" w:cs="Times New Roman"/>
          <w:i/>
        </w:rPr>
        <w:t>Contract Law in Australia</w:t>
      </w:r>
      <w:r w:rsidRPr="00181643">
        <w:rPr>
          <w:rFonts w:ascii="Times New Roman" w:hAnsi="Times New Roman" w:cs="Times New Roman"/>
        </w:rPr>
        <w:t>, 6</w:t>
      </w:r>
      <w:r w:rsidRPr="00181643">
        <w:rPr>
          <w:rFonts w:ascii="Times New Roman" w:hAnsi="Times New Roman" w:cs="Times New Roman"/>
          <w:vertAlign w:val="superscript"/>
        </w:rPr>
        <w:t xml:space="preserve">th </w:t>
      </w:r>
      <w:r w:rsidRPr="00181643">
        <w:rPr>
          <w:rFonts w:ascii="Times New Roman" w:hAnsi="Times New Roman" w:cs="Times New Roman"/>
        </w:rPr>
        <w:t>edn (2012), p. 16.</w:t>
      </w:r>
    </w:p>
  </w:footnote>
  <w:footnote w:id="41">
    <w:p w14:paraId="4D15DE8E" w14:textId="53A6F657"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Waltons Stores (Interstate) Ltd v Maher</w:t>
      </w:r>
      <w:r w:rsidRPr="00CB128D">
        <w:rPr>
          <w:rFonts w:ascii="Times New Roman" w:hAnsi="Times New Roman" w:cs="Times New Roman"/>
        </w:rPr>
        <w:t xml:space="preserve"> (1988) 76 ALR 513. </w:t>
      </w:r>
    </w:p>
  </w:footnote>
  <w:footnote w:id="42">
    <w:p w14:paraId="62BD7F52" w14:textId="38C34A71"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NC Seddon, RA Bigwood, and MP Ellinghaus, </w:t>
      </w:r>
      <w:r w:rsidRPr="00CB128D">
        <w:rPr>
          <w:rFonts w:ascii="Times New Roman" w:hAnsi="Times New Roman" w:cs="Times New Roman"/>
          <w:i/>
        </w:rPr>
        <w:t>Cheshire &amp; Fifoot Law of Contract</w:t>
      </w:r>
      <w:r w:rsidRPr="004A4D78">
        <w:rPr>
          <w:rFonts w:ascii="Times New Roman" w:hAnsi="Times New Roman" w:cs="Times New Roman"/>
        </w:rPr>
        <w:t>, 10</w:t>
      </w:r>
      <w:r w:rsidRPr="004A4D78">
        <w:rPr>
          <w:rFonts w:ascii="Times New Roman" w:hAnsi="Times New Roman" w:cs="Times New Roman"/>
          <w:vertAlign w:val="superscript"/>
        </w:rPr>
        <w:t>th</w:t>
      </w:r>
      <w:r w:rsidRPr="004A4D78">
        <w:rPr>
          <w:rFonts w:ascii="Times New Roman" w:hAnsi="Times New Roman" w:cs="Times New Roman"/>
        </w:rPr>
        <w:t xml:space="preserve"> Australian Edition (2012), p. 172.</w:t>
      </w:r>
    </w:p>
  </w:footnote>
  <w:footnote w:id="43">
    <w:p w14:paraId="67462C8E" w14:textId="66F41916"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Ewan McKendrick and Qiao Liu, </w:t>
      </w:r>
      <w:r w:rsidRPr="00CB128D">
        <w:rPr>
          <w:rFonts w:ascii="Times New Roman" w:hAnsi="Times New Roman" w:cs="Times New Roman"/>
          <w:i/>
        </w:rPr>
        <w:t>Contract Law: Australian Edition</w:t>
      </w:r>
      <w:r w:rsidRPr="004A4D78">
        <w:rPr>
          <w:rFonts w:ascii="Times New Roman" w:hAnsi="Times New Roman" w:cs="Times New Roman"/>
        </w:rPr>
        <w:t xml:space="preserve"> (2015), p. 154; Jeannie Paterson, Andrew Robertson Andrew, and Arlen  Duke, </w:t>
      </w:r>
      <w:r w:rsidRPr="00181643">
        <w:rPr>
          <w:rFonts w:ascii="Times New Roman" w:hAnsi="Times New Roman" w:cs="Times New Roman"/>
          <w:i/>
        </w:rPr>
        <w:t>Principles of Contract Law</w:t>
      </w:r>
      <w:r w:rsidRPr="00181643">
        <w:rPr>
          <w:rFonts w:ascii="Times New Roman" w:hAnsi="Times New Roman" w:cs="Times New Roman"/>
        </w:rPr>
        <w:t>, 4</w:t>
      </w:r>
      <w:r w:rsidRPr="00181643">
        <w:rPr>
          <w:rFonts w:ascii="Times New Roman" w:hAnsi="Times New Roman" w:cs="Times New Roman"/>
          <w:vertAlign w:val="superscript"/>
        </w:rPr>
        <w:t>th</w:t>
      </w:r>
      <w:r w:rsidRPr="00181643">
        <w:rPr>
          <w:rFonts w:ascii="Times New Roman" w:hAnsi="Times New Roman" w:cs="Times New Roman"/>
        </w:rPr>
        <w:t xml:space="preserve"> edn (2012), p. 108; Dilan Thampapillai, Vivi Tan, and Claudo Bozzi, </w:t>
      </w:r>
      <w:r w:rsidRPr="00181643">
        <w:rPr>
          <w:rFonts w:ascii="Times New Roman" w:hAnsi="Times New Roman" w:cs="Times New Roman"/>
          <w:i/>
        </w:rPr>
        <w:t>Contract Law. Text and Cases</w:t>
      </w:r>
      <w:r w:rsidRPr="00181643">
        <w:rPr>
          <w:rFonts w:ascii="Times New Roman" w:hAnsi="Times New Roman" w:cs="Times New Roman"/>
        </w:rPr>
        <w:t xml:space="preserve"> (2012), p. 11.</w:t>
      </w:r>
    </w:p>
  </w:footnote>
  <w:footnote w:id="44">
    <w:p w14:paraId="43AC421B" w14:textId="4135E640"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Eastwood v Kenyon</w:t>
      </w:r>
      <w:r w:rsidRPr="00CB128D">
        <w:rPr>
          <w:rFonts w:ascii="Times New Roman" w:hAnsi="Times New Roman" w:cs="Times New Roman"/>
        </w:rPr>
        <w:t xml:space="preserve"> (1840) 113 ER 482.</w:t>
      </w:r>
    </w:p>
  </w:footnote>
  <w:footnote w:id="45">
    <w:p w14:paraId="48A5BC11" w14:textId="6D3F61AA" w:rsidR="00181643" w:rsidRPr="00A74918" w:rsidRDefault="00181643">
      <w:pPr>
        <w:pStyle w:val="FootnoteText"/>
        <w:jc w:val="both"/>
        <w:rPr>
          <w:rFonts w:ascii="Times New Roman" w:hAnsi="Times New Roman" w:cs="Times New Roman"/>
          <w:lang w:val="en-GB"/>
        </w:rPr>
      </w:pPr>
      <w:r w:rsidRPr="00181643">
        <w:rPr>
          <w:rStyle w:val="FootnoteReference"/>
          <w:rFonts w:ascii="Times New Roman" w:hAnsi="Times New Roman" w:cs="Times New Roman"/>
        </w:rPr>
        <w:footnoteRef/>
      </w:r>
      <w:r w:rsidRPr="00181643">
        <w:rPr>
          <w:rFonts w:ascii="Times New Roman" w:hAnsi="Times New Roman" w:cs="Times New Roman"/>
        </w:rPr>
        <w:t xml:space="preserve"> David </w:t>
      </w:r>
      <w:r w:rsidRPr="00CB128D">
        <w:rPr>
          <w:rFonts w:ascii="Times New Roman" w:hAnsi="Times New Roman" w:cs="Times New Roman"/>
          <w:lang w:val="en-US"/>
        </w:rPr>
        <w:t xml:space="preserve">Ibbetson, A </w:t>
      </w:r>
      <w:r w:rsidRPr="00CB128D">
        <w:rPr>
          <w:rFonts w:ascii="Times New Roman" w:hAnsi="Times New Roman" w:cs="Times New Roman"/>
          <w:i/>
          <w:lang w:val="en-US"/>
        </w:rPr>
        <w:t>Historical Introduction to the Law of Obligations</w:t>
      </w:r>
      <w:r w:rsidRPr="00CB128D">
        <w:rPr>
          <w:rFonts w:ascii="Times New Roman" w:hAnsi="Times New Roman" w:cs="Times New Roman"/>
          <w:lang w:val="en-US"/>
        </w:rPr>
        <w:t xml:space="preserve"> (1999); Warren Swain, </w:t>
      </w:r>
      <w:r w:rsidRPr="004A4D78">
        <w:rPr>
          <w:rFonts w:ascii="Times New Roman" w:hAnsi="Times New Roman" w:cs="Times New Roman"/>
          <w:i/>
          <w:lang w:val="en-US"/>
        </w:rPr>
        <w:t>The Law of Contract 1670-1870</w:t>
      </w:r>
      <w:r w:rsidRPr="004A4D78">
        <w:rPr>
          <w:rFonts w:ascii="Times New Roman" w:hAnsi="Times New Roman" w:cs="Times New Roman"/>
          <w:lang w:val="en-US"/>
        </w:rPr>
        <w:t xml:space="preserve"> (2015).</w:t>
      </w:r>
    </w:p>
  </w:footnote>
  <w:footnote w:id="46">
    <w:p w14:paraId="5B07D5E3" w14:textId="441D7D6C"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Tweedle v Atkison</w:t>
      </w:r>
      <w:r w:rsidRPr="00CB128D">
        <w:rPr>
          <w:rFonts w:ascii="Times New Roman" w:hAnsi="Times New Roman" w:cs="Times New Roman"/>
        </w:rPr>
        <w:t xml:space="preserve"> (1861) 1 B&amp;S 393; 121 ER 762; </w:t>
      </w:r>
      <w:r w:rsidRPr="00CB128D">
        <w:rPr>
          <w:rFonts w:ascii="Times New Roman" w:hAnsi="Times New Roman" w:cs="Times New Roman"/>
          <w:i/>
        </w:rPr>
        <w:t>Dunlop Pneumatic Tyre Co Ltd v Selfridge and Co Ltd</w:t>
      </w:r>
      <w:r w:rsidRPr="004A4D78">
        <w:rPr>
          <w:rFonts w:ascii="Times New Roman" w:hAnsi="Times New Roman" w:cs="Times New Roman"/>
        </w:rPr>
        <w:t xml:space="preserve"> [1915] AC 847, at 467. To be compared to </w:t>
      </w:r>
      <w:r w:rsidRPr="00181643">
        <w:rPr>
          <w:rFonts w:ascii="Times New Roman" w:hAnsi="Times New Roman" w:cs="Times New Roman"/>
          <w:i/>
        </w:rPr>
        <w:t>Dutton v Poole</w:t>
      </w:r>
      <w:r w:rsidRPr="00181643">
        <w:rPr>
          <w:rFonts w:ascii="Times New Roman" w:hAnsi="Times New Roman" w:cs="Times New Roman"/>
        </w:rPr>
        <w:t xml:space="preserve"> (1678) 2 Lev 211, according to which the price for the promise may be paid by anyone. </w:t>
      </w:r>
    </w:p>
  </w:footnote>
  <w:footnote w:id="47">
    <w:p w14:paraId="475C81FF" w14:textId="20D69B13"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Brian Coote, </w:t>
      </w:r>
      <w:r w:rsidRPr="00CB128D">
        <w:rPr>
          <w:rFonts w:ascii="Times New Roman" w:hAnsi="Times New Roman" w:cs="Times New Roman"/>
        </w:rPr>
        <w:t xml:space="preserve">“The Essence of Contract. Part I”, </w:t>
      </w:r>
      <w:r w:rsidRPr="00CB128D">
        <w:rPr>
          <w:rFonts w:ascii="Times New Roman" w:hAnsi="Times New Roman" w:cs="Times New Roman"/>
          <w:i/>
        </w:rPr>
        <w:t>Journal of Contract Law</w:t>
      </w:r>
      <w:r w:rsidRPr="00CB128D">
        <w:rPr>
          <w:rFonts w:ascii="Times New Roman" w:hAnsi="Times New Roman" w:cs="Times New Roman"/>
        </w:rPr>
        <w:t>, I (1988), p. 91.</w:t>
      </w:r>
    </w:p>
  </w:footnote>
  <w:footnote w:id="48">
    <w:p w14:paraId="5CACFBE3" w14:textId="06B2DE91"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Carter, </w:t>
      </w:r>
      <w:r w:rsidRPr="00CB128D">
        <w:rPr>
          <w:rFonts w:ascii="Times New Roman" w:hAnsi="Times New Roman" w:cs="Times New Roman"/>
          <w:i/>
        </w:rPr>
        <w:t>Contract Law in Australia</w:t>
      </w:r>
      <w:r w:rsidRPr="00CB128D">
        <w:rPr>
          <w:rFonts w:ascii="Times New Roman" w:hAnsi="Times New Roman" w:cs="Times New Roman"/>
        </w:rPr>
        <w:t xml:space="preserve">, </w:t>
      </w:r>
      <w:r w:rsidRPr="00CB128D">
        <w:rPr>
          <w:rFonts w:ascii="Times New Roman" w:hAnsi="Times New Roman" w:cs="Times New Roman"/>
          <w:i/>
        </w:rPr>
        <w:t>supra</w:t>
      </w:r>
      <w:r w:rsidRPr="004A4D78">
        <w:rPr>
          <w:rFonts w:ascii="Times New Roman" w:hAnsi="Times New Roman" w:cs="Times New Roman"/>
        </w:rPr>
        <w:t xml:space="preserve"> note 3</w:t>
      </w:r>
      <w:r w:rsidR="004A4D78">
        <w:rPr>
          <w:rFonts w:ascii="Times New Roman" w:hAnsi="Times New Roman" w:cs="Times New Roman"/>
        </w:rPr>
        <w:t>8</w:t>
      </w:r>
      <w:r w:rsidRPr="004A4D78">
        <w:rPr>
          <w:rFonts w:ascii="Times New Roman" w:hAnsi="Times New Roman" w:cs="Times New Roman"/>
        </w:rPr>
        <w:t xml:space="preserve">, at 108; Paterson et al, </w:t>
      </w:r>
      <w:r w:rsidRPr="004A4D78">
        <w:rPr>
          <w:rFonts w:ascii="Times New Roman" w:hAnsi="Times New Roman" w:cs="Times New Roman"/>
          <w:i/>
        </w:rPr>
        <w:t>Principles of Contract Law</w:t>
      </w:r>
      <w:r w:rsidRPr="004A4D78">
        <w:rPr>
          <w:rFonts w:ascii="Times New Roman" w:hAnsi="Times New Roman" w:cs="Times New Roman"/>
        </w:rPr>
        <w:t>,</w:t>
      </w:r>
      <w:r w:rsidRPr="004A4D78">
        <w:rPr>
          <w:rFonts w:ascii="Times New Roman" w:hAnsi="Times New Roman" w:cs="Times New Roman"/>
          <w:i/>
        </w:rPr>
        <w:t xml:space="preserve"> supra</w:t>
      </w:r>
      <w:r w:rsidRPr="004A4D78">
        <w:rPr>
          <w:rFonts w:ascii="Times New Roman" w:hAnsi="Times New Roman" w:cs="Times New Roman"/>
        </w:rPr>
        <w:t xml:space="preserve"> note 4</w:t>
      </w:r>
      <w:r w:rsidR="004A4D78">
        <w:rPr>
          <w:rFonts w:ascii="Times New Roman" w:hAnsi="Times New Roman" w:cs="Times New Roman"/>
        </w:rPr>
        <w:t>1</w:t>
      </w:r>
      <w:r w:rsidRPr="004A4D78">
        <w:rPr>
          <w:rFonts w:ascii="Times New Roman" w:hAnsi="Times New Roman" w:cs="Times New Roman"/>
        </w:rPr>
        <w:t>, at 92</w:t>
      </w:r>
      <w:r w:rsidRPr="004A4D78">
        <w:rPr>
          <w:rFonts w:ascii="Times New Roman" w:hAnsi="Times New Roman" w:cs="Times New Roman"/>
          <w:lang w:val="en-GB"/>
        </w:rPr>
        <w:t>-9</w:t>
      </w:r>
      <w:r w:rsidRPr="004A4D78">
        <w:rPr>
          <w:rFonts w:ascii="Times New Roman" w:hAnsi="Times New Roman" w:cs="Times New Roman"/>
        </w:rPr>
        <w:t>7.</w:t>
      </w:r>
    </w:p>
  </w:footnote>
  <w:footnote w:id="49">
    <w:p w14:paraId="56A5394F" w14:textId="4F859411"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McLure JA’s statement in </w:t>
      </w:r>
      <w:r w:rsidRPr="00CB128D">
        <w:rPr>
          <w:rFonts w:ascii="Times New Roman" w:hAnsi="Times New Roman" w:cs="Times New Roman"/>
          <w:i/>
          <w:lang w:val="en-US"/>
        </w:rPr>
        <w:t>Widodo v Hamdan</w:t>
      </w:r>
      <w:r w:rsidRPr="00CB128D">
        <w:rPr>
          <w:rFonts w:ascii="Times New Roman" w:hAnsi="Times New Roman" w:cs="Times New Roman"/>
          <w:lang w:val="en-US"/>
        </w:rPr>
        <w:t xml:space="preserve"> [2008] WASCA 113, at 23.</w:t>
      </w:r>
    </w:p>
  </w:footnote>
  <w:footnote w:id="50">
    <w:p w14:paraId="6BE4CF24" w14:textId="17111F52"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Paterson et al, </w:t>
      </w:r>
      <w:r w:rsidRPr="00CB128D">
        <w:rPr>
          <w:rFonts w:ascii="Times New Roman" w:hAnsi="Times New Roman" w:cs="Times New Roman"/>
          <w:i/>
        </w:rPr>
        <w:t>Principles of Contract Law</w:t>
      </w:r>
      <w:r w:rsidRPr="00CB128D">
        <w:rPr>
          <w:rFonts w:ascii="Times New Roman" w:hAnsi="Times New Roman" w:cs="Times New Roman"/>
        </w:rPr>
        <w:t>,</w:t>
      </w:r>
      <w:r w:rsidRPr="004A4D78">
        <w:rPr>
          <w:rFonts w:ascii="Times New Roman" w:hAnsi="Times New Roman" w:cs="Times New Roman"/>
          <w:i/>
        </w:rPr>
        <w:t xml:space="preserve"> supra</w:t>
      </w:r>
      <w:r w:rsidRPr="004A4D78">
        <w:rPr>
          <w:rFonts w:ascii="Times New Roman" w:hAnsi="Times New Roman" w:cs="Times New Roman"/>
        </w:rPr>
        <w:t xml:space="preserve"> note 4</w:t>
      </w:r>
      <w:r w:rsidR="004A4D78">
        <w:rPr>
          <w:rFonts w:ascii="Times New Roman" w:hAnsi="Times New Roman" w:cs="Times New Roman"/>
        </w:rPr>
        <w:t>1</w:t>
      </w:r>
      <w:r w:rsidRPr="004A4D78">
        <w:rPr>
          <w:rFonts w:ascii="Times New Roman" w:hAnsi="Times New Roman" w:cs="Times New Roman"/>
        </w:rPr>
        <w:t xml:space="preserve">, at 175-220 and 631-90; John Gooley, Peter Radan and Ilija Vickovich, </w:t>
      </w:r>
      <w:r w:rsidRPr="004A4D78">
        <w:rPr>
          <w:rFonts w:ascii="Times New Roman" w:hAnsi="Times New Roman" w:cs="Times New Roman"/>
          <w:i/>
        </w:rPr>
        <w:t>Principles of Australian Contract Law</w:t>
      </w:r>
      <w:r w:rsidRPr="004A4D78">
        <w:rPr>
          <w:rFonts w:ascii="Times New Roman" w:hAnsi="Times New Roman" w:cs="Times New Roman"/>
        </w:rPr>
        <w:t>, 3</w:t>
      </w:r>
      <w:r w:rsidRPr="004A4D78">
        <w:rPr>
          <w:rFonts w:ascii="Times New Roman" w:hAnsi="Times New Roman" w:cs="Times New Roman"/>
          <w:vertAlign w:val="superscript"/>
        </w:rPr>
        <w:t>rd</w:t>
      </w:r>
      <w:r w:rsidRPr="004A4D78">
        <w:rPr>
          <w:rFonts w:ascii="Times New Roman" w:hAnsi="Times New Roman" w:cs="Times New Roman"/>
        </w:rPr>
        <w:t xml:space="preserve"> edn, (2014), pp. 719-38 and 283-308.</w:t>
      </w:r>
    </w:p>
  </w:footnote>
  <w:footnote w:id="51">
    <w:p w14:paraId="1B946F5B" w14:textId="76351F4C"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Currie v Misa</w:t>
      </w:r>
      <w:r w:rsidRPr="00CB128D">
        <w:rPr>
          <w:rFonts w:ascii="Times New Roman" w:hAnsi="Times New Roman" w:cs="Times New Roman"/>
        </w:rPr>
        <w:t xml:space="preserve"> (1875) LR 10 Ex 153, at 162; </w:t>
      </w:r>
      <w:r w:rsidRPr="00CB128D">
        <w:rPr>
          <w:rFonts w:ascii="Times New Roman" w:hAnsi="Times New Roman" w:cs="Times New Roman"/>
          <w:i/>
        </w:rPr>
        <w:t>Crown v Clarke</w:t>
      </w:r>
      <w:r w:rsidRPr="004A4D78">
        <w:rPr>
          <w:rFonts w:ascii="Times New Roman" w:hAnsi="Times New Roman" w:cs="Times New Roman"/>
        </w:rPr>
        <w:t xml:space="preserve"> (1927) 40 CLR 227.</w:t>
      </w:r>
    </w:p>
  </w:footnote>
  <w:footnote w:id="52">
    <w:p w14:paraId="7C266A51" w14:textId="06EB3A93"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Coote, </w:t>
      </w:r>
      <w:r w:rsidRPr="00CB128D">
        <w:rPr>
          <w:rFonts w:ascii="Times New Roman" w:hAnsi="Times New Roman" w:cs="Times New Roman"/>
        </w:rPr>
        <w:t xml:space="preserve">“The Essence of Contract”, </w:t>
      </w:r>
      <w:r w:rsidRPr="00CB128D">
        <w:rPr>
          <w:rFonts w:ascii="Times New Roman" w:hAnsi="Times New Roman" w:cs="Times New Roman"/>
          <w:i/>
        </w:rPr>
        <w:t>supra</w:t>
      </w:r>
      <w:r w:rsidRPr="00CB128D">
        <w:rPr>
          <w:rFonts w:ascii="Times New Roman" w:hAnsi="Times New Roman" w:cs="Times New Roman"/>
        </w:rPr>
        <w:t xml:space="preserve"> note 4</w:t>
      </w:r>
      <w:r w:rsidR="004A4D78">
        <w:rPr>
          <w:rFonts w:ascii="Times New Roman" w:hAnsi="Times New Roman" w:cs="Times New Roman"/>
        </w:rPr>
        <w:t>5</w:t>
      </w:r>
      <w:r w:rsidRPr="00CB128D">
        <w:rPr>
          <w:rFonts w:ascii="Times New Roman" w:hAnsi="Times New Roman" w:cs="Times New Roman"/>
        </w:rPr>
        <w:t>, at 101.</w:t>
      </w:r>
    </w:p>
  </w:footnote>
  <w:footnote w:id="53">
    <w:p w14:paraId="7D98D903" w14:textId="1D9AC250"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Konrad Zweigert and Heinz Kötz, </w:t>
      </w:r>
      <w:r w:rsidRPr="00CB128D">
        <w:rPr>
          <w:rFonts w:ascii="Times New Roman" w:hAnsi="Times New Roman" w:cs="Times New Roman"/>
          <w:i/>
        </w:rPr>
        <w:t>An Introduction to Comparative Law</w:t>
      </w:r>
      <w:r w:rsidRPr="00CB128D">
        <w:rPr>
          <w:rFonts w:ascii="Times New Roman" w:hAnsi="Times New Roman" w:cs="Times New Roman"/>
        </w:rPr>
        <w:t>, 3</w:t>
      </w:r>
      <w:r w:rsidRPr="00CB128D">
        <w:rPr>
          <w:rFonts w:ascii="Times New Roman" w:hAnsi="Times New Roman" w:cs="Times New Roman"/>
          <w:vertAlign w:val="superscript"/>
        </w:rPr>
        <w:t>rd</w:t>
      </w:r>
      <w:r w:rsidRPr="004A4D78">
        <w:rPr>
          <w:rFonts w:ascii="Times New Roman" w:hAnsi="Times New Roman" w:cs="Times New Roman"/>
        </w:rPr>
        <w:t xml:space="preserve"> edn, Tony Weir trans. (1998), p. 457.</w:t>
      </w:r>
    </w:p>
  </w:footnote>
  <w:footnote w:id="54">
    <w:p w14:paraId="770EDD21" w14:textId="0932CC35"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John Cartwright, </w:t>
      </w:r>
      <w:r w:rsidRPr="00CB128D">
        <w:rPr>
          <w:rFonts w:ascii="Times New Roman" w:hAnsi="Times New Roman" w:cs="Times New Roman"/>
        </w:rPr>
        <w:t xml:space="preserve">“Damages, Third Parties and Common Sense”, </w:t>
      </w:r>
      <w:r w:rsidRPr="00CB128D">
        <w:rPr>
          <w:rFonts w:ascii="Times New Roman" w:hAnsi="Times New Roman" w:cs="Times New Roman"/>
          <w:i/>
        </w:rPr>
        <w:t>Journal of Contract Law</w:t>
      </w:r>
      <w:r w:rsidRPr="00CB128D">
        <w:rPr>
          <w:rFonts w:ascii="Times New Roman" w:hAnsi="Times New Roman" w:cs="Times New Roman"/>
        </w:rPr>
        <w:t xml:space="preserve">, X 244 (1996), p. 244; Carter, </w:t>
      </w:r>
      <w:r w:rsidRPr="004A4D78">
        <w:rPr>
          <w:rFonts w:ascii="Times New Roman" w:hAnsi="Times New Roman" w:cs="Times New Roman"/>
          <w:i/>
        </w:rPr>
        <w:t>Contract Law in Australia</w:t>
      </w:r>
      <w:r w:rsidRPr="004A4D78">
        <w:rPr>
          <w:rFonts w:ascii="Times New Roman" w:hAnsi="Times New Roman" w:cs="Times New Roman"/>
        </w:rPr>
        <w:t xml:space="preserve">, </w:t>
      </w:r>
      <w:r w:rsidRPr="004A4D78">
        <w:rPr>
          <w:rFonts w:ascii="Times New Roman" w:hAnsi="Times New Roman" w:cs="Times New Roman"/>
          <w:i/>
        </w:rPr>
        <w:t>supra</w:t>
      </w:r>
      <w:r w:rsidRPr="004A4D78">
        <w:rPr>
          <w:rFonts w:ascii="Times New Roman" w:hAnsi="Times New Roman" w:cs="Times New Roman"/>
        </w:rPr>
        <w:t xml:space="preserve"> note 3</w:t>
      </w:r>
      <w:r w:rsidR="004A4D78">
        <w:rPr>
          <w:rFonts w:ascii="Times New Roman" w:hAnsi="Times New Roman" w:cs="Times New Roman"/>
        </w:rPr>
        <w:t>8</w:t>
      </w:r>
      <w:r w:rsidRPr="004A4D78">
        <w:rPr>
          <w:rFonts w:ascii="Times New Roman" w:hAnsi="Times New Roman" w:cs="Times New Roman"/>
        </w:rPr>
        <w:t>, at 345.</w:t>
      </w:r>
    </w:p>
  </w:footnote>
  <w:footnote w:id="55">
    <w:p w14:paraId="1B588703" w14:textId="22383DEA"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among others, John Gava, </w:t>
      </w:r>
      <w:r w:rsidRPr="00CB128D">
        <w:rPr>
          <w:rFonts w:ascii="Times New Roman" w:hAnsi="Times New Roman" w:cs="Times New Roman"/>
        </w:rPr>
        <w:t xml:space="preserve">“Is Privity Worth Defending?”, in Peter Kincaid (ed.), </w:t>
      </w:r>
      <w:r w:rsidRPr="00CB128D">
        <w:rPr>
          <w:rFonts w:ascii="Times New Roman" w:hAnsi="Times New Roman" w:cs="Times New Roman"/>
          <w:i/>
        </w:rPr>
        <w:t>Privity. Private Justice or Public Regulation</w:t>
      </w:r>
      <w:r w:rsidRPr="004A4D78">
        <w:rPr>
          <w:rFonts w:ascii="Times New Roman" w:hAnsi="Times New Roman" w:cs="Times New Roman"/>
        </w:rPr>
        <w:t xml:space="preserve"> (2001), pp. 199-232.</w:t>
      </w:r>
    </w:p>
  </w:footnote>
  <w:footnote w:id="56">
    <w:p w14:paraId="2880BFDD" w14:textId="1DCAC85E"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the Word Trade Organization’s Doing Business Report, pa</w:t>
      </w:r>
      <w:r w:rsidRPr="00CB128D">
        <w:rPr>
          <w:rFonts w:ascii="Times New Roman" w:hAnsi="Times New Roman" w:cs="Times New Roman"/>
        </w:rPr>
        <w:t xml:space="preserve">rticularly those of 2005 and 2006, </w:t>
      </w:r>
      <w:r w:rsidRPr="00CB128D">
        <w:rPr>
          <w:rFonts w:ascii="Times New Roman" w:hAnsi="Times New Roman" w:cs="Times New Roman"/>
          <w:i/>
        </w:rPr>
        <w:t>available at</w:t>
      </w:r>
      <w:r w:rsidRPr="00CB128D">
        <w:rPr>
          <w:rFonts w:ascii="Times New Roman" w:hAnsi="Times New Roman" w:cs="Times New Roman"/>
        </w:rPr>
        <w:t xml:space="preserve"> </w:t>
      </w:r>
      <w:hyperlink r:id="rId1" w:history="1">
        <w:r w:rsidRPr="00181643">
          <w:rPr>
            <w:rStyle w:val="Hyperlink"/>
            <w:rFonts w:ascii="Times New Roman" w:hAnsi="Times New Roman" w:cs="Times New Roman"/>
          </w:rPr>
          <w:t>http://www.doingbusiness.org/</w:t>
        </w:r>
      </w:hyperlink>
      <w:r w:rsidRPr="00181643">
        <w:rPr>
          <w:rFonts w:ascii="Times New Roman" w:hAnsi="Times New Roman" w:cs="Times New Roman"/>
        </w:rPr>
        <w:t xml:space="preserve"> (accessed 08-30-2016).</w:t>
      </w:r>
    </w:p>
  </w:footnote>
  <w:footnote w:id="57">
    <w:p w14:paraId="6E4D57E6" w14:textId="77777777"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Contracts (Right of Third Parties) Act 1999</w:t>
      </w:r>
      <w:r w:rsidRPr="00CB128D">
        <w:rPr>
          <w:rFonts w:ascii="Times New Roman" w:hAnsi="Times New Roman" w:cs="Times New Roman"/>
        </w:rPr>
        <w:t>.</w:t>
      </w:r>
    </w:p>
  </w:footnote>
  <w:footnote w:id="58">
    <w:p w14:paraId="283211DC" w14:textId="77777777"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rPr>
        <w:t>Contracts (Privity) Act</w:t>
      </w:r>
      <w:r w:rsidRPr="00CB128D">
        <w:rPr>
          <w:rFonts w:ascii="Times New Roman" w:hAnsi="Times New Roman" w:cs="Times New Roman"/>
        </w:rPr>
        <w:t xml:space="preserve"> </w:t>
      </w:r>
      <w:r w:rsidRPr="00CB128D">
        <w:rPr>
          <w:rFonts w:ascii="Times New Roman" w:hAnsi="Times New Roman" w:cs="Times New Roman"/>
          <w:i/>
        </w:rPr>
        <w:t>1982</w:t>
      </w:r>
      <w:r w:rsidRPr="004A4D78">
        <w:rPr>
          <w:rFonts w:ascii="Times New Roman" w:hAnsi="Times New Roman" w:cs="Times New Roman"/>
        </w:rPr>
        <w:t>.</w:t>
      </w:r>
    </w:p>
  </w:footnote>
  <w:footnote w:id="59">
    <w:p w14:paraId="23E3EFC7" w14:textId="77777777"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lang w:val="en-US"/>
        </w:rPr>
        <w:t>Lawrence v Fox</w:t>
      </w:r>
      <w:r w:rsidRPr="00CB128D">
        <w:rPr>
          <w:rFonts w:ascii="Times New Roman" w:hAnsi="Times New Roman" w:cs="Times New Roman"/>
          <w:lang w:val="en-US"/>
        </w:rPr>
        <w:t xml:space="preserve"> 20 NY 268 (1859), </w:t>
      </w:r>
      <w:r w:rsidRPr="00CB128D">
        <w:rPr>
          <w:rFonts w:ascii="Times New Roman" w:hAnsi="Times New Roman" w:cs="Times New Roman"/>
          <w:i/>
          <w:lang w:val="en-US"/>
        </w:rPr>
        <w:t>Seaver v Ransom</w:t>
      </w:r>
      <w:r w:rsidRPr="004A4D78">
        <w:rPr>
          <w:rFonts w:ascii="Times New Roman" w:hAnsi="Times New Roman" w:cs="Times New Roman"/>
          <w:lang w:val="en-US"/>
        </w:rPr>
        <w:t xml:space="preserve"> 120 NE 639 (NY 1918). Cf. also the </w:t>
      </w:r>
      <w:r w:rsidRPr="004A4D78">
        <w:rPr>
          <w:rFonts w:ascii="Times New Roman" w:hAnsi="Times New Roman" w:cs="Times New Roman"/>
          <w:i/>
          <w:lang w:val="en-US"/>
        </w:rPr>
        <w:t xml:space="preserve">Restatement (Second) </w:t>
      </w:r>
      <w:r w:rsidRPr="00181643">
        <w:rPr>
          <w:rFonts w:ascii="Times New Roman" w:hAnsi="Times New Roman" w:cs="Times New Roman"/>
          <w:lang w:val="en-US"/>
        </w:rPr>
        <w:t xml:space="preserve">s 302(1) and 311(3), as well as </w:t>
      </w:r>
      <w:r w:rsidRPr="00181643">
        <w:rPr>
          <w:rFonts w:ascii="Times New Roman" w:hAnsi="Times New Roman" w:cs="Times New Roman"/>
          <w:i/>
          <w:lang w:val="en-US"/>
        </w:rPr>
        <w:t>Bourer v Devenes</w:t>
      </w:r>
      <w:r w:rsidRPr="00181643">
        <w:rPr>
          <w:rFonts w:ascii="Times New Roman" w:hAnsi="Times New Roman" w:cs="Times New Roman"/>
          <w:lang w:val="en-US"/>
        </w:rPr>
        <w:t xml:space="preserve"> 121 A 566 (Conn </w:t>
      </w:r>
      <w:r w:rsidRPr="00181643">
        <w:rPr>
          <w:rFonts w:ascii="Times New Roman" w:hAnsi="Times New Roman" w:cs="Times New Roman"/>
          <w:i/>
          <w:lang w:val="en-US"/>
        </w:rPr>
        <w:t>1923</w:t>
      </w:r>
      <w:r w:rsidRPr="00181643">
        <w:rPr>
          <w:rFonts w:ascii="Times New Roman" w:hAnsi="Times New Roman" w:cs="Times New Roman"/>
          <w:lang w:val="en-US"/>
        </w:rPr>
        <w:t>).</w:t>
      </w:r>
    </w:p>
  </w:footnote>
  <w:footnote w:id="60">
    <w:p w14:paraId="7A726A60" w14:textId="574F184C"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See Part III, Section B.2.</w:t>
      </w:r>
    </w:p>
  </w:footnote>
  <w:footnote w:id="61">
    <w:p w14:paraId="1267D0DA" w14:textId="7CD0C692"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As </w:t>
      </w:r>
      <w:r w:rsidRPr="00CB128D">
        <w:rPr>
          <w:rFonts w:ascii="Times New Roman" w:hAnsi="Times New Roman" w:cs="Times New Roman"/>
          <w:lang w:val="en-US"/>
        </w:rPr>
        <w:t xml:space="preserve">Zweigert and Kötz have noted, ‘the concept of contracts for the benefit of third parties has been far from receiving invariable acceptance’, in </w:t>
      </w:r>
      <w:r w:rsidRPr="00CB128D">
        <w:rPr>
          <w:rFonts w:ascii="Times New Roman" w:hAnsi="Times New Roman" w:cs="Times New Roman"/>
          <w:i/>
          <w:lang w:val="en-US"/>
        </w:rPr>
        <w:t>An Introduction to Comparative Law</w:t>
      </w:r>
      <w:r w:rsidRPr="00CB128D">
        <w:rPr>
          <w:rFonts w:ascii="Times New Roman" w:hAnsi="Times New Roman" w:cs="Times New Roman"/>
          <w:lang w:val="en-US"/>
        </w:rPr>
        <w:t xml:space="preserve">, </w:t>
      </w:r>
      <w:r w:rsidRPr="004A4D78">
        <w:rPr>
          <w:rFonts w:ascii="Times New Roman" w:hAnsi="Times New Roman" w:cs="Times New Roman"/>
          <w:i/>
          <w:lang w:val="en-US"/>
        </w:rPr>
        <w:t>supra</w:t>
      </w:r>
      <w:r w:rsidRPr="004A4D78">
        <w:rPr>
          <w:rFonts w:ascii="Times New Roman" w:hAnsi="Times New Roman" w:cs="Times New Roman"/>
          <w:lang w:val="en-US"/>
        </w:rPr>
        <w:t xml:space="preserve"> note 5</w:t>
      </w:r>
      <w:r w:rsidR="004A4D78">
        <w:rPr>
          <w:rFonts w:ascii="Times New Roman" w:hAnsi="Times New Roman" w:cs="Times New Roman"/>
          <w:lang w:val="en-US"/>
        </w:rPr>
        <w:t>1</w:t>
      </w:r>
      <w:r w:rsidRPr="004A4D78">
        <w:rPr>
          <w:rFonts w:ascii="Times New Roman" w:hAnsi="Times New Roman" w:cs="Times New Roman"/>
          <w:lang w:val="en-US"/>
        </w:rPr>
        <w:t xml:space="preserve">, at 457. For a comparison with Civil law system, cf. Art. 1414 Italian Civil Code, Art. 1121 French Civil Code, </w:t>
      </w:r>
      <w:r w:rsidRPr="004A4D78">
        <w:rPr>
          <w:rFonts w:ascii="Times New Roman" w:hAnsi="Times New Roman" w:cs="Times New Roman"/>
        </w:rPr>
        <w:t xml:space="preserve">§ 328 II </w:t>
      </w:r>
      <w:r w:rsidRPr="00181643">
        <w:rPr>
          <w:rFonts w:ascii="Times New Roman" w:hAnsi="Times New Roman" w:cs="Times New Roman"/>
          <w:i/>
          <w:lang w:val="de-DE"/>
        </w:rPr>
        <w:t>Bürgerliches Gesetzbuch</w:t>
      </w:r>
      <w:r w:rsidRPr="00181643">
        <w:rPr>
          <w:rFonts w:ascii="Times New Roman" w:hAnsi="Times New Roman" w:cs="Times New Roman"/>
          <w:lang w:val="en-US"/>
        </w:rPr>
        <w:t xml:space="preserve">, Art. 1446 Quebec Civil Code, Art. 6: 253 Dutch Civil Code. When reading these norms, it should be kept in mind that </w:t>
      </w:r>
    </w:p>
  </w:footnote>
  <w:footnote w:id="62">
    <w:p w14:paraId="4F3E1BEB" w14:textId="705ECD84"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Seddon et al, </w:t>
      </w:r>
      <w:r w:rsidRPr="00CB128D">
        <w:rPr>
          <w:rFonts w:ascii="Times New Roman" w:hAnsi="Times New Roman" w:cs="Times New Roman"/>
          <w:i/>
        </w:rPr>
        <w:t>Cheshire &amp; Fifoot Law of Contract, supra</w:t>
      </w:r>
      <w:r w:rsidRPr="00CB128D">
        <w:rPr>
          <w:rFonts w:ascii="Times New Roman" w:hAnsi="Times New Roman" w:cs="Times New Roman"/>
        </w:rPr>
        <w:t xml:space="preserve"> note </w:t>
      </w:r>
      <w:r w:rsidR="004A4D78">
        <w:rPr>
          <w:rFonts w:ascii="Times New Roman" w:hAnsi="Times New Roman" w:cs="Times New Roman"/>
        </w:rPr>
        <w:t>40</w:t>
      </w:r>
      <w:r w:rsidRPr="00CB128D">
        <w:rPr>
          <w:rFonts w:ascii="Times New Roman" w:hAnsi="Times New Roman" w:cs="Times New Roman"/>
        </w:rPr>
        <w:t>, at 307.</w:t>
      </w:r>
    </w:p>
  </w:footnote>
  <w:footnote w:id="63">
    <w:p w14:paraId="33C3E4EE" w14:textId="77777777"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lang w:val="en-US"/>
        </w:rPr>
        <w:t>Northern Sandblasting Pty Ltd v Harris</w:t>
      </w:r>
      <w:r w:rsidRPr="00CB128D">
        <w:rPr>
          <w:rFonts w:ascii="Times New Roman" w:hAnsi="Times New Roman" w:cs="Times New Roman"/>
          <w:lang w:val="en-US"/>
        </w:rPr>
        <w:t xml:space="preserve"> (1997) 188 LR 313; </w:t>
      </w:r>
      <w:r w:rsidRPr="00CB128D">
        <w:rPr>
          <w:rFonts w:ascii="Times New Roman" w:hAnsi="Times New Roman" w:cs="Times New Roman"/>
          <w:i/>
          <w:lang w:val="en-US"/>
        </w:rPr>
        <w:t>Jones v Bartlett</w:t>
      </w:r>
      <w:r w:rsidRPr="004A4D78">
        <w:rPr>
          <w:rFonts w:ascii="Times New Roman" w:hAnsi="Times New Roman" w:cs="Times New Roman"/>
          <w:lang w:val="en-US"/>
        </w:rPr>
        <w:t xml:space="preserve"> (2000) 205 CLR 166; </w:t>
      </w:r>
      <w:r w:rsidRPr="004A4D78">
        <w:rPr>
          <w:rFonts w:ascii="Times New Roman" w:hAnsi="Times New Roman" w:cs="Times New Roman"/>
          <w:i/>
          <w:lang w:val="en-US"/>
        </w:rPr>
        <w:t>The Bell Group Ltd (in liq) v Westpac Banking Corporation [No 9]</w:t>
      </w:r>
      <w:r w:rsidRPr="00181643">
        <w:rPr>
          <w:rFonts w:ascii="Times New Roman" w:hAnsi="Times New Roman" w:cs="Times New Roman"/>
          <w:lang w:val="en-US"/>
        </w:rPr>
        <w:t xml:space="preserve"> (2008) 22 FLR.</w:t>
      </w:r>
    </w:p>
  </w:footnote>
  <w:footnote w:id="64">
    <w:p w14:paraId="0078F3F4" w14:textId="7FFF322B"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Clarke and Clarke, </w:t>
      </w:r>
      <w:r w:rsidRPr="00CB128D">
        <w:rPr>
          <w:rFonts w:ascii="Times New Roman" w:hAnsi="Times New Roman" w:cs="Times New Roman"/>
          <w:i/>
        </w:rPr>
        <w:t>Contract Law. Commentaries, Cases and Perspectives</w:t>
      </w:r>
      <w:r w:rsidRPr="00CB128D">
        <w:rPr>
          <w:rFonts w:ascii="Times New Roman" w:hAnsi="Times New Roman" w:cs="Times New Roman"/>
        </w:rPr>
        <w:t xml:space="preserve">, </w:t>
      </w:r>
      <w:r w:rsidRPr="004A4D78">
        <w:rPr>
          <w:rFonts w:ascii="Times New Roman" w:hAnsi="Times New Roman" w:cs="Times New Roman"/>
          <w:i/>
        </w:rPr>
        <w:t>supra</w:t>
      </w:r>
      <w:r w:rsidRPr="004A4D78">
        <w:rPr>
          <w:rFonts w:ascii="Times New Roman" w:hAnsi="Times New Roman" w:cs="Times New Roman"/>
        </w:rPr>
        <w:t xml:space="preserve"> note 3</w:t>
      </w:r>
      <w:r w:rsidR="004A4D78">
        <w:rPr>
          <w:rFonts w:ascii="Times New Roman" w:hAnsi="Times New Roman" w:cs="Times New Roman"/>
        </w:rPr>
        <w:t>8</w:t>
      </w:r>
      <w:r w:rsidRPr="004A4D78">
        <w:rPr>
          <w:rFonts w:ascii="Times New Roman" w:hAnsi="Times New Roman" w:cs="Times New Roman"/>
        </w:rPr>
        <w:t>, at 233.</w:t>
      </w:r>
    </w:p>
  </w:footnote>
  <w:footnote w:id="65">
    <w:p w14:paraId="6FAA4E9A" w14:textId="158FBECC"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[1915] AC 847.</w:t>
      </w:r>
    </w:p>
  </w:footnote>
  <w:footnote w:id="66">
    <w:p w14:paraId="589DAF22" w14:textId="77777777"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(1980) 144 CLR 300.</w:t>
      </w:r>
    </w:p>
  </w:footnote>
  <w:footnote w:id="67">
    <w:p w14:paraId="7D325EF7" w14:textId="77777777"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(1988) 164 CLR 387.</w:t>
      </w:r>
    </w:p>
  </w:footnote>
  <w:footnote w:id="68">
    <w:p w14:paraId="10722823" w14:textId="77777777"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(1988) 165 CLR 107. </w:t>
      </w:r>
    </w:p>
  </w:footnote>
  <w:footnote w:id="69">
    <w:p w14:paraId="307647D2" w14:textId="38199602"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US"/>
        </w:rPr>
        <w:t>For a detailed description of other scenarios, such as covenants affecting land, nominee options and sales, etc., see Seldon et al,</w:t>
      </w:r>
      <w:r w:rsidRPr="00181643">
        <w:rPr>
          <w:rFonts w:ascii="Times New Roman" w:hAnsi="Times New Roman" w:cs="Times New Roman"/>
          <w:i/>
          <w:sz w:val="22"/>
          <w:szCs w:val="22"/>
        </w:rPr>
        <w:t xml:space="preserve"> </w:t>
      </w:r>
      <w:r w:rsidRPr="00181643">
        <w:rPr>
          <w:rFonts w:ascii="Times New Roman" w:hAnsi="Times New Roman" w:cs="Times New Roman"/>
          <w:i/>
        </w:rPr>
        <w:t>Cheshire &amp; Fifoot Law of Contract</w:t>
      </w:r>
      <w:r w:rsidRPr="00181643">
        <w:rPr>
          <w:rFonts w:ascii="Times New Roman" w:hAnsi="Times New Roman" w:cs="Times New Roman"/>
          <w:lang w:val="en-US"/>
        </w:rPr>
        <w:t xml:space="preserve"> (2012), pp. 315-23.</w:t>
      </w:r>
    </w:p>
  </w:footnote>
  <w:footnote w:id="70">
    <w:p w14:paraId="1EEA2897" w14:textId="0FDCF086"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Carter, </w:t>
      </w:r>
      <w:r w:rsidRPr="00CB128D">
        <w:rPr>
          <w:rFonts w:ascii="Times New Roman" w:hAnsi="Times New Roman" w:cs="Times New Roman"/>
          <w:i/>
        </w:rPr>
        <w:t>Contract Law in Australia</w:t>
      </w:r>
      <w:r w:rsidRPr="00CB128D">
        <w:rPr>
          <w:rFonts w:ascii="Times New Roman" w:hAnsi="Times New Roman" w:cs="Times New Roman"/>
        </w:rPr>
        <w:t xml:space="preserve">, </w:t>
      </w:r>
      <w:r w:rsidRPr="004A4D78">
        <w:rPr>
          <w:rFonts w:ascii="Times New Roman" w:hAnsi="Times New Roman" w:cs="Times New Roman"/>
          <w:i/>
        </w:rPr>
        <w:t xml:space="preserve"> supra</w:t>
      </w:r>
      <w:r w:rsidRPr="004A4D78">
        <w:rPr>
          <w:rFonts w:ascii="Times New Roman" w:hAnsi="Times New Roman" w:cs="Times New Roman"/>
        </w:rPr>
        <w:t xml:space="preserve"> note 3</w:t>
      </w:r>
      <w:r w:rsidR="004A4D78">
        <w:rPr>
          <w:rFonts w:ascii="Times New Roman" w:hAnsi="Times New Roman" w:cs="Times New Roman"/>
        </w:rPr>
        <w:t>8</w:t>
      </w:r>
      <w:r w:rsidRPr="004A4D78">
        <w:rPr>
          <w:rFonts w:ascii="Times New Roman" w:hAnsi="Times New Roman" w:cs="Times New Roman"/>
        </w:rPr>
        <w:t xml:space="preserve">, at 351-55; Seddon et al, </w:t>
      </w:r>
      <w:r w:rsidRPr="004A4D78">
        <w:rPr>
          <w:rFonts w:ascii="Times New Roman" w:hAnsi="Times New Roman" w:cs="Times New Roman"/>
          <w:i/>
        </w:rPr>
        <w:t>Cheshire &amp; Fifoot Law of Contract</w:t>
      </w:r>
      <w:r w:rsidRPr="004A4D78">
        <w:rPr>
          <w:rFonts w:ascii="Times New Roman" w:hAnsi="Times New Roman" w:cs="Times New Roman"/>
        </w:rPr>
        <w:t>,</w:t>
      </w:r>
      <w:r w:rsidRPr="004A4D78">
        <w:rPr>
          <w:rFonts w:ascii="Times New Roman" w:hAnsi="Times New Roman" w:cs="Times New Roman"/>
          <w:i/>
        </w:rPr>
        <w:t xml:space="preserve"> supra</w:t>
      </w:r>
      <w:r w:rsidRPr="004A4D78">
        <w:rPr>
          <w:rFonts w:ascii="Times New Roman" w:hAnsi="Times New Roman" w:cs="Times New Roman"/>
        </w:rPr>
        <w:t xml:space="preserve"> note </w:t>
      </w:r>
      <w:r w:rsidR="004A4D78">
        <w:rPr>
          <w:rFonts w:ascii="Times New Roman" w:hAnsi="Times New Roman" w:cs="Times New Roman"/>
        </w:rPr>
        <w:t>40</w:t>
      </w:r>
      <w:r w:rsidRPr="004A4D78">
        <w:rPr>
          <w:rFonts w:ascii="Times New Roman" w:hAnsi="Times New Roman" w:cs="Times New Roman"/>
        </w:rPr>
        <w:t xml:space="preserve">, at 136; Paterson et al, </w:t>
      </w:r>
      <w:r w:rsidRPr="004A4D78">
        <w:rPr>
          <w:rFonts w:ascii="Times New Roman" w:hAnsi="Times New Roman" w:cs="Times New Roman"/>
          <w:i/>
        </w:rPr>
        <w:t>Principles of Contract Law, supra</w:t>
      </w:r>
      <w:r w:rsidRPr="004A4D78">
        <w:rPr>
          <w:rFonts w:ascii="Times New Roman" w:hAnsi="Times New Roman" w:cs="Times New Roman"/>
        </w:rPr>
        <w:t xml:space="preserve"> note 4</w:t>
      </w:r>
      <w:r w:rsidR="004A4D78">
        <w:rPr>
          <w:rFonts w:ascii="Times New Roman" w:hAnsi="Times New Roman" w:cs="Times New Roman"/>
        </w:rPr>
        <w:t>1</w:t>
      </w:r>
      <w:r w:rsidRPr="004A4D78">
        <w:rPr>
          <w:rFonts w:ascii="Times New Roman" w:hAnsi="Times New Roman" w:cs="Times New Roman"/>
        </w:rPr>
        <w:t xml:space="preserve">, at 263; Gooley et al, </w:t>
      </w:r>
      <w:r w:rsidRPr="004A4D78">
        <w:rPr>
          <w:rFonts w:ascii="Times New Roman" w:hAnsi="Times New Roman" w:cs="Times New Roman"/>
          <w:i/>
        </w:rPr>
        <w:t>Principles of Australian Contract Law</w:t>
      </w:r>
      <w:r w:rsidRPr="004A4D78">
        <w:rPr>
          <w:rFonts w:ascii="Times New Roman" w:hAnsi="Times New Roman" w:cs="Times New Roman"/>
        </w:rPr>
        <w:t xml:space="preserve">, </w:t>
      </w:r>
      <w:r w:rsidRPr="004A4D78">
        <w:rPr>
          <w:rFonts w:ascii="Times New Roman" w:hAnsi="Times New Roman" w:cs="Times New Roman"/>
          <w:i/>
        </w:rPr>
        <w:t>supra</w:t>
      </w:r>
      <w:r w:rsidRPr="004A4D78">
        <w:rPr>
          <w:rFonts w:ascii="Times New Roman" w:hAnsi="Times New Roman" w:cs="Times New Roman"/>
        </w:rPr>
        <w:t xml:space="preserve"> note 4</w:t>
      </w:r>
      <w:r w:rsidR="004A4D78">
        <w:rPr>
          <w:rFonts w:ascii="Times New Roman" w:hAnsi="Times New Roman" w:cs="Times New Roman"/>
        </w:rPr>
        <w:t>8</w:t>
      </w:r>
      <w:r w:rsidRPr="004A4D78">
        <w:rPr>
          <w:rFonts w:ascii="Times New Roman" w:hAnsi="Times New Roman" w:cs="Times New Roman"/>
        </w:rPr>
        <w:t>, at 705.</w:t>
      </w:r>
    </w:p>
  </w:footnote>
  <w:footnote w:id="71">
    <w:p w14:paraId="55165217" w14:textId="491087CE"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lang w:val="en-US"/>
        </w:rPr>
        <w:t xml:space="preserve">Lindy Willmott, Sharon Christensen, Des Butler, and Bill Dixon, </w:t>
      </w:r>
      <w:r w:rsidRPr="00CB128D">
        <w:rPr>
          <w:rFonts w:ascii="Times New Roman" w:hAnsi="Times New Roman" w:cs="Times New Roman"/>
          <w:i/>
          <w:lang w:val="en-US"/>
        </w:rPr>
        <w:t>Contract Law</w:t>
      </w:r>
      <w:r w:rsidRPr="00CB128D">
        <w:rPr>
          <w:rFonts w:ascii="Times New Roman" w:hAnsi="Times New Roman" w:cs="Times New Roman"/>
          <w:lang w:val="en-US"/>
        </w:rPr>
        <w:t>, 4</w:t>
      </w:r>
      <w:r w:rsidRPr="00CB128D">
        <w:rPr>
          <w:rFonts w:ascii="Times New Roman" w:hAnsi="Times New Roman" w:cs="Times New Roman"/>
          <w:vertAlign w:val="superscript"/>
          <w:lang w:val="en-US"/>
        </w:rPr>
        <w:t>th</w:t>
      </w:r>
      <w:r w:rsidRPr="004A4D78">
        <w:rPr>
          <w:rFonts w:ascii="Times New Roman" w:hAnsi="Times New Roman" w:cs="Times New Roman"/>
          <w:lang w:val="en-US"/>
        </w:rPr>
        <w:t xml:space="preserve"> edn (2013), p. 166.</w:t>
      </w:r>
    </w:p>
  </w:footnote>
  <w:footnote w:id="72">
    <w:p w14:paraId="7D0E4800" w14:textId="40016D1B" w:rsidR="00181643" w:rsidRPr="004A4D78" w:rsidRDefault="00181643">
      <w:pPr>
        <w:pStyle w:val="FootnoteText"/>
        <w:jc w:val="both"/>
        <w:rPr>
          <w:rFonts w:ascii="Times New Roman" w:hAnsi="Times New Roman" w:cs="Times New Roman"/>
          <w:lang w:val="en-ZA"/>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ZA"/>
        </w:rPr>
        <w:t xml:space="preserve">A case which was considered in </w:t>
      </w:r>
      <w:r w:rsidRPr="00CB128D">
        <w:rPr>
          <w:rFonts w:ascii="Times New Roman" w:hAnsi="Times New Roman" w:cs="Times New Roman"/>
          <w:i/>
          <w:lang w:val="en-GB"/>
        </w:rPr>
        <w:t>Baird Textile Holdings Ltd v Marks and Spencer plc</w:t>
      </w:r>
      <w:r w:rsidRPr="004A4D78">
        <w:rPr>
          <w:rFonts w:ascii="Times New Roman" w:hAnsi="Times New Roman" w:cs="Times New Roman"/>
          <w:lang w:val="en-ZA"/>
        </w:rPr>
        <w:t xml:space="preserve"> [2001] EWCA Civ 274, discussed below in Part III, Section C.2.1.</w:t>
      </w:r>
    </w:p>
  </w:footnote>
  <w:footnote w:id="73">
    <w:p w14:paraId="067A8AAE" w14:textId="5AE9B502"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At 428-</w:t>
      </w:r>
      <w:r w:rsidRPr="00CB128D">
        <w:rPr>
          <w:rFonts w:ascii="Times New Roman" w:hAnsi="Times New Roman" w:cs="Times New Roman"/>
        </w:rPr>
        <w:t xml:space="preserve">9. According to his Honour, ‘. . . to establish an equitable estoppel, it is necessary for a plaintiff to prove that (1) the plaintiff assumed that a particular legal relationship then existed between the plaintiff and the defendant or expected that a particular legal relationship would exist between them and, in the latter case, that the defendant would not be free </w:t>
      </w:r>
      <w:r w:rsidRPr="00181643">
        <w:rPr>
          <w:rFonts w:ascii="Times New Roman" w:hAnsi="Times New Roman" w:cs="Times New Roman"/>
        </w:rPr>
        <w:t>to withdraw from the expected legal relationship; (2) the defendant has induced the plaintiff to adopt that assumption or expectation; (3) the plaintiff acts or abstains from acting in reliance on the assumption or expectation; (4) the defendant knew or intended him to do so; (5) the plaintiff’s action or inaction will occasion detriment if the assumption or expectation is not fulfilled; and (6) the defendant has failed to act to avoid that detriment whether by fulfilling the assumption or expectation or otherwise. For the purposes of the second element, a defendant who has not actively induced the plaintiff to adopt an assumption or expectation will nevertheless be held to have done so if the assumption or expectation can be fulfilled only by a transfer of the defendant’s property, a diminution of his rights or an increase in his obligations and he, knowing that the plaintiff’s reliance on the assumption or expectation may cause detriment to the plaintiff if it is not fulfilled, fails to deny to the plaintiff the correctness of the assumption or expectation on which the plaintiff is conducting his affairs’.</w:t>
      </w:r>
    </w:p>
  </w:footnote>
  <w:footnote w:id="74">
    <w:p w14:paraId="0186EF2A" w14:textId="2A03F336"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rPr>
        <w:t xml:space="preserve">Gooley et al, </w:t>
      </w:r>
      <w:r w:rsidRPr="00CB128D">
        <w:rPr>
          <w:rFonts w:ascii="Times New Roman" w:hAnsi="Times New Roman" w:cs="Times New Roman"/>
          <w:i/>
        </w:rPr>
        <w:t>Principles of Australian Contract Law, supra</w:t>
      </w:r>
      <w:r w:rsidRPr="00CB128D">
        <w:rPr>
          <w:rFonts w:ascii="Times New Roman" w:hAnsi="Times New Roman" w:cs="Times New Roman"/>
        </w:rPr>
        <w:t xml:space="preserve"> note 4</w:t>
      </w:r>
      <w:r w:rsidR="004A4D78">
        <w:rPr>
          <w:rFonts w:ascii="Times New Roman" w:hAnsi="Times New Roman" w:cs="Times New Roman"/>
        </w:rPr>
        <w:t>8</w:t>
      </w:r>
      <w:r w:rsidRPr="00CB128D">
        <w:rPr>
          <w:rFonts w:ascii="Times New Roman" w:hAnsi="Times New Roman" w:cs="Times New Roman"/>
        </w:rPr>
        <w:t>, at 730.</w:t>
      </w:r>
    </w:p>
  </w:footnote>
  <w:footnote w:id="75">
    <w:p w14:paraId="4E360AA3" w14:textId="749630BC"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For an introduction within the comparative law literature, see Zweigert and Kötz, </w:t>
      </w:r>
      <w:r w:rsidRPr="00CB128D">
        <w:rPr>
          <w:rFonts w:ascii="Times New Roman" w:hAnsi="Times New Roman" w:cs="Times New Roman"/>
          <w:i/>
        </w:rPr>
        <w:t>An Introduction to Comparative Law</w:t>
      </w:r>
      <w:r w:rsidRPr="00CB128D">
        <w:rPr>
          <w:rFonts w:ascii="Times New Roman" w:hAnsi="Times New Roman" w:cs="Times New Roman"/>
        </w:rPr>
        <w:t xml:space="preserve">, </w:t>
      </w:r>
      <w:r w:rsidRPr="00CB128D">
        <w:rPr>
          <w:rFonts w:ascii="Times New Roman" w:hAnsi="Times New Roman" w:cs="Times New Roman"/>
          <w:i/>
        </w:rPr>
        <w:t>supra</w:t>
      </w:r>
      <w:r w:rsidRPr="004A4D78">
        <w:rPr>
          <w:rFonts w:ascii="Times New Roman" w:hAnsi="Times New Roman" w:cs="Times New Roman"/>
        </w:rPr>
        <w:t xml:space="preserve"> note 5</w:t>
      </w:r>
      <w:r w:rsidR="004A4D78">
        <w:rPr>
          <w:rFonts w:ascii="Times New Roman" w:hAnsi="Times New Roman" w:cs="Times New Roman"/>
        </w:rPr>
        <w:t>1</w:t>
      </w:r>
      <w:r w:rsidRPr="004A4D78">
        <w:rPr>
          <w:rFonts w:ascii="Times New Roman" w:hAnsi="Times New Roman" w:cs="Times New Roman"/>
        </w:rPr>
        <w:t>, at 469.</w:t>
      </w:r>
    </w:p>
  </w:footnote>
  <w:footnote w:id="76">
    <w:p w14:paraId="39879A2F" w14:textId="42EB5E95"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For a critical analysis of this aspect, see Birds’ suggestion that the parties known but not </w:t>
      </w:r>
      <w:r w:rsidRPr="00CB128D">
        <w:rPr>
          <w:rFonts w:ascii="Times New Roman" w:hAnsi="Times New Roman" w:cs="Times New Roman"/>
        </w:rPr>
        <w:t>named should be categorised as “co-assureds”, in “Recent Common Law Developments Regarding Ins</w:t>
      </w:r>
      <w:r w:rsidRPr="00181643">
        <w:rPr>
          <w:rFonts w:ascii="Times New Roman" w:hAnsi="Times New Roman" w:cs="Times New Roman"/>
        </w:rPr>
        <w:t xml:space="preserve">urance Interest and Subrogation”, </w:t>
      </w:r>
      <w:r w:rsidRPr="00181643">
        <w:rPr>
          <w:rFonts w:ascii="Times New Roman" w:hAnsi="Times New Roman" w:cs="Times New Roman"/>
          <w:i/>
        </w:rPr>
        <w:t>Insurance Law Journal</w:t>
      </w:r>
      <w:r w:rsidRPr="00181643">
        <w:rPr>
          <w:rFonts w:ascii="Times New Roman" w:hAnsi="Times New Roman" w:cs="Times New Roman"/>
        </w:rPr>
        <w:t>,  I (1988), p. 171.</w:t>
      </w:r>
    </w:p>
  </w:footnote>
  <w:footnote w:id="77">
    <w:p w14:paraId="2626DF06" w14:textId="0D29AE9A"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This was also stated in </w:t>
      </w:r>
      <w:r w:rsidRPr="00CB128D">
        <w:rPr>
          <w:rFonts w:ascii="Times New Roman" w:hAnsi="Times New Roman" w:cs="Times New Roman"/>
          <w:i/>
          <w:lang w:val="en-US"/>
        </w:rPr>
        <w:t>Coulls v Bagot’s Exectuor &amp; Trustee Co Ltd</w:t>
      </w:r>
      <w:r w:rsidRPr="00CB128D">
        <w:rPr>
          <w:rFonts w:ascii="Times New Roman" w:hAnsi="Times New Roman" w:cs="Times New Roman"/>
          <w:lang w:val="en-US"/>
        </w:rPr>
        <w:t xml:space="preserve"> (1967) 119 CLR 460. </w:t>
      </w:r>
    </w:p>
  </w:footnote>
  <w:footnote w:id="78">
    <w:p w14:paraId="0AA5FC44" w14:textId="2D0BDBC9"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US"/>
        </w:rPr>
        <w:t xml:space="preserve">One year after, in </w:t>
      </w:r>
      <w:r w:rsidRPr="00CB128D">
        <w:rPr>
          <w:rFonts w:ascii="Times New Roman" w:hAnsi="Times New Roman" w:cs="Times New Roman"/>
          <w:i/>
          <w:lang w:val="en-US"/>
        </w:rPr>
        <w:t>Barroora Pty Ltd v Provincial Insurance (Aust) Ltd</w:t>
      </w:r>
      <w:r w:rsidRPr="00CB128D">
        <w:rPr>
          <w:rFonts w:ascii="Times New Roman" w:hAnsi="Times New Roman" w:cs="Times New Roman"/>
          <w:lang w:val="en-US"/>
        </w:rPr>
        <w:t xml:space="preserve"> (1988) 7 ANZ Ins C</w:t>
      </w:r>
      <w:r w:rsidRPr="004A4D78">
        <w:rPr>
          <w:rFonts w:ascii="Times New Roman" w:hAnsi="Times New Roman" w:cs="Times New Roman"/>
          <w:lang w:val="en-US"/>
        </w:rPr>
        <w:t xml:space="preserve">as 61-103, the New South Wales Supreme Court held that the </w:t>
      </w:r>
      <w:r w:rsidRPr="00181643">
        <w:rPr>
          <w:rFonts w:ascii="Times New Roman" w:hAnsi="Times New Roman" w:cs="Times New Roman"/>
          <w:i/>
          <w:lang w:val="en-US"/>
        </w:rPr>
        <w:t>Trident</w:t>
      </w:r>
      <w:r w:rsidRPr="00181643">
        <w:rPr>
          <w:rFonts w:ascii="Times New Roman" w:hAnsi="Times New Roman" w:cs="Times New Roman"/>
          <w:lang w:val="en-US"/>
        </w:rPr>
        <w:t xml:space="preserve"> exception is also applicable to property insurance contracts.</w:t>
      </w:r>
    </w:p>
  </w:footnote>
  <w:footnote w:id="79">
    <w:p w14:paraId="3C46AA4B" w14:textId="1E18C5CC"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Peter Kincaid, </w:t>
      </w:r>
      <w:r w:rsidRPr="00CB128D">
        <w:rPr>
          <w:rFonts w:ascii="Times New Roman" w:hAnsi="Times New Roman" w:cs="Times New Roman"/>
        </w:rPr>
        <w:t xml:space="preserve">“Third Parties: Rationalising a Right to Sue”, </w:t>
      </w:r>
      <w:r w:rsidRPr="00CB128D">
        <w:rPr>
          <w:rFonts w:ascii="Times New Roman" w:hAnsi="Times New Roman" w:cs="Times New Roman"/>
          <w:i/>
        </w:rPr>
        <w:t>The Cambridge Law Journal</w:t>
      </w:r>
      <w:r w:rsidRPr="00CB128D">
        <w:rPr>
          <w:rFonts w:ascii="Times New Roman" w:hAnsi="Times New Roman" w:cs="Times New Roman"/>
        </w:rPr>
        <w:t xml:space="preserve">,  XLVIII (1989), p. 243; </w:t>
      </w:r>
      <w:r w:rsidRPr="004A4D78">
        <w:rPr>
          <w:rFonts w:ascii="Times New Roman" w:hAnsi="Times New Roman" w:cs="Times New Roman"/>
          <w:i/>
        </w:rPr>
        <w:t>id</w:t>
      </w:r>
      <w:r w:rsidRPr="004A4D78">
        <w:rPr>
          <w:rFonts w:ascii="Times New Roman" w:hAnsi="Times New Roman" w:cs="Times New Roman"/>
        </w:rPr>
        <w:t>. “Privity</w:t>
      </w:r>
      <w:r w:rsidRPr="00181643">
        <w:rPr>
          <w:rFonts w:ascii="Times New Roman" w:hAnsi="Times New Roman" w:cs="Times New Roman"/>
        </w:rPr>
        <w:t xml:space="preserve"> and the Essence of Contract”, </w:t>
      </w:r>
      <w:r w:rsidRPr="00181643">
        <w:rPr>
          <w:rFonts w:ascii="Times New Roman" w:hAnsi="Times New Roman" w:cs="Times New Roman"/>
          <w:i/>
        </w:rPr>
        <w:t>University of New South Wales Law Journal</w:t>
      </w:r>
      <w:r w:rsidRPr="00181643">
        <w:rPr>
          <w:rFonts w:ascii="Times New Roman" w:hAnsi="Times New Roman" w:cs="Times New Roman"/>
        </w:rPr>
        <w:t xml:space="preserve">, XII (1989), p. 59; </w:t>
      </w:r>
      <w:r w:rsidRPr="00181643">
        <w:rPr>
          <w:rFonts w:ascii="Times New Roman" w:hAnsi="Times New Roman" w:cs="Times New Roman"/>
          <w:i/>
        </w:rPr>
        <w:t>id</w:t>
      </w:r>
      <w:r w:rsidRPr="00181643">
        <w:rPr>
          <w:rFonts w:ascii="Times New Roman" w:hAnsi="Times New Roman" w:cs="Times New Roman"/>
        </w:rPr>
        <w:t xml:space="preserve">. “The U.K. Law Commission’s Privity Proposals and Contract Theory”, </w:t>
      </w:r>
      <w:r w:rsidRPr="00181643">
        <w:rPr>
          <w:rFonts w:ascii="Times New Roman" w:hAnsi="Times New Roman" w:cs="Times New Roman"/>
          <w:i/>
        </w:rPr>
        <w:t>Journal of Contract Law</w:t>
      </w:r>
      <w:r w:rsidRPr="00181643">
        <w:rPr>
          <w:rFonts w:ascii="Times New Roman" w:hAnsi="Times New Roman" w:cs="Times New Roman"/>
        </w:rPr>
        <w:t xml:space="preserve"> VIII (1994), p. 51.</w:t>
      </w:r>
    </w:p>
  </w:footnote>
  <w:footnote w:id="80">
    <w:p w14:paraId="7DFFD32A" w14:textId="40D89F7F"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McKendrick and Liu, </w:t>
      </w:r>
      <w:r w:rsidRPr="00CB128D">
        <w:rPr>
          <w:rFonts w:ascii="Times New Roman" w:hAnsi="Times New Roman" w:cs="Times New Roman"/>
          <w:i/>
        </w:rPr>
        <w:t>Contract Law: Australian Edition</w:t>
      </w:r>
      <w:r w:rsidRPr="00CB128D">
        <w:rPr>
          <w:rFonts w:ascii="Times New Roman" w:hAnsi="Times New Roman" w:cs="Times New Roman"/>
        </w:rPr>
        <w:t xml:space="preserve">, </w:t>
      </w:r>
      <w:r w:rsidRPr="004A4D78">
        <w:rPr>
          <w:rFonts w:ascii="Times New Roman" w:hAnsi="Times New Roman" w:cs="Times New Roman"/>
          <w:i/>
        </w:rPr>
        <w:t>supra</w:t>
      </w:r>
      <w:r w:rsidRPr="004A4D78">
        <w:rPr>
          <w:rFonts w:ascii="Times New Roman" w:hAnsi="Times New Roman" w:cs="Times New Roman"/>
        </w:rPr>
        <w:t xml:space="preserve"> note 4</w:t>
      </w:r>
      <w:r w:rsidR="004A4D78">
        <w:rPr>
          <w:rFonts w:ascii="Times New Roman" w:hAnsi="Times New Roman" w:cs="Times New Roman"/>
        </w:rPr>
        <w:t>1</w:t>
      </w:r>
      <w:r w:rsidRPr="004A4D78">
        <w:rPr>
          <w:rFonts w:ascii="Times New Roman" w:hAnsi="Times New Roman" w:cs="Times New Roman"/>
        </w:rPr>
        <w:t xml:space="preserve">, at 165. Cf. </w:t>
      </w:r>
      <w:r w:rsidRPr="004A4D78">
        <w:rPr>
          <w:rFonts w:ascii="Times New Roman" w:hAnsi="Times New Roman" w:cs="Times New Roman"/>
          <w:i/>
        </w:rPr>
        <w:t>Dalton v Ellis; Estate of Bristow</w:t>
      </w:r>
      <w:r w:rsidRPr="004A4D78">
        <w:rPr>
          <w:rFonts w:ascii="Times New Roman" w:hAnsi="Times New Roman" w:cs="Times New Roman"/>
        </w:rPr>
        <w:t xml:space="preserve"> (2005) 65 NSWLR 134; </w:t>
      </w:r>
      <w:r w:rsidRPr="00181643">
        <w:rPr>
          <w:rFonts w:ascii="Times New Roman" w:hAnsi="Times New Roman" w:cs="Times New Roman"/>
          <w:i/>
        </w:rPr>
        <w:t>Sims v Bond</w:t>
      </w:r>
      <w:r w:rsidRPr="00181643">
        <w:rPr>
          <w:rFonts w:ascii="Times New Roman" w:hAnsi="Times New Roman" w:cs="Times New Roman"/>
        </w:rPr>
        <w:t xml:space="preserve"> (1883) 5 B &amp; Ad 389; </w:t>
      </w:r>
      <w:r w:rsidRPr="00181643">
        <w:rPr>
          <w:rFonts w:ascii="Times New Roman" w:hAnsi="Times New Roman" w:cs="Times New Roman"/>
          <w:i/>
        </w:rPr>
        <w:t>Morris v Cleasby</w:t>
      </w:r>
      <w:r w:rsidRPr="00181643">
        <w:rPr>
          <w:rFonts w:ascii="Times New Roman" w:hAnsi="Times New Roman" w:cs="Times New Roman"/>
        </w:rPr>
        <w:t xml:space="preserve"> (1816) 4 M &amp; S 566; </w:t>
      </w:r>
      <w:r w:rsidRPr="00181643">
        <w:rPr>
          <w:rFonts w:ascii="Times New Roman" w:hAnsi="Times New Roman" w:cs="Times New Roman"/>
          <w:i/>
          <w:lang w:val="en-US"/>
        </w:rPr>
        <w:t>New Zealand Shipping C Ltd v AM Satterthwaite &amp; Co Lt (“The Eurymedon”)</w:t>
      </w:r>
      <w:r w:rsidRPr="00181643">
        <w:rPr>
          <w:rFonts w:ascii="Times New Roman" w:hAnsi="Times New Roman" w:cs="Times New Roman"/>
          <w:lang w:val="en-US"/>
        </w:rPr>
        <w:t xml:space="preserve"> [1975] AC 154.</w:t>
      </w:r>
    </w:p>
  </w:footnote>
  <w:footnote w:id="81">
    <w:p w14:paraId="657C3676" w14:textId="29F558DF"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Carter, </w:t>
      </w:r>
      <w:r w:rsidRPr="00CB128D">
        <w:rPr>
          <w:rFonts w:ascii="Times New Roman" w:hAnsi="Times New Roman" w:cs="Times New Roman"/>
          <w:i/>
        </w:rPr>
        <w:t>Contract Law in Australia</w:t>
      </w:r>
      <w:r w:rsidRPr="00CB128D">
        <w:rPr>
          <w:rFonts w:ascii="Times New Roman" w:hAnsi="Times New Roman" w:cs="Times New Roman"/>
        </w:rPr>
        <w:t xml:space="preserve">, </w:t>
      </w:r>
      <w:r w:rsidRPr="00CB128D">
        <w:rPr>
          <w:rFonts w:ascii="Times New Roman" w:hAnsi="Times New Roman" w:cs="Times New Roman"/>
          <w:i/>
        </w:rPr>
        <w:t>supra</w:t>
      </w:r>
      <w:r w:rsidRPr="004A4D78">
        <w:rPr>
          <w:rFonts w:ascii="Times New Roman" w:hAnsi="Times New Roman" w:cs="Times New Roman"/>
        </w:rPr>
        <w:t xml:space="preserve"> note 3</w:t>
      </w:r>
      <w:r w:rsidR="004A4D78">
        <w:rPr>
          <w:rFonts w:ascii="Times New Roman" w:hAnsi="Times New Roman" w:cs="Times New Roman"/>
        </w:rPr>
        <w:t>8</w:t>
      </w:r>
      <w:r w:rsidRPr="004A4D78">
        <w:rPr>
          <w:rFonts w:ascii="Times New Roman" w:hAnsi="Times New Roman" w:cs="Times New Roman"/>
        </w:rPr>
        <w:t>, at 338–40.</w:t>
      </w:r>
      <w:r w:rsidRPr="004A4D78">
        <w:rPr>
          <w:rFonts w:ascii="Times New Roman" w:hAnsi="Times New Roman" w:cs="Times New Roman"/>
          <w:lang w:val="en-US"/>
        </w:rPr>
        <w:t xml:space="preserve"> For a detailed list of other exceptions, such as covenants affecting land, contracts for the sale of land, and marriage settlements, see Paterson et al, </w:t>
      </w:r>
      <w:r w:rsidRPr="00181643">
        <w:rPr>
          <w:rFonts w:ascii="Times New Roman" w:hAnsi="Times New Roman" w:cs="Times New Roman"/>
          <w:i/>
        </w:rPr>
        <w:t>Principles of Contract Law</w:t>
      </w:r>
      <w:r w:rsidRPr="00181643">
        <w:rPr>
          <w:rFonts w:ascii="Times New Roman" w:hAnsi="Times New Roman" w:cs="Times New Roman"/>
          <w:lang w:val="en-US"/>
        </w:rPr>
        <w:t>,</w:t>
      </w:r>
      <w:r w:rsidRPr="00181643">
        <w:rPr>
          <w:rFonts w:ascii="Times New Roman" w:hAnsi="Times New Roman" w:cs="Times New Roman"/>
          <w:i/>
          <w:lang w:val="en-US"/>
        </w:rPr>
        <w:t xml:space="preserve"> supra</w:t>
      </w:r>
      <w:r w:rsidRPr="00181643">
        <w:rPr>
          <w:rFonts w:ascii="Times New Roman" w:hAnsi="Times New Roman" w:cs="Times New Roman"/>
          <w:lang w:val="en-US"/>
        </w:rPr>
        <w:t xml:space="preserve"> note 4</w:t>
      </w:r>
      <w:r w:rsidR="004A4D78">
        <w:rPr>
          <w:rFonts w:ascii="Times New Roman" w:hAnsi="Times New Roman" w:cs="Times New Roman"/>
          <w:lang w:val="en-US"/>
        </w:rPr>
        <w:t>1</w:t>
      </w:r>
      <w:r w:rsidRPr="004A4D78">
        <w:rPr>
          <w:rFonts w:ascii="Times New Roman" w:hAnsi="Times New Roman" w:cs="Times New Roman"/>
          <w:lang w:val="en-US"/>
        </w:rPr>
        <w:t>, at 315</w:t>
      </w:r>
      <w:r w:rsidRPr="004A4D78">
        <w:rPr>
          <w:rFonts w:ascii="Times New Roman" w:hAnsi="Times New Roman" w:cs="Times New Roman"/>
        </w:rPr>
        <w:t>-</w:t>
      </w:r>
      <w:r w:rsidRPr="004A4D78">
        <w:rPr>
          <w:rFonts w:ascii="Times New Roman" w:hAnsi="Times New Roman" w:cs="Times New Roman"/>
          <w:lang w:val="en-US"/>
        </w:rPr>
        <w:t>23.</w:t>
      </w:r>
    </w:p>
  </w:footnote>
  <w:footnote w:id="82">
    <w:p w14:paraId="632DEB45" w14:textId="445F3C1A"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Seddon et al, </w:t>
      </w:r>
      <w:r w:rsidRPr="00CB128D">
        <w:rPr>
          <w:rFonts w:ascii="Times New Roman" w:hAnsi="Times New Roman" w:cs="Times New Roman"/>
          <w:i/>
        </w:rPr>
        <w:t>Cheshire &amp; Fifoot Law of Contract, supra</w:t>
      </w:r>
      <w:r w:rsidRPr="00CB128D">
        <w:rPr>
          <w:rFonts w:ascii="Times New Roman" w:hAnsi="Times New Roman" w:cs="Times New Roman"/>
        </w:rPr>
        <w:t xml:space="preserve"> note </w:t>
      </w:r>
      <w:r w:rsidR="004A4D78">
        <w:rPr>
          <w:rFonts w:ascii="Times New Roman" w:hAnsi="Times New Roman" w:cs="Times New Roman"/>
        </w:rPr>
        <w:t>40</w:t>
      </w:r>
      <w:r w:rsidRPr="00CB128D">
        <w:rPr>
          <w:rFonts w:ascii="Times New Roman" w:hAnsi="Times New Roman" w:cs="Times New Roman"/>
        </w:rPr>
        <w:t>, at 323-44.</w:t>
      </w:r>
    </w:p>
  </w:footnote>
  <w:footnote w:id="83">
    <w:p w14:paraId="4C458FD0" w14:textId="14918A2A"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Paterson et al, </w:t>
      </w:r>
      <w:r w:rsidRPr="00CB128D">
        <w:rPr>
          <w:rFonts w:ascii="Times New Roman" w:hAnsi="Times New Roman" w:cs="Times New Roman"/>
          <w:i/>
        </w:rPr>
        <w:t>Principles of Contract Law, supra</w:t>
      </w:r>
      <w:r w:rsidRPr="00CB128D">
        <w:rPr>
          <w:rFonts w:ascii="Times New Roman" w:hAnsi="Times New Roman" w:cs="Times New Roman"/>
        </w:rPr>
        <w:t xml:space="preserve"> note 4</w:t>
      </w:r>
      <w:r w:rsidR="004A4D78">
        <w:rPr>
          <w:rFonts w:ascii="Times New Roman" w:hAnsi="Times New Roman" w:cs="Times New Roman"/>
        </w:rPr>
        <w:t>1</w:t>
      </w:r>
      <w:r w:rsidRPr="00CB128D">
        <w:rPr>
          <w:rFonts w:ascii="Times New Roman" w:hAnsi="Times New Roman" w:cs="Times New Roman"/>
        </w:rPr>
        <w:t>, at 261-68.</w:t>
      </w:r>
    </w:p>
  </w:footnote>
  <w:footnote w:id="84">
    <w:p w14:paraId="2D8812EC" w14:textId="52B0D1FE"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Jason Harris and Christopher Croese, </w:t>
      </w:r>
      <w:r w:rsidRPr="00CB128D">
        <w:rPr>
          <w:rFonts w:ascii="Times New Roman" w:hAnsi="Times New Roman" w:cs="Times New Roman"/>
          <w:i/>
        </w:rPr>
        <w:t>Contract Law in Context</w:t>
      </w:r>
      <w:r w:rsidRPr="00CB128D">
        <w:rPr>
          <w:rFonts w:ascii="Times New Roman" w:hAnsi="Times New Roman" w:cs="Times New Roman"/>
        </w:rPr>
        <w:t xml:space="preserve"> (2015), p. 88.</w:t>
      </w:r>
    </w:p>
  </w:footnote>
  <w:footnote w:id="85">
    <w:p w14:paraId="48FD26C6" w14:textId="7C941F31"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Stephen Graw, An Introduction to the Law of Contract, 8</w:t>
      </w:r>
      <w:r w:rsidRPr="00CB128D">
        <w:rPr>
          <w:rFonts w:ascii="Times New Roman" w:hAnsi="Times New Roman" w:cs="Times New Roman"/>
          <w:vertAlign w:val="superscript"/>
        </w:rPr>
        <w:t>th</w:t>
      </w:r>
      <w:r w:rsidRPr="00CB128D">
        <w:rPr>
          <w:rFonts w:ascii="Times New Roman" w:hAnsi="Times New Roman" w:cs="Times New Roman"/>
        </w:rPr>
        <w:t xml:space="preserve"> edn (2015), pp. 226-31.</w:t>
      </w:r>
    </w:p>
  </w:footnote>
  <w:footnote w:id="86">
    <w:p w14:paraId="418C763F" w14:textId="2E6E2322" w:rsidR="00181643" w:rsidRPr="004A4D78"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lang w:val="fr-FR"/>
        </w:rPr>
        <w:t xml:space="preserve"> Thampapillai et al, </w:t>
      </w:r>
      <w:r w:rsidRPr="00CB128D">
        <w:rPr>
          <w:rFonts w:ascii="Times New Roman" w:hAnsi="Times New Roman" w:cs="Times New Roman"/>
          <w:i/>
          <w:lang w:val="fr-FR"/>
        </w:rPr>
        <w:t xml:space="preserve">Contract Law. </w:t>
      </w:r>
      <w:r w:rsidRPr="00CB128D">
        <w:rPr>
          <w:rFonts w:ascii="Times New Roman" w:hAnsi="Times New Roman" w:cs="Times New Roman"/>
          <w:i/>
        </w:rPr>
        <w:t>Text and Cases</w:t>
      </w:r>
      <w:r w:rsidRPr="00CB128D">
        <w:rPr>
          <w:rFonts w:ascii="Times New Roman" w:hAnsi="Times New Roman" w:cs="Times New Roman"/>
        </w:rPr>
        <w:t xml:space="preserve">, </w:t>
      </w:r>
      <w:r w:rsidRPr="004A4D78">
        <w:rPr>
          <w:rFonts w:ascii="Times New Roman" w:hAnsi="Times New Roman" w:cs="Times New Roman"/>
          <w:i/>
        </w:rPr>
        <w:t>supra</w:t>
      </w:r>
      <w:r w:rsidRPr="004A4D78">
        <w:rPr>
          <w:rFonts w:ascii="Times New Roman" w:hAnsi="Times New Roman" w:cs="Times New Roman"/>
        </w:rPr>
        <w:t xml:space="preserve"> note 4</w:t>
      </w:r>
      <w:r w:rsidR="004A4D78">
        <w:rPr>
          <w:rFonts w:ascii="Times New Roman" w:hAnsi="Times New Roman" w:cs="Times New Roman"/>
        </w:rPr>
        <w:t>1</w:t>
      </w:r>
      <w:r w:rsidRPr="004A4D78">
        <w:rPr>
          <w:rFonts w:ascii="Times New Roman" w:hAnsi="Times New Roman" w:cs="Times New Roman"/>
        </w:rPr>
        <w:t>, at 267.</w:t>
      </w:r>
    </w:p>
  </w:footnote>
  <w:footnote w:id="87">
    <w:p w14:paraId="04AA8FDD" w14:textId="21C2200C"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i/>
          <w:lang w:val="en-US"/>
        </w:rPr>
        <w:t>Coulls v Bagots Exectuor &amp; Trustee Co Ltd</w:t>
      </w:r>
      <w:r w:rsidRPr="00CB128D">
        <w:rPr>
          <w:rFonts w:ascii="Times New Roman" w:hAnsi="Times New Roman" w:cs="Times New Roman"/>
          <w:lang w:val="en-US"/>
        </w:rPr>
        <w:t xml:space="preserve"> (1967) 119 CLR 460, at 502.</w:t>
      </w:r>
    </w:p>
  </w:footnote>
  <w:footnote w:id="88">
    <w:p w14:paraId="1E5DC8E2" w14:textId="524699D4" w:rsidR="00181643" w:rsidRPr="004A4D78"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Much of the discussion has been centred on whether the promisee can recover substantial damages as well. Cf. </w:t>
      </w:r>
      <w:r w:rsidRPr="00CB128D">
        <w:rPr>
          <w:rFonts w:ascii="Times New Roman" w:hAnsi="Times New Roman" w:cs="Times New Roman"/>
          <w:i/>
        </w:rPr>
        <w:t>Beswick v Beswick</w:t>
      </w:r>
      <w:r w:rsidRPr="00CB128D">
        <w:rPr>
          <w:rFonts w:ascii="Times New Roman" w:hAnsi="Times New Roman" w:cs="Times New Roman"/>
        </w:rPr>
        <w:t xml:space="preserve"> [1968] AC 58; </w:t>
      </w:r>
      <w:r w:rsidRPr="00CB128D">
        <w:rPr>
          <w:rFonts w:ascii="Times New Roman" w:hAnsi="Times New Roman" w:cs="Times New Roman"/>
          <w:i/>
        </w:rPr>
        <w:t>Hill v Van Erp</w:t>
      </w:r>
      <w:r w:rsidRPr="004A4D78">
        <w:rPr>
          <w:rFonts w:ascii="Times New Roman" w:hAnsi="Times New Roman" w:cs="Times New Roman"/>
        </w:rPr>
        <w:t xml:space="preserve"> (1997) 188 CLR 159 at 173; </w:t>
      </w:r>
      <w:r w:rsidRPr="004A4D78">
        <w:rPr>
          <w:rFonts w:ascii="Times New Roman" w:hAnsi="Times New Roman" w:cs="Times New Roman"/>
          <w:i/>
          <w:lang w:val="en-US"/>
        </w:rPr>
        <w:t>Jackson v Horion Holidays</w:t>
      </w:r>
      <w:r w:rsidRPr="004A4D78">
        <w:rPr>
          <w:rFonts w:ascii="Times New Roman" w:hAnsi="Times New Roman" w:cs="Times New Roman"/>
          <w:lang w:val="en-US"/>
        </w:rPr>
        <w:t xml:space="preserve"> [1975] 3 All ER 92; </w:t>
      </w:r>
      <w:r w:rsidRPr="005F48E2">
        <w:rPr>
          <w:rFonts w:ascii="Times New Roman" w:hAnsi="Times New Roman" w:cs="Times New Roman"/>
          <w:i/>
          <w:lang w:val="en-US"/>
        </w:rPr>
        <w:t>Linden Gardens Trust Ltd v Lenesta Sludge Disposals Ltd</w:t>
      </w:r>
      <w:r w:rsidRPr="005F48E2">
        <w:rPr>
          <w:rFonts w:ascii="Times New Roman" w:hAnsi="Times New Roman" w:cs="Times New Roman"/>
          <w:lang w:val="en-US"/>
        </w:rPr>
        <w:t xml:space="preserve"> [1994] 1 AC 85; </w:t>
      </w:r>
      <w:r w:rsidRPr="005F48E2">
        <w:rPr>
          <w:rFonts w:ascii="Times New Roman" w:hAnsi="Times New Roman" w:cs="Times New Roman"/>
          <w:i/>
          <w:lang w:val="en-US"/>
        </w:rPr>
        <w:t>Alfred McAlpine Construction Ltd v Panatown Ltd</w:t>
      </w:r>
      <w:r w:rsidRPr="00181643">
        <w:rPr>
          <w:rFonts w:ascii="Times New Roman" w:hAnsi="Times New Roman" w:cs="Times New Roman"/>
          <w:lang w:val="en-US"/>
        </w:rPr>
        <w:t xml:space="preserve"> [2001] AC 518. See also Seddon et al, </w:t>
      </w:r>
      <w:r w:rsidRPr="00181643">
        <w:rPr>
          <w:rFonts w:ascii="Times New Roman" w:hAnsi="Times New Roman" w:cs="Times New Roman"/>
          <w:i/>
        </w:rPr>
        <w:t>Cheshire &amp; Fifoot Law of Contract</w:t>
      </w:r>
      <w:r w:rsidRPr="00181643">
        <w:rPr>
          <w:rFonts w:ascii="Times New Roman" w:hAnsi="Times New Roman" w:cs="Times New Roman"/>
        </w:rPr>
        <w:t xml:space="preserve">, </w:t>
      </w:r>
      <w:r w:rsidRPr="00181643">
        <w:rPr>
          <w:rFonts w:ascii="Times New Roman" w:hAnsi="Times New Roman" w:cs="Times New Roman"/>
          <w:i/>
        </w:rPr>
        <w:t>supra</w:t>
      </w:r>
      <w:r w:rsidRPr="00181643">
        <w:rPr>
          <w:rFonts w:ascii="Times New Roman" w:hAnsi="Times New Roman" w:cs="Times New Roman"/>
        </w:rPr>
        <w:t xml:space="preserve"> note </w:t>
      </w:r>
      <w:r w:rsidR="004A4D78">
        <w:rPr>
          <w:rFonts w:ascii="Times New Roman" w:hAnsi="Times New Roman" w:cs="Times New Roman"/>
        </w:rPr>
        <w:t>40</w:t>
      </w:r>
      <w:r w:rsidRPr="004A4D78">
        <w:rPr>
          <w:rFonts w:ascii="Times New Roman" w:hAnsi="Times New Roman" w:cs="Times New Roman"/>
        </w:rPr>
        <w:t xml:space="preserve">, at </w:t>
      </w:r>
      <w:r w:rsidRPr="004A4D78">
        <w:rPr>
          <w:rFonts w:ascii="Times New Roman" w:hAnsi="Times New Roman" w:cs="Times New Roman"/>
          <w:lang w:val="en-US"/>
        </w:rPr>
        <w:t>294</w:t>
      </w:r>
      <w:r w:rsidRPr="004A4D78">
        <w:rPr>
          <w:rFonts w:ascii="Times New Roman" w:hAnsi="Times New Roman" w:cs="Times New Roman"/>
        </w:rPr>
        <w:t>-</w:t>
      </w:r>
      <w:r w:rsidRPr="004A4D78">
        <w:rPr>
          <w:rFonts w:ascii="Times New Roman" w:hAnsi="Times New Roman" w:cs="Times New Roman"/>
          <w:lang w:val="en-US"/>
        </w:rPr>
        <w:t>303.</w:t>
      </w:r>
    </w:p>
  </w:footnote>
  <w:footnote w:id="89">
    <w:p w14:paraId="21C725F5" w14:textId="6373DF6B"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lang w:val="en-US"/>
        </w:rPr>
        <w:t xml:space="preserve"> Willmott et al, </w:t>
      </w:r>
      <w:r w:rsidRPr="00CB128D">
        <w:rPr>
          <w:rFonts w:ascii="Times New Roman" w:hAnsi="Times New Roman" w:cs="Times New Roman"/>
          <w:i/>
          <w:lang w:val="en-US"/>
        </w:rPr>
        <w:t>Contract Law</w:t>
      </w:r>
      <w:r w:rsidRPr="00CB128D">
        <w:rPr>
          <w:rFonts w:ascii="Times New Roman" w:hAnsi="Times New Roman" w:cs="Times New Roman"/>
          <w:lang w:val="en-US"/>
        </w:rPr>
        <w:t xml:space="preserve">, </w:t>
      </w:r>
      <w:r w:rsidRPr="00CB128D">
        <w:rPr>
          <w:rFonts w:ascii="Times New Roman" w:hAnsi="Times New Roman" w:cs="Times New Roman"/>
          <w:i/>
          <w:lang w:val="en-US"/>
        </w:rPr>
        <w:t>supra</w:t>
      </w:r>
      <w:r w:rsidRPr="004A4D78">
        <w:rPr>
          <w:rFonts w:ascii="Times New Roman" w:hAnsi="Times New Roman" w:cs="Times New Roman"/>
          <w:lang w:val="en-US"/>
        </w:rPr>
        <w:t xml:space="preserve"> note 6</w:t>
      </w:r>
      <w:r w:rsidR="005F48E2">
        <w:rPr>
          <w:rFonts w:ascii="Times New Roman" w:hAnsi="Times New Roman" w:cs="Times New Roman"/>
          <w:lang w:val="en-US"/>
        </w:rPr>
        <w:t>9</w:t>
      </w:r>
      <w:r w:rsidRPr="004A4D78">
        <w:rPr>
          <w:rFonts w:ascii="Times New Roman" w:hAnsi="Times New Roman" w:cs="Times New Roman"/>
          <w:lang w:val="en-US"/>
        </w:rPr>
        <w:t xml:space="preserve">, at 437–-39 ; Carter, </w:t>
      </w:r>
      <w:r w:rsidRPr="004A4D78">
        <w:rPr>
          <w:rFonts w:ascii="Times New Roman" w:hAnsi="Times New Roman" w:cs="Times New Roman"/>
          <w:i/>
          <w:lang w:val="en-US"/>
        </w:rPr>
        <w:t>Contract Law in Australia</w:t>
      </w:r>
      <w:r w:rsidRPr="004A4D78">
        <w:rPr>
          <w:rFonts w:ascii="Times New Roman" w:hAnsi="Times New Roman" w:cs="Times New Roman"/>
          <w:lang w:val="en-US"/>
        </w:rPr>
        <w:t xml:space="preserve">, </w:t>
      </w:r>
      <w:r w:rsidRPr="004A4D78">
        <w:rPr>
          <w:rFonts w:ascii="Times New Roman" w:hAnsi="Times New Roman" w:cs="Times New Roman"/>
          <w:i/>
          <w:lang w:val="en-US"/>
        </w:rPr>
        <w:t>supra</w:t>
      </w:r>
      <w:r w:rsidRPr="004A4D78">
        <w:rPr>
          <w:rFonts w:ascii="Times New Roman" w:hAnsi="Times New Roman" w:cs="Times New Roman"/>
          <w:lang w:val="en-US"/>
        </w:rPr>
        <w:t xml:space="preserve"> note 3</w:t>
      </w:r>
      <w:r w:rsidR="005F48E2">
        <w:rPr>
          <w:rFonts w:ascii="Times New Roman" w:hAnsi="Times New Roman" w:cs="Times New Roman"/>
          <w:lang w:val="en-US"/>
        </w:rPr>
        <w:t>7</w:t>
      </w:r>
      <w:r w:rsidRPr="004A4D78">
        <w:rPr>
          <w:rFonts w:ascii="Times New Roman" w:hAnsi="Times New Roman" w:cs="Times New Roman"/>
          <w:lang w:val="en-US"/>
        </w:rPr>
        <w:t xml:space="preserve">, at 349–-55; Seddon et al, </w:t>
      </w:r>
      <w:r w:rsidRPr="005F48E2">
        <w:rPr>
          <w:rFonts w:ascii="Times New Roman" w:hAnsi="Times New Roman" w:cs="Times New Roman"/>
          <w:i/>
        </w:rPr>
        <w:t>Cheshire &amp; Fifoot Law of Contract</w:t>
      </w:r>
      <w:r w:rsidRPr="005F48E2">
        <w:rPr>
          <w:rFonts w:ascii="Times New Roman" w:hAnsi="Times New Roman" w:cs="Times New Roman"/>
          <w:i/>
          <w:lang w:val="en-US"/>
        </w:rPr>
        <w:t>, supra</w:t>
      </w:r>
      <w:r w:rsidRPr="005F48E2">
        <w:rPr>
          <w:rFonts w:ascii="Times New Roman" w:hAnsi="Times New Roman" w:cs="Times New Roman"/>
          <w:lang w:val="en-US"/>
        </w:rPr>
        <w:t xml:space="preserve"> note 3</w:t>
      </w:r>
      <w:r w:rsidR="005F48E2">
        <w:rPr>
          <w:rFonts w:ascii="Times New Roman" w:hAnsi="Times New Roman" w:cs="Times New Roman"/>
          <w:lang w:val="en-US"/>
        </w:rPr>
        <w:t>9</w:t>
      </w:r>
      <w:r w:rsidRPr="005F48E2">
        <w:rPr>
          <w:rFonts w:ascii="Times New Roman" w:hAnsi="Times New Roman" w:cs="Times New Roman"/>
          <w:lang w:val="en-US"/>
        </w:rPr>
        <w:t xml:space="preserve">, at 324–29; Paterson et al, </w:t>
      </w:r>
      <w:r w:rsidRPr="005F48E2">
        <w:rPr>
          <w:rFonts w:ascii="Times New Roman" w:hAnsi="Times New Roman" w:cs="Times New Roman"/>
        </w:rPr>
        <w:t>Principles of Contract Law</w:t>
      </w:r>
      <w:r w:rsidRPr="005F48E2">
        <w:rPr>
          <w:rFonts w:ascii="Times New Roman" w:hAnsi="Times New Roman" w:cs="Times New Roman"/>
          <w:i/>
          <w:lang w:val="en-US"/>
        </w:rPr>
        <w:t>, supra</w:t>
      </w:r>
      <w:r w:rsidRPr="005F48E2">
        <w:rPr>
          <w:rFonts w:ascii="Times New Roman" w:hAnsi="Times New Roman" w:cs="Times New Roman"/>
          <w:lang w:val="en-US"/>
        </w:rPr>
        <w:t xml:space="preserve"> note 4</w:t>
      </w:r>
      <w:r w:rsidR="005F48E2">
        <w:rPr>
          <w:rFonts w:ascii="Times New Roman" w:hAnsi="Times New Roman" w:cs="Times New Roman"/>
          <w:lang w:val="en-US"/>
        </w:rPr>
        <w:t>1</w:t>
      </w:r>
      <w:r w:rsidRPr="005F48E2">
        <w:rPr>
          <w:rFonts w:ascii="Times New Roman" w:hAnsi="Times New Roman" w:cs="Times New Roman"/>
          <w:lang w:val="en-US"/>
        </w:rPr>
        <w:t xml:space="preserve">, at 262; Graw, </w:t>
      </w:r>
      <w:r w:rsidRPr="005F48E2">
        <w:rPr>
          <w:rFonts w:ascii="Times New Roman" w:hAnsi="Times New Roman" w:cs="Times New Roman"/>
          <w:i/>
          <w:lang w:val="en-US"/>
        </w:rPr>
        <w:t>An Introduction to the Law of Contract</w:t>
      </w:r>
      <w:r w:rsidRPr="005F48E2">
        <w:rPr>
          <w:rFonts w:ascii="Times New Roman" w:hAnsi="Times New Roman" w:cs="Times New Roman"/>
          <w:lang w:val="en-US"/>
        </w:rPr>
        <w:t xml:space="preserve">, </w:t>
      </w:r>
      <w:r w:rsidRPr="005F48E2">
        <w:rPr>
          <w:rFonts w:ascii="Times New Roman" w:hAnsi="Times New Roman" w:cs="Times New Roman"/>
          <w:i/>
          <w:lang w:val="en-US"/>
        </w:rPr>
        <w:t>supra</w:t>
      </w:r>
      <w:r w:rsidRPr="005F48E2">
        <w:rPr>
          <w:rFonts w:ascii="Times New Roman" w:hAnsi="Times New Roman" w:cs="Times New Roman"/>
          <w:lang w:val="en-US"/>
        </w:rPr>
        <w:t xml:space="preserve"> note 8</w:t>
      </w:r>
      <w:r w:rsidR="005F48E2">
        <w:rPr>
          <w:rFonts w:ascii="Times New Roman" w:hAnsi="Times New Roman" w:cs="Times New Roman"/>
          <w:lang w:val="en-US"/>
        </w:rPr>
        <w:t>3</w:t>
      </w:r>
      <w:r w:rsidRPr="005F48E2">
        <w:rPr>
          <w:rFonts w:ascii="Times New Roman" w:hAnsi="Times New Roman" w:cs="Times New Roman"/>
          <w:lang w:val="en-US"/>
        </w:rPr>
        <w:t>, at 218-</w:t>
      </w:r>
      <w:r w:rsidRPr="00181643">
        <w:rPr>
          <w:rFonts w:ascii="Times New Roman" w:hAnsi="Times New Roman" w:cs="Times New Roman"/>
          <w:lang w:val="en-US"/>
        </w:rPr>
        <w:t>23.</w:t>
      </w:r>
    </w:p>
  </w:footnote>
  <w:footnote w:id="90">
    <w:p w14:paraId="0EF05767" w14:textId="6F4EE841" w:rsidR="00181643" w:rsidRPr="005F48E2"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It has been however suggested that the same principles may be extended to other contracts as well. See Andrew Phang and Toh Kian Sing, </w:t>
      </w:r>
      <w:r w:rsidRPr="00CB128D">
        <w:rPr>
          <w:rFonts w:ascii="Times New Roman" w:hAnsi="Times New Roman" w:cs="Times New Roman"/>
        </w:rPr>
        <w:t xml:space="preserve">“On Himalaya Clauses, Bailments, Choice of Law and Jurisdiction — Recent Privy Council Perspectives from The Mahkutai”, </w:t>
      </w:r>
      <w:r w:rsidRPr="00181643">
        <w:rPr>
          <w:rFonts w:ascii="Times New Roman" w:hAnsi="Times New Roman" w:cs="Times New Roman"/>
          <w:i/>
        </w:rPr>
        <w:t>Journal of Insurance Law</w:t>
      </w:r>
      <w:r w:rsidRPr="00181643">
        <w:rPr>
          <w:rFonts w:ascii="Times New Roman" w:hAnsi="Times New Roman" w:cs="Times New Roman"/>
        </w:rPr>
        <w:t xml:space="preserve">, X (1996), p. 212, at 230; Graw, </w:t>
      </w:r>
      <w:r w:rsidRPr="00181643">
        <w:rPr>
          <w:rFonts w:ascii="Times New Roman" w:hAnsi="Times New Roman" w:cs="Times New Roman"/>
          <w:i/>
        </w:rPr>
        <w:t>An Introduction to the Law of Contract</w:t>
      </w:r>
      <w:r w:rsidRPr="00181643">
        <w:rPr>
          <w:rFonts w:ascii="Times New Roman" w:hAnsi="Times New Roman" w:cs="Times New Roman"/>
        </w:rPr>
        <w:t xml:space="preserve">, </w:t>
      </w:r>
      <w:r w:rsidRPr="00181643">
        <w:rPr>
          <w:rFonts w:ascii="Times New Roman" w:hAnsi="Times New Roman" w:cs="Times New Roman"/>
          <w:i/>
        </w:rPr>
        <w:t>supra</w:t>
      </w:r>
      <w:r w:rsidRPr="00181643">
        <w:rPr>
          <w:rFonts w:ascii="Times New Roman" w:hAnsi="Times New Roman" w:cs="Times New Roman"/>
        </w:rPr>
        <w:t xml:space="preserve"> note 8</w:t>
      </w:r>
      <w:r w:rsidR="005F48E2">
        <w:rPr>
          <w:rFonts w:ascii="Times New Roman" w:hAnsi="Times New Roman" w:cs="Times New Roman"/>
        </w:rPr>
        <w:t>3</w:t>
      </w:r>
      <w:r w:rsidRPr="005F48E2">
        <w:rPr>
          <w:rFonts w:ascii="Times New Roman" w:hAnsi="Times New Roman" w:cs="Times New Roman"/>
        </w:rPr>
        <w:t>, at 223.</w:t>
      </w:r>
    </w:p>
  </w:footnote>
  <w:footnote w:id="91">
    <w:p w14:paraId="3555C0F7" w14:textId="77777777"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US"/>
        </w:rPr>
        <w:t>[1955] 1 QB 158.</w:t>
      </w:r>
    </w:p>
  </w:footnote>
  <w:footnote w:id="92">
    <w:p w14:paraId="35D8A690" w14:textId="574B082D" w:rsidR="00181643" w:rsidRPr="00181643"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On the inevitability and impossibility of legal transplants, see Alan Watson, </w:t>
      </w:r>
      <w:r w:rsidRPr="00CB128D">
        <w:rPr>
          <w:rFonts w:ascii="Times New Roman" w:hAnsi="Times New Roman" w:cs="Times New Roman"/>
          <w:i/>
        </w:rPr>
        <w:t>Legal Transplants. An Approach to Comparative Law</w:t>
      </w:r>
      <w:r w:rsidRPr="00CB128D">
        <w:rPr>
          <w:rFonts w:ascii="Times New Roman" w:hAnsi="Times New Roman" w:cs="Times New Roman"/>
        </w:rPr>
        <w:t xml:space="preserve"> (1974); </w:t>
      </w:r>
      <w:r w:rsidRPr="00CB128D">
        <w:rPr>
          <w:rFonts w:ascii="Times New Roman" w:hAnsi="Times New Roman" w:cs="Times New Roman"/>
          <w:i/>
        </w:rPr>
        <w:t>id</w:t>
      </w:r>
      <w:r w:rsidRPr="00181643">
        <w:rPr>
          <w:rFonts w:ascii="Times New Roman" w:hAnsi="Times New Roman" w:cs="Times New Roman"/>
        </w:rPr>
        <w:t xml:space="preserve">. </w:t>
      </w:r>
      <w:r w:rsidRPr="00181643">
        <w:rPr>
          <w:rFonts w:ascii="Times New Roman" w:hAnsi="Times New Roman" w:cs="Times New Roman"/>
          <w:i/>
        </w:rPr>
        <w:t>Failures of the Legal Imagination</w:t>
      </w:r>
      <w:r w:rsidRPr="00181643">
        <w:rPr>
          <w:rFonts w:ascii="Times New Roman" w:hAnsi="Times New Roman" w:cs="Times New Roman"/>
        </w:rPr>
        <w:t xml:space="preserve"> (1988); Pierre Legrand, “The Impossibility of Legal Transplants” (1997) 4 </w:t>
      </w:r>
      <w:r w:rsidRPr="00181643">
        <w:rPr>
          <w:rFonts w:ascii="Times New Roman" w:hAnsi="Times New Roman" w:cs="Times New Roman"/>
          <w:i/>
        </w:rPr>
        <w:t xml:space="preserve">Maastricht Journal of European and Comparative Law </w:t>
      </w:r>
      <w:r w:rsidRPr="00181643">
        <w:rPr>
          <w:rFonts w:ascii="Times New Roman" w:hAnsi="Times New Roman" w:cs="Times New Roman"/>
        </w:rPr>
        <w:t>111 (1997), p. 111.</w:t>
      </w:r>
    </w:p>
  </w:footnote>
  <w:footnote w:id="93">
    <w:p w14:paraId="537AAC31" w14:textId="77777777"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US"/>
        </w:rPr>
        <w:t>95 CLR 43.</w:t>
      </w:r>
    </w:p>
  </w:footnote>
  <w:footnote w:id="94">
    <w:p w14:paraId="242CB163" w14:textId="599BDF60" w:rsidR="00181643" w:rsidRPr="00181643"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w:t>
      </w:r>
      <w:r w:rsidRPr="00CB128D">
        <w:rPr>
          <w:rFonts w:ascii="Times New Roman" w:hAnsi="Times New Roman" w:cs="Times New Roman"/>
          <w:lang w:val="en-US"/>
        </w:rPr>
        <w:t>[1962] AC 446, at 474. The criteria are: (1) the bill of landing makes it clear that the parties’ intention is to protect the stevedore; (2) the bill also makes it clear that the carrier is contracting as agent for stevedores in regard to exempting provisions; (3) the carrier has authority from, or their activity is rat</w:t>
      </w:r>
      <w:r w:rsidRPr="00181643">
        <w:rPr>
          <w:rFonts w:ascii="Times New Roman" w:hAnsi="Times New Roman" w:cs="Times New Roman"/>
          <w:lang w:val="en-US"/>
        </w:rPr>
        <w:t xml:space="preserve">ified by, the stevedore; 4) consideration is provided by the stevedore. </w:t>
      </w:r>
    </w:p>
  </w:footnote>
  <w:footnote w:id="95">
    <w:p w14:paraId="619DF7C8" w14:textId="77777777" w:rsidR="00181643" w:rsidRPr="00CB128D" w:rsidRDefault="00181643">
      <w:pPr>
        <w:pStyle w:val="FootnoteText"/>
        <w:jc w:val="both"/>
        <w:rPr>
          <w:rFonts w:ascii="Times New Roman" w:hAnsi="Times New Roman" w:cs="Times New Roman"/>
        </w:rPr>
      </w:pPr>
      <w:r w:rsidRPr="00181643">
        <w:rPr>
          <w:rStyle w:val="FootnoteReference"/>
          <w:rFonts w:ascii="Times New Roman" w:hAnsi="Times New Roman" w:cs="Times New Roman"/>
        </w:rPr>
        <w:footnoteRef/>
      </w:r>
      <w:r w:rsidRPr="00181643">
        <w:rPr>
          <w:rFonts w:ascii="Times New Roman" w:hAnsi="Times New Roman" w:cs="Times New Roman"/>
        </w:rPr>
        <w:t xml:space="preserve"> (2004) 219 CLR 165.</w:t>
      </w:r>
    </w:p>
  </w:footnote>
  <w:footnote w:id="96">
    <w:p w14:paraId="0437A52D" w14:textId="736AB01C"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lang w:val="en-US"/>
        </w:rPr>
        <w:t xml:space="preserve"> [1975] AC 154. </w:t>
      </w:r>
    </w:p>
  </w:footnote>
  <w:footnote w:id="97">
    <w:p w14:paraId="65C869F1" w14:textId="77777777" w:rsidR="00181643" w:rsidRPr="00CB128D" w:rsidRDefault="00181643">
      <w:pPr>
        <w:pStyle w:val="FootnoteText"/>
        <w:jc w:val="both"/>
        <w:rPr>
          <w:rFonts w:ascii="Times New Roman" w:hAnsi="Times New Roman" w:cs="Times New Roman"/>
          <w:lang w:val="en-US"/>
        </w:rPr>
      </w:pPr>
      <w:r w:rsidRPr="00181643">
        <w:rPr>
          <w:rStyle w:val="FootnoteReference"/>
          <w:rFonts w:ascii="Times New Roman" w:hAnsi="Times New Roman" w:cs="Times New Roman"/>
        </w:rPr>
        <w:footnoteRef/>
      </w:r>
      <w:r w:rsidRPr="00181643">
        <w:rPr>
          <w:rFonts w:ascii="Times New Roman" w:hAnsi="Times New Roman" w:cs="Times New Roman"/>
        </w:rPr>
        <w:t xml:space="preserve"> (1980) 144 CLR 300.</w:t>
      </w:r>
    </w:p>
  </w:footnote>
  <w:footnote w:id="98">
    <w:p w14:paraId="54951E0A" w14:textId="2CC5F94D" w:rsidR="00181643" w:rsidRPr="00181643"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Celthene Pty Ltd v WKJ Hauliers Pty</w:t>
      </w:r>
      <w:r w:rsidRPr="00CB128D">
        <w:rPr>
          <w:rFonts w:ascii="Times New Roman" w:hAnsi="Times New Roman" w:cs="Times New Roman"/>
        </w:rPr>
        <w:t xml:space="preserve"> [1981] 1 NSWLR 606; L</w:t>
      </w:r>
      <w:r w:rsidRPr="00CB128D">
        <w:rPr>
          <w:rFonts w:ascii="Times New Roman" w:hAnsi="Times New Roman" w:cs="Times New Roman"/>
          <w:i/>
        </w:rPr>
        <w:t xml:space="preserve">ife Savers (Australasia) Pty Ltd v Frigmobile Pty Ltd </w:t>
      </w:r>
      <w:r w:rsidRPr="004A4D78">
        <w:rPr>
          <w:rFonts w:ascii="Times New Roman" w:hAnsi="Times New Roman" w:cs="Times New Roman"/>
        </w:rPr>
        <w:t>[1983] 1</w:t>
      </w:r>
      <w:r w:rsidRPr="00181643">
        <w:rPr>
          <w:rFonts w:ascii="Times New Roman" w:hAnsi="Times New Roman" w:cs="Times New Roman"/>
        </w:rPr>
        <w:t xml:space="preserve"> NSWLR 431. </w:t>
      </w:r>
    </w:p>
  </w:footnote>
  <w:footnote w:id="99">
    <w:p w14:paraId="77AE3727" w14:textId="41310464" w:rsidR="00181643" w:rsidRPr="004A4D78" w:rsidRDefault="00181643">
      <w:pPr>
        <w:pStyle w:val="FootnoteText"/>
        <w:jc w:val="both"/>
        <w:rPr>
          <w:rFonts w:ascii="Times New Roman" w:hAnsi="Times New Roman" w:cs="Times New Roman"/>
          <w:lang w:val="en-US"/>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US"/>
        </w:rPr>
        <w:t>Carter</w:t>
      </w:r>
      <w:r w:rsidRPr="00CB128D">
        <w:rPr>
          <w:rFonts w:ascii="Times New Roman" w:hAnsi="Times New Roman" w:cs="Times New Roman"/>
          <w:i/>
          <w:lang w:val="en-US"/>
        </w:rPr>
        <w:t>, Contract Law in Australia</w:t>
      </w:r>
      <w:r w:rsidRPr="00CB128D">
        <w:rPr>
          <w:rFonts w:ascii="Times New Roman" w:hAnsi="Times New Roman" w:cs="Times New Roman"/>
          <w:lang w:val="en-US"/>
        </w:rPr>
        <w:t xml:space="preserve">, </w:t>
      </w:r>
      <w:r w:rsidRPr="004A4D78">
        <w:rPr>
          <w:rFonts w:ascii="Times New Roman" w:hAnsi="Times New Roman" w:cs="Times New Roman"/>
          <w:i/>
          <w:lang w:val="en-US"/>
        </w:rPr>
        <w:t>supra</w:t>
      </w:r>
      <w:r w:rsidRPr="004A4D78">
        <w:rPr>
          <w:rFonts w:ascii="Times New Roman" w:hAnsi="Times New Roman" w:cs="Times New Roman"/>
          <w:lang w:val="en-US"/>
        </w:rPr>
        <w:t xml:space="preserve"> note 3</w:t>
      </w:r>
      <w:r w:rsidR="005F48E2">
        <w:rPr>
          <w:rFonts w:ascii="Times New Roman" w:hAnsi="Times New Roman" w:cs="Times New Roman"/>
          <w:lang w:val="en-US"/>
        </w:rPr>
        <w:t>8</w:t>
      </w:r>
      <w:r w:rsidRPr="004A4D78">
        <w:rPr>
          <w:rFonts w:ascii="Times New Roman" w:hAnsi="Times New Roman" w:cs="Times New Roman"/>
          <w:lang w:val="en-US"/>
        </w:rPr>
        <w:t>, at 354.</w:t>
      </w:r>
    </w:p>
  </w:footnote>
  <w:footnote w:id="100">
    <w:p w14:paraId="4A212635" w14:textId="23375D36" w:rsidR="00181643" w:rsidRPr="00181643"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Roger Brownsword, </w:t>
      </w:r>
      <w:r w:rsidRPr="00CB128D">
        <w:rPr>
          <w:rFonts w:ascii="Times New Roman" w:hAnsi="Times New Roman" w:cs="Times New Roman"/>
          <w:i/>
        </w:rPr>
        <w:t>Contract Law. Themes for the Twenty-First Century</w:t>
      </w:r>
      <w:r w:rsidRPr="00CB128D">
        <w:rPr>
          <w:rFonts w:ascii="Times New Roman" w:hAnsi="Times New Roman" w:cs="Times New Roman"/>
        </w:rPr>
        <w:t>, 2</w:t>
      </w:r>
      <w:r w:rsidRPr="00CB128D">
        <w:rPr>
          <w:rFonts w:ascii="Times New Roman" w:hAnsi="Times New Roman" w:cs="Times New Roman"/>
          <w:vertAlign w:val="superscript"/>
        </w:rPr>
        <w:t>nd</w:t>
      </w:r>
      <w:r w:rsidRPr="004A4D78">
        <w:rPr>
          <w:rFonts w:ascii="Times New Roman" w:hAnsi="Times New Roman" w:cs="Times New Roman"/>
        </w:rPr>
        <w:t xml:space="preserve"> edn(2006), p. 140. More broadly, see Alan Barron, “The Rise of Legal Pragmatism in English Contract Law”, </w:t>
      </w:r>
      <w:r w:rsidRPr="00181643">
        <w:rPr>
          <w:rFonts w:ascii="Times New Roman" w:hAnsi="Times New Roman" w:cs="Times New Roman"/>
          <w:i/>
        </w:rPr>
        <w:t>Journal of Contract Law</w:t>
      </w:r>
      <w:r w:rsidRPr="00181643">
        <w:rPr>
          <w:rFonts w:ascii="Times New Roman" w:hAnsi="Times New Roman" w:cs="Times New Roman"/>
        </w:rPr>
        <w:t>,</w:t>
      </w:r>
      <w:r w:rsidRPr="00181643">
        <w:rPr>
          <w:rFonts w:ascii="Times New Roman" w:hAnsi="Times New Roman" w:cs="Times New Roman"/>
          <w:i/>
        </w:rPr>
        <w:t xml:space="preserve"> </w:t>
      </w:r>
      <w:r w:rsidRPr="00181643">
        <w:rPr>
          <w:rFonts w:ascii="Times New Roman" w:hAnsi="Times New Roman" w:cs="Times New Roman"/>
        </w:rPr>
        <w:t>XXII (2006), p. 200.</w:t>
      </w:r>
    </w:p>
  </w:footnote>
  <w:footnote w:id="101">
    <w:p w14:paraId="5A3FCE16" w14:textId="77777777" w:rsidR="00181643" w:rsidRPr="00CB128D" w:rsidRDefault="00181643">
      <w:pPr>
        <w:pStyle w:val="FootnoteText"/>
        <w:jc w:val="both"/>
        <w:rPr>
          <w:rFonts w:ascii="Times New Roman" w:hAnsi="Times New Roman" w:cs="Times New Roman"/>
          <w:lang w:val="en-US"/>
        </w:rPr>
      </w:pPr>
      <w:r w:rsidRPr="00CB128D">
        <w:rPr>
          <w:rStyle w:val="FootnoteReference"/>
          <w:rFonts w:ascii="Times New Roman" w:hAnsi="Times New Roman" w:cs="Times New Roman"/>
        </w:rPr>
        <w:footnoteRef/>
      </w:r>
      <w:r w:rsidRPr="00CB128D">
        <w:rPr>
          <w:rFonts w:ascii="Times New Roman" w:hAnsi="Times New Roman" w:cs="Times New Roman"/>
        </w:rPr>
        <w:t xml:space="preserve"> [1924] AC 522.</w:t>
      </w:r>
    </w:p>
  </w:footnote>
  <w:footnote w:id="102">
    <w:p w14:paraId="5CD21A67" w14:textId="77777777" w:rsidR="00181643" w:rsidRPr="00181643" w:rsidRDefault="00181643">
      <w:pPr>
        <w:pStyle w:val="FootnoteText"/>
        <w:jc w:val="both"/>
        <w:rPr>
          <w:rFonts w:ascii="Times New Roman" w:hAnsi="Times New Roman" w:cs="Times New Roman"/>
          <w:lang w:val="en-US"/>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lang w:val="en-US"/>
        </w:rPr>
        <w:t>Gilbert Stokes and Kerr Pty Ltd v Dalgety and Co Ltd</w:t>
      </w:r>
      <w:r w:rsidRPr="00CB128D">
        <w:rPr>
          <w:rFonts w:ascii="Times New Roman" w:hAnsi="Times New Roman" w:cs="Times New Roman"/>
          <w:lang w:val="en-US"/>
        </w:rPr>
        <w:t xml:space="preserve"> (1948) 48 SR (NSW) 435; </w:t>
      </w:r>
      <w:r w:rsidRPr="00CB128D">
        <w:rPr>
          <w:rFonts w:ascii="Times New Roman" w:hAnsi="Times New Roman" w:cs="Times New Roman"/>
          <w:i/>
          <w:lang w:val="en-US"/>
        </w:rPr>
        <w:t>Waters Trading Co Ltd v Dalgelty and Co Ltd</w:t>
      </w:r>
      <w:r w:rsidRPr="00181643">
        <w:rPr>
          <w:rFonts w:ascii="Times New Roman" w:hAnsi="Times New Roman" w:cs="Times New Roman"/>
          <w:lang w:val="en-US"/>
        </w:rPr>
        <w:t xml:space="preserve"> (1951) 52 SR (NSW) 4.</w:t>
      </w:r>
    </w:p>
  </w:footnote>
  <w:footnote w:id="103">
    <w:p w14:paraId="034BB74A" w14:textId="41F9CA33"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US"/>
        </w:rPr>
        <w:t xml:space="preserve">95 CLR 43. </w:t>
      </w:r>
    </w:p>
  </w:footnote>
  <w:footnote w:id="104">
    <w:p w14:paraId="5A8C5125" w14:textId="045A6D7D"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Roger Brownsword and Dale Hutchison, “Beyond Promissory Principle and Protective Pragmatism”, in Peter Kincaid (ed.), </w:t>
      </w:r>
      <w:r w:rsidRPr="00CB128D">
        <w:rPr>
          <w:rFonts w:ascii="Times New Roman" w:hAnsi="Times New Roman" w:cs="Times New Roman"/>
          <w:i/>
          <w:lang w:val="en-ZA"/>
        </w:rPr>
        <w:t>Privity: Private Justice or Public Regulation</w:t>
      </w:r>
      <w:r w:rsidRPr="004A4D78">
        <w:rPr>
          <w:rFonts w:ascii="Times New Roman" w:hAnsi="Times New Roman" w:cs="Times New Roman"/>
          <w:smallCaps/>
          <w:lang w:val="en-ZA"/>
        </w:rPr>
        <w:t xml:space="preserve"> (</w:t>
      </w:r>
      <w:r w:rsidRPr="004A4D78">
        <w:rPr>
          <w:rFonts w:ascii="Times New Roman" w:hAnsi="Times New Roman" w:cs="Times New Roman"/>
          <w:lang w:val="en-ZA"/>
        </w:rPr>
        <w:t>2001), pp.</w:t>
      </w:r>
      <w:r w:rsidRPr="004A4D78">
        <w:rPr>
          <w:rFonts w:ascii="Times New Roman" w:hAnsi="Times New Roman" w:cs="Times New Roman"/>
          <w:smallCaps/>
          <w:lang w:val="en-ZA"/>
        </w:rPr>
        <w:t xml:space="preserve"> 126-46, </w:t>
      </w:r>
      <w:r w:rsidRPr="004A4D78">
        <w:rPr>
          <w:rFonts w:ascii="Times New Roman" w:hAnsi="Times New Roman" w:cs="Times New Roman"/>
          <w:lang w:val="en-ZA"/>
        </w:rPr>
        <w:t>at</w:t>
      </w:r>
      <w:r w:rsidRPr="004A4D78">
        <w:rPr>
          <w:rFonts w:ascii="Times New Roman" w:hAnsi="Times New Roman" w:cs="Times New Roman"/>
          <w:smallCaps/>
          <w:lang w:val="en-ZA"/>
        </w:rPr>
        <w:t xml:space="preserve"> 132.</w:t>
      </w:r>
    </w:p>
  </w:footnote>
  <w:footnote w:id="105">
    <w:p w14:paraId="191F191C" w14:textId="1DD41EC1"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Zimmermann, </w:t>
      </w:r>
      <w:r w:rsidRPr="00CB128D">
        <w:rPr>
          <w:rFonts w:ascii="Times New Roman" w:hAnsi="Times New Roman" w:cs="Times New Roman"/>
          <w:i/>
        </w:rPr>
        <w:t>The Law of Obligations</w:t>
      </w:r>
      <w:r w:rsidRPr="00CB128D">
        <w:rPr>
          <w:rFonts w:ascii="Times New Roman" w:hAnsi="Times New Roman" w:cs="Times New Roman"/>
        </w:rPr>
        <w:t xml:space="preserve">, </w:t>
      </w:r>
      <w:r w:rsidRPr="004A4D78">
        <w:rPr>
          <w:rFonts w:ascii="Times New Roman" w:hAnsi="Times New Roman" w:cs="Times New Roman"/>
          <w:i/>
        </w:rPr>
        <w:t xml:space="preserve">supra </w:t>
      </w:r>
      <w:r w:rsidRPr="004A4D78">
        <w:rPr>
          <w:rFonts w:ascii="Times New Roman" w:hAnsi="Times New Roman" w:cs="Times New Roman"/>
        </w:rPr>
        <w:t>note 1, at</w:t>
      </w:r>
      <w:r w:rsidRPr="004A4D78">
        <w:rPr>
          <w:rFonts w:ascii="Times New Roman" w:hAnsi="Times New Roman" w:cs="Times New Roman"/>
          <w:lang w:val="en-ZA"/>
        </w:rPr>
        <w:t xml:space="preserve"> 34</w:t>
      </w:r>
      <w:r w:rsidRPr="004A4D78">
        <w:rPr>
          <w:rFonts w:ascii="Times New Roman" w:hAnsi="Times New Roman" w:cs="Times New Roman"/>
          <w:lang w:val="en-US"/>
        </w:rPr>
        <w:t>-</w:t>
      </w:r>
      <w:r w:rsidRPr="004A4D78">
        <w:rPr>
          <w:rFonts w:ascii="Times New Roman" w:hAnsi="Times New Roman" w:cs="Times New Roman"/>
          <w:lang w:val="en-ZA"/>
        </w:rPr>
        <w:t>40.</w:t>
      </w:r>
    </w:p>
  </w:footnote>
  <w:footnote w:id="106">
    <w:p w14:paraId="2A04ECDE" w14:textId="7F939481"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Schalk van der Merwe et al., </w:t>
      </w:r>
      <w:r w:rsidRPr="00CB128D">
        <w:rPr>
          <w:rFonts w:ascii="Times New Roman" w:hAnsi="Times New Roman" w:cs="Times New Roman"/>
          <w:i/>
        </w:rPr>
        <w:t>Contract: General Principles</w:t>
      </w:r>
      <w:r w:rsidRPr="004A4D78">
        <w:rPr>
          <w:rFonts w:ascii="Times New Roman" w:hAnsi="Times New Roman" w:cs="Times New Roman"/>
        </w:rPr>
        <w:t>, 4</w:t>
      </w:r>
      <w:r w:rsidRPr="004A4D78">
        <w:rPr>
          <w:rFonts w:ascii="Times New Roman" w:hAnsi="Times New Roman" w:cs="Times New Roman"/>
          <w:vertAlign w:val="superscript"/>
        </w:rPr>
        <w:t>th</w:t>
      </w:r>
      <w:r w:rsidRPr="004A4D78">
        <w:rPr>
          <w:rFonts w:ascii="Times New Roman" w:hAnsi="Times New Roman" w:cs="Times New Roman"/>
        </w:rPr>
        <w:t xml:space="preserve"> edn </w:t>
      </w:r>
      <w:r w:rsidRPr="004A4D78">
        <w:rPr>
          <w:rFonts w:ascii="Times New Roman" w:hAnsi="Times New Roman" w:cs="Times New Roman"/>
          <w:lang w:val="en-ZA"/>
        </w:rPr>
        <w:t xml:space="preserve">(2012), p. 229; RH Christie and GB Bradfield, </w:t>
      </w:r>
      <w:r w:rsidRPr="004A4D78">
        <w:rPr>
          <w:rFonts w:ascii="Times New Roman" w:hAnsi="Times New Roman" w:cs="Times New Roman"/>
          <w:i/>
          <w:lang w:val="en-ZA"/>
        </w:rPr>
        <w:t>Christie’s The Law of Contract in South Africa</w:t>
      </w:r>
      <w:r w:rsidRPr="00181643">
        <w:rPr>
          <w:rFonts w:ascii="Times New Roman" w:hAnsi="Times New Roman" w:cs="Times New Roman"/>
          <w:lang w:val="en-ZA"/>
        </w:rPr>
        <w:t>, 6</w:t>
      </w:r>
      <w:r w:rsidRPr="00181643">
        <w:rPr>
          <w:rFonts w:ascii="Times New Roman" w:hAnsi="Times New Roman" w:cs="Times New Roman"/>
          <w:vertAlign w:val="superscript"/>
          <w:lang w:val="en-ZA"/>
        </w:rPr>
        <w:t>th</w:t>
      </w:r>
      <w:r w:rsidRPr="00181643">
        <w:rPr>
          <w:rFonts w:ascii="Times New Roman" w:hAnsi="Times New Roman" w:cs="Times New Roman"/>
          <w:lang w:val="en-ZA"/>
        </w:rPr>
        <w:t xml:space="preserve"> edn. (2011), pp. 270</w:t>
      </w:r>
      <w:r w:rsidRPr="00181643">
        <w:rPr>
          <w:rFonts w:ascii="Times New Roman" w:hAnsi="Times New Roman" w:cs="Times New Roman"/>
          <w:lang w:val="en-US"/>
        </w:rPr>
        <w:t>-7</w:t>
      </w:r>
      <w:r w:rsidRPr="00181643">
        <w:rPr>
          <w:rFonts w:ascii="Times New Roman" w:hAnsi="Times New Roman" w:cs="Times New Roman"/>
          <w:lang w:val="en-ZA"/>
        </w:rPr>
        <w:t xml:space="preserve">1; JC De Wet and AH van Wyk, </w:t>
      </w:r>
      <w:r w:rsidRPr="00181643">
        <w:rPr>
          <w:rFonts w:ascii="Times New Roman" w:hAnsi="Times New Roman" w:cs="Times New Roman"/>
          <w:i/>
          <w:lang w:val="en-ZA"/>
        </w:rPr>
        <w:t>Kontraktereg</w:t>
      </w:r>
      <w:r w:rsidRPr="00181643">
        <w:rPr>
          <w:rFonts w:ascii="Times New Roman" w:hAnsi="Times New Roman" w:cs="Times New Roman"/>
          <w:lang w:val="en-ZA"/>
        </w:rPr>
        <w:t>, 5</w:t>
      </w:r>
      <w:r w:rsidRPr="00181643">
        <w:rPr>
          <w:rFonts w:ascii="Times New Roman" w:hAnsi="Times New Roman" w:cs="Times New Roman"/>
          <w:vertAlign w:val="superscript"/>
          <w:lang w:val="en-ZA"/>
        </w:rPr>
        <w:t>th</w:t>
      </w:r>
      <w:r w:rsidRPr="00181643">
        <w:rPr>
          <w:rFonts w:ascii="Times New Roman" w:hAnsi="Times New Roman" w:cs="Times New Roman"/>
          <w:lang w:val="en-ZA"/>
        </w:rPr>
        <w:t xml:space="preserve"> edn (1992), pp. 104</w:t>
      </w:r>
      <w:r w:rsidRPr="00181643">
        <w:rPr>
          <w:rFonts w:ascii="Times New Roman" w:hAnsi="Times New Roman" w:cs="Times New Roman"/>
          <w:lang w:val="en-US"/>
        </w:rPr>
        <w:t>-</w:t>
      </w:r>
      <w:r w:rsidRPr="00181643">
        <w:rPr>
          <w:rFonts w:ascii="Times New Roman" w:hAnsi="Times New Roman" w:cs="Times New Roman"/>
          <w:lang w:val="en-ZA"/>
        </w:rPr>
        <w:t>5.</w:t>
      </w:r>
    </w:p>
  </w:footnote>
  <w:footnote w:id="107">
    <w:p w14:paraId="798C8B28" w14:textId="1C6B1870"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See (inter alia): </w:t>
      </w:r>
      <w:r w:rsidRPr="00CB128D">
        <w:rPr>
          <w:rFonts w:ascii="Times New Roman" w:hAnsi="Times New Roman" w:cs="Times New Roman"/>
          <w:i/>
          <w:lang w:val="en-ZA"/>
        </w:rPr>
        <w:t>Louisa and Protector of Slaves v Van den Berg</w:t>
      </w:r>
      <w:r w:rsidRPr="004A4D78">
        <w:rPr>
          <w:rFonts w:ascii="Times New Roman" w:hAnsi="Times New Roman" w:cs="Times New Roman"/>
          <w:lang w:val="en-ZA"/>
        </w:rPr>
        <w:t xml:space="preserve"> (1830) 1 Menz 471; </w:t>
      </w:r>
      <w:r w:rsidRPr="004A4D78">
        <w:rPr>
          <w:rFonts w:ascii="Times New Roman" w:hAnsi="Times New Roman" w:cs="Times New Roman"/>
          <w:i/>
          <w:lang w:val="en-ZA"/>
        </w:rPr>
        <w:t>Tradesmen’s Benefit Society v Du Preez</w:t>
      </w:r>
      <w:r w:rsidRPr="00181643">
        <w:rPr>
          <w:rFonts w:ascii="Times New Roman" w:hAnsi="Times New Roman" w:cs="Times New Roman"/>
          <w:lang w:val="en-ZA"/>
        </w:rPr>
        <w:t xml:space="preserve"> (1887) 5 SC 269.</w:t>
      </w:r>
    </w:p>
  </w:footnote>
  <w:footnote w:id="108">
    <w:p w14:paraId="432786DE" w14:textId="62891523"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See the discussion in Dale Hutchison, “Contract Formation”, in </w:t>
      </w:r>
      <w:r w:rsidRPr="00CB128D">
        <w:rPr>
          <w:rFonts w:ascii="Times New Roman" w:hAnsi="Times New Roman" w:cs="Times New Roman"/>
        </w:rPr>
        <w:t xml:space="preserve">Reinhard Zimmermann and Daniel Visser (eds.), </w:t>
      </w:r>
      <w:r w:rsidRPr="004A4D78">
        <w:rPr>
          <w:rFonts w:ascii="Times New Roman" w:hAnsi="Times New Roman" w:cs="Times New Roman"/>
          <w:i/>
          <w:lang w:val="en-ZA"/>
        </w:rPr>
        <w:t xml:space="preserve">Southern Cross: Civil Law and Common </w:t>
      </w:r>
      <w:r w:rsidRPr="00181643">
        <w:rPr>
          <w:rFonts w:ascii="Times New Roman" w:hAnsi="Times New Roman" w:cs="Times New Roman"/>
          <w:i/>
          <w:lang w:val="en-ZA"/>
        </w:rPr>
        <w:t>Law in South Africa</w:t>
      </w:r>
      <w:r w:rsidRPr="00181643">
        <w:rPr>
          <w:rFonts w:ascii="Times New Roman" w:hAnsi="Times New Roman" w:cs="Times New Roman"/>
          <w:lang w:val="en-ZA"/>
        </w:rPr>
        <w:t xml:space="preserve">, </w:t>
      </w:r>
      <w:r w:rsidRPr="00181643">
        <w:rPr>
          <w:rFonts w:ascii="Times New Roman" w:hAnsi="Times New Roman" w:cs="Times New Roman"/>
          <w:i/>
        </w:rPr>
        <w:t>supra</w:t>
      </w:r>
      <w:r w:rsidRPr="00181643">
        <w:rPr>
          <w:rFonts w:ascii="Times New Roman" w:hAnsi="Times New Roman" w:cs="Times New Roman"/>
        </w:rPr>
        <w:t xml:space="preserve"> note 5, </w:t>
      </w:r>
      <w:r w:rsidRPr="00181643">
        <w:rPr>
          <w:rFonts w:ascii="Times New Roman" w:hAnsi="Times New Roman" w:cs="Times New Roman"/>
          <w:lang w:val="en-ZA"/>
        </w:rPr>
        <w:t>165</w:t>
      </w:r>
      <w:r w:rsidRPr="00181643">
        <w:rPr>
          <w:rFonts w:ascii="Times New Roman" w:hAnsi="Times New Roman" w:cs="Times New Roman"/>
          <w:lang w:val="en-US"/>
        </w:rPr>
        <w:t>-</w:t>
      </w:r>
      <w:r w:rsidRPr="00181643">
        <w:rPr>
          <w:rFonts w:ascii="Times New Roman" w:hAnsi="Times New Roman" w:cs="Times New Roman"/>
          <w:lang w:val="en-ZA"/>
        </w:rPr>
        <w:t>94, at</w:t>
      </w:r>
      <w:r w:rsidRPr="00181643">
        <w:rPr>
          <w:rFonts w:ascii="Times New Roman" w:hAnsi="Times New Roman" w:cs="Times New Roman"/>
        </w:rPr>
        <w:t xml:space="preserve"> </w:t>
      </w:r>
      <w:r w:rsidRPr="00181643">
        <w:rPr>
          <w:rFonts w:ascii="Times New Roman" w:hAnsi="Times New Roman" w:cs="Times New Roman"/>
          <w:lang w:val="en-ZA"/>
        </w:rPr>
        <w:t>166</w:t>
      </w:r>
      <w:r w:rsidRPr="00181643">
        <w:rPr>
          <w:rFonts w:ascii="Times New Roman" w:hAnsi="Times New Roman" w:cs="Times New Roman"/>
          <w:lang w:val="en-US"/>
        </w:rPr>
        <w:t>-</w:t>
      </w:r>
      <w:r w:rsidRPr="00181643">
        <w:rPr>
          <w:rFonts w:ascii="Times New Roman" w:hAnsi="Times New Roman" w:cs="Times New Roman"/>
          <w:lang w:val="en-ZA"/>
        </w:rPr>
        <w:t>73.</w:t>
      </w:r>
    </w:p>
  </w:footnote>
  <w:footnote w:id="109">
    <w:p w14:paraId="4A61C109" w14:textId="7B062D6C"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lang w:val="en-ZA"/>
        </w:rPr>
        <w:t>Tradesmen’s Benefit Society v Du Preez</w:t>
      </w:r>
      <w:r w:rsidRPr="00CB128D">
        <w:rPr>
          <w:rFonts w:ascii="Times New Roman" w:hAnsi="Times New Roman" w:cs="Times New Roman"/>
          <w:lang w:val="en-ZA"/>
        </w:rPr>
        <w:t xml:space="preserve"> (1887) 5 SC 269 at 278.</w:t>
      </w:r>
    </w:p>
  </w:footnote>
  <w:footnote w:id="110">
    <w:p w14:paraId="0159FE2B" w14:textId="2D2201D5"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lang w:val="en-ZA"/>
        </w:rPr>
        <w:t>Conradie v Rossouw</w:t>
      </w:r>
      <w:r w:rsidRPr="00CB128D">
        <w:rPr>
          <w:rFonts w:ascii="Times New Roman" w:hAnsi="Times New Roman" w:cs="Times New Roman"/>
          <w:lang w:val="en-ZA"/>
        </w:rPr>
        <w:t xml:space="preserve"> 1919 AD 279.</w:t>
      </w:r>
    </w:p>
  </w:footnote>
  <w:footnote w:id="111">
    <w:p w14:paraId="685FD784" w14:textId="73528F0C"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The view of the Court was summed up by Wessels AJA at 324.  See further: Dale Hutchison, “Contract Formation”, </w:t>
      </w:r>
      <w:r w:rsidRPr="004A4D78">
        <w:rPr>
          <w:rFonts w:ascii="Times New Roman" w:hAnsi="Times New Roman" w:cs="Times New Roman"/>
          <w:i/>
          <w:lang w:val="en-ZA"/>
        </w:rPr>
        <w:t>supra</w:t>
      </w:r>
      <w:r w:rsidRPr="004A4D78">
        <w:rPr>
          <w:rFonts w:ascii="Times New Roman" w:hAnsi="Times New Roman" w:cs="Times New Roman"/>
          <w:lang w:val="en-ZA"/>
        </w:rPr>
        <w:t xml:space="preserve"> note 10</w:t>
      </w:r>
      <w:r w:rsidR="005F48E2">
        <w:rPr>
          <w:rFonts w:ascii="Times New Roman" w:hAnsi="Times New Roman" w:cs="Times New Roman"/>
          <w:lang w:val="en-ZA"/>
        </w:rPr>
        <w:t>6</w:t>
      </w:r>
      <w:r w:rsidRPr="004A4D78">
        <w:rPr>
          <w:rFonts w:ascii="Times New Roman" w:hAnsi="Times New Roman" w:cs="Times New Roman"/>
          <w:lang w:val="en-ZA"/>
        </w:rPr>
        <w:t xml:space="preserve">, at 170; Christie and Bradfield, </w:t>
      </w:r>
      <w:r w:rsidRPr="005F48E2">
        <w:rPr>
          <w:rFonts w:ascii="Times New Roman" w:hAnsi="Times New Roman" w:cs="Times New Roman"/>
          <w:i/>
          <w:lang w:val="en-ZA"/>
        </w:rPr>
        <w:t>Christie’s The Law of Contract in South Africa</w:t>
      </w:r>
      <w:r w:rsidRPr="005F48E2">
        <w:rPr>
          <w:rFonts w:ascii="Times New Roman" w:hAnsi="Times New Roman" w:cs="Times New Roman"/>
          <w:lang w:val="en-ZA"/>
        </w:rPr>
        <w:t xml:space="preserve">, </w:t>
      </w:r>
      <w:r w:rsidRPr="005F48E2">
        <w:rPr>
          <w:rFonts w:ascii="Times New Roman" w:hAnsi="Times New Roman" w:cs="Times New Roman"/>
          <w:i/>
          <w:lang w:val="en-ZA"/>
        </w:rPr>
        <w:t>supra</w:t>
      </w:r>
      <w:r w:rsidRPr="005F48E2">
        <w:rPr>
          <w:rFonts w:ascii="Times New Roman" w:hAnsi="Times New Roman" w:cs="Times New Roman"/>
          <w:lang w:val="en-ZA"/>
        </w:rPr>
        <w:t xml:space="preserve"> note 10</w:t>
      </w:r>
      <w:r w:rsidR="005F48E2">
        <w:rPr>
          <w:rFonts w:ascii="Times New Roman" w:hAnsi="Times New Roman" w:cs="Times New Roman"/>
          <w:lang w:val="en-ZA"/>
        </w:rPr>
        <w:t>4</w:t>
      </w:r>
      <w:r w:rsidRPr="005F48E2">
        <w:rPr>
          <w:rFonts w:ascii="Times New Roman" w:hAnsi="Times New Roman" w:cs="Times New Roman"/>
          <w:lang w:val="en-ZA"/>
        </w:rPr>
        <w:t>, at 8</w:t>
      </w:r>
      <w:r w:rsidRPr="005F48E2">
        <w:rPr>
          <w:rFonts w:ascii="Times New Roman" w:hAnsi="Times New Roman" w:cs="Times New Roman"/>
          <w:lang w:val="en-US"/>
        </w:rPr>
        <w:t>-</w:t>
      </w:r>
      <w:r w:rsidRPr="005F48E2">
        <w:rPr>
          <w:rFonts w:ascii="Times New Roman" w:hAnsi="Times New Roman" w:cs="Times New Roman"/>
          <w:lang w:val="en-ZA"/>
        </w:rPr>
        <w:t>10.</w:t>
      </w:r>
    </w:p>
  </w:footnote>
  <w:footnote w:id="112">
    <w:p w14:paraId="18F036A1" w14:textId="4CDC6867"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1920 AD 204 at 206, Innes CJ stating the English rule in </w:t>
      </w:r>
      <w:r w:rsidRPr="00CB128D">
        <w:rPr>
          <w:rFonts w:ascii="Times New Roman" w:hAnsi="Times New Roman" w:cs="Times New Roman"/>
          <w:i/>
          <w:lang w:val="en-ZA"/>
        </w:rPr>
        <w:t xml:space="preserve">Tweddle v Atkinson </w:t>
      </w:r>
      <w:r w:rsidRPr="004A4D78">
        <w:rPr>
          <w:rFonts w:ascii="Times New Roman" w:hAnsi="Times New Roman" w:cs="Times New Roman"/>
        </w:rPr>
        <w:t>(1861) 1 B&amp;S 393; 121 ER 762</w:t>
      </w:r>
      <w:r w:rsidRPr="004A4D78">
        <w:rPr>
          <w:rFonts w:ascii="Times New Roman" w:hAnsi="Times New Roman" w:cs="Times New Roman"/>
          <w:i/>
          <w:lang w:val="en-ZA"/>
        </w:rPr>
        <w:t xml:space="preserve"> </w:t>
      </w:r>
      <w:r w:rsidRPr="00181643">
        <w:rPr>
          <w:rFonts w:ascii="Times New Roman" w:hAnsi="Times New Roman" w:cs="Times New Roman"/>
          <w:lang w:val="en-ZA"/>
        </w:rPr>
        <w:t>was hence not part of South African law.</w:t>
      </w:r>
    </w:p>
  </w:footnote>
  <w:footnote w:id="113">
    <w:p w14:paraId="02E8DB01" w14:textId="7205BCA2"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1956 (1) SA 277 (A) at </w:t>
      </w:r>
      <w:r w:rsidRPr="00CB128D">
        <w:rPr>
          <w:rFonts w:ascii="Times New Roman" w:hAnsi="Times New Roman" w:cs="Times New Roman"/>
          <w:lang w:val="en-ZA"/>
        </w:rPr>
        <w:t xml:space="preserve">291B-F.  Although this statement is in a minority judgment, it did not conflict with the majority position, and has been approved by subsequent Appellate Division majority decisions in </w:t>
      </w:r>
      <w:r w:rsidRPr="00181643">
        <w:rPr>
          <w:rFonts w:ascii="Times New Roman" w:hAnsi="Times New Roman" w:cs="Times New Roman"/>
          <w:i/>
          <w:lang w:val="en-ZA"/>
        </w:rPr>
        <w:t>Joel Melamed and Hurwitz v Cleveland Estates (Pty) Ltd; Joel Melamed and Hurwitz v Vorner Investments (Pty) Ltd</w:t>
      </w:r>
      <w:r w:rsidRPr="00181643">
        <w:rPr>
          <w:rFonts w:ascii="Times New Roman" w:hAnsi="Times New Roman" w:cs="Times New Roman"/>
          <w:lang w:val="en-ZA"/>
        </w:rPr>
        <w:t xml:space="preserve"> 1984 (3) SA 165 (A) at 172; </w:t>
      </w:r>
      <w:r w:rsidRPr="00181643">
        <w:rPr>
          <w:rFonts w:ascii="Times New Roman" w:hAnsi="Times New Roman" w:cs="Times New Roman"/>
          <w:i/>
          <w:lang w:val="en-ZA"/>
        </w:rPr>
        <w:t>Total SA (Pty) Ltd v Bekker NO</w:t>
      </w:r>
      <w:r w:rsidRPr="00181643">
        <w:rPr>
          <w:rFonts w:ascii="Times New Roman" w:hAnsi="Times New Roman" w:cs="Times New Roman"/>
          <w:lang w:val="en-ZA"/>
        </w:rPr>
        <w:t xml:space="preserve"> 1992 (1) SA 617 (A) at 625.</w:t>
      </w:r>
    </w:p>
  </w:footnote>
  <w:footnote w:id="114">
    <w:p w14:paraId="1C56F359" w14:textId="5D7DBC24"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JC de Wet proposed a right for the third party beneficiary arising directly out of the contract between promisor and promissee (in other words, a construction which involved just one contract, rather than two) in his doctoral thesis, </w:t>
      </w:r>
      <w:r w:rsidRPr="00181643">
        <w:rPr>
          <w:rFonts w:ascii="Times New Roman" w:hAnsi="Times New Roman" w:cs="Times New Roman"/>
          <w:i/>
        </w:rPr>
        <w:t>Die Ontwikkeling van die Ooreenkoms ten Behoewe van ‘n Derde</w:t>
      </w:r>
      <w:r w:rsidRPr="00181643">
        <w:rPr>
          <w:rFonts w:ascii="Times New Roman" w:hAnsi="Times New Roman" w:cs="Times New Roman"/>
          <w:smallCaps/>
        </w:rPr>
        <w:t xml:space="preserve"> (1940)</w:t>
      </w:r>
      <w:r w:rsidRPr="00181643">
        <w:rPr>
          <w:rFonts w:ascii="Times New Roman" w:hAnsi="Times New Roman" w:cs="Times New Roman"/>
        </w:rPr>
        <w:t xml:space="preserve">.  An explanation of De Wet’s construction (in English) can be found in Brownsword and Hutchison, </w:t>
      </w:r>
      <w:r w:rsidRPr="00181643">
        <w:rPr>
          <w:rFonts w:ascii="Times New Roman" w:hAnsi="Times New Roman" w:cs="Times New Roman"/>
          <w:i/>
        </w:rPr>
        <w:t>supra</w:t>
      </w:r>
      <w:r w:rsidRPr="00181643">
        <w:rPr>
          <w:rFonts w:ascii="Times New Roman" w:hAnsi="Times New Roman" w:cs="Times New Roman"/>
        </w:rPr>
        <w:t xml:space="preserve"> note 10</w:t>
      </w:r>
      <w:r w:rsidR="005F48E2">
        <w:rPr>
          <w:rFonts w:ascii="Times New Roman" w:hAnsi="Times New Roman" w:cs="Times New Roman"/>
        </w:rPr>
        <w:t>2</w:t>
      </w:r>
      <w:r w:rsidRPr="005F48E2">
        <w:rPr>
          <w:rFonts w:ascii="Times New Roman" w:hAnsi="Times New Roman" w:cs="Times New Roman"/>
        </w:rPr>
        <w:t>, at 133</w:t>
      </w:r>
      <w:r w:rsidRPr="005F48E2">
        <w:rPr>
          <w:rFonts w:ascii="Times New Roman" w:hAnsi="Times New Roman" w:cs="Times New Roman"/>
          <w:lang w:val="en-US"/>
        </w:rPr>
        <w:t>-</w:t>
      </w:r>
      <w:r w:rsidRPr="005F48E2">
        <w:rPr>
          <w:rFonts w:ascii="Times New Roman" w:hAnsi="Times New Roman" w:cs="Times New Roman"/>
        </w:rPr>
        <w:t xml:space="preserve">35.  For textbooks arguing in favour of the De Wet construction, see: </w:t>
      </w:r>
      <w:r w:rsidRPr="005F48E2">
        <w:rPr>
          <w:rFonts w:ascii="Times New Roman" w:hAnsi="Times New Roman" w:cs="Times New Roman"/>
          <w:lang w:val="en-ZA"/>
        </w:rPr>
        <w:t xml:space="preserve">De Wet and Van Wyk, </w:t>
      </w:r>
      <w:r w:rsidRPr="005F48E2">
        <w:rPr>
          <w:rFonts w:ascii="Times New Roman" w:hAnsi="Times New Roman" w:cs="Times New Roman"/>
          <w:i/>
          <w:lang w:val="en-ZA"/>
        </w:rPr>
        <w:t>Kontraktereg</w:t>
      </w:r>
      <w:r w:rsidRPr="005F48E2">
        <w:rPr>
          <w:rFonts w:ascii="Times New Roman" w:hAnsi="Times New Roman" w:cs="Times New Roman"/>
          <w:smallCaps/>
          <w:lang w:val="en-ZA"/>
        </w:rPr>
        <w:t xml:space="preserve">, </w:t>
      </w:r>
      <w:r w:rsidRPr="005F48E2">
        <w:rPr>
          <w:rFonts w:ascii="Times New Roman" w:hAnsi="Times New Roman" w:cs="Times New Roman"/>
          <w:i/>
          <w:lang w:val="en-ZA"/>
        </w:rPr>
        <w:t>supra</w:t>
      </w:r>
      <w:r w:rsidRPr="005F48E2">
        <w:rPr>
          <w:rFonts w:ascii="Times New Roman" w:hAnsi="Times New Roman" w:cs="Times New Roman"/>
          <w:lang w:val="en-ZA"/>
        </w:rPr>
        <w:t xml:space="preserve"> note 10</w:t>
      </w:r>
      <w:r w:rsidR="005F48E2">
        <w:rPr>
          <w:rFonts w:ascii="Times New Roman" w:hAnsi="Times New Roman" w:cs="Times New Roman"/>
          <w:lang w:val="en-ZA"/>
        </w:rPr>
        <w:t>2</w:t>
      </w:r>
      <w:r w:rsidRPr="005F48E2">
        <w:rPr>
          <w:rFonts w:ascii="Times New Roman" w:hAnsi="Times New Roman" w:cs="Times New Roman"/>
          <w:lang w:val="en-ZA"/>
        </w:rPr>
        <w:t>, at</w:t>
      </w:r>
      <w:r w:rsidRPr="005F48E2">
        <w:rPr>
          <w:rFonts w:ascii="Times New Roman" w:hAnsi="Times New Roman" w:cs="Times New Roman"/>
        </w:rPr>
        <w:t xml:space="preserve"> 103</w:t>
      </w:r>
      <w:r w:rsidRPr="005F48E2">
        <w:rPr>
          <w:rFonts w:ascii="Times New Roman" w:hAnsi="Times New Roman" w:cs="Times New Roman"/>
          <w:lang w:val="en-US"/>
        </w:rPr>
        <w:t>-</w:t>
      </w:r>
      <w:r w:rsidRPr="005F48E2">
        <w:rPr>
          <w:rFonts w:ascii="Times New Roman" w:hAnsi="Times New Roman" w:cs="Times New Roman"/>
        </w:rPr>
        <w:t xml:space="preserve">9; Van der Merwe et al., </w:t>
      </w:r>
      <w:r w:rsidRPr="005F48E2">
        <w:rPr>
          <w:rFonts w:ascii="Times New Roman" w:hAnsi="Times New Roman" w:cs="Times New Roman"/>
          <w:i/>
        </w:rPr>
        <w:t>Contract</w:t>
      </w:r>
      <w:r w:rsidRPr="005F48E2">
        <w:rPr>
          <w:rFonts w:ascii="Times New Roman" w:hAnsi="Times New Roman" w:cs="Times New Roman"/>
        </w:rPr>
        <w:t xml:space="preserve">, </w:t>
      </w:r>
      <w:r w:rsidRPr="005F48E2">
        <w:rPr>
          <w:rFonts w:ascii="Times New Roman" w:hAnsi="Times New Roman" w:cs="Times New Roman"/>
          <w:i/>
        </w:rPr>
        <w:t>supra</w:t>
      </w:r>
      <w:r w:rsidRPr="005F48E2">
        <w:rPr>
          <w:rFonts w:ascii="Times New Roman" w:hAnsi="Times New Roman" w:cs="Times New Roman"/>
        </w:rPr>
        <w:t xml:space="preserve"> note 10</w:t>
      </w:r>
      <w:r w:rsidR="005F48E2">
        <w:rPr>
          <w:rFonts w:ascii="Times New Roman" w:hAnsi="Times New Roman" w:cs="Times New Roman"/>
        </w:rPr>
        <w:t>4</w:t>
      </w:r>
      <w:r w:rsidRPr="005F48E2">
        <w:rPr>
          <w:rFonts w:ascii="Times New Roman" w:hAnsi="Times New Roman" w:cs="Times New Roman"/>
        </w:rPr>
        <w:t>, at 233</w:t>
      </w:r>
      <w:r w:rsidRPr="005F48E2">
        <w:rPr>
          <w:rFonts w:ascii="Times New Roman" w:hAnsi="Times New Roman" w:cs="Times New Roman"/>
          <w:lang w:val="en-US"/>
        </w:rPr>
        <w:t>-</w:t>
      </w:r>
      <w:r w:rsidRPr="005F48E2">
        <w:rPr>
          <w:rFonts w:ascii="Times New Roman" w:hAnsi="Times New Roman" w:cs="Times New Roman"/>
        </w:rPr>
        <w:t xml:space="preserve">37; MFB Reinecke et al, </w:t>
      </w:r>
      <w:r w:rsidRPr="005F48E2">
        <w:rPr>
          <w:rFonts w:ascii="Times New Roman" w:hAnsi="Times New Roman" w:cs="Times New Roman"/>
          <w:i/>
        </w:rPr>
        <w:t>South African Insurance Law</w:t>
      </w:r>
      <w:r w:rsidRPr="005F48E2">
        <w:rPr>
          <w:rFonts w:ascii="Times New Roman" w:hAnsi="Times New Roman" w:cs="Times New Roman"/>
          <w:smallCaps/>
        </w:rPr>
        <w:t xml:space="preserve"> </w:t>
      </w:r>
      <w:r w:rsidRPr="00181643">
        <w:rPr>
          <w:rFonts w:ascii="Times New Roman" w:hAnsi="Times New Roman" w:cs="Times New Roman"/>
        </w:rPr>
        <w:t>(2013), pp. 430</w:t>
      </w:r>
      <w:r w:rsidRPr="00181643">
        <w:rPr>
          <w:rFonts w:ascii="Times New Roman" w:hAnsi="Times New Roman" w:cs="Times New Roman"/>
          <w:lang w:val="en-US"/>
        </w:rPr>
        <w:t>-</w:t>
      </w:r>
      <w:r w:rsidRPr="00181643">
        <w:rPr>
          <w:rFonts w:ascii="Times New Roman" w:hAnsi="Times New Roman" w:cs="Times New Roman"/>
        </w:rPr>
        <w:t>32.</w:t>
      </w:r>
    </w:p>
  </w:footnote>
  <w:footnote w:id="115">
    <w:p w14:paraId="18171D10" w14:textId="0FEF6668"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Dale Hutchison and Chris-James Pretorius, </w:t>
      </w:r>
      <w:r w:rsidRPr="00CB128D">
        <w:rPr>
          <w:rFonts w:ascii="Times New Roman" w:hAnsi="Times New Roman" w:cs="Times New Roman"/>
          <w:i/>
        </w:rPr>
        <w:t>The Law of Contract in South Africa</w:t>
      </w:r>
      <w:r w:rsidRPr="00CB128D">
        <w:rPr>
          <w:rFonts w:ascii="Times New Roman" w:hAnsi="Times New Roman" w:cs="Times New Roman"/>
          <w:smallCaps/>
        </w:rPr>
        <w:t xml:space="preserve">, </w:t>
      </w:r>
      <w:r w:rsidRPr="004A4D78">
        <w:rPr>
          <w:rFonts w:ascii="Times New Roman" w:hAnsi="Times New Roman" w:cs="Times New Roman"/>
        </w:rPr>
        <w:t>2</w:t>
      </w:r>
      <w:r w:rsidRPr="004A4D78">
        <w:rPr>
          <w:rFonts w:ascii="Times New Roman" w:hAnsi="Times New Roman" w:cs="Times New Roman"/>
          <w:vertAlign w:val="superscript"/>
        </w:rPr>
        <w:t>nd</w:t>
      </w:r>
      <w:r w:rsidRPr="004A4D78">
        <w:rPr>
          <w:rFonts w:ascii="Times New Roman" w:hAnsi="Times New Roman" w:cs="Times New Roman"/>
        </w:rPr>
        <w:t xml:space="preserve"> edn.</w:t>
      </w:r>
      <w:r w:rsidRPr="004A4D78">
        <w:rPr>
          <w:rFonts w:ascii="Times New Roman" w:hAnsi="Times New Roman" w:cs="Times New Roman"/>
          <w:lang w:val="en-ZA"/>
        </w:rPr>
        <w:t xml:space="preserve"> (2012), p. 226.</w:t>
      </w:r>
    </w:p>
  </w:footnote>
  <w:footnote w:id="116">
    <w:p w14:paraId="0B89005E" w14:textId="3BA7909D"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lang w:val="en-ZA"/>
        </w:rPr>
        <w:t>Mutual Life Insurance Co of New York v Hotz</w:t>
      </w:r>
      <w:r w:rsidRPr="00CB128D">
        <w:rPr>
          <w:rFonts w:ascii="Times New Roman" w:hAnsi="Times New Roman" w:cs="Times New Roman"/>
          <w:lang w:val="en-ZA"/>
        </w:rPr>
        <w:t xml:space="preserve"> 1911 AD 556 at </w:t>
      </w:r>
      <w:r w:rsidRPr="004A4D78">
        <w:rPr>
          <w:rFonts w:ascii="Times New Roman" w:hAnsi="Times New Roman" w:cs="Times New Roman"/>
          <w:lang w:val="en-ZA"/>
        </w:rPr>
        <w:t xml:space="preserve">567.  Brownsword and Hutchison, “Beyond Promissory Principle and Protective Pragmatism”, </w:t>
      </w:r>
      <w:r w:rsidRPr="005F48E2">
        <w:rPr>
          <w:rFonts w:ascii="Times New Roman" w:hAnsi="Times New Roman" w:cs="Times New Roman"/>
          <w:i/>
          <w:lang w:val="en-ZA"/>
        </w:rPr>
        <w:t>supra</w:t>
      </w:r>
      <w:r w:rsidRPr="005F48E2">
        <w:rPr>
          <w:rFonts w:ascii="Times New Roman" w:hAnsi="Times New Roman" w:cs="Times New Roman"/>
          <w:lang w:val="en-ZA"/>
        </w:rPr>
        <w:t xml:space="preserve"> note 10</w:t>
      </w:r>
      <w:r w:rsidR="005F48E2">
        <w:rPr>
          <w:rFonts w:ascii="Times New Roman" w:hAnsi="Times New Roman" w:cs="Times New Roman"/>
          <w:lang w:val="en-ZA"/>
        </w:rPr>
        <w:t>2</w:t>
      </w:r>
      <w:r w:rsidRPr="005F48E2">
        <w:rPr>
          <w:rFonts w:ascii="Times New Roman" w:hAnsi="Times New Roman" w:cs="Times New Roman"/>
          <w:lang w:val="en-ZA"/>
        </w:rPr>
        <w:t xml:space="preserve">, at 138; Philip Sutherland, </w:t>
      </w:r>
      <w:r w:rsidRPr="005F48E2">
        <w:rPr>
          <w:rFonts w:ascii="Times New Roman" w:hAnsi="Times New Roman" w:cs="Times New Roman"/>
          <w:i/>
          <w:lang w:val="en-ZA"/>
        </w:rPr>
        <w:t>Third Party Contracts</w:t>
      </w:r>
      <w:r w:rsidRPr="005F48E2">
        <w:rPr>
          <w:rFonts w:ascii="Times New Roman" w:hAnsi="Times New Roman" w:cs="Times New Roman"/>
          <w:lang w:val="en-ZA"/>
        </w:rPr>
        <w:t xml:space="preserve">, in </w:t>
      </w:r>
      <w:r w:rsidRPr="00181643">
        <w:rPr>
          <w:rFonts w:ascii="Times New Roman" w:hAnsi="Times New Roman" w:cs="Times New Roman"/>
          <w:smallCaps/>
          <w:lang w:val="en-ZA"/>
        </w:rPr>
        <w:t>H</w:t>
      </w:r>
      <w:r w:rsidRPr="00181643">
        <w:rPr>
          <w:rFonts w:ascii="Times New Roman" w:hAnsi="Times New Roman" w:cs="Times New Roman"/>
          <w:lang w:val="en-ZA"/>
        </w:rPr>
        <w:t xml:space="preserve">ector L MacQueen and Reinhard Zimmermann (eds.), </w:t>
      </w:r>
      <w:r w:rsidRPr="00181643">
        <w:rPr>
          <w:rFonts w:ascii="Times New Roman" w:hAnsi="Times New Roman" w:cs="Times New Roman"/>
          <w:i/>
          <w:lang w:val="en-ZA"/>
        </w:rPr>
        <w:t>European Contract Law: Scots and South African Perspectives</w:t>
      </w:r>
      <w:r w:rsidRPr="00181643">
        <w:rPr>
          <w:rFonts w:ascii="Times New Roman" w:hAnsi="Times New Roman" w:cs="Times New Roman"/>
          <w:smallCaps/>
          <w:lang w:val="en-ZA"/>
        </w:rPr>
        <w:t xml:space="preserve"> (</w:t>
      </w:r>
      <w:r w:rsidRPr="00181643">
        <w:rPr>
          <w:rFonts w:ascii="Times New Roman" w:hAnsi="Times New Roman" w:cs="Times New Roman"/>
          <w:lang w:val="en-ZA"/>
        </w:rPr>
        <w:t>2006), pp. 2</w:t>
      </w:r>
      <w:r w:rsidRPr="00181643">
        <w:rPr>
          <w:rFonts w:ascii="Times New Roman" w:hAnsi="Times New Roman" w:cs="Times New Roman"/>
          <w:smallCaps/>
          <w:lang w:val="en-ZA"/>
        </w:rPr>
        <w:t>03</w:t>
      </w:r>
      <w:r w:rsidRPr="00181643">
        <w:rPr>
          <w:rFonts w:ascii="Times New Roman" w:hAnsi="Times New Roman" w:cs="Times New Roman"/>
          <w:lang w:val="en-US"/>
        </w:rPr>
        <w:t>-</w:t>
      </w:r>
      <w:r w:rsidRPr="00181643">
        <w:rPr>
          <w:rFonts w:ascii="Times New Roman" w:hAnsi="Times New Roman" w:cs="Times New Roman"/>
          <w:smallCaps/>
          <w:lang w:val="en-ZA"/>
        </w:rPr>
        <w:t xml:space="preserve">29, </w:t>
      </w:r>
      <w:r w:rsidRPr="00181643">
        <w:rPr>
          <w:rFonts w:ascii="Times New Roman" w:hAnsi="Times New Roman" w:cs="Times New Roman"/>
          <w:lang w:val="en-ZA"/>
        </w:rPr>
        <w:t>at</w:t>
      </w:r>
      <w:r w:rsidRPr="00181643">
        <w:rPr>
          <w:rFonts w:ascii="Times New Roman" w:hAnsi="Times New Roman" w:cs="Times New Roman"/>
          <w:smallCaps/>
          <w:lang w:val="en-ZA"/>
        </w:rPr>
        <w:t xml:space="preserve"> 216.</w:t>
      </w:r>
    </w:p>
  </w:footnote>
  <w:footnote w:id="117">
    <w:p w14:paraId="41EEF99C" w14:textId="572C8E13"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lang w:val="en-ZA"/>
        </w:rPr>
        <w:t xml:space="preserve"> Brownsword and Hutchison, “Beyond Promissory Principle and Protective Pragmatism”, </w:t>
      </w:r>
      <w:r w:rsidRPr="00CB128D">
        <w:rPr>
          <w:rFonts w:ascii="Times New Roman" w:hAnsi="Times New Roman" w:cs="Times New Roman"/>
          <w:i/>
          <w:lang w:val="en-ZA"/>
        </w:rPr>
        <w:t>supra</w:t>
      </w:r>
      <w:r w:rsidRPr="00CB128D">
        <w:rPr>
          <w:rFonts w:ascii="Times New Roman" w:hAnsi="Times New Roman" w:cs="Times New Roman"/>
          <w:lang w:val="en-ZA"/>
        </w:rPr>
        <w:t xml:space="preserve"> note 10</w:t>
      </w:r>
      <w:r w:rsidR="005F48E2">
        <w:rPr>
          <w:rFonts w:ascii="Times New Roman" w:hAnsi="Times New Roman" w:cs="Times New Roman"/>
          <w:lang w:val="en-ZA"/>
        </w:rPr>
        <w:t>2</w:t>
      </w:r>
      <w:r w:rsidRPr="00CB128D">
        <w:rPr>
          <w:rFonts w:ascii="Times New Roman" w:hAnsi="Times New Roman" w:cs="Times New Roman"/>
          <w:lang w:val="en-ZA"/>
        </w:rPr>
        <w:t xml:space="preserve">, at 140; Sutherland, </w:t>
      </w:r>
      <w:r w:rsidRPr="005F48E2">
        <w:rPr>
          <w:rFonts w:ascii="Times New Roman" w:hAnsi="Times New Roman" w:cs="Times New Roman"/>
          <w:i/>
          <w:lang w:val="en-ZA"/>
        </w:rPr>
        <w:t>Third Party Contracts</w:t>
      </w:r>
      <w:r w:rsidRPr="005F48E2">
        <w:rPr>
          <w:rFonts w:ascii="Times New Roman" w:hAnsi="Times New Roman" w:cs="Times New Roman"/>
          <w:lang w:val="en-ZA"/>
        </w:rPr>
        <w:t xml:space="preserve">, </w:t>
      </w:r>
      <w:r w:rsidRPr="005F48E2">
        <w:rPr>
          <w:rFonts w:ascii="Times New Roman" w:hAnsi="Times New Roman" w:cs="Times New Roman"/>
          <w:i/>
          <w:lang w:val="en-ZA"/>
        </w:rPr>
        <w:t>supra</w:t>
      </w:r>
      <w:r w:rsidRPr="005F48E2">
        <w:rPr>
          <w:rFonts w:ascii="Times New Roman" w:hAnsi="Times New Roman" w:cs="Times New Roman"/>
          <w:lang w:val="en-ZA"/>
        </w:rPr>
        <w:t xml:space="preserve"> note 11</w:t>
      </w:r>
      <w:r w:rsidR="005F48E2">
        <w:rPr>
          <w:rFonts w:ascii="Times New Roman" w:hAnsi="Times New Roman" w:cs="Times New Roman"/>
          <w:lang w:val="en-ZA"/>
        </w:rPr>
        <w:t>4</w:t>
      </w:r>
      <w:r w:rsidRPr="005F48E2">
        <w:rPr>
          <w:rFonts w:ascii="Times New Roman" w:hAnsi="Times New Roman" w:cs="Times New Roman"/>
          <w:lang w:val="en-ZA"/>
        </w:rPr>
        <w:t>, at 212.</w:t>
      </w:r>
    </w:p>
  </w:footnote>
  <w:footnote w:id="118">
    <w:p w14:paraId="05A73874" w14:textId="45F64AE6"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See section 1 of the Contracts (Rights of Third Parties) Act 1999.</w:t>
      </w:r>
    </w:p>
  </w:footnote>
  <w:footnote w:id="119">
    <w:p w14:paraId="64D662C8" w14:textId="25BC5B15"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Compare the argument of Daniel Visser and Samantha Cook</w:t>
      </w:r>
      <w:r w:rsidRPr="00CB128D">
        <w:rPr>
          <w:rFonts w:ascii="Times New Roman" w:hAnsi="Times New Roman" w:cs="Times New Roman"/>
          <w:smallCaps/>
          <w:lang w:val="en-ZA"/>
        </w:rPr>
        <w:t>, “</w:t>
      </w:r>
      <w:r w:rsidRPr="004A4D78">
        <w:rPr>
          <w:rFonts w:ascii="Times New Roman" w:hAnsi="Times New Roman" w:cs="Times New Roman"/>
          <w:lang w:val="en-ZA"/>
        </w:rPr>
        <w:t xml:space="preserve">Contracts for the Benefit of Third Parties in South Africa – Investigating an Alternative Approach”, in Eltjo JH Schrage (ed.), </w:t>
      </w:r>
      <w:r w:rsidRPr="00181643">
        <w:rPr>
          <w:rFonts w:ascii="Times New Roman" w:hAnsi="Times New Roman" w:cs="Times New Roman"/>
          <w:i/>
          <w:lang w:val="en-ZA"/>
        </w:rPr>
        <w:t>Ius Quaesitum Tertio</w:t>
      </w:r>
      <w:r w:rsidRPr="00181643">
        <w:rPr>
          <w:rFonts w:ascii="Times New Roman" w:hAnsi="Times New Roman" w:cs="Times New Roman"/>
          <w:smallCaps/>
          <w:lang w:val="en-ZA"/>
        </w:rPr>
        <w:t>,</w:t>
      </w:r>
      <w:r w:rsidRPr="00181643">
        <w:rPr>
          <w:rFonts w:ascii="Times New Roman" w:hAnsi="Times New Roman" w:cs="Times New Roman"/>
          <w:lang w:val="en-ZA"/>
        </w:rPr>
        <w:t xml:space="preserve"> </w:t>
      </w:r>
      <w:r w:rsidRPr="00181643">
        <w:rPr>
          <w:rFonts w:ascii="Times New Roman" w:hAnsi="Times New Roman" w:cs="Times New Roman"/>
          <w:i/>
          <w:lang w:val="en-ZA"/>
        </w:rPr>
        <w:t>supra</w:t>
      </w:r>
      <w:r w:rsidRPr="00181643">
        <w:rPr>
          <w:rFonts w:ascii="Times New Roman" w:hAnsi="Times New Roman" w:cs="Times New Roman"/>
          <w:lang w:val="en-ZA"/>
        </w:rPr>
        <w:t xml:space="preserve"> note 6, pp. </w:t>
      </w:r>
      <w:r w:rsidRPr="00181643">
        <w:rPr>
          <w:rFonts w:ascii="Times New Roman" w:hAnsi="Times New Roman" w:cs="Times New Roman"/>
          <w:smallCaps/>
          <w:lang w:val="en-ZA"/>
        </w:rPr>
        <w:t>395</w:t>
      </w:r>
      <w:r w:rsidRPr="00181643">
        <w:rPr>
          <w:rFonts w:ascii="Times New Roman" w:hAnsi="Times New Roman" w:cs="Times New Roman"/>
          <w:smallCaps/>
          <w:lang w:val="en-US"/>
        </w:rPr>
        <w:t>–</w:t>
      </w:r>
      <w:r w:rsidRPr="00181643">
        <w:rPr>
          <w:rFonts w:ascii="Times New Roman" w:hAnsi="Times New Roman" w:cs="Times New Roman"/>
          <w:smallCaps/>
          <w:lang w:val="en-ZA"/>
        </w:rPr>
        <w:t xml:space="preserve">433, </w:t>
      </w:r>
      <w:r w:rsidRPr="00181643">
        <w:rPr>
          <w:rFonts w:ascii="Times New Roman" w:hAnsi="Times New Roman" w:cs="Times New Roman"/>
          <w:lang w:val="en-ZA"/>
        </w:rPr>
        <w:t>at</w:t>
      </w:r>
      <w:r w:rsidRPr="00181643">
        <w:rPr>
          <w:rFonts w:ascii="Times New Roman" w:hAnsi="Times New Roman" w:cs="Times New Roman"/>
          <w:i/>
          <w:smallCaps/>
          <w:lang w:val="en-ZA"/>
        </w:rPr>
        <w:t xml:space="preserve"> </w:t>
      </w:r>
      <w:r w:rsidRPr="00181643">
        <w:rPr>
          <w:rFonts w:ascii="Times New Roman" w:hAnsi="Times New Roman" w:cs="Times New Roman"/>
          <w:smallCaps/>
          <w:lang w:val="en-ZA"/>
        </w:rPr>
        <w:t>407-10.</w:t>
      </w:r>
    </w:p>
  </w:footnote>
  <w:footnote w:id="120">
    <w:p w14:paraId="6D54C153" w14:textId="63535999"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Visser and Cook, “</w:t>
      </w:r>
      <w:r w:rsidRPr="00CB128D">
        <w:rPr>
          <w:rFonts w:ascii="Times New Roman" w:hAnsi="Times New Roman" w:cs="Times New Roman"/>
          <w:lang w:val="en-ZA"/>
        </w:rPr>
        <w:t>Contracts for the Benefit of Third Parties in South Africa – Investigating an Alternative Approach”</w:t>
      </w:r>
      <w:r w:rsidRPr="00CB128D">
        <w:rPr>
          <w:rFonts w:ascii="Times New Roman" w:hAnsi="Times New Roman" w:cs="Times New Roman"/>
          <w:i/>
          <w:lang w:val="en-ZA"/>
        </w:rPr>
        <w:t xml:space="preserve">, supra </w:t>
      </w:r>
      <w:r w:rsidRPr="004A4D78">
        <w:rPr>
          <w:rFonts w:ascii="Times New Roman" w:hAnsi="Times New Roman" w:cs="Times New Roman"/>
          <w:lang w:val="en-ZA"/>
        </w:rPr>
        <w:t>note 11</w:t>
      </w:r>
      <w:r w:rsidR="005F48E2">
        <w:rPr>
          <w:rFonts w:ascii="Times New Roman" w:hAnsi="Times New Roman" w:cs="Times New Roman"/>
          <w:lang w:val="en-ZA"/>
        </w:rPr>
        <w:t>7</w:t>
      </w:r>
      <w:r w:rsidRPr="004A4D78">
        <w:rPr>
          <w:rFonts w:ascii="Times New Roman" w:hAnsi="Times New Roman" w:cs="Times New Roman"/>
          <w:lang w:val="en-ZA"/>
        </w:rPr>
        <w:t>, at 432.</w:t>
      </w:r>
    </w:p>
  </w:footnote>
  <w:footnote w:id="121">
    <w:p w14:paraId="57BC5147" w14:textId="078E33DA"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See below at Part III, Section B.3.</w:t>
      </w:r>
    </w:p>
  </w:footnote>
  <w:footnote w:id="122">
    <w:p w14:paraId="29E8ACB1" w14:textId="3B374933"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The key example of this is the literature on “networks”.  See for example: </w:t>
      </w:r>
      <w:r w:rsidRPr="004A4D78">
        <w:rPr>
          <w:rFonts w:ascii="Times New Roman" w:hAnsi="Times New Roman" w:cs="Times New Roman"/>
        </w:rPr>
        <w:t>Amstutz &amp; Teubner</w:t>
      </w:r>
      <w:r w:rsidRPr="005F48E2">
        <w:rPr>
          <w:rFonts w:ascii="Times New Roman" w:hAnsi="Times New Roman" w:cs="Times New Roman"/>
        </w:rPr>
        <w:t xml:space="preserve">, </w:t>
      </w:r>
      <w:r w:rsidRPr="005F48E2">
        <w:rPr>
          <w:rFonts w:ascii="Times New Roman" w:hAnsi="Times New Roman" w:cs="Times New Roman"/>
          <w:i/>
          <w:lang w:val="en-ZA"/>
        </w:rPr>
        <w:t xml:space="preserve">Networks: Legal Issues of Multilateral Co-operation, supra </w:t>
      </w:r>
      <w:r w:rsidRPr="005F48E2">
        <w:rPr>
          <w:rFonts w:ascii="Times New Roman" w:hAnsi="Times New Roman" w:cs="Times New Roman"/>
          <w:lang w:val="en-ZA"/>
        </w:rPr>
        <w:t>note 1</w:t>
      </w:r>
      <w:r w:rsidR="005F48E2">
        <w:rPr>
          <w:rFonts w:ascii="Times New Roman" w:hAnsi="Times New Roman" w:cs="Times New Roman"/>
          <w:lang w:val="en-ZA"/>
        </w:rPr>
        <w:t>5</w:t>
      </w:r>
      <w:r w:rsidRPr="005F48E2">
        <w:rPr>
          <w:rFonts w:ascii="Times New Roman" w:hAnsi="Times New Roman" w:cs="Times New Roman"/>
        </w:rPr>
        <w:t xml:space="preserve">; Powell, </w:t>
      </w:r>
      <w:r w:rsidRPr="00A74918">
        <w:rPr>
          <w:rFonts w:ascii="Times New Roman" w:hAnsi="Times New Roman" w:cs="Times New Roman"/>
          <w:i/>
        </w:rPr>
        <w:t>Neither Market nor Hierarchy: Network Forms of Organization</w:t>
      </w:r>
      <w:r w:rsidRPr="00CB128D">
        <w:rPr>
          <w:rFonts w:ascii="Times New Roman" w:hAnsi="Times New Roman" w:cs="Times New Roman"/>
        </w:rPr>
        <w:t xml:space="preserve">, </w:t>
      </w:r>
      <w:r w:rsidRPr="00CB128D">
        <w:rPr>
          <w:rFonts w:ascii="Times New Roman" w:hAnsi="Times New Roman" w:cs="Times New Roman"/>
          <w:i/>
        </w:rPr>
        <w:t xml:space="preserve">supra </w:t>
      </w:r>
      <w:r w:rsidRPr="004A4D78">
        <w:rPr>
          <w:rFonts w:ascii="Times New Roman" w:hAnsi="Times New Roman" w:cs="Times New Roman"/>
        </w:rPr>
        <w:t>note 1</w:t>
      </w:r>
      <w:r w:rsidR="005F48E2">
        <w:rPr>
          <w:rFonts w:ascii="Times New Roman" w:hAnsi="Times New Roman" w:cs="Times New Roman"/>
        </w:rPr>
        <w:t>5</w:t>
      </w:r>
      <w:r w:rsidRPr="00181643">
        <w:rPr>
          <w:rFonts w:ascii="Times New Roman" w:hAnsi="Times New Roman" w:cs="Times New Roman"/>
        </w:rPr>
        <w:t>, p. 295.</w:t>
      </w:r>
    </w:p>
  </w:footnote>
  <w:footnote w:id="123">
    <w:p w14:paraId="2461D9C4" w14:textId="52FFED90"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Kenneth Sutton, </w:t>
      </w:r>
      <w:r w:rsidRPr="00CB128D">
        <w:rPr>
          <w:rFonts w:ascii="Times New Roman" w:hAnsi="Times New Roman" w:cs="Times New Roman"/>
          <w:i/>
        </w:rPr>
        <w:t>Insurance Law in Australia</w:t>
      </w:r>
      <w:r w:rsidRPr="00CB128D">
        <w:rPr>
          <w:rFonts w:ascii="Times New Roman" w:hAnsi="Times New Roman" w:cs="Times New Roman"/>
        </w:rPr>
        <w:t>, 3</w:t>
      </w:r>
      <w:r w:rsidRPr="004A4D78">
        <w:rPr>
          <w:rFonts w:ascii="Times New Roman" w:hAnsi="Times New Roman" w:cs="Times New Roman"/>
          <w:vertAlign w:val="superscript"/>
        </w:rPr>
        <w:t>rd</w:t>
      </w:r>
      <w:r w:rsidRPr="004A4D78">
        <w:rPr>
          <w:rFonts w:ascii="Times New Roman" w:hAnsi="Times New Roman" w:cs="Times New Roman"/>
        </w:rPr>
        <w:t xml:space="preserve"> edn, (</w:t>
      </w:r>
      <w:r w:rsidRPr="004A4D78">
        <w:rPr>
          <w:rFonts w:ascii="Times New Roman" w:hAnsi="Times New Roman" w:cs="Times New Roman"/>
          <w:lang w:val="en-ZA"/>
        </w:rPr>
        <w:t xml:space="preserve">1999) pp. </w:t>
      </w:r>
      <w:r w:rsidRPr="004A4D78">
        <w:rPr>
          <w:rFonts w:ascii="Times New Roman" w:hAnsi="Times New Roman" w:cs="Times New Roman"/>
        </w:rPr>
        <w:t>819</w:t>
      </w:r>
      <w:r w:rsidRPr="004A4D78">
        <w:rPr>
          <w:rFonts w:ascii="Times New Roman" w:hAnsi="Times New Roman" w:cs="Times New Roman"/>
          <w:lang w:val="en-US"/>
        </w:rPr>
        <w:t>-</w:t>
      </w:r>
      <w:r w:rsidRPr="004A4D78">
        <w:rPr>
          <w:rFonts w:ascii="Times New Roman" w:hAnsi="Times New Roman" w:cs="Times New Roman"/>
        </w:rPr>
        <w:t>22</w:t>
      </w:r>
      <w:r w:rsidRPr="004A4D78">
        <w:rPr>
          <w:rFonts w:ascii="Times New Roman" w:hAnsi="Times New Roman" w:cs="Times New Roman"/>
          <w:lang w:val="en-ZA"/>
        </w:rPr>
        <w:t xml:space="preserve">; Reinecke et al, </w:t>
      </w:r>
      <w:r w:rsidRPr="005F48E2">
        <w:rPr>
          <w:rFonts w:ascii="Times New Roman" w:hAnsi="Times New Roman" w:cs="Times New Roman"/>
          <w:i/>
          <w:lang w:val="en-ZA"/>
        </w:rPr>
        <w:t>South African Insurance Law</w:t>
      </w:r>
      <w:r w:rsidRPr="005F48E2">
        <w:rPr>
          <w:rFonts w:ascii="Times New Roman" w:hAnsi="Times New Roman" w:cs="Times New Roman"/>
          <w:lang w:val="en-ZA"/>
        </w:rPr>
        <w:t xml:space="preserve">, </w:t>
      </w:r>
      <w:r w:rsidRPr="005F48E2">
        <w:rPr>
          <w:rFonts w:ascii="Times New Roman" w:hAnsi="Times New Roman" w:cs="Times New Roman"/>
          <w:i/>
          <w:lang w:val="en-ZA"/>
        </w:rPr>
        <w:t>supra</w:t>
      </w:r>
      <w:r w:rsidRPr="005F48E2">
        <w:rPr>
          <w:rFonts w:ascii="Times New Roman" w:hAnsi="Times New Roman" w:cs="Times New Roman"/>
          <w:lang w:val="en-ZA"/>
        </w:rPr>
        <w:t xml:space="preserve"> note 1</w:t>
      </w:r>
      <w:r w:rsidR="005F48E2">
        <w:rPr>
          <w:rFonts w:ascii="Times New Roman" w:hAnsi="Times New Roman" w:cs="Times New Roman"/>
          <w:lang w:val="en-ZA"/>
        </w:rPr>
        <w:t>20</w:t>
      </w:r>
      <w:r w:rsidRPr="005F48E2">
        <w:rPr>
          <w:rFonts w:ascii="Times New Roman" w:hAnsi="Times New Roman" w:cs="Times New Roman"/>
          <w:lang w:val="en-ZA"/>
        </w:rPr>
        <w:t>, at 443</w:t>
      </w:r>
      <w:r w:rsidRPr="005F48E2">
        <w:rPr>
          <w:rFonts w:ascii="Times New Roman" w:hAnsi="Times New Roman" w:cs="Times New Roman"/>
          <w:lang w:val="en-US"/>
        </w:rPr>
        <w:t>-</w:t>
      </w:r>
      <w:r w:rsidRPr="005F48E2">
        <w:rPr>
          <w:rFonts w:ascii="Times New Roman" w:hAnsi="Times New Roman" w:cs="Times New Roman"/>
          <w:lang w:val="en-ZA"/>
        </w:rPr>
        <w:t>47; Robert Merkin, Colinvaux’s Law of Insurance, 9</w:t>
      </w:r>
      <w:r w:rsidRPr="005F48E2">
        <w:rPr>
          <w:rFonts w:ascii="Times New Roman" w:hAnsi="Times New Roman" w:cs="Times New Roman"/>
          <w:vertAlign w:val="superscript"/>
          <w:lang w:val="en-ZA"/>
        </w:rPr>
        <w:t>th</w:t>
      </w:r>
      <w:r w:rsidRPr="005F48E2">
        <w:rPr>
          <w:rFonts w:ascii="Times New Roman" w:hAnsi="Times New Roman" w:cs="Times New Roman"/>
          <w:lang w:val="en-ZA"/>
        </w:rPr>
        <w:t xml:space="preserve"> edn (2010), pp. 1000-2.</w:t>
      </w:r>
    </w:p>
  </w:footnote>
  <w:footnote w:id="124">
    <w:p w14:paraId="3315724A" w14:textId="026B3980"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Sutton, </w:t>
      </w:r>
      <w:r w:rsidRPr="00CB128D">
        <w:rPr>
          <w:rFonts w:ascii="Times New Roman" w:hAnsi="Times New Roman" w:cs="Times New Roman"/>
          <w:i/>
        </w:rPr>
        <w:t>Insurance Law in Australia</w:t>
      </w:r>
      <w:r w:rsidRPr="004A4D78">
        <w:rPr>
          <w:rFonts w:ascii="Times New Roman" w:hAnsi="Times New Roman" w:cs="Times New Roman"/>
        </w:rPr>
        <w:t xml:space="preserve">, </w:t>
      </w:r>
      <w:r w:rsidRPr="004A4D78">
        <w:rPr>
          <w:rFonts w:ascii="Times New Roman" w:hAnsi="Times New Roman" w:cs="Times New Roman"/>
          <w:i/>
        </w:rPr>
        <w:t xml:space="preserve">supra </w:t>
      </w:r>
      <w:r w:rsidRPr="004A4D78">
        <w:rPr>
          <w:rFonts w:ascii="Times New Roman" w:hAnsi="Times New Roman" w:cs="Times New Roman"/>
        </w:rPr>
        <w:t>note 12</w:t>
      </w:r>
      <w:r w:rsidR="005F48E2">
        <w:rPr>
          <w:rFonts w:ascii="Times New Roman" w:hAnsi="Times New Roman" w:cs="Times New Roman"/>
        </w:rPr>
        <w:t>1</w:t>
      </w:r>
      <w:r w:rsidRPr="004A4D78">
        <w:rPr>
          <w:rFonts w:ascii="Times New Roman" w:hAnsi="Times New Roman" w:cs="Times New Roman"/>
        </w:rPr>
        <w:t xml:space="preserve">, at 110; </w:t>
      </w:r>
      <w:r w:rsidRPr="004A4D78">
        <w:rPr>
          <w:rFonts w:ascii="Times New Roman" w:hAnsi="Times New Roman" w:cs="Times New Roman"/>
          <w:lang w:val="en-ZA"/>
        </w:rPr>
        <w:t xml:space="preserve">Reinecke et al, </w:t>
      </w:r>
      <w:r w:rsidRPr="004A4D78">
        <w:rPr>
          <w:rFonts w:ascii="Times New Roman" w:hAnsi="Times New Roman" w:cs="Times New Roman"/>
          <w:i/>
          <w:lang w:val="en-ZA"/>
        </w:rPr>
        <w:t>South African Insurance Law</w:t>
      </w:r>
      <w:r w:rsidRPr="004A4D78">
        <w:rPr>
          <w:rFonts w:ascii="Times New Roman" w:hAnsi="Times New Roman" w:cs="Times New Roman"/>
          <w:lang w:val="en-ZA"/>
        </w:rPr>
        <w:t xml:space="preserve">, </w:t>
      </w:r>
      <w:r w:rsidRPr="004A4D78">
        <w:rPr>
          <w:rFonts w:ascii="Times New Roman" w:hAnsi="Times New Roman" w:cs="Times New Roman"/>
          <w:i/>
          <w:lang w:val="en-ZA"/>
        </w:rPr>
        <w:t>supra</w:t>
      </w:r>
      <w:r w:rsidRPr="005F48E2">
        <w:rPr>
          <w:rFonts w:ascii="Times New Roman" w:hAnsi="Times New Roman" w:cs="Times New Roman"/>
          <w:lang w:val="en-ZA"/>
        </w:rPr>
        <w:t xml:space="preserve"> note 1</w:t>
      </w:r>
      <w:r w:rsidR="005F48E2">
        <w:rPr>
          <w:rFonts w:ascii="Times New Roman" w:hAnsi="Times New Roman" w:cs="Times New Roman"/>
          <w:lang w:val="en-ZA"/>
        </w:rPr>
        <w:t>20</w:t>
      </w:r>
      <w:r w:rsidRPr="005F48E2">
        <w:rPr>
          <w:rFonts w:ascii="Times New Roman" w:hAnsi="Times New Roman" w:cs="Times New Roman"/>
          <w:lang w:val="en-ZA"/>
        </w:rPr>
        <w:t xml:space="preserve">, </w:t>
      </w:r>
      <w:r w:rsidRPr="005F48E2">
        <w:rPr>
          <w:rFonts w:ascii="Times New Roman" w:hAnsi="Times New Roman" w:cs="Times New Roman"/>
        </w:rPr>
        <w:t>at 447.</w:t>
      </w:r>
    </w:p>
  </w:footnote>
  <w:footnote w:id="125">
    <w:p w14:paraId="2018D084" w14:textId="6689916E"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Merkin, </w:t>
      </w:r>
      <w:r w:rsidRPr="00CB128D">
        <w:rPr>
          <w:rFonts w:ascii="Times New Roman" w:hAnsi="Times New Roman" w:cs="Times New Roman"/>
          <w:i/>
        </w:rPr>
        <w:t>Colinvaux’s Law of Insurance</w:t>
      </w:r>
      <w:r w:rsidRPr="00CB128D">
        <w:rPr>
          <w:rFonts w:ascii="Times New Roman" w:hAnsi="Times New Roman" w:cs="Times New Roman"/>
          <w:smallCaps/>
        </w:rPr>
        <w:t xml:space="preserve">, </w:t>
      </w:r>
      <w:r w:rsidRPr="004A4D78">
        <w:rPr>
          <w:rFonts w:ascii="Times New Roman" w:hAnsi="Times New Roman" w:cs="Times New Roman"/>
          <w:i/>
        </w:rPr>
        <w:t>supra</w:t>
      </w:r>
      <w:r w:rsidRPr="004A4D78">
        <w:rPr>
          <w:rFonts w:ascii="Times New Roman" w:hAnsi="Times New Roman" w:cs="Times New Roman"/>
        </w:rPr>
        <w:t xml:space="preserve"> note 12</w:t>
      </w:r>
      <w:r w:rsidR="005F48E2">
        <w:rPr>
          <w:rFonts w:ascii="Times New Roman" w:hAnsi="Times New Roman" w:cs="Times New Roman"/>
        </w:rPr>
        <w:t>1</w:t>
      </w:r>
      <w:r w:rsidRPr="004A4D78">
        <w:rPr>
          <w:rFonts w:ascii="Times New Roman" w:hAnsi="Times New Roman" w:cs="Times New Roman"/>
        </w:rPr>
        <w:t>, at 1001. This would, of course, constitute an exception to both the doctrine</w:t>
      </w:r>
      <w:r w:rsidRPr="00181643">
        <w:rPr>
          <w:rFonts w:ascii="Times New Roman" w:hAnsi="Times New Roman" w:cs="Times New Roman"/>
        </w:rPr>
        <w:t xml:space="preserve"> of privity and the requirement of “insurable interest” in English contract law.  This has been addressed by permitting a statutory exception here, first introduced by the Road Traffic Act 1930. </w:t>
      </w:r>
    </w:p>
  </w:footnote>
  <w:footnote w:id="126">
    <w:p w14:paraId="3BDB4A5B" w14:textId="45484CB5"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See the discussion in Part III, Sections B.2 and B.3 below.</w:t>
      </w:r>
    </w:p>
  </w:footnote>
  <w:footnote w:id="127">
    <w:p w14:paraId="0CFEC663" w14:textId="469D1011"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Australia: </w:t>
      </w:r>
      <w:r w:rsidRPr="00CB128D">
        <w:rPr>
          <w:rFonts w:ascii="Times New Roman" w:hAnsi="Times New Roman" w:cs="Times New Roman"/>
        </w:rPr>
        <w:t xml:space="preserve">Sutton, </w:t>
      </w:r>
      <w:r w:rsidRPr="004A4D78">
        <w:rPr>
          <w:rFonts w:ascii="Times New Roman" w:hAnsi="Times New Roman" w:cs="Times New Roman"/>
          <w:i/>
        </w:rPr>
        <w:t>Insurance Law in Australia</w:t>
      </w:r>
      <w:r w:rsidRPr="004A4D78">
        <w:rPr>
          <w:rFonts w:ascii="Times New Roman" w:hAnsi="Times New Roman" w:cs="Times New Roman"/>
          <w:smallCaps/>
        </w:rPr>
        <w:t xml:space="preserve">, </w:t>
      </w:r>
      <w:r w:rsidRPr="004A4D78">
        <w:rPr>
          <w:rFonts w:ascii="Times New Roman" w:hAnsi="Times New Roman" w:cs="Times New Roman"/>
          <w:i/>
        </w:rPr>
        <w:t xml:space="preserve">supra </w:t>
      </w:r>
      <w:r w:rsidRPr="004A4D78">
        <w:rPr>
          <w:rFonts w:ascii="Times New Roman" w:hAnsi="Times New Roman" w:cs="Times New Roman"/>
        </w:rPr>
        <w:t>note 12</w:t>
      </w:r>
      <w:r w:rsidR="005F48E2">
        <w:rPr>
          <w:rFonts w:ascii="Times New Roman" w:hAnsi="Times New Roman" w:cs="Times New Roman"/>
        </w:rPr>
        <w:t>1</w:t>
      </w:r>
      <w:r w:rsidRPr="004A4D78">
        <w:rPr>
          <w:rFonts w:ascii="Times New Roman" w:hAnsi="Times New Roman" w:cs="Times New Roman"/>
        </w:rPr>
        <w:t xml:space="preserve">, at </w:t>
      </w:r>
      <w:r w:rsidRPr="004A4D78">
        <w:rPr>
          <w:rFonts w:ascii="Times New Roman" w:hAnsi="Times New Roman" w:cs="Times New Roman"/>
          <w:lang w:val="en-ZA"/>
        </w:rPr>
        <w:t>157</w:t>
      </w:r>
      <w:r w:rsidRPr="004A4D78">
        <w:rPr>
          <w:rFonts w:ascii="Times New Roman" w:hAnsi="Times New Roman" w:cs="Times New Roman"/>
          <w:lang w:val="en-US"/>
        </w:rPr>
        <w:t>-</w:t>
      </w:r>
      <w:r w:rsidRPr="005F48E2">
        <w:rPr>
          <w:rFonts w:ascii="Times New Roman" w:hAnsi="Times New Roman" w:cs="Times New Roman"/>
          <w:lang w:val="en-ZA"/>
        </w:rPr>
        <w:t>60.  See further the discussion of “good faith” in Australian insurance law below in Part II, Section B.1.</w:t>
      </w:r>
    </w:p>
    <w:p w14:paraId="4E842484" w14:textId="127E2443" w:rsidR="00181643" w:rsidRPr="005F48E2" w:rsidRDefault="00181643">
      <w:pPr>
        <w:pStyle w:val="FootnoteText"/>
        <w:jc w:val="both"/>
        <w:rPr>
          <w:rFonts w:ascii="Times New Roman" w:hAnsi="Times New Roman" w:cs="Times New Roman"/>
          <w:lang w:val="en-ZA"/>
        </w:rPr>
      </w:pPr>
      <w:r w:rsidRPr="00181643">
        <w:rPr>
          <w:rFonts w:ascii="Times New Roman" w:hAnsi="Times New Roman" w:cs="Times New Roman"/>
          <w:lang w:val="en-ZA"/>
        </w:rPr>
        <w:t xml:space="preserve">South Africa: </w:t>
      </w:r>
      <w:r w:rsidRPr="00181643">
        <w:rPr>
          <w:rStyle w:val="SubtleEmphasis"/>
          <w:rFonts w:ascii="Times New Roman" w:eastAsia="Arial Unicode MS" w:hAnsi="Times New Roman" w:cs="Times New Roman"/>
        </w:rPr>
        <w:t>Mutual &amp; Federal Insurance Co Ltd v Oudtshoorn Municipality</w:t>
      </w:r>
      <w:r w:rsidRPr="00181643">
        <w:rPr>
          <w:rFonts w:ascii="Times New Roman" w:eastAsia="Arial Unicode MS" w:hAnsi="Times New Roman" w:cs="Times New Roman"/>
        </w:rPr>
        <w:t xml:space="preserve"> 1985 (1) SA 419 (A) is the classic authority on the duty of good faith in South African insurance law, despite the jettisoning of the “utmost” part of this formulation at 431H-433F and 443C-D</w:t>
      </w:r>
      <w:r w:rsidRPr="00181643">
        <w:rPr>
          <w:rFonts w:ascii="Times New Roman" w:hAnsi="Times New Roman" w:cs="Times New Roman"/>
          <w:lang w:val="en-ZA"/>
        </w:rPr>
        <w:t xml:space="preserve">.  See further: Reinecke et al, </w:t>
      </w:r>
      <w:r w:rsidRPr="00181643">
        <w:rPr>
          <w:rFonts w:ascii="Times New Roman" w:hAnsi="Times New Roman" w:cs="Times New Roman"/>
          <w:i/>
          <w:lang w:val="en-ZA"/>
        </w:rPr>
        <w:t>South African Insurance Law</w:t>
      </w:r>
      <w:r w:rsidRPr="00181643">
        <w:rPr>
          <w:rFonts w:ascii="Times New Roman" w:hAnsi="Times New Roman" w:cs="Times New Roman"/>
          <w:smallCaps/>
          <w:lang w:val="en-ZA"/>
        </w:rPr>
        <w:t xml:space="preserve">, </w:t>
      </w:r>
      <w:r w:rsidRPr="00181643">
        <w:rPr>
          <w:rFonts w:ascii="Times New Roman" w:hAnsi="Times New Roman" w:cs="Times New Roman"/>
          <w:i/>
          <w:lang w:val="en-ZA"/>
        </w:rPr>
        <w:t>supra</w:t>
      </w:r>
      <w:r w:rsidRPr="00181643">
        <w:rPr>
          <w:rFonts w:ascii="Times New Roman" w:hAnsi="Times New Roman" w:cs="Times New Roman"/>
          <w:lang w:val="en-ZA"/>
        </w:rPr>
        <w:t xml:space="preserve"> note 1</w:t>
      </w:r>
      <w:r w:rsidR="005F48E2">
        <w:rPr>
          <w:rFonts w:ascii="Times New Roman" w:hAnsi="Times New Roman" w:cs="Times New Roman"/>
          <w:lang w:val="en-ZA"/>
        </w:rPr>
        <w:t>20</w:t>
      </w:r>
      <w:r w:rsidRPr="005F48E2">
        <w:rPr>
          <w:rFonts w:ascii="Times New Roman" w:hAnsi="Times New Roman" w:cs="Times New Roman"/>
          <w:lang w:val="en-ZA"/>
        </w:rPr>
        <w:t xml:space="preserve">, </w:t>
      </w:r>
      <w:r w:rsidRPr="005F48E2">
        <w:rPr>
          <w:rFonts w:ascii="Times New Roman" w:hAnsi="Times New Roman" w:cs="Times New Roman"/>
        </w:rPr>
        <w:t>at</w:t>
      </w:r>
      <w:r w:rsidRPr="005F48E2">
        <w:rPr>
          <w:rFonts w:ascii="Times New Roman" w:hAnsi="Times New Roman" w:cs="Times New Roman"/>
          <w:lang w:val="en-ZA"/>
        </w:rPr>
        <w:t xml:space="preserve"> 140</w:t>
      </w:r>
      <w:r w:rsidRPr="005F48E2">
        <w:rPr>
          <w:rFonts w:ascii="Times New Roman" w:hAnsi="Times New Roman" w:cs="Times New Roman"/>
          <w:lang w:val="en-US"/>
        </w:rPr>
        <w:t>-</w:t>
      </w:r>
      <w:r w:rsidRPr="005F48E2">
        <w:rPr>
          <w:rFonts w:ascii="Times New Roman" w:hAnsi="Times New Roman" w:cs="Times New Roman"/>
          <w:lang w:val="en-ZA"/>
        </w:rPr>
        <w:t>42.</w:t>
      </w:r>
    </w:p>
  </w:footnote>
  <w:footnote w:id="128">
    <w:p w14:paraId="323EBB55" w14:textId="5299E1ED"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Sutton, </w:t>
      </w:r>
      <w:r w:rsidRPr="00CB128D">
        <w:rPr>
          <w:rFonts w:ascii="Times New Roman" w:hAnsi="Times New Roman" w:cs="Times New Roman"/>
          <w:i/>
        </w:rPr>
        <w:t xml:space="preserve">Insurance Law In Australia, supra </w:t>
      </w:r>
      <w:r w:rsidRPr="00CB128D">
        <w:rPr>
          <w:rFonts w:ascii="Times New Roman" w:hAnsi="Times New Roman" w:cs="Times New Roman"/>
        </w:rPr>
        <w:t>note 12</w:t>
      </w:r>
      <w:r w:rsidR="005F48E2">
        <w:rPr>
          <w:rFonts w:ascii="Times New Roman" w:hAnsi="Times New Roman" w:cs="Times New Roman"/>
        </w:rPr>
        <w:t>1</w:t>
      </w:r>
      <w:r w:rsidRPr="00CB128D">
        <w:rPr>
          <w:rFonts w:ascii="Times New Roman" w:hAnsi="Times New Roman" w:cs="Times New Roman"/>
        </w:rPr>
        <w:t>, at 1299</w:t>
      </w:r>
      <w:r w:rsidRPr="00CB128D">
        <w:rPr>
          <w:rFonts w:ascii="Times New Roman" w:hAnsi="Times New Roman" w:cs="Times New Roman"/>
          <w:lang w:val="en-US"/>
        </w:rPr>
        <w:t>-</w:t>
      </w:r>
      <w:r w:rsidRPr="004A4D78">
        <w:rPr>
          <w:rFonts w:ascii="Times New Roman" w:hAnsi="Times New Roman" w:cs="Times New Roman"/>
        </w:rPr>
        <w:t>1300</w:t>
      </w:r>
      <w:r w:rsidRPr="004A4D78">
        <w:rPr>
          <w:rFonts w:ascii="Times New Roman" w:hAnsi="Times New Roman" w:cs="Times New Roman"/>
          <w:lang w:val="en-ZA"/>
        </w:rPr>
        <w:t>.  See further below in Part III, Section B.2 for statutory references.</w:t>
      </w:r>
    </w:p>
  </w:footnote>
  <w:footnote w:id="129">
    <w:p w14:paraId="4BCB0F8D" w14:textId="747D299F"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Sutton, </w:t>
      </w:r>
      <w:r w:rsidRPr="00CB128D">
        <w:rPr>
          <w:rFonts w:ascii="Times New Roman" w:hAnsi="Times New Roman" w:cs="Times New Roman"/>
          <w:i/>
        </w:rPr>
        <w:t>Insurance Law in Australia</w:t>
      </w:r>
      <w:r w:rsidRPr="00CB128D">
        <w:rPr>
          <w:rFonts w:ascii="Times New Roman" w:hAnsi="Times New Roman" w:cs="Times New Roman"/>
        </w:rPr>
        <w:t xml:space="preserve">, </w:t>
      </w:r>
      <w:r w:rsidRPr="00CB128D">
        <w:rPr>
          <w:rFonts w:ascii="Times New Roman" w:hAnsi="Times New Roman" w:cs="Times New Roman"/>
          <w:i/>
        </w:rPr>
        <w:t xml:space="preserve">supra </w:t>
      </w:r>
      <w:r w:rsidRPr="00CB128D">
        <w:rPr>
          <w:rFonts w:ascii="Times New Roman" w:hAnsi="Times New Roman" w:cs="Times New Roman"/>
        </w:rPr>
        <w:t>note 12</w:t>
      </w:r>
      <w:r w:rsidR="005F48E2">
        <w:rPr>
          <w:rFonts w:ascii="Times New Roman" w:hAnsi="Times New Roman" w:cs="Times New Roman"/>
        </w:rPr>
        <w:t>1</w:t>
      </w:r>
      <w:r w:rsidRPr="00CB128D">
        <w:rPr>
          <w:rFonts w:ascii="Times New Roman" w:hAnsi="Times New Roman" w:cs="Times New Roman"/>
        </w:rPr>
        <w:t xml:space="preserve">, at </w:t>
      </w:r>
      <w:r w:rsidRPr="00CB128D">
        <w:rPr>
          <w:rFonts w:ascii="Times New Roman" w:hAnsi="Times New Roman" w:cs="Times New Roman"/>
          <w:lang w:val="en-ZA"/>
        </w:rPr>
        <w:t>1300</w:t>
      </w:r>
      <w:r w:rsidRPr="004A4D78">
        <w:rPr>
          <w:rFonts w:ascii="Times New Roman" w:hAnsi="Times New Roman" w:cs="Times New Roman"/>
          <w:lang w:val="en-US"/>
        </w:rPr>
        <w:t>-</w:t>
      </w:r>
      <w:r w:rsidRPr="004A4D78">
        <w:rPr>
          <w:rFonts w:ascii="Times New Roman" w:hAnsi="Times New Roman" w:cs="Times New Roman"/>
          <w:lang w:val="en-ZA"/>
        </w:rPr>
        <w:t>1.</w:t>
      </w:r>
    </w:p>
  </w:footnote>
  <w:footnote w:id="130">
    <w:p w14:paraId="54F691C8" w14:textId="00B2A184"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Sutton, </w:t>
      </w:r>
      <w:r w:rsidRPr="00CB128D">
        <w:rPr>
          <w:rFonts w:ascii="Times New Roman" w:hAnsi="Times New Roman" w:cs="Times New Roman"/>
          <w:i/>
        </w:rPr>
        <w:t>Insurance Law in Australia</w:t>
      </w:r>
      <w:r w:rsidRPr="00CB128D">
        <w:rPr>
          <w:rFonts w:ascii="Times New Roman" w:hAnsi="Times New Roman" w:cs="Times New Roman"/>
          <w:smallCaps/>
        </w:rPr>
        <w:t xml:space="preserve">, </w:t>
      </w:r>
      <w:r w:rsidRPr="00CB128D">
        <w:rPr>
          <w:rFonts w:ascii="Times New Roman" w:hAnsi="Times New Roman" w:cs="Times New Roman"/>
          <w:i/>
        </w:rPr>
        <w:t xml:space="preserve">supra </w:t>
      </w:r>
      <w:r w:rsidRPr="00CB128D">
        <w:rPr>
          <w:rFonts w:ascii="Times New Roman" w:hAnsi="Times New Roman" w:cs="Times New Roman"/>
        </w:rPr>
        <w:t>note 12</w:t>
      </w:r>
      <w:r w:rsidR="005F48E2">
        <w:rPr>
          <w:rFonts w:ascii="Times New Roman" w:hAnsi="Times New Roman" w:cs="Times New Roman"/>
        </w:rPr>
        <w:t>1</w:t>
      </w:r>
      <w:r w:rsidRPr="00CB128D">
        <w:rPr>
          <w:rFonts w:ascii="Times New Roman" w:hAnsi="Times New Roman" w:cs="Times New Roman"/>
        </w:rPr>
        <w:t xml:space="preserve">, at </w:t>
      </w:r>
      <w:r w:rsidRPr="00CB128D">
        <w:rPr>
          <w:rFonts w:ascii="Times New Roman" w:hAnsi="Times New Roman" w:cs="Times New Roman"/>
          <w:lang w:val="en-ZA"/>
        </w:rPr>
        <w:t>110</w:t>
      </w:r>
      <w:r w:rsidRPr="00CB128D">
        <w:rPr>
          <w:rFonts w:ascii="Times New Roman" w:hAnsi="Times New Roman" w:cs="Times New Roman"/>
          <w:lang w:val="en-US"/>
        </w:rPr>
        <w:t>-</w:t>
      </w:r>
      <w:r w:rsidRPr="004A4D78">
        <w:rPr>
          <w:rFonts w:ascii="Times New Roman" w:hAnsi="Times New Roman" w:cs="Times New Roman"/>
          <w:lang w:val="en-ZA"/>
        </w:rPr>
        <w:t>11.</w:t>
      </w:r>
    </w:p>
  </w:footnote>
  <w:footnote w:id="131">
    <w:p w14:paraId="509DEC8E" w14:textId="6FB0F254"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Act 56 of 1996, section 17.</w:t>
      </w:r>
    </w:p>
  </w:footnote>
  <w:footnote w:id="132">
    <w:p w14:paraId="1C58A0AC" w14:textId="57CCFFE8"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Section 18(1)(a) limits a claim for bodily injury or death to R25 000; section 17(4)(c) limits a claim for future income, or for loss of support due to a </w:t>
      </w:r>
      <w:r w:rsidRPr="00181643">
        <w:rPr>
          <w:rFonts w:ascii="Times New Roman" w:hAnsi="Times New Roman" w:cs="Times New Roman"/>
        </w:rPr>
        <w:t>deceased breadwinner, to R160 000 per year</w:t>
      </w:r>
      <w:r w:rsidRPr="00181643">
        <w:rPr>
          <w:rFonts w:ascii="Times New Roman" w:hAnsi="Times New Roman" w:cs="Times New Roman"/>
          <w:lang w:val="en-ZA"/>
        </w:rPr>
        <w:t xml:space="preserve">.  For an interesting discussion of the quantification of RAF claims, see Sarah Fick and Paul Van der Merwe, “RAF v Sweatman (162/2014) [2015] ZASCA 22 (20 March 2015) A simple illustration of the SCA’s statutory misinterpretation of section 17(4)(c) of the Road Accident Fund Act 56 of 1996”, </w:t>
      </w:r>
      <w:r w:rsidRPr="00181643">
        <w:rPr>
          <w:rFonts w:ascii="Times New Roman" w:hAnsi="Times New Roman" w:cs="Times New Roman"/>
          <w:i/>
          <w:lang w:val="en-ZA"/>
        </w:rPr>
        <w:t>Potchefstroom Electronic Law Journal</w:t>
      </w:r>
      <w:r w:rsidRPr="00181643">
        <w:rPr>
          <w:rFonts w:ascii="Times New Roman" w:hAnsi="Times New Roman" w:cs="Times New Roman"/>
          <w:lang w:val="en-ZA"/>
        </w:rPr>
        <w:t>, XVIII (2015), p. 2804.</w:t>
      </w:r>
    </w:p>
  </w:footnote>
  <w:footnote w:id="133">
    <w:p w14:paraId="0AC34B82" w14:textId="1DBBA377" w:rsidR="00181643" w:rsidRPr="00181643" w:rsidRDefault="00181643">
      <w:pPr>
        <w:pStyle w:val="FootnoteText"/>
        <w:jc w:val="both"/>
        <w:rPr>
          <w:rFonts w:ascii="Times New Roman" w:hAnsi="Times New Roman" w:cs="Times New Roman"/>
          <w:lang w:val="en-US"/>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iCs/>
          <w:lang w:val="en-US"/>
        </w:rPr>
        <w:t xml:space="preserve">Prudential Insurance v IRC </w:t>
      </w:r>
      <w:r w:rsidRPr="00CB128D">
        <w:rPr>
          <w:rFonts w:ascii="Times New Roman" w:hAnsi="Times New Roman" w:cs="Times New Roman"/>
          <w:lang w:val="en-US"/>
        </w:rPr>
        <w:t xml:space="preserve">[1904] 2KB 458; </w:t>
      </w:r>
      <w:r w:rsidRPr="00CB128D">
        <w:rPr>
          <w:rFonts w:ascii="Times New Roman" w:hAnsi="Times New Roman" w:cs="Times New Roman"/>
          <w:i/>
          <w:lang w:val="en-US"/>
        </w:rPr>
        <w:t>Medical Defence Union Ltd v Department of Trade</w:t>
      </w:r>
      <w:r w:rsidRPr="004A4D78">
        <w:rPr>
          <w:rFonts w:ascii="Times New Roman" w:hAnsi="Times New Roman" w:cs="Times New Roman"/>
          <w:lang w:val="en-US"/>
        </w:rPr>
        <w:t xml:space="preserve"> (1979) 2 WLR 686, at 690. See also Samantha Traves, </w:t>
      </w:r>
      <w:r w:rsidRPr="00181643">
        <w:rPr>
          <w:rFonts w:ascii="Times New Roman" w:hAnsi="Times New Roman" w:cs="Times New Roman"/>
          <w:i/>
          <w:lang w:val="en-US"/>
        </w:rPr>
        <w:t>Australian Commercial Law</w:t>
      </w:r>
      <w:r w:rsidRPr="00181643">
        <w:rPr>
          <w:rFonts w:ascii="Times New Roman" w:hAnsi="Times New Roman" w:cs="Times New Roman"/>
          <w:lang w:val="en-US"/>
        </w:rPr>
        <w:t>, 3</w:t>
      </w:r>
      <w:r w:rsidRPr="00181643">
        <w:rPr>
          <w:rFonts w:ascii="Times New Roman" w:hAnsi="Times New Roman" w:cs="Times New Roman"/>
          <w:vertAlign w:val="superscript"/>
          <w:lang w:val="en-US"/>
        </w:rPr>
        <w:t>rd</w:t>
      </w:r>
      <w:r w:rsidRPr="00181643">
        <w:rPr>
          <w:rFonts w:ascii="Times New Roman" w:hAnsi="Times New Roman" w:cs="Times New Roman"/>
          <w:lang w:val="en-US"/>
        </w:rPr>
        <w:t xml:space="preserve"> edn (2014), p. 422.</w:t>
      </w:r>
    </w:p>
  </w:footnote>
  <w:footnote w:id="134">
    <w:p w14:paraId="0134617F" w14:textId="77777777" w:rsidR="00181643" w:rsidRPr="00CB128D" w:rsidRDefault="00181643">
      <w:pPr>
        <w:pStyle w:val="FootnoteText"/>
        <w:jc w:val="both"/>
        <w:rPr>
          <w:rFonts w:ascii="Times New Roman" w:hAnsi="Times New Roman" w:cs="Times New Roman"/>
          <w:lang w:val="en-US"/>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Macaura v Northern Assurance Co</w:t>
      </w:r>
      <w:r w:rsidRPr="00CB128D">
        <w:rPr>
          <w:rFonts w:ascii="Times New Roman" w:hAnsi="Times New Roman" w:cs="Times New Roman"/>
        </w:rPr>
        <w:t xml:space="preserve"> [1925] AC 619.</w:t>
      </w:r>
    </w:p>
  </w:footnote>
  <w:footnote w:id="135">
    <w:p w14:paraId="518CF023" w14:textId="6E8D3585"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(1988) 165 CLR 107.</w:t>
      </w:r>
    </w:p>
  </w:footnote>
  <w:footnote w:id="136">
    <w:p w14:paraId="26E54357" w14:textId="0E305638" w:rsidR="00181643" w:rsidRPr="00CB128D" w:rsidRDefault="00181643">
      <w:pPr>
        <w:pStyle w:val="FootnoteText"/>
        <w:jc w:val="both"/>
        <w:rPr>
          <w:rFonts w:ascii="Times New Roman" w:hAnsi="Times New Roman" w:cs="Times New Roman"/>
          <w:lang w:val="en-US"/>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Section III, Part A.1.</w:t>
      </w:r>
    </w:p>
  </w:footnote>
  <w:footnote w:id="137">
    <w:p w14:paraId="5834FFD9" w14:textId="26124ACB" w:rsidR="00181643" w:rsidRPr="004A4D78"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Peter Mann, </w:t>
      </w:r>
      <w:r w:rsidRPr="00CB128D">
        <w:rPr>
          <w:rFonts w:ascii="Times New Roman" w:hAnsi="Times New Roman" w:cs="Times New Roman"/>
          <w:i/>
        </w:rPr>
        <w:t>Mann’s Annotated Insurance Contracts Act</w:t>
      </w:r>
      <w:r w:rsidRPr="00CB128D">
        <w:rPr>
          <w:rFonts w:ascii="Times New Roman" w:hAnsi="Times New Roman" w:cs="Times New Roman"/>
        </w:rPr>
        <w:t>, 7</w:t>
      </w:r>
      <w:r w:rsidRPr="00CB128D">
        <w:rPr>
          <w:rFonts w:ascii="Times New Roman" w:hAnsi="Times New Roman" w:cs="Times New Roman"/>
          <w:vertAlign w:val="superscript"/>
        </w:rPr>
        <w:t xml:space="preserve">th </w:t>
      </w:r>
      <w:r w:rsidRPr="004A4D78">
        <w:rPr>
          <w:rFonts w:ascii="Times New Roman" w:hAnsi="Times New Roman" w:cs="Times New Roman"/>
        </w:rPr>
        <w:t>edn (2016), p. 370.</w:t>
      </w:r>
    </w:p>
  </w:footnote>
  <w:footnote w:id="138">
    <w:p w14:paraId="2AE2F349" w14:textId="3D21B793"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[2003] VSC 253, at 43.</w:t>
      </w:r>
    </w:p>
  </w:footnote>
  <w:footnote w:id="139">
    <w:p w14:paraId="098DB93E" w14:textId="72EED51C" w:rsidR="00181643" w:rsidRPr="005F48E2"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Patrick Mead, “Of Subrogation, Circuity and Co-insurance: Recent Developments in Contract Works and Contractors’ All Risk Policies”, </w:t>
      </w:r>
      <w:r w:rsidRPr="00CB128D">
        <w:rPr>
          <w:rFonts w:ascii="Times New Roman" w:hAnsi="Times New Roman" w:cs="Times New Roman"/>
          <w:i/>
        </w:rPr>
        <w:t>Insurance Law Journal</w:t>
      </w:r>
      <w:r w:rsidRPr="00CB128D">
        <w:rPr>
          <w:rFonts w:ascii="Times New Roman" w:hAnsi="Times New Roman" w:cs="Times New Roman"/>
        </w:rPr>
        <w:t xml:space="preserve">, XIX (1998), p. 1, at 26. See also </w:t>
      </w:r>
      <w:r w:rsidRPr="005F48E2">
        <w:rPr>
          <w:rFonts w:ascii="Times New Roman" w:hAnsi="Times New Roman" w:cs="Times New Roman"/>
          <w:i/>
        </w:rPr>
        <w:t>id</w:t>
      </w:r>
      <w:r w:rsidRPr="005F48E2">
        <w:rPr>
          <w:rFonts w:ascii="Times New Roman" w:hAnsi="Times New Roman" w:cs="Times New Roman"/>
        </w:rPr>
        <w:t>. at 33.</w:t>
      </w:r>
    </w:p>
  </w:footnote>
  <w:footnote w:id="140">
    <w:p w14:paraId="445529BC" w14:textId="3A4B19F1"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Available at</w:t>
      </w:r>
      <w:r w:rsidRPr="00CB128D">
        <w:rPr>
          <w:rFonts w:ascii="Times New Roman" w:hAnsi="Times New Roman" w:cs="Times New Roman"/>
        </w:rPr>
        <w:t xml:space="preserve"> </w:t>
      </w:r>
      <w:hyperlink r:id="rId2" w:history="1">
        <w:r w:rsidRPr="00181643">
          <w:rPr>
            <w:rStyle w:val="Hyperlink"/>
            <w:rFonts w:ascii="Times New Roman" w:hAnsi="Times New Roman" w:cs="Times New Roman"/>
          </w:rPr>
          <w:t>http://www.alrc.gov.au/report-20</w:t>
        </w:r>
      </w:hyperlink>
      <w:r w:rsidRPr="00CB128D">
        <w:rPr>
          <w:rFonts w:ascii="Times New Roman" w:hAnsi="Times New Roman" w:cs="Times New Roman"/>
        </w:rPr>
        <w:t xml:space="preserve"> (accessed 10-14-2016).  </w:t>
      </w:r>
    </w:p>
  </w:footnote>
  <w:footnote w:id="141">
    <w:p w14:paraId="122EF5EE" w14:textId="77777777"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Cf. s 9 ICA.</w:t>
      </w:r>
    </w:p>
  </w:footnote>
  <w:footnote w:id="142">
    <w:p w14:paraId="73714631" w14:textId="6DBC0C56" w:rsidR="00181643" w:rsidRPr="005F48E2"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Cf. s 11(2)(a) </w:t>
      </w:r>
      <w:r w:rsidRPr="00CB128D">
        <w:rPr>
          <w:rFonts w:ascii="Times New Roman" w:hAnsi="Times New Roman" w:cs="Times New Roman"/>
          <w:i/>
          <w:lang w:val="en-GB"/>
        </w:rPr>
        <w:t xml:space="preserve">Property Law Act 1969 </w:t>
      </w:r>
      <w:r w:rsidRPr="00CB128D">
        <w:rPr>
          <w:rFonts w:ascii="Times New Roman" w:hAnsi="Times New Roman" w:cs="Times New Roman"/>
          <w:lang w:val="en-GB"/>
        </w:rPr>
        <w:t xml:space="preserve">(WA), s 55(4) </w:t>
      </w:r>
      <w:r w:rsidRPr="00CB128D">
        <w:rPr>
          <w:rFonts w:ascii="Times New Roman" w:hAnsi="Times New Roman" w:cs="Times New Roman"/>
          <w:i/>
          <w:lang w:val="en-GB"/>
        </w:rPr>
        <w:t>Property Law Act 1974</w:t>
      </w:r>
      <w:r w:rsidRPr="005F48E2">
        <w:rPr>
          <w:rFonts w:ascii="Times New Roman" w:hAnsi="Times New Roman" w:cs="Times New Roman"/>
          <w:lang w:val="en-GB"/>
        </w:rPr>
        <w:t xml:space="preserve"> (Qld), s 56(4)</w:t>
      </w:r>
      <w:r w:rsidRPr="005F48E2">
        <w:rPr>
          <w:rFonts w:ascii="Times New Roman" w:hAnsi="Times New Roman" w:cs="Times New Roman"/>
          <w:i/>
          <w:lang w:val="en-GB"/>
        </w:rPr>
        <w:t xml:space="preserve"> Law of Property Act</w:t>
      </w:r>
      <w:r w:rsidRPr="005F48E2">
        <w:rPr>
          <w:rFonts w:ascii="Times New Roman" w:hAnsi="Times New Roman" w:cs="Times New Roman"/>
          <w:lang w:val="en-GB"/>
        </w:rPr>
        <w:t xml:space="preserve"> (NT).</w:t>
      </w:r>
    </w:p>
  </w:footnote>
  <w:footnote w:id="143">
    <w:p w14:paraId="2E9D5CC4" w14:textId="77777777" w:rsidR="00181643" w:rsidRPr="00181643"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Cf. s 10(7) </w:t>
      </w:r>
      <w:r w:rsidRPr="00CB128D">
        <w:rPr>
          <w:rFonts w:ascii="Times New Roman" w:hAnsi="Times New Roman" w:cs="Times New Roman"/>
          <w:i/>
        </w:rPr>
        <w:t>Motor Vehicles (Third Parties Insurance)</w:t>
      </w:r>
      <w:r w:rsidRPr="00CB128D">
        <w:rPr>
          <w:rFonts w:ascii="Times New Roman" w:hAnsi="Times New Roman" w:cs="Times New Roman"/>
        </w:rPr>
        <w:t xml:space="preserve"> </w:t>
      </w:r>
      <w:r w:rsidRPr="005F48E2">
        <w:rPr>
          <w:rFonts w:ascii="Times New Roman" w:hAnsi="Times New Roman" w:cs="Times New Roman"/>
          <w:i/>
        </w:rPr>
        <w:t>Act</w:t>
      </w:r>
      <w:r w:rsidRPr="005F48E2">
        <w:rPr>
          <w:rFonts w:ascii="Times New Roman" w:hAnsi="Times New Roman" w:cs="Times New Roman"/>
        </w:rPr>
        <w:t xml:space="preserve"> </w:t>
      </w:r>
      <w:r w:rsidRPr="005F48E2">
        <w:rPr>
          <w:rFonts w:ascii="Times New Roman" w:hAnsi="Times New Roman" w:cs="Times New Roman"/>
          <w:i/>
        </w:rPr>
        <w:t>1942</w:t>
      </w:r>
      <w:r w:rsidRPr="005F48E2">
        <w:rPr>
          <w:rFonts w:ascii="Times New Roman" w:hAnsi="Times New Roman" w:cs="Times New Roman"/>
        </w:rPr>
        <w:t xml:space="preserve"> (NSW); s 3(1) </w:t>
      </w:r>
      <w:r w:rsidRPr="005F48E2">
        <w:rPr>
          <w:rFonts w:ascii="Times New Roman" w:hAnsi="Times New Roman" w:cs="Times New Roman"/>
          <w:i/>
        </w:rPr>
        <w:t>Motor Vehicle (Third Party Insurance) Act</w:t>
      </w:r>
      <w:r w:rsidRPr="005F48E2">
        <w:rPr>
          <w:rFonts w:ascii="Times New Roman" w:hAnsi="Times New Roman" w:cs="Times New Roman"/>
        </w:rPr>
        <w:t xml:space="preserve"> </w:t>
      </w:r>
      <w:r w:rsidRPr="005F48E2">
        <w:rPr>
          <w:rFonts w:ascii="Times New Roman" w:hAnsi="Times New Roman" w:cs="Times New Roman"/>
          <w:i/>
        </w:rPr>
        <w:t>1943</w:t>
      </w:r>
      <w:r w:rsidRPr="00181643">
        <w:rPr>
          <w:rFonts w:ascii="Times New Roman" w:hAnsi="Times New Roman" w:cs="Times New Roman"/>
        </w:rPr>
        <w:t xml:space="preserve"> (WA); s 104 </w:t>
      </w:r>
      <w:r w:rsidRPr="00181643">
        <w:rPr>
          <w:rFonts w:ascii="Times New Roman" w:hAnsi="Times New Roman" w:cs="Times New Roman"/>
          <w:i/>
        </w:rPr>
        <w:t>Motor Vehicles Act 1959</w:t>
      </w:r>
      <w:r w:rsidRPr="00181643">
        <w:rPr>
          <w:rFonts w:ascii="Times New Roman" w:hAnsi="Times New Roman" w:cs="Times New Roman"/>
        </w:rPr>
        <w:t xml:space="preserve"> (SA); s 6(1) </w:t>
      </w:r>
      <w:r w:rsidRPr="00181643">
        <w:rPr>
          <w:rFonts w:ascii="Times New Roman" w:hAnsi="Times New Roman" w:cs="Times New Roman"/>
          <w:i/>
        </w:rPr>
        <w:t>Motor Accidents (Compensation) Act</w:t>
      </w:r>
      <w:r w:rsidRPr="00181643">
        <w:rPr>
          <w:rFonts w:ascii="Times New Roman" w:hAnsi="Times New Roman" w:cs="Times New Roman"/>
        </w:rPr>
        <w:t xml:space="preserve"> (NT); s 14(1) </w:t>
      </w:r>
      <w:r w:rsidRPr="00181643">
        <w:rPr>
          <w:rFonts w:ascii="Times New Roman" w:hAnsi="Times New Roman" w:cs="Times New Roman"/>
          <w:i/>
        </w:rPr>
        <w:t>Motor Accidents (Liabilities and Compensation) Act 1973</w:t>
      </w:r>
      <w:r w:rsidRPr="00181643">
        <w:rPr>
          <w:rFonts w:ascii="Times New Roman" w:hAnsi="Times New Roman" w:cs="Times New Roman"/>
        </w:rPr>
        <w:t xml:space="preserve"> (Tas); Sched cl 2 </w:t>
      </w:r>
      <w:r w:rsidRPr="00181643">
        <w:rPr>
          <w:rFonts w:ascii="Times New Roman" w:hAnsi="Times New Roman" w:cs="Times New Roman"/>
          <w:i/>
        </w:rPr>
        <w:t>Motor Accident Insurance Act 1994</w:t>
      </w:r>
      <w:r w:rsidRPr="00181643">
        <w:rPr>
          <w:rFonts w:ascii="Times New Roman" w:hAnsi="Times New Roman" w:cs="Times New Roman"/>
        </w:rPr>
        <w:t xml:space="preserve"> (Qld); s 20 </w:t>
      </w:r>
      <w:r w:rsidRPr="00181643">
        <w:rPr>
          <w:rFonts w:ascii="Times New Roman" w:hAnsi="Times New Roman" w:cs="Times New Roman"/>
          <w:i/>
        </w:rPr>
        <w:t>Road Transport (Third-Party Insurance) Act</w:t>
      </w:r>
      <w:r w:rsidRPr="00181643">
        <w:rPr>
          <w:rFonts w:ascii="Times New Roman" w:hAnsi="Times New Roman" w:cs="Times New Roman"/>
        </w:rPr>
        <w:t xml:space="preserve"> </w:t>
      </w:r>
      <w:r w:rsidRPr="00181643">
        <w:rPr>
          <w:rFonts w:ascii="Times New Roman" w:hAnsi="Times New Roman" w:cs="Times New Roman"/>
          <w:i/>
        </w:rPr>
        <w:t>2008</w:t>
      </w:r>
      <w:r w:rsidRPr="00181643">
        <w:rPr>
          <w:rFonts w:ascii="Times New Roman" w:hAnsi="Times New Roman" w:cs="Times New Roman"/>
        </w:rPr>
        <w:t xml:space="preserve"> (ACT).</w:t>
      </w:r>
    </w:p>
  </w:footnote>
  <w:footnote w:id="144">
    <w:p w14:paraId="644126F7" w14:textId="5D9C912B"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These are the Motor Accidents Authority in New South Wales, the Insurance Commission of Western Australia, the Motor Accident Commission in South Australia, the Motor Accidents Compensation Commission in Northern Territory, the Motor Accident Insurance Board in Tasmania, the Motor Accidents Insurance Commission in Queensland, and the Transport Accident Commission in Victoria. In the Australia Capital Territory, compulsory third party insurance claims are managed by the Department of Treasury.</w:t>
      </w:r>
    </w:p>
  </w:footnote>
  <w:footnote w:id="145">
    <w:p w14:paraId="237E2B9A" w14:textId="2B699F77"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See in particular: </w:t>
      </w:r>
      <w:r w:rsidRPr="00CB128D">
        <w:rPr>
          <w:rFonts w:ascii="Times New Roman" w:hAnsi="Times New Roman" w:cs="Times New Roman"/>
          <w:i/>
          <w:iCs/>
        </w:rPr>
        <w:t>Refrigerated Trucking (Pty) Ltd v Zive NO</w:t>
      </w:r>
      <w:r w:rsidRPr="00CB128D">
        <w:rPr>
          <w:rFonts w:ascii="Times New Roman" w:hAnsi="Times New Roman" w:cs="Times New Roman"/>
        </w:rPr>
        <w:t xml:space="preserve"> 1996 (2) SA 361 (T)</w:t>
      </w:r>
      <w:r w:rsidRPr="005F48E2">
        <w:rPr>
          <w:rFonts w:ascii="Times New Roman" w:hAnsi="Times New Roman" w:cs="Times New Roman"/>
          <w:lang w:val="en-ZA"/>
        </w:rPr>
        <w:t>.  See further (for a Zimbabwean example, applying essentially South Afric</w:t>
      </w:r>
      <w:r w:rsidRPr="00181643">
        <w:rPr>
          <w:rFonts w:ascii="Times New Roman" w:hAnsi="Times New Roman" w:cs="Times New Roman"/>
          <w:lang w:val="en-ZA"/>
        </w:rPr>
        <w:t xml:space="preserve">an law): </w:t>
      </w:r>
      <w:r w:rsidRPr="00181643">
        <w:rPr>
          <w:rFonts w:ascii="Times New Roman" w:hAnsi="Times New Roman" w:cs="Times New Roman"/>
          <w:i/>
          <w:lang w:val="en-ZA"/>
        </w:rPr>
        <w:t xml:space="preserve">Old Mutual Fire &amp; General Insurance Co of Rhodesia (Pvt) Ltd v Springer </w:t>
      </w:r>
      <w:r w:rsidRPr="00181643">
        <w:rPr>
          <w:rFonts w:ascii="Times New Roman" w:hAnsi="Times New Roman" w:cs="Times New Roman"/>
          <w:lang w:val="en-ZA"/>
        </w:rPr>
        <w:t>1963 (2) SA 324 (SR).</w:t>
      </w:r>
    </w:p>
  </w:footnote>
  <w:footnote w:id="146">
    <w:p w14:paraId="5F1E4871" w14:textId="1341F878"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The leading South African cases are (in addition to those in the previous footnote): </w:t>
      </w:r>
      <w:r w:rsidRPr="00CB128D">
        <w:rPr>
          <w:rFonts w:ascii="Times New Roman" w:hAnsi="Times New Roman" w:cs="Times New Roman"/>
          <w:i/>
          <w:lang w:val="en-ZA"/>
        </w:rPr>
        <w:t>Croce v Croce</w:t>
      </w:r>
      <w:r w:rsidRPr="00CB128D">
        <w:rPr>
          <w:rFonts w:ascii="Times New Roman" w:hAnsi="Times New Roman" w:cs="Times New Roman"/>
          <w:lang w:val="en-ZA"/>
        </w:rPr>
        <w:t xml:space="preserve"> 1940 TPD 251; </w:t>
      </w:r>
      <w:r w:rsidRPr="005F48E2">
        <w:rPr>
          <w:rFonts w:ascii="Times New Roman" w:hAnsi="Times New Roman" w:cs="Times New Roman"/>
          <w:i/>
          <w:iCs/>
          <w:lang w:val="en-US"/>
        </w:rPr>
        <w:t xml:space="preserve">McClain v Mohamed and Associates </w:t>
      </w:r>
      <w:r w:rsidRPr="005F48E2">
        <w:rPr>
          <w:rFonts w:ascii="Times New Roman" w:hAnsi="Times New Roman" w:cs="Times New Roman"/>
          <w:lang w:val="en-US"/>
        </w:rPr>
        <w:t xml:space="preserve">[2003] 3 All SA 707 (C); </w:t>
      </w:r>
      <w:r w:rsidRPr="005F48E2">
        <w:rPr>
          <w:rFonts w:ascii="Times New Roman" w:hAnsi="Times New Roman" w:cs="Times New Roman"/>
          <w:i/>
          <w:iCs/>
          <w:lang w:val="en-US"/>
        </w:rPr>
        <w:t xml:space="preserve">Unitrans Freight (Pty) Ltd v Santam Ltd </w:t>
      </w:r>
      <w:r w:rsidRPr="005F48E2">
        <w:rPr>
          <w:rFonts w:ascii="Times New Roman" w:hAnsi="Times New Roman" w:cs="Times New Roman"/>
          <w:lang w:val="en-US"/>
        </w:rPr>
        <w:t xml:space="preserve">2004 (6) SA 21 (SCA); </w:t>
      </w:r>
      <w:r w:rsidRPr="00181643">
        <w:rPr>
          <w:rFonts w:ascii="Times New Roman" w:hAnsi="Times New Roman" w:cs="Times New Roman"/>
          <w:i/>
          <w:lang w:val="en-ZA"/>
        </w:rPr>
        <w:t>Jacobs NO v Braaf</w:t>
      </w:r>
      <w:r w:rsidRPr="00181643">
        <w:rPr>
          <w:rFonts w:ascii="Times New Roman" w:hAnsi="Times New Roman" w:cs="Times New Roman"/>
          <w:lang w:val="en-ZA"/>
        </w:rPr>
        <w:t xml:space="preserve"> [2007] 4 All SA 966 (SCA).</w:t>
      </w:r>
    </w:p>
  </w:footnote>
  <w:footnote w:id="147">
    <w:p w14:paraId="06E5E1B6" w14:textId="1593393D"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Ellison </w:t>
      </w:r>
      <w:r w:rsidRPr="00CB128D">
        <w:rPr>
          <w:rFonts w:ascii="Times New Roman" w:hAnsi="Times New Roman" w:cs="Times New Roman"/>
          <w:lang w:val="en-ZA"/>
        </w:rPr>
        <w:t xml:space="preserve">Kahn, “Extension Clauses in Insurance Contracts”, </w:t>
      </w:r>
      <w:r w:rsidRPr="00CB128D">
        <w:rPr>
          <w:rFonts w:ascii="Times New Roman" w:hAnsi="Times New Roman" w:cs="Times New Roman"/>
          <w:i/>
          <w:lang w:val="en-ZA"/>
        </w:rPr>
        <w:t>South African Law Journal</w:t>
      </w:r>
      <w:r w:rsidRPr="00CB128D">
        <w:rPr>
          <w:rFonts w:ascii="Times New Roman" w:hAnsi="Times New Roman" w:cs="Times New Roman"/>
          <w:lang w:val="en-ZA"/>
        </w:rPr>
        <w:t>, LXIX</w:t>
      </w:r>
      <w:r w:rsidRPr="005F48E2">
        <w:rPr>
          <w:rFonts w:ascii="Times New Roman" w:hAnsi="Times New Roman" w:cs="Times New Roman"/>
          <w:i/>
          <w:lang w:val="en-ZA"/>
        </w:rPr>
        <w:t xml:space="preserve"> </w:t>
      </w:r>
      <w:r w:rsidRPr="005F48E2">
        <w:rPr>
          <w:rFonts w:ascii="Times New Roman" w:hAnsi="Times New Roman" w:cs="Times New Roman"/>
          <w:lang w:val="en-ZA"/>
        </w:rPr>
        <w:t>(1952), p. 52 and DM Davis,</w:t>
      </w:r>
      <w:r w:rsidRPr="005F48E2">
        <w:rPr>
          <w:rFonts w:ascii="Times New Roman" w:hAnsi="Times New Roman" w:cs="Times New Roman"/>
          <w:i/>
          <w:lang w:val="en-ZA"/>
        </w:rPr>
        <w:t xml:space="preserve"> Gordon an</w:t>
      </w:r>
      <w:r w:rsidRPr="00181643">
        <w:rPr>
          <w:rFonts w:ascii="Times New Roman" w:hAnsi="Times New Roman" w:cs="Times New Roman"/>
          <w:i/>
          <w:lang w:val="en-ZA"/>
        </w:rPr>
        <w:t>d Getz The South African Law of Insurance</w:t>
      </w:r>
      <w:r w:rsidRPr="00181643">
        <w:rPr>
          <w:rFonts w:ascii="Times New Roman" w:hAnsi="Times New Roman" w:cs="Times New Roman"/>
          <w:smallCaps/>
          <w:lang w:val="en-ZA"/>
        </w:rPr>
        <w:t xml:space="preserve">, </w:t>
      </w:r>
      <w:r w:rsidRPr="00181643">
        <w:rPr>
          <w:rFonts w:ascii="Times New Roman" w:hAnsi="Times New Roman" w:cs="Times New Roman"/>
          <w:lang w:val="en-ZA"/>
        </w:rPr>
        <w:t>4</w:t>
      </w:r>
      <w:r w:rsidRPr="00181643">
        <w:rPr>
          <w:rFonts w:ascii="Times New Roman" w:hAnsi="Times New Roman" w:cs="Times New Roman"/>
          <w:vertAlign w:val="superscript"/>
          <w:lang w:val="en-ZA"/>
        </w:rPr>
        <w:t>th</w:t>
      </w:r>
      <w:r w:rsidRPr="00181643">
        <w:rPr>
          <w:rFonts w:ascii="Times New Roman" w:hAnsi="Times New Roman" w:cs="Times New Roman"/>
          <w:lang w:val="en-ZA"/>
        </w:rPr>
        <w:t xml:space="preserve"> edn (1993), pp. 443-49 take the view, following the Privy Council decision in </w:t>
      </w:r>
      <w:r w:rsidRPr="00181643">
        <w:rPr>
          <w:rFonts w:ascii="Times New Roman" w:hAnsi="Times New Roman" w:cs="Times New Roman"/>
          <w:i/>
          <w:lang w:val="en-ZA"/>
        </w:rPr>
        <w:t>Vandepitte v Preferred Accident Insurance Corp of New York</w:t>
      </w:r>
      <w:r w:rsidRPr="00181643">
        <w:rPr>
          <w:rFonts w:ascii="Times New Roman" w:hAnsi="Times New Roman" w:cs="Times New Roman"/>
          <w:lang w:val="en-ZA"/>
        </w:rPr>
        <w:t xml:space="preserve"> [1933] AC 70, that such clauses were binding on insurance companies in honour only, due to an absence of insurable interest of the insured in the authorised driver’s delictual liability.</w:t>
      </w:r>
    </w:p>
  </w:footnote>
  <w:footnote w:id="148">
    <w:p w14:paraId="2A7AA877" w14:textId="77777777"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Taken from </w:t>
      </w:r>
      <w:r w:rsidRPr="00CB128D">
        <w:rPr>
          <w:rFonts w:ascii="Times New Roman" w:hAnsi="Times New Roman" w:cs="Times New Roman"/>
          <w:i/>
          <w:iCs/>
        </w:rPr>
        <w:t>Refrigerated Trucking (Pty) Ltd v Zive NO</w:t>
      </w:r>
      <w:r w:rsidRPr="00CB128D">
        <w:rPr>
          <w:rFonts w:ascii="Times New Roman" w:hAnsi="Times New Roman" w:cs="Times New Roman"/>
        </w:rPr>
        <w:t xml:space="preserve"> 1996 (2) SA 361 (T) at 366.</w:t>
      </w:r>
    </w:p>
  </w:footnote>
  <w:footnote w:id="149">
    <w:p w14:paraId="3E9DA2EA" w14:textId="77777777"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Taken from </w:t>
      </w:r>
      <w:r w:rsidRPr="00CB128D">
        <w:rPr>
          <w:rFonts w:ascii="Times New Roman" w:hAnsi="Times New Roman" w:cs="Times New Roman"/>
          <w:i/>
          <w:iCs/>
        </w:rPr>
        <w:t>Refrigerated Trucking (Pty) Ltd v Zive NO</w:t>
      </w:r>
      <w:r w:rsidRPr="00CB128D">
        <w:rPr>
          <w:rFonts w:ascii="Times New Roman" w:hAnsi="Times New Roman" w:cs="Times New Roman"/>
        </w:rPr>
        <w:t xml:space="preserve"> 199</w:t>
      </w:r>
      <w:r w:rsidRPr="005F48E2">
        <w:rPr>
          <w:rFonts w:ascii="Times New Roman" w:hAnsi="Times New Roman" w:cs="Times New Roman"/>
        </w:rPr>
        <w:t>6 (2) SA 361 (T) at 366.</w:t>
      </w:r>
    </w:p>
  </w:footnote>
  <w:footnote w:id="150">
    <w:p w14:paraId="19D0B8F3" w14:textId="2AC4D1C5"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This view was first put forward by A Chaskalson, </w:t>
      </w:r>
      <w:r w:rsidRPr="00CB128D">
        <w:rPr>
          <w:rFonts w:ascii="Times New Roman" w:hAnsi="Times New Roman" w:cs="Times New Roman"/>
          <w:i/>
        </w:rPr>
        <w:t>Insurance Law</w:t>
      </w:r>
      <w:r w:rsidRPr="00CB128D">
        <w:rPr>
          <w:rFonts w:ascii="Times New Roman" w:hAnsi="Times New Roman" w:cs="Times New Roman"/>
        </w:rPr>
        <w:t xml:space="preserve">, </w:t>
      </w:r>
      <w:r w:rsidRPr="005F48E2">
        <w:rPr>
          <w:rFonts w:ascii="Times New Roman" w:hAnsi="Times New Roman" w:cs="Times New Roman"/>
          <w:smallCaps/>
        </w:rPr>
        <w:t>Annual Survey of South African Law</w:t>
      </w:r>
      <w:r w:rsidRPr="005F48E2">
        <w:rPr>
          <w:rFonts w:ascii="Times New Roman" w:hAnsi="Times New Roman" w:cs="Times New Roman"/>
          <w:lang w:val="en-ZA"/>
        </w:rPr>
        <w:t xml:space="preserve"> 379 (1963) at 382 and now has the stamp of approval of the Supreme Court of Appeal: </w:t>
      </w:r>
      <w:r w:rsidRPr="00181643">
        <w:rPr>
          <w:rFonts w:ascii="Times New Roman" w:hAnsi="Times New Roman" w:cs="Times New Roman"/>
          <w:i/>
          <w:iCs/>
          <w:lang w:val="en-US"/>
        </w:rPr>
        <w:t xml:space="preserve">Unitrans Freight (Pty) Ltd v Santam Ltd </w:t>
      </w:r>
      <w:r w:rsidRPr="00181643">
        <w:rPr>
          <w:rFonts w:ascii="Times New Roman" w:hAnsi="Times New Roman" w:cs="Times New Roman"/>
          <w:lang w:val="en-US"/>
        </w:rPr>
        <w:t>2004 (6) SA 21 (SCA) at para. 16</w:t>
      </w:r>
      <w:r w:rsidRPr="00181643">
        <w:rPr>
          <w:rFonts w:ascii="Times New Roman" w:hAnsi="Times New Roman" w:cs="Times New Roman"/>
          <w:lang w:val="en-ZA"/>
        </w:rPr>
        <w:t>.</w:t>
      </w:r>
    </w:p>
  </w:footnote>
  <w:footnote w:id="151">
    <w:p w14:paraId="717B74D6" w14:textId="5FEAF608"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See the sources listed in note 14</w:t>
      </w:r>
      <w:r w:rsidR="005F48E2">
        <w:rPr>
          <w:rFonts w:ascii="Times New Roman" w:hAnsi="Times New Roman" w:cs="Times New Roman"/>
          <w:lang w:val="en-ZA"/>
        </w:rPr>
        <w:t>1</w:t>
      </w:r>
      <w:r w:rsidRPr="00CB128D">
        <w:rPr>
          <w:rFonts w:ascii="Times New Roman" w:hAnsi="Times New Roman" w:cs="Times New Roman"/>
          <w:lang w:val="en-ZA"/>
        </w:rPr>
        <w:t xml:space="preserve"> above.  On the historical influence of English insurance law in South Africa, see: JP van Niekerk, “Insurance Law”, in </w:t>
      </w:r>
      <w:r w:rsidRPr="00CB128D">
        <w:rPr>
          <w:rFonts w:ascii="Times New Roman" w:hAnsi="Times New Roman" w:cs="Times New Roman"/>
        </w:rPr>
        <w:t xml:space="preserve">Reinhard Zimmermann and Daniel Visser (eds.), </w:t>
      </w:r>
      <w:r w:rsidRPr="005F48E2">
        <w:rPr>
          <w:rFonts w:ascii="Times New Roman" w:hAnsi="Times New Roman" w:cs="Times New Roman"/>
          <w:i/>
          <w:lang w:val="en-ZA"/>
        </w:rPr>
        <w:t>Southern Cross: Civil Law and Common Law in South Africa</w:t>
      </w:r>
      <w:r w:rsidRPr="005F48E2">
        <w:rPr>
          <w:rFonts w:ascii="Times New Roman" w:hAnsi="Times New Roman" w:cs="Times New Roman"/>
          <w:smallCaps/>
          <w:lang w:val="en-ZA"/>
        </w:rPr>
        <w:t xml:space="preserve"> (</w:t>
      </w:r>
      <w:r w:rsidRPr="005F48E2">
        <w:rPr>
          <w:rFonts w:ascii="Times New Roman" w:hAnsi="Times New Roman" w:cs="Times New Roman"/>
        </w:rPr>
        <w:t>1996)</w:t>
      </w:r>
      <w:r w:rsidRPr="005F48E2">
        <w:rPr>
          <w:rFonts w:ascii="Times New Roman" w:hAnsi="Times New Roman" w:cs="Times New Roman"/>
          <w:lang w:val="en-ZA"/>
        </w:rPr>
        <w:t>, pp. 435-80.</w:t>
      </w:r>
    </w:p>
  </w:footnote>
  <w:footnote w:id="152">
    <w:p w14:paraId="57723D1D" w14:textId="5B6C8EF8"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iCs/>
          <w:lang w:val="en-US"/>
        </w:rPr>
        <w:t xml:space="preserve">Unitrans Freight (Pty) Ltd v Santam Ltd </w:t>
      </w:r>
      <w:r w:rsidRPr="00CB128D">
        <w:rPr>
          <w:rFonts w:ascii="Times New Roman" w:hAnsi="Times New Roman" w:cs="Times New Roman"/>
          <w:lang w:val="en-US"/>
        </w:rPr>
        <w:t>2004 (6) SA 21 (SCA) at paras. 14-18</w:t>
      </w:r>
      <w:r w:rsidRPr="005F48E2">
        <w:rPr>
          <w:rFonts w:ascii="Times New Roman" w:hAnsi="Times New Roman" w:cs="Times New Roman"/>
          <w:lang w:val="en-ZA"/>
        </w:rPr>
        <w:t xml:space="preserve">; </w:t>
      </w:r>
      <w:r w:rsidRPr="005F48E2">
        <w:rPr>
          <w:rFonts w:ascii="Times New Roman" w:hAnsi="Times New Roman" w:cs="Times New Roman"/>
          <w:i/>
          <w:iCs/>
          <w:lang w:val="en-US"/>
        </w:rPr>
        <w:t xml:space="preserve">McClain v Mohamed and Associates </w:t>
      </w:r>
      <w:r w:rsidRPr="005F48E2">
        <w:rPr>
          <w:rFonts w:ascii="Times New Roman" w:hAnsi="Times New Roman" w:cs="Times New Roman"/>
          <w:lang w:val="en-US"/>
        </w:rPr>
        <w:t xml:space="preserve">[2003] 3 All SA 707 (C) at paras. 36-37; </w:t>
      </w:r>
      <w:r w:rsidRPr="005F48E2">
        <w:rPr>
          <w:rFonts w:ascii="Times New Roman" w:hAnsi="Times New Roman" w:cs="Times New Roman"/>
          <w:i/>
          <w:lang w:val="en-US"/>
        </w:rPr>
        <w:t>Croce v Croce</w:t>
      </w:r>
      <w:r w:rsidRPr="005F48E2">
        <w:rPr>
          <w:rFonts w:ascii="Times New Roman" w:hAnsi="Times New Roman" w:cs="Times New Roman"/>
          <w:lang w:val="en-US"/>
        </w:rPr>
        <w:t xml:space="preserve"> 1940 TPD 251, at 265</w:t>
      </w:r>
      <w:r w:rsidRPr="005F48E2">
        <w:rPr>
          <w:rFonts w:ascii="Times New Roman" w:hAnsi="Times New Roman" w:cs="Times New Roman"/>
          <w:lang w:val="en-ZA"/>
        </w:rPr>
        <w:t>.</w:t>
      </w:r>
    </w:p>
  </w:footnote>
  <w:footnote w:id="153">
    <w:p w14:paraId="1E3CD784" w14:textId="37EDA6C0"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i/>
          <w:iCs/>
          <w:lang w:val="en-US"/>
        </w:rPr>
        <w:t xml:space="preserve">Unitrans Freight (Pty) Ltd v Santam Ltd </w:t>
      </w:r>
      <w:r w:rsidRPr="00CB128D">
        <w:rPr>
          <w:rFonts w:ascii="Times New Roman" w:hAnsi="Times New Roman" w:cs="Times New Roman"/>
          <w:lang w:val="en-US"/>
        </w:rPr>
        <w:t>2004 (6) SA 21 (SCA) at paras. 14-18.</w:t>
      </w:r>
      <w:r w:rsidRPr="00CB128D">
        <w:rPr>
          <w:rFonts w:ascii="Times New Roman" w:hAnsi="Times New Roman" w:cs="Times New Roman"/>
        </w:rPr>
        <w:t xml:space="preserve"> </w:t>
      </w:r>
    </w:p>
  </w:footnote>
  <w:footnote w:id="154">
    <w:p w14:paraId="51CE4A8A" w14:textId="3322E9EB"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See particularly: </w:t>
      </w:r>
      <w:r w:rsidRPr="00CB128D">
        <w:rPr>
          <w:rFonts w:ascii="Times New Roman" w:hAnsi="Times New Roman" w:cs="Times New Roman"/>
          <w:i/>
          <w:iCs/>
        </w:rPr>
        <w:t xml:space="preserve">Phillips v General Accident Insurance Co (SA) Ltd </w:t>
      </w:r>
      <w:r w:rsidRPr="00CB128D">
        <w:rPr>
          <w:rFonts w:ascii="Times New Roman" w:hAnsi="Times New Roman" w:cs="Times New Roman"/>
        </w:rPr>
        <w:t xml:space="preserve">1983 (4) SA 652 (W) at 659; </w:t>
      </w:r>
      <w:r w:rsidRPr="005F48E2">
        <w:rPr>
          <w:rFonts w:ascii="Times New Roman" w:hAnsi="Times New Roman" w:cs="Times New Roman"/>
          <w:i/>
          <w:iCs/>
          <w:lang w:val="en-ZA"/>
        </w:rPr>
        <w:t xml:space="preserve">Lorcom Thirteen (Pty) Ltd v Zurich Insurance Company SA Ltd </w:t>
      </w:r>
      <w:r w:rsidRPr="00181643">
        <w:rPr>
          <w:rFonts w:ascii="Times New Roman" w:hAnsi="Times New Roman" w:cs="Times New Roman"/>
          <w:lang w:val="en-ZA"/>
        </w:rPr>
        <w:t>2013 (5) SA 42 (WCC) at paras. 31-32.</w:t>
      </w:r>
    </w:p>
  </w:footnote>
  <w:footnote w:id="155">
    <w:p w14:paraId="7B27C94C" w14:textId="5D74B1DD"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See in particular: </w:t>
      </w:r>
      <w:r w:rsidRPr="00CB128D">
        <w:rPr>
          <w:rFonts w:ascii="Times New Roman" w:hAnsi="Times New Roman" w:cs="Times New Roman"/>
          <w:i/>
          <w:lang w:val="en-ZA"/>
        </w:rPr>
        <w:t>Jacobs NO v Braaf</w:t>
      </w:r>
      <w:r w:rsidRPr="00CB128D">
        <w:rPr>
          <w:rFonts w:ascii="Times New Roman" w:hAnsi="Times New Roman" w:cs="Times New Roman"/>
          <w:lang w:val="en-ZA"/>
        </w:rPr>
        <w:t xml:space="preserve"> [2007] 4 All SA 966 (SCA) at paras. 22-23.</w:t>
      </w:r>
    </w:p>
  </w:footnote>
  <w:footnote w:id="156">
    <w:p w14:paraId="74F14021" w14:textId="60D84ECA"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iCs/>
          <w:lang w:val="en-US"/>
        </w:rPr>
        <w:t xml:space="preserve">Unitrans Freight (Pty) Ltd v Santam Ltd </w:t>
      </w:r>
      <w:r w:rsidRPr="00CB128D">
        <w:rPr>
          <w:rFonts w:ascii="Times New Roman" w:hAnsi="Times New Roman" w:cs="Times New Roman"/>
          <w:lang w:val="en-US"/>
        </w:rPr>
        <w:t>2004 (6) SA 21 (SCA) at para. 16.</w:t>
      </w:r>
    </w:p>
  </w:footnote>
  <w:footnote w:id="157">
    <w:p w14:paraId="5431E5B6" w14:textId="65537D9D"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lang w:val="en-ZA"/>
        </w:rPr>
        <w:t>Jacobs NO v Braaf</w:t>
      </w:r>
      <w:r w:rsidRPr="00CB128D">
        <w:rPr>
          <w:rFonts w:ascii="Times New Roman" w:hAnsi="Times New Roman" w:cs="Times New Roman"/>
          <w:lang w:val="en-ZA"/>
        </w:rPr>
        <w:t xml:space="preserve"> [2007] 4 All SA 966 (SCA) at paras. 22-23.</w:t>
      </w:r>
    </w:p>
  </w:footnote>
  <w:footnote w:id="158">
    <w:p w14:paraId="23E163E7" w14:textId="60D1A0F3"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para. 23.</w:t>
      </w:r>
    </w:p>
  </w:footnote>
  <w:footnote w:id="159">
    <w:p w14:paraId="1190F4F7" w14:textId="784650B5"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para. 6.</w:t>
      </w:r>
    </w:p>
  </w:footnote>
  <w:footnote w:id="160">
    <w:p w14:paraId="39DF2389" w14:textId="32838566"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Road Accident Fund Act 56 of 1996, section 18(1)(a).</w:t>
      </w:r>
    </w:p>
  </w:footnote>
  <w:footnote w:id="161">
    <w:p w14:paraId="65ACBD0C" w14:textId="4613CCD9"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Fick and Van der Merwe, “RAF v Sweatman”</w:t>
      </w:r>
      <w:r w:rsidRPr="00CB128D">
        <w:rPr>
          <w:rFonts w:ascii="Times New Roman" w:hAnsi="Times New Roman" w:cs="Times New Roman"/>
          <w:i/>
          <w:lang w:val="en-ZA"/>
        </w:rPr>
        <w:t>, supra</w:t>
      </w:r>
      <w:r w:rsidRPr="00CB128D">
        <w:rPr>
          <w:rFonts w:ascii="Times New Roman" w:hAnsi="Times New Roman" w:cs="Times New Roman"/>
          <w:lang w:val="en-ZA"/>
        </w:rPr>
        <w:t xml:space="preserve"> note 1</w:t>
      </w:r>
      <w:r w:rsidR="005F48E2">
        <w:rPr>
          <w:rFonts w:ascii="Times New Roman" w:hAnsi="Times New Roman" w:cs="Times New Roman"/>
          <w:lang w:val="en-ZA"/>
        </w:rPr>
        <w:t>30</w:t>
      </w:r>
      <w:r w:rsidRPr="00CB128D">
        <w:rPr>
          <w:rFonts w:ascii="Times New Roman" w:hAnsi="Times New Roman" w:cs="Times New Roman"/>
          <w:lang w:val="en-ZA"/>
        </w:rPr>
        <w:t>29, at 2806.</w:t>
      </w:r>
    </w:p>
  </w:footnote>
  <w:footnote w:id="162">
    <w:p w14:paraId="32F7A4B8" w14:textId="53ED69C5" w:rsidR="00181643" w:rsidRPr="005F48E2"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David Charny, “Nonlegal Sanctions in Commercial Relationships”, </w:t>
      </w:r>
      <w:r w:rsidRPr="00CB128D">
        <w:rPr>
          <w:rFonts w:ascii="Times New Roman" w:hAnsi="Times New Roman" w:cs="Times New Roman"/>
          <w:i/>
        </w:rPr>
        <w:t>Harvard Law Rev</w:t>
      </w:r>
      <w:r w:rsidRPr="00CB128D">
        <w:rPr>
          <w:rFonts w:ascii="Times New Roman" w:hAnsi="Times New Roman" w:cs="Times New Roman"/>
        </w:rPr>
        <w:t>, CIV</w:t>
      </w:r>
      <w:r w:rsidRPr="00CB128D">
        <w:rPr>
          <w:rFonts w:ascii="Times New Roman" w:hAnsi="Times New Roman" w:cs="Times New Roman"/>
          <w:smallCaps/>
        </w:rPr>
        <w:t xml:space="preserve"> </w:t>
      </w:r>
      <w:r w:rsidRPr="005F48E2">
        <w:rPr>
          <w:rFonts w:ascii="Times New Roman" w:hAnsi="Times New Roman" w:cs="Times New Roman"/>
        </w:rPr>
        <w:t>(1990-1991), p. 373, at 392-97; Collins</w:t>
      </w:r>
      <w:r w:rsidRPr="005F48E2">
        <w:rPr>
          <w:rFonts w:ascii="Times New Roman" w:hAnsi="Times New Roman" w:cs="Times New Roman"/>
          <w:i/>
        </w:rPr>
        <w:t>, Regulating Contracts</w:t>
      </w:r>
      <w:r w:rsidRPr="005F48E2">
        <w:rPr>
          <w:rFonts w:ascii="Times New Roman" w:hAnsi="Times New Roman" w:cs="Times New Roman"/>
          <w:smallCaps/>
        </w:rPr>
        <w:t xml:space="preserve">, </w:t>
      </w:r>
      <w:r w:rsidRPr="005F48E2">
        <w:rPr>
          <w:rFonts w:ascii="Times New Roman" w:hAnsi="Times New Roman" w:cs="Times New Roman"/>
          <w:i/>
        </w:rPr>
        <w:t>supra</w:t>
      </w:r>
      <w:r w:rsidRPr="005F48E2">
        <w:rPr>
          <w:rFonts w:ascii="Times New Roman" w:hAnsi="Times New Roman" w:cs="Times New Roman"/>
        </w:rPr>
        <w:t xml:space="preserve"> note 1</w:t>
      </w:r>
      <w:r w:rsidR="005F48E2">
        <w:rPr>
          <w:rFonts w:ascii="Times New Roman" w:hAnsi="Times New Roman" w:cs="Times New Roman"/>
        </w:rPr>
        <w:t>2</w:t>
      </w:r>
      <w:r w:rsidRPr="005F48E2">
        <w:rPr>
          <w:rFonts w:ascii="Times New Roman" w:hAnsi="Times New Roman" w:cs="Times New Roman"/>
        </w:rPr>
        <w:t>, ch 5, especially at 101.</w:t>
      </w:r>
    </w:p>
  </w:footnote>
  <w:footnote w:id="163">
    <w:p w14:paraId="1562CC13" w14:textId="06E17738"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Stefanos Mouzas and Michael Furmston, From Contract to Umbrella Agreement, 67 </w:t>
      </w:r>
      <w:r w:rsidRPr="00CB128D">
        <w:rPr>
          <w:rFonts w:ascii="Times New Roman" w:hAnsi="Times New Roman" w:cs="Times New Roman"/>
          <w:smallCaps/>
        </w:rPr>
        <w:t>Cambridge Law Journal</w:t>
      </w:r>
      <w:r w:rsidRPr="00CB128D">
        <w:rPr>
          <w:rFonts w:ascii="Times New Roman" w:hAnsi="Times New Roman" w:cs="Times New Roman"/>
          <w:i/>
        </w:rPr>
        <w:t xml:space="preserve"> LJ</w:t>
      </w:r>
      <w:r w:rsidRPr="004A4D78">
        <w:rPr>
          <w:rFonts w:ascii="Times New Roman" w:hAnsi="Times New Roman" w:cs="Times New Roman"/>
        </w:rPr>
        <w:t xml:space="preserve"> 37, 39 (2008)</w:t>
      </w:r>
      <w:r w:rsidRPr="005F48E2">
        <w:rPr>
          <w:rFonts w:ascii="Times New Roman" w:hAnsi="Times New Roman" w:cs="Times New Roman"/>
          <w:lang w:val="en-ZA"/>
        </w:rPr>
        <w:t>.  See generally further, Stefanos Mouzas and David Ford, “Managing Relationships in Showery Weather: the Role of Umbrella Agreements”, Journal of Business Research</w:t>
      </w:r>
      <w:r w:rsidRPr="00181643">
        <w:rPr>
          <w:rFonts w:ascii="Times New Roman" w:hAnsi="Times New Roman" w:cs="Times New Roman"/>
          <w:smallCaps/>
          <w:lang w:val="en-ZA"/>
        </w:rPr>
        <w:t>, LIX</w:t>
      </w:r>
      <w:r w:rsidRPr="00181643">
        <w:rPr>
          <w:rFonts w:ascii="Times New Roman" w:hAnsi="Times New Roman" w:cs="Times New Roman"/>
          <w:lang w:val="en-ZA"/>
        </w:rPr>
        <w:t xml:space="preserve"> (2006), p. 1248</w:t>
      </w:r>
    </w:p>
  </w:footnote>
  <w:footnote w:id="164">
    <w:p w14:paraId="5D6D3356" w14:textId="55FFA034"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Mouzas and Furmston, </w:t>
      </w:r>
      <w:r w:rsidRPr="00CB128D">
        <w:rPr>
          <w:rFonts w:ascii="Times New Roman" w:hAnsi="Times New Roman" w:cs="Times New Roman"/>
          <w:i/>
        </w:rPr>
        <w:t xml:space="preserve">From Contract to Umbrella Agreement, supra </w:t>
      </w:r>
      <w:r w:rsidRPr="00CB128D">
        <w:rPr>
          <w:rFonts w:ascii="Times New Roman" w:hAnsi="Times New Roman" w:cs="Times New Roman"/>
        </w:rPr>
        <w:t>note 16</w:t>
      </w:r>
      <w:r w:rsidR="005F48E2">
        <w:rPr>
          <w:rFonts w:ascii="Times New Roman" w:hAnsi="Times New Roman" w:cs="Times New Roman"/>
        </w:rPr>
        <w:t>1</w:t>
      </w:r>
      <w:r w:rsidRPr="00CB128D">
        <w:rPr>
          <w:rFonts w:ascii="Times New Roman" w:hAnsi="Times New Roman" w:cs="Times New Roman"/>
        </w:rPr>
        <w:t>, a</w:t>
      </w:r>
      <w:r w:rsidRPr="004A4D78">
        <w:rPr>
          <w:rFonts w:ascii="Times New Roman" w:hAnsi="Times New Roman" w:cs="Times New Roman"/>
          <w:lang w:val="en-ZA"/>
        </w:rPr>
        <w:t>t 38.</w:t>
      </w:r>
    </w:p>
  </w:footnote>
  <w:footnote w:id="165">
    <w:p w14:paraId="0DB9295E" w14:textId="66E399D4"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Compare </w:t>
      </w:r>
      <w:r w:rsidRPr="00CB128D">
        <w:rPr>
          <w:rFonts w:ascii="Times New Roman" w:hAnsi="Times New Roman" w:cs="Times New Roman"/>
          <w:i/>
          <w:lang w:val="en-GB"/>
        </w:rPr>
        <w:t>Baird Textile Holdings Ltd v Marks and Spencer plc</w:t>
      </w:r>
      <w:r w:rsidRPr="004A4D78">
        <w:rPr>
          <w:rFonts w:ascii="Times New Roman" w:hAnsi="Times New Roman" w:cs="Times New Roman"/>
          <w:lang w:val="en-ZA"/>
        </w:rPr>
        <w:t xml:space="preserve"> [2001] EWCA Civ 274 at paras 3-4.  See further, in a construction law context, </w:t>
      </w:r>
      <w:r w:rsidRPr="00181643">
        <w:rPr>
          <w:rFonts w:ascii="Times New Roman" w:hAnsi="Times New Roman" w:cs="Times New Roman"/>
        </w:rPr>
        <w:t xml:space="preserve">M Latham, </w:t>
      </w:r>
      <w:r w:rsidRPr="00181643">
        <w:rPr>
          <w:rFonts w:ascii="Times New Roman" w:hAnsi="Times New Roman" w:cs="Times New Roman"/>
          <w:i/>
        </w:rPr>
        <w:t>Constructing the Team: Final Report of the Government/Industry Review of Procurement and Construction Arrangements in the UK Construction Industry</w:t>
      </w:r>
      <w:r w:rsidRPr="00181643">
        <w:rPr>
          <w:rFonts w:ascii="Times New Roman" w:hAnsi="Times New Roman" w:cs="Times New Roman"/>
        </w:rPr>
        <w:t xml:space="preserve">, (1994) </w:t>
      </w:r>
      <w:r w:rsidRPr="00181643">
        <w:rPr>
          <w:rFonts w:ascii="Times New Roman" w:hAnsi="Times New Roman" w:cs="Times New Roman"/>
          <w:i/>
        </w:rPr>
        <w:t>Constructing Excellence, available at</w:t>
      </w:r>
      <w:r w:rsidRPr="00181643">
        <w:rPr>
          <w:rFonts w:ascii="Times New Roman" w:hAnsi="Times New Roman" w:cs="Times New Roman"/>
        </w:rPr>
        <w:t xml:space="preserve"> </w:t>
      </w:r>
      <w:hyperlink r:id="rId3" w:history="1">
        <w:r w:rsidRPr="00181643">
          <w:rPr>
            <w:rStyle w:val="Hyperlink"/>
            <w:rFonts w:ascii="Times New Roman" w:hAnsi="Times New Roman" w:cs="Times New Roman"/>
          </w:rPr>
          <w:t>http://constructingexcellence.org.uk/wp-content/uploads/2014/10/Constructing-the-team-The-Latham-Report.pdf</w:t>
        </w:r>
      </w:hyperlink>
      <w:r w:rsidRPr="00CB128D">
        <w:rPr>
          <w:rFonts w:ascii="Times New Roman" w:hAnsi="Times New Roman" w:cs="Times New Roman"/>
        </w:rPr>
        <w:t xml:space="preserve"> (accessed 09-14-2016); John Egan, “Rethinking Construction: Report of the Construction Task Force to deputy Prime Minister John Prescott” (1997) </w:t>
      </w:r>
      <w:r w:rsidRPr="00CB128D">
        <w:rPr>
          <w:rFonts w:ascii="Times New Roman" w:hAnsi="Times New Roman" w:cs="Times New Roman"/>
          <w:i/>
        </w:rPr>
        <w:t xml:space="preserve">Constructing Excellence, </w:t>
      </w:r>
      <w:r w:rsidRPr="00CB128D">
        <w:rPr>
          <w:rFonts w:ascii="Times New Roman" w:hAnsi="Times New Roman" w:cs="Times New Roman"/>
        </w:rPr>
        <w:t xml:space="preserve">available at </w:t>
      </w:r>
      <w:hyperlink r:id="rId4" w:history="1">
        <w:r w:rsidRPr="00181643">
          <w:rPr>
            <w:rStyle w:val="Hyperlink"/>
            <w:rFonts w:ascii="Times New Roman" w:hAnsi="Times New Roman" w:cs="Times New Roman"/>
          </w:rPr>
          <w:t>http://constructingexcellence.org.uk/wp-content/uploads/2014/10/rethinking_construction_report.pdf</w:t>
        </w:r>
      </w:hyperlink>
      <w:r w:rsidRPr="00CB128D">
        <w:rPr>
          <w:rFonts w:ascii="Times New Roman" w:hAnsi="Times New Roman" w:cs="Times New Roman"/>
        </w:rPr>
        <w:t>.(accessed 10-10-2016).</w:t>
      </w:r>
    </w:p>
  </w:footnote>
  <w:footnote w:id="166">
    <w:p w14:paraId="463588F1" w14:textId="6AE50E93"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Macneil “Contracts: Adjustment of Long-Term Economic Relations under Classical, Neo-classical and Relational Contract Law”, </w:t>
      </w:r>
      <w:r w:rsidRPr="00CB128D">
        <w:rPr>
          <w:rFonts w:ascii="Times New Roman" w:hAnsi="Times New Roman" w:cs="Times New Roman"/>
          <w:i/>
        </w:rPr>
        <w:t>supra</w:t>
      </w:r>
      <w:r w:rsidRPr="004A4D78">
        <w:rPr>
          <w:rFonts w:ascii="Times New Roman" w:hAnsi="Times New Roman" w:cs="Times New Roman"/>
        </w:rPr>
        <w:t xml:space="preserve"> note 1, see generally: 886</w:t>
      </w:r>
      <w:r w:rsidRPr="005F48E2">
        <w:rPr>
          <w:rFonts w:ascii="Times New Roman" w:hAnsi="Times New Roman" w:cs="Times New Roman"/>
          <w:lang w:val="en-US"/>
        </w:rPr>
        <w:t>-</w:t>
      </w:r>
      <w:r w:rsidRPr="005F48E2">
        <w:rPr>
          <w:rFonts w:ascii="Times New Roman" w:hAnsi="Times New Roman" w:cs="Times New Roman"/>
        </w:rPr>
        <w:t>900.</w:t>
      </w:r>
    </w:p>
  </w:footnote>
  <w:footnote w:id="167">
    <w:p w14:paraId="34F03D02" w14:textId="37FB3937"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[2001] EWCA Civ 274.</w:t>
      </w:r>
    </w:p>
  </w:footnote>
  <w:footnote w:id="168">
    <w:p w14:paraId="256D3304" w14:textId="73FEAE2D"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1.</w:t>
      </w:r>
    </w:p>
  </w:footnote>
  <w:footnote w:id="169">
    <w:p w14:paraId="1F56BD8E" w14:textId="78DE75A8"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aras. 3-4.</w:t>
      </w:r>
    </w:p>
  </w:footnote>
  <w:footnote w:id="170">
    <w:p w14:paraId="0A10DBC5" w14:textId="599F96AD"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aras. 6-8.</w:t>
      </w:r>
    </w:p>
  </w:footnote>
  <w:footnote w:id="171">
    <w:p w14:paraId="14F59109" w14:textId="376463AD"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 xml:space="preserve">aras. </w:t>
      </w:r>
      <w:r w:rsidRPr="004A4D78">
        <w:rPr>
          <w:rFonts w:ascii="Times New Roman" w:hAnsi="Times New Roman" w:cs="Times New Roman"/>
          <w:lang w:val="en-ZA"/>
        </w:rPr>
        <w:t>6-8</w:t>
      </w:r>
      <w:r w:rsidRPr="005F48E2">
        <w:rPr>
          <w:rFonts w:ascii="Times New Roman" w:hAnsi="Times New Roman" w:cs="Times New Roman"/>
        </w:rPr>
        <w:t>.</w:t>
      </w:r>
    </w:p>
  </w:footnote>
  <w:footnote w:id="172">
    <w:p w14:paraId="76AC8D1F" w14:textId="1FCD8554"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10.</w:t>
      </w:r>
    </w:p>
  </w:footnote>
  <w:footnote w:id="173">
    <w:p w14:paraId="47D6AE40" w14:textId="545EF334"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11.</w:t>
      </w:r>
    </w:p>
  </w:footnote>
  <w:footnote w:id="174">
    <w:p w14:paraId="227E3251" w14:textId="3EB8AFA9"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aras. 40, 55, 99.</w:t>
      </w:r>
    </w:p>
  </w:footnote>
  <w:footnote w:id="175">
    <w:p w14:paraId="62F416F3" w14:textId="2B562917"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w:t>
      </w:r>
      <w:r w:rsidRPr="004A4D78">
        <w:rPr>
          <w:rFonts w:ascii="Times New Roman" w:hAnsi="Times New Roman" w:cs="Times New Roman"/>
        </w:rPr>
        <w:t>ras. 13-15.</w:t>
      </w:r>
    </w:p>
  </w:footnote>
  <w:footnote w:id="176">
    <w:p w14:paraId="787D9297" w14:textId="0D2BFB3B"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aras.  30, 48, 77.</w:t>
      </w:r>
    </w:p>
  </w:footnote>
  <w:footnote w:id="177">
    <w:p w14:paraId="0D079DF6" w14:textId="47E8BAA5"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32.</w:t>
      </w:r>
    </w:p>
  </w:footnote>
  <w:footnote w:id="178">
    <w:p w14:paraId="56E51B16" w14:textId="66A86005"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aras. 38, 55, 99.</w:t>
      </w:r>
    </w:p>
  </w:footnote>
  <w:footnote w:id="179">
    <w:p w14:paraId="19927151" w14:textId="2246D42A"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6.</w:t>
      </w:r>
    </w:p>
  </w:footnote>
  <w:footnote w:id="180">
    <w:p w14:paraId="35D58038" w14:textId="5E0A5301"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10.</w:t>
      </w:r>
    </w:p>
  </w:footnote>
  <w:footnote w:id="181">
    <w:p w14:paraId="31B4AC93" w14:textId="1F1FE599"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lang w:val="en-ZA"/>
        </w:rPr>
        <w:t xml:space="preserve"> at p</w:t>
      </w:r>
      <w:r w:rsidRPr="00CB128D">
        <w:rPr>
          <w:rFonts w:ascii="Times New Roman" w:hAnsi="Times New Roman" w:cs="Times New Roman"/>
        </w:rPr>
        <w:t>ara. 5.</w:t>
      </w:r>
    </w:p>
  </w:footnote>
  <w:footnote w:id="182">
    <w:p w14:paraId="6EE14A84" w14:textId="77777777"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(2001) 69 NSWLR 558.</w:t>
      </w:r>
    </w:p>
  </w:footnote>
  <w:footnote w:id="183">
    <w:p w14:paraId="2B5D8875" w14:textId="25CD19A1"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rPr>
        <w:t>. at para. 49.</w:t>
      </w:r>
    </w:p>
  </w:footnote>
  <w:footnote w:id="184">
    <w:p w14:paraId="65430FC8" w14:textId="330B333E"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rPr>
        <w:t>. at paras. 224, 316, 368, and 425.</w:t>
      </w:r>
    </w:p>
  </w:footnote>
  <w:footnote w:id="185">
    <w:p w14:paraId="3856F913" w14:textId="3AA622E1" w:rsidR="00181643" w:rsidRPr="00181643" w:rsidRDefault="00181643">
      <w:pPr>
        <w:pStyle w:val="FootnoteText"/>
        <w:jc w:val="both"/>
        <w:rPr>
          <w:rFonts w:ascii="Times New Roman" w:hAnsi="Times New Roman" w:cs="Times New Roman"/>
          <w:smallCaps/>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Gillian K Hadfield, “Problematic Relations: Franchising and the Law of Incomplete Contracts”, </w:t>
      </w:r>
      <w:r w:rsidRPr="00CB128D">
        <w:rPr>
          <w:rFonts w:ascii="Times New Roman" w:hAnsi="Times New Roman" w:cs="Times New Roman"/>
          <w:i/>
          <w:lang w:val="en-ZA"/>
        </w:rPr>
        <w:t>Stanford Law Rev</w:t>
      </w:r>
      <w:r w:rsidRPr="004A4D78">
        <w:rPr>
          <w:rFonts w:ascii="Times New Roman" w:hAnsi="Times New Roman" w:cs="Times New Roman"/>
          <w:smallCaps/>
          <w:lang w:val="en-ZA"/>
        </w:rPr>
        <w:t xml:space="preserve">, XLII (1989-1990), </w:t>
      </w:r>
      <w:r w:rsidRPr="00181643">
        <w:rPr>
          <w:rFonts w:ascii="Times New Roman" w:hAnsi="Times New Roman" w:cs="Times New Roman"/>
          <w:lang w:val="en-ZA"/>
        </w:rPr>
        <w:t>p. 927.</w:t>
      </w:r>
    </w:p>
  </w:footnote>
  <w:footnote w:id="186">
    <w:p w14:paraId="53E990F2" w14:textId="5345A313" w:rsidR="00181643" w:rsidRPr="00181643" w:rsidRDefault="00181643">
      <w:pPr>
        <w:spacing w:after="0" w:line="240" w:lineRule="auto"/>
        <w:jc w:val="both"/>
        <w:rPr>
          <w:rFonts w:ascii="Times New Roman" w:hAnsi="Times New Roman" w:cs="Times New Roman"/>
          <w:sz w:val="20"/>
          <w:szCs w:val="20"/>
        </w:rPr>
      </w:pPr>
      <w:r w:rsidRPr="00CB128D">
        <w:rPr>
          <w:rStyle w:val="FootnoteReference"/>
          <w:rFonts w:ascii="Times New Roman" w:hAnsi="Times New Roman" w:cs="Times New Roman"/>
          <w:sz w:val="20"/>
          <w:szCs w:val="20"/>
        </w:rPr>
        <w:footnoteRef/>
      </w:r>
      <w:r w:rsidRPr="00CB128D">
        <w:rPr>
          <w:rFonts w:ascii="Times New Roman" w:hAnsi="Times New Roman" w:cs="Times New Roman"/>
          <w:sz w:val="20"/>
          <w:szCs w:val="20"/>
        </w:rPr>
        <w:t xml:space="preserve"> In South Africa, by way of comparative example, franchisees are protected as “consumers” under the general Consumer Protection Act, 2008.  See fu</w:t>
      </w:r>
      <w:r w:rsidRPr="00181643">
        <w:rPr>
          <w:rFonts w:ascii="Times New Roman" w:hAnsi="Times New Roman" w:cs="Times New Roman"/>
          <w:sz w:val="20"/>
          <w:szCs w:val="20"/>
        </w:rPr>
        <w:t xml:space="preserve">rther in what follows below. </w:t>
      </w:r>
    </w:p>
  </w:footnote>
  <w:footnote w:id="187">
    <w:p w14:paraId="4275B32C" w14:textId="24C3802B"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See for example: </w:t>
      </w:r>
      <w:r w:rsidRPr="00CB128D">
        <w:rPr>
          <w:rFonts w:ascii="Times New Roman" w:hAnsi="Times New Roman" w:cs="Times New Roman"/>
          <w:lang w:val="en-ZA"/>
        </w:rPr>
        <w:t xml:space="preserve">Marlese von Broembsen, “People want to work, but most have to labour.  Towards decent work in South African Supply Chains”, </w:t>
      </w:r>
      <w:r w:rsidRPr="00CB128D">
        <w:rPr>
          <w:rFonts w:ascii="Times New Roman" w:hAnsi="Times New Roman" w:cs="Times New Roman"/>
          <w:i/>
          <w:lang w:val="en-ZA"/>
        </w:rPr>
        <w:t>Law,</w:t>
      </w:r>
      <w:r w:rsidRPr="00CB128D">
        <w:rPr>
          <w:rFonts w:ascii="Times New Roman" w:hAnsi="Times New Roman" w:cs="Times New Roman"/>
          <w:smallCaps/>
          <w:lang w:val="en-ZA"/>
        </w:rPr>
        <w:t xml:space="preserve"> </w:t>
      </w:r>
      <w:r w:rsidRPr="004A4D78">
        <w:rPr>
          <w:rFonts w:ascii="Times New Roman" w:hAnsi="Times New Roman" w:cs="Times New Roman"/>
          <w:i/>
          <w:lang w:val="en-ZA"/>
        </w:rPr>
        <w:t>Democracy &amp; Development</w:t>
      </w:r>
      <w:r w:rsidRPr="005F48E2">
        <w:rPr>
          <w:rFonts w:ascii="Times New Roman" w:hAnsi="Times New Roman" w:cs="Times New Roman"/>
          <w:lang w:val="en-ZA"/>
        </w:rPr>
        <w:t>, XVI (2012), p. 1.</w:t>
      </w:r>
    </w:p>
  </w:footnote>
  <w:footnote w:id="188">
    <w:p w14:paraId="4B7E6164" w14:textId="38E2AD3D"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See for example: The IGLP Law and Global Protection Working Group, “The Role of Law in Global Value Chains: A Research Manifesto”, </w:t>
      </w:r>
      <w:r w:rsidRPr="00181643">
        <w:rPr>
          <w:rFonts w:ascii="Times New Roman" w:hAnsi="Times New Roman" w:cs="Times New Roman"/>
          <w:i/>
          <w:lang w:val="en-ZA"/>
        </w:rPr>
        <w:t>London Review of International Law</w:t>
      </w:r>
      <w:r w:rsidRPr="00181643">
        <w:rPr>
          <w:rFonts w:ascii="Times New Roman" w:hAnsi="Times New Roman" w:cs="Times New Roman"/>
          <w:lang w:val="en-ZA"/>
        </w:rPr>
        <w:t>, IV (2016), p. 57.</w:t>
      </w:r>
    </w:p>
  </w:footnote>
  <w:footnote w:id="189">
    <w:p w14:paraId="79DC1B51" w14:textId="24DDA550"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Act </w:t>
      </w:r>
      <w:r w:rsidRPr="00CB128D">
        <w:rPr>
          <w:rFonts w:ascii="Times New Roman" w:hAnsi="Times New Roman" w:cs="Times New Roman"/>
          <w:lang w:val="en-ZA"/>
        </w:rPr>
        <w:t>68 of 2008: section 5(2)(b), read with GG 34181 (1 April 2011).</w:t>
      </w:r>
    </w:p>
  </w:footnote>
  <w:footnote w:id="190">
    <w:p w14:paraId="214D6708" w14:textId="64B022B9"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Act 34 of 2005: section 4(1)(a)(i), read with GG 28893 (1 June 2006).</w:t>
      </w:r>
    </w:p>
  </w:footnote>
  <w:footnote w:id="191">
    <w:p w14:paraId="3D2257D3" w14:textId="1CEB2BC1"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See the section 1 definition of “consumer”.  See further Tanya Woker,</w:t>
      </w:r>
      <w:r w:rsidRPr="00CB128D">
        <w:rPr>
          <w:rFonts w:ascii="Times New Roman" w:hAnsi="Times New Roman" w:cs="Times New Roman"/>
          <w:i/>
        </w:rPr>
        <w:t xml:space="preserve"> The Franchise Agreement in South Africa</w:t>
      </w:r>
      <w:r w:rsidRPr="00CB128D">
        <w:rPr>
          <w:rFonts w:ascii="Times New Roman" w:hAnsi="Times New Roman" w:cs="Times New Roman"/>
          <w:smallCaps/>
        </w:rPr>
        <w:t xml:space="preserve"> </w:t>
      </w:r>
      <w:r w:rsidRPr="00CB128D">
        <w:rPr>
          <w:rFonts w:ascii="Times New Roman" w:hAnsi="Times New Roman" w:cs="Times New Roman"/>
        </w:rPr>
        <w:t>(2012), p. 4.</w:t>
      </w:r>
    </w:p>
  </w:footnote>
  <w:footnote w:id="192">
    <w:p w14:paraId="6831A49C" w14:textId="0BBB245A"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Section 5(7).</w:t>
      </w:r>
    </w:p>
  </w:footnote>
  <w:footnote w:id="193">
    <w:p w14:paraId="11CA02B4" w14:textId="5D79160C"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Section 7(1).</w:t>
      </w:r>
    </w:p>
  </w:footnote>
  <w:footnote w:id="194">
    <w:p w14:paraId="25AE2A85" w14:textId="2E646B67"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Section 7(2).</w:t>
      </w:r>
    </w:p>
  </w:footnote>
  <w:footnote w:id="195">
    <w:p w14:paraId="771192E8" w14:textId="528C0C73" w:rsidR="00181643" w:rsidRPr="00181643" w:rsidRDefault="00181643">
      <w:pPr>
        <w:pStyle w:val="FootnoteText"/>
        <w:jc w:val="both"/>
        <w:rPr>
          <w:rFonts w:ascii="Times New Roman" w:hAnsi="Times New Roman" w:cs="Times New Roman"/>
          <w:smallCaps/>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Compare in this regard the findings in </w:t>
      </w:r>
      <w:r w:rsidRPr="00CB128D">
        <w:rPr>
          <w:rFonts w:ascii="Times New Roman" w:hAnsi="Times New Roman" w:cs="Times New Roman"/>
          <w:i/>
          <w:lang w:val="en-ZA"/>
        </w:rPr>
        <w:t>Botha v Rich NO</w:t>
      </w:r>
      <w:r w:rsidRPr="004A4D78">
        <w:rPr>
          <w:rFonts w:ascii="Times New Roman" w:hAnsi="Times New Roman" w:cs="Times New Roman"/>
          <w:lang w:val="en-ZA"/>
        </w:rPr>
        <w:t xml:space="preserve"> </w:t>
      </w:r>
      <w:r w:rsidRPr="005F48E2">
        <w:rPr>
          <w:rFonts w:ascii="Times New Roman" w:hAnsi="Times New Roman" w:cs="Times New Roman"/>
        </w:rPr>
        <w:t>2014 (4) SA 124 (CC), discussed in Alistair Price and Andrew Hutchison</w:t>
      </w:r>
      <w:r w:rsidRPr="00181643">
        <w:rPr>
          <w:rFonts w:ascii="Times New Roman" w:hAnsi="Times New Roman" w:cs="Times New Roman"/>
          <w:smallCaps/>
        </w:rPr>
        <w:t>, “</w:t>
      </w:r>
      <w:r w:rsidRPr="00181643">
        <w:rPr>
          <w:rFonts w:ascii="Times New Roman" w:hAnsi="Times New Roman" w:cs="Times New Roman"/>
        </w:rPr>
        <w:t>Judicial Review of Exercises of Contractual Power: South Africa’s Divergence from the Common Law Tradition”</w:t>
      </w:r>
      <w:r w:rsidRPr="00181643">
        <w:rPr>
          <w:rFonts w:ascii="Times New Roman" w:hAnsi="Times New Roman" w:cs="Times New Roman"/>
          <w:i/>
        </w:rPr>
        <w:t>,</w:t>
      </w:r>
      <w:r w:rsidRPr="00181643">
        <w:rPr>
          <w:rFonts w:ascii="Times New Roman" w:hAnsi="Times New Roman" w:cs="Times New Roman"/>
        </w:rPr>
        <w:t xml:space="preserve"> </w:t>
      </w:r>
      <w:r w:rsidRPr="00181643">
        <w:rPr>
          <w:rFonts w:ascii="Times New Roman" w:hAnsi="Times New Roman" w:cs="Times New Roman"/>
          <w:i/>
        </w:rPr>
        <w:t>Rabels Zeitschrift</w:t>
      </w:r>
      <w:r w:rsidRPr="00181643">
        <w:rPr>
          <w:rFonts w:ascii="Times New Roman" w:hAnsi="Times New Roman" w:cs="Times New Roman"/>
        </w:rPr>
        <w:t>, LXXIX (2015), p. 822.</w:t>
      </w:r>
    </w:p>
  </w:footnote>
  <w:footnote w:id="196">
    <w:p w14:paraId="288E4089" w14:textId="6A53892B" w:rsidR="00181643" w:rsidRPr="00181643"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Doug Pyper and Jeanne Delebarre, “Zero Hours Contracts”, Briefing Paper No 06553 (3 October 2016); Hugh Collins, “The Contract of Employment in 3D”, in David Campbell, Linda Mulcahy and Sally Wheeler (eds.), </w:t>
      </w:r>
      <w:r w:rsidRPr="00181643">
        <w:rPr>
          <w:rFonts w:ascii="Times New Roman" w:hAnsi="Times New Roman" w:cs="Times New Roman"/>
          <w:i/>
        </w:rPr>
        <w:t>Changing Concepts of Contract: Essays in Honour of Ian Macneil</w:t>
      </w:r>
      <w:r w:rsidRPr="00181643">
        <w:rPr>
          <w:rFonts w:ascii="Times New Roman" w:hAnsi="Times New Roman" w:cs="Times New Roman"/>
          <w:smallCaps/>
        </w:rPr>
        <w:t xml:space="preserve"> </w:t>
      </w:r>
      <w:r w:rsidRPr="00181643">
        <w:rPr>
          <w:rFonts w:ascii="Times New Roman" w:hAnsi="Times New Roman" w:cs="Times New Roman"/>
        </w:rPr>
        <w:t>(2013), pp.  65</w:t>
      </w:r>
      <w:r w:rsidRPr="00181643">
        <w:rPr>
          <w:rFonts w:ascii="Times New Roman" w:hAnsi="Times New Roman" w:cs="Times New Roman"/>
          <w:lang w:val="en-US"/>
        </w:rPr>
        <w:t>-</w:t>
      </w:r>
      <w:r w:rsidRPr="00181643">
        <w:rPr>
          <w:rFonts w:ascii="Times New Roman" w:hAnsi="Times New Roman" w:cs="Times New Roman"/>
        </w:rPr>
        <w:t>88, at 84</w:t>
      </w:r>
      <w:r w:rsidRPr="00181643">
        <w:rPr>
          <w:rFonts w:ascii="Times New Roman" w:hAnsi="Times New Roman" w:cs="Times New Roman"/>
          <w:lang w:val="en-US"/>
        </w:rPr>
        <w:t>-8</w:t>
      </w:r>
      <w:r w:rsidRPr="00181643">
        <w:rPr>
          <w:rFonts w:ascii="Times New Roman" w:hAnsi="Times New Roman" w:cs="Times New Roman"/>
        </w:rPr>
        <w:t>6.</w:t>
      </w:r>
    </w:p>
    <w:p w14:paraId="3C32C6D7" w14:textId="79814A69" w:rsidR="00181643" w:rsidRPr="00181643" w:rsidRDefault="00181643">
      <w:pPr>
        <w:pStyle w:val="FootnoteText"/>
        <w:jc w:val="both"/>
        <w:rPr>
          <w:rFonts w:ascii="Times New Roman" w:hAnsi="Times New Roman" w:cs="Times New Roman"/>
        </w:rPr>
      </w:pPr>
      <w:r w:rsidRPr="00181643">
        <w:rPr>
          <w:rFonts w:ascii="Times New Roman" w:hAnsi="Times New Roman" w:cs="Times New Roman"/>
        </w:rPr>
        <w:t>For the Australian position on casual labour, see:</w:t>
      </w:r>
      <w:r w:rsidRPr="00181643">
        <w:rPr>
          <w:rFonts w:ascii="Times New Roman" w:hAnsi="Times New Roman" w:cs="Times New Roman"/>
          <w:smallCaps/>
        </w:rPr>
        <w:t xml:space="preserve"> </w:t>
      </w:r>
      <w:r w:rsidRPr="00181643">
        <w:rPr>
          <w:rFonts w:ascii="Times New Roman" w:hAnsi="Times New Roman" w:cs="Times New Roman"/>
        </w:rPr>
        <w:t xml:space="preserve">Andrew Stewart, </w:t>
      </w:r>
      <w:r w:rsidRPr="00181643">
        <w:rPr>
          <w:rFonts w:ascii="Times New Roman" w:hAnsi="Times New Roman" w:cs="Times New Roman"/>
          <w:i/>
        </w:rPr>
        <w:t>Stewart’s Guide to Employment Law</w:t>
      </w:r>
      <w:r w:rsidRPr="00181643">
        <w:rPr>
          <w:rFonts w:ascii="Times New Roman" w:hAnsi="Times New Roman" w:cs="Times New Roman"/>
        </w:rPr>
        <w:t>,</w:t>
      </w:r>
      <w:r w:rsidRPr="00181643">
        <w:rPr>
          <w:rFonts w:ascii="Times New Roman" w:hAnsi="Times New Roman" w:cs="Times New Roman"/>
          <w:smallCaps/>
        </w:rPr>
        <w:t xml:space="preserve"> </w:t>
      </w:r>
      <w:r w:rsidRPr="00181643">
        <w:rPr>
          <w:rFonts w:ascii="Times New Roman" w:hAnsi="Times New Roman" w:cs="Times New Roman"/>
        </w:rPr>
        <w:t>4</w:t>
      </w:r>
      <w:r w:rsidRPr="00181643">
        <w:rPr>
          <w:rFonts w:ascii="Times New Roman" w:hAnsi="Times New Roman" w:cs="Times New Roman"/>
          <w:vertAlign w:val="superscript"/>
        </w:rPr>
        <w:t>th</w:t>
      </w:r>
      <w:r w:rsidRPr="00181643">
        <w:rPr>
          <w:rFonts w:ascii="Times New Roman" w:hAnsi="Times New Roman" w:cs="Times New Roman"/>
        </w:rPr>
        <w:t xml:space="preserve"> edn, (2013), pp. 62-66; Breen Crighton and Andrew Stewart, </w:t>
      </w:r>
      <w:r w:rsidRPr="00181643">
        <w:rPr>
          <w:rFonts w:ascii="Times New Roman" w:hAnsi="Times New Roman" w:cs="Times New Roman"/>
          <w:i/>
        </w:rPr>
        <w:t>Labour Law</w:t>
      </w:r>
      <w:r w:rsidRPr="00181643">
        <w:rPr>
          <w:rFonts w:ascii="Times New Roman" w:hAnsi="Times New Roman" w:cs="Times New Roman"/>
          <w:smallCaps/>
        </w:rPr>
        <w:t xml:space="preserve">, </w:t>
      </w:r>
      <w:r w:rsidRPr="00181643">
        <w:rPr>
          <w:rFonts w:ascii="Times New Roman" w:hAnsi="Times New Roman" w:cs="Times New Roman"/>
        </w:rPr>
        <w:t>5</w:t>
      </w:r>
      <w:r w:rsidRPr="00181643">
        <w:rPr>
          <w:rFonts w:ascii="Times New Roman" w:hAnsi="Times New Roman" w:cs="Times New Roman"/>
          <w:vertAlign w:val="superscript"/>
        </w:rPr>
        <w:t>th</w:t>
      </w:r>
      <w:r w:rsidRPr="00181643">
        <w:rPr>
          <w:rFonts w:ascii="Times New Roman" w:hAnsi="Times New Roman" w:cs="Times New Roman"/>
        </w:rPr>
        <w:t xml:space="preserve"> edn (2010), pp. 198</w:t>
      </w:r>
      <w:r w:rsidRPr="00181643">
        <w:rPr>
          <w:rFonts w:ascii="Times New Roman" w:hAnsi="Times New Roman" w:cs="Times New Roman"/>
          <w:lang w:val="en-US"/>
        </w:rPr>
        <w:t>-</w:t>
      </w:r>
      <w:r w:rsidRPr="00181643">
        <w:rPr>
          <w:rFonts w:ascii="Times New Roman" w:hAnsi="Times New Roman" w:cs="Times New Roman"/>
        </w:rPr>
        <w:t>204.</w:t>
      </w:r>
    </w:p>
    <w:p w14:paraId="61D86E92" w14:textId="7D426617" w:rsidR="00181643" w:rsidRPr="00181643" w:rsidRDefault="00181643">
      <w:pPr>
        <w:pStyle w:val="FootnoteText"/>
        <w:jc w:val="both"/>
        <w:rPr>
          <w:rFonts w:ascii="Times New Roman" w:hAnsi="Times New Roman" w:cs="Times New Roman"/>
        </w:rPr>
      </w:pPr>
      <w:r w:rsidRPr="00181643">
        <w:rPr>
          <w:rFonts w:ascii="Times New Roman" w:hAnsi="Times New Roman" w:cs="Times New Roman"/>
        </w:rPr>
        <w:t xml:space="preserve">For the South African position on casual labour, see: </w:t>
      </w:r>
      <w:r w:rsidRPr="00181643">
        <w:rPr>
          <w:rFonts w:ascii="Times New Roman" w:hAnsi="Times New Roman" w:cs="Times New Roman"/>
          <w:smallCaps/>
          <w:lang w:val="en-ZA"/>
        </w:rPr>
        <w:t xml:space="preserve"> </w:t>
      </w:r>
      <w:r w:rsidRPr="00181643">
        <w:rPr>
          <w:rFonts w:ascii="Times New Roman" w:hAnsi="Times New Roman" w:cs="Times New Roman"/>
          <w:lang w:val="en-ZA"/>
        </w:rPr>
        <w:t xml:space="preserve">Helga Landis and Lesley Grosset, </w:t>
      </w:r>
      <w:r w:rsidRPr="00181643">
        <w:rPr>
          <w:rFonts w:ascii="Times New Roman" w:hAnsi="Times New Roman" w:cs="Times New Roman"/>
          <w:i/>
          <w:lang w:val="en-ZA"/>
        </w:rPr>
        <w:t>Employment and the Law: A Practical Guide for the Workplace</w:t>
      </w:r>
      <w:r w:rsidRPr="00181643">
        <w:rPr>
          <w:rFonts w:ascii="Times New Roman" w:hAnsi="Times New Roman" w:cs="Times New Roman"/>
          <w:smallCaps/>
          <w:lang w:val="en-ZA"/>
        </w:rPr>
        <w:t xml:space="preserve">, </w:t>
      </w:r>
      <w:r w:rsidRPr="00181643">
        <w:rPr>
          <w:rFonts w:ascii="Times New Roman" w:hAnsi="Times New Roman" w:cs="Times New Roman"/>
          <w:lang w:val="en-ZA"/>
        </w:rPr>
        <w:t>3</w:t>
      </w:r>
      <w:r w:rsidRPr="00181643">
        <w:rPr>
          <w:rFonts w:ascii="Times New Roman" w:hAnsi="Times New Roman" w:cs="Times New Roman"/>
          <w:vertAlign w:val="superscript"/>
          <w:lang w:val="en-ZA"/>
        </w:rPr>
        <w:t>rd</w:t>
      </w:r>
      <w:r w:rsidRPr="00181643">
        <w:rPr>
          <w:rFonts w:ascii="Times New Roman" w:hAnsi="Times New Roman" w:cs="Times New Roman"/>
          <w:lang w:val="en-ZA"/>
        </w:rPr>
        <w:t xml:space="preserve"> edn (2014), pp. 91-98.</w:t>
      </w:r>
    </w:p>
  </w:footnote>
  <w:footnote w:id="197">
    <w:p w14:paraId="23C21487" w14:textId="4AB1CB79"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Pyper and Delebarre, “Zero Hours Contracts”</w:t>
      </w:r>
      <w:r w:rsidRPr="00CB128D">
        <w:rPr>
          <w:rFonts w:ascii="Times New Roman" w:hAnsi="Times New Roman" w:cs="Times New Roman"/>
          <w:i/>
        </w:rPr>
        <w:t xml:space="preserve">, supra </w:t>
      </w:r>
      <w:r w:rsidRPr="00CB128D">
        <w:rPr>
          <w:rFonts w:ascii="Times New Roman" w:hAnsi="Times New Roman" w:cs="Times New Roman"/>
        </w:rPr>
        <w:t>note 19</w:t>
      </w:r>
      <w:r w:rsidR="005F48E2">
        <w:rPr>
          <w:rFonts w:ascii="Times New Roman" w:hAnsi="Times New Roman" w:cs="Times New Roman"/>
        </w:rPr>
        <w:t>4</w:t>
      </w:r>
      <w:r w:rsidRPr="00CB128D">
        <w:rPr>
          <w:rFonts w:ascii="Times New Roman" w:hAnsi="Times New Roman" w:cs="Times New Roman"/>
        </w:rPr>
        <w:t>, at 4.</w:t>
      </w:r>
    </w:p>
  </w:footnote>
  <w:footnote w:id="198">
    <w:p w14:paraId="2C07AAFA" w14:textId="286895CA" w:rsidR="00181643" w:rsidRPr="004A4D78"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rPr>
        <w:t xml:space="preserve"> at 5</w:t>
      </w:r>
      <w:r w:rsidRPr="00CB128D">
        <w:rPr>
          <w:rFonts w:ascii="Times New Roman" w:hAnsi="Times New Roman" w:cs="Times New Roman"/>
          <w:lang w:val="en-US"/>
        </w:rPr>
        <w:t>-</w:t>
      </w:r>
      <w:r w:rsidRPr="004A4D78">
        <w:rPr>
          <w:rFonts w:ascii="Times New Roman" w:hAnsi="Times New Roman" w:cs="Times New Roman"/>
        </w:rPr>
        <w:t>6.</w:t>
      </w:r>
    </w:p>
  </w:footnote>
  <w:footnote w:id="199">
    <w:p w14:paraId="2579F5F0" w14:textId="593B627C"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Id.</w:t>
      </w:r>
      <w:r w:rsidRPr="00CB128D">
        <w:rPr>
          <w:rFonts w:ascii="Times New Roman" w:hAnsi="Times New Roman" w:cs="Times New Roman"/>
        </w:rPr>
        <w:t xml:space="preserve"> at 8</w:t>
      </w:r>
      <w:r w:rsidRPr="00CB128D">
        <w:rPr>
          <w:rFonts w:ascii="Times New Roman" w:hAnsi="Times New Roman" w:cs="Times New Roman"/>
          <w:lang w:val="en-US"/>
        </w:rPr>
        <w:t>-</w:t>
      </w:r>
      <w:r w:rsidRPr="004A4D78">
        <w:rPr>
          <w:rFonts w:ascii="Times New Roman" w:hAnsi="Times New Roman" w:cs="Times New Roman"/>
        </w:rPr>
        <w:t>9.</w:t>
      </w:r>
    </w:p>
  </w:footnote>
  <w:footnote w:id="200">
    <w:p w14:paraId="3EEC72FA" w14:textId="21D7BFF8"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See sections 198A-D of the Labour Relations Act 66 of 1995, as amended by section 38 of the Labour Relations Amendment Act 6 of 2014.  For discussion, see: Landis and Grosset, “Employment and the Law: A Practical Guide for the Workplace”</w:t>
      </w:r>
      <w:r w:rsidRPr="005F48E2">
        <w:rPr>
          <w:rFonts w:ascii="Times New Roman" w:hAnsi="Times New Roman" w:cs="Times New Roman"/>
          <w:smallCaps/>
          <w:lang w:val="en-ZA"/>
        </w:rPr>
        <w:t xml:space="preserve">, </w:t>
      </w:r>
      <w:r w:rsidRPr="005F48E2">
        <w:rPr>
          <w:rFonts w:ascii="Times New Roman" w:hAnsi="Times New Roman" w:cs="Times New Roman"/>
          <w:i/>
          <w:lang w:val="en-ZA"/>
        </w:rPr>
        <w:t xml:space="preserve">supra </w:t>
      </w:r>
      <w:r w:rsidRPr="005F48E2">
        <w:rPr>
          <w:rFonts w:ascii="Times New Roman" w:hAnsi="Times New Roman" w:cs="Times New Roman"/>
          <w:lang w:val="en-ZA"/>
        </w:rPr>
        <w:t>note 19</w:t>
      </w:r>
      <w:r w:rsidR="005F48E2">
        <w:rPr>
          <w:rFonts w:ascii="Times New Roman" w:hAnsi="Times New Roman" w:cs="Times New Roman"/>
          <w:lang w:val="en-ZA"/>
        </w:rPr>
        <w:t>4</w:t>
      </w:r>
      <w:r w:rsidRPr="005F48E2">
        <w:rPr>
          <w:rFonts w:ascii="Times New Roman" w:hAnsi="Times New Roman" w:cs="Times New Roman"/>
          <w:lang w:val="en-ZA"/>
        </w:rPr>
        <w:t>, at 91</w:t>
      </w:r>
      <w:r w:rsidRPr="005F48E2">
        <w:rPr>
          <w:rFonts w:ascii="Times New Roman" w:hAnsi="Times New Roman" w:cs="Times New Roman"/>
          <w:lang w:val="en-US"/>
        </w:rPr>
        <w:t>-9</w:t>
      </w:r>
      <w:r w:rsidRPr="005F48E2">
        <w:rPr>
          <w:rFonts w:ascii="Times New Roman" w:hAnsi="Times New Roman" w:cs="Times New Roman"/>
          <w:lang w:val="en-ZA"/>
        </w:rPr>
        <w:t>8.</w:t>
      </w:r>
    </w:p>
  </w:footnote>
  <w:footnote w:id="201">
    <w:p w14:paraId="003E30E7" w14:textId="198A04A7"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NUCCAWU v Transnet Ltd</w:t>
      </w:r>
      <w:r w:rsidRPr="00CB128D">
        <w:rPr>
          <w:rFonts w:ascii="Times New Roman" w:hAnsi="Times New Roman" w:cs="Times New Roman"/>
        </w:rPr>
        <w:t xml:space="preserve"> [2001] 2 BLLR 203 (LC).</w:t>
      </w:r>
    </w:p>
  </w:footnote>
  <w:footnote w:id="202">
    <w:p w14:paraId="03C7842C" w14:textId="09BB1F96"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Section 198C(3).</w:t>
      </w:r>
    </w:p>
  </w:footnote>
  <w:footnote w:id="203">
    <w:p w14:paraId="173927B3" w14:textId="20C1E287"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Available at</w:t>
      </w:r>
      <w:r w:rsidRPr="00CB128D">
        <w:rPr>
          <w:rFonts w:ascii="Times New Roman" w:hAnsi="Times New Roman" w:cs="Times New Roman"/>
        </w:rPr>
        <w:t xml:space="preserve"> </w:t>
      </w:r>
      <w:hyperlink r:id="rId5" w:history="1">
        <w:r w:rsidRPr="00181643">
          <w:rPr>
            <w:rStyle w:val="Hyperlink"/>
            <w:rFonts w:ascii="Times New Roman" w:hAnsi="Times New Roman" w:cs="Times New Roman"/>
          </w:rPr>
          <w:t>https://www.fairwork.gov.au/employee-entitlements/types-of-employees/casual-part-time-and-full-time/casual-employees</w:t>
        </w:r>
      </w:hyperlink>
      <w:r w:rsidRPr="00CB128D">
        <w:rPr>
          <w:rFonts w:ascii="Times New Roman" w:hAnsi="Times New Roman" w:cs="Times New Roman"/>
        </w:rPr>
        <w:t xml:space="preserve"> (accessed: 10-15-2016).</w:t>
      </w:r>
    </w:p>
  </w:footnote>
  <w:footnote w:id="204">
    <w:p w14:paraId="55F4BA5C" w14:textId="2C7B2DC0"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 xml:space="preserve">This document may be downloaded free of charge at: </w:t>
      </w:r>
      <w:hyperlink r:id="rId6" w:history="1">
        <w:r w:rsidRPr="00181643">
          <w:rPr>
            <w:rStyle w:val="Hyperlink"/>
            <w:rFonts w:ascii="Times New Roman" w:hAnsi="Times New Roman" w:cs="Times New Roman"/>
            <w:shd w:val="clear" w:color="auto" w:fill="FFFFFF"/>
          </w:rPr>
          <w:t>https://zoek.officielebekendmakingen.nl/blg-240837.</w:t>
        </w:r>
        <w:r w:rsidRPr="00181643">
          <w:rPr>
            <w:rStyle w:val="Hyperlink"/>
            <w:rFonts w:ascii="Times New Roman" w:hAnsi="Times New Roman" w:cs="Times New Roman"/>
            <w:bCs/>
            <w:shd w:val="clear" w:color="auto" w:fill="FFFFFF"/>
          </w:rPr>
          <w:t>pdf</w:t>
        </w:r>
      </w:hyperlink>
      <w:r w:rsidRPr="00CB128D">
        <w:rPr>
          <w:rFonts w:ascii="Times New Roman" w:hAnsi="Times New Roman" w:cs="Times New Roman"/>
          <w:bCs/>
          <w:color w:val="009930"/>
          <w:shd w:val="clear" w:color="auto" w:fill="FFFFFF"/>
        </w:rPr>
        <w:t xml:space="preserve"> </w:t>
      </w:r>
      <w:r w:rsidRPr="00181643">
        <w:rPr>
          <w:rFonts w:ascii="Times New Roman" w:hAnsi="Times New Roman" w:cs="Times New Roman"/>
          <w:bCs/>
          <w:shd w:val="clear" w:color="auto" w:fill="FFFFFF"/>
        </w:rPr>
        <w:t>(accessed: 11-14-2016).  This particular case study is taken from the realm of legal practice, usually in the banking and finance department of large law firms.  There is very little in the way of a published academic literature on this in our target jurisdictions and hence our data is of necessity preliminary and gleaned from the sources which are available.</w:t>
      </w:r>
    </w:p>
  </w:footnote>
  <w:footnote w:id="205">
    <w:p w14:paraId="2F89AD3C" w14:textId="30E62C5C"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lang w:val="en-ZA"/>
        </w:rPr>
        <w:t>Act 24 of 1936.</w:t>
      </w:r>
    </w:p>
  </w:footnote>
  <w:footnote w:id="206">
    <w:p w14:paraId="778A0672" w14:textId="5790392C"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w:t>
      </w:r>
      <w:r w:rsidRPr="00CB128D">
        <w:rPr>
          <w:rFonts w:ascii="Times New Roman" w:hAnsi="Times New Roman" w:cs="Times New Roman"/>
          <w:i/>
        </w:rPr>
        <w:t>Available at</w:t>
      </w:r>
      <w:r w:rsidRPr="00CB128D">
        <w:rPr>
          <w:rFonts w:ascii="Times New Roman" w:hAnsi="Times New Roman" w:cs="Times New Roman"/>
        </w:rPr>
        <w:t xml:space="preserve"> </w:t>
      </w:r>
      <w:hyperlink r:id="rId7" w:history="1">
        <w:r w:rsidRPr="00181643">
          <w:rPr>
            <w:rStyle w:val="Hyperlink"/>
            <w:rFonts w:ascii="Times New Roman" w:hAnsi="Times New Roman" w:cs="Times New Roman"/>
          </w:rPr>
          <w:t>http://www.isda.org/publications/regulatorydocumentation.aspx</w:t>
        </w:r>
      </w:hyperlink>
      <w:r w:rsidRPr="00CB128D">
        <w:rPr>
          <w:rFonts w:ascii="Times New Roman" w:hAnsi="Times New Roman" w:cs="Times New Roman"/>
        </w:rPr>
        <w:t xml:space="preserve"> (accessed: 10-15-2016).</w:t>
      </w:r>
    </w:p>
  </w:footnote>
  <w:footnote w:id="207">
    <w:p w14:paraId="0BA51C22" w14:textId="397CADA6"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But see also the Financial System Legislation Amendment (Resilience and Collateral Protection) Regulation 2016.</w:t>
      </w:r>
    </w:p>
  </w:footnote>
  <w:footnote w:id="208">
    <w:p w14:paraId="2FA5CB62" w14:textId="5554403D" w:rsidR="00181643" w:rsidRPr="00CB128D" w:rsidRDefault="00181643">
      <w:pPr>
        <w:pStyle w:val="FootnoteText"/>
        <w:jc w:val="both"/>
        <w:rPr>
          <w:rFonts w:ascii="Times New Roman" w:hAnsi="Times New Roman" w:cs="Times New Roman"/>
        </w:rPr>
      </w:pPr>
      <w:r w:rsidRPr="00CB128D">
        <w:rPr>
          <w:rStyle w:val="FootnoteReference"/>
          <w:rFonts w:ascii="Times New Roman" w:hAnsi="Times New Roman" w:cs="Times New Roman"/>
        </w:rPr>
        <w:footnoteRef/>
      </w:r>
      <w:r w:rsidRPr="00CB128D">
        <w:rPr>
          <w:rFonts w:ascii="Times New Roman" w:hAnsi="Times New Roman" w:cs="Times New Roman"/>
        </w:rPr>
        <w:t xml:space="preserve"> More information </w:t>
      </w:r>
      <w:r w:rsidRPr="00CB128D">
        <w:rPr>
          <w:rFonts w:ascii="Times New Roman" w:hAnsi="Times New Roman" w:cs="Times New Roman"/>
          <w:i/>
        </w:rPr>
        <w:t>available at</w:t>
      </w:r>
      <w:r w:rsidRPr="00CB128D">
        <w:rPr>
          <w:rFonts w:ascii="Times New Roman" w:hAnsi="Times New Roman" w:cs="Times New Roman"/>
        </w:rPr>
        <w:t xml:space="preserve"> </w:t>
      </w:r>
      <w:hyperlink r:id="rId8" w:history="1">
        <w:r w:rsidRPr="00181643">
          <w:rPr>
            <w:rStyle w:val="Hyperlink"/>
            <w:rFonts w:ascii="Times New Roman" w:hAnsi="Times New Roman" w:cs="Times New Roman"/>
            <w:lang w:val="en-US"/>
          </w:rPr>
          <w:t>http://www.aph.gov.au/About_Parliament/Parliamentary_Departments/Parliamentary_Library/pubs/rp/rp1516/Quick_Guides/Bill</w:t>
        </w:r>
      </w:hyperlink>
      <w:r w:rsidRPr="00CB128D">
        <w:rPr>
          <w:rFonts w:ascii="Times New Roman" w:hAnsi="Times New Roman" w:cs="Times New Roman"/>
          <w:lang w:val="en-US"/>
        </w:rPr>
        <w:t xml:space="preserve"> (accessed: 15-10-2016).</w:t>
      </w:r>
    </w:p>
  </w:footnote>
  <w:footnote w:id="209">
    <w:p w14:paraId="7357A5B2" w14:textId="5B782F20" w:rsidR="00181643" w:rsidRPr="005F48E2"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Macneil, “Contracts: Adjustment of Long-Term Economic Relations under Classical, Neo-classical and Relational Contract Law”, </w:t>
      </w:r>
      <w:r w:rsidRPr="00CB128D">
        <w:rPr>
          <w:rFonts w:ascii="Times New Roman" w:hAnsi="Times New Roman" w:cs="Times New Roman"/>
          <w:i/>
        </w:rPr>
        <w:t>supra</w:t>
      </w:r>
      <w:r w:rsidRPr="00CB128D">
        <w:rPr>
          <w:rFonts w:ascii="Times New Roman" w:hAnsi="Times New Roman" w:cs="Times New Roman"/>
        </w:rPr>
        <w:t xml:space="preserve"> note 1, see generally: 886</w:t>
      </w:r>
      <w:r w:rsidRPr="00CB128D">
        <w:rPr>
          <w:rFonts w:ascii="Times New Roman" w:hAnsi="Times New Roman" w:cs="Times New Roman"/>
          <w:lang w:val="en-US"/>
        </w:rPr>
        <w:t>-</w:t>
      </w:r>
      <w:r w:rsidRPr="005F48E2">
        <w:rPr>
          <w:rFonts w:ascii="Times New Roman" w:hAnsi="Times New Roman" w:cs="Times New Roman"/>
        </w:rPr>
        <w:t>900.</w:t>
      </w:r>
    </w:p>
  </w:footnote>
  <w:footnote w:id="210">
    <w:p w14:paraId="2F012DBD" w14:textId="48497ACE"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For a description of Australia as a “rich” country with income statistics, see Thomas Piketty, </w:t>
      </w:r>
      <w:r w:rsidRPr="00CB128D">
        <w:rPr>
          <w:rFonts w:ascii="Times New Roman" w:hAnsi="Times New Roman" w:cs="Times New Roman"/>
          <w:i/>
        </w:rPr>
        <w:t xml:space="preserve">Capital in the Twenty-First Century </w:t>
      </w:r>
      <w:r w:rsidRPr="00181643">
        <w:rPr>
          <w:rFonts w:ascii="Times New Roman" w:hAnsi="Times New Roman" w:cs="Times New Roman"/>
        </w:rPr>
        <w:t xml:space="preserve">(2014), pp. 174 and 177-78. For an historical account of Australia as a welfare state, see Francis G Castles, “Needs-Based Strategies of Social Protection in Australia and New Zealand”, in Gosta Esping-Andersen (ed.), </w:t>
      </w:r>
      <w:r w:rsidRPr="00181643">
        <w:rPr>
          <w:rFonts w:ascii="Times New Roman" w:hAnsi="Times New Roman" w:cs="Times New Roman"/>
          <w:i/>
        </w:rPr>
        <w:t>Welfare States in Transition: National Adaptations in Global Economies</w:t>
      </w:r>
      <w:r w:rsidRPr="00181643">
        <w:rPr>
          <w:rFonts w:ascii="Times New Roman" w:hAnsi="Times New Roman" w:cs="Times New Roman"/>
          <w:smallCaps/>
        </w:rPr>
        <w:t xml:space="preserve"> (</w:t>
      </w:r>
      <w:r w:rsidRPr="00181643">
        <w:rPr>
          <w:rFonts w:ascii="Times New Roman" w:hAnsi="Times New Roman" w:cs="Times New Roman"/>
        </w:rPr>
        <w:t>1996), pp. 88-115, at 88.</w:t>
      </w:r>
    </w:p>
  </w:footnote>
  <w:footnote w:id="211">
    <w:p w14:paraId="4AAC08F5" w14:textId="6CEC4CDB" w:rsidR="00181643" w:rsidRPr="00CB128D"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See generally the discussion of transformative constitutionalism in Part II, Section B.2 above. On legal culture in particular, see: </w:t>
      </w:r>
      <w:r w:rsidRPr="00CB128D">
        <w:rPr>
          <w:rFonts w:ascii="Times New Roman" w:hAnsi="Times New Roman" w:cs="Times New Roman"/>
          <w:color w:val="000000" w:themeColor="text1"/>
        </w:rPr>
        <w:t xml:space="preserve">Klare, “Legal Culture and Transformative Constitutionalism”, </w:t>
      </w:r>
      <w:r w:rsidRPr="00CB128D">
        <w:rPr>
          <w:rFonts w:ascii="Times New Roman" w:hAnsi="Times New Roman" w:cs="Times New Roman"/>
          <w:i/>
          <w:color w:val="000000" w:themeColor="text1"/>
        </w:rPr>
        <w:t>supra</w:t>
      </w:r>
      <w:r w:rsidRPr="00CB128D">
        <w:rPr>
          <w:rFonts w:ascii="Times New Roman" w:hAnsi="Times New Roman" w:cs="Times New Roman"/>
          <w:color w:val="000000" w:themeColor="text1"/>
        </w:rPr>
        <w:t xml:space="preserve"> note 3</w:t>
      </w:r>
      <w:r w:rsidR="005F48E2">
        <w:rPr>
          <w:rFonts w:ascii="Times New Roman" w:hAnsi="Times New Roman" w:cs="Times New Roman"/>
          <w:color w:val="000000" w:themeColor="text1"/>
        </w:rPr>
        <w:t>2</w:t>
      </w:r>
      <w:r w:rsidRPr="00CB128D">
        <w:rPr>
          <w:rFonts w:ascii="Times New Roman" w:hAnsi="Times New Roman" w:cs="Times New Roman"/>
          <w:color w:val="000000" w:themeColor="text1"/>
        </w:rPr>
        <w:t xml:space="preserve">.  </w:t>
      </w:r>
    </w:p>
  </w:footnote>
  <w:footnote w:id="212">
    <w:p w14:paraId="07BE7636" w14:textId="6EB5B594" w:rsidR="00181643" w:rsidRPr="004A4D78"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Compare the argument of </w:t>
      </w:r>
      <w:r w:rsidRPr="00CB128D">
        <w:rPr>
          <w:rFonts w:ascii="Times New Roman" w:hAnsi="Times New Roman" w:cs="Times New Roman"/>
          <w:i/>
        </w:rPr>
        <w:t>Jonathan Morgan, Contract Law Minimalism</w:t>
      </w:r>
      <w:r w:rsidRPr="00CB128D">
        <w:rPr>
          <w:rFonts w:ascii="Times New Roman" w:hAnsi="Times New Roman" w:cs="Times New Roman"/>
        </w:rPr>
        <w:t xml:space="preserve"> (2013), pp. 103-8.</w:t>
      </w:r>
    </w:p>
  </w:footnote>
  <w:footnote w:id="213">
    <w:p w14:paraId="203096D8" w14:textId="4E8280CA" w:rsidR="00181643" w:rsidRPr="00181643" w:rsidRDefault="00181643">
      <w:pPr>
        <w:pStyle w:val="FootnoteText"/>
        <w:jc w:val="both"/>
        <w:rPr>
          <w:rFonts w:ascii="Times New Roman" w:hAnsi="Times New Roman" w:cs="Times New Roman"/>
          <w:lang w:val="en-ZA"/>
        </w:rPr>
      </w:pPr>
      <w:r w:rsidRPr="00CB128D">
        <w:rPr>
          <w:rStyle w:val="FootnoteReference"/>
          <w:rFonts w:ascii="Times New Roman" w:hAnsi="Times New Roman" w:cs="Times New Roman"/>
        </w:rPr>
        <w:footnoteRef/>
      </w:r>
      <w:r w:rsidRPr="00CB128D">
        <w:rPr>
          <w:rFonts w:ascii="Times New Roman" w:hAnsi="Times New Roman" w:cs="Times New Roman"/>
        </w:rPr>
        <w:t xml:space="preserve"> Compare </w:t>
      </w:r>
      <w:r w:rsidRPr="00CB128D">
        <w:rPr>
          <w:rFonts w:ascii="Times New Roman" w:hAnsi="Times New Roman" w:cs="Times New Roman"/>
          <w:lang w:val="en-GB"/>
        </w:rPr>
        <w:t>Macneil, “</w:t>
      </w:r>
      <w:r w:rsidRPr="00CB128D">
        <w:rPr>
          <w:rFonts w:ascii="Times New Roman" w:hAnsi="Times New Roman" w:cs="Times New Roman"/>
          <w:lang w:val="en-US"/>
        </w:rPr>
        <w:t>Contracts: Adjustment of Long</w:t>
      </w:r>
      <w:r w:rsidRPr="00CB128D">
        <w:rPr>
          <w:rFonts w:ascii="Times New Roman" w:hAnsi="Times New Roman" w:cs="Times New Roman"/>
          <w:lang w:val="en-US"/>
        </w:rPr>
        <w:noBreakHyphen/>
        <w:t>term Economic Relations under Classical, Neo</w:t>
      </w:r>
      <w:r w:rsidRPr="00CB128D">
        <w:rPr>
          <w:rFonts w:ascii="Times New Roman" w:hAnsi="Times New Roman" w:cs="Times New Roman"/>
          <w:lang w:val="en-US"/>
        </w:rPr>
        <w:noBreakHyphen/>
        <w:t>classical and Relational Contract Law”</w:t>
      </w:r>
      <w:r w:rsidRPr="00181643">
        <w:rPr>
          <w:rFonts w:ascii="Times New Roman" w:hAnsi="Times New Roman" w:cs="Times New Roman"/>
          <w:i/>
          <w:lang w:val="en-US"/>
        </w:rPr>
        <w:t>,</w:t>
      </w:r>
      <w:r w:rsidRPr="00181643">
        <w:rPr>
          <w:rFonts w:ascii="Times New Roman" w:hAnsi="Times New Roman" w:cs="Times New Roman"/>
          <w:lang w:val="en-US"/>
        </w:rPr>
        <w:t xml:space="preserve"> </w:t>
      </w:r>
      <w:r w:rsidRPr="00181643">
        <w:rPr>
          <w:rFonts w:ascii="Times New Roman" w:hAnsi="Times New Roman" w:cs="Times New Roman"/>
          <w:i/>
          <w:lang w:val="en-US"/>
        </w:rPr>
        <w:t xml:space="preserve">supra </w:t>
      </w:r>
      <w:r w:rsidRPr="00181643">
        <w:rPr>
          <w:rFonts w:ascii="Times New Roman" w:hAnsi="Times New Roman" w:cs="Times New Roman"/>
          <w:lang w:val="en-US"/>
        </w:rPr>
        <w:t>note 1, at 865-86.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EEA"/>
    <w:multiLevelType w:val="hybridMultilevel"/>
    <w:tmpl w:val="43580D54"/>
    <w:lvl w:ilvl="0" w:tplc="A804515A">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01EE1"/>
    <w:multiLevelType w:val="hybridMultilevel"/>
    <w:tmpl w:val="8856C45E"/>
    <w:lvl w:ilvl="0" w:tplc="C5BA18AE">
      <w:start w:val="1"/>
      <w:numFmt w:val="bullet"/>
      <w:lvlText w:val=""/>
      <w:lvlJc w:val="left"/>
      <w:pPr>
        <w:tabs>
          <w:tab w:val="num" w:pos="720"/>
        </w:tabs>
        <w:ind w:left="720" w:hanging="360"/>
      </w:pPr>
      <w:rPr>
        <w:rFonts w:ascii="Wingdings 3" w:hAnsi="Wingdings 3" w:hint="default"/>
      </w:rPr>
    </w:lvl>
    <w:lvl w:ilvl="1" w:tplc="0C94DF4C" w:tentative="1">
      <w:start w:val="1"/>
      <w:numFmt w:val="bullet"/>
      <w:lvlText w:val=""/>
      <w:lvlJc w:val="left"/>
      <w:pPr>
        <w:tabs>
          <w:tab w:val="num" w:pos="1440"/>
        </w:tabs>
        <w:ind w:left="1440" w:hanging="360"/>
      </w:pPr>
      <w:rPr>
        <w:rFonts w:ascii="Wingdings 3" w:hAnsi="Wingdings 3" w:hint="default"/>
      </w:rPr>
    </w:lvl>
    <w:lvl w:ilvl="2" w:tplc="F496B12C" w:tentative="1">
      <w:start w:val="1"/>
      <w:numFmt w:val="bullet"/>
      <w:lvlText w:val=""/>
      <w:lvlJc w:val="left"/>
      <w:pPr>
        <w:tabs>
          <w:tab w:val="num" w:pos="2160"/>
        </w:tabs>
        <w:ind w:left="2160" w:hanging="360"/>
      </w:pPr>
      <w:rPr>
        <w:rFonts w:ascii="Wingdings 3" w:hAnsi="Wingdings 3" w:hint="default"/>
      </w:rPr>
    </w:lvl>
    <w:lvl w:ilvl="3" w:tplc="873EE2BC" w:tentative="1">
      <w:start w:val="1"/>
      <w:numFmt w:val="bullet"/>
      <w:lvlText w:val=""/>
      <w:lvlJc w:val="left"/>
      <w:pPr>
        <w:tabs>
          <w:tab w:val="num" w:pos="2880"/>
        </w:tabs>
        <w:ind w:left="2880" w:hanging="360"/>
      </w:pPr>
      <w:rPr>
        <w:rFonts w:ascii="Wingdings 3" w:hAnsi="Wingdings 3" w:hint="default"/>
      </w:rPr>
    </w:lvl>
    <w:lvl w:ilvl="4" w:tplc="ED7AFEB2" w:tentative="1">
      <w:start w:val="1"/>
      <w:numFmt w:val="bullet"/>
      <w:lvlText w:val=""/>
      <w:lvlJc w:val="left"/>
      <w:pPr>
        <w:tabs>
          <w:tab w:val="num" w:pos="3600"/>
        </w:tabs>
        <w:ind w:left="3600" w:hanging="360"/>
      </w:pPr>
      <w:rPr>
        <w:rFonts w:ascii="Wingdings 3" w:hAnsi="Wingdings 3" w:hint="default"/>
      </w:rPr>
    </w:lvl>
    <w:lvl w:ilvl="5" w:tplc="9A96E560" w:tentative="1">
      <w:start w:val="1"/>
      <w:numFmt w:val="bullet"/>
      <w:lvlText w:val=""/>
      <w:lvlJc w:val="left"/>
      <w:pPr>
        <w:tabs>
          <w:tab w:val="num" w:pos="4320"/>
        </w:tabs>
        <w:ind w:left="4320" w:hanging="360"/>
      </w:pPr>
      <w:rPr>
        <w:rFonts w:ascii="Wingdings 3" w:hAnsi="Wingdings 3" w:hint="default"/>
      </w:rPr>
    </w:lvl>
    <w:lvl w:ilvl="6" w:tplc="30660266" w:tentative="1">
      <w:start w:val="1"/>
      <w:numFmt w:val="bullet"/>
      <w:lvlText w:val=""/>
      <w:lvlJc w:val="left"/>
      <w:pPr>
        <w:tabs>
          <w:tab w:val="num" w:pos="5040"/>
        </w:tabs>
        <w:ind w:left="5040" w:hanging="360"/>
      </w:pPr>
      <w:rPr>
        <w:rFonts w:ascii="Wingdings 3" w:hAnsi="Wingdings 3" w:hint="default"/>
      </w:rPr>
    </w:lvl>
    <w:lvl w:ilvl="7" w:tplc="732E1610" w:tentative="1">
      <w:start w:val="1"/>
      <w:numFmt w:val="bullet"/>
      <w:lvlText w:val=""/>
      <w:lvlJc w:val="left"/>
      <w:pPr>
        <w:tabs>
          <w:tab w:val="num" w:pos="5760"/>
        </w:tabs>
        <w:ind w:left="5760" w:hanging="360"/>
      </w:pPr>
      <w:rPr>
        <w:rFonts w:ascii="Wingdings 3" w:hAnsi="Wingdings 3" w:hint="default"/>
      </w:rPr>
    </w:lvl>
    <w:lvl w:ilvl="8" w:tplc="C792CF5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97044B1"/>
    <w:multiLevelType w:val="hybridMultilevel"/>
    <w:tmpl w:val="8C5C1D8C"/>
    <w:lvl w:ilvl="0" w:tplc="085CEBBE">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145ED0"/>
    <w:multiLevelType w:val="hybridMultilevel"/>
    <w:tmpl w:val="C4CA04D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6C36FC4"/>
    <w:multiLevelType w:val="multilevel"/>
    <w:tmpl w:val="FD9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655"/>
    <w:multiLevelType w:val="hybridMultilevel"/>
    <w:tmpl w:val="6F2E9FF6"/>
    <w:lvl w:ilvl="0" w:tplc="2D881620">
      <w:start w:val="1"/>
      <w:numFmt w:val="bullet"/>
      <w:lvlText w:val="–"/>
      <w:lvlJc w:val="left"/>
      <w:pPr>
        <w:tabs>
          <w:tab w:val="num" w:pos="720"/>
        </w:tabs>
        <w:ind w:left="720" w:hanging="360"/>
      </w:pPr>
      <w:rPr>
        <w:rFonts w:ascii="Arial" w:hAnsi="Arial" w:hint="default"/>
      </w:rPr>
    </w:lvl>
    <w:lvl w:ilvl="1" w:tplc="44C00782">
      <w:start w:val="1"/>
      <w:numFmt w:val="bullet"/>
      <w:lvlText w:val="–"/>
      <w:lvlJc w:val="left"/>
      <w:pPr>
        <w:tabs>
          <w:tab w:val="num" w:pos="1440"/>
        </w:tabs>
        <w:ind w:left="1440" w:hanging="360"/>
      </w:pPr>
      <w:rPr>
        <w:rFonts w:ascii="Arial" w:hAnsi="Arial" w:hint="default"/>
      </w:rPr>
    </w:lvl>
    <w:lvl w:ilvl="2" w:tplc="7D54810A" w:tentative="1">
      <w:start w:val="1"/>
      <w:numFmt w:val="bullet"/>
      <w:lvlText w:val="–"/>
      <w:lvlJc w:val="left"/>
      <w:pPr>
        <w:tabs>
          <w:tab w:val="num" w:pos="2160"/>
        </w:tabs>
        <w:ind w:left="2160" w:hanging="360"/>
      </w:pPr>
      <w:rPr>
        <w:rFonts w:ascii="Arial" w:hAnsi="Arial" w:hint="default"/>
      </w:rPr>
    </w:lvl>
    <w:lvl w:ilvl="3" w:tplc="CD0AB83C" w:tentative="1">
      <w:start w:val="1"/>
      <w:numFmt w:val="bullet"/>
      <w:lvlText w:val="–"/>
      <w:lvlJc w:val="left"/>
      <w:pPr>
        <w:tabs>
          <w:tab w:val="num" w:pos="2880"/>
        </w:tabs>
        <w:ind w:left="2880" w:hanging="360"/>
      </w:pPr>
      <w:rPr>
        <w:rFonts w:ascii="Arial" w:hAnsi="Arial" w:hint="default"/>
      </w:rPr>
    </w:lvl>
    <w:lvl w:ilvl="4" w:tplc="6EFC321A" w:tentative="1">
      <w:start w:val="1"/>
      <w:numFmt w:val="bullet"/>
      <w:lvlText w:val="–"/>
      <w:lvlJc w:val="left"/>
      <w:pPr>
        <w:tabs>
          <w:tab w:val="num" w:pos="3600"/>
        </w:tabs>
        <w:ind w:left="3600" w:hanging="360"/>
      </w:pPr>
      <w:rPr>
        <w:rFonts w:ascii="Arial" w:hAnsi="Arial" w:hint="default"/>
      </w:rPr>
    </w:lvl>
    <w:lvl w:ilvl="5" w:tplc="8DFC9F5C" w:tentative="1">
      <w:start w:val="1"/>
      <w:numFmt w:val="bullet"/>
      <w:lvlText w:val="–"/>
      <w:lvlJc w:val="left"/>
      <w:pPr>
        <w:tabs>
          <w:tab w:val="num" w:pos="4320"/>
        </w:tabs>
        <w:ind w:left="4320" w:hanging="360"/>
      </w:pPr>
      <w:rPr>
        <w:rFonts w:ascii="Arial" w:hAnsi="Arial" w:hint="default"/>
      </w:rPr>
    </w:lvl>
    <w:lvl w:ilvl="6" w:tplc="17F6B892" w:tentative="1">
      <w:start w:val="1"/>
      <w:numFmt w:val="bullet"/>
      <w:lvlText w:val="–"/>
      <w:lvlJc w:val="left"/>
      <w:pPr>
        <w:tabs>
          <w:tab w:val="num" w:pos="5040"/>
        </w:tabs>
        <w:ind w:left="5040" w:hanging="360"/>
      </w:pPr>
      <w:rPr>
        <w:rFonts w:ascii="Arial" w:hAnsi="Arial" w:hint="default"/>
      </w:rPr>
    </w:lvl>
    <w:lvl w:ilvl="7" w:tplc="68D07AFE" w:tentative="1">
      <w:start w:val="1"/>
      <w:numFmt w:val="bullet"/>
      <w:lvlText w:val="–"/>
      <w:lvlJc w:val="left"/>
      <w:pPr>
        <w:tabs>
          <w:tab w:val="num" w:pos="5760"/>
        </w:tabs>
        <w:ind w:left="5760" w:hanging="360"/>
      </w:pPr>
      <w:rPr>
        <w:rFonts w:ascii="Arial" w:hAnsi="Arial" w:hint="default"/>
      </w:rPr>
    </w:lvl>
    <w:lvl w:ilvl="8" w:tplc="E5A45B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FA1F1F"/>
    <w:multiLevelType w:val="hybridMultilevel"/>
    <w:tmpl w:val="63B6A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4E49FA"/>
    <w:multiLevelType w:val="hybridMultilevel"/>
    <w:tmpl w:val="7840BAA4"/>
    <w:lvl w:ilvl="0" w:tplc="955C506C">
      <w:start w:val="1"/>
      <w:numFmt w:val="bullet"/>
      <w:lvlText w:val="•"/>
      <w:lvlJc w:val="left"/>
      <w:pPr>
        <w:tabs>
          <w:tab w:val="num" w:pos="720"/>
        </w:tabs>
        <w:ind w:left="720" w:hanging="360"/>
      </w:pPr>
      <w:rPr>
        <w:rFonts w:ascii="Arial" w:hAnsi="Arial" w:hint="default"/>
      </w:rPr>
    </w:lvl>
    <w:lvl w:ilvl="1" w:tplc="CC8CB280">
      <w:start w:val="51"/>
      <w:numFmt w:val="bullet"/>
      <w:lvlText w:val="–"/>
      <w:lvlJc w:val="left"/>
      <w:pPr>
        <w:tabs>
          <w:tab w:val="num" w:pos="1440"/>
        </w:tabs>
        <w:ind w:left="1440" w:hanging="360"/>
      </w:pPr>
      <w:rPr>
        <w:rFonts w:ascii="Arial" w:hAnsi="Arial" w:hint="default"/>
      </w:rPr>
    </w:lvl>
    <w:lvl w:ilvl="2" w:tplc="7B608D62" w:tentative="1">
      <w:start w:val="1"/>
      <w:numFmt w:val="bullet"/>
      <w:lvlText w:val="•"/>
      <w:lvlJc w:val="left"/>
      <w:pPr>
        <w:tabs>
          <w:tab w:val="num" w:pos="2160"/>
        </w:tabs>
        <w:ind w:left="2160" w:hanging="360"/>
      </w:pPr>
      <w:rPr>
        <w:rFonts w:ascii="Arial" w:hAnsi="Arial" w:hint="default"/>
      </w:rPr>
    </w:lvl>
    <w:lvl w:ilvl="3" w:tplc="767034C4" w:tentative="1">
      <w:start w:val="1"/>
      <w:numFmt w:val="bullet"/>
      <w:lvlText w:val="•"/>
      <w:lvlJc w:val="left"/>
      <w:pPr>
        <w:tabs>
          <w:tab w:val="num" w:pos="2880"/>
        </w:tabs>
        <w:ind w:left="2880" w:hanging="360"/>
      </w:pPr>
      <w:rPr>
        <w:rFonts w:ascii="Arial" w:hAnsi="Arial" w:hint="default"/>
      </w:rPr>
    </w:lvl>
    <w:lvl w:ilvl="4" w:tplc="A5E6F8E6" w:tentative="1">
      <w:start w:val="1"/>
      <w:numFmt w:val="bullet"/>
      <w:lvlText w:val="•"/>
      <w:lvlJc w:val="left"/>
      <w:pPr>
        <w:tabs>
          <w:tab w:val="num" w:pos="3600"/>
        </w:tabs>
        <w:ind w:left="3600" w:hanging="360"/>
      </w:pPr>
      <w:rPr>
        <w:rFonts w:ascii="Arial" w:hAnsi="Arial" w:hint="default"/>
      </w:rPr>
    </w:lvl>
    <w:lvl w:ilvl="5" w:tplc="23C0C7E2" w:tentative="1">
      <w:start w:val="1"/>
      <w:numFmt w:val="bullet"/>
      <w:lvlText w:val="•"/>
      <w:lvlJc w:val="left"/>
      <w:pPr>
        <w:tabs>
          <w:tab w:val="num" w:pos="4320"/>
        </w:tabs>
        <w:ind w:left="4320" w:hanging="360"/>
      </w:pPr>
      <w:rPr>
        <w:rFonts w:ascii="Arial" w:hAnsi="Arial" w:hint="default"/>
      </w:rPr>
    </w:lvl>
    <w:lvl w:ilvl="6" w:tplc="DC064F48" w:tentative="1">
      <w:start w:val="1"/>
      <w:numFmt w:val="bullet"/>
      <w:lvlText w:val="•"/>
      <w:lvlJc w:val="left"/>
      <w:pPr>
        <w:tabs>
          <w:tab w:val="num" w:pos="5040"/>
        </w:tabs>
        <w:ind w:left="5040" w:hanging="360"/>
      </w:pPr>
      <w:rPr>
        <w:rFonts w:ascii="Arial" w:hAnsi="Arial" w:hint="default"/>
      </w:rPr>
    </w:lvl>
    <w:lvl w:ilvl="7" w:tplc="F954B030" w:tentative="1">
      <w:start w:val="1"/>
      <w:numFmt w:val="bullet"/>
      <w:lvlText w:val="•"/>
      <w:lvlJc w:val="left"/>
      <w:pPr>
        <w:tabs>
          <w:tab w:val="num" w:pos="5760"/>
        </w:tabs>
        <w:ind w:left="5760" w:hanging="360"/>
      </w:pPr>
      <w:rPr>
        <w:rFonts w:ascii="Arial" w:hAnsi="Arial" w:hint="default"/>
      </w:rPr>
    </w:lvl>
    <w:lvl w:ilvl="8" w:tplc="C4BC0A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906A67"/>
    <w:multiLevelType w:val="hybridMultilevel"/>
    <w:tmpl w:val="6354F3F6"/>
    <w:lvl w:ilvl="0" w:tplc="B8481520">
      <w:start w:val="1"/>
      <w:numFmt w:val="bullet"/>
      <w:lvlText w:val="–"/>
      <w:lvlJc w:val="left"/>
      <w:pPr>
        <w:tabs>
          <w:tab w:val="num" w:pos="720"/>
        </w:tabs>
        <w:ind w:left="720" w:hanging="360"/>
      </w:pPr>
      <w:rPr>
        <w:rFonts w:ascii="Arial" w:hAnsi="Arial" w:hint="default"/>
      </w:rPr>
    </w:lvl>
    <w:lvl w:ilvl="1" w:tplc="E53835E4">
      <w:start w:val="1"/>
      <w:numFmt w:val="bullet"/>
      <w:lvlText w:val="–"/>
      <w:lvlJc w:val="left"/>
      <w:pPr>
        <w:tabs>
          <w:tab w:val="num" w:pos="1440"/>
        </w:tabs>
        <w:ind w:left="1440" w:hanging="360"/>
      </w:pPr>
      <w:rPr>
        <w:rFonts w:ascii="Arial" w:hAnsi="Arial" w:hint="default"/>
      </w:rPr>
    </w:lvl>
    <w:lvl w:ilvl="2" w:tplc="C06464DC" w:tentative="1">
      <w:start w:val="1"/>
      <w:numFmt w:val="bullet"/>
      <w:lvlText w:val="–"/>
      <w:lvlJc w:val="left"/>
      <w:pPr>
        <w:tabs>
          <w:tab w:val="num" w:pos="2160"/>
        </w:tabs>
        <w:ind w:left="2160" w:hanging="360"/>
      </w:pPr>
      <w:rPr>
        <w:rFonts w:ascii="Arial" w:hAnsi="Arial" w:hint="default"/>
      </w:rPr>
    </w:lvl>
    <w:lvl w:ilvl="3" w:tplc="D8EEC262" w:tentative="1">
      <w:start w:val="1"/>
      <w:numFmt w:val="bullet"/>
      <w:lvlText w:val="–"/>
      <w:lvlJc w:val="left"/>
      <w:pPr>
        <w:tabs>
          <w:tab w:val="num" w:pos="2880"/>
        </w:tabs>
        <w:ind w:left="2880" w:hanging="360"/>
      </w:pPr>
      <w:rPr>
        <w:rFonts w:ascii="Arial" w:hAnsi="Arial" w:hint="default"/>
      </w:rPr>
    </w:lvl>
    <w:lvl w:ilvl="4" w:tplc="9A0AE69A" w:tentative="1">
      <w:start w:val="1"/>
      <w:numFmt w:val="bullet"/>
      <w:lvlText w:val="–"/>
      <w:lvlJc w:val="left"/>
      <w:pPr>
        <w:tabs>
          <w:tab w:val="num" w:pos="3600"/>
        </w:tabs>
        <w:ind w:left="3600" w:hanging="360"/>
      </w:pPr>
      <w:rPr>
        <w:rFonts w:ascii="Arial" w:hAnsi="Arial" w:hint="default"/>
      </w:rPr>
    </w:lvl>
    <w:lvl w:ilvl="5" w:tplc="3374736A" w:tentative="1">
      <w:start w:val="1"/>
      <w:numFmt w:val="bullet"/>
      <w:lvlText w:val="–"/>
      <w:lvlJc w:val="left"/>
      <w:pPr>
        <w:tabs>
          <w:tab w:val="num" w:pos="4320"/>
        </w:tabs>
        <w:ind w:left="4320" w:hanging="360"/>
      </w:pPr>
      <w:rPr>
        <w:rFonts w:ascii="Arial" w:hAnsi="Arial" w:hint="default"/>
      </w:rPr>
    </w:lvl>
    <w:lvl w:ilvl="6" w:tplc="453694B4" w:tentative="1">
      <w:start w:val="1"/>
      <w:numFmt w:val="bullet"/>
      <w:lvlText w:val="–"/>
      <w:lvlJc w:val="left"/>
      <w:pPr>
        <w:tabs>
          <w:tab w:val="num" w:pos="5040"/>
        </w:tabs>
        <w:ind w:left="5040" w:hanging="360"/>
      </w:pPr>
      <w:rPr>
        <w:rFonts w:ascii="Arial" w:hAnsi="Arial" w:hint="default"/>
      </w:rPr>
    </w:lvl>
    <w:lvl w:ilvl="7" w:tplc="29866AD4" w:tentative="1">
      <w:start w:val="1"/>
      <w:numFmt w:val="bullet"/>
      <w:lvlText w:val="–"/>
      <w:lvlJc w:val="left"/>
      <w:pPr>
        <w:tabs>
          <w:tab w:val="num" w:pos="5760"/>
        </w:tabs>
        <w:ind w:left="5760" w:hanging="360"/>
      </w:pPr>
      <w:rPr>
        <w:rFonts w:ascii="Arial" w:hAnsi="Arial" w:hint="default"/>
      </w:rPr>
    </w:lvl>
    <w:lvl w:ilvl="8" w:tplc="C42451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1937A0"/>
    <w:multiLevelType w:val="hybridMultilevel"/>
    <w:tmpl w:val="F7C86A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7893E36"/>
    <w:multiLevelType w:val="hybridMultilevel"/>
    <w:tmpl w:val="2D7694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7"/>
  </w:num>
  <w:num w:numId="6">
    <w:abstractNumId w:val="8"/>
  </w:num>
  <w:num w:numId="7">
    <w:abstractNumId w:val="9"/>
  </w:num>
  <w:num w:numId="8">
    <w:abstractNumId w:val="10"/>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en-ZA" w:vendorID="64" w:dllVersion="131078" w:nlCheck="1" w:checkStyle="0"/>
  <w:activeWritingStyle w:appName="MSWord" w:lang="fr-FR" w:vendorID="64" w:dllVersion="131078" w:nlCheck="1" w:checkStyle="0"/>
  <w:activeWritingStyle w:appName="MSWord" w:lang="en-GB" w:vendorID="64" w:dllVersion="131078" w:nlCheck="1" w:checkStyle="0"/>
  <w:trackRevisions/>
  <w:defaultTabStop w:val="720"/>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29"/>
    <w:rsid w:val="00000009"/>
    <w:rsid w:val="0000290E"/>
    <w:rsid w:val="00004131"/>
    <w:rsid w:val="0000771D"/>
    <w:rsid w:val="00012620"/>
    <w:rsid w:val="00012EAE"/>
    <w:rsid w:val="0001618F"/>
    <w:rsid w:val="000200BC"/>
    <w:rsid w:val="0002257D"/>
    <w:rsid w:val="00027BD7"/>
    <w:rsid w:val="00027FFA"/>
    <w:rsid w:val="00031D68"/>
    <w:rsid w:val="000331B8"/>
    <w:rsid w:val="00040125"/>
    <w:rsid w:val="00041AEB"/>
    <w:rsid w:val="00043894"/>
    <w:rsid w:val="00045292"/>
    <w:rsid w:val="00050955"/>
    <w:rsid w:val="0005260F"/>
    <w:rsid w:val="00055559"/>
    <w:rsid w:val="00055E81"/>
    <w:rsid w:val="00056E7A"/>
    <w:rsid w:val="0005742C"/>
    <w:rsid w:val="00064EC3"/>
    <w:rsid w:val="000655B6"/>
    <w:rsid w:val="000665DD"/>
    <w:rsid w:val="00070640"/>
    <w:rsid w:val="00070EF6"/>
    <w:rsid w:val="00071398"/>
    <w:rsid w:val="000714FC"/>
    <w:rsid w:val="00071CF7"/>
    <w:rsid w:val="00072F70"/>
    <w:rsid w:val="00073AD6"/>
    <w:rsid w:val="0007545D"/>
    <w:rsid w:val="00075A99"/>
    <w:rsid w:val="00075D94"/>
    <w:rsid w:val="0007757E"/>
    <w:rsid w:val="00077B69"/>
    <w:rsid w:val="00080010"/>
    <w:rsid w:val="00080263"/>
    <w:rsid w:val="000821E8"/>
    <w:rsid w:val="00085ABF"/>
    <w:rsid w:val="00085EAB"/>
    <w:rsid w:val="0008799D"/>
    <w:rsid w:val="00090B8D"/>
    <w:rsid w:val="00094573"/>
    <w:rsid w:val="00096066"/>
    <w:rsid w:val="00096257"/>
    <w:rsid w:val="000967D6"/>
    <w:rsid w:val="00096803"/>
    <w:rsid w:val="00097F16"/>
    <w:rsid w:val="000A2299"/>
    <w:rsid w:val="000A27D1"/>
    <w:rsid w:val="000A2CFB"/>
    <w:rsid w:val="000A6ECC"/>
    <w:rsid w:val="000B102A"/>
    <w:rsid w:val="000C069D"/>
    <w:rsid w:val="000C0E97"/>
    <w:rsid w:val="000C2480"/>
    <w:rsid w:val="000C2694"/>
    <w:rsid w:val="000C3997"/>
    <w:rsid w:val="000C517F"/>
    <w:rsid w:val="000C633D"/>
    <w:rsid w:val="000D16E2"/>
    <w:rsid w:val="000D2357"/>
    <w:rsid w:val="000D3B20"/>
    <w:rsid w:val="000D4297"/>
    <w:rsid w:val="000D5CC1"/>
    <w:rsid w:val="000D662C"/>
    <w:rsid w:val="000E14D8"/>
    <w:rsid w:val="000E2265"/>
    <w:rsid w:val="000E5892"/>
    <w:rsid w:val="000E6194"/>
    <w:rsid w:val="000E786F"/>
    <w:rsid w:val="000F0228"/>
    <w:rsid w:val="000F052B"/>
    <w:rsid w:val="000F085B"/>
    <w:rsid w:val="000F428F"/>
    <w:rsid w:val="000F5F86"/>
    <w:rsid w:val="000F6381"/>
    <w:rsid w:val="000F6659"/>
    <w:rsid w:val="00105922"/>
    <w:rsid w:val="001059B5"/>
    <w:rsid w:val="00106B1E"/>
    <w:rsid w:val="00107F32"/>
    <w:rsid w:val="00112813"/>
    <w:rsid w:val="00113F56"/>
    <w:rsid w:val="00114593"/>
    <w:rsid w:val="00116025"/>
    <w:rsid w:val="00120AA1"/>
    <w:rsid w:val="0012209D"/>
    <w:rsid w:val="00122DC8"/>
    <w:rsid w:val="00123D89"/>
    <w:rsid w:val="00124A62"/>
    <w:rsid w:val="001310AF"/>
    <w:rsid w:val="001312A1"/>
    <w:rsid w:val="001319F2"/>
    <w:rsid w:val="00131CB6"/>
    <w:rsid w:val="00133041"/>
    <w:rsid w:val="00133827"/>
    <w:rsid w:val="00133A4C"/>
    <w:rsid w:val="00133E1C"/>
    <w:rsid w:val="0013538D"/>
    <w:rsid w:val="001527A9"/>
    <w:rsid w:val="00154E88"/>
    <w:rsid w:val="00156A87"/>
    <w:rsid w:val="001617A5"/>
    <w:rsid w:val="00162BBC"/>
    <w:rsid w:val="001652BB"/>
    <w:rsid w:val="001666D4"/>
    <w:rsid w:val="001701E4"/>
    <w:rsid w:val="00170459"/>
    <w:rsid w:val="001723A4"/>
    <w:rsid w:val="00173EBA"/>
    <w:rsid w:val="00174139"/>
    <w:rsid w:val="00174D48"/>
    <w:rsid w:val="00176CEB"/>
    <w:rsid w:val="00180FE3"/>
    <w:rsid w:val="00181643"/>
    <w:rsid w:val="001823B7"/>
    <w:rsid w:val="001827CF"/>
    <w:rsid w:val="00182BC0"/>
    <w:rsid w:val="00184598"/>
    <w:rsid w:val="0018714C"/>
    <w:rsid w:val="00191A69"/>
    <w:rsid w:val="00191C69"/>
    <w:rsid w:val="00195471"/>
    <w:rsid w:val="001969CC"/>
    <w:rsid w:val="001A7BCB"/>
    <w:rsid w:val="001B061E"/>
    <w:rsid w:val="001B0BA0"/>
    <w:rsid w:val="001B1FF7"/>
    <w:rsid w:val="001B2324"/>
    <w:rsid w:val="001C1C4B"/>
    <w:rsid w:val="001C2CF8"/>
    <w:rsid w:val="001C4F2E"/>
    <w:rsid w:val="001C730B"/>
    <w:rsid w:val="001D021B"/>
    <w:rsid w:val="001D094C"/>
    <w:rsid w:val="001D351C"/>
    <w:rsid w:val="001D40C0"/>
    <w:rsid w:val="001D6570"/>
    <w:rsid w:val="001E27FB"/>
    <w:rsid w:val="001E3377"/>
    <w:rsid w:val="001E3E6E"/>
    <w:rsid w:val="001E6115"/>
    <w:rsid w:val="001F0C0E"/>
    <w:rsid w:val="001F2310"/>
    <w:rsid w:val="001F3376"/>
    <w:rsid w:val="001F3D66"/>
    <w:rsid w:val="00200991"/>
    <w:rsid w:val="00201159"/>
    <w:rsid w:val="00204244"/>
    <w:rsid w:val="00204BEF"/>
    <w:rsid w:val="00205AF2"/>
    <w:rsid w:val="00212AED"/>
    <w:rsid w:val="00220085"/>
    <w:rsid w:val="00222740"/>
    <w:rsid w:val="00222D3B"/>
    <w:rsid w:val="0022450A"/>
    <w:rsid w:val="00225063"/>
    <w:rsid w:val="002305CC"/>
    <w:rsid w:val="0023391A"/>
    <w:rsid w:val="002405E0"/>
    <w:rsid w:val="002421C2"/>
    <w:rsid w:val="00243A82"/>
    <w:rsid w:val="00243E22"/>
    <w:rsid w:val="0024706B"/>
    <w:rsid w:val="00252154"/>
    <w:rsid w:val="002534AF"/>
    <w:rsid w:val="00261605"/>
    <w:rsid w:val="00264F9B"/>
    <w:rsid w:val="00265BD5"/>
    <w:rsid w:val="00265E96"/>
    <w:rsid w:val="00266991"/>
    <w:rsid w:val="00270955"/>
    <w:rsid w:val="002718E9"/>
    <w:rsid w:val="00271CF5"/>
    <w:rsid w:val="00272151"/>
    <w:rsid w:val="002748AB"/>
    <w:rsid w:val="0027583B"/>
    <w:rsid w:val="00283B9E"/>
    <w:rsid w:val="0029044A"/>
    <w:rsid w:val="00290B8A"/>
    <w:rsid w:val="00291196"/>
    <w:rsid w:val="002948EB"/>
    <w:rsid w:val="002A0456"/>
    <w:rsid w:val="002A0E8C"/>
    <w:rsid w:val="002A4062"/>
    <w:rsid w:val="002B02DF"/>
    <w:rsid w:val="002B0C2B"/>
    <w:rsid w:val="002B4CC4"/>
    <w:rsid w:val="002B591B"/>
    <w:rsid w:val="002B5D65"/>
    <w:rsid w:val="002C09AA"/>
    <w:rsid w:val="002C159D"/>
    <w:rsid w:val="002C54B5"/>
    <w:rsid w:val="002C590A"/>
    <w:rsid w:val="002C61D4"/>
    <w:rsid w:val="002C7150"/>
    <w:rsid w:val="002D100D"/>
    <w:rsid w:val="002D1C97"/>
    <w:rsid w:val="002D70AD"/>
    <w:rsid w:val="002E45AC"/>
    <w:rsid w:val="002E4F0A"/>
    <w:rsid w:val="002E5B66"/>
    <w:rsid w:val="002E6567"/>
    <w:rsid w:val="002E77BD"/>
    <w:rsid w:val="002E7D21"/>
    <w:rsid w:val="002F20D3"/>
    <w:rsid w:val="002F264D"/>
    <w:rsid w:val="002F43F1"/>
    <w:rsid w:val="002F45CE"/>
    <w:rsid w:val="0030212B"/>
    <w:rsid w:val="00302533"/>
    <w:rsid w:val="00302876"/>
    <w:rsid w:val="00307138"/>
    <w:rsid w:val="003104CE"/>
    <w:rsid w:val="00310E36"/>
    <w:rsid w:val="0031357E"/>
    <w:rsid w:val="00314840"/>
    <w:rsid w:val="00314A59"/>
    <w:rsid w:val="00317D59"/>
    <w:rsid w:val="00317EF9"/>
    <w:rsid w:val="00321260"/>
    <w:rsid w:val="00321748"/>
    <w:rsid w:val="00321F1F"/>
    <w:rsid w:val="00322E46"/>
    <w:rsid w:val="00323641"/>
    <w:rsid w:val="003262C2"/>
    <w:rsid w:val="00331104"/>
    <w:rsid w:val="003318F2"/>
    <w:rsid w:val="00332B78"/>
    <w:rsid w:val="00333023"/>
    <w:rsid w:val="00333F2B"/>
    <w:rsid w:val="003348AC"/>
    <w:rsid w:val="00334C31"/>
    <w:rsid w:val="0033617E"/>
    <w:rsid w:val="00336608"/>
    <w:rsid w:val="003406DD"/>
    <w:rsid w:val="003409DE"/>
    <w:rsid w:val="00343AD4"/>
    <w:rsid w:val="003466B9"/>
    <w:rsid w:val="0035606D"/>
    <w:rsid w:val="0036003E"/>
    <w:rsid w:val="00361EB2"/>
    <w:rsid w:val="00364F9C"/>
    <w:rsid w:val="003679A6"/>
    <w:rsid w:val="00367A5F"/>
    <w:rsid w:val="003739A1"/>
    <w:rsid w:val="00373EE5"/>
    <w:rsid w:val="003758FF"/>
    <w:rsid w:val="00376A17"/>
    <w:rsid w:val="003808FD"/>
    <w:rsid w:val="00380978"/>
    <w:rsid w:val="003841E8"/>
    <w:rsid w:val="003842D0"/>
    <w:rsid w:val="00384E34"/>
    <w:rsid w:val="003875B2"/>
    <w:rsid w:val="00391EE7"/>
    <w:rsid w:val="003948A3"/>
    <w:rsid w:val="00397A2F"/>
    <w:rsid w:val="00397D59"/>
    <w:rsid w:val="003A0D34"/>
    <w:rsid w:val="003A4B71"/>
    <w:rsid w:val="003B7D74"/>
    <w:rsid w:val="003C25EE"/>
    <w:rsid w:val="003C636C"/>
    <w:rsid w:val="003C6786"/>
    <w:rsid w:val="003D1243"/>
    <w:rsid w:val="003D15E1"/>
    <w:rsid w:val="003D3FDA"/>
    <w:rsid w:val="003D5265"/>
    <w:rsid w:val="003D6388"/>
    <w:rsid w:val="003D71D4"/>
    <w:rsid w:val="003E44B5"/>
    <w:rsid w:val="003E4622"/>
    <w:rsid w:val="003E56DF"/>
    <w:rsid w:val="003E5C20"/>
    <w:rsid w:val="003E6E8E"/>
    <w:rsid w:val="003F2B72"/>
    <w:rsid w:val="003F3417"/>
    <w:rsid w:val="003F44E5"/>
    <w:rsid w:val="00403745"/>
    <w:rsid w:val="0041003A"/>
    <w:rsid w:val="00413331"/>
    <w:rsid w:val="00414614"/>
    <w:rsid w:val="00416123"/>
    <w:rsid w:val="00420AD5"/>
    <w:rsid w:val="00420FF7"/>
    <w:rsid w:val="0042306F"/>
    <w:rsid w:val="004242FF"/>
    <w:rsid w:val="004248CD"/>
    <w:rsid w:val="004267A6"/>
    <w:rsid w:val="00426ED2"/>
    <w:rsid w:val="00436FBE"/>
    <w:rsid w:val="00440CDC"/>
    <w:rsid w:val="00442D8A"/>
    <w:rsid w:val="0044327B"/>
    <w:rsid w:val="00445900"/>
    <w:rsid w:val="004459BA"/>
    <w:rsid w:val="004473E2"/>
    <w:rsid w:val="00450254"/>
    <w:rsid w:val="004512C8"/>
    <w:rsid w:val="004528F5"/>
    <w:rsid w:val="004550D2"/>
    <w:rsid w:val="00455E8F"/>
    <w:rsid w:val="0045735F"/>
    <w:rsid w:val="004577A7"/>
    <w:rsid w:val="00462ED1"/>
    <w:rsid w:val="00467FF8"/>
    <w:rsid w:val="00471296"/>
    <w:rsid w:val="00471A99"/>
    <w:rsid w:val="0047518D"/>
    <w:rsid w:val="0047596C"/>
    <w:rsid w:val="00475B6F"/>
    <w:rsid w:val="00476B82"/>
    <w:rsid w:val="00476F76"/>
    <w:rsid w:val="004817ED"/>
    <w:rsid w:val="004831E5"/>
    <w:rsid w:val="004832E0"/>
    <w:rsid w:val="004874CE"/>
    <w:rsid w:val="00487A3A"/>
    <w:rsid w:val="00487E2B"/>
    <w:rsid w:val="004935C3"/>
    <w:rsid w:val="004A2083"/>
    <w:rsid w:val="004A4D78"/>
    <w:rsid w:val="004A4E06"/>
    <w:rsid w:val="004A63F3"/>
    <w:rsid w:val="004A7165"/>
    <w:rsid w:val="004A7826"/>
    <w:rsid w:val="004B1FD2"/>
    <w:rsid w:val="004B372B"/>
    <w:rsid w:val="004C4F6D"/>
    <w:rsid w:val="004C6482"/>
    <w:rsid w:val="004D0520"/>
    <w:rsid w:val="004D267F"/>
    <w:rsid w:val="004D3920"/>
    <w:rsid w:val="004D48EB"/>
    <w:rsid w:val="004D7978"/>
    <w:rsid w:val="004E34AC"/>
    <w:rsid w:val="004E3C4E"/>
    <w:rsid w:val="004E4ED4"/>
    <w:rsid w:val="004E4FE0"/>
    <w:rsid w:val="004F02B8"/>
    <w:rsid w:val="004F426D"/>
    <w:rsid w:val="00502B51"/>
    <w:rsid w:val="00503396"/>
    <w:rsid w:val="00505572"/>
    <w:rsid w:val="0050781C"/>
    <w:rsid w:val="005122CE"/>
    <w:rsid w:val="005128A2"/>
    <w:rsid w:val="005146F9"/>
    <w:rsid w:val="0051487B"/>
    <w:rsid w:val="005150C3"/>
    <w:rsid w:val="0052279F"/>
    <w:rsid w:val="00522876"/>
    <w:rsid w:val="005249A8"/>
    <w:rsid w:val="00525954"/>
    <w:rsid w:val="00526C0B"/>
    <w:rsid w:val="00533FB4"/>
    <w:rsid w:val="00536736"/>
    <w:rsid w:val="00536C49"/>
    <w:rsid w:val="00540185"/>
    <w:rsid w:val="00541190"/>
    <w:rsid w:val="00541CF1"/>
    <w:rsid w:val="00546CC3"/>
    <w:rsid w:val="00547AAA"/>
    <w:rsid w:val="00551C42"/>
    <w:rsid w:val="00552270"/>
    <w:rsid w:val="005524DD"/>
    <w:rsid w:val="0055448F"/>
    <w:rsid w:val="00554B44"/>
    <w:rsid w:val="005557F2"/>
    <w:rsid w:val="005608BB"/>
    <w:rsid w:val="00570663"/>
    <w:rsid w:val="00571E54"/>
    <w:rsid w:val="00573909"/>
    <w:rsid w:val="00576490"/>
    <w:rsid w:val="005771D5"/>
    <w:rsid w:val="005803A4"/>
    <w:rsid w:val="005814D4"/>
    <w:rsid w:val="005848D1"/>
    <w:rsid w:val="005849CF"/>
    <w:rsid w:val="005853CD"/>
    <w:rsid w:val="005859BE"/>
    <w:rsid w:val="00586CD3"/>
    <w:rsid w:val="00587C52"/>
    <w:rsid w:val="00587D5C"/>
    <w:rsid w:val="00590BCB"/>
    <w:rsid w:val="00591CD9"/>
    <w:rsid w:val="00591D5B"/>
    <w:rsid w:val="00593A9D"/>
    <w:rsid w:val="00597745"/>
    <w:rsid w:val="005A4488"/>
    <w:rsid w:val="005A5C0B"/>
    <w:rsid w:val="005A6D73"/>
    <w:rsid w:val="005A70AD"/>
    <w:rsid w:val="005A79C4"/>
    <w:rsid w:val="005B37BA"/>
    <w:rsid w:val="005B509E"/>
    <w:rsid w:val="005B5D32"/>
    <w:rsid w:val="005B6D9B"/>
    <w:rsid w:val="005B7458"/>
    <w:rsid w:val="005B7A62"/>
    <w:rsid w:val="005C16DE"/>
    <w:rsid w:val="005C22A5"/>
    <w:rsid w:val="005C4502"/>
    <w:rsid w:val="005C7337"/>
    <w:rsid w:val="005C7D31"/>
    <w:rsid w:val="005D0F2B"/>
    <w:rsid w:val="005D0FB6"/>
    <w:rsid w:val="005D1630"/>
    <w:rsid w:val="005D41DB"/>
    <w:rsid w:val="005D4C41"/>
    <w:rsid w:val="005D7213"/>
    <w:rsid w:val="005E011A"/>
    <w:rsid w:val="005E2219"/>
    <w:rsid w:val="005E4C3A"/>
    <w:rsid w:val="005E50E0"/>
    <w:rsid w:val="005E5793"/>
    <w:rsid w:val="005E7242"/>
    <w:rsid w:val="005F059A"/>
    <w:rsid w:val="005F0D14"/>
    <w:rsid w:val="005F48E2"/>
    <w:rsid w:val="005F68E9"/>
    <w:rsid w:val="005F74F4"/>
    <w:rsid w:val="00604C62"/>
    <w:rsid w:val="00610530"/>
    <w:rsid w:val="00611DFE"/>
    <w:rsid w:val="00612967"/>
    <w:rsid w:val="00612F75"/>
    <w:rsid w:val="006139E4"/>
    <w:rsid w:val="00613F57"/>
    <w:rsid w:val="00614A29"/>
    <w:rsid w:val="00614A41"/>
    <w:rsid w:val="006224A8"/>
    <w:rsid w:val="006231C3"/>
    <w:rsid w:val="00627136"/>
    <w:rsid w:val="006278D5"/>
    <w:rsid w:val="0063373C"/>
    <w:rsid w:val="00633FA2"/>
    <w:rsid w:val="00637C8D"/>
    <w:rsid w:val="0064302F"/>
    <w:rsid w:val="00646BCF"/>
    <w:rsid w:val="00646D52"/>
    <w:rsid w:val="0064741D"/>
    <w:rsid w:val="0065148C"/>
    <w:rsid w:val="00651A91"/>
    <w:rsid w:val="00653F12"/>
    <w:rsid w:val="00656082"/>
    <w:rsid w:val="00657E49"/>
    <w:rsid w:val="00660311"/>
    <w:rsid w:val="006746A8"/>
    <w:rsid w:val="00681EF9"/>
    <w:rsid w:val="0068247F"/>
    <w:rsid w:val="006828F0"/>
    <w:rsid w:val="006863C3"/>
    <w:rsid w:val="00686588"/>
    <w:rsid w:val="00686BFA"/>
    <w:rsid w:val="00690D65"/>
    <w:rsid w:val="00690DF5"/>
    <w:rsid w:val="00691B52"/>
    <w:rsid w:val="00695FFD"/>
    <w:rsid w:val="006963AE"/>
    <w:rsid w:val="006A0BF7"/>
    <w:rsid w:val="006A2D9E"/>
    <w:rsid w:val="006A377F"/>
    <w:rsid w:val="006A4AFA"/>
    <w:rsid w:val="006A6416"/>
    <w:rsid w:val="006A6749"/>
    <w:rsid w:val="006B0013"/>
    <w:rsid w:val="006B03DD"/>
    <w:rsid w:val="006B1F74"/>
    <w:rsid w:val="006B767B"/>
    <w:rsid w:val="006B7780"/>
    <w:rsid w:val="006C31CC"/>
    <w:rsid w:val="006C5AB6"/>
    <w:rsid w:val="006D16D7"/>
    <w:rsid w:val="006D18AA"/>
    <w:rsid w:val="006D3226"/>
    <w:rsid w:val="006D36F7"/>
    <w:rsid w:val="006D4421"/>
    <w:rsid w:val="006D7392"/>
    <w:rsid w:val="006D7498"/>
    <w:rsid w:val="006E57CA"/>
    <w:rsid w:val="006E73E1"/>
    <w:rsid w:val="006F1589"/>
    <w:rsid w:val="006F18E1"/>
    <w:rsid w:val="006F3726"/>
    <w:rsid w:val="006F388A"/>
    <w:rsid w:val="006F5F8D"/>
    <w:rsid w:val="007016D9"/>
    <w:rsid w:val="0070566F"/>
    <w:rsid w:val="00707D61"/>
    <w:rsid w:val="00710904"/>
    <w:rsid w:val="007113F2"/>
    <w:rsid w:val="00711A34"/>
    <w:rsid w:val="00712156"/>
    <w:rsid w:val="00713802"/>
    <w:rsid w:val="007152FE"/>
    <w:rsid w:val="00716107"/>
    <w:rsid w:val="007167A1"/>
    <w:rsid w:val="0071761D"/>
    <w:rsid w:val="0071781A"/>
    <w:rsid w:val="007179D4"/>
    <w:rsid w:val="00717EA9"/>
    <w:rsid w:val="00721060"/>
    <w:rsid w:val="007223A9"/>
    <w:rsid w:val="00722C29"/>
    <w:rsid w:val="00727BA7"/>
    <w:rsid w:val="007315DB"/>
    <w:rsid w:val="007336E7"/>
    <w:rsid w:val="00735E76"/>
    <w:rsid w:val="00740200"/>
    <w:rsid w:val="00746DB6"/>
    <w:rsid w:val="0074784A"/>
    <w:rsid w:val="007529C5"/>
    <w:rsid w:val="00752F31"/>
    <w:rsid w:val="00755250"/>
    <w:rsid w:val="00763C06"/>
    <w:rsid w:val="00766456"/>
    <w:rsid w:val="0076796B"/>
    <w:rsid w:val="00772C27"/>
    <w:rsid w:val="0077616E"/>
    <w:rsid w:val="00776BDF"/>
    <w:rsid w:val="00781629"/>
    <w:rsid w:val="00794D1C"/>
    <w:rsid w:val="00794D86"/>
    <w:rsid w:val="00794DB3"/>
    <w:rsid w:val="007A0267"/>
    <w:rsid w:val="007A1D68"/>
    <w:rsid w:val="007A336F"/>
    <w:rsid w:val="007A6BDD"/>
    <w:rsid w:val="007B4E50"/>
    <w:rsid w:val="007C0B24"/>
    <w:rsid w:val="007C3B65"/>
    <w:rsid w:val="007C5626"/>
    <w:rsid w:val="007D2191"/>
    <w:rsid w:val="007D54B8"/>
    <w:rsid w:val="007D688A"/>
    <w:rsid w:val="007D6E6C"/>
    <w:rsid w:val="007D768C"/>
    <w:rsid w:val="007E1504"/>
    <w:rsid w:val="007E1926"/>
    <w:rsid w:val="007E2E27"/>
    <w:rsid w:val="007E36FA"/>
    <w:rsid w:val="007E45E7"/>
    <w:rsid w:val="007E5461"/>
    <w:rsid w:val="007F10AA"/>
    <w:rsid w:val="007F10B9"/>
    <w:rsid w:val="00801780"/>
    <w:rsid w:val="00801EC2"/>
    <w:rsid w:val="0080453B"/>
    <w:rsid w:val="00804B88"/>
    <w:rsid w:val="00806E6D"/>
    <w:rsid w:val="00807331"/>
    <w:rsid w:val="008077A8"/>
    <w:rsid w:val="008117FE"/>
    <w:rsid w:val="00811FF5"/>
    <w:rsid w:val="008134CD"/>
    <w:rsid w:val="00813D39"/>
    <w:rsid w:val="00814AC1"/>
    <w:rsid w:val="00814AFD"/>
    <w:rsid w:val="008155D3"/>
    <w:rsid w:val="008231C5"/>
    <w:rsid w:val="00823CB2"/>
    <w:rsid w:val="00826472"/>
    <w:rsid w:val="008301C0"/>
    <w:rsid w:val="008302FB"/>
    <w:rsid w:val="00832562"/>
    <w:rsid w:val="00835D8F"/>
    <w:rsid w:val="00837DFF"/>
    <w:rsid w:val="0084513B"/>
    <w:rsid w:val="008458A4"/>
    <w:rsid w:val="00845B08"/>
    <w:rsid w:val="00847964"/>
    <w:rsid w:val="0085664D"/>
    <w:rsid w:val="00857ECD"/>
    <w:rsid w:val="008645A2"/>
    <w:rsid w:val="0086541C"/>
    <w:rsid w:val="008655C0"/>
    <w:rsid w:val="008668A4"/>
    <w:rsid w:val="008744F8"/>
    <w:rsid w:val="00877023"/>
    <w:rsid w:val="008816D8"/>
    <w:rsid w:val="008828A7"/>
    <w:rsid w:val="00887A32"/>
    <w:rsid w:val="00893076"/>
    <w:rsid w:val="00893A33"/>
    <w:rsid w:val="008968F7"/>
    <w:rsid w:val="008A1A0F"/>
    <w:rsid w:val="008A3BDF"/>
    <w:rsid w:val="008A5B59"/>
    <w:rsid w:val="008B0B9A"/>
    <w:rsid w:val="008B1850"/>
    <w:rsid w:val="008B1CDE"/>
    <w:rsid w:val="008B255A"/>
    <w:rsid w:val="008B4687"/>
    <w:rsid w:val="008B4720"/>
    <w:rsid w:val="008B55E0"/>
    <w:rsid w:val="008B77D0"/>
    <w:rsid w:val="008C02A6"/>
    <w:rsid w:val="008C170A"/>
    <w:rsid w:val="008C2468"/>
    <w:rsid w:val="008C3767"/>
    <w:rsid w:val="008C3FA9"/>
    <w:rsid w:val="008C5C1D"/>
    <w:rsid w:val="008C7168"/>
    <w:rsid w:val="008D072B"/>
    <w:rsid w:val="008D078A"/>
    <w:rsid w:val="008D0A27"/>
    <w:rsid w:val="008D0A94"/>
    <w:rsid w:val="008D2838"/>
    <w:rsid w:val="008E0CBA"/>
    <w:rsid w:val="008E0F50"/>
    <w:rsid w:val="008E2758"/>
    <w:rsid w:val="008E3D78"/>
    <w:rsid w:val="008E3F3E"/>
    <w:rsid w:val="008E408E"/>
    <w:rsid w:val="008E70D1"/>
    <w:rsid w:val="008F0384"/>
    <w:rsid w:val="008F3871"/>
    <w:rsid w:val="008F56D6"/>
    <w:rsid w:val="008F7A18"/>
    <w:rsid w:val="00901099"/>
    <w:rsid w:val="00901D84"/>
    <w:rsid w:val="009026A7"/>
    <w:rsid w:val="00903459"/>
    <w:rsid w:val="00903C72"/>
    <w:rsid w:val="00905EC3"/>
    <w:rsid w:val="009108D9"/>
    <w:rsid w:val="00910E84"/>
    <w:rsid w:val="00911BA1"/>
    <w:rsid w:val="00911C13"/>
    <w:rsid w:val="00912DDB"/>
    <w:rsid w:val="00912F66"/>
    <w:rsid w:val="00913ECF"/>
    <w:rsid w:val="00920A96"/>
    <w:rsid w:val="009218B2"/>
    <w:rsid w:val="00922C06"/>
    <w:rsid w:val="00923727"/>
    <w:rsid w:val="00931F54"/>
    <w:rsid w:val="00933852"/>
    <w:rsid w:val="009355E3"/>
    <w:rsid w:val="0093630E"/>
    <w:rsid w:val="00936E7A"/>
    <w:rsid w:val="00940F01"/>
    <w:rsid w:val="00941F08"/>
    <w:rsid w:val="00943710"/>
    <w:rsid w:val="009477A5"/>
    <w:rsid w:val="00950D14"/>
    <w:rsid w:val="00951AFE"/>
    <w:rsid w:val="009655C5"/>
    <w:rsid w:val="00966318"/>
    <w:rsid w:val="00967EF5"/>
    <w:rsid w:val="009738AE"/>
    <w:rsid w:val="00983D4E"/>
    <w:rsid w:val="009850CD"/>
    <w:rsid w:val="00985DEF"/>
    <w:rsid w:val="009871B4"/>
    <w:rsid w:val="00987BDF"/>
    <w:rsid w:val="0099675E"/>
    <w:rsid w:val="0099762B"/>
    <w:rsid w:val="009A09B5"/>
    <w:rsid w:val="009A180F"/>
    <w:rsid w:val="009A2348"/>
    <w:rsid w:val="009A5935"/>
    <w:rsid w:val="009A7D6F"/>
    <w:rsid w:val="009B0285"/>
    <w:rsid w:val="009B05C6"/>
    <w:rsid w:val="009B0C2B"/>
    <w:rsid w:val="009B29CF"/>
    <w:rsid w:val="009B527B"/>
    <w:rsid w:val="009B79F9"/>
    <w:rsid w:val="009C0884"/>
    <w:rsid w:val="009C1B0D"/>
    <w:rsid w:val="009C21E6"/>
    <w:rsid w:val="009C6025"/>
    <w:rsid w:val="009C668D"/>
    <w:rsid w:val="009C7CF6"/>
    <w:rsid w:val="009D1470"/>
    <w:rsid w:val="009D3945"/>
    <w:rsid w:val="009D4056"/>
    <w:rsid w:val="009E1B94"/>
    <w:rsid w:val="009E22B5"/>
    <w:rsid w:val="009E2820"/>
    <w:rsid w:val="009E2FBE"/>
    <w:rsid w:val="009E37EC"/>
    <w:rsid w:val="009E6DB3"/>
    <w:rsid w:val="009E7619"/>
    <w:rsid w:val="009E766E"/>
    <w:rsid w:val="009E7B31"/>
    <w:rsid w:val="009F0E7B"/>
    <w:rsid w:val="009F381A"/>
    <w:rsid w:val="009F48B7"/>
    <w:rsid w:val="009F5657"/>
    <w:rsid w:val="00A0128B"/>
    <w:rsid w:val="00A02DEC"/>
    <w:rsid w:val="00A030B5"/>
    <w:rsid w:val="00A03364"/>
    <w:rsid w:val="00A037AD"/>
    <w:rsid w:val="00A046BC"/>
    <w:rsid w:val="00A0575C"/>
    <w:rsid w:val="00A065A5"/>
    <w:rsid w:val="00A0667A"/>
    <w:rsid w:val="00A10970"/>
    <w:rsid w:val="00A10FC4"/>
    <w:rsid w:val="00A114BF"/>
    <w:rsid w:val="00A11632"/>
    <w:rsid w:val="00A12BFC"/>
    <w:rsid w:val="00A13D1D"/>
    <w:rsid w:val="00A15C8B"/>
    <w:rsid w:val="00A20AA2"/>
    <w:rsid w:val="00A24044"/>
    <w:rsid w:val="00A24BD0"/>
    <w:rsid w:val="00A31FE8"/>
    <w:rsid w:val="00A3229B"/>
    <w:rsid w:val="00A33F8E"/>
    <w:rsid w:val="00A35A7C"/>
    <w:rsid w:val="00A4010A"/>
    <w:rsid w:val="00A43398"/>
    <w:rsid w:val="00A5031C"/>
    <w:rsid w:val="00A50A80"/>
    <w:rsid w:val="00A52EFD"/>
    <w:rsid w:val="00A54F84"/>
    <w:rsid w:val="00A57D53"/>
    <w:rsid w:val="00A605FD"/>
    <w:rsid w:val="00A61637"/>
    <w:rsid w:val="00A635C8"/>
    <w:rsid w:val="00A65D4D"/>
    <w:rsid w:val="00A66906"/>
    <w:rsid w:val="00A6740E"/>
    <w:rsid w:val="00A67970"/>
    <w:rsid w:val="00A7060C"/>
    <w:rsid w:val="00A7092E"/>
    <w:rsid w:val="00A74879"/>
    <w:rsid w:val="00A74918"/>
    <w:rsid w:val="00A76AF8"/>
    <w:rsid w:val="00A773F2"/>
    <w:rsid w:val="00A80749"/>
    <w:rsid w:val="00A82C3A"/>
    <w:rsid w:val="00A85010"/>
    <w:rsid w:val="00A9131C"/>
    <w:rsid w:val="00A91AAE"/>
    <w:rsid w:val="00A92A8C"/>
    <w:rsid w:val="00AA0386"/>
    <w:rsid w:val="00AA6555"/>
    <w:rsid w:val="00AA694E"/>
    <w:rsid w:val="00AA7DED"/>
    <w:rsid w:val="00AB129F"/>
    <w:rsid w:val="00AB178D"/>
    <w:rsid w:val="00AB59D3"/>
    <w:rsid w:val="00AB6F90"/>
    <w:rsid w:val="00AB7325"/>
    <w:rsid w:val="00AC0934"/>
    <w:rsid w:val="00AC17A8"/>
    <w:rsid w:val="00AC1934"/>
    <w:rsid w:val="00AC20FF"/>
    <w:rsid w:val="00AC60F1"/>
    <w:rsid w:val="00AD1A5A"/>
    <w:rsid w:val="00AD4D13"/>
    <w:rsid w:val="00AD4F48"/>
    <w:rsid w:val="00AD575A"/>
    <w:rsid w:val="00AD5BA0"/>
    <w:rsid w:val="00AD70E9"/>
    <w:rsid w:val="00AD741B"/>
    <w:rsid w:val="00AE331A"/>
    <w:rsid w:val="00AE3A56"/>
    <w:rsid w:val="00AE429B"/>
    <w:rsid w:val="00AE5FA0"/>
    <w:rsid w:val="00AE7845"/>
    <w:rsid w:val="00AF0C50"/>
    <w:rsid w:val="00AF2C40"/>
    <w:rsid w:val="00AF3DF3"/>
    <w:rsid w:val="00AF534A"/>
    <w:rsid w:val="00AF59E5"/>
    <w:rsid w:val="00AF75B0"/>
    <w:rsid w:val="00AF78C3"/>
    <w:rsid w:val="00B01445"/>
    <w:rsid w:val="00B0456F"/>
    <w:rsid w:val="00B04B82"/>
    <w:rsid w:val="00B05535"/>
    <w:rsid w:val="00B07B52"/>
    <w:rsid w:val="00B1294D"/>
    <w:rsid w:val="00B1346E"/>
    <w:rsid w:val="00B1413E"/>
    <w:rsid w:val="00B17137"/>
    <w:rsid w:val="00B20C9D"/>
    <w:rsid w:val="00B22B03"/>
    <w:rsid w:val="00B24710"/>
    <w:rsid w:val="00B3060C"/>
    <w:rsid w:val="00B32842"/>
    <w:rsid w:val="00B34D57"/>
    <w:rsid w:val="00B36E30"/>
    <w:rsid w:val="00B36FE1"/>
    <w:rsid w:val="00B377A2"/>
    <w:rsid w:val="00B40446"/>
    <w:rsid w:val="00B40EC3"/>
    <w:rsid w:val="00B4566F"/>
    <w:rsid w:val="00B4608E"/>
    <w:rsid w:val="00B4667C"/>
    <w:rsid w:val="00B52146"/>
    <w:rsid w:val="00B618FF"/>
    <w:rsid w:val="00B61B79"/>
    <w:rsid w:val="00B6336F"/>
    <w:rsid w:val="00B63A38"/>
    <w:rsid w:val="00B63DEE"/>
    <w:rsid w:val="00B64346"/>
    <w:rsid w:val="00B65D37"/>
    <w:rsid w:val="00B70640"/>
    <w:rsid w:val="00B70B69"/>
    <w:rsid w:val="00B710EC"/>
    <w:rsid w:val="00B75896"/>
    <w:rsid w:val="00B76545"/>
    <w:rsid w:val="00B83742"/>
    <w:rsid w:val="00B83D5B"/>
    <w:rsid w:val="00B90AAD"/>
    <w:rsid w:val="00B97450"/>
    <w:rsid w:val="00BA057C"/>
    <w:rsid w:val="00BA1C9C"/>
    <w:rsid w:val="00BA4336"/>
    <w:rsid w:val="00BA460C"/>
    <w:rsid w:val="00BA471B"/>
    <w:rsid w:val="00BA5066"/>
    <w:rsid w:val="00BA565F"/>
    <w:rsid w:val="00BA60FB"/>
    <w:rsid w:val="00BA6416"/>
    <w:rsid w:val="00BA7BAA"/>
    <w:rsid w:val="00BB04F2"/>
    <w:rsid w:val="00BB2E11"/>
    <w:rsid w:val="00BB2F70"/>
    <w:rsid w:val="00BB55F2"/>
    <w:rsid w:val="00BC09BD"/>
    <w:rsid w:val="00BC2B76"/>
    <w:rsid w:val="00BC3E1A"/>
    <w:rsid w:val="00BC55A6"/>
    <w:rsid w:val="00BC6917"/>
    <w:rsid w:val="00BC6DFF"/>
    <w:rsid w:val="00BC793D"/>
    <w:rsid w:val="00BD0B02"/>
    <w:rsid w:val="00BD21DD"/>
    <w:rsid w:val="00BD3B6E"/>
    <w:rsid w:val="00BD6F49"/>
    <w:rsid w:val="00BE4D57"/>
    <w:rsid w:val="00BF1F9A"/>
    <w:rsid w:val="00BF1FCC"/>
    <w:rsid w:val="00C025A2"/>
    <w:rsid w:val="00C02D20"/>
    <w:rsid w:val="00C0646B"/>
    <w:rsid w:val="00C100EA"/>
    <w:rsid w:val="00C115F8"/>
    <w:rsid w:val="00C12EA7"/>
    <w:rsid w:val="00C15032"/>
    <w:rsid w:val="00C15BAF"/>
    <w:rsid w:val="00C17BF6"/>
    <w:rsid w:val="00C225EF"/>
    <w:rsid w:val="00C24056"/>
    <w:rsid w:val="00C265AF"/>
    <w:rsid w:val="00C30800"/>
    <w:rsid w:val="00C341C0"/>
    <w:rsid w:val="00C347A6"/>
    <w:rsid w:val="00C34949"/>
    <w:rsid w:val="00C3534A"/>
    <w:rsid w:val="00C37143"/>
    <w:rsid w:val="00C43236"/>
    <w:rsid w:val="00C43B21"/>
    <w:rsid w:val="00C475FE"/>
    <w:rsid w:val="00C50786"/>
    <w:rsid w:val="00C5374F"/>
    <w:rsid w:val="00C5528B"/>
    <w:rsid w:val="00C563BC"/>
    <w:rsid w:val="00C57634"/>
    <w:rsid w:val="00C60437"/>
    <w:rsid w:val="00C60566"/>
    <w:rsid w:val="00C606C7"/>
    <w:rsid w:val="00C61088"/>
    <w:rsid w:val="00C61684"/>
    <w:rsid w:val="00C65009"/>
    <w:rsid w:val="00C705E3"/>
    <w:rsid w:val="00C70A45"/>
    <w:rsid w:val="00C71B66"/>
    <w:rsid w:val="00C76CFA"/>
    <w:rsid w:val="00C76D29"/>
    <w:rsid w:val="00C81B1C"/>
    <w:rsid w:val="00C82ACD"/>
    <w:rsid w:val="00C86C88"/>
    <w:rsid w:val="00C933BF"/>
    <w:rsid w:val="00CA10A6"/>
    <w:rsid w:val="00CA368B"/>
    <w:rsid w:val="00CA4762"/>
    <w:rsid w:val="00CA6249"/>
    <w:rsid w:val="00CA6DCC"/>
    <w:rsid w:val="00CA71CB"/>
    <w:rsid w:val="00CB128D"/>
    <w:rsid w:val="00CB31B7"/>
    <w:rsid w:val="00CC062A"/>
    <w:rsid w:val="00CC24F3"/>
    <w:rsid w:val="00CC2CD6"/>
    <w:rsid w:val="00CC4D51"/>
    <w:rsid w:val="00CC4F50"/>
    <w:rsid w:val="00CC7226"/>
    <w:rsid w:val="00CD0835"/>
    <w:rsid w:val="00CD15EB"/>
    <w:rsid w:val="00CD4E1A"/>
    <w:rsid w:val="00CD4EE6"/>
    <w:rsid w:val="00CD4EE8"/>
    <w:rsid w:val="00CD6858"/>
    <w:rsid w:val="00CE17F9"/>
    <w:rsid w:val="00CE7161"/>
    <w:rsid w:val="00CF138F"/>
    <w:rsid w:val="00CF173A"/>
    <w:rsid w:val="00CF1B1B"/>
    <w:rsid w:val="00CF44BD"/>
    <w:rsid w:val="00CF4D50"/>
    <w:rsid w:val="00CF65DE"/>
    <w:rsid w:val="00D01F8E"/>
    <w:rsid w:val="00D023C1"/>
    <w:rsid w:val="00D04DC7"/>
    <w:rsid w:val="00D10A37"/>
    <w:rsid w:val="00D1242F"/>
    <w:rsid w:val="00D169BE"/>
    <w:rsid w:val="00D25AF6"/>
    <w:rsid w:val="00D27189"/>
    <w:rsid w:val="00D27620"/>
    <w:rsid w:val="00D334FD"/>
    <w:rsid w:val="00D33DEE"/>
    <w:rsid w:val="00D362EE"/>
    <w:rsid w:val="00D37375"/>
    <w:rsid w:val="00D37943"/>
    <w:rsid w:val="00D51589"/>
    <w:rsid w:val="00D532E3"/>
    <w:rsid w:val="00D55890"/>
    <w:rsid w:val="00D56124"/>
    <w:rsid w:val="00D57C9B"/>
    <w:rsid w:val="00D60594"/>
    <w:rsid w:val="00D63AFA"/>
    <w:rsid w:val="00D65745"/>
    <w:rsid w:val="00D65925"/>
    <w:rsid w:val="00D66B9D"/>
    <w:rsid w:val="00D673D6"/>
    <w:rsid w:val="00D71988"/>
    <w:rsid w:val="00D73ED2"/>
    <w:rsid w:val="00D7595A"/>
    <w:rsid w:val="00D761F1"/>
    <w:rsid w:val="00D77D0B"/>
    <w:rsid w:val="00D84A5E"/>
    <w:rsid w:val="00D8512E"/>
    <w:rsid w:val="00D86AE0"/>
    <w:rsid w:val="00D86E94"/>
    <w:rsid w:val="00D90072"/>
    <w:rsid w:val="00D90314"/>
    <w:rsid w:val="00D914D2"/>
    <w:rsid w:val="00D96A1A"/>
    <w:rsid w:val="00D97663"/>
    <w:rsid w:val="00DA080B"/>
    <w:rsid w:val="00DA1A22"/>
    <w:rsid w:val="00DA26FE"/>
    <w:rsid w:val="00DA3217"/>
    <w:rsid w:val="00DA3BBD"/>
    <w:rsid w:val="00DA494F"/>
    <w:rsid w:val="00DA5A31"/>
    <w:rsid w:val="00DB1C91"/>
    <w:rsid w:val="00DB309C"/>
    <w:rsid w:val="00DB64D0"/>
    <w:rsid w:val="00DB65CF"/>
    <w:rsid w:val="00DC3CDE"/>
    <w:rsid w:val="00DC4BF3"/>
    <w:rsid w:val="00DC6A4E"/>
    <w:rsid w:val="00DD41DA"/>
    <w:rsid w:val="00DD480C"/>
    <w:rsid w:val="00DD67D4"/>
    <w:rsid w:val="00DD73F1"/>
    <w:rsid w:val="00DF051D"/>
    <w:rsid w:val="00DF0CAF"/>
    <w:rsid w:val="00DF3688"/>
    <w:rsid w:val="00DF3BFC"/>
    <w:rsid w:val="00DF56A2"/>
    <w:rsid w:val="00DF6671"/>
    <w:rsid w:val="00DF7BCF"/>
    <w:rsid w:val="00E00FC0"/>
    <w:rsid w:val="00E01A31"/>
    <w:rsid w:val="00E02369"/>
    <w:rsid w:val="00E0465D"/>
    <w:rsid w:val="00E15750"/>
    <w:rsid w:val="00E162CD"/>
    <w:rsid w:val="00E17868"/>
    <w:rsid w:val="00E20FD3"/>
    <w:rsid w:val="00E2419A"/>
    <w:rsid w:val="00E24B31"/>
    <w:rsid w:val="00E2655C"/>
    <w:rsid w:val="00E31B8A"/>
    <w:rsid w:val="00E32FD2"/>
    <w:rsid w:val="00E33841"/>
    <w:rsid w:val="00E354BF"/>
    <w:rsid w:val="00E35B95"/>
    <w:rsid w:val="00E37F83"/>
    <w:rsid w:val="00E41B18"/>
    <w:rsid w:val="00E41E32"/>
    <w:rsid w:val="00E42DDB"/>
    <w:rsid w:val="00E430B7"/>
    <w:rsid w:val="00E45034"/>
    <w:rsid w:val="00E460AA"/>
    <w:rsid w:val="00E46A08"/>
    <w:rsid w:val="00E46D4B"/>
    <w:rsid w:val="00E5050F"/>
    <w:rsid w:val="00E50658"/>
    <w:rsid w:val="00E579AA"/>
    <w:rsid w:val="00E632AB"/>
    <w:rsid w:val="00E637B5"/>
    <w:rsid w:val="00E66853"/>
    <w:rsid w:val="00E70873"/>
    <w:rsid w:val="00E73D67"/>
    <w:rsid w:val="00E826C7"/>
    <w:rsid w:val="00E82862"/>
    <w:rsid w:val="00E82CBE"/>
    <w:rsid w:val="00E8549F"/>
    <w:rsid w:val="00E91F15"/>
    <w:rsid w:val="00E921C6"/>
    <w:rsid w:val="00E950D8"/>
    <w:rsid w:val="00E97B04"/>
    <w:rsid w:val="00EA279C"/>
    <w:rsid w:val="00EA4466"/>
    <w:rsid w:val="00EB1FBD"/>
    <w:rsid w:val="00EB4A8C"/>
    <w:rsid w:val="00EB57E4"/>
    <w:rsid w:val="00EB6698"/>
    <w:rsid w:val="00EB6A52"/>
    <w:rsid w:val="00EB797A"/>
    <w:rsid w:val="00EC7458"/>
    <w:rsid w:val="00ED2554"/>
    <w:rsid w:val="00ED36F8"/>
    <w:rsid w:val="00ED3C1C"/>
    <w:rsid w:val="00ED3F9F"/>
    <w:rsid w:val="00ED4E98"/>
    <w:rsid w:val="00ED6854"/>
    <w:rsid w:val="00ED6FF3"/>
    <w:rsid w:val="00EE0E03"/>
    <w:rsid w:val="00EE21B0"/>
    <w:rsid w:val="00EE44A9"/>
    <w:rsid w:val="00EE6288"/>
    <w:rsid w:val="00EF2C0E"/>
    <w:rsid w:val="00EF3379"/>
    <w:rsid w:val="00EF3CBE"/>
    <w:rsid w:val="00EF6424"/>
    <w:rsid w:val="00F00704"/>
    <w:rsid w:val="00F00F56"/>
    <w:rsid w:val="00F00F85"/>
    <w:rsid w:val="00F023C5"/>
    <w:rsid w:val="00F028AE"/>
    <w:rsid w:val="00F038A9"/>
    <w:rsid w:val="00F05D09"/>
    <w:rsid w:val="00F13FD0"/>
    <w:rsid w:val="00F16340"/>
    <w:rsid w:val="00F22167"/>
    <w:rsid w:val="00F221E8"/>
    <w:rsid w:val="00F227A3"/>
    <w:rsid w:val="00F22959"/>
    <w:rsid w:val="00F22BFC"/>
    <w:rsid w:val="00F24574"/>
    <w:rsid w:val="00F27B19"/>
    <w:rsid w:val="00F27E62"/>
    <w:rsid w:val="00F302C4"/>
    <w:rsid w:val="00F31824"/>
    <w:rsid w:val="00F31FE8"/>
    <w:rsid w:val="00F32A71"/>
    <w:rsid w:val="00F32FF8"/>
    <w:rsid w:val="00F3328B"/>
    <w:rsid w:val="00F36752"/>
    <w:rsid w:val="00F403C5"/>
    <w:rsid w:val="00F441D8"/>
    <w:rsid w:val="00F45194"/>
    <w:rsid w:val="00F57958"/>
    <w:rsid w:val="00F62410"/>
    <w:rsid w:val="00F63B69"/>
    <w:rsid w:val="00F65B5F"/>
    <w:rsid w:val="00F673AD"/>
    <w:rsid w:val="00F703FA"/>
    <w:rsid w:val="00F7156F"/>
    <w:rsid w:val="00F77241"/>
    <w:rsid w:val="00F82CC6"/>
    <w:rsid w:val="00F830A9"/>
    <w:rsid w:val="00F90660"/>
    <w:rsid w:val="00F955BF"/>
    <w:rsid w:val="00F9737F"/>
    <w:rsid w:val="00FA037C"/>
    <w:rsid w:val="00FA5725"/>
    <w:rsid w:val="00FA6EF6"/>
    <w:rsid w:val="00FB0202"/>
    <w:rsid w:val="00FB2570"/>
    <w:rsid w:val="00FB301B"/>
    <w:rsid w:val="00FB63ED"/>
    <w:rsid w:val="00FC333F"/>
    <w:rsid w:val="00FC44A2"/>
    <w:rsid w:val="00FC4846"/>
    <w:rsid w:val="00FC6E0E"/>
    <w:rsid w:val="00FD0C31"/>
    <w:rsid w:val="00FD0D39"/>
    <w:rsid w:val="00FD5C0A"/>
    <w:rsid w:val="00FD7C9D"/>
    <w:rsid w:val="00FE0BCB"/>
    <w:rsid w:val="00FE15A4"/>
    <w:rsid w:val="00FE22A9"/>
    <w:rsid w:val="00FE2593"/>
    <w:rsid w:val="00FE2924"/>
    <w:rsid w:val="00FE2AEB"/>
    <w:rsid w:val="00FE4294"/>
    <w:rsid w:val="00FE4FC9"/>
    <w:rsid w:val="00FF035D"/>
    <w:rsid w:val="00FF0FF3"/>
    <w:rsid w:val="00FF4490"/>
    <w:rsid w:val="00FF6D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5C97"/>
  <w15:docId w15:val="{3D6808DE-273E-41BF-A491-E07C9F8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56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27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Footnotes,Footnote ak, Char"/>
    <w:basedOn w:val="Normal"/>
    <w:link w:val="FootnoteTextChar"/>
    <w:uiPriority w:val="99"/>
    <w:unhideWhenUsed/>
    <w:rsid w:val="005C4502"/>
    <w:pPr>
      <w:spacing w:after="0" w:line="240" w:lineRule="auto"/>
    </w:pPr>
    <w:rPr>
      <w:sz w:val="20"/>
      <w:szCs w:val="20"/>
    </w:rPr>
  </w:style>
  <w:style w:type="character" w:customStyle="1" w:styleId="FootnoteTextChar">
    <w:name w:val="Footnote Text Char"/>
    <w:aliases w:val="fn Char,footnote text Char,Footnotes Char,Footnote ak Char, Char Char"/>
    <w:basedOn w:val="DefaultParagraphFont"/>
    <w:link w:val="FootnoteText"/>
    <w:uiPriority w:val="99"/>
    <w:rsid w:val="005C4502"/>
    <w:rPr>
      <w:sz w:val="20"/>
      <w:szCs w:val="20"/>
    </w:rPr>
  </w:style>
  <w:style w:type="character" w:styleId="FootnoteReference">
    <w:name w:val="footnote reference"/>
    <w:basedOn w:val="DefaultParagraphFont"/>
    <w:uiPriority w:val="6"/>
    <w:unhideWhenUsed/>
    <w:rsid w:val="005C4502"/>
    <w:rPr>
      <w:vertAlign w:val="superscript"/>
    </w:rPr>
  </w:style>
  <w:style w:type="character" w:customStyle="1" w:styleId="Heading1Char">
    <w:name w:val="Heading 1 Char"/>
    <w:basedOn w:val="DefaultParagraphFont"/>
    <w:link w:val="Heading1"/>
    <w:uiPriority w:val="9"/>
    <w:rsid w:val="00DF56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278D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70B69"/>
    <w:rPr>
      <w:color w:val="0563C1" w:themeColor="hyperlink"/>
      <w:u w:val="single"/>
    </w:rPr>
  </w:style>
  <w:style w:type="paragraph" w:styleId="ListParagraph">
    <w:name w:val="List Paragraph"/>
    <w:basedOn w:val="Normal"/>
    <w:uiPriority w:val="34"/>
    <w:qFormat/>
    <w:rsid w:val="002E7D21"/>
    <w:pPr>
      <w:ind w:left="720"/>
      <w:contextualSpacing/>
    </w:pPr>
  </w:style>
  <w:style w:type="paragraph" w:styleId="Header">
    <w:name w:val="header"/>
    <w:basedOn w:val="Normal"/>
    <w:link w:val="HeaderChar"/>
    <w:uiPriority w:val="99"/>
    <w:unhideWhenUsed/>
    <w:rsid w:val="00660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11"/>
  </w:style>
  <w:style w:type="paragraph" w:styleId="Footer">
    <w:name w:val="footer"/>
    <w:basedOn w:val="Normal"/>
    <w:link w:val="FooterChar"/>
    <w:uiPriority w:val="99"/>
    <w:unhideWhenUsed/>
    <w:rsid w:val="00660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11"/>
  </w:style>
  <w:style w:type="character" w:styleId="CommentReference">
    <w:name w:val="annotation reference"/>
    <w:basedOn w:val="DefaultParagraphFont"/>
    <w:uiPriority w:val="99"/>
    <w:semiHidden/>
    <w:unhideWhenUsed/>
    <w:rsid w:val="00A67970"/>
    <w:rPr>
      <w:sz w:val="16"/>
      <w:szCs w:val="16"/>
    </w:rPr>
  </w:style>
  <w:style w:type="paragraph" w:styleId="CommentText">
    <w:name w:val="annotation text"/>
    <w:basedOn w:val="Normal"/>
    <w:link w:val="CommentTextChar"/>
    <w:uiPriority w:val="99"/>
    <w:unhideWhenUsed/>
    <w:rsid w:val="00A67970"/>
    <w:pPr>
      <w:spacing w:line="240" w:lineRule="auto"/>
    </w:pPr>
    <w:rPr>
      <w:sz w:val="20"/>
      <w:szCs w:val="20"/>
    </w:rPr>
  </w:style>
  <w:style w:type="character" w:customStyle="1" w:styleId="CommentTextChar">
    <w:name w:val="Comment Text Char"/>
    <w:basedOn w:val="DefaultParagraphFont"/>
    <w:link w:val="CommentText"/>
    <w:uiPriority w:val="99"/>
    <w:rsid w:val="00A67970"/>
    <w:rPr>
      <w:sz w:val="20"/>
      <w:szCs w:val="20"/>
    </w:rPr>
  </w:style>
  <w:style w:type="paragraph" w:styleId="CommentSubject">
    <w:name w:val="annotation subject"/>
    <w:basedOn w:val="CommentText"/>
    <w:next w:val="CommentText"/>
    <w:link w:val="CommentSubjectChar"/>
    <w:uiPriority w:val="99"/>
    <w:semiHidden/>
    <w:unhideWhenUsed/>
    <w:rsid w:val="00A67970"/>
    <w:rPr>
      <w:b/>
      <w:bCs/>
    </w:rPr>
  </w:style>
  <w:style w:type="character" w:customStyle="1" w:styleId="CommentSubjectChar">
    <w:name w:val="Comment Subject Char"/>
    <w:basedOn w:val="CommentTextChar"/>
    <w:link w:val="CommentSubject"/>
    <w:uiPriority w:val="99"/>
    <w:semiHidden/>
    <w:rsid w:val="00A67970"/>
    <w:rPr>
      <w:b/>
      <w:bCs/>
      <w:sz w:val="20"/>
      <w:szCs w:val="20"/>
    </w:rPr>
  </w:style>
  <w:style w:type="paragraph" w:styleId="BalloonText">
    <w:name w:val="Balloon Text"/>
    <w:basedOn w:val="Normal"/>
    <w:link w:val="BalloonTextChar"/>
    <w:uiPriority w:val="99"/>
    <w:semiHidden/>
    <w:unhideWhenUsed/>
    <w:rsid w:val="00A67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970"/>
    <w:rPr>
      <w:rFonts w:ascii="Segoe UI" w:hAnsi="Segoe UI" w:cs="Segoe UI"/>
      <w:sz w:val="18"/>
      <w:szCs w:val="18"/>
    </w:rPr>
  </w:style>
  <w:style w:type="character" w:styleId="FollowedHyperlink">
    <w:name w:val="FollowedHyperlink"/>
    <w:basedOn w:val="DefaultParagraphFont"/>
    <w:uiPriority w:val="99"/>
    <w:semiHidden/>
    <w:unhideWhenUsed/>
    <w:rsid w:val="00505572"/>
    <w:rPr>
      <w:color w:val="954F72" w:themeColor="followedHyperlink"/>
      <w:u w:val="single"/>
    </w:rPr>
  </w:style>
  <w:style w:type="character" w:styleId="SubtleEmphasis">
    <w:name w:val="Subtle Emphasis"/>
    <w:uiPriority w:val="19"/>
    <w:qFormat/>
    <w:rsid w:val="00FC44A2"/>
    <w:rPr>
      <w:i/>
    </w:rPr>
  </w:style>
  <w:style w:type="paragraph" w:styleId="BodyTextIndent">
    <w:name w:val="Body Text Indent"/>
    <w:basedOn w:val="Normal"/>
    <w:link w:val="BodyTextIndentChar"/>
    <w:uiPriority w:val="99"/>
    <w:rsid w:val="00651A91"/>
    <w:pPr>
      <w:spacing w:after="0" w:line="360" w:lineRule="auto"/>
      <w:ind w:left="1440"/>
    </w:pPr>
    <w:rPr>
      <w:rFonts w:ascii="Times New Roman" w:eastAsia="Times New Roman" w:hAnsi="Times New Roman" w:cs="Times New Roman"/>
      <w:sz w:val="28"/>
      <w:szCs w:val="28"/>
      <w:lang w:val="en-US"/>
    </w:rPr>
  </w:style>
  <w:style w:type="character" w:customStyle="1" w:styleId="BodyTextIndentChar">
    <w:name w:val="Body Text Indent Char"/>
    <w:basedOn w:val="DefaultParagraphFont"/>
    <w:link w:val="BodyTextIndent"/>
    <w:uiPriority w:val="99"/>
    <w:rsid w:val="00651A91"/>
    <w:rPr>
      <w:rFonts w:ascii="Times New Roman" w:eastAsia="Times New Roman" w:hAnsi="Times New Roman" w:cs="Times New Roman"/>
      <w:sz w:val="28"/>
      <w:szCs w:val="28"/>
      <w:lang w:val="en-US"/>
    </w:rPr>
  </w:style>
  <w:style w:type="paragraph" w:styleId="NormalWeb">
    <w:name w:val="Normal (Web)"/>
    <w:basedOn w:val="Normal"/>
    <w:uiPriority w:val="99"/>
    <w:semiHidden/>
    <w:unhideWhenUsed/>
    <w:rsid w:val="00591D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3799">
      <w:bodyDiv w:val="1"/>
      <w:marLeft w:val="0"/>
      <w:marRight w:val="0"/>
      <w:marTop w:val="0"/>
      <w:marBottom w:val="0"/>
      <w:divBdr>
        <w:top w:val="none" w:sz="0" w:space="0" w:color="auto"/>
        <w:left w:val="none" w:sz="0" w:space="0" w:color="auto"/>
        <w:bottom w:val="none" w:sz="0" w:space="0" w:color="auto"/>
        <w:right w:val="none" w:sz="0" w:space="0" w:color="auto"/>
      </w:divBdr>
    </w:div>
    <w:div w:id="408357315">
      <w:bodyDiv w:val="1"/>
      <w:marLeft w:val="0"/>
      <w:marRight w:val="0"/>
      <w:marTop w:val="0"/>
      <w:marBottom w:val="0"/>
      <w:divBdr>
        <w:top w:val="none" w:sz="0" w:space="0" w:color="auto"/>
        <w:left w:val="none" w:sz="0" w:space="0" w:color="auto"/>
        <w:bottom w:val="none" w:sz="0" w:space="0" w:color="auto"/>
        <w:right w:val="none" w:sz="0" w:space="0" w:color="auto"/>
      </w:divBdr>
      <w:divsChild>
        <w:div w:id="926840877">
          <w:marLeft w:val="1080"/>
          <w:marRight w:val="0"/>
          <w:marTop w:val="115"/>
          <w:marBottom w:val="0"/>
          <w:divBdr>
            <w:top w:val="none" w:sz="0" w:space="0" w:color="auto"/>
            <w:left w:val="none" w:sz="0" w:space="0" w:color="auto"/>
            <w:bottom w:val="none" w:sz="0" w:space="0" w:color="auto"/>
            <w:right w:val="none" w:sz="0" w:space="0" w:color="auto"/>
          </w:divBdr>
        </w:div>
        <w:div w:id="1877892527">
          <w:marLeft w:val="1080"/>
          <w:marRight w:val="0"/>
          <w:marTop w:val="115"/>
          <w:marBottom w:val="0"/>
          <w:divBdr>
            <w:top w:val="none" w:sz="0" w:space="0" w:color="auto"/>
            <w:left w:val="none" w:sz="0" w:space="0" w:color="auto"/>
            <w:bottom w:val="none" w:sz="0" w:space="0" w:color="auto"/>
            <w:right w:val="none" w:sz="0" w:space="0" w:color="auto"/>
          </w:divBdr>
        </w:div>
      </w:divsChild>
    </w:div>
    <w:div w:id="540751462">
      <w:bodyDiv w:val="1"/>
      <w:marLeft w:val="0"/>
      <w:marRight w:val="0"/>
      <w:marTop w:val="0"/>
      <w:marBottom w:val="0"/>
      <w:divBdr>
        <w:top w:val="none" w:sz="0" w:space="0" w:color="auto"/>
        <w:left w:val="none" w:sz="0" w:space="0" w:color="auto"/>
        <w:bottom w:val="none" w:sz="0" w:space="0" w:color="auto"/>
        <w:right w:val="none" w:sz="0" w:space="0" w:color="auto"/>
      </w:divBdr>
    </w:div>
    <w:div w:id="595943599">
      <w:bodyDiv w:val="1"/>
      <w:marLeft w:val="0"/>
      <w:marRight w:val="0"/>
      <w:marTop w:val="0"/>
      <w:marBottom w:val="0"/>
      <w:divBdr>
        <w:top w:val="none" w:sz="0" w:space="0" w:color="auto"/>
        <w:left w:val="none" w:sz="0" w:space="0" w:color="auto"/>
        <w:bottom w:val="none" w:sz="0" w:space="0" w:color="auto"/>
        <w:right w:val="none" w:sz="0" w:space="0" w:color="auto"/>
      </w:divBdr>
      <w:divsChild>
        <w:div w:id="1466191782">
          <w:marLeft w:val="1166"/>
          <w:marRight w:val="0"/>
          <w:marTop w:val="125"/>
          <w:marBottom w:val="0"/>
          <w:divBdr>
            <w:top w:val="none" w:sz="0" w:space="0" w:color="auto"/>
            <w:left w:val="none" w:sz="0" w:space="0" w:color="auto"/>
            <w:bottom w:val="none" w:sz="0" w:space="0" w:color="auto"/>
            <w:right w:val="none" w:sz="0" w:space="0" w:color="auto"/>
          </w:divBdr>
        </w:div>
      </w:divsChild>
    </w:div>
    <w:div w:id="760683268">
      <w:bodyDiv w:val="1"/>
      <w:marLeft w:val="0"/>
      <w:marRight w:val="0"/>
      <w:marTop w:val="0"/>
      <w:marBottom w:val="0"/>
      <w:divBdr>
        <w:top w:val="none" w:sz="0" w:space="0" w:color="auto"/>
        <w:left w:val="none" w:sz="0" w:space="0" w:color="auto"/>
        <w:bottom w:val="none" w:sz="0" w:space="0" w:color="auto"/>
        <w:right w:val="none" w:sz="0" w:space="0" w:color="auto"/>
      </w:divBdr>
      <w:divsChild>
        <w:div w:id="2118408416">
          <w:marLeft w:val="1166"/>
          <w:marRight w:val="0"/>
          <w:marTop w:val="134"/>
          <w:marBottom w:val="0"/>
          <w:divBdr>
            <w:top w:val="none" w:sz="0" w:space="0" w:color="auto"/>
            <w:left w:val="none" w:sz="0" w:space="0" w:color="auto"/>
            <w:bottom w:val="none" w:sz="0" w:space="0" w:color="auto"/>
            <w:right w:val="none" w:sz="0" w:space="0" w:color="auto"/>
          </w:divBdr>
        </w:div>
      </w:divsChild>
    </w:div>
    <w:div w:id="773131129">
      <w:bodyDiv w:val="1"/>
      <w:marLeft w:val="0"/>
      <w:marRight w:val="0"/>
      <w:marTop w:val="0"/>
      <w:marBottom w:val="0"/>
      <w:divBdr>
        <w:top w:val="none" w:sz="0" w:space="0" w:color="auto"/>
        <w:left w:val="none" w:sz="0" w:space="0" w:color="auto"/>
        <w:bottom w:val="none" w:sz="0" w:space="0" w:color="auto"/>
        <w:right w:val="none" w:sz="0" w:space="0" w:color="auto"/>
      </w:divBdr>
      <w:divsChild>
        <w:div w:id="1900625305">
          <w:marLeft w:val="547"/>
          <w:marRight w:val="0"/>
          <w:marTop w:val="130"/>
          <w:marBottom w:val="0"/>
          <w:divBdr>
            <w:top w:val="none" w:sz="0" w:space="0" w:color="auto"/>
            <w:left w:val="none" w:sz="0" w:space="0" w:color="auto"/>
            <w:bottom w:val="none" w:sz="0" w:space="0" w:color="auto"/>
            <w:right w:val="none" w:sz="0" w:space="0" w:color="auto"/>
          </w:divBdr>
        </w:div>
        <w:div w:id="1933128577">
          <w:marLeft w:val="1166"/>
          <w:marRight w:val="0"/>
          <w:marTop w:val="115"/>
          <w:marBottom w:val="0"/>
          <w:divBdr>
            <w:top w:val="none" w:sz="0" w:space="0" w:color="auto"/>
            <w:left w:val="none" w:sz="0" w:space="0" w:color="auto"/>
            <w:bottom w:val="none" w:sz="0" w:space="0" w:color="auto"/>
            <w:right w:val="none" w:sz="0" w:space="0" w:color="auto"/>
          </w:divBdr>
        </w:div>
        <w:div w:id="600071674">
          <w:marLeft w:val="1166"/>
          <w:marRight w:val="0"/>
          <w:marTop w:val="115"/>
          <w:marBottom w:val="0"/>
          <w:divBdr>
            <w:top w:val="none" w:sz="0" w:space="0" w:color="auto"/>
            <w:left w:val="none" w:sz="0" w:space="0" w:color="auto"/>
            <w:bottom w:val="none" w:sz="0" w:space="0" w:color="auto"/>
            <w:right w:val="none" w:sz="0" w:space="0" w:color="auto"/>
          </w:divBdr>
        </w:div>
        <w:div w:id="56829385">
          <w:marLeft w:val="1166"/>
          <w:marRight w:val="0"/>
          <w:marTop w:val="115"/>
          <w:marBottom w:val="0"/>
          <w:divBdr>
            <w:top w:val="none" w:sz="0" w:space="0" w:color="auto"/>
            <w:left w:val="none" w:sz="0" w:space="0" w:color="auto"/>
            <w:bottom w:val="none" w:sz="0" w:space="0" w:color="auto"/>
            <w:right w:val="none" w:sz="0" w:space="0" w:color="auto"/>
          </w:divBdr>
        </w:div>
      </w:divsChild>
    </w:div>
    <w:div w:id="873888261">
      <w:bodyDiv w:val="1"/>
      <w:marLeft w:val="0"/>
      <w:marRight w:val="0"/>
      <w:marTop w:val="0"/>
      <w:marBottom w:val="0"/>
      <w:divBdr>
        <w:top w:val="none" w:sz="0" w:space="0" w:color="auto"/>
        <w:left w:val="none" w:sz="0" w:space="0" w:color="auto"/>
        <w:bottom w:val="none" w:sz="0" w:space="0" w:color="auto"/>
        <w:right w:val="none" w:sz="0" w:space="0" w:color="auto"/>
      </w:divBdr>
    </w:div>
    <w:div w:id="1116756410">
      <w:bodyDiv w:val="1"/>
      <w:marLeft w:val="0"/>
      <w:marRight w:val="0"/>
      <w:marTop w:val="0"/>
      <w:marBottom w:val="0"/>
      <w:divBdr>
        <w:top w:val="none" w:sz="0" w:space="0" w:color="auto"/>
        <w:left w:val="none" w:sz="0" w:space="0" w:color="auto"/>
        <w:bottom w:val="none" w:sz="0" w:space="0" w:color="auto"/>
        <w:right w:val="none" w:sz="0" w:space="0" w:color="auto"/>
      </w:divBdr>
    </w:div>
    <w:div w:id="1174564105">
      <w:bodyDiv w:val="1"/>
      <w:marLeft w:val="0"/>
      <w:marRight w:val="0"/>
      <w:marTop w:val="0"/>
      <w:marBottom w:val="0"/>
      <w:divBdr>
        <w:top w:val="none" w:sz="0" w:space="0" w:color="auto"/>
        <w:left w:val="none" w:sz="0" w:space="0" w:color="auto"/>
        <w:bottom w:val="none" w:sz="0" w:space="0" w:color="auto"/>
        <w:right w:val="none" w:sz="0" w:space="0" w:color="auto"/>
      </w:divBdr>
      <w:divsChild>
        <w:div w:id="403995655">
          <w:marLeft w:val="0"/>
          <w:marRight w:val="0"/>
          <w:marTop w:val="0"/>
          <w:marBottom w:val="0"/>
          <w:divBdr>
            <w:top w:val="none" w:sz="0" w:space="0" w:color="auto"/>
            <w:left w:val="none" w:sz="0" w:space="0" w:color="auto"/>
            <w:bottom w:val="none" w:sz="0" w:space="0" w:color="auto"/>
            <w:right w:val="none" w:sz="0" w:space="0" w:color="auto"/>
          </w:divBdr>
          <w:divsChild>
            <w:div w:id="654457344">
              <w:marLeft w:val="0"/>
              <w:marRight w:val="0"/>
              <w:marTop w:val="0"/>
              <w:marBottom w:val="0"/>
              <w:divBdr>
                <w:top w:val="none" w:sz="0" w:space="0" w:color="auto"/>
                <w:left w:val="none" w:sz="0" w:space="0" w:color="auto"/>
                <w:bottom w:val="none" w:sz="0" w:space="0" w:color="auto"/>
                <w:right w:val="none" w:sz="0" w:space="0" w:color="auto"/>
              </w:divBdr>
            </w:div>
            <w:div w:id="1045527703">
              <w:marLeft w:val="0"/>
              <w:marRight w:val="0"/>
              <w:marTop w:val="0"/>
              <w:marBottom w:val="0"/>
              <w:divBdr>
                <w:top w:val="none" w:sz="0" w:space="0" w:color="auto"/>
                <w:left w:val="none" w:sz="0" w:space="0" w:color="auto"/>
                <w:bottom w:val="none" w:sz="0" w:space="0" w:color="auto"/>
                <w:right w:val="none" w:sz="0" w:space="0" w:color="auto"/>
              </w:divBdr>
            </w:div>
            <w:div w:id="1313755744">
              <w:marLeft w:val="0"/>
              <w:marRight w:val="0"/>
              <w:marTop w:val="0"/>
              <w:marBottom w:val="0"/>
              <w:divBdr>
                <w:top w:val="none" w:sz="0" w:space="0" w:color="auto"/>
                <w:left w:val="none" w:sz="0" w:space="0" w:color="auto"/>
                <w:bottom w:val="none" w:sz="0" w:space="0" w:color="auto"/>
                <w:right w:val="none" w:sz="0" w:space="0" w:color="auto"/>
              </w:divBdr>
            </w:div>
            <w:div w:id="1390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0294">
      <w:bodyDiv w:val="1"/>
      <w:marLeft w:val="0"/>
      <w:marRight w:val="0"/>
      <w:marTop w:val="0"/>
      <w:marBottom w:val="0"/>
      <w:divBdr>
        <w:top w:val="none" w:sz="0" w:space="0" w:color="auto"/>
        <w:left w:val="none" w:sz="0" w:space="0" w:color="auto"/>
        <w:bottom w:val="none" w:sz="0" w:space="0" w:color="auto"/>
        <w:right w:val="none" w:sz="0" w:space="0" w:color="auto"/>
      </w:divBdr>
      <w:divsChild>
        <w:div w:id="485364609">
          <w:marLeft w:val="0"/>
          <w:marRight w:val="0"/>
          <w:marTop w:val="0"/>
          <w:marBottom w:val="0"/>
          <w:divBdr>
            <w:top w:val="none" w:sz="0" w:space="0" w:color="auto"/>
            <w:left w:val="none" w:sz="0" w:space="0" w:color="auto"/>
            <w:bottom w:val="none" w:sz="0" w:space="0" w:color="auto"/>
            <w:right w:val="none" w:sz="0" w:space="0" w:color="auto"/>
          </w:divBdr>
        </w:div>
        <w:div w:id="1184395461">
          <w:marLeft w:val="0"/>
          <w:marRight w:val="0"/>
          <w:marTop w:val="0"/>
          <w:marBottom w:val="0"/>
          <w:divBdr>
            <w:top w:val="none" w:sz="0" w:space="0" w:color="auto"/>
            <w:left w:val="none" w:sz="0" w:space="0" w:color="auto"/>
            <w:bottom w:val="none" w:sz="0" w:space="0" w:color="auto"/>
            <w:right w:val="none" w:sz="0" w:space="0" w:color="auto"/>
          </w:divBdr>
        </w:div>
        <w:div w:id="1648508003">
          <w:marLeft w:val="0"/>
          <w:marRight w:val="0"/>
          <w:marTop w:val="0"/>
          <w:marBottom w:val="0"/>
          <w:divBdr>
            <w:top w:val="none" w:sz="0" w:space="0" w:color="auto"/>
            <w:left w:val="none" w:sz="0" w:space="0" w:color="auto"/>
            <w:bottom w:val="none" w:sz="0" w:space="0" w:color="auto"/>
            <w:right w:val="none" w:sz="0" w:space="0" w:color="auto"/>
          </w:divBdr>
        </w:div>
        <w:div w:id="1680740414">
          <w:marLeft w:val="0"/>
          <w:marRight w:val="0"/>
          <w:marTop w:val="0"/>
          <w:marBottom w:val="0"/>
          <w:divBdr>
            <w:top w:val="none" w:sz="0" w:space="0" w:color="auto"/>
            <w:left w:val="none" w:sz="0" w:space="0" w:color="auto"/>
            <w:bottom w:val="none" w:sz="0" w:space="0" w:color="auto"/>
            <w:right w:val="none" w:sz="0" w:space="0" w:color="auto"/>
          </w:divBdr>
        </w:div>
      </w:divsChild>
    </w:div>
    <w:div w:id="1341588393">
      <w:bodyDiv w:val="1"/>
      <w:marLeft w:val="0"/>
      <w:marRight w:val="0"/>
      <w:marTop w:val="0"/>
      <w:marBottom w:val="0"/>
      <w:divBdr>
        <w:top w:val="none" w:sz="0" w:space="0" w:color="auto"/>
        <w:left w:val="none" w:sz="0" w:space="0" w:color="auto"/>
        <w:bottom w:val="none" w:sz="0" w:space="0" w:color="auto"/>
        <w:right w:val="none" w:sz="0" w:space="0" w:color="auto"/>
      </w:divBdr>
      <w:divsChild>
        <w:div w:id="1593096">
          <w:marLeft w:val="0"/>
          <w:marRight w:val="0"/>
          <w:marTop w:val="0"/>
          <w:marBottom w:val="0"/>
          <w:divBdr>
            <w:top w:val="none" w:sz="0" w:space="0" w:color="auto"/>
            <w:left w:val="none" w:sz="0" w:space="0" w:color="auto"/>
            <w:bottom w:val="none" w:sz="0" w:space="0" w:color="auto"/>
            <w:right w:val="none" w:sz="0" w:space="0" w:color="auto"/>
          </w:divBdr>
        </w:div>
        <w:div w:id="10452709">
          <w:marLeft w:val="0"/>
          <w:marRight w:val="0"/>
          <w:marTop w:val="0"/>
          <w:marBottom w:val="0"/>
          <w:divBdr>
            <w:top w:val="none" w:sz="0" w:space="0" w:color="auto"/>
            <w:left w:val="none" w:sz="0" w:space="0" w:color="auto"/>
            <w:bottom w:val="none" w:sz="0" w:space="0" w:color="auto"/>
            <w:right w:val="none" w:sz="0" w:space="0" w:color="auto"/>
          </w:divBdr>
        </w:div>
        <w:div w:id="57287096">
          <w:marLeft w:val="0"/>
          <w:marRight w:val="0"/>
          <w:marTop w:val="0"/>
          <w:marBottom w:val="0"/>
          <w:divBdr>
            <w:top w:val="none" w:sz="0" w:space="0" w:color="auto"/>
            <w:left w:val="none" w:sz="0" w:space="0" w:color="auto"/>
            <w:bottom w:val="none" w:sz="0" w:space="0" w:color="auto"/>
            <w:right w:val="none" w:sz="0" w:space="0" w:color="auto"/>
          </w:divBdr>
        </w:div>
        <w:div w:id="88015115">
          <w:marLeft w:val="0"/>
          <w:marRight w:val="0"/>
          <w:marTop w:val="0"/>
          <w:marBottom w:val="0"/>
          <w:divBdr>
            <w:top w:val="none" w:sz="0" w:space="0" w:color="auto"/>
            <w:left w:val="none" w:sz="0" w:space="0" w:color="auto"/>
            <w:bottom w:val="none" w:sz="0" w:space="0" w:color="auto"/>
            <w:right w:val="none" w:sz="0" w:space="0" w:color="auto"/>
          </w:divBdr>
        </w:div>
        <w:div w:id="107700209">
          <w:marLeft w:val="0"/>
          <w:marRight w:val="0"/>
          <w:marTop w:val="0"/>
          <w:marBottom w:val="0"/>
          <w:divBdr>
            <w:top w:val="none" w:sz="0" w:space="0" w:color="auto"/>
            <w:left w:val="none" w:sz="0" w:space="0" w:color="auto"/>
            <w:bottom w:val="none" w:sz="0" w:space="0" w:color="auto"/>
            <w:right w:val="none" w:sz="0" w:space="0" w:color="auto"/>
          </w:divBdr>
        </w:div>
        <w:div w:id="216555580">
          <w:marLeft w:val="0"/>
          <w:marRight w:val="0"/>
          <w:marTop w:val="0"/>
          <w:marBottom w:val="0"/>
          <w:divBdr>
            <w:top w:val="none" w:sz="0" w:space="0" w:color="auto"/>
            <w:left w:val="none" w:sz="0" w:space="0" w:color="auto"/>
            <w:bottom w:val="none" w:sz="0" w:space="0" w:color="auto"/>
            <w:right w:val="none" w:sz="0" w:space="0" w:color="auto"/>
          </w:divBdr>
        </w:div>
        <w:div w:id="381832036">
          <w:marLeft w:val="0"/>
          <w:marRight w:val="0"/>
          <w:marTop w:val="0"/>
          <w:marBottom w:val="0"/>
          <w:divBdr>
            <w:top w:val="none" w:sz="0" w:space="0" w:color="auto"/>
            <w:left w:val="none" w:sz="0" w:space="0" w:color="auto"/>
            <w:bottom w:val="none" w:sz="0" w:space="0" w:color="auto"/>
            <w:right w:val="none" w:sz="0" w:space="0" w:color="auto"/>
          </w:divBdr>
        </w:div>
        <w:div w:id="382103136">
          <w:marLeft w:val="0"/>
          <w:marRight w:val="0"/>
          <w:marTop w:val="0"/>
          <w:marBottom w:val="0"/>
          <w:divBdr>
            <w:top w:val="none" w:sz="0" w:space="0" w:color="auto"/>
            <w:left w:val="none" w:sz="0" w:space="0" w:color="auto"/>
            <w:bottom w:val="none" w:sz="0" w:space="0" w:color="auto"/>
            <w:right w:val="none" w:sz="0" w:space="0" w:color="auto"/>
          </w:divBdr>
        </w:div>
        <w:div w:id="426191155">
          <w:marLeft w:val="0"/>
          <w:marRight w:val="0"/>
          <w:marTop w:val="0"/>
          <w:marBottom w:val="0"/>
          <w:divBdr>
            <w:top w:val="none" w:sz="0" w:space="0" w:color="auto"/>
            <w:left w:val="none" w:sz="0" w:space="0" w:color="auto"/>
            <w:bottom w:val="none" w:sz="0" w:space="0" w:color="auto"/>
            <w:right w:val="none" w:sz="0" w:space="0" w:color="auto"/>
          </w:divBdr>
        </w:div>
        <w:div w:id="427240541">
          <w:marLeft w:val="0"/>
          <w:marRight w:val="0"/>
          <w:marTop w:val="0"/>
          <w:marBottom w:val="0"/>
          <w:divBdr>
            <w:top w:val="none" w:sz="0" w:space="0" w:color="auto"/>
            <w:left w:val="none" w:sz="0" w:space="0" w:color="auto"/>
            <w:bottom w:val="none" w:sz="0" w:space="0" w:color="auto"/>
            <w:right w:val="none" w:sz="0" w:space="0" w:color="auto"/>
          </w:divBdr>
        </w:div>
        <w:div w:id="438331189">
          <w:marLeft w:val="0"/>
          <w:marRight w:val="0"/>
          <w:marTop w:val="0"/>
          <w:marBottom w:val="0"/>
          <w:divBdr>
            <w:top w:val="none" w:sz="0" w:space="0" w:color="auto"/>
            <w:left w:val="none" w:sz="0" w:space="0" w:color="auto"/>
            <w:bottom w:val="none" w:sz="0" w:space="0" w:color="auto"/>
            <w:right w:val="none" w:sz="0" w:space="0" w:color="auto"/>
          </w:divBdr>
        </w:div>
        <w:div w:id="578290533">
          <w:marLeft w:val="0"/>
          <w:marRight w:val="0"/>
          <w:marTop w:val="0"/>
          <w:marBottom w:val="0"/>
          <w:divBdr>
            <w:top w:val="none" w:sz="0" w:space="0" w:color="auto"/>
            <w:left w:val="none" w:sz="0" w:space="0" w:color="auto"/>
            <w:bottom w:val="none" w:sz="0" w:space="0" w:color="auto"/>
            <w:right w:val="none" w:sz="0" w:space="0" w:color="auto"/>
          </w:divBdr>
        </w:div>
        <w:div w:id="581138612">
          <w:marLeft w:val="0"/>
          <w:marRight w:val="0"/>
          <w:marTop w:val="0"/>
          <w:marBottom w:val="0"/>
          <w:divBdr>
            <w:top w:val="none" w:sz="0" w:space="0" w:color="auto"/>
            <w:left w:val="none" w:sz="0" w:space="0" w:color="auto"/>
            <w:bottom w:val="none" w:sz="0" w:space="0" w:color="auto"/>
            <w:right w:val="none" w:sz="0" w:space="0" w:color="auto"/>
          </w:divBdr>
        </w:div>
        <w:div w:id="647124872">
          <w:marLeft w:val="0"/>
          <w:marRight w:val="0"/>
          <w:marTop w:val="0"/>
          <w:marBottom w:val="0"/>
          <w:divBdr>
            <w:top w:val="none" w:sz="0" w:space="0" w:color="auto"/>
            <w:left w:val="none" w:sz="0" w:space="0" w:color="auto"/>
            <w:bottom w:val="none" w:sz="0" w:space="0" w:color="auto"/>
            <w:right w:val="none" w:sz="0" w:space="0" w:color="auto"/>
          </w:divBdr>
        </w:div>
        <w:div w:id="673342997">
          <w:marLeft w:val="0"/>
          <w:marRight w:val="0"/>
          <w:marTop w:val="0"/>
          <w:marBottom w:val="0"/>
          <w:divBdr>
            <w:top w:val="none" w:sz="0" w:space="0" w:color="auto"/>
            <w:left w:val="none" w:sz="0" w:space="0" w:color="auto"/>
            <w:bottom w:val="none" w:sz="0" w:space="0" w:color="auto"/>
            <w:right w:val="none" w:sz="0" w:space="0" w:color="auto"/>
          </w:divBdr>
        </w:div>
        <w:div w:id="710500712">
          <w:marLeft w:val="0"/>
          <w:marRight w:val="0"/>
          <w:marTop w:val="0"/>
          <w:marBottom w:val="0"/>
          <w:divBdr>
            <w:top w:val="none" w:sz="0" w:space="0" w:color="auto"/>
            <w:left w:val="none" w:sz="0" w:space="0" w:color="auto"/>
            <w:bottom w:val="none" w:sz="0" w:space="0" w:color="auto"/>
            <w:right w:val="none" w:sz="0" w:space="0" w:color="auto"/>
          </w:divBdr>
        </w:div>
        <w:div w:id="896667615">
          <w:marLeft w:val="0"/>
          <w:marRight w:val="0"/>
          <w:marTop w:val="0"/>
          <w:marBottom w:val="0"/>
          <w:divBdr>
            <w:top w:val="none" w:sz="0" w:space="0" w:color="auto"/>
            <w:left w:val="none" w:sz="0" w:space="0" w:color="auto"/>
            <w:bottom w:val="none" w:sz="0" w:space="0" w:color="auto"/>
            <w:right w:val="none" w:sz="0" w:space="0" w:color="auto"/>
          </w:divBdr>
        </w:div>
        <w:div w:id="987124593">
          <w:marLeft w:val="0"/>
          <w:marRight w:val="0"/>
          <w:marTop w:val="0"/>
          <w:marBottom w:val="0"/>
          <w:divBdr>
            <w:top w:val="none" w:sz="0" w:space="0" w:color="auto"/>
            <w:left w:val="none" w:sz="0" w:space="0" w:color="auto"/>
            <w:bottom w:val="none" w:sz="0" w:space="0" w:color="auto"/>
            <w:right w:val="none" w:sz="0" w:space="0" w:color="auto"/>
          </w:divBdr>
        </w:div>
        <w:div w:id="1095326884">
          <w:marLeft w:val="0"/>
          <w:marRight w:val="0"/>
          <w:marTop w:val="0"/>
          <w:marBottom w:val="0"/>
          <w:divBdr>
            <w:top w:val="none" w:sz="0" w:space="0" w:color="auto"/>
            <w:left w:val="none" w:sz="0" w:space="0" w:color="auto"/>
            <w:bottom w:val="none" w:sz="0" w:space="0" w:color="auto"/>
            <w:right w:val="none" w:sz="0" w:space="0" w:color="auto"/>
          </w:divBdr>
        </w:div>
        <w:div w:id="1102605807">
          <w:marLeft w:val="0"/>
          <w:marRight w:val="0"/>
          <w:marTop w:val="0"/>
          <w:marBottom w:val="0"/>
          <w:divBdr>
            <w:top w:val="none" w:sz="0" w:space="0" w:color="auto"/>
            <w:left w:val="none" w:sz="0" w:space="0" w:color="auto"/>
            <w:bottom w:val="none" w:sz="0" w:space="0" w:color="auto"/>
            <w:right w:val="none" w:sz="0" w:space="0" w:color="auto"/>
          </w:divBdr>
        </w:div>
        <w:div w:id="1211308471">
          <w:marLeft w:val="0"/>
          <w:marRight w:val="0"/>
          <w:marTop w:val="0"/>
          <w:marBottom w:val="0"/>
          <w:divBdr>
            <w:top w:val="none" w:sz="0" w:space="0" w:color="auto"/>
            <w:left w:val="none" w:sz="0" w:space="0" w:color="auto"/>
            <w:bottom w:val="none" w:sz="0" w:space="0" w:color="auto"/>
            <w:right w:val="none" w:sz="0" w:space="0" w:color="auto"/>
          </w:divBdr>
        </w:div>
        <w:div w:id="1317567352">
          <w:marLeft w:val="0"/>
          <w:marRight w:val="0"/>
          <w:marTop w:val="0"/>
          <w:marBottom w:val="0"/>
          <w:divBdr>
            <w:top w:val="none" w:sz="0" w:space="0" w:color="auto"/>
            <w:left w:val="none" w:sz="0" w:space="0" w:color="auto"/>
            <w:bottom w:val="none" w:sz="0" w:space="0" w:color="auto"/>
            <w:right w:val="none" w:sz="0" w:space="0" w:color="auto"/>
          </w:divBdr>
        </w:div>
        <w:div w:id="1344549003">
          <w:marLeft w:val="0"/>
          <w:marRight w:val="0"/>
          <w:marTop w:val="0"/>
          <w:marBottom w:val="0"/>
          <w:divBdr>
            <w:top w:val="none" w:sz="0" w:space="0" w:color="auto"/>
            <w:left w:val="none" w:sz="0" w:space="0" w:color="auto"/>
            <w:bottom w:val="none" w:sz="0" w:space="0" w:color="auto"/>
            <w:right w:val="none" w:sz="0" w:space="0" w:color="auto"/>
          </w:divBdr>
        </w:div>
        <w:div w:id="1565678702">
          <w:marLeft w:val="0"/>
          <w:marRight w:val="0"/>
          <w:marTop w:val="0"/>
          <w:marBottom w:val="0"/>
          <w:divBdr>
            <w:top w:val="none" w:sz="0" w:space="0" w:color="auto"/>
            <w:left w:val="none" w:sz="0" w:space="0" w:color="auto"/>
            <w:bottom w:val="none" w:sz="0" w:space="0" w:color="auto"/>
            <w:right w:val="none" w:sz="0" w:space="0" w:color="auto"/>
          </w:divBdr>
        </w:div>
        <w:div w:id="1701398974">
          <w:marLeft w:val="0"/>
          <w:marRight w:val="0"/>
          <w:marTop w:val="0"/>
          <w:marBottom w:val="0"/>
          <w:divBdr>
            <w:top w:val="none" w:sz="0" w:space="0" w:color="auto"/>
            <w:left w:val="none" w:sz="0" w:space="0" w:color="auto"/>
            <w:bottom w:val="none" w:sz="0" w:space="0" w:color="auto"/>
            <w:right w:val="none" w:sz="0" w:space="0" w:color="auto"/>
          </w:divBdr>
        </w:div>
        <w:div w:id="1734042395">
          <w:marLeft w:val="0"/>
          <w:marRight w:val="0"/>
          <w:marTop w:val="0"/>
          <w:marBottom w:val="0"/>
          <w:divBdr>
            <w:top w:val="none" w:sz="0" w:space="0" w:color="auto"/>
            <w:left w:val="none" w:sz="0" w:space="0" w:color="auto"/>
            <w:bottom w:val="none" w:sz="0" w:space="0" w:color="auto"/>
            <w:right w:val="none" w:sz="0" w:space="0" w:color="auto"/>
          </w:divBdr>
        </w:div>
        <w:div w:id="1755516277">
          <w:marLeft w:val="0"/>
          <w:marRight w:val="0"/>
          <w:marTop w:val="0"/>
          <w:marBottom w:val="0"/>
          <w:divBdr>
            <w:top w:val="none" w:sz="0" w:space="0" w:color="auto"/>
            <w:left w:val="none" w:sz="0" w:space="0" w:color="auto"/>
            <w:bottom w:val="none" w:sz="0" w:space="0" w:color="auto"/>
            <w:right w:val="none" w:sz="0" w:space="0" w:color="auto"/>
          </w:divBdr>
        </w:div>
        <w:div w:id="1857113023">
          <w:marLeft w:val="0"/>
          <w:marRight w:val="0"/>
          <w:marTop w:val="0"/>
          <w:marBottom w:val="0"/>
          <w:divBdr>
            <w:top w:val="none" w:sz="0" w:space="0" w:color="auto"/>
            <w:left w:val="none" w:sz="0" w:space="0" w:color="auto"/>
            <w:bottom w:val="none" w:sz="0" w:space="0" w:color="auto"/>
            <w:right w:val="none" w:sz="0" w:space="0" w:color="auto"/>
          </w:divBdr>
        </w:div>
        <w:div w:id="1941372994">
          <w:marLeft w:val="0"/>
          <w:marRight w:val="0"/>
          <w:marTop w:val="0"/>
          <w:marBottom w:val="0"/>
          <w:divBdr>
            <w:top w:val="none" w:sz="0" w:space="0" w:color="auto"/>
            <w:left w:val="none" w:sz="0" w:space="0" w:color="auto"/>
            <w:bottom w:val="none" w:sz="0" w:space="0" w:color="auto"/>
            <w:right w:val="none" w:sz="0" w:space="0" w:color="auto"/>
          </w:divBdr>
        </w:div>
        <w:div w:id="1987393866">
          <w:marLeft w:val="0"/>
          <w:marRight w:val="0"/>
          <w:marTop w:val="0"/>
          <w:marBottom w:val="0"/>
          <w:divBdr>
            <w:top w:val="none" w:sz="0" w:space="0" w:color="auto"/>
            <w:left w:val="none" w:sz="0" w:space="0" w:color="auto"/>
            <w:bottom w:val="none" w:sz="0" w:space="0" w:color="auto"/>
            <w:right w:val="none" w:sz="0" w:space="0" w:color="auto"/>
          </w:divBdr>
        </w:div>
        <w:div w:id="2009405059">
          <w:marLeft w:val="0"/>
          <w:marRight w:val="0"/>
          <w:marTop w:val="0"/>
          <w:marBottom w:val="0"/>
          <w:divBdr>
            <w:top w:val="none" w:sz="0" w:space="0" w:color="auto"/>
            <w:left w:val="none" w:sz="0" w:space="0" w:color="auto"/>
            <w:bottom w:val="none" w:sz="0" w:space="0" w:color="auto"/>
            <w:right w:val="none" w:sz="0" w:space="0" w:color="auto"/>
          </w:divBdr>
        </w:div>
        <w:div w:id="2064326577">
          <w:marLeft w:val="0"/>
          <w:marRight w:val="0"/>
          <w:marTop w:val="0"/>
          <w:marBottom w:val="0"/>
          <w:divBdr>
            <w:top w:val="none" w:sz="0" w:space="0" w:color="auto"/>
            <w:left w:val="none" w:sz="0" w:space="0" w:color="auto"/>
            <w:bottom w:val="none" w:sz="0" w:space="0" w:color="auto"/>
            <w:right w:val="none" w:sz="0" w:space="0" w:color="auto"/>
          </w:divBdr>
        </w:div>
        <w:div w:id="2086604242">
          <w:marLeft w:val="0"/>
          <w:marRight w:val="0"/>
          <w:marTop w:val="0"/>
          <w:marBottom w:val="0"/>
          <w:divBdr>
            <w:top w:val="none" w:sz="0" w:space="0" w:color="auto"/>
            <w:left w:val="none" w:sz="0" w:space="0" w:color="auto"/>
            <w:bottom w:val="none" w:sz="0" w:space="0" w:color="auto"/>
            <w:right w:val="none" w:sz="0" w:space="0" w:color="auto"/>
          </w:divBdr>
        </w:div>
      </w:divsChild>
    </w:div>
    <w:div w:id="1459491982">
      <w:bodyDiv w:val="1"/>
      <w:marLeft w:val="0"/>
      <w:marRight w:val="0"/>
      <w:marTop w:val="0"/>
      <w:marBottom w:val="0"/>
      <w:divBdr>
        <w:top w:val="none" w:sz="0" w:space="0" w:color="auto"/>
        <w:left w:val="none" w:sz="0" w:space="0" w:color="auto"/>
        <w:bottom w:val="none" w:sz="0" w:space="0" w:color="auto"/>
        <w:right w:val="none" w:sz="0" w:space="0" w:color="auto"/>
      </w:divBdr>
    </w:div>
    <w:div w:id="1467315892">
      <w:bodyDiv w:val="1"/>
      <w:marLeft w:val="0"/>
      <w:marRight w:val="0"/>
      <w:marTop w:val="0"/>
      <w:marBottom w:val="0"/>
      <w:divBdr>
        <w:top w:val="none" w:sz="0" w:space="0" w:color="auto"/>
        <w:left w:val="none" w:sz="0" w:space="0" w:color="auto"/>
        <w:bottom w:val="none" w:sz="0" w:space="0" w:color="auto"/>
        <w:right w:val="none" w:sz="0" w:space="0" w:color="auto"/>
      </w:divBdr>
      <w:divsChild>
        <w:div w:id="1423263921">
          <w:marLeft w:val="0"/>
          <w:marRight w:val="0"/>
          <w:marTop w:val="0"/>
          <w:marBottom w:val="0"/>
          <w:divBdr>
            <w:top w:val="none" w:sz="0" w:space="0" w:color="auto"/>
            <w:left w:val="none" w:sz="0" w:space="0" w:color="auto"/>
            <w:bottom w:val="none" w:sz="0" w:space="0" w:color="auto"/>
            <w:right w:val="none" w:sz="0" w:space="0" w:color="auto"/>
          </w:divBdr>
          <w:divsChild>
            <w:div w:id="722753901">
              <w:marLeft w:val="0"/>
              <w:marRight w:val="0"/>
              <w:marTop w:val="0"/>
              <w:marBottom w:val="0"/>
              <w:divBdr>
                <w:top w:val="none" w:sz="0" w:space="0" w:color="auto"/>
                <w:left w:val="none" w:sz="0" w:space="0" w:color="auto"/>
                <w:bottom w:val="none" w:sz="0" w:space="0" w:color="auto"/>
                <w:right w:val="none" w:sz="0" w:space="0" w:color="auto"/>
              </w:divBdr>
              <w:divsChild>
                <w:div w:id="17681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6087">
      <w:bodyDiv w:val="1"/>
      <w:marLeft w:val="0"/>
      <w:marRight w:val="0"/>
      <w:marTop w:val="0"/>
      <w:marBottom w:val="0"/>
      <w:divBdr>
        <w:top w:val="none" w:sz="0" w:space="0" w:color="auto"/>
        <w:left w:val="none" w:sz="0" w:space="0" w:color="auto"/>
        <w:bottom w:val="none" w:sz="0" w:space="0" w:color="auto"/>
        <w:right w:val="none" w:sz="0" w:space="0" w:color="auto"/>
      </w:divBdr>
    </w:div>
    <w:div w:id="1548420572">
      <w:bodyDiv w:val="1"/>
      <w:marLeft w:val="0"/>
      <w:marRight w:val="0"/>
      <w:marTop w:val="0"/>
      <w:marBottom w:val="0"/>
      <w:divBdr>
        <w:top w:val="none" w:sz="0" w:space="0" w:color="auto"/>
        <w:left w:val="none" w:sz="0" w:space="0" w:color="auto"/>
        <w:bottom w:val="none" w:sz="0" w:space="0" w:color="auto"/>
        <w:right w:val="none" w:sz="0" w:space="0" w:color="auto"/>
      </w:divBdr>
    </w:div>
    <w:div w:id="1551917292">
      <w:bodyDiv w:val="1"/>
      <w:marLeft w:val="0"/>
      <w:marRight w:val="0"/>
      <w:marTop w:val="0"/>
      <w:marBottom w:val="0"/>
      <w:divBdr>
        <w:top w:val="none" w:sz="0" w:space="0" w:color="auto"/>
        <w:left w:val="none" w:sz="0" w:space="0" w:color="auto"/>
        <w:bottom w:val="none" w:sz="0" w:space="0" w:color="auto"/>
        <w:right w:val="none" w:sz="0" w:space="0" w:color="auto"/>
      </w:divBdr>
    </w:div>
    <w:div w:id="1573658898">
      <w:bodyDiv w:val="1"/>
      <w:marLeft w:val="0"/>
      <w:marRight w:val="0"/>
      <w:marTop w:val="0"/>
      <w:marBottom w:val="0"/>
      <w:divBdr>
        <w:top w:val="none" w:sz="0" w:space="0" w:color="auto"/>
        <w:left w:val="none" w:sz="0" w:space="0" w:color="auto"/>
        <w:bottom w:val="none" w:sz="0" w:space="0" w:color="auto"/>
        <w:right w:val="none" w:sz="0" w:space="0" w:color="auto"/>
      </w:divBdr>
      <w:divsChild>
        <w:div w:id="1608079285">
          <w:marLeft w:val="1296"/>
          <w:marRight w:val="0"/>
          <w:marTop w:val="120"/>
          <w:marBottom w:val="120"/>
          <w:divBdr>
            <w:top w:val="none" w:sz="0" w:space="0" w:color="auto"/>
            <w:left w:val="none" w:sz="0" w:space="0" w:color="auto"/>
            <w:bottom w:val="none" w:sz="0" w:space="0" w:color="auto"/>
            <w:right w:val="none" w:sz="0" w:space="0" w:color="auto"/>
          </w:divBdr>
        </w:div>
      </w:divsChild>
    </w:div>
    <w:div w:id="1693335918">
      <w:bodyDiv w:val="1"/>
      <w:marLeft w:val="0"/>
      <w:marRight w:val="0"/>
      <w:marTop w:val="0"/>
      <w:marBottom w:val="0"/>
      <w:divBdr>
        <w:top w:val="none" w:sz="0" w:space="0" w:color="auto"/>
        <w:left w:val="none" w:sz="0" w:space="0" w:color="auto"/>
        <w:bottom w:val="none" w:sz="0" w:space="0" w:color="auto"/>
        <w:right w:val="none" w:sz="0" w:space="0" w:color="auto"/>
      </w:divBdr>
      <w:divsChild>
        <w:div w:id="1009723037">
          <w:marLeft w:val="432"/>
          <w:marRight w:val="0"/>
          <w:marTop w:val="120"/>
          <w:marBottom w:val="120"/>
          <w:divBdr>
            <w:top w:val="none" w:sz="0" w:space="0" w:color="auto"/>
            <w:left w:val="none" w:sz="0" w:space="0" w:color="auto"/>
            <w:bottom w:val="none" w:sz="0" w:space="0" w:color="auto"/>
            <w:right w:val="none" w:sz="0" w:space="0" w:color="auto"/>
          </w:divBdr>
        </w:div>
      </w:divsChild>
    </w:div>
    <w:div w:id="1794783964">
      <w:bodyDiv w:val="1"/>
      <w:marLeft w:val="0"/>
      <w:marRight w:val="0"/>
      <w:marTop w:val="0"/>
      <w:marBottom w:val="0"/>
      <w:divBdr>
        <w:top w:val="none" w:sz="0" w:space="0" w:color="auto"/>
        <w:left w:val="none" w:sz="0" w:space="0" w:color="auto"/>
        <w:bottom w:val="none" w:sz="0" w:space="0" w:color="auto"/>
        <w:right w:val="none" w:sz="0" w:space="0" w:color="auto"/>
      </w:divBdr>
    </w:div>
    <w:div w:id="1944802510">
      <w:bodyDiv w:val="1"/>
      <w:marLeft w:val="0"/>
      <w:marRight w:val="0"/>
      <w:marTop w:val="0"/>
      <w:marBottom w:val="0"/>
      <w:divBdr>
        <w:top w:val="none" w:sz="0" w:space="0" w:color="auto"/>
        <w:left w:val="none" w:sz="0" w:space="0" w:color="auto"/>
        <w:bottom w:val="none" w:sz="0" w:space="0" w:color="auto"/>
        <w:right w:val="none" w:sz="0" w:space="0" w:color="auto"/>
      </w:divBdr>
      <w:divsChild>
        <w:div w:id="485972514">
          <w:marLeft w:val="432"/>
          <w:marRight w:val="0"/>
          <w:marTop w:val="120"/>
          <w:marBottom w:val="0"/>
          <w:divBdr>
            <w:top w:val="none" w:sz="0" w:space="0" w:color="auto"/>
            <w:left w:val="none" w:sz="0" w:space="0" w:color="auto"/>
            <w:bottom w:val="none" w:sz="0" w:space="0" w:color="auto"/>
            <w:right w:val="none" w:sz="0" w:space="0" w:color="auto"/>
          </w:divBdr>
        </w:div>
      </w:divsChild>
    </w:div>
    <w:div w:id="21005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About_Parliament/Parliamentary_Departments/Parliamentary_Library/pubs/rp/rp1516/Quick_Guides/Bill" TargetMode="External"/><Relationship Id="rId3" Type="http://schemas.openxmlformats.org/officeDocument/2006/relationships/hyperlink" Target="http://constructingexcellence.org.uk/wp-content/uploads/2014/10/Constructing-the-team-The-Latham-Report.pdf" TargetMode="External"/><Relationship Id="rId7" Type="http://schemas.openxmlformats.org/officeDocument/2006/relationships/hyperlink" Target="http://www.isda.org/publications/regulatorydocumentation.aspx" TargetMode="External"/><Relationship Id="rId2" Type="http://schemas.openxmlformats.org/officeDocument/2006/relationships/hyperlink" Target="http://www.alrc.gov.au/report-20" TargetMode="External"/><Relationship Id="rId1" Type="http://schemas.openxmlformats.org/officeDocument/2006/relationships/hyperlink" Target="http://www.doingbusiness.org/" TargetMode="External"/><Relationship Id="rId6" Type="http://schemas.openxmlformats.org/officeDocument/2006/relationships/hyperlink" Target="https://zoek.officielebekendmakingen.nl/blg-240837.pdf" TargetMode="External"/><Relationship Id="rId5" Type="http://schemas.openxmlformats.org/officeDocument/2006/relationships/hyperlink" Target="https://www.fairwork.gov.au/employee-entitlements/types-of-employees/casual-part-time-and-full-time/casual-employees" TargetMode="External"/><Relationship Id="rId4" Type="http://schemas.openxmlformats.org/officeDocument/2006/relationships/hyperlink" Target="http://constructingexcellence.org.uk/wp-content/uploads/2014/10/rethinking_construction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F8AB-9A5B-4330-9841-0B10EBE9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11608</Words>
  <Characters>66169</Characters>
  <Application>Microsoft Office Word</Application>
  <DocSecurity>0</DocSecurity>
  <Lines>551</Lines>
  <Paragraphs>155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Deakin University</Company>
  <LinksUpToDate>false</LinksUpToDate>
  <CharactersWithSpaces>77622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Deakin University</dc:creator>
  <cp:keywords/>
  <dc:description/>
  <cp:lastModifiedBy>siliqul</cp:lastModifiedBy>
  <cp:revision>2</cp:revision>
  <cp:lastPrinted>2016-11-28T06:57:00Z</cp:lastPrinted>
  <dcterms:created xsi:type="dcterms:W3CDTF">2017-11-27T08:38:00Z</dcterms:created>
  <dcterms:modified xsi:type="dcterms:W3CDTF">2017-11-27T08:38:00Z</dcterms:modified>
</cp:coreProperties>
</file>