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EC" w:rsidRPr="002A7D9E" w:rsidRDefault="003A090A" w:rsidP="00A74DB6">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 xml:space="preserve">‘Just describing is not enough’: </w:t>
      </w:r>
      <w:r w:rsidR="00386E79" w:rsidRPr="002A7D9E">
        <w:rPr>
          <w:rFonts w:ascii="Times New Roman" w:hAnsi="Times New Roman" w:cs="Times New Roman"/>
          <w:b/>
          <w:sz w:val="24"/>
          <w:szCs w:val="24"/>
        </w:rPr>
        <w:t>P</w:t>
      </w:r>
      <w:r w:rsidR="00EC7912" w:rsidRPr="002A7D9E">
        <w:rPr>
          <w:rFonts w:ascii="Times New Roman" w:hAnsi="Times New Roman" w:cs="Times New Roman"/>
          <w:b/>
          <w:sz w:val="24"/>
          <w:szCs w:val="24"/>
        </w:rPr>
        <w:t xml:space="preserve">olicy </w:t>
      </w:r>
      <w:r w:rsidR="00170A89" w:rsidRPr="002A7D9E">
        <w:rPr>
          <w:rFonts w:ascii="Times New Roman" w:hAnsi="Times New Roman" w:cs="Times New Roman"/>
          <w:b/>
          <w:sz w:val="24"/>
          <w:szCs w:val="24"/>
        </w:rPr>
        <w:t xml:space="preserve">learning, </w:t>
      </w:r>
      <w:r w:rsidR="00EC7912" w:rsidRPr="002A7D9E">
        <w:rPr>
          <w:rFonts w:ascii="Times New Roman" w:hAnsi="Times New Roman" w:cs="Times New Roman"/>
          <w:b/>
          <w:sz w:val="24"/>
          <w:szCs w:val="24"/>
        </w:rPr>
        <w:t>transfer,</w:t>
      </w:r>
      <w:r w:rsidR="00E77D57" w:rsidRPr="002A7D9E">
        <w:rPr>
          <w:rFonts w:ascii="Times New Roman" w:hAnsi="Times New Roman" w:cs="Times New Roman"/>
          <w:b/>
          <w:sz w:val="24"/>
          <w:szCs w:val="24"/>
        </w:rPr>
        <w:t xml:space="preserve"> and the limits of best practices</w:t>
      </w:r>
    </w:p>
    <w:p w:rsidR="00E77D57" w:rsidRPr="002A7D9E" w:rsidRDefault="00E77D57" w:rsidP="00A74DB6">
      <w:pPr>
        <w:spacing w:after="0" w:line="480" w:lineRule="auto"/>
        <w:rPr>
          <w:rFonts w:ascii="Times New Roman" w:hAnsi="Times New Roman" w:cs="Times New Roman"/>
          <w:sz w:val="24"/>
          <w:szCs w:val="24"/>
        </w:rPr>
      </w:pPr>
    </w:p>
    <w:p w:rsidR="008F68EC" w:rsidRPr="002A7D9E" w:rsidRDefault="00F34C3D" w:rsidP="00A74DB6">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Introduction</w:t>
      </w:r>
    </w:p>
    <w:p w:rsidR="009000AD" w:rsidRPr="002A7D9E" w:rsidRDefault="009000AD" w:rsidP="00A74DB6">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This article discusses the effectiveness of </w:t>
      </w:r>
      <w:r w:rsidR="00BF3307" w:rsidRPr="002A7D9E">
        <w:rPr>
          <w:rFonts w:ascii="Times New Roman" w:hAnsi="Times New Roman" w:cs="Times New Roman"/>
          <w:sz w:val="24"/>
          <w:szCs w:val="24"/>
        </w:rPr>
        <w:t xml:space="preserve">policy learning and exchange </w:t>
      </w:r>
      <w:r w:rsidRPr="002A7D9E">
        <w:rPr>
          <w:rFonts w:ascii="Times New Roman" w:hAnsi="Times New Roman" w:cs="Times New Roman"/>
          <w:sz w:val="24"/>
          <w:szCs w:val="24"/>
        </w:rPr>
        <w:t xml:space="preserve">via best </w:t>
      </w:r>
      <w:r w:rsidR="00986CC9" w:rsidRPr="002A7D9E">
        <w:rPr>
          <w:rFonts w:ascii="Times New Roman" w:hAnsi="Times New Roman" w:cs="Times New Roman"/>
          <w:sz w:val="24"/>
          <w:szCs w:val="24"/>
        </w:rPr>
        <w:t xml:space="preserve">practices </w:t>
      </w:r>
      <w:r w:rsidR="00EC7912" w:rsidRPr="002A7D9E">
        <w:rPr>
          <w:rFonts w:ascii="Times New Roman" w:hAnsi="Times New Roman" w:cs="Times New Roman"/>
          <w:sz w:val="24"/>
          <w:szCs w:val="24"/>
        </w:rPr>
        <w:t>in</w:t>
      </w:r>
      <w:r w:rsidR="008F29B7" w:rsidRPr="002A7D9E">
        <w:rPr>
          <w:rFonts w:ascii="Times New Roman" w:hAnsi="Times New Roman" w:cs="Times New Roman"/>
          <w:sz w:val="24"/>
          <w:szCs w:val="24"/>
        </w:rPr>
        <w:t xml:space="preserve"> cultural </w:t>
      </w:r>
      <w:r w:rsidR="00986CC9" w:rsidRPr="002A7D9E">
        <w:rPr>
          <w:rFonts w:ascii="Times New Roman" w:hAnsi="Times New Roman" w:cs="Times New Roman"/>
          <w:sz w:val="24"/>
          <w:szCs w:val="24"/>
        </w:rPr>
        <w:t>policy</w:t>
      </w:r>
      <w:r w:rsidRPr="002A7D9E">
        <w:rPr>
          <w:rFonts w:ascii="Times New Roman" w:hAnsi="Times New Roman" w:cs="Times New Roman"/>
          <w:sz w:val="24"/>
          <w:szCs w:val="24"/>
        </w:rPr>
        <w:t>, using a case study of cross-national policy coordination in the European Union</w:t>
      </w:r>
      <w:r w:rsidR="00AC41DE" w:rsidRPr="002A7D9E">
        <w:rPr>
          <w:rFonts w:ascii="Times New Roman" w:hAnsi="Times New Roman" w:cs="Times New Roman"/>
          <w:sz w:val="24"/>
          <w:szCs w:val="24"/>
        </w:rPr>
        <w:t xml:space="preserve"> (EU)</w:t>
      </w:r>
      <w:r w:rsidRPr="002A7D9E">
        <w:rPr>
          <w:rFonts w:ascii="Times New Roman" w:hAnsi="Times New Roman" w:cs="Times New Roman"/>
          <w:sz w:val="24"/>
          <w:szCs w:val="24"/>
        </w:rPr>
        <w:t xml:space="preserve">. Though </w:t>
      </w:r>
      <w:r w:rsidR="00011175" w:rsidRPr="002A7D9E">
        <w:rPr>
          <w:rFonts w:ascii="Times New Roman" w:hAnsi="Times New Roman" w:cs="Times New Roman"/>
          <w:sz w:val="24"/>
          <w:szCs w:val="24"/>
        </w:rPr>
        <w:t xml:space="preserve">used frequently </w:t>
      </w:r>
      <w:r w:rsidR="00EC7912" w:rsidRPr="002A7D9E">
        <w:rPr>
          <w:rFonts w:ascii="Times New Roman" w:hAnsi="Times New Roman" w:cs="Times New Roman"/>
          <w:sz w:val="24"/>
          <w:szCs w:val="24"/>
        </w:rPr>
        <w:t>in the cultural field</w:t>
      </w:r>
      <w:r w:rsidRPr="002A7D9E">
        <w:rPr>
          <w:rFonts w:ascii="Times New Roman" w:hAnsi="Times New Roman" w:cs="Times New Roman"/>
          <w:sz w:val="24"/>
          <w:szCs w:val="24"/>
        </w:rPr>
        <w:t xml:space="preserve">, </w:t>
      </w:r>
      <w:r w:rsidR="00197D0D" w:rsidRPr="002A7D9E">
        <w:rPr>
          <w:rFonts w:ascii="Times New Roman" w:hAnsi="Times New Roman" w:cs="Times New Roman"/>
          <w:sz w:val="24"/>
          <w:szCs w:val="24"/>
        </w:rPr>
        <w:t xml:space="preserve">particularly in a cross-national context, </w:t>
      </w:r>
      <w:r w:rsidR="006A2AAC" w:rsidRPr="002A7D9E">
        <w:rPr>
          <w:rFonts w:ascii="Times New Roman" w:hAnsi="Times New Roman" w:cs="Times New Roman"/>
          <w:sz w:val="24"/>
          <w:szCs w:val="24"/>
        </w:rPr>
        <w:t>the</w:t>
      </w:r>
      <w:r w:rsidR="00B357E2" w:rsidRPr="002A7D9E">
        <w:rPr>
          <w:rFonts w:ascii="Times New Roman" w:hAnsi="Times New Roman" w:cs="Times New Roman"/>
          <w:sz w:val="24"/>
          <w:szCs w:val="24"/>
        </w:rPr>
        <w:t xml:space="preserve"> understanding of </w:t>
      </w:r>
      <w:r w:rsidR="00BB39FC" w:rsidRPr="002A7D9E">
        <w:rPr>
          <w:rFonts w:ascii="Times New Roman" w:hAnsi="Times New Roman" w:cs="Times New Roman"/>
          <w:sz w:val="24"/>
          <w:szCs w:val="24"/>
        </w:rPr>
        <w:t xml:space="preserve">the effectiveness and suitability of </w:t>
      </w:r>
      <w:r w:rsidR="00B357E2" w:rsidRPr="002A7D9E">
        <w:rPr>
          <w:rFonts w:ascii="Times New Roman" w:hAnsi="Times New Roman" w:cs="Times New Roman"/>
          <w:sz w:val="24"/>
          <w:szCs w:val="24"/>
        </w:rPr>
        <w:t>be</w:t>
      </w:r>
      <w:r w:rsidR="00BB39FC" w:rsidRPr="002A7D9E">
        <w:rPr>
          <w:rFonts w:ascii="Times New Roman" w:hAnsi="Times New Roman" w:cs="Times New Roman"/>
          <w:sz w:val="24"/>
          <w:szCs w:val="24"/>
        </w:rPr>
        <w:t>st practices</w:t>
      </w:r>
      <w:r w:rsidR="006A2AAC" w:rsidRPr="002A7D9E">
        <w:rPr>
          <w:rFonts w:ascii="Times New Roman" w:hAnsi="Times New Roman" w:cs="Times New Roman"/>
          <w:sz w:val="24"/>
          <w:szCs w:val="24"/>
        </w:rPr>
        <w:t xml:space="preserve"> as a method of sharing and exchange </w:t>
      </w:r>
      <w:r w:rsidR="0050215A" w:rsidRPr="002A7D9E">
        <w:rPr>
          <w:rFonts w:ascii="Times New Roman" w:hAnsi="Times New Roman" w:cs="Times New Roman"/>
          <w:sz w:val="24"/>
          <w:szCs w:val="24"/>
        </w:rPr>
        <w:t xml:space="preserve">remains </w:t>
      </w:r>
      <w:r w:rsidR="00B75CC4" w:rsidRPr="002A7D9E">
        <w:rPr>
          <w:rFonts w:ascii="Times New Roman" w:hAnsi="Times New Roman" w:cs="Times New Roman"/>
          <w:sz w:val="24"/>
          <w:szCs w:val="24"/>
        </w:rPr>
        <w:t xml:space="preserve">limited. </w:t>
      </w:r>
      <w:r w:rsidR="008C13FD" w:rsidRPr="002A7D9E">
        <w:rPr>
          <w:rFonts w:ascii="Times New Roman" w:hAnsi="Times New Roman" w:cs="Times New Roman"/>
          <w:sz w:val="24"/>
          <w:szCs w:val="24"/>
        </w:rPr>
        <w:t xml:space="preserve">The objective of this article is </w:t>
      </w:r>
      <w:proofErr w:type="gramStart"/>
      <w:r w:rsidR="008C13FD" w:rsidRPr="002A7D9E">
        <w:rPr>
          <w:rFonts w:ascii="Times New Roman" w:hAnsi="Times New Roman" w:cs="Times New Roman"/>
          <w:sz w:val="24"/>
          <w:szCs w:val="24"/>
        </w:rPr>
        <w:t xml:space="preserve">to </w:t>
      </w:r>
      <w:r w:rsidR="00011175" w:rsidRPr="002A7D9E">
        <w:rPr>
          <w:rFonts w:ascii="Times New Roman" w:hAnsi="Times New Roman" w:cs="Times New Roman"/>
          <w:sz w:val="24"/>
          <w:szCs w:val="24"/>
        </w:rPr>
        <w:t>critical</w:t>
      </w:r>
      <w:r w:rsidR="00F350A5" w:rsidRPr="002A7D9E">
        <w:rPr>
          <w:rFonts w:ascii="Times New Roman" w:hAnsi="Times New Roman" w:cs="Times New Roman"/>
          <w:sz w:val="24"/>
          <w:szCs w:val="24"/>
        </w:rPr>
        <w:t>ly examine</w:t>
      </w:r>
      <w:proofErr w:type="gramEnd"/>
      <w:r w:rsidR="00011175" w:rsidRPr="002A7D9E">
        <w:rPr>
          <w:rFonts w:ascii="Times New Roman" w:hAnsi="Times New Roman" w:cs="Times New Roman"/>
          <w:sz w:val="24"/>
          <w:szCs w:val="24"/>
        </w:rPr>
        <w:t xml:space="preserve"> the idea of best practices</w:t>
      </w:r>
      <w:r w:rsidR="008C13FD" w:rsidRPr="002A7D9E">
        <w:rPr>
          <w:rFonts w:ascii="Times New Roman" w:hAnsi="Times New Roman" w:cs="Times New Roman"/>
          <w:sz w:val="24"/>
          <w:szCs w:val="24"/>
        </w:rPr>
        <w:t xml:space="preserve">, </w:t>
      </w:r>
      <w:r w:rsidR="00F350A5" w:rsidRPr="002A7D9E">
        <w:rPr>
          <w:rFonts w:ascii="Times New Roman" w:hAnsi="Times New Roman" w:cs="Times New Roman"/>
          <w:sz w:val="24"/>
          <w:szCs w:val="24"/>
        </w:rPr>
        <w:t>looking at the processes of “producing” them as well as their subsequent use. It also</w:t>
      </w:r>
      <w:r w:rsidR="008C13FD" w:rsidRPr="002A7D9E">
        <w:rPr>
          <w:rFonts w:ascii="Times New Roman" w:hAnsi="Times New Roman" w:cs="Times New Roman"/>
          <w:sz w:val="24"/>
          <w:szCs w:val="24"/>
        </w:rPr>
        <w:t xml:space="preserve"> offers </w:t>
      </w:r>
      <w:r w:rsidR="00AF2130" w:rsidRPr="002A7D9E">
        <w:rPr>
          <w:rFonts w:ascii="Times New Roman" w:hAnsi="Times New Roman" w:cs="Times New Roman"/>
          <w:sz w:val="24"/>
          <w:szCs w:val="24"/>
        </w:rPr>
        <w:t xml:space="preserve">six </w:t>
      </w:r>
      <w:r w:rsidR="008C13FD" w:rsidRPr="002A7D9E">
        <w:rPr>
          <w:rFonts w:ascii="Times New Roman" w:hAnsi="Times New Roman" w:cs="Times New Roman"/>
          <w:sz w:val="24"/>
          <w:szCs w:val="24"/>
        </w:rPr>
        <w:t xml:space="preserve">concrete lessons </w:t>
      </w:r>
      <w:r w:rsidR="00EF5EB7" w:rsidRPr="002A7D9E">
        <w:rPr>
          <w:rFonts w:ascii="Times New Roman" w:hAnsi="Times New Roman" w:cs="Times New Roman"/>
          <w:sz w:val="24"/>
          <w:szCs w:val="24"/>
        </w:rPr>
        <w:t>on</w:t>
      </w:r>
      <w:r w:rsidR="008C13FD" w:rsidRPr="002A7D9E">
        <w:rPr>
          <w:rFonts w:ascii="Times New Roman" w:hAnsi="Times New Roman" w:cs="Times New Roman"/>
          <w:sz w:val="24"/>
          <w:szCs w:val="24"/>
        </w:rPr>
        <w:t xml:space="preserve"> how to best maximize</w:t>
      </w:r>
      <w:r w:rsidR="0091561C" w:rsidRPr="002A7D9E">
        <w:rPr>
          <w:rFonts w:ascii="Times New Roman" w:hAnsi="Times New Roman" w:cs="Times New Roman"/>
          <w:sz w:val="24"/>
          <w:szCs w:val="24"/>
        </w:rPr>
        <w:t xml:space="preserve"> </w:t>
      </w:r>
      <w:r w:rsidR="00D40EFF" w:rsidRPr="002A7D9E">
        <w:rPr>
          <w:rFonts w:ascii="Times New Roman" w:hAnsi="Times New Roman" w:cs="Times New Roman"/>
          <w:sz w:val="24"/>
          <w:szCs w:val="24"/>
        </w:rPr>
        <w:t xml:space="preserve">the viability of best practices as a </w:t>
      </w:r>
      <w:r w:rsidR="00EF328B" w:rsidRPr="002A7D9E">
        <w:rPr>
          <w:rFonts w:ascii="Times New Roman" w:hAnsi="Times New Roman" w:cs="Times New Roman"/>
          <w:sz w:val="24"/>
          <w:szCs w:val="24"/>
        </w:rPr>
        <w:t>way</w:t>
      </w:r>
      <w:r w:rsidR="00D40EFF" w:rsidRPr="002A7D9E">
        <w:rPr>
          <w:rFonts w:ascii="Times New Roman" w:hAnsi="Times New Roman" w:cs="Times New Roman"/>
          <w:sz w:val="24"/>
          <w:szCs w:val="24"/>
        </w:rPr>
        <w:t xml:space="preserve"> of</w:t>
      </w:r>
      <w:r w:rsidR="00EF328B" w:rsidRPr="002A7D9E">
        <w:rPr>
          <w:rFonts w:ascii="Times New Roman" w:hAnsi="Times New Roman" w:cs="Times New Roman"/>
          <w:sz w:val="24"/>
          <w:szCs w:val="24"/>
        </w:rPr>
        <w:t xml:space="preserve"> drawing</w:t>
      </w:r>
      <w:r w:rsidR="00D40EFF" w:rsidRPr="002A7D9E">
        <w:rPr>
          <w:rFonts w:ascii="Times New Roman" w:hAnsi="Times New Roman" w:cs="Times New Roman"/>
          <w:sz w:val="24"/>
          <w:szCs w:val="24"/>
        </w:rPr>
        <w:t xml:space="preserve"> lesson</w:t>
      </w:r>
      <w:r w:rsidR="00EF328B" w:rsidRPr="002A7D9E">
        <w:rPr>
          <w:rFonts w:ascii="Times New Roman" w:hAnsi="Times New Roman" w:cs="Times New Roman"/>
          <w:sz w:val="24"/>
          <w:szCs w:val="24"/>
        </w:rPr>
        <w:t>s</w:t>
      </w:r>
      <w:r w:rsidR="00D40EFF" w:rsidRPr="002A7D9E">
        <w:rPr>
          <w:rFonts w:ascii="Times New Roman" w:hAnsi="Times New Roman" w:cs="Times New Roman"/>
          <w:sz w:val="24"/>
          <w:szCs w:val="24"/>
        </w:rPr>
        <w:t xml:space="preserve"> and </w:t>
      </w:r>
      <w:r w:rsidR="00EF328B" w:rsidRPr="002A7D9E">
        <w:rPr>
          <w:rFonts w:ascii="Times New Roman" w:hAnsi="Times New Roman" w:cs="Times New Roman"/>
          <w:sz w:val="24"/>
          <w:szCs w:val="24"/>
        </w:rPr>
        <w:t xml:space="preserve">transferring </w:t>
      </w:r>
      <w:r w:rsidR="009D029F" w:rsidRPr="002A7D9E">
        <w:rPr>
          <w:rFonts w:ascii="Times New Roman" w:hAnsi="Times New Roman" w:cs="Times New Roman"/>
          <w:sz w:val="24"/>
          <w:szCs w:val="24"/>
        </w:rPr>
        <w:t>policies.</w:t>
      </w:r>
      <w:r w:rsidR="00071C36" w:rsidRPr="002A7D9E">
        <w:rPr>
          <w:rFonts w:ascii="Times New Roman" w:hAnsi="Times New Roman" w:cs="Times New Roman"/>
          <w:sz w:val="24"/>
          <w:szCs w:val="24"/>
        </w:rPr>
        <w:t xml:space="preserve"> The article fills a gap in the cultural policy literature by using well-developed theor</w:t>
      </w:r>
      <w:r w:rsidR="00984F75" w:rsidRPr="002A7D9E">
        <w:rPr>
          <w:rFonts w:ascii="Times New Roman" w:hAnsi="Times New Roman" w:cs="Times New Roman"/>
          <w:sz w:val="24"/>
          <w:szCs w:val="24"/>
        </w:rPr>
        <w:t>etical frameworks</w:t>
      </w:r>
      <w:r w:rsidR="00071C36" w:rsidRPr="002A7D9E">
        <w:rPr>
          <w:rFonts w:ascii="Times New Roman" w:hAnsi="Times New Roman" w:cs="Times New Roman"/>
          <w:sz w:val="24"/>
          <w:szCs w:val="24"/>
        </w:rPr>
        <w:t xml:space="preserve"> from </w:t>
      </w:r>
      <w:r w:rsidR="005C6A64" w:rsidRPr="002A7D9E">
        <w:rPr>
          <w:rFonts w:ascii="Times New Roman" w:hAnsi="Times New Roman" w:cs="Times New Roman"/>
          <w:sz w:val="24"/>
          <w:szCs w:val="24"/>
        </w:rPr>
        <w:t xml:space="preserve">the discipline of </w:t>
      </w:r>
      <w:r w:rsidR="00071C36" w:rsidRPr="002A7D9E">
        <w:rPr>
          <w:rFonts w:ascii="Times New Roman" w:hAnsi="Times New Roman" w:cs="Times New Roman"/>
          <w:sz w:val="24"/>
          <w:szCs w:val="24"/>
        </w:rPr>
        <w:t>public policy</w:t>
      </w:r>
      <w:r w:rsidR="00EA7187" w:rsidRPr="002A7D9E">
        <w:rPr>
          <w:rFonts w:ascii="Times New Roman" w:hAnsi="Times New Roman" w:cs="Times New Roman"/>
          <w:sz w:val="24"/>
          <w:szCs w:val="24"/>
        </w:rPr>
        <w:t xml:space="preserve"> </w:t>
      </w:r>
      <w:r w:rsidR="00984F75" w:rsidRPr="002A7D9E">
        <w:rPr>
          <w:rFonts w:ascii="Times New Roman" w:hAnsi="Times New Roman" w:cs="Times New Roman"/>
          <w:sz w:val="24"/>
          <w:szCs w:val="24"/>
        </w:rPr>
        <w:t xml:space="preserve">to examine </w:t>
      </w:r>
      <w:r w:rsidR="00071C36" w:rsidRPr="002A7D9E">
        <w:rPr>
          <w:rFonts w:ascii="Times New Roman" w:hAnsi="Times New Roman" w:cs="Times New Roman"/>
          <w:sz w:val="24"/>
          <w:szCs w:val="24"/>
        </w:rPr>
        <w:t xml:space="preserve">the </w:t>
      </w:r>
      <w:r w:rsidR="005C6A64" w:rsidRPr="002A7D9E">
        <w:rPr>
          <w:rFonts w:ascii="Times New Roman" w:hAnsi="Times New Roman" w:cs="Times New Roman"/>
          <w:sz w:val="24"/>
          <w:szCs w:val="24"/>
        </w:rPr>
        <w:t>use</w:t>
      </w:r>
      <w:r w:rsidR="00071C36" w:rsidRPr="002A7D9E">
        <w:rPr>
          <w:rFonts w:ascii="Times New Roman" w:hAnsi="Times New Roman" w:cs="Times New Roman"/>
          <w:sz w:val="24"/>
          <w:szCs w:val="24"/>
        </w:rPr>
        <w:t xml:space="preserve"> b</w:t>
      </w:r>
      <w:r w:rsidR="00984F75" w:rsidRPr="002A7D9E">
        <w:rPr>
          <w:rFonts w:ascii="Times New Roman" w:hAnsi="Times New Roman" w:cs="Times New Roman"/>
          <w:sz w:val="24"/>
          <w:szCs w:val="24"/>
        </w:rPr>
        <w:t xml:space="preserve">est </w:t>
      </w:r>
      <w:r w:rsidR="00071C36" w:rsidRPr="002A7D9E">
        <w:rPr>
          <w:rFonts w:ascii="Times New Roman" w:hAnsi="Times New Roman" w:cs="Times New Roman"/>
          <w:sz w:val="24"/>
          <w:szCs w:val="24"/>
        </w:rPr>
        <w:t>p</w:t>
      </w:r>
      <w:r w:rsidR="00984F75" w:rsidRPr="002A7D9E">
        <w:rPr>
          <w:rFonts w:ascii="Times New Roman" w:hAnsi="Times New Roman" w:cs="Times New Roman"/>
          <w:sz w:val="24"/>
          <w:szCs w:val="24"/>
        </w:rPr>
        <w:t>ractices</w:t>
      </w:r>
      <w:r w:rsidR="00071C36" w:rsidRPr="002A7D9E">
        <w:rPr>
          <w:rFonts w:ascii="Times New Roman" w:hAnsi="Times New Roman" w:cs="Times New Roman"/>
          <w:sz w:val="24"/>
          <w:szCs w:val="24"/>
        </w:rPr>
        <w:t xml:space="preserve"> in the cultural field</w:t>
      </w:r>
      <w:r w:rsidR="00984F75" w:rsidRPr="002A7D9E">
        <w:rPr>
          <w:rFonts w:ascii="Times New Roman" w:hAnsi="Times New Roman" w:cs="Times New Roman"/>
          <w:sz w:val="24"/>
          <w:szCs w:val="24"/>
        </w:rPr>
        <w:t>.</w:t>
      </w:r>
    </w:p>
    <w:p w:rsidR="00535156" w:rsidRPr="002A7D9E" w:rsidRDefault="00535156" w:rsidP="00A74DB6">
      <w:pPr>
        <w:spacing w:after="0" w:line="480" w:lineRule="auto"/>
        <w:rPr>
          <w:rFonts w:ascii="Times New Roman" w:hAnsi="Times New Roman" w:cs="Times New Roman"/>
          <w:sz w:val="24"/>
          <w:szCs w:val="24"/>
        </w:rPr>
      </w:pPr>
    </w:p>
    <w:p w:rsidR="00197D0D" w:rsidRPr="002A7D9E" w:rsidRDefault="00C374CB" w:rsidP="00A74DB6">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The </w:t>
      </w:r>
      <w:r w:rsidR="0050215A" w:rsidRPr="002A7D9E">
        <w:rPr>
          <w:rFonts w:ascii="Times New Roman" w:hAnsi="Times New Roman" w:cs="Times New Roman"/>
          <w:sz w:val="24"/>
          <w:szCs w:val="24"/>
        </w:rPr>
        <w:t xml:space="preserve">general </w:t>
      </w:r>
      <w:r w:rsidRPr="002A7D9E">
        <w:rPr>
          <w:rFonts w:ascii="Times New Roman" w:hAnsi="Times New Roman" w:cs="Times New Roman"/>
          <w:sz w:val="24"/>
          <w:szCs w:val="24"/>
        </w:rPr>
        <w:t>aim of b</w:t>
      </w:r>
      <w:r w:rsidR="00F139CD" w:rsidRPr="002A7D9E">
        <w:rPr>
          <w:rFonts w:ascii="Times New Roman" w:hAnsi="Times New Roman" w:cs="Times New Roman"/>
          <w:sz w:val="24"/>
          <w:szCs w:val="24"/>
        </w:rPr>
        <w:t xml:space="preserve">est practices </w:t>
      </w:r>
      <w:r w:rsidRPr="002A7D9E">
        <w:rPr>
          <w:rFonts w:ascii="Times New Roman" w:hAnsi="Times New Roman" w:cs="Times New Roman"/>
          <w:sz w:val="24"/>
          <w:szCs w:val="24"/>
        </w:rPr>
        <w:t xml:space="preserve">is to </w:t>
      </w:r>
      <w:proofErr w:type="gramStart"/>
      <w:r w:rsidRPr="002A7D9E">
        <w:rPr>
          <w:rFonts w:ascii="Times New Roman" w:hAnsi="Times New Roman" w:cs="Times New Roman"/>
          <w:sz w:val="24"/>
          <w:szCs w:val="24"/>
        </w:rPr>
        <w:t>showcase</w:t>
      </w:r>
      <w:proofErr w:type="gramEnd"/>
      <w:r w:rsidRPr="002A7D9E">
        <w:rPr>
          <w:rFonts w:ascii="Times New Roman" w:hAnsi="Times New Roman" w:cs="Times New Roman"/>
          <w:sz w:val="24"/>
          <w:szCs w:val="24"/>
        </w:rPr>
        <w:t xml:space="preserve"> a set of </w:t>
      </w:r>
      <w:r w:rsidR="0018003E" w:rsidRPr="002A7D9E">
        <w:rPr>
          <w:rFonts w:ascii="Times New Roman" w:hAnsi="Times New Roman" w:cs="Times New Roman"/>
          <w:sz w:val="24"/>
          <w:szCs w:val="24"/>
        </w:rPr>
        <w:t>superior</w:t>
      </w:r>
      <w:r w:rsidR="00EC7912" w:rsidRPr="002A7D9E">
        <w:rPr>
          <w:rFonts w:ascii="Times New Roman" w:hAnsi="Times New Roman" w:cs="Times New Roman"/>
          <w:sz w:val="24"/>
          <w:szCs w:val="24"/>
        </w:rPr>
        <w:t>, workable</w:t>
      </w:r>
      <w:r w:rsidR="002209C0" w:rsidRPr="002A7D9E">
        <w:rPr>
          <w:rFonts w:ascii="Times New Roman" w:hAnsi="Times New Roman" w:cs="Times New Roman"/>
          <w:sz w:val="24"/>
          <w:szCs w:val="24"/>
        </w:rPr>
        <w:t xml:space="preserve"> ideas – “</w:t>
      </w:r>
      <w:r w:rsidRPr="002A7D9E">
        <w:rPr>
          <w:rFonts w:ascii="Times New Roman" w:hAnsi="Times New Roman" w:cs="Times New Roman"/>
          <w:sz w:val="24"/>
          <w:szCs w:val="24"/>
        </w:rPr>
        <w:t>proven</w:t>
      </w:r>
      <w:r w:rsidR="002209C0" w:rsidRPr="002A7D9E">
        <w:rPr>
          <w:rFonts w:ascii="Times New Roman" w:hAnsi="Times New Roman" w:cs="Times New Roman"/>
          <w:sz w:val="24"/>
          <w:szCs w:val="24"/>
        </w:rPr>
        <w:t>”</w:t>
      </w:r>
      <w:r w:rsidRPr="002A7D9E">
        <w:rPr>
          <w:rFonts w:ascii="Times New Roman" w:hAnsi="Times New Roman" w:cs="Times New Roman"/>
          <w:sz w:val="24"/>
          <w:szCs w:val="24"/>
        </w:rPr>
        <w:t xml:space="preserve"> </w:t>
      </w:r>
      <w:r w:rsidR="00EC7912" w:rsidRPr="002A7D9E">
        <w:rPr>
          <w:rFonts w:ascii="Times New Roman" w:hAnsi="Times New Roman" w:cs="Times New Roman"/>
          <w:sz w:val="24"/>
          <w:szCs w:val="24"/>
        </w:rPr>
        <w:t>solutions</w:t>
      </w:r>
      <w:r w:rsidRPr="002A7D9E">
        <w:rPr>
          <w:rFonts w:ascii="Times New Roman" w:hAnsi="Times New Roman" w:cs="Times New Roman"/>
          <w:sz w:val="24"/>
          <w:szCs w:val="24"/>
        </w:rPr>
        <w:t xml:space="preserve"> in one context</w:t>
      </w:r>
      <w:r w:rsidR="00F86EA9"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 </w:t>
      </w:r>
      <w:r w:rsidR="00A676F3" w:rsidRPr="002A7D9E">
        <w:rPr>
          <w:rFonts w:ascii="Times New Roman" w:hAnsi="Times New Roman" w:cs="Times New Roman"/>
          <w:sz w:val="24"/>
          <w:szCs w:val="24"/>
        </w:rPr>
        <w:t>so</w:t>
      </w:r>
      <w:r w:rsidR="00F86EA9" w:rsidRPr="002A7D9E">
        <w:rPr>
          <w:rFonts w:ascii="Times New Roman" w:hAnsi="Times New Roman" w:cs="Times New Roman"/>
          <w:sz w:val="24"/>
          <w:szCs w:val="24"/>
        </w:rPr>
        <w:t xml:space="preserve"> </w:t>
      </w:r>
      <w:r w:rsidR="00A676F3" w:rsidRPr="002A7D9E">
        <w:rPr>
          <w:rFonts w:ascii="Times New Roman" w:hAnsi="Times New Roman" w:cs="Times New Roman"/>
          <w:sz w:val="24"/>
          <w:szCs w:val="24"/>
        </w:rPr>
        <w:t xml:space="preserve">that </w:t>
      </w:r>
      <w:r w:rsidR="00F86EA9" w:rsidRPr="002A7D9E">
        <w:rPr>
          <w:rFonts w:ascii="Times New Roman" w:hAnsi="Times New Roman" w:cs="Times New Roman"/>
          <w:sz w:val="24"/>
          <w:szCs w:val="24"/>
        </w:rPr>
        <w:t>individuals</w:t>
      </w:r>
      <w:r w:rsidR="00A676F3" w:rsidRPr="002A7D9E">
        <w:rPr>
          <w:rFonts w:ascii="Times New Roman" w:hAnsi="Times New Roman" w:cs="Times New Roman"/>
          <w:sz w:val="24"/>
          <w:szCs w:val="24"/>
        </w:rPr>
        <w:t>, organizations, and/or countries can learn from what has worked elsewhere.</w:t>
      </w:r>
      <w:r w:rsidR="00941F4A" w:rsidRPr="002A7D9E">
        <w:rPr>
          <w:rFonts w:ascii="Times New Roman" w:hAnsi="Times New Roman" w:cs="Times New Roman"/>
          <w:sz w:val="24"/>
          <w:szCs w:val="24"/>
        </w:rPr>
        <w:t xml:space="preserve"> I</w:t>
      </w:r>
      <w:r w:rsidR="002908BF" w:rsidRPr="002A7D9E">
        <w:rPr>
          <w:rFonts w:ascii="Times New Roman" w:hAnsi="Times New Roman" w:cs="Times New Roman"/>
          <w:sz w:val="24"/>
          <w:szCs w:val="24"/>
        </w:rPr>
        <w:t>n a cross-national set</w:t>
      </w:r>
      <w:r w:rsidR="00941F4A" w:rsidRPr="002A7D9E">
        <w:rPr>
          <w:rFonts w:ascii="Times New Roman" w:hAnsi="Times New Roman" w:cs="Times New Roman"/>
          <w:sz w:val="24"/>
          <w:szCs w:val="24"/>
        </w:rPr>
        <w:t>t</w:t>
      </w:r>
      <w:r w:rsidR="002908BF" w:rsidRPr="002A7D9E">
        <w:rPr>
          <w:rFonts w:ascii="Times New Roman" w:hAnsi="Times New Roman" w:cs="Times New Roman"/>
          <w:sz w:val="24"/>
          <w:szCs w:val="24"/>
        </w:rPr>
        <w:t>ing,</w:t>
      </w:r>
      <w:r w:rsidR="0095534A" w:rsidRPr="002A7D9E">
        <w:rPr>
          <w:rFonts w:ascii="Times New Roman" w:hAnsi="Times New Roman" w:cs="Times New Roman"/>
          <w:sz w:val="24"/>
          <w:szCs w:val="24"/>
        </w:rPr>
        <w:t xml:space="preserve"> the collection of best practices</w:t>
      </w:r>
      <w:r w:rsidR="00941F4A" w:rsidRPr="002A7D9E">
        <w:rPr>
          <w:rFonts w:ascii="Times New Roman" w:hAnsi="Times New Roman" w:cs="Times New Roman"/>
          <w:sz w:val="24"/>
          <w:szCs w:val="24"/>
        </w:rPr>
        <w:t xml:space="preserve"> ‘distils the many experiences of several countries into a manageable synthesis’ (</w:t>
      </w:r>
      <w:proofErr w:type="spellStart"/>
      <w:r w:rsidR="00941F4A" w:rsidRPr="002A7D9E">
        <w:rPr>
          <w:rFonts w:ascii="Times New Roman" w:hAnsi="Times New Roman" w:cs="Times New Roman"/>
          <w:sz w:val="24"/>
          <w:szCs w:val="24"/>
        </w:rPr>
        <w:t>Radaelli</w:t>
      </w:r>
      <w:proofErr w:type="spellEnd"/>
      <w:r w:rsidR="00941F4A" w:rsidRPr="002A7D9E">
        <w:rPr>
          <w:rFonts w:ascii="Times New Roman" w:hAnsi="Times New Roman" w:cs="Times New Roman"/>
          <w:sz w:val="24"/>
          <w:szCs w:val="24"/>
        </w:rPr>
        <w:t xml:space="preserve"> 2004, </w:t>
      </w:r>
      <w:r w:rsidR="00A22EB8" w:rsidRPr="002A7D9E">
        <w:rPr>
          <w:rFonts w:ascii="Times New Roman" w:hAnsi="Times New Roman" w:cs="Times New Roman"/>
          <w:sz w:val="24"/>
          <w:szCs w:val="24"/>
        </w:rPr>
        <w:t xml:space="preserve">726). </w:t>
      </w:r>
      <w:proofErr w:type="gramStart"/>
      <w:r w:rsidR="0095534A" w:rsidRPr="002A7D9E">
        <w:rPr>
          <w:rFonts w:ascii="Times New Roman" w:hAnsi="Times New Roman" w:cs="Times New Roman"/>
          <w:sz w:val="24"/>
          <w:szCs w:val="24"/>
        </w:rPr>
        <w:t>Despite the challenges of comparing and transferring policy (see</w:t>
      </w:r>
      <w:r w:rsidR="00C26CB1" w:rsidRPr="002A7D9E">
        <w:rPr>
          <w:rFonts w:ascii="Times New Roman" w:hAnsi="Times New Roman" w:cs="Times New Roman"/>
          <w:sz w:val="24"/>
          <w:szCs w:val="24"/>
        </w:rPr>
        <w:t xml:space="preserve"> Feldman </w:t>
      </w:r>
      <w:r w:rsidR="00C26CB1" w:rsidRPr="002A7D9E">
        <w:rPr>
          <w:rFonts w:ascii="Times New Roman" w:hAnsi="Times New Roman" w:cs="Times New Roman"/>
          <w:sz w:val="24"/>
          <w:szCs w:val="24"/>
        </w:rPr>
        <w:lastRenderedPageBreak/>
        <w:t>1978,</w:t>
      </w:r>
      <w:r w:rsidR="0095534A" w:rsidRPr="002A7D9E">
        <w:rPr>
          <w:rFonts w:ascii="Times New Roman" w:hAnsi="Times New Roman" w:cs="Times New Roman"/>
          <w:sz w:val="24"/>
          <w:szCs w:val="24"/>
        </w:rPr>
        <w:t xml:space="preserve"> </w:t>
      </w:r>
      <w:r w:rsidR="006651C8" w:rsidRPr="002A7D9E">
        <w:rPr>
          <w:rFonts w:ascii="Times New Roman" w:hAnsi="Times New Roman" w:cs="Times New Roman"/>
          <w:sz w:val="24"/>
          <w:szCs w:val="24"/>
        </w:rPr>
        <w:t xml:space="preserve">Peters 1998, </w:t>
      </w:r>
      <w:r w:rsidR="00D42A0E" w:rsidRPr="002A7D9E">
        <w:rPr>
          <w:rFonts w:ascii="Times New Roman" w:hAnsi="Times New Roman" w:cs="Times New Roman"/>
          <w:sz w:val="24"/>
          <w:szCs w:val="24"/>
        </w:rPr>
        <w:t xml:space="preserve">Evans and Davies 1999, </w:t>
      </w:r>
      <w:r w:rsidR="00BB39FC" w:rsidRPr="002A7D9E">
        <w:rPr>
          <w:rFonts w:ascii="Times New Roman" w:hAnsi="Times New Roman" w:cs="Times New Roman"/>
          <w:sz w:val="24"/>
          <w:szCs w:val="24"/>
        </w:rPr>
        <w:t xml:space="preserve">James and Lodge 2003 </w:t>
      </w:r>
      <w:r w:rsidR="0095534A" w:rsidRPr="002A7D9E">
        <w:rPr>
          <w:rFonts w:ascii="Times New Roman" w:hAnsi="Times New Roman" w:cs="Times New Roman"/>
          <w:sz w:val="24"/>
          <w:szCs w:val="24"/>
        </w:rPr>
        <w:t xml:space="preserve">generally and </w:t>
      </w:r>
      <w:proofErr w:type="spellStart"/>
      <w:r w:rsidR="0095534A" w:rsidRPr="002A7D9E">
        <w:rPr>
          <w:rFonts w:ascii="Times New Roman" w:hAnsi="Times New Roman" w:cs="Times New Roman"/>
          <w:sz w:val="24"/>
          <w:szCs w:val="24"/>
        </w:rPr>
        <w:t>Gray</w:t>
      </w:r>
      <w:proofErr w:type="spellEnd"/>
      <w:r w:rsidR="004213F7" w:rsidRPr="002A7D9E">
        <w:rPr>
          <w:rFonts w:ascii="Times New Roman" w:hAnsi="Times New Roman" w:cs="Times New Roman"/>
          <w:sz w:val="24"/>
          <w:szCs w:val="24"/>
        </w:rPr>
        <w:t xml:space="preserve"> 1996, </w:t>
      </w:r>
      <w:proofErr w:type="spellStart"/>
      <w:r w:rsidR="00A40426" w:rsidRPr="002A7D9E">
        <w:rPr>
          <w:rFonts w:ascii="Times New Roman" w:hAnsi="Times New Roman" w:cs="Times New Roman"/>
          <w:sz w:val="24"/>
          <w:szCs w:val="24"/>
        </w:rPr>
        <w:t>Belfiore</w:t>
      </w:r>
      <w:proofErr w:type="spellEnd"/>
      <w:r w:rsidR="00A40426" w:rsidRPr="002A7D9E">
        <w:rPr>
          <w:rFonts w:ascii="Times New Roman" w:hAnsi="Times New Roman" w:cs="Times New Roman"/>
          <w:sz w:val="24"/>
          <w:szCs w:val="24"/>
        </w:rPr>
        <w:t xml:space="preserve"> 2004, </w:t>
      </w:r>
      <w:r w:rsidR="004213F7" w:rsidRPr="002A7D9E">
        <w:rPr>
          <w:rFonts w:ascii="Times New Roman" w:hAnsi="Times New Roman" w:cs="Times New Roman"/>
          <w:sz w:val="24"/>
          <w:szCs w:val="24"/>
        </w:rPr>
        <w:t>Madden 2005, Pratt 2009 o</w:t>
      </w:r>
      <w:r w:rsidR="0095534A" w:rsidRPr="002A7D9E">
        <w:rPr>
          <w:rFonts w:ascii="Times New Roman" w:hAnsi="Times New Roman" w:cs="Times New Roman"/>
          <w:sz w:val="24"/>
          <w:szCs w:val="24"/>
        </w:rPr>
        <w:t xml:space="preserve">n cultural policy specifically), </w:t>
      </w:r>
      <w:r w:rsidR="005A37AE" w:rsidRPr="002A7D9E">
        <w:rPr>
          <w:rFonts w:ascii="Times New Roman" w:hAnsi="Times New Roman" w:cs="Times New Roman"/>
          <w:sz w:val="24"/>
          <w:szCs w:val="24"/>
        </w:rPr>
        <w:t xml:space="preserve">this </w:t>
      </w:r>
      <w:r w:rsidR="0095534A" w:rsidRPr="002A7D9E">
        <w:rPr>
          <w:rFonts w:ascii="Times New Roman" w:hAnsi="Times New Roman" w:cs="Times New Roman"/>
          <w:sz w:val="24"/>
          <w:szCs w:val="24"/>
        </w:rPr>
        <w:t xml:space="preserve">is a popular mode of sharing and working in the field, </w:t>
      </w:r>
      <w:r w:rsidR="00FC38C7" w:rsidRPr="002A7D9E">
        <w:rPr>
          <w:rFonts w:ascii="Times New Roman" w:hAnsi="Times New Roman" w:cs="Times New Roman"/>
          <w:sz w:val="24"/>
          <w:szCs w:val="24"/>
        </w:rPr>
        <w:t>particular</w:t>
      </w:r>
      <w:r w:rsidR="00FC002E" w:rsidRPr="002A7D9E">
        <w:rPr>
          <w:rFonts w:ascii="Times New Roman" w:hAnsi="Times New Roman" w:cs="Times New Roman"/>
          <w:sz w:val="24"/>
          <w:szCs w:val="24"/>
        </w:rPr>
        <w:t>ly in</w:t>
      </w:r>
      <w:r w:rsidR="00C5285F" w:rsidRPr="002A7D9E">
        <w:rPr>
          <w:rFonts w:ascii="Times New Roman" w:hAnsi="Times New Roman" w:cs="Times New Roman"/>
          <w:sz w:val="24"/>
          <w:szCs w:val="24"/>
        </w:rPr>
        <w:t xml:space="preserve"> </w:t>
      </w:r>
      <w:r w:rsidR="00071C36" w:rsidRPr="002A7D9E">
        <w:rPr>
          <w:rFonts w:ascii="Times New Roman" w:hAnsi="Times New Roman" w:cs="Times New Roman"/>
          <w:sz w:val="24"/>
          <w:szCs w:val="24"/>
        </w:rPr>
        <w:t xml:space="preserve">international organizations </w:t>
      </w:r>
      <w:r w:rsidR="006E3EF8" w:rsidRPr="002A7D9E">
        <w:rPr>
          <w:rFonts w:ascii="Times New Roman" w:hAnsi="Times New Roman" w:cs="Times New Roman"/>
          <w:sz w:val="24"/>
          <w:szCs w:val="24"/>
        </w:rPr>
        <w:t xml:space="preserve">such as the European Union, </w:t>
      </w:r>
      <w:r w:rsidR="0055766B" w:rsidRPr="002A7D9E">
        <w:rPr>
          <w:rFonts w:ascii="Times New Roman" w:hAnsi="Times New Roman" w:cs="Times New Roman"/>
          <w:sz w:val="24"/>
          <w:szCs w:val="24"/>
        </w:rPr>
        <w:t>the United Nations Educational, Scientific and Cultural Organization (</w:t>
      </w:r>
      <w:r w:rsidR="006E3EF8" w:rsidRPr="002A7D9E">
        <w:rPr>
          <w:rFonts w:ascii="Times New Roman" w:hAnsi="Times New Roman" w:cs="Times New Roman"/>
          <w:sz w:val="24"/>
          <w:szCs w:val="24"/>
        </w:rPr>
        <w:t>UNESCO</w:t>
      </w:r>
      <w:r w:rsidR="0055766B" w:rsidRPr="002A7D9E">
        <w:rPr>
          <w:rFonts w:ascii="Times New Roman" w:hAnsi="Times New Roman" w:cs="Times New Roman"/>
          <w:sz w:val="24"/>
          <w:szCs w:val="24"/>
        </w:rPr>
        <w:t>)</w:t>
      </w:r>
      <w:r w:rsidR="006E3EF8" w:rsidRPr="002A7D9E">
        <w:rPr>
          <w:rFonts w:ascii="Times New Roman" w:hAnsi="Times New Roman" w:cs="Times New Roman"/>
          <w:sz w:val="24"/>
          <w:szCs w:val="24"/>
        </w:rPr>
        <w:t>, and</w:t>
      </w:r>
      <w:r w:rsidR="0055766B" w:rsidRPr="002A7D9E">
        <w:rPr>
          <w:rFonts w:ascii="Times New Roman" w:hAnsi="Times New Roman" w:cs="Times New Roman"/>
          <w:sz w:val="24"/>
          <w:szCs w:val="24"/>
        </w:rPr>
        <w:t xml:space="preserve"> the</w:t>
      </w:r>
      <w:r w:rsidR="006E3EF8" w:rsidRPr="002A7D9E">
        <w:rPr>
          <w:rFonts w:ascii="Times New Roman" w:hAnsi="Times New Roman" w:cs="Times New Roman"/>
          <w:sz w:val="24"/>
          <w:szCs w:val="24"/>
        </w:rPr>
        <w:t xml:space="preserve"> Council of Europe, </w:t>
      </w:r>
      <w:r w:rsidR="00FC38C7" w:rsidRPr="002A7D9E">
        <w:rPr>
          <w:rFonts w:ascii="Times New Roman" w:hAnsi="Times New Roman" w:cs="Times New Roman"/>
          <w:sz w:val="24"/>
          <w:szCs w:val="24"/>
        </w:rPr>
        <w:t>al</w:t>
      </w:r>
      <w:r w:rsidR="001B3504" w:rsidRPr="002A7D9E">
        <w:rPr>
          <w:rFonts w:ascii="Times New Roman" w:hAnsi="Times New Roman" w:cs="Times New Roman"/>
          <w:sz w:val="24"/>
          <w:szCs w:val="24"/>
        </w:rPr>
        <w:t>though the</w:t>
      </w:r>
      <w:r w:rsidR="00AE7E32" w:rsidRPr="002A7D9E">
        <w:rPr>
          <w:rFonts w:ascii="Times New Roman" w:hAnsi="Times New Roman" w:cs="Times New Roman"/>
          <w:sz w:val="24"/>
          <w:szCs w:val="24"/>
        </w:rPr>
        <w:t xml:space="preserve">y </w:t>
      </w:r>
      <w:r w:rsidR="00BB39FC" w:rsidRPr="002A7D9E">
        <w:rPr>
          <w:rFonts w:ascii="Times New Roman" w:hAnsi="Times New Roman" w:cs="Times New Roman"/>
          <w:sz w:val="24"/>
          <w:szCs w:val="24"/>
        </w:rPr>
        <w:t>are</w:t>
      </w:r>
      <w:r w:rsidR="006E3EF8" w:rsidRPr="002A7D9E">
        <w:rPr>
          <w:rFonts w:ascii="Times New Roman" w:hAnsi="Times New Roman" w:cs="Times New Roman"/>
          <w:sz w:val="24"/>
          <w:szCs w:val="24"/>
        </w:rPr>
        <w:t xml:space="preserve"> used</w:t>
      </w:r>
      <w:r w:rsidR="00AE7E32" w:rsidRPr="002A7D9E">
        <w:rPr>
          <w:rFonts w:ascii="Times New Roman" w:hAnsi="Times New Roman" w:cs="Times New Roman"/>
          <w:sz w:val="24"/>
          <w:szCs w:val="24"/>
        </w:rPr>
        <w:t xml:space="preserve"> </w:t>
      </w:r>
      <w:r w:rsidR="00071C36" w:rsidRPr="002A7D9E">
        <w:rPr>
          <w:rFonts w:ascii="Times New Roman" w:hAnsi="Times New Roman" w:cs="Times New Roman"/>
          <w:sz w:val="24"/>
          <w:szCs w:val="24"/>
        </w:rPr>
        <w:t>in many other geographical contexts as well</w:t>
      </w:r>
      <w:r w:rsidR="00AE7E32" w:rsidRPr="002A7D9E">
        <w:rPr>
          <w:rFonts w:ascii="Times New Roman" w:hAnsi="Times New Roman" w:cs="Times New Roman"/>
          <w:sz w:val="24"/>
          <w:szCs w:val="24"/>
        </w:rPr>
        <w:t>.</w:t>
      </w:r>
      <w:proofErr w:type="gramEnd"/>
      <w:r w:rsidR="00AE7E32" w:rsidRPr="002A7D9E">
        <w:rPr>
          <w:rFonts w:ascii="Times New Roman" w:hAnsi="Times New Roman" w:cs="Times New Roman"/>
          <w:sz w:val="24"/>
          <w:szCs w:val="24"/>
        </w:rPr>
        <w:t xml:space="preserve"> </w:t>
      </w:r>
    </w:p>
    <w:p w:rsidR="00197D0D" w:rsidRPr="002A7D9E" w:rsidRDefault="00197D0D" w:rsidP="00A74DB6">
      <w:pPr>
        <w:spacing w:after="0" w:line="480" w:lineRule="auto"/>
        <w:rPr>
          <w:rFonts w:ascii="Times New Roman" w:hAnsi="Times New Roman" w:cs="Times New Roman"/>
          <w:sz w:val="24"/>
          <w:szCs w:val="24"/>
        </w:rPr>
      </w:pPr>
    </w:p>
    <w:p w:rsidR="00C13875" w:rsidRPr="002A7D9E" w:rsidRDefault="00AC41DE" w:rsidP="00A74DB6">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This article looks at one example of </w:t>
      </w:r>
      <w:r w:rsidR="00A43400" w:rsidRPr="002A7D9E">
        <w:rPr>
          <w:rFonts w:ascii="Times New Roman" w:hAnsi="Times New Roman" w:cs="Times New Roman"/>
          <w:sz w:val="24"/>
          <w:szCs w:val="24"/>
        </w:rPr>
        <w:t>best practice</w:t>
      </w:r>
      <w:r w:rsidR="00BB39FC" w:rsidRPr="002A7D9E">
        <w:rPr>
          <w:rFonts w:ascii="Times New Roman" w:hAnsi="Times New Roman" w:cs="Times New Roman"/>
          <w:sz w:val="24"/>
          <w:szCs w:val="24"/>
        </w:rPr>
        <w:t xml:space="preserve"> exchange</w:t>
      </w:r>
      <w:r w:rsidR="00197D0D" w:rsidRPr="002A7D9E">
        <w:rPr>
          <w:rFonts w:ascii="Times New Roman" w:hAnsi="Times New Roman" w:cs="Times New Roman"/>
          <w:sz w:val="24"/>
          <w:szCs w:val="24"/>
        </w:rPr>
        <w:t xml:space="preserve">, </w:t>
      </w:r>
      <w:r w:rsidR="00C47757" w:rsidRPr="002A7D9E">
        <w:rPr>
          <w:rFonts w:ascii="Times New Roman" w:hAnsi="Times New Roman" w:cs="Times New Roman"/>
          <w:sz w:val="24"/>
          <w:szCs w:val="24"/>
        </w:rPr>
        <w:t>the</w:t>
      </w:r>
      <w:r w:rsidR="008F29B7" w:rsidRPr="002A7D9E">
        <w:rPr>
          <w:rFonts w:ascii="Times New Roman" w:hAnsi="Times New Roman" w:cs="Times New Roman"/>
          <w:sz w:val="24"/>
          <w:szCs w:val="24"/>
        </w:rPr>
        <w:t xml:space="preserve"> E</w:t>
      </w:r>
      <w:r w:rsidR="00071C36" w:rsidRPr="002A7D9E">
        <w:rPr>
          <w:rFonts w:ascii="Times New Roman" w:hAnsi="Times New Roman" w:cs="Times New Roman"/>
          <w:sz w:val="24"/>
          <w:szCs w:val="24"/>
        </w:rPr>
        <w:t xml:space="preserve">uropean </w:t>
      </w:r>
      <w:r w:rsidR="008F29B7" w:rsidRPr="002A7D9E">
        <w:rPr>
          <w:rFonts w:ascii="Times New Roman" w:hAnsi="Times New Roman" w:cs="Times New Roman"/>
          <w:sz w:val="24"/>
          <w:szCs w:val="24"/>
        </w:rPr>
        <w:t>U</w:t>
      </w:r>
      <w:r w:rsidR="00071C36" w:rsidRPr="002A7D9E">
        <w:rPr>
          <w:rFonts w:ascii="Times New Roman" w:hAnsi="Times New Roman" w:cs="Times New Roman"/>
          <w:sz w:val="24"/>
          <w:szCs w:val="24"/>
        </w:rPr>
        <w:t>nion</w:t>
      </w:r>
      <w:r w:rsidR="008F29B7" w:rsidRPr="002A7D9E">
        <w:rPr>
          <w:rFonts w:ascii="Times New Roman" w:hAnsi="Times New Roman" w:cs="Times New Roman"/>
          <w:sz w:val="24"/>
          <w:szCs w:val="24"/>
        </w:rPr>
        <w:t xml:space="preserve">’s Open Method of Coordination </w:t>
      </w:r>
      <w:r w:rsidR="00197D0D" w:rsidRPr="002A7D9E">
        <w:rPr>
          <w:rFonts w:ascii="Times New Roman" w:hAnsi="Times New Roman" w:cs="Times New Roman"/>
          <w:sz w:val="24"/>
          <w:szCs w:val="24"/>
        </w:rPr>
        <w:t xml:space="preserve">(OMC). </w:t>
      </w:r>
      <w:r w:rsidR="00111A4A" w:rsidRPr="002A7D9E">
        <w:rPr>
          <w:rFonts w:ascii="Times New Roman" w:hAnsi="Times New Roman" w:cs="Times New Roman"/>
          <w:sz w:val="24"/>
          <w:szCs w:val="24"/>
        </w:rPr>
        <w:t xml:space="preserve">The OMC is a process of intergovernmental policy coordination involving representatives from Member States working together on a common policy issue. The article </w:t>
      </w:r>
      <w:r w:rsidR="00197D0D" w:rsidRPr="002A7D9E">
        <w:rPr>
          <w:rFonts w:ascii="Times New Roman" w:hAnsi="Times New Roman" w:cs="Times New Roman"/>
          <w:sz w:val="24"/>
          <w:szCs w:val="24"/>
        </w:rPr>
        <w:t xml:space="preserve">specifically focuses on Priority A of the 2011-2014 Work Plan for Culture, </w:t>
      </w:r>
      <w:r w:rsidR="00197D0D" w:rsidRPr="002A7D9E">
        <w:rPr>
          <w:rFonts w:ascii="Times New Roman" w:hAnsi="Times New Roman" w:cs="Times New Roman"/>
          <w:i/>
          <w:sz w:val="24"/>
          <w:szCs w:val="24"/>
        </w:rPr>
        <w:t>Cultural diversity, intercultural dialogue and accessible and inclusive culture</w:t>
      </w:r>
      <w:r w:rsidR="00197D0D" w:rsidRPr="002A7D9E">
        <w:rPr>
          <w:rFonts w:ascii="Times New Roman" w:hAnsi="Times New Roman" w:cs="Times New Roman"/>
          <w:sz w:val="24"/>
          <w:szCs w:val="24"/>
        </w:rPr>
        <w:t xml:space="preserve">, which contained three OMC working groups (see </w:t>
      </w:r>
      <w:r w:rsidR="005A37AE" w:rsidRPr="002A7D9E">
        <w:rPr>
          <w:rFonts w:ascii="Times New Roman" w:hAnsi="Times New Roman" w:cs="Times New Roman"/>
          <w:sz w:val="24"/>
          <w:szCs w:val="24"/>
        </w:rPr>
        <w:t xml:space="preserve">Table 1 </w:t>
      </w:r>
      <w:r w:rsidR="00197D0D" w:rsidRPr="002A7D9E">
        <w:rPr>
          <w:rFonts w:ascii="Times New Roman" w:hAnsi="Times New Roman" w:cs="Times New Roman"/>
          <w:sz w:val="24"/>
          <w:szCs w:val="24"/>
        </w:rPr>
        <w:t>below).</w:t>
      </w:r>
      <w:r w:rsidR="00BB39FC" w:rsidRPr="002A7D9E">
        <w:rPr>
          <w:rStyle w:val="FootnoteReference"/>
          <w:rFonts w:ascii="Times New Roman" w:hAnsi="Times New Roman" w:cs="Times New Roman"/>
          <w:sz w:val="24"/>
          <w:szCs w:val="24"/>
        </w:rPr>
        <w:footnoteReference w:id="1"/>
      </w:r>
      <w:r w:rsidR="00197D0D" w:rsidRPr="002A7D9E">
        <w:rPr>
          <w:rFonts w:ascii="Times New Roman" w:hAnsi="Times New Roman" w:cs="Times New Roman"/>
          <w:sz w:val="24"/>
          <w:szCs w:val="24"/>
        </w:rPr>
        <w:t xml:space="preserve"> </w:t>
      </w:r>
      <w:r w:rsidR="00C47757" w:rsidRPr="002A7D9E">
        <w:rPr>
          <w:rFonts w:ascii="Times New Roman" w:hAnsi="Times New Roman" w:cs="Times New Roman"/>
          <w:sz w:val="24"/>
          <w:szCs w:val="24"/>
        </w:rPr>
        <w:t xml:space="preserve">The OMC </w:t>
      </w:r>
      <w:r w:rsidR="00E77D57" w:rsidRPr="002A7D9E">
        <w:rPr>
          <w:rFonts w:ascii="Times New Roman" w:hAnsi="Times New Roman" w:cs="Times New Roman"/>
          <w:sz w:val="24"/>
          <w:szCs w:val="24"/>
        </w:rPr>
        <w:t xml:space="preserve">makes for </w:t>
      </w:r>
      <w:r w:rsidR="008F29B7" w:rsidRPr="002A7D9E">
        <w:rPr>
          <w:rFonts w:ascii="Times New Roman" w:hAnsi="Times New Roman" w:cs="Times New Roman"/>
          <w:sz w:val="24"/>
          <w:szCs w:val="24"/>
        </w:rPr>
        <w:t xml:space="preserve">a good case study as its primary goal is </w:t>
      </w:r>
      <w:r w:rsidR="00160D9F" w:rsidRPr="002A7D9E">
        <w:rPr>
          <w:rFonts w:ascii="Times New Roman" w:hAnsi="Times New Roman" w:cs="Times New Roman"/>
          <w:sz w:val="24"/>
          <w:szCs w:val="24"/>
        </w:rPr>
        <w:t>to ‘</w:t>
      </w:r>
      <w:r w:rsidR="00F34C3D" w:rsidRPr="002A7D9E">
        <w:rPr>
          <w:rFonts w:ascii="Times New Roman" w:hAnsi="Times New Roman" w:cs="Times New Roman"/>
          <w:sz w:val="24"/>
          <w:szCs w:val="24"/>
        </w:rPr>
        <w:t>foster exchange of best practice between Member States with</w:t>
      </w:r>
      <w:r w:rsidR="00160D9F" w:rsidRPr="002A7D9E">
        <w:rPr>
          <w:rFonts w:ascii="Times New Roman" w:hAnsi="Times New Roman" w:cs="Times New Roman"/>
          <w:sz w:val="24"/>
          <w:szCs w:val="24"/>
        </w:rPr>
        <w:t xml:space="preserve"> a view to improve policymaking’</w:t>
      </w:r>
      <w:r w:rsidR="00F34C3D" w:rsidRPr="002A7D9E">
        <w:rPr>
          <w:rFonts w:ascii="Times New Roman" w:hAnsi="Times New Roman" w:cs="Times New Roman"/>
          <w:sz w:val="24"/>
          <w:szCs w:val="24"/>
        </w:rPr>
        <w:t xml:space="preserve"> (</w:t>
      </w:r>
      <w:r w:rsidR="00A43400" w:rsidRPr="002A7D9E">
        <w:rPr>
          <w:rFonts w:ascii="Times New Roman" w:hAnsi="Times New Roman" w:cs="Times New Roman"/>
          <w:sz w:val="24"/>
          <w:szCs w:val="24"/>
        </w:rPr>
        <w:t xml:space="preserve">McDonald et al. 2013b, </w:t>
      </w:r>
      <w:r w:rsidR="00D622F7" w:rsidRPr="002A7D9E">
        <w:rPr>
          <w:rFonts w:ascii="Times New Roman" w:hAnsi="Times New Roman" w:cs="Times New Roman"/>
          <w:sz w:val="24"/>
          <w:szCs w:val="24"/>
        </w:rPr>
        <w:t>7</w:t>
      </w:r>
      <w:r w:rsidR="00F34C3D" w:rsidRPr="002A7D9E">
        <w:rPr>
          <w:rFonts w:ascii="Times New Roman" w:hAnsi="Times New Roman" w:cs="Times New Roman"/>
          <w:sz w:val="24"/>
          <w:szCs w:val="24"/>
        </w:rPr>
        <w:t xml:space="preserve">). </w:t>
      </w:r>
      <w:r w:rsidR="00E77D57" w:rsidRPr="002A7D9E">
        <w:rPr>
          <w:rFonts w:ascii="Times New Roman" w:hAnsi="Times New Roman" w:cs="Times New Roman"/>
          <w:sz w:val="24"/>
          <w:szCs w:val="24"/>
        </w:rPr>
        <w:t>The EU</w:t>
      </w:r>
      <w:r w:rsidR="0018003E" w:rsidRPr="002A7D9E">
        <w:rPr>
          <w:rFonts w:ascii="Times New Roman" w:hAnsi="Times New Roman" w:cs="Times New Roman"/>
          <w:sz w:val="24"/>
          <w:szCs w:val="24"/>
        </w:rPr>
        <w:t xml:space="preserve"> in general</w:t>
      </w:r>
      <w:r w:rsidR="00E77D57" w:rsidRPr="002A7D9E">
        <w:rPr>
          <w:rFonts w:ascii="Times New Roman" w:hAnsi="Times New Roman" w:cs="Times New Roman"/>
          <w:sz w:val="24"/>
          <w:szCs w:val="24"/>
        </w:rPr>
        <w:t xml:space="preserve"> </w:t>
      </w:r>
      <w:proofErr w:type="gramStart"/>
      <w:r w:rsidR="005B3EE8" w:rsidRPr="002A7D9E">
        <w:rPr>
          <w:rFonts w:ascii="Times New Roman" w:hAnsi="Times New Roman" w:cs="Times New Roman"/>
          <w:sz w:val="24"/>
          <w:szCs w:val="24"/>
        </w:rPr>
        <w:t>has been</w:t>
      </w:r>
      <w:r w:rsidR="002209C0" w:rsidRPr="002A7D9E">
        <w:rPr>
          <w:rFonts w:ascii="Times New Roman" w:hAnsi="Times New Roman" w:cs="Times New Roman"/>
          <w:sz w:val="24"/>
          <w:szCs w:val="24"/>
        </w:rPr>
        <w:t xml:space="preserve"> described</w:t>
      </w:r>
      <w:proofErr w:type="gramEnd"/>
      <w:r w:rsidR="002209C0" w:rsidRPr="002A7D9E">
        <w:rPr>
          <w:rFonts w:ascii="Times New Roman" w:hAnsi="Times New Roman" w:cs="Times New Roman"/>
          <w:sz w:val="24"/>
          <w:szCs w:val="24"/>
        </w:rPr>
        <w:t xml:space="preserve"> as ‘</w:t>
      </w:r>
      <w:r w:rsidR="00E77D57" w:rsidRPr="002A7D9E">
        <w:rPr>
          <w:rFonts w:ascii="Times New Roman" w:hAnsi="Times New Roman" w:cs="Times New Roman"/>
          <w:sz w:val="24"/>
          <w:szCs w:val="24"/>
        </w:rPr>
        <w:t>a platform for learning and policy transfer</w:t>
      </w:r>
      <w:r w:rsidR="002209C0" w:rsidRPr="002A7D9E">
        <w:rPr>
          <w:rFonts w:ascii="Times New Roman" w:hAnsi="Times New Roman" w:cs="Times New Roman"/>
          <w:sz w:val="24"/>
          <w:szCs w:val="24"/>
        </w:rPr>
        <w:t>’</w:t>
      </w:r>
      <w:r w:rsidR="000F6F9F" w:rsidRPr="002A7D9E">
        <w:rPr>
          <w:rFonts w:ascii="Times New Roman" w:hAnsi="Times New Roman" w:cs="Times New Roman"/>
          <w:sz w:val="24"/>
          <w:szCs w:val="24"/>
        </w:rPr>
        <w:t xml:space="preserve"> (Schmidt and </w:t>
      </w:r>
      <w:proofErr w:type="spellStart"/>
      <w:r w:rsidR="000F6F9F" w:rsidRPr="002A7D9E">
        <w:rPr>
          <w:rFonts w:ascii="Times New Roman" w:hAnsi="Times New Roman" w:cs="Times New Roman"/>
          <w:sz w:val="24"/>
          <w:szCs w:val="24"/>
        </w:rPr>
        <w:t>Radaelli</w:t>
      </w:r>
      <w:proofErr w:type="spellEnd"/>
      <w:r w:rsidR="000F6F9F" w:rsidRPr="002A7D9E">
        <w:rPr>
          <w:rFonts w:ascii="Times New Roman" w:hAnsi="Times New Roman" w:cs="Times New Roman"/>
          <w:sz w:val="24"/>
          <w:szCs w:val="24"/>
        </w:rPr>
        <w:t xml:space="preserve"> 2004, </w:t>
      </w:r>
      <w:r w:rsidR="00E77D57" w:rsidRPr="002A7D9E">
        <w:rPr>
          <w:rFonts w:ascii="Times New Roman" w:hAnsi="Times New Roman" w:cs="Times New Roman"/>
          <w:sz w:val="24"/>
          <w:szCs w:val="24"/>
        </w:rPr>
        <w:t>372)</w:t>
      </w:r>
      <w:r w:rsidR="00C13875" w:rsidRPr="002A7D9E">
        <w:rPr>
          <w:rFonts w:ascii="Times New Roman" w:hAnsi="Times New Roman" w:cs="Times New Roman"/>
          <w:sz w:val="24"/>
          <w:szCs w:val="24"/>
        </w:rPr>
        <w:t xml:space="preserve"> </w:t>
      </w:r>
      <w:r w:rsidR="005B3EE8" w:rsidRPr="002A7D9E">
        <w:rPr>
          <w:rFonts w:ascii="Times New Roman" w:hAnsi="Times New Roman" w:cs="Times New Roman"/>
          <w:sz w:val="24"/>
          <w:szCs w:val="24"/>
        </w:rPr>
        <w:t xml:space="preserve">because of the potential for diffusion and </w:t>
      </w:r>
      <w:r w:rsidR="00A068BA" w:rsidRPr="002A7D9E">
        <w:rPr>
          <w:rFonts w:ascii="Times New Roman" w:hAnsi="Times New Roman" w:cs="Times New Roman"/>
          <w:sz w:val="24"/>
          <w:szCs w:val="24"/>
        </w:rPr>
        <w:t xml:space="preserve">exchange </w:t>
      </w:r>
      <w:r w:rsidR="005B3EE8" w:rsidRPr="002A7D9E">
        <w:rPr>
          <w:rFonts w:ascii="Times New Roman" w:hAnsi="Times New Roman" w:cs="Times New Roman"/>
          <w:sz w:val="24"/>
          <w:szCs w:val="24"/>
        </w:rPr>
        <w:t xml:space="preserve">in a transnational </w:t>
      </w:r>
      <w:r w:rsidR="00B437FC" w:rsidRPr="002A7D9E">
        <w:rPr>
          <w:rFonts w:ascii="Times New Roman" w:hAnsi="Times New Roman" w:cs="Times New Roman"/>
          <w:sz w:val="24"/>
          <w:szCs w:val="24"/>
        </w:rPr>
        <w:t>context</w:t>
      </w:r>
      <w:r w:rsidR="005B3EE8" w:rsidRPr="002A7D9E">
        <w:rPr>
          <w:rFonts w:ascii="Times New Roman" w:hAnsi="Times New Roman" w:cs="Times New Roman"/>
          <w:sz w:val="24"/>
          <w:szCs w:val="24"/>
        </w:rPr>
        <w:t xml:space="preserve"> </w:t>
      </w:r>
      <w:r w:rsidR="001C14FC" w:rsidRPr="002A7D9E">
        <w:rPr>
          <w:rFonts w:ascii="Times New Roman" w:hAnsi="Times New Roman" w:cs="Times New Roman"/>
          <w:sz w:val="24"/>
          <w:szCs w:val="24"/>
        </w:rPr>
        <w:t>(</w:t>
      </w:r>
      <w:r w:rsidR="005B3EE8" w:rsidRPr="002A7D9E">
        <w:rPr>
          <w:rFonts w:ascii="Times New Roman" w:hAnsi="Times New Roman" w:cs="Times New Roman"/>
          <w:sz w:val="24"/>
          <w:szCs w:val="24"/>
        </w:rPr>
        <w:t xml:space="preserve">Egan 2009). </w:t>
      </w:r>
    </w:p>
    <w:p w:rsidR="00425B23" w:rsidRPr="002A7D9E" w:rsidRDefault="00425B23" w:rsidP="00A74DB6">
      <w:pPr>
        <w:autoSpaceDE w:val="0"/>
        <w:autoSpaceDN w:val="0"/>
        <w:adjustRightInd w:val="0"/>
        <w:spacing w:after="0" w:line="480" w:lineRule="auto"/>
        <w:rPr>
          <w:rFonts w:ascii="Times New Roman" w:hAnsi="Times New Roman" w:cs="Times New Roman"/>
          <w:sz w:val="24"/>
          <w:szCs w:val="24"/>
        </w:rPr>
      </w:pPr>
    </w:p>
    <w:p w:rsidR="007F28F3" w:rsidRPr="002A7D9E" w:rsidRDefault="00F86EA9" w:rsidP="00A74DB6">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T</w:t>
      </w:r>
      <w:r w:rsidR="007500A8" w:rsidRPr="002A7D9E">
        <w:rPr>
          <w:rFonts w:ascii="Times New Roman" w:hAnsi="Times New Roman" w:cs="Times New Roman"/>
          <w:sz w:val="24"/>
          <w:szCs w:val="24"/>
        </w:rPr>
        <w:t xml:space="preserve">he ethos </w:t>
      </w:r>
      <w:r w:rsidR="007F28F3" w:rsidRPr="002A7D9E">
        <w:rPr>
          <w:rFonts w:ascii="Times New Roman" w:hAnsi="Times New Roman" w:cs="Times New Roman"/>
          <w:sz w:val="24"/>
          <w:szCs w:val="24"/>
        </w:rPr>
        <w:t>of best practice</w:t>
      </w:r>
      <w:r w:rsidR="008448E1" w:rsidRPr="002A7D9E">
        <w:rPr>
          <w:rFonts w:ascii="Times New Roman" w:hAnsi="Times New Roman" w:cs="Times New Roman"/>
          <w:sz w:val="24"/>
          <w:szCs w:val="24"/>
        </w:rPr>
        <w:t xml:space="preserve"> also</w:t>
      </w:r>
      <w:r w:rsidR="007F28F3" w:rsidRPr="002A7D9E">
        <w:rPr>
          <w:rFonts w:ascii="Times New Roman" w:hAnsi="Times New Roman" w:cs="Times New Roman"/>
          <w:sz w:val="24"/>
          <w:szCs w:val="24"/>
        </w:rPr>
        <w:t xml:space="preserve"> runs through the EU’s entire </w:t>
      </w:r>
      <w:r w:rsidR="00D22DBB" w:rsidRPr="002A7D9E">
        <w:rPr>
          <w:rFonts w:ascii="Times New Roman" w:hAnsi="Times New Roman" w:cs="Times New Roman"/>
          <w:sz w:val="24"/>
          <w:szCs w:val="24"/>
        </w:rPr>
        <w:t>cultural policy framework.</w:t>
      </w:r>
      <w:r w:rsidR="00414F89" w:rsidRPr="002A7D9E">
        <w:rPr>
          <w:rStyle w:val="FootnoteReference"/>
          <w:rFonts w:ascii="Times New Roman" w:hAnsi="Times New Roman" w:cs="Times New Roman"/>
          <w:sz w:val="24"/>
          <w:szCs w:val="24"/>
        </w:rPr>
        <w:footnoteReference w:id="2"/>
      </w:r>
      <w:r w:rsidR="00D22DBB" w:rsidRPr="002A7D9E">
        <w:rPr>
          <w:rFonts w:ascii="Times New Roman" w:hAnsi="Times New Roman" w:cs="Times New Roman"/>
          <w:sz w:val="24"/>
          <w:szCs w:val="24"/>
        </w:rPr>
        <w:t xml:space="preserve"> </w:t>
      </w:r>
      <w:r w:rsidR="007F28F3" w:rsidRPr="002A7D9E">
        <w:rPr>
          <w:rFonts w:ascii="Times New Roman" w:hAnsi="Times New Roman" w:cs="Times New Roman"/>
          <w:sz w:val="24"/>
          <w:szCs w:val="24"/>
        </w:rPr>
        <w:t xml:space="preserve">According to the European Commission, </w:t>
      </w:r>
    </w:p>
    <w:p w:rsidR="007F28F3" w:rsidRPr="002A7D9E" w:rsidRDefault="007F28F3" w:rsidP="00A74DB6">
      <w:pPr>
        <w:spacing w:after="0" w:line="480" w:lineRule="auto"/>
        <w:ind w:left="720"/>
        <w:rPr>
          <w:rFonts w:ascii="Times New Roman" w:hAnsi="Times New Roman" w:cs="Times New Roman"/>
        </w:rPr>
      </w:pPr>
      <w:r w:rsidRPr="002A7D9E">
        <w:rPr>
          <w:rFonts w:ascii="Times New Roman" w:hAnsi="Times New Roman" w:cs="Times New Roman"/>
        </w:rPr>
        <w:t>[</w:t>
      </w:r>
      <w:proofErr w:type="gramStart"/>
      <w:r w:rsidRPr="002A7D9E">
        <w:rPr>
          <w:rFonts w:ascii="Times New Roman" w:hAnsi="Times New Roman" w:cs="Times New Roman"/>
        </w:rPr>
        <w:t>the</w:t>
      </w:r>
      <w:proofErr w:type="gramEnd"/>
      <w:r w:rsidR="008448E1" w:rsidRPr="002A7D9E">
        <w:rPr>
          <w:rFonts w:ascii="Times New Roman" w:hAnsi="Times New Roman" w:cs="Times New Roman"/>
        </w:rPr>
        <w:t xml:space="preserve"> cultural policy</w:t>
      </w:r>
      <w:r w:rsidRPr="002A7D9E">
        <w:rPr>
          <w:rFonts w:ascii="Times New Roman" w:hAnsi="Times New Roman" w:cs="Times New Roman"/>
        </w:rPr>
        <w:t xml:space="preserve">] work done by the EU complements […] and adds a different dimension. Information gathered from the EU as a whole can be used to support national policy decisions or </w:t>
      </w:r>
      <w:r w:rsidRPr="002A7D9E">
        <w:rPr>
          <w:rFonts w:ascii="Times New Roman" w:hAnsi="Times New Roman" w:cs="Times New Roman"/>
          <w:i/>
        </w:rPr>
        <w:t>provide examples of best practice</w:t>
      </w:r>
      <w:r w:rsidR="00535156" w:rsidRPr="002A7D9E">
        <w:rPr>
          <w:rFonts w:ascii="Times New Roman" w:hAnsi="Times New Roman" w:cs="Times New Roman"/>
        </w:rPr>
        <w:t xml:space="preserve"> that others can share</w:t>
      </w:r>
      <w:r w:rsidR="00E71CC9" w:rsidRPr="002A7D9E">
        <w:rPr>
          <w:rFonts w:ascii="Times New Roman" w:hAnsi="Times New Roman" w:cs="Times New Roman"/>
        </w:rPr>
        <w:t xml:space="preserve"> (</w:t>
      </w:r>
      <w:r w:rsidR="00652A8B" w:rsidRPr="002A7D9E">
        <w:rPr>
          <w:rFonts w:ascii="Times New Roman" w:hAnsi="Times New Roman" w:cs="Times New Roman"/>
        </w:rPr>
        <w:t>European Commission</w:t>
      </w:r>
      <w:r w:rsidR="00E71CC9" w:rsidRPr="002A7D9E">
        <w:rPr>
          <w:rFonts w:ascii="Times New Roman" w:hAnsi="Times New Roman" w:cs="Times New Roman"/>
        </w:rPr>
        <w:t xml:space="preserve"> 2013, </w:t>
      </w:r>
      <w:r w:rsidRPr="002A7D9E">
        <w:rPr>
          <w:rFonts w:ascii="Times New Roman" w:hAnsi="Times New Roman" w:cs="Times New Roman"/>
        </w:rPr>
        <w:t>3</w:t>
      </w:r>
      <w:r w:rsidR="00C13875" w:rsidRPr="002A7D9E">
        <w:rPr>
          <w:rFonts w:ascii="Times New Roman" w:hAnsi="Times New Roman" w:cs="Times New Roman"/>
        </w:rPr>
        <w:t>; emphasis added</w:t>
      </w:r>
      <w:r w:rsidRPr="002A7D9E">
        <w:rPr>
          <w:rFonts w:ascii="Times New Roman" w:hAnsi="Times New Roman" w:cs="Times New Roman"/>
        </w:rPr>
        <w:t>).</w:t>
      </w:r>
    </w:p>
    <w:p w:rsidR="00E77D57" w:rsidRPr="002A7D9E" w:rsidRDefault="003F3624" w:rsidP="00A74DB6">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T</w:t>
      </w:r>
      <w:r w:rsidR="00D22DBB" w:rsidRPr="002A7D9E">
        <w:rPr>
          <w:rFonts w:ascii="Times New Roman" w:hAnsi="Times New Roman" w:cs="Times New Roman"/>
          <w:sz w:val="24"/>
          <w:szCs w:val="24"/>
        </w:rPr>
        <w:t>he</w:t>
      </w:r>
      <w:r w:rsidR="00E77D57" w:rsidRPr="002A7D9E">
        <w:rPr>
          <w:rFonts w:ascii="Times New Roman" w:hAnsi="Times New Roman" w:cs="Times New Roman"/>
          <w:sz w:val="24"/>
          <w:szCs w:val="24"/>
        </w:rPr>
        <w:t xml:space="preserve"> OMC also provides a </w:t>
      </w:r>
      <w:r w:rsidR="0051168A" w:rsidRPr="002A7D9E">
        <w:rPr>
          <w:rFonts w:ascii="Times New Roman" w:hAnsi="Times New Roman" w:cs="Times New Roman"/>
          <w:sz w:val="24"/>
          <w:szCs w:val="24"/>
        </w:rPr>
        <w:t>“</w:t>
      </w:r>
      <w:r w:rsidR="00E77D57" w:rsidRPr="002A7D9E">
        <w:rPr>
          <w:rFonts w:ascii="Times New Roman" w:hAnsi="Times New Roman" w:cs="Times New Roman"/>
          <w:sz w:val="24"/>
          <w:szCs w:val="24"/>
        </w:rPr>
        <w:t>testable</w:t>
      </w:r>
      <w:r w:rsidR="0051168A" w:rsidRPr="002A7D9E">
        <w:rPr>
          <w:rFonts w:ascii="Times New Roman" w:hAnsi="Times New Roman" w:cs="Times New Roman"/>
          <w:sz w:val="24"/>
          <w:szCs w:val="24"/>
        </w:rPr>
        <w:t>”</w:t>
      </w:r>
      <w:r w:rsidR="00E77D57" w:rsidRPr="002A7D9E">
        <w:rPr>
          <w:rFonts w:ascii="Times New Roman" w:hAnsi="Times New Roman" w:cs="Times New Roman"/>
          <w:sz w:val="24"/>
          <w:szCs w:val="24"/>
        </w:rPr>
        <w:t xml:space="preserve"> case; </w:t>
      </w:r>
      <w:r w:rsidR="00574294" w:rsidRPr="002A7D9E">
        <w:rPr>
          <w:rFonts w:ascii="Times New Roman" w:hAnsi="Times New Roman" w:cs="Times New Roman"/>
          <w:sz w:val="24"/>
          <w:szCs w:val="24"/>
        </w:rPr>
        <w:t>its</w:t>
      </w:r>
      <w:r w:rsidR="00E77D57" w:rsidRPr="002A7D9E">
        <w:rPr>
          <w:rFonts w:ascii="Times New Roman" w:hAnsi="Times New Roman" w:cs="Times New Roman"/>
          <w:sz w:val="24"/>
          <w:szCs w:val="24"/>
        </w:rPr>
        <w:t xml:space="preserve"> basic premise</w:t>
      </w:r>
      <w:r w:rsidR="0018003E" w:rsidRPr="002A7D9E">
        <w:rPr>
          <w:rFonts w:ascii="Times New Roman" w:hAnsi="Times New Roman" w:cs="Times New Roman"/>
          <w:sz w:val="24"/>
          <w:szCs w:val="24"/>
        </w:rPr>
        <w:t xml:space="preserve"> </w:t>
      </w:r>
      <w:r w:rsidR="00E77D57" w:rsidRPr="002A7D9E">
        <w:rPr>
          <w:rFonts w:ascii="Times New Roman" w:hAnsi="Times New Roman" w:cs="Times New Roman"/>
          <w:sz w:val="24"/>
          <w:szCs w:val="24"/>
        </w:rPr>
        <w:t xml:space="preserve">– even though it </w:t>
      </w:r>
      <w:proofErr w:type="gramStart"/>
      <w:r w:rsidR="00E77D57" w:rsidRPr="002A7D9E">
        <w:rPr>
          <w:rFonts w:ascii="Times New Roman" w:hAnsi="Times New Roman" w:cs="Times New Roman"/>
          <w:sz w:val="24"/>
          <w:szCs w:val="24"/>
        </w:rPr>
        <w:t>is not always made</w:t>
      </w:r>
      <w:proofErr w:type="gramEnd"/>
      <w:r w:rsidR="00E77D57" w:rsidRPr="002A7D9E">
        <w:rPr>
          <w:rFonts w:ascii="Times New Roman" w:hAnsi="Times New Roman" w:cs="Times New Roman"/>
          <w:sz w:val="24"/>
          <w:szCs w:val="24"/>
        </w:rPr>
        <w:t xml:space="preserve"> explicit – is that Member States coordinate on </w:t>
      </w:r>
      <w:r w:rsidR="00C5285F" w:rsidRPr="002A7D9E">
        <w:rPr>
          <w:rFonts w:ascii="Times New Roman" w:hAnsi="Times New Roman" w:cs="Times New Roman"/>
          <w:sz w:val="24"/>
          <w:szCs w:val="24"/>
        </w:rPr>
        <w:t>relevant</w:t>
      </w:r>
      <w:r w:rsidR="00F86EA9" w:rsidRPr="002A7D9E">
        <w:rPr>
          <w:rFonts w:ascii="Times New Roman" w:hAnsi="Times New Roman" w:cs="Times New Roman"/>
          <w:sz w:val="24"/>
          <w:szCs w:val="24"/>
        </w:rPr>
        <w:t xml:space="preserve"> policy</w:t>
      </w:r>
      <w:r w:rsidR="00E77D57" w:rsidRPr="002A7D9E">
        <w:rPr>
          <w:rFonts w:ascii="Times New Roman" w:hAnsi="Times New Roman" w:cs="Times New Roman"/>
          <w:sz w:val="24"/>
          <w:szCs w:val="24"/>
        </w:rPr>
        <w:t xml:space="preserve"> themes, share ideas, and then </w:t>
      </w:r>
      <w:r w:rsidR="0013654B" w:rsidRPr="002A7D9E">
        <w:rPr>
          <w:rFonts w:ascii="Times New Roman" w:hAnsi="Times New Roman" w:cs="Times New Roman"/>
          <w:sz w:val="24"/>
          <w:szCs w:val="24"/>
        </w:rPr>
        <w:t>go home</w:t>
      </w:r>
      <w:r w:rsidR="00E77D57" w:rsidRPr="002A7D9E">
        <w:rPr>
          <w:rFonts w:ascii="Times New Roman" w:hAnsi="Times New Roman" w:cs="Times New Roman"/>
          <w:sz w:val="24"/>
          <w:szCs w:val="24"/>
        </w:rPr>
        <w:t xml:space="preserve"> and implement some of the</w:t>
      </w:r>
      <w:r w:rsidR="00A07763" w:rsidRPr="002A7D9E">
        <w:rPr>
          <w:rFonts w:ascii="Times New Roman" w:hAnsi="Times New Roman" w:cs="Times New Roman"/>
          <w:sz w:val="24"/>
          <w:szCs w:val="24"/>
        </w:rPr>
        <w:t xml:space="preserve"> resulting recommendations</w:t>
      </w:r>
      <w:r w:rsidR="00E77D57" w:rsidRPr="002A7D9E">
        <w:rPr>
          <w:rFonts w:ascii="Times New Roman" w:hAnsi="Times New Roman" w:cs="Times New Roman"/>
          <w:sz w:val="24"/>
          <w:szCs w:val="24"/>
        </w:rPr>
        <w:t>, based on the potential of policy transfer and lesson drawing</w:t>
      </w:r>
      <w:r w:rsidR="00670360" w:rsidRPr="002A7D9E">
        <w:rPr>
          <w:rFonts w:ascii="Times New Roman" w:hAnsi="Times New Roman" w:cs="Times New Roman"/>
          <w:sz w:val="24"/>
          <w:szCs w:val="24"/>
        </w:rPr>
        <w:t xml:space="preserve"> via sharing</w:t>
      </w:r>
      <w:r w:rsidR="000F6F9F" w:rsidRPr="002A7D9E">
        <w:rPr>
          <w:rFonts w:ascii="Times New Roman" w:hAnsi="Times New Roman" w:cs="Times New Roman"/>
          <w:sz w:val="24"/>
          <w:szCs w:val="24"/>
        </w:rPr>
        <w:t xml:space="preserve"> and exchange</w:t>
      </w:r>
      <w:r w:rsidR="00E77D57" w:rsidRPr="002A7D9E">
        <w:rPr>
          <w:rFonts w:ascii="Times New Roman" w:hAnsi="Times New Roman" w:cs="Times New Roman"/>
          <w:sz w:val="24"/>
          <w:szCs w:val="24"/>
        </w:rPr>
        <w:t xml:space="preserve">. </w:t>
      </w:r>
      <w:r w:rsidR="00B535D5" w:rsidRPr="002A7D9E">
        <w:rPr>
          <w:rFonts w:ascii="Times New Roman" w:hAnsi="Times New Roman" w:cs="Times New Roman"/>
          <w:sz w:val="24"/>
          <w:szCs w:val="24"/>
        </w:rPr>
        <w:t>While there are m</w:t>
      </w:r>
      <w:r w:rsidR="00E77D57" w:rsidRPr="002A7D9E">
        <w:rPr>
          <w:rFonts w:ascii="Times New Roman" w:hAnsi="Times New Roman" w:cs="Times New Roman"/>
          <w:sz w:val="24"/>
          <w:szCs w:val="24"/>
        </w:rPr>
        <w:t xml:space="preserve">ethodological </w:t>
      </w:r>
      <w:r w:rsidR="00670360" w:rsidRPr="002A7D9E">
        <w:rPr>
          <w:rFonts w:ascii="Times New Roman" w:hAnsi="Times New Roman" w:cs="Times New Roman"/>
          <w:sz w:val="24"/>
          <w:szCs w:val="24"/>
        </w:rPr>
        <w:t>challenges</w:t>
      </w:r>
      <w:r w:rsidR="00E77D57" w:rsidRPr="002A7D9E">
        <w:rPr>
          <w:rFonts w:ascii="Times New Roman" w:hAnsi="Times New Roman" w:cs="Times New Roman"/>
          <w:sz w:val="24"/>
          <w:szCs w:val="24"/>
        </w:rPr>
        <w:t xml:space="preserve"> </w:t>
      </w:r>
      <w:r w:rsidR="00B535D5" w:rsidRPr="002A7D9E">
        <w:rPr>
          <w:rFonts w:ascii="Times New Roman" w:hAnsi="Times New Roman" w:cs="Times New Roman"/>
          <w:sz w:val="24"/>
          <w:szCs w:val="24"/>
        </w:rPr>
        <w:t xml:space="preserve">to overcome in the evaluation of </w:t>
      </w:r>
      <w:r w:rsidR="008448E1" w:rsidRPr="002A7D9E">
        <w:rPr>
          <w:rFonts w:ascii="Times New Roman" w:hAnsi="Times New Roman" w:cs="Times New Roman"/>
          <w:sz w:val="24"/>
          <w:szCs w:val="24"/>
        </w:rPr>
        <w:t xml:space="preserve">its </w:t>
      </w:r>
      <w:r w:rsidR="00B535D5" w:rsidRPr="002A7D9E">
        <w:rPr>
          <w:rFonts w:ascii="Times New Roman" w:hAnsi="Times New Roman" w:cs="Times New Roman"/>
          <w:sz w:val="24"/>
          <w:szCs w:val="24"/>
        </w:rPr>
        <w:t xml:space="preserve">effectiveness, </w:t>
      </w:r>
      <w:r w:rsidR="00A07763" w:rsidRPr="002A7D9E">
        <w:rPr>
          <w:rFonts w:ascii="Times New Roman" w:hAnsi="Times New Roman" w:cs="Times New Roman"/>
          <w:sz w:val="24"/>
          <w:szCs w:val="24"/>
        </w:rPr>
        <w:t xml:space="preserve">studying </w:t>
      </w:r>
      <w:r w:rsidR="00670360" w:rsidRPr="002A7D9E">
        <w:rPr>
          <w:rFonts w:ascii="Times New Roman" w:hAnsi="Times New Roman" w:cs="Times New Roman"/>
          <w:sz w:val="24"/>
          <w:szCs w:val="24"/>
        </w:rPr>
        <w:t xml:space="preserve">the OMC </w:t>
      </w:r>
      <w:r w:rsidR="0013654B" w:rsidRPr="002A7D9E">
        <w:rPr>
          <w:rFonts w:ascii="Times New Roman" w:hAnsi="Times New Roman" w:cs="Times New Roman"/>
          <w:sz w:val="24"/>
          <w:szCs w:val="24"/>
        </w:rPr>
        <w:t>allows researchers</w:t>
      </w:r>
      <w:r w:rsidR="00670360" w:rsidRPr="002A7D9E">
        <w:rPr>
          <w:rFonts w:ascii="Times New Roman" w:hAnsi="Times New Roman" w:cs="Times New Roman"/>
          <w:sz w:val="24"/>
          <w:szCs w:val="24"/>
        </w:rPr>
        <w:t xml:space="preserve"> to </w:t>
      </w:r>
      <w:r w:rsidR="00F86EA9" w:rsidRPr="002A7D9E">
        <w:rPr>
          <w:rFonts w:ascii="Times New Roman" w:hAnsi="Times New Roman" w:cs="Times New Roman"/>
          <w:sz w:val="24"/>
          <w:szCs w:val="24"/>
        </w:rPr>
        <w:t xml:space="preserve">identify and </w:t>
      </w:r>
      <w:r w:rsidR="00C217C7" w:rsidRPr="002A7D9E">
        <w:rPr>
          <w:rFonts w:ascii="Times New Roman" w:hAnsi="Times New Roman" w:cs="Times New Roman"/>
          <w:sz w:val="24"/>
          <w:szCs w:val="24"/>
        </w:rPr>
        <w:t>examine the links</w:t>
      </w:r>
      <w:r w:rsidR="00B535D5" w:rsidRPr="002A7D9E">
        <w:rPr>
          <w:rFonts w:ascii="Times New Roman" w:hAnsi="Times New Roman" w:cs="Times New Roman"/>
          <w:sz w:val="24"/>
          <w:szCs w:val="24"/>
        </w:rPr>
        <w:t xml:space="preserve"> between best practices and domestic </w:t>
      </w:r>
      <w:r w:rsidR="00C217C7" w:rsidRPr="002A7D9E">
        <w:rPr>
          <w:rFonts w:ascii="Times New Roman" w:hAnsi="Times New Roman" w:cs="Times New Roman"/>
          <w:sz w:val="24"/>
          <w:szCs w:val="24"/>
        </w:rPr>
        <w:t>policies</w:t>
      </w:r>
      <w:r w:rsidR="00B535D5" w:rsidRPr="002A7D9E">
        <w:rPr>
          <w:rFonts w:ascii="Times New Roman" w:hAnsi="Times New Roman" w:cs="Times New Roman"/>
          <w:sz w:val="24"/>
          <w:szCs w:val="24"/>
        </w:rPr>
        <w:t>.</w:t>
      </w:r>
    </w:p>
    <w:p w:rsidR="00535156" w:rsidRPr="002A7D9E" w:rsidRDefault="00535156" w:rsidP="00A74DB6">
      <w:pPr>
        <w:spacing w:after="0" w:line="480" w:lineRule="auto"/>
        <w:rPr>
          <w:rFonts w:ascii="Times New Roman" w:hAnsi="Times New Roman" w:cs="Times New Roman"/>
          <w:sz w:val="24"/>
          <w:szCs w:val="24"/>
        </w:rPr>
      </w:pPr>
    </w:p>
    <w:p w:rsidR="008448E1" w:rsidRPr="002A7D9E" w:rsidRDefault="00017741" w:rsidP="00A74DB6">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In the remainder of the article</w:t>
      </w:r>
      <w:r w:rsidR="008448E1" w:rsidRPr="002A7D9E">
        <w:rPr>
          <w:rFonts w:ascii="Times New Roman" w:hAnsi="Times New Roman" w:cs="Times New Roman"/>
          <w:sz w:val="24"/>
          <w:szCs w:val="24"/>
        </w:rPr>
        <w:t xml:space="preserve">, I first </w:t>
      </w:r>
      <w:r w:rsidR="00A77D26" w:rsidRPr="002A7D9E">
        <w:rPr>
          <w:rFonts w:ascii="Times New Roman" w:hAnsi="Times New Roman" w:cs="Times New Roman"/>
          <w:sz w:val="24"/>
          <w:szCs w:val="24"/>
        </w:rPr>
        <w:t>discuss</w:t>
      </w:r>
      <w:r w:rsidR="008448E1" w:rsidRPr="002A7D9E">
        <w:rPr>
          <w:rFonts w:ascii="Times New Roman" w:hAnsi="Times New Roman" w:cs="Times New Roman"/>
          <w:sz w:val="24"/>
          <w:szCs w:val="24"/>
        </w:rPr>
        <w:t xml:space="preserve"> theoretical and methodological approaches,</w:t>
      </w:r>
      <w:r w:rsidR="00932072" w:rsidRPr="002A7D9E">
        <w:rPr>
          <w:rFonts w:ascii="Times New Roman" w:hAnsi="Times New Roman" w:cs="Times New Roman"/>
          <w:sz w:val="24"/>
          <w:szCs w:val="24"/>
        </w:rPr>
        <w:t xml:space="preserve"> rooted in </w:t>
      </w:r>
      <w:r w:rsidR="008448E1" w:rsidRPr="002A7D9E">
        <w:rPr>
          <w:rFonts w:ascii="Times New Roman" w:hAnsi="Times New Roman" w:cs="Times New Roman"/>
          <w:sz w:val="24"/>
          <w:szCs w:val="24"/>
        </w:rPr>
        <w:t>the</w:t>
      </w:r>
      <w:r w:rsidR="00932072" w:rsidRPr="002A7D9E">
        <w:rPr>
          <w:rFonts w:ascii="Times New Roman" w:hAnsi="Times New Roman" w:cs="Times New Roman"/>
          <w:sz w:val="24"/>
          <w:szCs w:val="24"/>
        </w:rPr>
        <w:t xml:space="preserve"> literature on</w:t>
      </w:r>
      <w:r w:rsidR="008448E1" w:rsidRPr="002A7D9E">
        <w:rPr>
          <w:rFonts w:ascii="Times New Roman" w:hAnsi="Times New Roman" w:cs="Times New Roman"/>
          <w:sz w:val="24"/>
          <w:szCs w:val="24"/>
        </w:rPr>
        <w:t xml:space="preserve"> public policy</w:t>
      </w:r>
      <w:r w:rsidR="00932072" w:rsidRPr="002A7D9E">
        <w:rPr>
          <w:rFonts w:ascii="Times New Roman" w:hAnsi="Times New Roman" w:cs="Times New Roman"/>
          <w:sz w:val="24"/>
          <w:szCs w:val="24"/>
        </w:rPr>
        <w:t xml:space="preserve"> and administration. </w:t>
      </w:r>
      <w:r w:rsidR="008448E1" w:rsidRPr="002A7D9E">
        <w:rPr>
          <w:rFonts w:ascii="Times New Roman" w:hAnsi="Times New Roman" w:cs="Times New Roman"/>
          <w:sz w:val="24"/>
          <w:szCs w:val="24"/>
        </w:rPr>
        <w:t xml:space="preserve">I then move on to </w:t>
      </w:r>
      <w:r w:rsidR="00A77D26" w:rsidRPr="002A7D9E">
        <w:rPr>
          <w:rFonts w:ascii="Times New Roman" w:hAnsi="Times New Roman" w:cs="Times New Roman"/>
          <w:sz w:val="24"/>
          <w:szCs w:val="24"/>
        </w:rPr>
        <w:t>outline</w:t>
      </w:r>
      <w:r w:rsidR="008448E1" w:rsidRPr="002A7D9E">
        <w:rPr>
          <w:rFonts w:ascii="Times New Roman" w:hAnsi="Times New Roman" w:cs="Times New Roman"/>
          <w:sz w:val="24"/>
          <w:szCs w:val="24"/>
        </w:rPr>
        <w:t xml:space="preserve"> the case study </w:t>
      </w:r>
      <w:r w:rsidR="00A77D26" w:rsidRPr="002A7D9E">
        <w:rPr>
          <w:rFonts w:ascii="Times New Roman" w:hAnsi="Times New Roman" w:cs="Times New Roman"/>
          <w:sz w:val="24"/>
          <w:szCs w:val="24"/>
        </w:rPr>
        <w:t xml:space="preserve">of the Open Method of Coordination, </w:t>
      </w:r>
      <w:r w:rsidR="008448E1" w:rsidRPr="002A7D9E">
        <w:rPr>
          <w:rFonts w:ascii="Times New Roman" w:hAnsi="Times New Roman" w:cs="Times New Roman"/>
          <w:sz w:val="24"/>
          <w:szCs w:val="24"/>
        </w:rPr>
        <w:t xml:space="preserve">and </w:t>
      </w:r>
      <w:r w:rsidR="00A77D26" w:rsidRPr="002A7D9E">
        <w:rPr>
          <w:rFonts w:ascii="Times New Roman" w:hAnsi="Times New Roman" w:cs="Times New Roman"/>
          <w:sz w:val="24"/>
          <w:szCs w:val="24"/>
        </w:rPr>
        <w:t xml:space="preserve">discuss </w:t>
      </w:r>
      <w:r w:rsidR="008448E1" w:rsidRPr="002A7D9E">
        <w:rPr>
          <w:rFonts w:ascii="Times New Roman" w:hAnsi="Times New Roman" w:cs="Times New Roman"/>
          <w:sz w:val="24"/>
          <w:szCs w:val="24"/>
        </w:rPr>
        <w:t>four themes</w:t>
      </w:r>
      <w:r w:rsidR="00A77D26" w:rsidRPr="002A7D9E">
        <w:rPr>
          <w:rFonts w:ascii="Times New Roman" w:hAnsi="Times New Roman" w:cs="Times New Roman"/>
          <w:sz w:val="24"/>
          <w:szCs w:val="24"/>
        </w:rPr>
        <w:t xml:space="preserve"> that emerged </w:t>
      </w:r>
      <w:r w:rsidR="00C338E0" w:rsidRPr="002A7D9E">
        <w:rPr>
          <w:rFonts w:ascii="Times New Roman" w:hAnsi="Times New Roman" w:cs="Times New Roman"/>
          <w:sz w:val="24"/>
          <w:szCs w:val="24"/>
        </w:rPr>
        <w:t>from</w:t>
      </w:r>
      <w:r w:rsidR="00A77D26" w:rsidRPr="002A7D9E">
        <w:rPr>
          <w:rFonts w:ascii="Times New Roman" w:hAnsi="Times New Roman" w:cs="Times New Roman"/>
          <w:sz w:val="24"/>
          <w:szCs w:val="24"/>
        </w:rPr>
        <w:t xml:space="preserve"> my findings concerning</w:t>
      </w:r>
      <w:r w:rsidR="009559F4" w:rsidRPr="002A7D9E">
        <w:rPr>
          <w:rFonts w:ascii="Times New Roman" w:hAnsi="Times New Roman" w:cs="Times New Roman"/>
          <w:sz w:val="24"/>
          <w:szCs w:val="24"/>
        </w:rPr>
        <w:t xml:space="preserve"> the</w:t>
      </w:r>
      <w:r w:rsidR="006763AF" w:rsidRPr="002A7D9E">
        <w:rPr>
          <w:rFonts w:ascii="Times New Roman" w:hAnsi="Times New Roman" w:cs="Times New Roman"/>
          <w:sz w:val="24"/>
          <w:szCs w:val="24"/>
        </w:rPr>
        <w:t xml:space="preserve"> practical and conceptual challenges of best practices</w:t>
      </w:r>
      <w:r w:rsidR="002C649A" w:rsidRPr="002A7D9E">
        <w:rPr>
          <w:rFonts w:ascii="Times New Roman" w:hAnsi="Times New Roman" w:cs="Times New Roman"/>
          <w:sz w:val="24"/>
          <w:szCs w:val="24"/>
        </w:rPr>
        <w:t xml:space="preserve">. Before concluding, the </w:t>
      </w:r>
      <w:r w:rsidR="002C649A" w:rsidRPr="002A7D9E">
        <w:rPr>
          <w:rFonts w:ascii="Times New Roman" w:hAnsi="Times New Roman" w:cs="Times New Roman"/>
          <w:sz w:val="24"/>
          <w:szCs w:val="24"/>
        </w:rPr>
        <w:lastRenderedPageBreak/>
        <w:t>penultimate</w:t>
      </w:r>
      <w:r w:rsidR="00A77D26" w:rsidRPr="002A7D9E">
        <w:rPr>
          <w:rFonts w:ascii="Times New Roman" w:hAnsi="Times New Roman" w:cs="Times New Roman"/>
          <w:sz w:val="24"/>
          <w:szCs w:val="24"/>
        </w:rPr>
        <w:t xml:space="preserve"> </w:t>
      </w:r>
      <w:r w:rsidR="00207603" w:rsidRPr="002A7D9E">
        <w:rPr>
          <w:rFonts w:ascii="Times New Roman" w:hAnsi="Times New Roman" w:cs="Times New Roman"/>
          <w:sz w:val="24"/>
          <w:szCs w:val="24"/>
        </w:rPr>
        <w:t xml:space="preserve">section discusses six </w:t>
      </w:r>
      <w:r w:rsidR="00C338E0" w:rsidRPr="002A7D9E">
        <w:rPr>
          <w:rFonts w:ascii="Times New Roman" w:hAnsi="Times New Roman" w:cs="Times New Roman"/>
          <w:sz w:val="24"/>
          <w:szCs w:val="24"/>
        </w:rPr>
        <w:t xml:space="preserve">key practical </w:t>
      </w:r>
      <w:r w:rsidR="00207603" w:rsidRPr="002A7D9E">
        <w:rPr>
          <w:rFonts w:ascii="Times New Roman" w:hAnsi="Times New Roman" w:cs="Times New Roman"/>
          <w:sz w:val="24"/>
          <w:szCs w:val="24"/>
        </w:rPr>
        <w:t xml:space="preserve">questions </w:t>
      </w:r>
      <w:r w:rsidR="00C338E0" w:rsidRPr="002A7D9E">
        <w:rPr>
          <w:rFonts w:ascii="Times New Roman" w:hAnsi="Times New Roman" w:cs="Times New Roman"/>
          <w:sz w:val="24"/>
          <w:szCs w:val="24"/>
        </w:rPr>
        <w:t xml:space="preserve">on the </w:t>
      </w:r>
      <w:r w:rsidR="00207603" w:rsidRPr="002A7D9E">
        <w:rPr>
          <w:rFonts w:ascii="Times New Roman" w:hAnsi="Times New Roman" w:cs="Times New Roman"/>
          <w:sz w:val="24"/>
          <w:szCs w:val="24"/>
        </w:rPr>
        <w:t>viability</w:t>
      </w:r>
      <w:r w:rsidR="00C338E0" w:rsidRPr="002A7D9E">
        <w:rPr>
          <w:rFonts w:ascii="Times New Roman" w:hAnsi="Times New Roman" w:cs="Times New Roman"/>
          <w:sz w:val="24"/>
          <w:szCs w:val="24"/>
        </w:rPr>
        <w:t xml:space="preserve">, suitability, and operation of </w:t>
      </w:r>
      <w:r w:rsidR="00207603" w:rsidRPr="002A7D9E">
        <w:rPr>
          <w:rFonts w:ascii="Times New Roman" w:hAnsi="Times New Roman" w:cs="Times New Roman"/>
          <w:sz w:val="24"/>
          <w:szCs w:val="24"/>
        </w:rPr>
        <w:t>best practices</w:t>
      </w:r>
      <w:r w:rsidR="00247D30" w:rsidRPr="002A7D9E">
        <w:rPr>
          <w:rFonts w:ascii="Times New Roman" w:hAnsi="Times New Roman" w:cs="Times New Roman"/>
          <w:sz w:val="24"/>
          <w:szCs w:val="24"/>
        </w:rPr>
        <w:t xml:space="preserve"> in order to </w:t>
      </w:r>
      <w:r w:rsidR="009C210B" w:rsidRPr="002A7D9E">
        <w:rPr>
          <w:rFonts w:ascii="Times New Roman" w:hAnsi="Times New Roman" w:cs="Times New Roman"/>
          <w:sz w:val="24"/>
          <w:szCs w:val="24"/>
        </w:rPr>
        <w:t>promote learning and exchange.</w:t>
      </w:r>
      <w:r w:rsidR="00C338E0" w:rsidRPr="002A7D9E">
        <w:rPr>
          <w:rFonts w:ascii="Times New Roman" w:hAnsi="Times New Roman" w:cs="Times New Roman"/>
          <w:sz w:val="24"/>
          <w:szCs w:val="24"/>
        </w:rPr>
        <w:t xml:space="preserve"> </w:t>
      </w:r>
      <w:r w:rsidR="002B28F8" w:rsidRPr="002A7D9E">
        <w:rPr>
          <w:rFonts w:ascii="Times New Roman" w:hAnsi="Times New Roman" w:cs="Times New Roman"/>
          <w:sz w:val="24"/>
          <w:szCs w:val="24"/>
        </w:rPr>
        <w:t xml:space="preserve"> </w:t>
      </w:r>
    </w:p>
    <w:p w:rsidR="008448E1" w:rsidRPr="002A7D9E" w:rsidRDefault="008448E1" w:rsidP="00562A8C">
      <w:pPr>
        <w:spacing w:after="0" w:line="276" w:lineRule="auto"/>
        <w:rPr>
          <w:rFonts w:ascii="Times New Roman" w:hAnsi="Times New Roman" w:cs="Times New Roman"/>
          <w:sz w:val="24"/>
          <w:szCs w:val="24"/>
        </w:rPr>
      </w:pPr>
    </w:p>
    <w:p w:rsidR="008F68EC" w:rsidRPr="002A7D9E" w:rsidRDefault="00B92259" w:rsidP="001A3121">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T</w:t>
      </w:r>
      <w:r w:rsidR="00C13875" w:rsidRPr="002A7D9E">
        <w:rPr>
          <w:rFonts w:ascii="Times New Roman" w:hAnsi="Times New Roman" w:cs="Times New Roman"/>
          <w:b/>
          <w:sz w:val="24"/>
          <w:szCs w:val="24"/>
        </w:rPr>
        <w:t xml:space="preserve">heory and </w:t>
      </w:r>
      <w:r w:rsidR="007500A8" w:rsidRPr="002A7D9E">
        <w:rPr>
          <w:rFonts w:ascii="Times New Roman" w:hAnsi="Times New Roman" w:cs="Times New Roman"/>
          <w:b/>
          <w:sz w:val="24"/>
          <w:szCs w:val="24"/>
        </w:rPr>
        <w:t>methodology</w:t>
      </w:r>
    </w:p>
    <w:p w:rsidR="00B944D7" w:rsidRPr="002A7D9E" w:rsidRDefault="00620338"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The </w:t>
      </w:r>
      <w:r w:rsidR="001B1ABD" w:rsidRPr="002A7D9E">
        <w:rPr>
          <w:rFonts w:ascii="Times New Roman" w:hAnsi="Times New Roman" w:cs="Times New Roman"/>
          <w:sz w:val="24"/>
          <w:szCs w:val="24"/>
        </w:rPr>
        <w:t xml:space="preserve">study of </w:t>
      </w:r>
      <w:r w:rsidRPr="002A7D9E">
        <w:rPr>
          <w:rFonts w:ascii="Times New Roman" w:hAnsi="Times New Roman" w:cs="Times New Roman"/>
          <w:sz w:val="24"/>
          <w:szCs w:val="24"/>
        </w:rPr>
        <w:t xml:space="preserve">policy transfer, lesson drawing, </w:t>
      </w:r>
      <w:r w:rsidR="00943844" w:rsidRPr="002A7D9E">
        <w:rPr>
          <w:rFonts w:ascii="Times New Roman" w:hAnsi="Times New Roman" w:cs="Times New Roman"/>
          <w:sz w:val="24"/>
          <w:szCs w:val="24"/>
        </w:rPr>
        <w:t xml:space="preserve">diffusion, convergence, </w:t>
      </w:r>
      <w:r w:rsidR="00590A89" w:rsidRPr="002A7D9E">
        <w:rPr>
          <w:rFonts w:ascii="Times New Roman" w:hAnsi="Times New Roman" w:cs="Times New Roman"/>
          <w:sz w:val="24"/>
          <w:szCs w:val="24"/>
        </w:rPr>
        <w:t xml:space="preserve">and </w:t>
      </w:r>
      <w:r w:rsidRPr="002A7D9E">
        <w:rPr>
          <w:rFonts w:ascii="Times New Roman" w:hAnsi="Times New Roman" w:cs="Times New Roman"/>
          <w:sz w:val="24"/>
          <w:szCs w:val="24"/>
        </w:rPr>
        <w:t>policy learning</w:t>
      </w:r>
      <w:r w:rsidR="003525FA" w:rsidRPr="002A7D9E">
        <w:rPr>
          <w:rFonts w:ascii="Times New Roman" w:hAnsi="Times New Roman" w:cs="Times New Roman"/>
          <w:sz w:val="24"/>
          <w:szCs w:val="24"/>
        </w:rPr>
        <w:t xml:space="preserve"> are</w:t>
      </w:r>
      <w:r w:rsidR="001B1ABD" w:rsidRPr="002A7D9E">
        <w:rPr>
          <w:rFonts w:ascii="Times New Roman" w:hAnsi="Times New Roman" w:cs="Times New Roman"/>
          <w:sz w:val="24"/>
          <w:szCs w:val="24"/>
        </w:rPr>
        <w:t xml:space="preserve"> core component</w:t>
      </w:r>
      <w:r w:rsidR="003525FA" w:rsidRPr="002A7D9E">
        <w:rPr>
          <w:rFonts w:ascii="Times New Roman" w:hAnsi="Times New Roman" w:cs="Times New Roman"/>
          <w:sz w:val="24"/>
          <w:szCs w:val="24"/>
        </w:rPr>
        <w:t>s</w:t>
      </w:r>
      <w:r w:rsidR="001B1ABD" w:rsidRPr="002A7D9E">
        <w:rPr>
          <w:rFonts w:ascii="Times New Roman" w:hAnsi="Times New Roman" w:cs="Times New Roman"/>
          <w:sz w:val="24"/>
          <w:szCs w:val="24"/>
        </w:rPr>
        <w:t xml:space="preserve"> of the literatures on comparative politics and public policy</w:t>
      </w:r>
      <w:r w:rsidR="00D9404B" w:rsidRPr="002A7D9E">
        <w:rPr>
          <w:rFonts w:ascii="Times New Roman" w:hAnsi="Times New Roman" w:cs="Times New Roman"/>
          <w:sz w:val="24"/>
          <w:szCs w:val="24"/>
        </w:rPr>
        <w:t xml:space="preserve">. </w:t>
      </w:r>
      <w:r w:rsidR="00CF082A" w:rsidRPr="002A7D9E">
        <w:rPr>
          <w:rFonts w:ascii="Times New Roman" w:hAnsi="Times New Roman" w:cs="Times New Roman"/>
          <w:sz w:val="24"/>
          <w:szCs w:val="24"/>
        </w:rPr>
        <w:t xml:space="preserve">Space does not allow for a full exploration of these </w:t>
      </w:r>
      <w:r w:rsidR="00B271A7" w:rsidRPr="002A7D9E">
        <w:rPr>
          <w:rFonts w:ascii="Times New Roman" w:hAnsi="Times New Roman" w:cs="Times New Roman"/>
          <w:sz w:val="24"/>
          <w:szCs w:val="24"/>
        </w:rPr>
        <w:t>concepts</w:t>
      </w:r>
      <w:r w:rsidR="00CF082A" w:rsidRPr="002A7D9E">
        <w:rPr>
          <w:rFonts w:ascii="Times New Roman" w:hAnsi="Times New Roman" w:cs="Times New Roman"/>
          <w:sz w:val="24"/>
          <w:szCs w:val="24"/>
        </w:rPr>
        <w:t xml:space="preserve">, but a short </w:t>
      </w:r>
      <w:r w:rsidR="008448E1" w:rsidRPr="002A7D9E">
        <w:rPr>
          <w:rFonts w:ascii="Times New Roman" w:hAnsi="Times New Roman" w:cs="Times New Roman"/>
          <w:sz w:val="24"/>
          <w:szCs w:val="24"/>
        </w:rPr>
        <w:t xml:space="preserve">discussion </w:t>
      </w:r>
      <w:r w:rsidR="00CF082A" w:rsidRPr="002A7D9E">
        <w:rPr>
          <w:rFonts w:ascii="Times New Roman" w:hAnsi="Times New Roman" w:cs="Times New Roman"/>
          <w:sz w:val="24"/>
          <w:szCs w:val="24"/>
        </w:rPr>
        <w:t>is necessary in order to establish baseline terminology</w:t>
      </w:r>
      <w:r w:rsidR="00B271A7" w:rsidRPr="002A7D9E">
        <w:rPr>
          <w:rFonts w:ascii="Times New Roman" w:hAnsi="Times New Roman" w:cs="Times New Roman"/>
          <w:sz w:val="24"/>
          <w:szCs w:val="24"/>
        </w:rPr>
        <w:t>.</w:t>
      </w:r>
      <w:r w:rsidR="00CF082A" w:rsidRPr="002A7D9E">
        <w:rPr>
          <w:rFonts w:ascii="Times New Roman" w:hAnsi="Times New Roman" w:cs="Times New Roman"/>
          <w:sz w:val="24"/>
          <w:szCs w:val="24"/>
        </w:rPr>
        <w:t xml:space="preserve"> </w:t>
      </w:r>
      <w:r w:rsidR="00B271A7" w:rsidRPr="002A7D9E">
        <w:rPr>
          <w:rFonts w:ascii="Times New Roman" w:hAnsi="Times New Roman" w:cs="Times New Roman"/>
          <w:sz w:val="24"/>
          <w:szCs w:val="24"/>
        </w:rPr>
        <w:t>The</w:t>
      </w:r>
      <w:r w:rsidR="003525FA" w:rsidRPr="002A7D9E">
        <w:rPr>
          <w:rFonts w:ascii="Times New Roman" w:hAnsi="Times New Roman" w:cs="Times New Roman"/>
          <w:sz w:val="24"/>
          <w:szCs w:val="24"/>
        </w:rPr>
        <w:t xml:space="preserve"> </w:t>
      </w:r>
      <w:r w:rsidR="008C499A" w:rsidRPr="002A7D9E">
        <w:rPr>
          <w:rFonts w:ascii="Times New Roman" w:hAnsi="Times New Roman" w:cs="Times New Roman"/>
          <w:sz w:val="24"/>
          <w:szCs w:val="24"/>
        </w:rPr>
        <w:t xml:space="preserve">increasing </w:t>
      </w:r>
      <w:r w:rsidR="003525FA" w:rsidRPr="002A7D9E">
        <w:rPr>
          <w:rFonts w:ascii="Times New Roman" w:hAnsi="Times New Roman" w:cs="Times New Roman"/>
          <w:sz w:val="24"/>
          <w:szCs w:val="24"/>
        </w:rPr>
        <w:t xml:space="preserve">popularity </w:t>
      </w:r>
      <w:r w:rsidR="00B271A7" w:rsidRPr="002A7D9E">
        <w:rPr>
          <w:rFonts w:ascii="Times New Roman" w:hAnsi="Times New Roman" w:cs="Times New Roman"/>
          <w:sz w:val="24"/>
          <w:szCs w:val="24"/>
        </w:rPr>
        <w:t>of studying these phenomena</w:t>
      </w:r>
      <w:r w:rsidR="00C222D6" w:rsidRPr="002A7D9E">
        <w:rPr>
          <w:rFonts w:ascii="Times New Roman" w:hAnsi="Times New Roman" w:cs="Times New Roman"/>
          <w:sz w:val="24"/>
          <w:szCs w:val="24"/>
        </w:rPr>
        <w:t xml:space="preserve"> </w:t>
      </w:r>
      <w:r w:rsidR="008F73AD" w:rsidRPr="002A7D9E">
        <w:rPr>
          <w:rFonts w:ascii="Times New Roman" w:hAnsi="Times New Roman" w:cs="Times New Roman"/>
          <w:sz w:val="24"/>
          <w:szCs w:val="24"/>
        </w:rPr>
        <w:t>has been</w:t>
      </w:r>
      <w:r w:rsidR="00C222D6" w:rsidRPr="002A7D9E">
        <w:rPr>
          <w:rFonts w:ascii="Times New Roman" w:hAnsi="Times New Roman" w:cs="Times New Roman"/>
          <w:sz w:val="24"/>
          <w:szCs w:val="24"/>
        </w:rPr>
        <w:t xml:space="preserve"> attributed to changes in political and institutional structures that have occurred </w:t>
      </w:r>
      <w:proofErr w:type="gramStart"/>
      <w:r w:rsidR="00C222D6" w:rsidRPr="002A7D9E">
        <w:rPr>
          <w:rFonts w:ascii="Times New Roman" w:hAnsi="Times New Roman" w:cs="Times New Roman"/>
          <w:sz w:val="24"/>
          <w:szCs w:val="24"/>
        </w:rPr>
        <w:t>as a result</w:t>
      </w:r>
      <w:proofErr w:type="gramEnd"/>
      <w:r w:rsidR="00C222D6" w:rsidRPr="002A7D9E">
        <w:rPr>
          <w:rFonts w:ascii="Times New Roman" w:hAnsi="Times New Roman" w:cs="Times New Roman"/>
          <w:sz w:val="24"/>
          <w:szCs w:val="24"/>
        </w:rPr>
        <w:t xml:space="preserve"> of globalization</w:t>
      </w:r>
      <w:r w:rsidR="00B271A7" w:rsidRPr="002A7D9E">
        <w:rPr>
          <w:rFonts w:ascii="Times New Roman" w:hAnsi="Times New Roman" w:cs="Times New Roman"/>
          <w:sz w:val="24"/>
          <w:szCs w:val="24"/>
        </w:rPr>
        <w:t xml:space="preserve"> </w:t>
      </w:r>
      <w:r w:rsidR="00C222D6" w:rsidRPr="002A7D9E">
        <w:rPr>
          <w:rFonts w:ascii="Times New Roman" w:hAnsi="Times New Roman" w:cs="Times New Roman"/>
          <w:sz w:val="24"/>
          <w:szCs w:val="24"/>
        </w:rPr>
        <w:t>(</w:t>
      </w:r>
      <w:r w:rsidR="00AA620B" w:rsidRPr="002A7D9E">
        <w:rPr>
          <w:rFonts w:ascii="Times New Roman" w:hAnsi="Times New Roman" w:cs="Times New Roman"/>
          <w:sz w:val="24"/>
          <w:szCs w:val="24"/>
        </w:rPr>
        <w:t xml:space="preserve">Dolowitz and Marsh 2000, </w:t>
      </w:r>
      <w:r w:rsidR="00C222D6" w:rsidRPr="002A7D9E">
        <w:rPr>
          <w:rFonts w:ascii="Times New Roman" w:hAnsi="Times New Roman" w:cs="Times New Roman"/>
          <w:sz w:val="24"/>
          <w:szCs w:val="24"/>
        </w:rPr>
        <w:t>Evans 2009</w:t>
      </w:r>
      <w:r w:rsidR="003525FA" w:rsidRPr="002A7D9E">
        <w:rPr>
          <w:rFonts w:ascii="Times New Roman" w:hAnsi="Times New Roman" w:cs="Times New Roman"/>
          <w:sz w:val="24"/>
          <w:szCs w:val="24"/>
        </w:rPr>
        <w:t>a</w:t>
      </w:r>
      <w:r w:rsidR="00B271A7" w:rsidRPr="002A7D9E">
        <w:rPr>
          <w:rFonts w:ascii="Times New Roman" w:hAnsi="Times New Roman" w:cs="Times New Roman"/>
          <w:sz w:val="24"/>
          <w:szCs w:val="24"/>
        </w:rPr>
        <w:t>).</w:t>
      </w:r>
    </w:p>
    <w:p w:rsidR="00B944D7" w:rsidRPr="002A7D9E" w:rsidRDefault="00B944D7" w:rsidP="001A3121">
      <w:pPr>
        <w:spacing w:after="0" w:line="480" w:lineRule="auto"/>
        <w:rPr>
          <w:rFonts w:ascii="Times New Roman" w:hAnsi="Times New Roman" w:cs="Times New Roman"/>
          <w:sz w:val="24"/>
          <w:szCs w:val="24"/>
        </w:rPr>
      </w:pPr>
    </w:p>
    <w:p w:rsidR="008F68EC" w:rsidRPr="002A7D9E" w:rsidRDefault="00F43931"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Policy transfer</w:t>
      </w:r>
      <w:r w:rsidR="005C0BBD" w:rsidRPr="002A7D9E">
        <w:rPr>
          <w:rFonts w:ascii="Times New Roman" w:hAnsi="Times New Roman" w:cs="Times New Roman"/>
          <w:sz w:val="24"/>
          <w:szCs w:val="24"/>
        </w:rPr>
        <w:t xml:space="preserve"> is</w:t>
      </w:r>
      <w:r w:rsidR="00E83F79" w:rsidRPr="002A7D9E">
        <w:rPr>
          <w:rFonts w:ascii="Times New Roman" w:hAnsi="Times New Roman" w:cs="Times New Roman"/>
          <w:sz w:val="24"/>
          <w:szCs w:val="24"/>
        </w:rPr>
        <w:t xml:space="preserve"> a general term</w:t>
      </w:r>
      <w:r w:rsidR="005C0BBD" w:rsidRPr="002A7D9E">
        <w:rPr>
          <w:rFonts w:ascii="Times New Roman" w:hAnsi="Times New Roman" w:cs="Times New Roman"/>
          <w:sz w:val="24"/>
          <w:szCs w:val="24"/>
        </w:rPr>
        <w:t xml:space="preserve"> used to refer to th</w:t>
      </w:r>
      <w:r w:rsidR="005F5C07" w:rsidRPr="002A7D9E">
        <w:rPr>
          <w:rFonts w:ascii="Times New Roman" w:hAnsi="Times New Roman" w:cs="Times New Roman"/>
          <w:sz w:val="24"/>
          <w:szCs w:val="24"/>
        </w:rPr>
        <w:t>e transposition of ideas from o</w:t>
      </w:r>
      <w:r w:rsidR="005C0BBD" w:rsidRPr="002A7D9E">
        <w:rPr>
          <w:rFonts w:ascii="Times New Roman" w:hAnsi="Times New Roman" w:cs="Times New Roman"/>
          <w:sz w:val="24"/>
          <w:szCs w:val="24"/>
        </w:rPr>
        <w:t>ne context to another</w:t>
      </w:r>
      <w:r w:rsidR="00F258BD" w:rsidRPr="002A7D9E">
        <w:rPr>
          <w:rFonts w:ascii="Times New Roman" w:hAnsi="Times New Roman" w:cs="Times New Roman"/>
          <w:sz w:val="24"/>
          <w:szCs w:val="24"/>
        </w:rPr>
        <w:t>, when ‘knowledge about policies, administrative instruments, institutions and ideas in one political setting (past or present) is used in development of policies, administrative arrangements, institutions and ideas in another political setting’</w:t>
      </w:r>
      <w:r w:rsidR="00CD470A" w:rsidRPr="002A7D9E">
        <w:rPr>
          <w:rFonts w:ascii="Times New Roman" w:hAnsi="Times New Roman" w:cs="Times New Roman"/>
          <w:sz w:val="24"/>
          <w:szCs w:val="24"/>
        </w:rPr>
        <w:t xml:space="preserve"> (Dolowitz and Marsh 1996, 344</w:t>
      </w:r>
      <w:r w:rsidR="00F258BD" w:rsidRPr="002A7D9E">
        <w:rPr>
          <w:rFonts w:ascii="Times New Roman" w:hAnsi="Times New Roman" w:cs="Times New Roman"/>
          <w:sz w:val="24"/>
          <w:szCs w:val="24"/>
        </w:rPr>
        <w:t>)</w:t>
      </w:r>
      <w:r w:rsidR="005C0BBD" w:rsidRPr="002A7D9E">
        <w:rPr>
          <w:rFonts w:ascii="Times New Roman" w:hAnsi="Times New Roman" w:cs="Times New Roman"/>
          <w:sz w:val="24"/>
          <w:szCs w:val="24"/>
        </w:rPr>
        <w:t>. It</w:t>
      </w:r>
      <w:r w:rsidR="00670360" w:rsidRPr="002A7D9E">
        <w:rPr>
          <w:rFonts w:ascii="Times New Roman" w:hAnsi="Times New Roman" w:cs="Times New Roman"/>
          <w:sz w:val="24"/>
          <w:szCs w:val="24"/>
        </w:rPr>
        <w:t>,</w:t>
      </w:r>
      <w:r w:rsidR="005C0BBD" w:rsidRPr="002A7D9E">
        <w:rPr>
          <w:rFonts w:ascii="Times New Roman" w:hAnsi="Times New Roman" w:cs="Times New Roman"/>
          <w:sz w:val="24"/>
          <w:szCs w:val="24"/>
        </w:rPr>
        <w:t xml:space="preserve"> </w:t>
      </w:r>
    </w:p>
    <w:p w:rsidR="005F5C07" w:rsidRPr="002A7D9E" w:rsidRDefault="00B97862" w:rsidP="001A3121">
      <w:pPr>
        <w:spacing w:after="0" w:line="480" w:lineRule="auto"/>
        <w:ind w:left="720"/>
        <w:rPr>
          <w:rFonts w:ascii="Times New Roman" w:hAnsi="Times New Roman" w:cs="Times New Roman"/>
        </w:rPr>
      </w:pPr>
      <w:r w:rsidRPr="002A7D9E">
        <w:rPr>
          <w:rFonts w:ascii="Times New Roman" w:hAnsi="Times New Roman" w:cs="Times New Roman"/>
        </w:rPr>
        <w:t>…</w:t>
      </w:r>
      <w:r w:rsidR="005F5C07" w:rsidRPr="002A7D9E">
        <w:rPr>
          <w:rFonts w:ascii="Times New Roman" w:hAnsi="Times New Roman" w:cs="Times New Roman"/>
        </w:rPr>
        <w:t>can involve a wide range of international actors, or merely a small professional network exchanging ideas. It can relate to the wholesale transfer of policy programmes, broad ideas, minor administrative change or even the decision to learn negative lesson and not follow another country (</w:t>
      </w:r>
      <w:proofErr w:type="spellStart"/>
      <w:r w:rsidRPr="002A7D9E">
        <w:rPr>
          <w:rFonts w:ascii="Times New Roman" w:hAnsi="Times New Roman" w:cs="Times New Roman"/>
        </w:rPr>
        <w:t>Cairney</w:t>
      </w:r>
      <w:proofErr w:type="spellEnd"/>
      <w:r w:rsidRPr="002A7D9E">
        <w:rPr>
          <w:rFonts w:ascii="Times New Roman" w:hAnsi="Times New Roman" w:cs="Times New Roman"/>
        </w:rPr>
        <w:t xml:space="preserve"> </w:t>
      </w:r>
      <w:r w:rsidR="003A5D81" w:rsidRPr="002A7D9E">
        <w:rPr>
          <w:rFonts w:ascii="Times New Roman" w:hAnsi="Times New Roman" w:cs="Times New Roman"/>
        </w:rPr>
        <w:t xml:space="preserve">2012, </w:t>
      </w:r>
      <w:r w:rsidR="005F5C07" w:rsidRPr="002A7D9E">
        <w:rPr>
          <w:rFonts w:ascii="Times New Roman" w:hAnsi="Times New Roman" w:cs="Times New Roman"/>
        </w:rPr>
        <w:t>245).</w:t>
      </w:r>
    </w:p>
    <w:p w:rsidR="006E05C4" w:rsidRPr="002A7D9E" w:rsidRDefault="00663EB1"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lastRenderedPageBreak/>
        <w:t>Meanwhile, p</w:t>
      </w:r>
      <w:r w:rsidR="006E05C4" w:rsidRPr="002A7D9E">
        <w:rPr>
          <w:rFonts w:ascii="Times New Roman" w:hAnsi="Times New Roman" w:cs="Times New Roman"/>
          <w:sz w:val="24"/>
          <w:szCs w:val="24"/>
        </w:rPr>
        <w:t>olicy diffusion</w:t>
      </w:r>
      <w:r w:rsidR="00F25160" w:rsidRPr="002A7D9E">
        <w:rPr>
          <w:rFonts w:ascii="Times New Roman" w:hAnsi="Times New Roman" w:cs="Times New Roman"/>
          <w:sz w:val="24"/>
          <w:szCs w:val="24"/>
        </w:rPr>
        <w:t xml:space="preserve"> </w:t>
      </w:r>
      <w:r w:rsidR="008F7EC7" w:rsidRPr="002A7D9E">
        <w:rPr>
          <w:rFonts w:ascii="Times New Roman" w:hAnsi="Times New Roman" w:cs="Times New Roman"/>
          <w:sz w:val="24"/>
          <w:szCs w:val="24"/>
        </w:rPr>
        <w:t xml:space="preserve">occurs </w:t>
      </w:r>
      <w:r w:rsidR="00F25160" w:rsidRPr="002A7D9E">
        <w:rPr>
          <w:rFonts w:ascii="Times New Roman" w:hAnsi="Times New Roman" w:cs="Times New Roman"/>
          <w:sz w:val="24"/>
          <w:szCs w:val="24"/>
        </w:rPr>
        <w:t>when</w:t>
      </w:r>
      <w:r w:rsidR="00CD470A" w:rsidRPr="002A7D9E">
        <w:rPr>
          <w:rFonts w:ascii="Times New Roman" w:hAnsi="Times New Roman" w:cs="Times New Roman"/>
          <w:sz w:val="24"/>
          <w:szCs w:val="24"/>
        </w:rPr>
        <w:t xml:space="preserve"> choices made in one setting influence policy choices in another jurisdict</w:t>
      </w:r>
      <w:r w:rsidR="00F25160" w:rsidRPr="002A7D9E">
        <w:rPr>
          <w:rFonts w:ascii="Times New Roman" w:hAnsi="Times New Roman" w:cs="Times New Roman"/>
          <w:sz w:val="24"/>
          <w:szCs w:val="24"/>
        </w:rPr>
        <w:t>i</w:t>
      </w:r>
      <w:r w:rsidR="00276255" w:rsidRPr="002A7D9E">
        <w:rPr>
          <w:rFonts w:ascii="Times New Roman" w:hAnsi="Times New Roman" w:cs="Times New Roman"/>
          <w:sz w:val="24"/>
          <w:szCs w:val="24"/>
        </w:rPr>
        <w:t>on – the “spreading” of policy – and c</w:t>
      </w:r>
      <w:r w:rsidR="006E05C4" w:rsidRPr="002A7D9E">
        <w:rPr>
          <w:rFonts w:ascii="Times New Roman" w:hAnsi="Times New Roman" w:cs="Times New Roman"/>
          <w:sz w:val="24"/>
          <w:szCs w:val="24"/>
        </w:rPr>
        <w:t xml:space="preserve">onvergence </w:t>
      </w:r>
      <w:r w:rsidR="00F25160" w:rsidRPr="002A7D9E">
        <w:rPr>
          <w:rFonts w:ascii="Times New Roman" w:hAnsi="Times New Roman" w:cs="Times New Roman"/>
          <w:sz w:val="24"/>
          <w:szCs w:val="24"/>
        </w:rPr>
        <w:t>is</w:t>
      </w:r>
      <w:r w:rsidR="006E05C4" w:rsidRPr="002A7D9E">
        <w:rPr>
          <w:rFonts w:ascii="Times New Roman" w:hAnsi="Times New Roman" w:cs="Times New Roman"/>
          <w:sz w:val="24"/>
          <w:szCs w:val="24"/>
        </w:rPr>
        <w:t xml:space="preserve"> the gradual similarities of policies between countries over time.</w:t>
      </w:r>
    </w:p>
    <w:p w:rsidR="00DB3111" w:rsidRPr="002A7D9E" w:rsidRDefault="00DB3111" w:rsidP="001A3121">
      <w:pPr>
        <w:spacing w:after="0" w:line="480" w:lineRule="auto"/>
        <w:rPr>
          <w:rFonts w:ascii="Times New Roman" w:hAnsi="Times New Roman" w:cs="Times New Roman"/>
          <w:sz w:val="24"/>
          <w:szCs w:val="24"/>
        </w:rPr>
      </w:pPr>
    </w:p>
    <w:p w:rsidR="00A82134" w:rsidRPr="002A7D9E" w:rsidRDefault="005D17C5" w:rsidP="001A3121">
      <w:pPr>
        <w:spacing w:after="0" w:line="480" w:lineRule="auto"/>
        <w:rPr>
          <w:rFonts w:ascii="Times New Roman" w:hAnsi="Times New Roman" w:cs="Times New Roman"/>
          <w:sz w:val="24"/>
          <w:szCs w:val="24"/>
        </w:rPr>
      </w:pPr>
      <w:proofErr w:type="gramStart"/>
      <w:r w:rsidRPr="002A7D9E">
        <w:rPr>
          <w:rFonts w:ascii="Times New Roman" w:hAnsi="Times New Roman" w:cs="Times New Roman"/>
          <w:sz w:val="24"/>
          <w:szCs w:val="24"/>
        </w:rPr>
        <w:t>L</w:t>
      </w:r>
      <w:r w:rsidR="00DB3111" w:rsidRPr="002A7D9E">
        <w:rPr>
          <w:rFonts w:ascii="Times New Roman" w:hAnsi="Times New Roman" w:cs="Times New Roman"/>
          <w:sz w:val="24"/>
          <w:szCs w:val="24"/>
        </w:rPr>
        <w:t>esson-drawing</w:t>
      </w:r>
      <w:proofErr w:type="gramEnd"/>
      <w:r w:rsidR="00AF17E9" w:rsidRPr="002A7D9E">
        <w:rPr>
          <w:rFonts w:ascii="Times New Roman" w:hAnsi="Times New Roman" w:cs="Times New Roman"/>
          <w:sz w:val="24"/>
          <w:szCs w:val="24"/>
        </w:rPr>
        <w:t xml:space="preserve"> </w:t>
      </w:r>
      <w:r w:rsidR="008448E1" w:rsidRPr="002A7D9E">
        <w:rPr>
          <w:rFonts w:ascii="Times New Roman" w:hAnsi="Times New Roman" w:cs="Times New Roman"/>
          <w:sz w:val="24"/>
          <w:szCs w:val="24"/>
        </w:rPr>
        <w:t>refers to</w:t>
      </w:r>
      <w:r w:rsidR="00DB3111" w:rsidRPr="002A7D9E">
        <w:rPr>
          <w:rFonts w:ascii="Times New Roman" w:hAnsi="Times New Roman" w:cs="Times New Roman"/>
          <w:sz w:val="24"/>
          <w:szCs w:val="24"/>
        </w:rPr>
        <w:t xml:space="preserve"> policymakers </w:t>
      </w:r>
      <w:r w:rsidR="001C011B" w:rsidRPr="002A7D9E">
        <w:rPr>
          <w:rFonts w:ascii="Times New Roman" w:hAnsi="Times New Roman" w:cs="Times New Roman"/>
          <w:sz w:val="24"/>
          <w:szCs w:val="24"/>
        </w:rPr>
        <w:t>seek</w:t>
      </w:r>
      <w:r w:rsidR="008448E1" w:rsidRPr="002A7D9E">
        <w:rPr>
          <w:rFonts w:ascii="Times New Roman" w:hAnsi="Times New Roman" w:cs="Times New Roman"/>
          <w:sz w:val="24"/>
          <w:szCs w:val="24"/>
        </w:rPr>
        <w:t>ing</w:t>
      </w:r>
      <w:r w:rsidR="001C011B" w:rsidRPr="002A7D9E">
        <w:rPr>
          <w:rFonts w:ascii="Times New Roman" w:hAnsi="Times New Roman" w:cs="Times New Roman"/>
          <w:sz w:val="24"/>
          <w:szCs w:val="24"/>
        </w:rPr>
        <w:t xml:space="preserve"> </w:t>
      </w:r>
      <w:r w:rsidR="00DB3111" w:rsidRPr="002A7D9E">
        <w:rPr>
          <w:rFonts w:ascii="Times New Roman" w:hAnsi="Times New Roman" w:cs="Times New Roman"/>
          <w:sz w:val="24"/>
          <w:szCs w:val="24"/>
        </w:rPr>
        <w:t>to learn from other countries</w:t>
      </w:r>
      <w:r w:rsidR="001B1ABD" w:rsidRPr="002A7D9E">
        <w:rPr>
          <w:rFonts w:ascii="Times New Roman" w:hAnsi="Times New Roman" w:cs="Times New Roman"/>
          <w:sz w:val="24"/>
          <w:szCs w:val="24"/>
        </w:rPr>
        <w:t>. It is only possible ‘</w:t>
      </w:r>
      <w:r w:rsidR="00DB3111" w:rsidRPr="002A7D9E">
        <w:rPr>
          <w:rFonts w:ascii="Times New Roman" w:hAnsi="Times New Roman" w:cs="Times New Roman"/>
          <w:sz w:val="24"/>
          <w:szCs w:val="24"/>
        </w:rPr>
        <w:t xml:space="preserve">if policymakers in different governments face </w:t>
      </w:r>
      <w:r w:rsidR="001B1ABD" w:rsidRPr="002A7D9E">
        <w:rPr>
          <w:rFonts w:ascii="Times New Roman" w:hAnsi="Times New Roman" w:cs="Times New Roman"/>
          <w:sz w:val="24"/>
          <w:szCs w:val="24"/>
        </w:rPr>
        <w:t>a common problem’</w:t>
      </w:r>
      <w:r w:rsidR="003A5D81" w:rsidRPr="002A7D9E">
        <w:rPr>
          <w:rFonts w:ascii="Times New Roman" w:hAnsi="Times New Roman" w:cs="Times New Roman"/>
          <w:sz w:val="24"/>
          <w:szCs w:val="24"/>
        </w:rPr>
        <w:t xml:space="preserve"> (Rose 2005, </w:t>
      </w:r>
      <w:r w:rsidR="00DB3111" w:rsidRPr="002A7D9E">
        <w:rPr>
          <w:rFonts w:ascii="Times New Roman" w:hAnsi="Times New Roman" w:cs="Times New Roman"/>
          <w:sz w:val="24"/>
          <w:szCs w:val="24"/>
        </w:rPr>
        <w:t>18).</w:t>
      </w:r>
      <w:r w:rsidR="007D4D1B" w:rsidRPr="002A7D9E">
        <w:rPr>
          <w:rFonts w:ascii="Times New Roman" w:hAnsi="Times New Roman" w:cs="Times New Roman"/>
          <w:sz w:val="24"/>
          <w:szCs w:val="24"/>
        </w:rPr>
        <w:t xml:space="preserve"> Rose </w:t>
      </w:r>
      <w:r w:rsidR="00370DA4" w:rsidRPr="002A7D9E">
        <w:rPr>
          <w:rFonts w:ascii="Times New Roman" w:hAnsi="Times New Roman" w:cs="Times New Roman"/>
          <w:sz w:val="24"/>
          <w:szCs w:val="24"/>
        </w:rPr>
        <w:t>refers to the transfer of</w:t>
      </w:r>
      <w:r w:rsidR="007D4D1B" w:rsidRPr="002A7D9E">
        <w:rPr>
          <w:rFonts w:ascii="Times New Roman" w:hAnsi="Times New Roman" w:cs="Times New Roman"/>
          <w:sz w:val="24"/>
          <w:szCs w:val="24"/>
        </w:rPr>
        <w:t xml:space="preserve"> </w:t>
      </w:r>
      <w:r w:rsidR="007D4D1B" w:rsidRPr="002A7D9E">
        <w:rPr>
          <w:rFonts w:ascii="Times New Roman" w:hAnsi="Times New Roman" w:cs="Times New Roman"/>
          <w:i/>
          <w:sz w:val="24"/>
          <w:szCs w:val="24"/>
        </w:rPr>
        <w:t>program</w:t>
      </w:r>
      <w:r w:rsidR="00370DA4" w:rsidRPr="002A7D9E">
        <w:rPr>
          <w:rFonts w:ascii="Times New Roman" w:hAnsi="Times New Roman" w:cs="Times New Roman"/>
          <w:i/>
          <w:sz w:val="24"/>
          <w:szCs w:val="24"/>
        </w:rPr>
        <w:t>s</w:t>
      </w:r>
      <w:r w:rsidR="00663EB1" w:rsidRPr="002A7D9E">
        <w:rPr>
          <w:rFonts w:ascii="Times New Roman" w:hAnsi="Times New Roman" w:cs="Times New Roman"/>
          <w:sz w:val="24"/>
          <w:szCs w:val="24"/>
        </w:rPr>
        <w:t xml:space="preserve"> – concrete </w:t>
      </w:r>
      <w:r w:rsidR="00C217C7" w:rsidRPr="002A7D9E">
        <w:rPr>
          <w:rFonts w:ascii="Times New Roman" w:hAnsi="Times New Roman" w:cs="Times New Roman"/>
          <w:sz w:val="24"/>
          <w:szCs w:val="24"/>
        </w:rPr>
        <w:t>measures for getting things done</w:t>
      </w:r>
      <w:r w:rsidR="00663EB1" w:rsidRPr="002A7D9E">
        <w:rPr>
          <w:rFonts w:ascii="Times New Roman" w:hAnsi="Times New Roman" w:cs="Times New Roman"/>
          <w:sz w:val="24"/>
          <w:szCs w:val="24"/>
        </w:rPr>
        <w:t xml:space="preserve"> – </w:t>
      </w:r>
      <w:r w:rsidR="00370DA4" w:rsidRPr="002A7D9E">
        <w:rPr>
          <w:rFonts w:ascii="Times New Roman" w:hAnsi="Times New Roman" w:cs="Times New Roman"/>
          <w:sz w:val="24"/>
          <w:szCs w:val="24"/>
        </w:rPr>
        <w:t>rather</w:t>
      </w:r>
      <w:r w:rsidR="00663EB1" w:rsidRPr="002A7D9E">
        <w:rPr>
          <w:rFonts w:ascii="Times New Roman" w:hAnsi="Times New Roman" w:cs="Times New Roman"/>
          <w:sz w:val="24"/>
          <w:szCs w:val="24"/>
        </w:rPr>
        <w:t xml:space="preserve"> </w:t>
      </w:r>
      <w:r w:rsidR="00370DA4" w:rsidRPr="002A7D9E">
        <w:rPr>
          <w:rFonts w:ascii="Times New Roman" w:hAnsi="Times New Roman" w:cs="Times New Roman"/>
          <w:sz w:val="24"/>
          <w:szCs w:val="24"/>
        </w:rPr>
        <w:t>than policies</w:t>
      </w:r>
      <w:r w:rsidR="007D4D1B" w:rsidRPr="002A7D9E">
        <w:rPr>
          <w:rFonts w:ascii="Times New Roman" w:hAnsi="Times New Roman" w:cs="Times New Roman"/>
          <w:sz w:val="24"/>
          <w:szCs w:val="24"/>
        </w:rPr>
        <w:t xml:space="preserve">, as he finds </w:t>
      </w:r>
      <w:r w:rsidR="00670360" w:rsidRPr="002A7D9E">
        <w:rPr>
          <w:rFonts w:ascii="Times New Roman" w:hAnsi="Times New Roman" w:cs="Times New Roman"/>
          <w:sz w:val="24"/>
          <w:szCs w:val="24"/>
        </w:rPr>
        <w:t xml:space="preserve">the latter too vague. </w:t>
      </w:r>
      <w:r w:rsidR="008302C0" w:rsidRPr="002A7D9E">
        <w:rPr>
          <w:rFonts w:ascii="Times New Roman" w:hAnsi="Times New Roman" w:cs="Times New Roman"/>
          <w:sz w:val="24"/>
          <w:szCs w:val="24"/>
        </w:rPr>
        <w:t>A</w:t>
      </w:r>
      <w:r w:rsidR="001B1ABD" w:rsidRPr="002A7D9E">
        <w:rPr>
          <w:rFonts w:ascii="Times New Roman" w:hAnsi="Times New Roman" w:cs="Times New Roman"/>
          <w:sz w:val="24"/>
          <w:szCs w:val="24"/>
        </w:rPr>
        <w:t xml:space="preserve"> lesson is an </w:t>
      </w:r>
      <w:r w:rsidR="005A31BB" w:rsidRPr="002A7D9E">
        <w:rPr>
          <w:rFonts w:ascii="Times New Roman" w:hAnsi="Times New Roman" w:cs="Times New Roman"/>
          <w:sz w:val="24"/>
          <w:szCs w:val="24"/>
        </w:rPr>
        <w:t xml:space="preserve">outcome of </w:t>
      </w:r>
      <w:r w:rsidR="008302C0" w:rsidRPr="002A7D9E">
        <w:rPr>
          <w:rFonts w:ascii="Times New Roman" w:hAnsi="Times New Roman" w:cs="Times New Roman"/>
          <w:sz w:val="24"/>
          <w:szCs w:val="24"/>
        </w:rPr>
        <w:t xml:space="preserve">learning and </w:t>
      </w:r>
      <w:r w:rsidR="000C7AC9" w:rsidRPr="002A7D9E">
        <w:rPr>
          <w:rFonts w:ascii="Times New Roman" w:hAnsi="Times New Roman" w:cs="Times New Roman"/>
          <w:sz w:val="24"/>
          <w:szCs w:val="24"/>
        </w:rPr>
        <w:t xml:space="preserve">contains concrete </w:t>
      </w:r>
      <w:r w:rsidR="008448E1" w:rsidRPr="002A7D9E">
        <w:rPr>
          <w:rFonts w:ascii="Times New Roman" w:hAnsi="Times New Roman" w:cs="Times New Roman"/>
          <w:sz w:val="24"/>
          <w:szCs w:val="24"/>
        </w:rPr>
        <w:t>details concerning, for example,</w:t>
      </w:r>
      <w:r w:rsidR="005A31BB" w:rsidRPr="002A7D9E">
        <w:rPr>
          <w:rFonts w:ascii="Times New Roman" w:hAnsi="Times New Roman" w:cs="Times New Roman"/>
          <w:sz w:val="24"/>
          <w:szCs w:val="24"/>
        </w:rPr>
        <w:t xml:space="preserve"> laws, staff, and organization needed in order to put a program in place.</w:t>
      </w:r>
      <w:r w:rsidR="001B3504" w:rsidRPr="002A7D9E">
        <w:rPr>
          <w:rFonts w:ascii="Times New Roman" w:hAnsi="Times New Roman" w:cs="Times New Roman"/>
          <w:sz w:val="24"/>
          <w:szCs w:val="24"/>
        </w:rPr>
        <w:t xml:space="preserve"> </w:t>
      </w:r>
    </w:p>
    <w:p w:rsidR="00C22A71" w:rsidRPr="002A7D9E" w:rsidRDefault="00C22A71" w:rsidP="001A3121">
      <w:pPr>
        <w:spacing w:after="0" w:line="480" w:lineRule="auto"/>
        <w:rPr>
          <w:rFonts w:ascii="Times New Roman" w:hAnsi="Times New Roman" w:cs="Times New Roman"/>
          <w:sz w:val="24"/>
          <w:szCs w:val="24"/>
        </w:rPr>
      </w:pPr>
    </w:p>
    <w:p w:rsidR="00CF169C" w:rsidRPr="002A7D9E" w:rsidRDefault="009D029F"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Learning </w:t>
      </w:r>
      <w:proofErr w:type="gramStart"/>
      <w:r w:rsidRPr="002A7D9E">
        <w:rPr>
          <w:rFonts w:ascii="Times New Roman" w:hAnsi="Times New Roman" w:cs="Times New Roman"/>
          <w:sz w:val="24"/>
          <w:szCs w:val="24"/>
        </w:rPr>
        <w:t>is defined</w:t>
      </w:r>
      <w:proofErr w:type="gramEnd"/>
      <w:r w:rsidRPr="002A7D9E">
        <w:rPr>
          <w:rFonts w:ascii="Times New Roman" w:hAnsi="Times New Roman" w:cs="Times New Roman"/>
          <w:sz w:val="24"/>
          <w:szCs w:val="24"/>
        </w:rPr>
        <w:t xml:space="preserve"> as a </w:t>
      </w:r>
      <w:r w:rsidR="00474231" w:rsidRPr="002A7D9E">
        <w:rPr>
          <w:rFonts w:ascii="Times New Roman" w:hAnsi="Times New Roman" w:cs="Times New Roman"/>
          <w:sz w:val="24"/>
          <w:szCs w:val="24"/>
        </w:rPr>
        <w:t>‘</w:t>
      </w:r>
      <w:r w:rsidRPr="002A7D9E">
        <w:rPr>
          <w:rFonts w:ascii="Times New Roman" w:hAnsi="Times New Roman" w:cs="Times New Roman"/>
          <w:sz w:val="24"/>
          <w:szCs w:val="24"/>
        </w:rPr>
        <w:t>process whereby actors, through interaction with broader institutional contexts (norms of discursive structures) acquir</w:t>
      </w:r>
      <w:r w:rsidR="00474231" w:rsidRPr="002A7D9E">
        <w:rPr>
          <w:rFonts w:ascii="Times New Roman" w:hAnsi="Times New Roman" w:cs="Times New Roman"/>
          <w:sz w:val="24"/>
          <w:szCs w:val="24"/>
        </w:rPr>
        <w:t>e new interests and preferences’</w:t>
      </w:r>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t>Checkel</w:t>
      </w:r>
      <w:proofErr w:type="spellEnd"/>
      <w:r w:rsidRPr="002A7D9E">
        <w:rPr>
          <w:rFonts w:ascii="Times New Roman" w:hAnsi="Times New Roman" w:cs="Times New Roman"/>
          <w:sz w:val="24"/>
          <w:szCs w:val="24"/>
        </w:rPr>
        <w:t xml:space="preserve"> 1999, 548). </w:t>
      </w:r>
      <w:r w:rsidR="00AF17E9" w:rsidRPr="002A7D9E">
        <w:rPr>
          <w:rFonts w:ascii="Times New Roman" w:hAnsi="Times New Roman" w:cs="Times New Roman"/>
          <w:sz w:val="24"/>
          <w:szCs w:val="24"/>
        </w:rPr>
        <w:t>Learning through b</w:t>
      </w:r>
      <w:r w:rsidR="000438BF" w:rsidRPr="002A7D9E">
        <w:rPr>
          <w:rFonts w:ascii="Times New Roman" w:hAnsi="Times New Roman" w:cs="Times New Roman"/>
          <w:sz w:val="24"/>
          <w:szCs w:val="24"/>
        </w:rPr>
        <w:t>est practices</w:t>
      </w:r>
      <w:r w:rsidR="00C22A71" w:rsidRPr="002A7D9E">
        <w:rPr>
          <w:rFonts w:ascii="Times New Roman" w:hAnsi="Times New Roman" w:cs="Times New Roman"/>
          <w:sz w:val="24"/>
          <w:szCs w:val="24"/>
        </w:rPr>
        <w:t xml:space="preserve"> is attractive </w:t>
      </w:r>
      <w:proofErr w:type="gramStart"/>
      <w:r w:rsidR="00C22A71" w:rsidRPr="002A7D9E">
        <w:rPr>
          <w:rFonts w:ascii="Times New Roman" w:hAnsi="Times New Roman" w:cs="Times New Roman"/>
          <w:sz w:val="24"/>
          <w:szCs w:val="24"/>
        </w:rPr>
        <w:t xml:space="preserve">because it seems to offer </w:t>
      </w:r>
      <w:r w:rsidR="00FA467B" w:rsidRPr="002A7D9E">
        <w:rPr>
          <w:rFonts w:ascii="Times New Roman" w:hAnsi="Times New Roman" w:cs="Times New Roman"/>
          <w:sz w:val="24"/>
          <w:szCs w:val="24"/>
        </w:rPr>
        <w:t>“ready-made”</w:t>
      </w:r>
      <w:r w:rsidR="00C22A71" w:rsidRPr="002A7D9E">
        <w:rPr>
          <w:rFonts w:ascii="Times New Roman" w:hAnsi="Times New Roman" w:cs="Times New Roman"/>
          <w:sz w:val="24"/>
          <w:szCs w:val="24"/>
        </w:rPr>
        <w:t xml:space="preserve"> workable sol</w:t>
      </w:r>
      <w:r w:rsidR="00846287" w:rsidRPr="002A7D9E">
        <w:rPr>
          <w:rFonts w:ascii="Times New Roman" w:hAnsi="Times New Roman" w:cs="Times New Roman"/>
          <w:sz w:val="24"/>
          <w:szCs w:val="24"/>
        </w:rPr>
        <w:t>utions that others can emulate</w:t>
      </w:r>
      <w:proofErr w:type="gramEnd"/>
      <w:r w:rsidR="00846287" w:rsidRPr="002A7D9E">
        <w:rPr>
          <w:rFonts w:ascii="Times New Roman" w:hAnsi="Times New Roman" w:cs="Times New Roman"/>
          <w:sz w:val="24"/>
          <w:szCs w:val="24"/>
        </w:rPr>
        <w:t xml:space="preserve">. Best practice analysis is </w:t>
      </w:r>
      <w:r w:rsidR="001C011B" w:rsidRPr="002A7D9E">
        <w:rPr>
          <w:rFonts w:ascii="Times New Roman" w:hAnsi="Times New Roman" w:cs="Times New Roman"/>
          <w:sz w:val="24"/>
          <w:szCs w:val="24"/>
        </w:rPr>
        <w:t>also</w:t>
      </w:r>
      <w:r w:rsidR="00846287" w:rsidRPr="002A7D9E">
        <w:rPr>
          <w:rFonts w:ascii="Times New Roman" w:hAnsi="Times New Roman" w:cs="Times New Roman"/>
          <w:sz w:val="24"/>
          <w:szCs w:val="24"/>
        </w:rPr>
        <w:t xml:space="preserve"> aspirational in that it ‘show[s] what governments ought to do’ (Rose 2005, 38). </w:t>
      </w:r>
    </w:p>
    <w:p w:rsidR="00CF169C" w:rsidRPr="002A7D9E" w:rsidRDefault="00CF169C" w:rsidP="001A3121">
      <w:pPr>
        <w:spacing w:after="0" w:line="480" w:lineRule="auto"/>
        <w:rPr>
          <w:rFonts w:ascii="Times New Roman" w:hAnsi="Times New Roman" w:cs="Times New Roman"/>
          <w:sz w:val="24"/>
          <w:szCs w:val="24"/>
        </w:rPr>
      </w:pPr>
    </w:p>
    <w:p w:rsidR="006B20DD" w:rsidRPr="002A7D9E" w:rsidRDefault="007500A8" w:rsidP="001A3121">
      <w:pPr>
        <w:autoSpaceDE w:val="0"/>
        <w:autoSpaceDN w:val="0"/>
        <w:adjustRightInd w:val="0"/>
        <w:spacing w:after="0" w:line="480" w:lineRule="auto"/>
        <w:rPr>
          <w:rFonts w:ascii="Times New Roman" w:eastAsia="CIDFont+F3" w:hAnsi="Times New Roman" w:cs="Times New Roman"/>
          <w:sz w:val="24"/>
          <w:szCs w:val="24"/>
        </w:rPr>
      </w:pPr>
      <w:r w:rsidRPr="002A7D9E">
        <w:rPr>
          <w:rFonts w:ascii="Times New Roman" w:hAnsi="Times New Roman" w:cs="Times New Roman"/>
          <w:sz w:val="24"/>
          <w:szCs w:val="24"/>
        </w:rPr>
        <w:t xml:space="preserve">Information for this article comes from four different sources. </w:t>
      </w:r>
      <w:proofErr w:type="gramStart"/>
      <w:r w:rsidRPr="002A7D9E">
        <w:rPr>
          <w:rFonts w:ascii="Times New Roman" w:hAnsi="Times New Roman" w:cs="Times New Roman"/>
          <w:sz w:val="24"/>
          <w:szCs w:val="24"/>
        </w:rPr>
        <w:t>First of all</w:t>
      </w:r>
      <w:proofErr w:type="gramEnd"/>
      <w:r w:rsidRPr="002A7D9E">
        <w:rPr>
          <w:rFonts w:ascii="Times New Roman" w:hAnsi="Times New Roman" w:cs="Times New Roman"/>
          <w:sz w:val="24"/>
          <w:szCs w:val="24"/>
        </w:rPr>
        <w:t>, 30 semi-structured interviews were carried out with key policy actors</w:t>
      </w:r>
      <w:r w:rsidR="008448E1"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EU officials in the European Commission and Council of Ministers, Member State </w:t>
      </w:r>
      <w:r w:rsidRPr="002A7D9E">
        <w:rPr>
          <w:rFonts w:ascii="Times New Roman" w:hAnsi="Times New Roman" w:cs="Times New Roman"/>
          <w:sz w:val="24"/>
          <w:szCs w:val="24"/>
        </w:rPr>
        <w:lastRenderedPageBreak/>
        <w:t>representatives who attended the OMC meetings as nationally-appointed experts, and invited external experts who presented findings and shared results with the groups.</w:t>
      </w:r>
      <w:r w:rsidRPr="002A7D9E">
        <w:rPr>
          <w:rStyle w:val="FootnoteReference"/>
          <w:rFonts w:ascii="Times New Roman" w:hAnsi="Times New Roman" w:cs="Times New Roman"/>
          <w:sz w:val="24"/>
          <w:szCs w:val="24"/>
        </w:rPr>
        <w:footnoteReference w:id="3"/>
      </w:r>
      <w:r w:rsidRPr="002A7D9E">
        <w:rPr>
          <w:rFonts w:ascii="Times New Roman" w:hAnsi="Times New Roman" w:cs="Times New Roman"/>
          <w:sz w:val="24"/>
          <w:szCs w:val="24"/>
        </w:rPr>
        <w:t xml:space="preserve"> Anonymized quotations from interview participants, with assigned pseudonyms, are included in the discussion below. Secondly, findings also draw on a session of </w:t>
      </w:r>
      <w:r w:rsidR="006B20DD" w:rsidRPr="002A7D9E">
        <w:rPr>
          <w:rFonts w:ascii="Times New Roman" w:hAnsi="Times New Roman" w:cs="Times New Roman"/>
          <w:sz w:val="24"/>
          <w:szCs w:val="24"/>
        </w:rPr>
        <w:t>non-</w:t>
      </w:r>
      <w:r w:rsidRPr="002A7D9E">
        <w:rPr>
          <w:rFonts w:ascii="Times New Roman" w:hAnsi="Times New Roman" w:cs="Times New Roman"/>
          <w:sz w:val="24"/>
          <w:szCs w:val="24"/>
        </w:rPr>
        <w:t>participant observation of one OMC meeting, and, thirdly, the</w:t>
      </w:r>
      <w:r w:rsidR="00D577ED" w:rsidRPr="002A7D9E">
        <w:rPr>
          <w:rFonts w:ascii="Times New Roman" w:hAnsi="Times New Roman" w:cs="Times New Roman"/>
          <w:sz w:val="24"/>
          <w:szCs w:val="24"/>
        </w:rPr>
        <w:t xml:space="preserve"> </w:t>
      </w:r>
      <w:proofErr w:type="gramStart"/>
      <w:r w:rsidR="00D577ED" w:rsidRPr="002A7D9E">
        <w:rPr>
          <w:rFonts w:ascii="Times New Roman" w:hAnsi="Times New Roman" w:cs="Times New Roman"/>
          <w:sz w:val="24"/>
          <w:szCs w:val="24"/>
        </w:rPr>
        <w:t>publically-available</w:t>
      </w:r>
      <w:proofErr w:type="gramEnd"/>
      <w:r w:rsidRPr="002A7D9E">
        <w:rPr>
          <w:rFonts w:ascii="Times New Roman" w:hAnsi="Times New Roman" w:cs="Times New Roman"/>
          <w:sz w:val="24"/>
          <w:szCs w:val="24"/>
        </w:rPr>
        <w:t xml:space="preserve"> best practice reports themselves. Finally, where possible and appropriate, findings </w:t>
      </w:r>
      <w:r w:rsidR="006B20DD" w:rsidRPr="002A7D9E">
        <w:rPr>
          <w:rFonts w:ascii="Times New Roman" w:hAnsi="Times New Roman" w:cs="Times New Roman"/>
          <w:sz w:val="24"/>
          <w:szCs w:val="24"/>
        </w:rPr>
        <w:t>regarding the OMC</w:t>
      </w:r>
      <w:proofErr w:type="gramStart"/>
      <w:r w:rsidR="006B20DD" w:rsidRPr="002A7D9E">
        <w:rPr>
          <w:rFonts w:ascii="Times New Roman" w:hAnsi="Times New Roman" w:cs="Times New Roman"/>
          <w:sz w:val="24"/>
          <w:szCs w:val="24"/>
        </w:rPr>
        <w:t xml:space="preserve">’s effectiveness </w:t>
      </w:r>
      <w:r w:rsidRPr="002A7D9E">
        <w:rPr>
          <w:rFonts w:ascii="Times New Roman" w:hAnsi="Times New Roman" w:cs="Times New Roman"/>
          <w:sz w:val="24"/>
          <w:szCs w:val="24"/>
        </w:rPr>
        <w:t>have been corroborated</w:t>
      </w:r>
      <w:proofErr w:type="gramEnd"/>
      <w:r w:rsidRPr="002A7D9E">
        <w:rPr>
          <w:rFonts w:ascii="Times New Roman" w:hAnsi="Times New Roman" w:cs="Times New Roman"/>
          <w:sz w:val="24"/>
          <w:szCs w:val="24"/>
        </w:rPr>
        <w:t xml:space="preserve"> with a 2013 evaluation report on the OMC carried out by the consultancy firm </w:t>
      </w:r>
      <w:proofErr w:type="spellStart"/>
      <w:r w:rsidRPr="002A7D9E">
        <w:rPr>
          <w:rFonts w:ascii="Times New Roman" w:hAnsi="Times New Roman" w:cs="Times New Roman"/>
          <w:sz w:val="24"/>
          <w:szCs w:val="24"/>
        </w:rPr>
        <w:t>Ecorys</w:t>
      </w:r>
      <w:proofErr w:type="spellEnd"/>
      <w:r w:rsidRPr="002A7D9E">
        <w:rPr>
          <w:rFonts w:ascii="Times New Roman" w:hAnsi="Times New Roman" w:cs="Times New Roman"/>
          <w:sz w:val="24"/>
          <w:szCs w:val="24"/>
        </w:rPr>
        <w:t xml:space="preserve"> (McDonald et al. 2013a, 2013b).</w:t>
      </w:r>
      <w:r w:rsidR="00D577ED" w:rsidRPr="002A7D9E">
        <w:rPr>
          <w:rFonts w:ascii="Times New Roman" w:hAnsi="Times New Roman" w:cs="Times New Roman"/>
          <w:sz w:val="24"/>
          <w:szCs w:val="24"/>
        </w:rPr>
        <w:t xml:space="preserve"> </w:t>
      </w:r>
      <w:r w:rsidR="00A65DC0" w:rsidRPr="002A7D9E">
        <w:rPr>
          <w:rFonts w:ascii="Times New Roman" w:eastAsia="CIDFont+F3" w:hAnsi="Times New Roman" w:cs="Times New Roman"/>
          <w:sz w:val="24"/>
          <w:szCs w:val="24"/>
        </w:rPr>
        <w:t>As there is very little literature, academic or otherwise, on the culture OMC,</w:t>
      </w:r>
      <w:r w:rsidR="00A65DC0" w:rsidRPr="002A7D9E" w:rsidDel="006B20DD">
        <w:rPr>
          <w:rFonts w:ascii="Times New Roman" w:hAnsi="Times New Roman" w:cs="Times New Roman"/>
          <w:sz w:val="24"/>
          <w:szCs w:val="24"/>
        </w:rPr>
        <w:t xml:space="preserve"> </w:t>
      </w:r>
      <w:proofErr w:type="spellStart"/>
      <w:r w:rsidR="006B20DD" w:rsidRPr="002A7D9E">
        <w:rPr>
          <w:rFonts w:ascii="Times New Roman" w:eastAsia="CIDFont+F3" w:hAnsi="Times New Roman" w:cs="Times New Roman"/>
          <w:sz w:val="24"/>
          <w:szCs w:val="24"/>
        </w:rPr>
        <w:t>Ecorys</w:t>
      </w:r>
      <w:proofErr w:type="spellEnd"/>
      <w:r w:rsidR="006B20DD" w:rsidRPr="002A7D9E">
        <w:rPr>
          <w:rFonts w:ascii="Times New Roman" w:eastAsia="CIDFont+F3" w:hAnsi="Times New Roman" w:cs="Times New Roman"/>
          <w:sz w:val="24"/>
          <w:szCs w:val="24"/>
        </w:rPr>
        <w:t xml:space="preserve">’ report is useful because it used a </w:t>
      </w:r>
      <w:r w:rsidR="00721A2A" w:rsidRPr="002A7D9E">
        <w:rPr>
          <w:rFonts w:ascii="Times New Roman" w:eastAsia="CIDFont+F3" w:hAnsi="Times New Roman" w:cs="Times New Roman"/>
          <w:sz w:val="24"/>
          <w:szCs w:val="24"/>
        </w:rPr>
        <w:t xml:space="preserve">mixed-method approach </w:t>
      </w:r>
      <w:r w:rsidR="006B20DD" w:rsidRPr="002A7D9E">
        <w:rPr>
          <w:rFonts w:ascii="Times New Roman" w:eastAsia="CIDFont+F3" w:hAnsi="Times New Roman" w:cs="Times New Roman"/>
          <w:sz w:val="24"/>
          <w:szCs w:val="24"/>
        </w:rPr>
        <w:t>and looked at a broader set of research questions concerning the OMC and Structured Dialogue (a formal exchange between the cultural sector and the EU via a series of transnational platforms and a biennial Culture Forum). My research</w:t>
      </w:r>
      <w:r w:rsidR="005A6E06" w:rsidRPr="002A7D9E">
        <w:rPr>
          <w:rFonts w:ascii="Times New Roman" w:eastAsia="CIDFont+F3" w:hAnsi="Times New Roman" w:cs="Times New Roman"/>
          <w:sz w:val="24"/>
          <w:szCs w:val="24"/>
        </w:rPr>
        <w:t xml:space="preserve"> </w:t>
      </w:r>
      <w:r w:rsidR="00A65DC0" w:rsidRPr="002A7D9E">
        <w:rPr>
          <w:rFonts w:ascii="Times New Roman" w:eastAsia="CIDFont+F3" w:hAnsi="Times New Roman" w:cs="Times New Roman"/>
          <w:sz w:val="24"/>
          <w:szCs w:val="24"/>
        </w:rPr>
        <w:t xml:space="preserve">used non-participant observation to achieve a deeper and more contextualized picture of the OMC’s operation, and also </w:t>
      </w:r>
      <w:r w:rsidR="005A6E06" w:rsidRPr="002A7D9E">
        <w:rPr>
          <w:rFonts w:ascii="Times New Roman" w:eastAsia="CIDFont+F3" w:hAnsi="Times New Roman" w:cs="Times New Roman"/>
          <w:sz w:val="24"/>
          <w:szCs w:val="24"/>
        </w:rPr>
        <w:t>focused more on the micro-level details of how exactly the OMC works</w:t>
      </w:r>
      <w:r w:rsidR="00A65DC0" w:rsidRPr="002A7D9E">
        <w:rPr>
          <w:rFonts w:ascii="Times New Roman" w:eastAsia="CIDFont+F3" w:hAnsi="Times New Roman" w:cs="Times New Roman"/>
          <w:sz w:val="24"/>
          <w:szCs w:val="24"/>
        </w:rPr>
        <w:t xml:space="preserve">. </w:t>
      </w:r>
    </w:p>
    <w:p w:rsidR="005E5605" w:rsidRPr="002A7D9E" w:rsidRDefault="005E5605" w:rsidP="001A3121">
      <w:pPr>
        <w:spacing w:after="0" w:line="480" w:lineRule="auto"/>
        <w:rPr>
          <w:rFonts w:ascii="Times New Roman" w:hAnsi="Times New Roman" w:cs="Times New Roman"/>
          <w:sz w:val="24"/>
          <w:szCs w:val="24"/>
        </w:rPr>
      </w:pPr>
    </w:p>
    <w:p w:rsidR="008F68EC" w:rsidRPr="002A7D9E" w:rsidRDefault="008F68EC" w:rsidP="001A3121">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Case study</w:t>
      </w:r>
      <w:r w:rsidR="00053B6C" w:rsidRPr="002A7D9E">
        <w:rPr>
          <w:rFonts w:ascii="Times New Roman" w:hAnsi="Times New Roman" w:cs="Times New Roman"/>
          <w:b/>
          <w:sz w:val="24"/>
          <w:szCs w:val="24"/>
        </w:rPr>
        <w:t>: the EU’s Open Method of Coordination</w:t>
      </w:r>
    </w:p>
    <w:p w:rsidR="00355778" w:rsidRPr="002A7D9E" w:rsidRDefault="00460F93" w:rsidP="001A3121">
      <w:pPr>
        <w:spacing w:after="0" w:line="480" w:lineRule="auto"/>
        <w:rPr>
          <w:rFonts w:ascii="Times New Roman" w:hAnsi="Times New Roman" w:cs="Times New Roman"/>
          <w:sz w:val="24"/>
          <w:szCs w:val="24"/>
        </w:rPr>
      </w:pPr>
      <w:r w:rsidRPr="002A7D9E">
        <w:rPr>
          <w:rFonts w:ascii="Times New Roman" w:eastAsia="Times New Roman" w:hAnsi="Times New Roman" w:cs="Times New Roman"/>
          <w:sz w:val="24"/>
          <w:szCs w:val="24"/>
          <w:lang w:eastAsia="en-GB"/>
        </w:rPr>
        <w:lastRenderedPageBreak/>
        <w:t xml:space="preserve">The Open Method of Coordination is </w:t>
      </w:r>
      <w:r w:rsidR="003765A2" w:rsidRPr="002A7D9E">
        <w:rPr>
          <w:rFonts w:ascii="Times New Roman" w:eastAsia="Times New Roman" w:hAnsi="Times New Roman" w:cs="Times New Roman"/>
          <w:sz w:val="24"/>
          <w:szCs w:val="24"/>
          <w:lang w:eastAsia="en-GB"/>
        </w:rPr>
        <w:t xml:space="preserve">a </w:t>
      </w:r>
      <w:r w:rsidR="003765A2" w:rsidRPr="002A7D9E">
        <w:rPr>
          <w:rFonts w:ascii="Times New Roman" w:hAnsi="Times New Roman" w:cs="Times New Roman"/>
          <w:sz w:val="24"/>
          <w:szCs w:val="24"/>
        </w:rPr>
        <w:t xml:space="preserve">more flexible process than </w:t>
      </w:r>
      <w:proofErr w:type="gramStart"/>
      <w:r w:rsidR="003765A2" w:rsidRPr="002A7D9E">
        <w:rPr>
          <w:rFonts w:ascii="Times New Roman" w:hAnsi="Times New Roman" w:cs="Times New Roman"/>
          <w:sz w:val="24"/>
          <w:szCs w:val="24"/>
        </w:rPr>
        <w:t>law-making</w:t>
      </w:r>
      <w:proofErr w:type="gramEnd"/>
      <w:r w:rsidR="003765A2" w:rsidRPr="002A7D9E">
        <w:rPr>
          <w:rFonts w:ascii="Times New Roman" w:hAnsi="Times New Roman" w:cs="Times New Roman"/>
          <w:sz w:val="24"/>
          <w:szCs w:val="24"/>
        </w:rPr>
        <w:t xml:space="preserve"> via legislative processes</w:t>
      </w:r>
      <w:r w:rsidR="003765A2" w:rsidRPr="002A7D9E">
        <w:rPr>
          <w:rFonts w:ascii="Times New Roman" w:eastAsia="Times New Roman" w:hAnsi="Times New Roman" w:cs="Times New Roman"/>
          <w:sz w:val="24"/>
          <w:szCs w:val="24"/>
          <w:lang w:eastAsia="en-GB"/>
        </w:rPr>
        <w:t xml:space="preserve">. It operates </w:t>
      </w:r>
      <w:proofErr w:type="gramStart"/>
      <w:r w:rsidR="003765A2" w:rsidRPr="002A7D9E">
        <w:rPr>
          <w:rFonts w:ascii="Times New Roman" w:eastAsia="Times New Roman" w:hAnsi="Times New Roman" w:cs="Times New Roman"/>
          <w:sz w:val="24"/>
          <w:szCs w:val="24"/>
          <w:lang w:eastAsia="en-GB"/>
        </w:rPr>
        <w:t>on the basis of</w:t>
      </w:r>
      <w:proofErr w:type="gramEnd"/>
      <w:r w:rsidR="003765A2" w:rsidRPr="002A7D9E">
        <w:rPr>
          <w:rFonts w:ascii="Times New Roman" w:eastAsia="Times New Roman" w:hAnsi="Times New Roman" w:cs="Times New Roman"/>
          <w:sz w:val="24"/>
          <w:szCs w:val="24"/>
          <w:lang w:eastAsia="en-GB"/>
        </w:rPr>
        <w:t xml:space="preserve"> consensus, </w:t>
      </w:r>
      <w:r w:rsidRPr="002A7D9E">
        <w:rPr>
          <w:rFonts w:ascii="Times New Roman" w:eastAsia="Times New Roman" w:hAnsi="Times New Roman" w:cs="Times New Roman"/>
          <w:sz w:val="24"/>
          <w:szCs w:val="24"/>
          <w:lang w:eastAsia="en-GB"/>
        </w:rPr>
        <w:t xml:space="preserve">used as a </w:t>
      </w:r>
      <w:r w:rsidR="0063381C" w:rsidRPr="002A7D9E">
        <w:rPr>
          <w:rFonts w:ascii="Times New Roman" w:eastAsia="Times New Roman" w:hAnsi="Times New Roman" w:cs="Times New Roman"/>
          <w:sz w:val="24"/>
          <w:szCs w:val="24"/>
          <w:lang w:eastAsia="en-GB"/>
        </w:rPr>
        <w:t>‘</w:t>
      </w:r>
      <w:r w:rsidRPr="002A7D9E">
        <w:rPr>
          <w:rFonts w:ascii="Times New Roman" w:eastAsia="Times New Roman" w:hAnsi="Times New Roman" w:cs="Times New Roman"/>
          <w:sz w:val="24"/>
          <w:szCs w:val="24"/>
          <w:lang w:eastAsia="en-GB"/>
        </w:rPr>
        <w:t>means of spreading best practice and achieving greater conver</w:t>
      </w:r>
      <w:r w:rsidR="0063381C" w:rsidRPr="002A7D9E">
        <w:rPr>
          <w:rFonts w:ascii="Times New Roman" w:eastAsia="Times New Roman" w:hAnsi="Times New Roman" w:cs="Times New Roman"/>
          <w:sz w:val="24"/>
          <w:szCs w:val="24"/>
          <w:lang w:eastAsia="en-GB"/>
        </w:rPr>
        <w:t>gence towards the main EU goals’</w:t>
      </w:r>
      <w:r w:rsidRPr="002A7D9E">
        <w:rPr>
          <w:rFonts w:ascii="Times New Roman" w:eastAsia="Times New Roman" w:hAnsi="Times New Roman" w:cs="Times New Roman"/>
          <w:sz w:val="24"/>
          <w:szCs w:val="24"/>
          <w:lang w:eastAsia="en-GB"/>
        </w:rPr>
        <w:t xml:space="preserve"> (European Council 2000, para.37).</w:t>
      </w:r>
      <w:r w:rsidRPr="002A7D9E">
        <w:rPr>
          <w:rFonts w:ascii="Times New Roman" w:hAnsi="Times New Roman" w:cs="Times New Roman"/>
          <w:sz w:val="24"/>
          <w:szCs w:val="24"/>
        </w:rPr>
        <w:t xml:space="preserve"> </w:t>
      </w:r>
      <w:r w:rsidR="003765A2" w:rsidRPr="002A7D9E">
        <w:rPr>
          <w:rFonts w:ascii="Times New Roman" w:hAnsi="Times New Roman" w:cs="Times New Roman"/>
          <w:sz w:val="24"/>
          <w:szCs w:val="24"/>
        </w:rPr>
        <w:t xml:space="preserve">It </w:t>
      </w:r>
      <w:proofErr w:type="gramStart"/>
      <w:r w:rsidR="003765A2" w:rsidRPr="002A7D9E">
        <w:rPr>
          <w:rFonts w:ascii="Times New Roman" w:hAnsi="Times New Roman" w:cs="Times New Roman"/>
          <w:sz w:val="24"/>
          <w:szCs w:val="24"/>
        </w:rPr>
        <w:t xml:space="preserve">was </w:t>
      </w:r>
      <w:r w:rsidR="00C55FBE" w:rsidRPr="002A7D9E">
        <w:rPr>
          <w:rFonts w:ascii="Times New Roman" w:hAnsi="Times New Roman" w:cs="Times New Roman"/>
          <w:sz w:val="24"/>
          <w:szCs w:val="24"/>
        </w:rPr>
        <w:t>created</w:t>
      </w:r>
      <w:proofErr w:type="gramEnd"/>
      <w:r w:rsidR="00C55FBE" w:rsidRPr="002A7D9E">
        <w:rPr>
          <w:rFonts w:ascii="Times New Roman" w:hAnsi="Times New Roman" w:cs="Times New Roman"/>
          <w:sz w:val="24"/>
          <w:szCs w:val="24"/>
        </w:rPr>
        <w:t xml:space="preserve"> in order to enable a coordinated effort at some of the challenges associated with the EU’s</w:t>
      </w:r>
      <w:r w:rsidR="00C55FBE" w:rsidRPr="002A7D9E">
        <w:rPr>
          <w:rFonts w:ascii="Times New Roman" w:eastAsia="SimSun" w:hAnsi="Times New Roman" w:cs="Times New Roman"/>
          <w:sz w:val="24"/>
          <w:szCs w:val="24"/>
          <w:lang w:eastAsia="zh-CN"/>
        </w:rPr>
        <w:t xml:space="preserve"> Lisbon Strategy (2000-2010)</w:t>
      </w:r>
      <w:r w:rsidR="00C55FBE" w:rsidRPr="002A7D9E">
        <w:rPr>
          <w:rFonts w:ascii="Times New Roman" w:hAnsi="Times New Roman" w:cs="Times New Roman"/>
          <w:sz w:val="24"/>
          <w:szCs w:val="24"/>
        </w:rPr>
        <w:t xml:space="preserve">. </w:t>
      </w:r>
      <w:r w:rsidR="00C217C7" w:rsidRPr="002A7D9E">
        <w:rPr>
          <w:rFonts w:ascii="Times New Roman" w:hAnsi="Times New Roman" w:cs="Times New Roman"/>
          <w:sz w:val="24"/>
          <w:szCs w:val="24"/>
        </w:rPr>
        <w:t>The OMC</w:t>
      </w:r>
      <w:r w:rsidR="00C55FBE" w:rsidRPr="002A7D9E">
        <w:rPr>
          <w:rFonts w:ascii="Times New Roman" w:hAnsi="Times New Roman" w:cs="Times New Roman"/>
          <w:sz w:val="24"/>
          <w:szCs w:val="24"/>
        </w:rPr>
        <w:t xml:space="preserve"> is attractive to Member States ‘because of its … limited potential for unintended consequences’ (</w:t>
      </w:r>
      <w:proofErr w:type="spellStart"/>
      <w:r w:rsidR="00C55FBE" w:rsidRPr="002A7D9E">
        <w:rPr>
          <w:rFonts w:ascii="Times New Roman" w:hAnsi="Times New Roman" w:cs="Times New Roman"/>
          <w:sz w:val="24"/>
          <w:szCs w:val="24"/>
        </w:rPr>
        <w:t>Schäfer</w:t>
      </w:r>
      <w:proofErr w:type="spellEnd"/>
      <w:r w:rsidR="00C55FBE" w:rsidRPr="002A7D9E">
        <w:rPr>
          <w:rFonts w:ascii="Times New Roman" w:hAnsi="Times New Roman" w:cs="Times New Roman"/>
          <w:sz w:val="24"/>
          <w:szCs w:val="24"/>
        </w:rPr>
        <w:t xml:space="preserve"> 2004, 13) and its respect for subsidiarity.</w:t>
      </w:r>
      <w:r w:rsidR="00C55FBE" w:rsidRPr="002A7D9E">
        <w:rPr>
          <w:rStyle w:val="FootnoteReference"/>
          <w:rFonts w:ascii="Times New Roman" w:hAnsi="Times New Roman" w:cs="Times New Roman"/>
        </w:rPr>
        <w:footnoteReference w:id="4"/>
      </w:r>
      <w:r w:rsidR="00C55FBE" w:rsidRPr="002A7D9E">
        <w:rPr>
          <w:rFonts w:ascii="Times New Roman" w:hAnsi="Times New Roman" w:cs="Times New Roman"/>
          <w:sz w:val="24"/>
          <w:szCs w:val="24"/>
        </w:rPr>
        <w:t xml:space="preserve"> In theory,</w:t>
      </w:r>
      <w:r w:rsidR="00C217C7" w:rsidRPr="002A7D9E">
        <w:rPr>
          <w:rFonts w:ascii="Times New Roman" w:hAnsi="Times New Roman" w:cs="Times New Roman"/>
          <w:sz w:val="24"/>
          <w:szCs w:val="24"/>
        </w:rPr>
        <w:t xml:space="preserve"> it</w:t>
      </w:r>
      <w:r w:rsidR="00C55FBE" w:rsidRPr="002A7D9E">
        <w:rPr>
          <w:rFonts w:ascii="Times New Roman" w:hAnsi="Times New Roman" w:cs="Times New Roman"/>
          <w:sz w:val="24"/>
          <w:szCs w:val="24"/>
        </w:rPr>
        <w:t xml:space="preserve"> seeks to ‘put the EU Member States on a path towards achieving common objectives, while respecting different underlying values and arrangements’ (de la Porte 2002, 39).</w:t>
      </w:r>
      <w:r w:rsidR="00726AA8" w:rsidRPr="002A7D9E">
        <w:rPr>
          <w:rFonts w:ascii="Times New Roman" w:eastAsia="SimSun" w:hAnsi="Times New Roman" w:cs="Times New Roman"/>
          <w:sz w:val="24"/>
          <w:szCs w:val="24"/>
          <w:lang w:eastAsia="zh-CN"/>
        </w:rPr>
        <w:t xml:space="preserve"> </w:t>
      </w:r>
      <w:r w:rsidR="003B552C" w:rsidRPr="002A7D9E">
        <w:rPr>
          <w:rFonts w:ascii="Times New Roman" w:hAnsi="Times New Roman" w:cs="Times New Roman"/>
          <w:sz w:val="24"/>
          <w:szCs w:val="24"/>
        </w:rPr>
        <w:t xml:space="preserve">The OMC </w:t>
      </w:r>
      <w:r w:rsidR="00CD09BD" w:rsidRPr="002A7D9E">
        <w:rPr>
          <w:rFonts w:ascii="Times New Roman" w:hAnsi="Times New Roman" w:cs="Times New Roman"/>
          <w:sz w:val="24"/>
          <w:szCs w:val="24"/>
        </w:rPr>
        <w:t xml:space="preserve">began in </w:t>
      </w:r>
      <w:r w:rsidR="003B552C" w:rsidRPr="002A7D9E">
        <w:rPr>
          <w:rFonts w:ascii="Times New Roman" w:hAnsi="Times New Roman" w:cs="Times New Roman"/>
          <w:sz w:val="24"/>
          <w:szCs w:val="24"/>
        </w:rPr>
        <w:t xml:space="preserve">the cultural field </w:t>
      </w:r>
      <w:r w:rsidR="00CD09BD" w:rsidRPr="002A7D9E">
        <w:rPr>
          <w:rFonts w:ascii="Times New Roman" w:hAnsi="Times New Roman" w:cs="Times New Roman"/>
          <w:sz w:val="24"/>
          <w:szCs w:val="24"/>
        </w:rPr>
        <w:t xml:space="preserve">in </w:t>
      </w:r>
      <w:r w:rsidR="003B552C" w:rsidRPr="002A7D9E">
        <w:rPr>
          <w:rFonts w:ascii="Times New Roman" w:hAnsi="Times New Roman" w:cs="Times New Roman"/>
          <w:sz w:val="24"/>
          <w:szCs w:val="24"/>
        </w:rPr>
        <w:t xml:space="preserve">2008, following the publication </w:t>
      </w:r>
      <w:r w:rsidR="00CD09BD" w:rsidRPr="002A7D9E">
        <w:rPr>
          <w:rFonts w:ascii="Times New Roman" w:hAnsi="Times New Roman" w:cs="Times New Roman"/>
          <w:sz w:val="24"/>
          <w:szCs w:val="24"/>
        </w:rPr>
        <w:t xml:space="preserve">of the </w:t>
      </w:r>
      <w:r w:rsidR="003B552C" w:rsidRPr="002A7D9E">
        <w:rPr>
          <w:rFonts w:ascii="Times New Roman" w:hAnsi="Times New Roman" w:cs="Times New Roman"/>
          <w:sz w:val="24"/>
          <w:szCs w:val="24"/>
        </w:rPr>
        <w:t xml:space="preserve">2007 </w:t>
      </w:r>
      <w:r w:rsidR="00EB32EF" w:rsidRPr="002A7D9E">
        <w:rPr>
          <w:rFonts w:ascii="Times New Roman" w:hAnsi="Times New Roman" w:cs="Times New Roman"/>
          <w:sz w:val="24"/>
          <w:szCs w:val="24"/>
        </w:rPr>
        <w:t>Agenda for Cu</w:t>
      </w:r>
      <w:r w:rsidR="00C217C7" w:rsidRPr="002A7D9E">
        <w:rPr>
          <w:rFonts w:ascii="Times New Roman" w:hAnsi="Times New Roman" w:cs="Times New Roman"/>
          <w:sz w:val="24"/>
          <w:szCs w:val="24"/>
        </w:rPr>
        <w:t>lture</w:t>
      </w:r>
      <w:r w:rsidR="00053B6C" w:rsidRPr="002A7D9E">
        <w:rPr>
          <w:rFonts w:ascii="Times New Roman" w:hAnsi="Times New Roman" w:cs="Times New Roman"/>
          <w:sz w:val="24"/>
          <w:szCs w:val="24"/>
        </w:rPr>
        <w:t xml:space="preserve">. </w:t>
      </w:r>
      <w:r w:rsidR="000525A6" w:rsidRPr="002A7D9E">
        <w:rPr>
          <w:rFonts w:ascii="Times New Roman" w:hAnsi="Times New Roman" w:cs="Times New Roman"/>
          <w:sz w:val="24"/>
          <w:szCs w:val="24"/>
        </w:rPr>
        <w:t>Each triennial Work Plan contains details of what OMC groups are operating at the time and what themes they work on.</w:t>
      </w:r>
    </w:p>
    <w:p w:rsidR="002753AE" w:rsidRPr="002A7D9E" w:rsidRDefault="002753AE" w:rsidP="001A3121">
      <w:pPr>
        <w:spacing w:after="0" w:line="480" w:lineRule="auto"/>
        <w:rPr>
          <w:rFonts w:ascii="Times New Roman" w:hAnsi="Times New Roman" w:cs="Times New Roman"/>
          <w:sz w:val="24"/>
          <w:szCs w:val="24"/>
        </w:rPr>
      </w:pPr>
    </w:p>
    <w:p w:rsidR="0009474F" w:rsidRPr="002A7D9E" w:rsidRDefault="0009474F" w:rsidP="001A3121">
      <w:pPr>
        <w:spacing w:after="0" w:line="480" w:lineRule="auto"/>
        <w:rPr>
          <w:rFonts w:ascii="Times New Roman" w:hAnsi="Times New Roman" w:cs="Times New Roman"/>
          <w:sz w:val="24"/>
          <w:szCs w:val="24"/>
        </w:rPr>
      </w:pPr>
    </w:p>
    <w:p w:rsidR="002753AE" w:rsidRPr="002A7D9E" w:rsidRDefault="002753AE" w:rsidP="001A3121">
      <w:pPr>
        <w:spacing w:after="0" w:line="480" w:lineRule="auto"/>
        <w:rPr>
          <w:rFonts w:ascii="Times New Roman" w:hAnsi="Times New Roman" w:cs="Times New Roman"/>
          <w:b/>
          <w:i/>
          <w:sz w:val="24"/>
          <w:szCs w:val="24"/>
        </w:rPr>
      </w:pPr>
      <w:r w:rsidRPr="002A7D9E">
        <w:rPr>
          <w:rFonts w:ascii="Times New Roman" w:hAnsi="Times New Roman" w:cs="Times New Roman"/>
          <w:b/>
          <w:i/>
          <w:sz w:val="24"/>
          <w:szCs w:val="24"/>
        </w:rPr>
        <w:t>Insert Table 1 here</w:t>
      </w:r>
    </w:p>
    <w:p w:rsidR="0087544C" w:rsidRPr="002A7D9E" w:rsidRDefault="0087544C" w:rsidP="001A3121">
      <w:pPr>
        <w:autoSpaceDE w:val="0"/>
        <w:autoSpaceDN w:val="0"/>
        <w:adjustRightInd w:val="0"/>
        <w:spacing w:after="0" w:line="480" w:lineRule="auto"/>
        <w:rPr>
          <w:rFonts w:ascii="Times New Roman" w:hAnsi="Times New Roman" w:cs="Times New Roman"/>
          <w:sz w:val="24"/>
          <w:szCs w:val="24"/>
        </w:rPr>
      </w:pPr>
    </w:p>
    <w:p w:rsidR="0009474F" w:rsidRPr="002A7D9E" w:rsidRDefault="0009474F" w:rsidP="001A3121">
      <w:pPr>
        <w:autoSpaceDE w:val="0"/>
        <w:autoSpaceDN w:val="0"/>
        <w:adjustRightInd w:val="0"/>
        <w:spacing w:after="0" w:line="480" w:lineRule="auto"/>
        <w:rPr>
          <w:rFonts w:ascii="Times New Roman" w:hAnsi="Times New Roman" w:cs="Times New Roman"/>
          <w:sz w:val="24"/>
          <w:szCs w:val="24"/>
        </w:rPr>
      </w:pPr>
    </w:p>
    <w:p w:rsidR="0087544C" w:rsidRPr="002A7D9E" w:rsidRDefault="0087544C"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In most other fields where the OMC is used, guidelines, target-setting, peer review, benchmarking, reporting</w:t>
      </w:r>
      <w:r w:rsidR="00FF1152" w:rsidRPr="002A7D9E">
        <w:rPr>
          <w:rFonts w:ascii="Times New Roman" w:hAnsi="Times New Roman" w:cs="Times New Roman"/>
          <w:sz w:val="24"/>
          <w:szCs w:val="24"/>
        </w:rPr>
        <w:t>, and</w:t>
      </w:r>
      <w:r w:rsidR="00AF17E9" w:rsidRPr="002A7D9E">
        <w:rPr>
          <w:rFonts w:ascii="Times New Roman" w:hAnsi="Times New Roman" w:cs="Times New Roman"/>
          <w:sz w:val="24"/>
          <w:szCs w:val="24"/>
        </w:rPr>
        <w:t xml:space="preserve"> “naming and shaming”</w:t>
      </w:r>
      <w:r w:rsidRPr="002A7D9E">
        <w:rPr>
          <w:rFonts w:ascii="Times New Roman" w:hAnsi="Times New Roman" w:cs="Times New Roman"/>
          <w:sz w:val="24"/>
          <w:szCs w:val="24"/>
        </w:rPr>
        <w:t xml:space="preserve"> based on targets </w:t>
      </w:r>
      <w:r w:rsidRPr="002A7D9E">
        <w:rPr>
          <w:rFonts w:ascii="Times New Roman" w:hAnsi="Times New Roman" w:cs="Times New Roman"/>
          <w:sz w:val="24"/>
          <w:szCs w:val="24"/>
        </w:rPr>
        <w:lastRenderedPageBreak/>
        <w:t xml:space="preserve">and progress </w:t>
      </w:r>
      <w:r w:rsidR="000859D9" w:rsidRPr="002A7D9E">
        <w:rPr>
          <w:rFonts w:ascii="Times New Roman" w:hAnsi="Times New Roman" w:cs="Times New Roman"/>
          <w:sz w:val="24"/>
          <w:szCs w:val="24"/>
        </w:rPr>
        <w:t xml:space="preserve">are </w:t>
      </w:r>
      <w:r w:rsidRPr="002A7D9E">
        <w:rPr>
          <w:rFonts w:ascii="Times New Roman" w:hAnsi="Times New Roman" w:cs="Times New Roman"/>
          <w:sz w:val="24"/>
          <w:szCs w:val="24"/>
        </w:rPr>
        <w:t>key component</w:t>
      </w:r>
      <w:r w:rsidR="000859D9" w:rsidRPr="002A7D9E">
        <w:rPr>
          <w:rFonts w:ascii="Times New Roman" w:hAnsi="Times New Roman" w:cs="Times New Roman"/>
          <w:sz w:val="24"/>
          <w:szCs w:val="24"/>
        </w:rPr>
        <w:t>s</w:t>
      </w:r>
      <w:r w:rsidRPr="002A7D9E">
        <w:rPr>
          <w:rFonts w:ascii="Times New Roman" w:hAnsi="Times New Roman" w:cs="Times New Roman"/>
          <w:sz w:val="24"/>
          <w:szCs w:val="24"/>
        </w:rPr>
        <w:t>. However, these elements are absent in the cultural field. According to the Agenda for Culture,</w:t>
      </w:r>
    </w:p>
    <w:p w:rsidR="0087544C" w:rsidRPr="002A7D9E" w:rsidRDefault="0087544C" w:rsidP="001A3121">
      <w:pPr>
        <w:spacing w:after="0" w:line="480" w:lineRule="auto"/>
        <w:ind w:left="720"/>
        <w:rPr>
          <w:rFonts w:ascii="Times New Roman" w:hAnsi="Times New Roman" w:cs="Times New Roman"/>
        </w:rPr>
      </w:pPr>
      <w:r w:rsidRPr="002A7D9E">
        <w:rPr>
          <w:rFonts w:ascii="Times New Roman" w:hAnsi="Times New Roman" w:cs="Times New Roman"/>
        </w:rPr>
        <w:t xml:space="preserve">It is essential … for the special features of the cultural sector to </w:t>
      </w:r>
      <w:proofErr w:type="gramStart"/>
      <w:r w:rsidRPr="002A7D9E">
        <w:rPr>
          <w:rFonts w:ascii="Times New Roman" w:hAnsi="Times New Roman" w:cs="Times New Roman"/>
        </w:rPr>
        <w:t>be fully taken</w:t>
      </w:r>
      <w:proofErr w:type="gramEnd"/>
      <w:r w:rsidRPr="002A7D9E">
        <w:rPr>
          <w:rFonts w:ascii="Times New Roman" w:hAnsi="Times New Roman" w:cs="Times New Roman"/>
        </w:rPr>
        <w:t xml:space="preserve"> into account in the design of an OMC in this area. In a spirit of partnership with Member States, this implies adopting a </w:t>
      </w:r>
      <w:r w:rsidRPr="002A7D9E">
        <w:rPr>
          <w:rFonts w:ascii="Times New Roman" w:hAnsi="Times New Roman" w:cs="Times New Roman"/>
          <w:i/>
        </w:rPr>
        <w:t>flexible approach</w:t>
      </w:r>
      <w:r w:rsidRPr="002A7D9E">
        <w:rPr>
          <w:rFonts w:ascii="Times New Roman" w:hAnsi="Times New Roman" w:cs="Times New Roman"/>
        </w:rPr>
        <w:t xml:space="preserve">, entailing the setting of </w:t>
      </w:r>
      <w:r w:rsidRPr="002A7D9E">
        <w:rPr>
          <w:rFonts w:ascii="Times New Roman" w:hAnsi="Times New Roman" w:cs="Times New Roman"/>
          <w:i/>
        </w:rPr>
        <w:t>general objectives</w:t>
      </w:r>
      <w:r w:rsidRPr="002A7D9E">
        <w:rPr>
          <w:rFonts w:ascii="Times New Roman" w:hAnsi="Times New Roman" w:cs="Times New Roman"/>
        </w:rPr>
        <w:t xml:space="preserve"> with a </w:t>
      </w:r>
      <w:r w:rsidRPr="002A7D9E">
        <w:rPr>
          <w:rFonts w:ascii="Times New Roman" w:hAnsi="Times New Roman" w:cs="Times New Roman"/>
          <w:i/>
        </w:rPr>
        <w:t>light regular reporting system</w:t>
      </w:r>
      <w:r w:rsidR="00B47DA7" w:rsidRPr="002A7D9E">
        <w:rPr>
          <w:rFonts w:ascii="Times New Roman" w:hAnsi="Times New Roman" w:cs="Times New Roman"/>
        </w:rPr>
        <w:t xml:space="preserve"> (</w:t>
      </w:r>
      <w:r w:rsidR="00652A8B" w:rsidRPr="002A7D9E">
        <w:rPr>
          <w:rFonts w:ascii="Times New Roman" w:hAnsi="Times New Roman" w:cs="Times New Roman"/>
        </w:rPr>
        <w:t>European Commission</w:t>
      </w:r>
      <w:r w:rsidR="00B47DA7" w:rsidRPr="002A7D9E">
        <w:rPr>
          <w:rFonts w:ascii="Times New Roman" w:hAnsi="Times New Roman" w:cs="Times New Roman"/>
        </w:rPr>
        <w:t xml:space="preserve"> 2007, </w:t>
      </w:r>
      <w:r w:rsidRPr="002A7D9E">
        <w:rPr>
          <w:rFonts w:ascii="Times New Roman" w:hAnsi="Times New Roman" w:cs="Times New Roman"/>
        </w:rPr>
        <w:t>12; emphasis added).</w:t>
      </w:r>
    </w:p>
    <w:p w:rsidR="009B46CE" w:rsidRPr="002A7D9E" w:rsidRDefault="009B46CE" w:rsidP="001A3121">
      <w:pPr>
        <w:autoSpaceDE w:val="0"/>
        <w:autoSpaceDN w:val="0"/>
        <w:adjustRightInd w:val="0"/>
        <w:spacing w:after="0" w:line="480" w:lineRule="auto"/>
        <w:rPr>
          <w:rFonts w:ascii="Times New Roman" w:hAnsi="Times New Roman" w:cs="Times New Roman"/>
        </w:rPr>
      </w:pPr>
      <w:r w:rsidRPr="002A7D9E">
        <w:rPr>
          <w:rFonts w:ascii="Times New Roman" w:hAnsi="Times New Roman" w:cs="Times New Roman"/>
          <w:sz w:val="24"/>
          <w:szCs w:val="24"/>
        </w:rPr>
        <w:t xml:space="preserve">The emphasis in the culture OMC is </w:t>
      </w:r>
      <w:r w:rsidR="0087544C" w:rsidRPr="002A7D9E">
        <w:rPr>
          <w:rFonts w:ascii="Times New Roman" w:hAnsi="Times New Roman" w:cs="Times New Roman"/>
          <w:sz w:val="24"/>
          <w:szCs w:val="24"/>
        </w:rPr>
        <w:t xml:space="preserve">thus on </w:t>
      </w:r>
      <w:r w:rsidRPr="002A7D9E">
        <w:rPr>
          <w:rFonts w:ascii="Times New Roman" w:hAnsi="Times New Roman" w:cs="Times New Roman"/>
          <w:sz w:val="24"/>
          <w:szCs w:val="24"/>
        </w:rPr>
        <w:t>learning and exchange. Its specific aims are to:</w:t>
      </w:r>
    </w:p>
    <w:p w:rsidR="009B46CE" w:rsidRPr="002A7D9E" w:rsidRDefault="009B46CE" w:rsidP="001A3121">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Foster exchange of best practice between Member States with</w:t>
      </w:r>
      <w:r w:rsidR="008931A8" w:rsidRPr="002A7D9E">
        <w:rPr>
          <w:rFonts w:ascii="Times New Roman" w:hAnsi="Times New Roman" w:cs="Times New Roman"/>
          <w:sz w:val="24"/>
          <w:szCs w:val="24"/>
        </w:rPr>
        <w:t xml:space="preserve"> a view to improve policymaking;</w:t>
      </w:r>
    </w:p>
    <w:p w:rsidR="009B46CE" w:rsidRPr="002A7D9E" w:rsidRDefault="009B46CE" w:rsidP="001A3121">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Structure cooperation around the strategic objectives of the</w:t>
      </w:r>
      <w:r w:rsidR="00F65FB1" w:rsidRPr="002A7D9E">
        <w:rPr>
          <w:rFonts w:ascii="Times New Roman" w:hAnsi="Times New Roman" w:cs="Times New Roman"/>
          <w:sz w:val="24"/>
          <w:szCs w:val="24"/>
        </w:rPr>
        <w:t xml:space="preserve"> European Agenda for Culture</w:t>
      </w:r>
      <w:r w:rsidR="008931A8" w:rsidRPr="002A7D9E">
        <w:rPr>
          <w:rFonts w:ascii="Times New Roman" w:hAnsi="Times New Roman" w:cs="Times New Roman"/>
          <w:sz w:val="24"/>
          <w:szCs w:val="24"/>
        </w:rPr>
        <w:t>; and</w:t>
      </w:r>
    </w:p>
    <w:p w:rsidR="009B46CE" w:rsidRPr="002A7D9E" w:rsidRDefault="009B46CE" w:rsidP="001A3121">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Generate policy recommendations to feed EU and national policy-making.</w:t>
      </w:r>
    </w:p>
    <w:p w:rsidR="009B46CE" w:rsidRPr="002A7D9E" w:rsidRDefault="009B46CE" w:rsidP="001A3121">
      <w:pPr>
        <w:spacing w:after="0" w:line="480" w:lineRule="auto"/>
        <w:rPr>
          <w:rFonts w:ascii="Times New Roman" w:hAnsi="Times New Roman" w:cs="Times New Roman"/>
          <w:sz w:val="24"/>
          <w:szCs w:val="24"/>
        </w:rPr>
      </w:pPr>
    </w:p>
    <w:p w:rsidR="00510B6F" w:rsidRPr="002A7D9E" w:rsidRDefault="009B46CE"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Each </w:t>
      </w:r>
      <w:r w:rsidR="00B47DA7" w:rsidRPr="002A7D9E">
        <w:rPr>
          <w:rFonts w:ascii="Times New Roman" w:hAnsi="Times New Roman" w:cs="Times New Roman"/>
          <w:sz w:val="24"/>
          <w:szCs w:val="24"/>
        </w:rPr>
        <w:t xml:space="preserve">OMC </w:t>
      </w:r>
      <w:r w:rsidRPr="002A7D9E">
        <w:rPr>
          <w:rFonts w:ascii="Times New Roman" w:hAnsi="Times New Roman" w:cs="Times New Roman"/>
          <w:sz w:val="24"/>
          <w:szCs w:val="24"/>
        </w:rPr>
        <w:t xml:space="preserve">group, composed of </w:t>
      </w:r>
      <w:proofErr w:type="gramStart"/>
      <w:r w:rsidRPr="002A7D9E">
        <w:rPr>
          <w:rFonts w:ascii="Times New Roman" w:hAnsi="Times New Roman" w:cs="Times New Roman"/>
          <w:sz w:val="24"/>
          <w:szCs w:val="24"/>
        </w:rPr>
        <w:t>nationally-appointed</w:t>
      </w:r>
      <w:proofErr w:type="gramEnd"/>
      <w:r w:rsidRPr="002A7D9E">
        <w:rPr>
          <w:rFonts w:ascii="Times New Roman" w:hAnsi="Times New Roman" w:cs="Times New Roman"/>
          <w:sz w:val="24"/>
          <w:szCs w:val="24"/>
        </w:rPr>
        <w:t xml:space="preserve"> experts from Member States, meets approximately six times over the course of a 12-18 month period. Each group produces a report, usually i</w:t>
      </w:r>
      <w:r w:rsidR="007707EE" w:rsidRPr="002A7D9E">
        <w:rPr>
          <w:rFonts w:ascii="Times New Roman" w:hAnsi="Times New Roman" w:cs="Times New Roman"/>
          <w:sz w:val="24"/>
          <w:szCs w:val="24"/>
        </w:rPr>
        <w:t>n the form of best practices</w:t>
      </w:r>
      <w:r w:rsidRPr="002A7D9E">
        <w:rPr>
          <w:rFonts w:ascii="Times New Roman" w:hAnsi="Times New Roman" w:cs="Times New Roman"/>
          <w:sz w:val="24"/>
          <w:szCs w:val="24"/>
        </w:rPr>
        <w:t xml:space="preserve">. The reports are 100-plus-page documents composed of examples and analysis, with questions and talking points for consideration sprinkled throughout. There is also a section at the end of the reports devoted to recommendations. </w:t>
      </w:r>
      <w:r w:rsidR="00C22A71" w:rsidRPr="002A7D9E">
        <w:rPr>
          <w:rFonts w:ascii="Times New Roman" w:hAnsi="Times New Roman" w:cs="Times New Roman"/>
          <w:sz w:val="24"/>
          <w:szCs w:val="24"/>
        </w:rPr>
        <w:t xml:space="preserve">Because the OMC is </w:t>
      </w:r>
      <w:r w:rsidR="00510B6F" w:rsidRPr="002A7D9E">
        <w:rPr>
          <w:rFonts w:ascii="Times New Roman" w:hAnsi="Times New Roman" w:cs="Times New Roman"/>
          <w:sz w:val="24"/>
          <w:szCs w:val="24"/>
        </w:rPr>
        <w:t>voluntary</w:t>
      </w:r>
      <w:r w:rsidR="00C22A71" w:rsidRPr="002A7D9E">
        <w:rPr>
          <w:rFonts w:ascii="Times New Roman" w:hAnsi="Times New Roman" w:cs="Times New Roman"/>
          <w:sz w:val="24"/>
          <w:szCs w:val="24"/>
        </w:rPr>
        <w:t xml:space="preserve">, it </w:t>
      </w:r>
      <w:proofErr w:type="gramStart"/>
      <w:r w:rsidR="00C22A71" w:rsidRPr="002A7D9E">
        <w:rPr>
          <w:rFonts w:ascii="Times New Roman" w:hAnsi="Times New Roman" w:cs="Times New Roman"/>
          <w:sz w:val="24"/>
          <w:szCs w:val="24"/>
        </w:rPr>
        <w:t>is most accurately described</w:t>
      </w:r>
      <w:proofErr w:type="gramEnd"/>
      <w:r w:rsidR="00C22A71" w:rsidRPr="002A7D9E">
        <w:rPr>
          <w:rFonts w:ascii="Times New Roman" w:hAnsi="Times New Roman" w:cs="Times New Roman"/>
          <w:sz w:val="24"/>
          <w:szCs w:val="24"/>
        </w:rPr>
        <w:t xml:space="preserve"> as </w:t>
      </w:r>
      <w:r w:rsidR="009E263B" w:rsidRPr="002A7D9E">
        <w:rPr>
          <w:rFonts w:ascii="Times New Roman" w:hAnsi="Times New Roman" w:cs="Times New Roman"/>
          <w:sz w:val="24"/>
          <w:szCs w:val="24"/>
        </w:rPr>
        <w:t xml:space="preserve">a potential </w:t>
      </w:r>
      <w:r w:rsidR="009E263B" w:rsidRPr="002A7D9E">
        <w:rPr>
          <w:rFonts w:ascii="Times New Roman" w:hAnsi="Times New Roman" w:cs="Times New Roman"/>
          <w:sz w:val="24"/>
          <w:szCs w:val="24"/>
        </w:rPr>
        <w:lastRenderedPageBreak/>
        <w:t xml:space="preserve">case of </w:t>
      </w:r>
      <w:r w:rsidR="004F3657" w:rsidRPr="002A7D9E">
        <w:rPr>
          <w:rFonts w:ascii="Times New Roman" w:hAnsi="Times New Roman" w:cs="Times New Roman"/>
          <w:sz w:val="24"/>
          <w:szCs w:val="24"/>
        </w:rPr>
        <w:t xml:space="preserve">‘voluntary transfer’, </w:t>
      </w:r>
      <w:r w:rsidR="00C22A71" w:rsidRPr="002A7D9E">
        <w:rPr>
          <w:rFonts w:ascii="Times New Roman" w:hAnsi="Times New Roman" w:cs="Times New Roman"/>
          <w:sz w:val="24"/>
          <w:szCs w:val="24"/>
        </w:rPr>
        <w:t xml:space="preserve">associated with Rose’s </w:t>
      </w:r>
      <w:r w:rsidR="009E263B" w:rsidRPr="002A7D9E">
        <w:rPr>
          <w:rFonts w:ascii="Times New Roman" w:hAnsi="Times New Roman" w:cs="Times New Roman"/>
          <w:sz w:val="24"/>
          <w:szCs w:val="24"/>
        </w:rPr>
        <w:t xml:space="preserve">(2005) </w:t>
      </w:r>
      <w:r w:rsidR="00C22A71" w:rsidRPr="002A7D9E">
        <w:rPr>
          <w:rFonts w:ascii="Times New Roman" w:hAnsi="Times New Roman" w:cs="Times New Roman"/>
          <w:sz w:val="24"/>
          <w:szCs w:val="24"/>
        </w:rPr>
        <w:t>concept of lesson-drawing</w:t>
      </w:r>
      <w:r w:rsidR="004F3657" w:rsidRPr="002A7D9E">
        <w:rPr>
          <w:rFonts w:ascii="Times New Roman" w:hAnsi="Times New Roman" w:cs="Times New Roman"/>
          <w:sz w:val="24"/>
          <w:szCs w:val="24"/>
        </w:rPr>
        <w:t xml:space="preserve"> </w:t>
      </w:r>
      <w:r w:rsidR="000E52A7" w:rsidRPr="002A7D9E">
        <w:rPr>
          <w:rFonts w:ascii="Times New Roman" w:hAnsi="Times New Roman" w:cs="Times New Roman"/>
          <w:sz w:val="24"/>
          <w:szCs w:val="24"/>
        </w:rPr>
        <w:t>(</w:t>
      </w:r>
      <w:r w:rsidR="004F3657" w:rsidRPr="002A7D9E">
        <w:rPr>
          <w:rFonts w:ascii="Times New Roman" w:hAnsi="Times New Roman" w:cs="Times New Roman"/>
          <w:sz w:val="24"/>
          <w:szCs w:val="24"/>
        </w:rPr>
        <w:t>Dolowitz and Marsh 1996)</w:t>
      </w:r>
      <w:r w:rsidR="00C22A71" w:rsidRPr="002A7D9E">
        <w:rPr>
          <w:rFonts w:ascii="Times New Roman" w:hAnsi="Times New Roman" w:cs="Times New Roman"/>
          <w:sz w:val="24"/>
          <w:szCs w:val="24"/>
        </w:rPr>
        <w:t xml:space="preserve">. </w:t>
      </w:r>
      <w:r w:rsidR="00510B6F" w:rsidRPr="002A7D9E">
        <w:rPr>
          <w:rFonts w:ascii="Times New Roman" w:hAnsi="Times New Roman" w:cs="Times New Roman"/>
          <w:sz w:val="24"/>
          <w:szCs w:val="24"/>
        </w:rPr>
        <w:t>T</w:t>
      </w:r>
      <w:r w:rsidR="00C31147" w:rsidRPr="002A7D9E">
        <w:rPr>
          <w:rFonts w:ascii="Times New Roman" w:hAnsi="Times New Roman" w:cs="Times New Roman"/>
          <w:sz w:val="24"/>
          <w:szCs w:val="24"/>
        </w:rPr>
        <w:t xml:space="preserve">he </w:t>
      </w:r>
      <w:r w:rsidR="00510B6F" w:rsidRPr="002A7D9E">
        <w:rPr>
          <w:rFonts w:ascii="Times New Roman" w:hAnsi="Times New Roman" w:cs="Times New Roman"/>
          <w:sz w:val="24"/>
          <w:szCs w:val="24"/>
        </w:rPr>
        <w:t xml:space="preserve">OMC </w:t>
      </w:r>
      <w:r w:rsidR="0009474F" w:rsidRPr="002A7D9E">
        <w:rPr>
          <w:rFonts w:ascii="Times New Roman" w:hAnsi="Times New Roman" w:cs="Times New Roman"/>
          <w:sz w:val="24"/>
          <w:szCs w:val="24"/>
        </w:rPr>
        <w:t xml:space="preserve">therefore </w:t>
      </w:r>
      <w:r w:rsidR="00C31147" w:rsidRPr="002A7D9E">
        <w:rPr>
          <w:rFonts w:ascii="Times New Roman" w:hAnsi="Times New Roman" w:cs="Times New Roman"/>
          <w:sz w:val="24"/>
          <w:szCs w:val="24"/>
        </w:rPr>
        <w:t xml:space="preserve">represents a ‘powerful learning instrument, insofar as they are expected to destabilise prior understandings of issues and thus lead to incremental changes via an ideational shift in framing policy problems’ (de la Porte and </w:t>
      </w:r>
      <w:proofErr w:type="spellStart"/>
      <w:r w:rsidR="00C31147" w:rsidRPr="002A7D9E">
        <w:rPr>
          <w:rFonts w:ascii="Times New Roman" w:hAnsi="Times New Roman" w:cs="Times New Roman"/>
          <w:sz w:val="24"/>
          <w:szCs w:val="24"/>
        </w:rPr>
        <w:t>Pochet</w:t>
      </w:r>
      <w:proofErr w:type="spellEnd"/>
      <w:r w:rsidR="00C31147" w:rsidRPr="002A7D9E">
        <w:rPr>
          <w:rFonts w:ascii="Times New Roman" w:hAnsi="Times New Roman" w:cs="Times New Roman"/>
          <w:sz w:val="24"/>
          <w:szCs w:val="24"/>
        </w:rPr>
        <w:t xml:space="preserve"> 2012, 340). </w:t>
      </w:r>
    </w:p>
    <w:p w:rsidR="00510B6F" w:rsidRPr="002A7D9E" w:rsidRDefault="00510B6F" w:rsidP="001A3121">
      <w:pPr>
        <w:spacing w:after="0" w:line="480" w:lineRule="auto"/>
        <w:rPr>
          <w:rFonts w:ascii="Times New Roman" w:hAnsi="Times New Roman" w:cs="Times New Roman"/>
          <w:sz w:val="24"/>
          <w:szCs w:val="24"/>
        </w:rPr>
      </w:pPr>
    </w:p>
    <w:p w:rsidR="00C31147" w:rsidRPr="002A7D9E" w:rsidRDefault="00C31147"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However, </w:t>
      </w:r>
      <w:r w:rsidR="00685AD8" w:rsidRPr="002A7D9E">
        <w:rPr>
          <w:rFonts w:ascii="Times New Roman" w:hAnsi="Times New Roman" w:cs="Times New Roman"/>
          <w:sz w:val="24"/>
          <w:szCs w:val="24"/>
        </w:rPr>
        <w:t xml:space="preserve">the concept of </w:t>
      </w:r>
      <w:r w:rsidRPr="002A7D9E">
        <w:rPr>
          <w:rFonts w:ascii="Times New Roman" w:hAnsi="Times New Roman" w:cs="Times New Roman"/>
          <w:sz w:val="24"/>
          <w:szCs w:val="24"/>
        </w:rPr>
        <w:t xml:space="preserve">best practices also raise a number of questions: who decides what a best practice is? </w:t>
      </w:r>
      <w:r w:rsidR="004F73E2" w:rsidRPr="002A7D9E">
        <w:rPr>
          <w:rFonts w:ascii="Times New Roman" w:hAnsi="Times New Roman" w:cs="Times New Roman"/>
          <w:sz w:val="24"/>
          <w:szCs w:val="24"/>
        </w:rPr>
        <w:t>W</w:t>
      </w:r>
      <w:r w:rsidRPr="002A7D9E">
        <w:rPr>
          <w:rFonts w:ascii="Times New Roman" w:hAnsi="Times New Roman" w:cs="Times New Roman"/>
          <w:sz w:val="24"/>
          <w:szCs w:val="24"/>
        </w:rPr>
        <w:t xml:space="preserve">hat criteria </w:t>
      </w:r>
      <w:proofErr w:type="gramStart"/>
      <w:r w:rsidRPr="002A7D9E">
        <w:rPr>
          <w:rFonts w:ascii="Times New Roman" w:hAnsi="Times New Roman" w:cs="Times New Roman"/>
          <w:sz w:val="24"/>
          <w:szCs w:val="24"/>
        </w:rPr>
        <w:t>is it judged</w:t>
      </w:r>
      <w:proofErr w:type="gramEnd"/>
      <w:r w:rsidRPr="002A7D9E">
        <w:rPr>
          <w:rFonts w:ascii="Times New Roman" w:hAnsi="Times New Roman" w:cs="Times New Roman"/>
          <w:sz w:val="24"/>
          <w:szCs w:val="24"/>
        </w:rPr>
        <w:t xml:space="preserve"> on? </w:t>
      </w:r>
      <w:r w:rsidR="00ED17F3" w:rsidRPr="002A7D9E">
        <w:rPr>
          <w:rFonts w:ascii="Times New Roman" w:hAnsi="Times New Roman" w:cs="Times New Roman"/>
          <w:sz w:val="24"/>
          <w:szCs w:val="24"/>
        </w:rPr>
        <w:t xml:space="preserve">How </w:t>
      </w:r>
      <w:proofErr w:type="gramStart"/>
      <w:r w:rsidR="00ED17F3" w:rsidRPr="002A7D9E">
        <w:rPr>
          <w:rFonts w:ascii="Times New Roman" w:hAnsi="Times New Roman" w:cs="Times New Roman"/>
          <w:sz w:val="24"/>
          <w:szCs w:val="24"/>
        </w:rPr>
        <w:t>is consensus achieved</w:t>
      </w:r>
      <w:proofErr w:type="gramEnd"/>
      <w:r w:rsidR="00ED17F3" w:rsidRPr="002A7D9E">
        <w:rPr>
          <w:rFonts w:ascii="Times New Roman" w:hAnsi="Times New Roman" w:cs="Times New Roman"/>
          <w:sz w:val="24"/>
          <w:szCs w:val="24"/>
        </w:rPr>
        <w:t xml:space="preserve"> in identifying them? </w:t>
      </w:r>
      <w:r w:rsidRPr="002A7D9E">
        <w:rPr>
          <w:rFonts w:ascii="Times New Roman" w:hAnsi="Times New Roman" w:cs="Times New Roman"/>
          <w:sz w:val="24"/>
          <w:szCs w:val="24"/>
        </w:rPr>
        <w:t xml:space="preserve">Should best practices be somehow representative (geographically or otherwise)? If these issues </w:t>
      </w:r>
      <w:proofErr w:type="gramStart"/>
      <w:r w:rsidRPr="002A7D9E">
        <w:rPr>
          <w:rFonts w:ascii="Times New Roman" w:hAnsi="Times New Roman" w:cs="Times New Roman"/>
          <w:sz w:val="24"/>
          <w:szCs w:val="24"/>
        </w:rPr>
        <w:t>are not addressed</w:t>
      </w:r>
      <w:proofErr w:type="gramEnd"/>
      <w:r w:rsidRPr="002A7D9E">
        <w:rPr>
          <w:rFonts w:ascii="Times New Roman" w:hAnsi="Times New Roman" w:cs="Times New Roman"/>
          <w:sz w:val="24"/>
          <w:szCs w:val="24"/>
        </w:rPr>
        <w:t>, questions of relevance, usefulness, and legitimacy begin to be raised.</w:t>
      </w:r>
      <w:r w:rsidR="00510B6F"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Other cultural policy scholars have highlighted these concerns and more. For example, in a study of UNESCO’s 2013 Creative Economy report, Christiaan De </w:t>
      </w:r>
      <w:proofErr w:type="spellStart"/>
      <w:r w:rsidRPr="002A7D9E">
        <w:rPr>
          <w:rFonts w:ascii="Times New Roman" w:hAnsi="Times New Roman" w:cs="Times New Roman"/>
          <w:sz w:val="24"/>
          <w:szCs w:val="24"/>
        </w:rPr>
        <w:t>Beukelaer</w:t>
      </w:r>
      <w:proofErr w:type="spellEnd"/>
      <w:r w:rsidRPr="002A7D9E">
        <w:rPr>
          <w:rFonts w:ascii="Times New Roman" w:hAnsi="Times New Roman" w:cs="Times New Roman"/>
          <w:sz w:val="24"/>
          <w:szCs w:val="24"/>
        </w:rPr>
        <w:t xml:space="preserve"> (2014) takes a critical approach to the 32 online best practices included in the report, arguing that while the examples ‘may prove effective to</w:t>
      </w:r>
      <w:r w:rsidR="006C2B23" w:rsidRPr="002A7D9E">
        <w:rPr>
          <w:rFonts w:ascii="Times New Roman" w:hAnsi="Times New Roman" w:cs="Times New Roman"/>
          <w:sz w:val="24"/>
          <w:szCs w:val="24"/>
        </w:rPr>
        <w:t>o</w:t>
      </w:r>
      <w:r w:rsidRPr="002A7D9E">
        <w:rPr>
          <w:rFonts w:ascii="Times New Roman" w:hAnsi="Times New Roman" w:cs="Times New Roman"/>
          <w:sz w:val="24"/>
          <w:szCs w:val="24"/>
        </w:rPr>
        <w:t>ls for advocacy,’ they ‘remain superficial and leave no space for critical engagement’ (92). In another example, talking of cross-national policy transfer in the cultural and creative industries (CCI), Andy C. Pratt warns us that ‘we need to be clear not only of what the “</w:t>
      </w:r>
      <w:r w:rsidRPr="002A7D9E">
        <w:rPr>
          <w:rFonts w:ascii="Times New Roman" w:hAnsi="Times New Roman" w:cs="Times New Roman"/>
          <w:i/>
          <w:sz w:val="24"/>
          <w:szCs w:val="24"/>
        </w:rPr>
        <w:t>object”</w:t>
      </w:r>
      <w:r w:rsidRPr="002A7D9E">
        <w:rPr>
          <w:rFonts w:ascii="Times New Roman" w:hAnsi="Times New Roman" w:cs="Times New Roman"/>
          <w:sz w:val="24"/>
          <w:szCs w:val="24"/>
        </w:rPr>
        <w:t xml:space="preserve"> of policy is […] as well as the </w:t>
      </w:r>
      <w:r w:rsidRPr="002A7D9E">
        <w:rPr>
          <w:rFonts w:ascii="Times New Roman" w:hAnsi="Times New Roman" w:cs="Times New Roman"/>
          <w:i/>
          <w:sz w:val="24"/>
          <w:szCs w:val="24"/>
        </w:rPr>
        <w:t>objectives</w:t>
      </w:r>
      <w:r w:rsidRPr="002A7D9E">
        <w:rPr>
          <w:rFonts w:ascii="Times New Roman" w:hAnsi="Times New Roman" w:cs="Times New Roman"/>
          <w:sz w:val="24"/>
          <w:szCs w:val="24"/>
        </w:rPr>
        <w:t xml:space="preserve">, and the </w:t>
      </w:r>
      <w:r w:rsidRPr="002A7D9E">
        <w:rPr>
          <w:rFonts w:ascii="Times New Roman" w:hAnsi="Times New Roman" w:cs="Times New Roman"/>
          <w:i/>
          <w:sz w:val="24"/>
          <w:szCs w:val="24"/>
        </w:rPr>
        <w:t>context</w:t>
      </w:r>
      <w:r w:rsidRPr="002A7D9E">
        <w:rPr>
          <w:rFonts w:ascii="Times New Roman" w:hAnsi="Times New Roman" w:cs="Times New Roman"/>
          <w:sz w:val="24"/>
          <w:szCs w:val="24"/>
        </w:rPr>
        <w:t xml:space="preserve"> of their operation’ (2009, 15; emphasis added). Unless the examples are robust and detailed, it is difficult to achieve all three – object, objectives, and context – with best practices.</w:t>
      </w:r>
    </w:p>
    <w:p w:rsidR="005427C7" w:rsidRPr="002A7D9E" w:rsidRDefault="005427C7" w:rsidP="001A3121">
      <w:pPr>
        <w:spacing w:after="0" w:line="480" w:lineRule="auto"/>
        <w:rPr>
          <w:rFonts w:ascii="Times New Roman" w:hAnsi="Times New Roman" w:cs="Times New Roman"/>
          <w:sz w:val="24"/>
          <w:szCs w:val="24"/>
        </w:rPr>
      </w:pPr>
    </w:p>
    <w:p w:rsidR="003921F3" w:rsidRPr="002A7D9E" w:rsidRDefault="009E685F" w:rsidP="001A3121">
      <w:pPr>
        <w:spacing w:after="0" w:line="480" w:lineRule="auto"/>
        <w:rPr>
          <w:rFonts w:ascii="Times New Roman" w:hAnsi="Times New Roman" w:cs="Times New Roman"/>
          <w:bCs/>
          <w:sz w:val="24"/>
          <w:szCs w:val="24"/>
        </w:rPr>
      </w:pPr>
      <w:r w:rsidRPr="002A7D9E">
        <w:rPr>
          <w:rFonts w:ascii="Times New Roman" w:hAnsi="Times New Roman" w:cs="Times New Roman"/>
          <w:sz w:val="24"/>
          <w:szCs w:val="24"/>
        </w:rPr>
        <w:t xml:space="preserve">International organizations rarely explicitly say why </w:t>
      </w:r>
      <w:r w:rsidR="00683453" w:rsidRPr="002A7D9E">
        <w:rPr>
          <w:rFonts w:ascii="Times New Roman" w:hAnsi="Times New Roman" w:cs="Times New Roman"/>
          <w:sz w:val="24"/>
          <w:szCs w:val="24"/>
        </w:rPr>
        <w:t xml:space="preserve">they use </w:t>
      </w:r>
      <w:r w:rsidR="00DB4A5D" w:rsidRPr="002A7D9E">
        <w:rPr>
          <w:rFonts w:ascii="Times New Roman" w:hAnsi="Times New Roman" w:cs="Times New Roman"/>
          <w:sz w:val="24"/>
          <w:szCs w:val="24"/>
        </w:rPr>
        <w:t>best practic</w:t>
      </w:r>
      <w:r w:rsidR="00683453" w:rsidRPr="002A7D9E">
        <w:rPr>
          <w:rFonts w:ascii="Times New Roman" w:hAnsi="Times New Roman" w:cs="Times New Roman"/>
          <w:sz w:val="24"/>
          <w:szCs w:val="24"/>
        </w:rPr>
        <w:t>es</w:t>
      </w:r>
      <w:r w:rsidR="00DB4A5D" w:rsidRPr="002A7D9E">
        <w:rPr>
          <w:rFonts w:ascii="Times New Roman" w:hAnsi="Times New Roman" w:cs="Times New Roman"/>
          <w:sz w:val="24"/>
          <w:szCs w:val="24"/>
        </w:rPr>
        <w:t>.</w:t>
      </w:r>
      <w:r w:rsidR="00ED17F3" w:rsidRPr="002A7D9E">
        <w:rPr>
          <w:rFonts w:ascii="Times New Roman" w:hAnsi="Times New Roman" w:cs="Times New Roman"/>
          <w:sz w:val="24"/>
          <w:szCs w:val="24"/>
        </w:rPr>
        <w:t xml:space="preserve"> </w:t>
      </w:r>
      <w:proofErr w:type="spellStart"/>
      <w:r w:rsidR="00ED17F3" w:rsidRPr="002A7D9E">
        <w:rPr>
          <w:rFonts w:ascii="Times New Roman" w:hAnsi="Times New Roman" w:cs="Times New Roman"/>
          <w:sz w:val="24"/>
          <w:szCs w:val="24"/>
        </w:rPr>
        <w:t>Radaelli</w:t>
      </w:r>
      <w:proofErr w:type="spellEnd"/>
      <w:r w:rsidR="00ED17F3" w:rsidRPr="002A7D9E">
        <w:rPr>
          <w:rFonts w:ascii="Times New Roman" w:hAnsi="Times New Roman" w:cs="Times New Roman"/>
          <w:sz w:val="24"/>
          <w:szCs w:val="24"/>
        </w:rPr>
        <w:t xml:space="preserve"> (2004, 727) argues that because </w:t>
      </w:r>
      <w:r w:rsidR="009008AA" w:rsidRPr="002A7D9E">
        <w:rPr>
          <w:rFonts w:ascii="Times New Roman" w:hAnsi="Times New Roman" w:cs="Times New Roman"/>
          <w:sz w:val="24"/>
          <w:szCs w:val="24"/>
        </w:rPr>
        <w:t>they</w:t>
      </w:r>
      <w:r w:rsidR="00ED17F3" w:rsidRPr="002A7D9E">
        <w:rPr>
          <w:rFonts w:ascii="Times New Roman" w:hAnsi="Times New Roman" w:cs="Times New Roman"/>
          <w:sz w:val="24"/>
          <w:szCs w:val="24"/>
        </w:rPr>
        <w:t xml:space="preserve"> operate on consensus, best practices are attractive because they ‘can be used to allocate some “credits” to each and every participant.’</w:t>
      </w:r>
      <w:r w:rsidR="00581B2D" w:rsidRPr="002A7D9E">
        <w:rPr>
          <w:rFonts w:ascii="Times New Roman" w:hAnsi="Times New Roman" w:cs="Times New Roman"/>
          <w:sz w:val="24"/>
          <w:szCs w:val="24"/>
        </w:rPr>
        <w:t xml:space="preserve"> In the case of the EU’s culture OMC, t</w:t>
      </w:r>
      <w:r w:rsidR="00053B6C" w:rsidRPr="002A7D9E">
        <w:rPr>
          <w:rFonts w:ascii="Times New Roman" w:hAnsi="Times New Roman" w:cs="Times New Roman"/>
          <w:sz w:val="24"/>
          <w:szCs w:val="24"/>
        </w:rPr>
        <w:t xml:space="preserve">he </w:t>
      </w:r>
      <w:r w:rsidR="00581B2D" w:rsidRPr="002A7D9E">
        <w:rPr>
          <w:rFonts w:ascii="Times New Roman" w:hAnsi="Times New Roman" w:cs="Times New Roman"/>
          <w:sz w:val="24"/>
          <w:szCs w:val="24"/>
        </w:rPr>
        <w:t xml:space="preserve">best practice </w:t>
      </w:r>
      <w:r w:rsidR="00053B6C" w:rsidRPr="002A7D9E">
        <w:rPr>
          <w:rFonts w:ascii="Times New Roman" w:hAnsi="Times New Roman" w:cs="Times New Roman"/>
          <w:sz w:val="24"/>
          <w:szCs w:val="24"/>
        </w:rPr>
        <w:t>reports represent a useable, tangible record of what has been achieved during</w:t>
      </w:r>
      <w:r w:rsidR="004D10FD" w:rsidRPr="002A7D9E">
        <w:rPr>
          <w:rFonts w:ascii="Times New Roman" w:hAnsi="Times New Roman" w:cs="Times New Roman"/>
          <w:sz w:val="24"/>
          <w:szCs w:val="24"/>
        </w:rPr>
        <w:t xml:space="preserve"> the course of the discussions:</w:t>
      </w:r>
      <w:r w:rsidR="00253E1F" w:rsidRPr="002A7D9E">
        <w:rPr>
          <w:rFonts w:ascii="Times New Roman" w:hAnsi="Times New Roman" w:cs="Times New Roman"/>
          <w:i/>
          <w:sz w:val="24"/>
          <w:szCs w:val="24"/>
        </w:rPr>
        <w:t xml:space="preserve"> </w:t>
      </w:r>
      <w:r w:rsidR="004D10FD" w:rsidRPr="002A7D9E">
        <w:rPr>
          <w:rFonts w:ascii="Times New Roman" w:hAnsi="Times New Roman" w:cs="Times New Roman"/>
          <w:i/>
          <w:sz w:val="24"/>
          <w:szCs w:val="24"/>
        </w:rPr>
        <w:t>‘</w:t>
      </w:r>
      <w:r w:rsidR="00053B6C" w:rsidRPr="002A7D9E">
        <w:rPr>
          <w:rFonts w:ascii="Times New Roman" w:hAnsi="Times New Roman" w:cs="Times New Roman"/>
          <w:sz w:val="24"/>
          <w:szCs w:val="24"/>
        </w:rPr>
        <w:t>[t]here is a specific mandate, concrete outputs – there is a result in the end – and this is very useful</w:t>
      </w:r>
      <w:r w:rsidR="004D10FD" w:rsidRPr="002A7D9E">
        <w:rPr>
          <w:rFonts w:ascii="Times New Roman" w:hAnsi="Times New Roman" w:cs="Times New Roman"/>
          <w:bCs/>
          <w:sz w:val="24"/>
          <w:szCs w:val="24"/>
        </w:rPr>
        <w:t xml:space="preserve">’ (Fatima, Commission policy officer, interview, May 2014). The reports are meant to communicate what the group has agreed on over the course of their discussions </w:t>
      </w:r>
      <w:proofErr w:type="gramStart"/>
      <w:r w:rsidR="004D10FD" w:rsidRPr="002A7D9E">
        <w:rPr>
          <w:rFonts w:ascii="Times New Roman" w:hAnsi="Times New Roman" w:cs="Times New Roman"/>
          <w:bCs/>
          <w:sz w:val="24"/>
          <w:szCs w:val="24"/>
        </w:rPr>
        <w:t>and also</w:t>
      </w:r>
      <w:proofErr w:type="gramEnd"/>
      <w:r w:rsidR="004D10FD" w:rsidRPr="002A7D9E">
        <w:rPr>
          <w:rFonts w:ascii="Times New Roman" w:hAnsi="Times New Roman" w:cs="Times New Roman"/>
          <w:bCs/>
          <w:sz w:val="24"/>
          <w:szCs w:val="24"/>
        </w:rPr>
        <w:t xml:space="preserve"> to recommend particular courses of action based on the identified practices. As the report</w:t>
      </w:r>
      <w:r w:rsidR="002753AE" w:rsidRPr="002A7D9E">
        <w:rPr>
          <w:rFonts w:ascii="Times New Roman" w:hAnsi="Times New Roman" w:cs="Times New Roman"/>
          <w:bCs/>
          <w:sz w:val="24"/>
          <w:szCs w:val="24"/>
        </w:rPr>
        <w:t xml:space="preserve">s </w:t>
      </w:r>
      <w:proofErr w:type="gramStart"/>
      <w:r w:rsidR="002753AE" w:rsidRPr="002A7D9E">
        <w:rPr>
          <w:rFonts w:ascii="Times New Roman" w:hAnsi="Times New Roman" w:cs="Times New Roman"/>
          <w:bCs/>
          <w:sz w:val="24"/>
          <w:szCs w:val="24"/>
        </w:rPr>
        <w:t>are</w:t>
      </w:r>
      <w:proofErr w:type="gramEnd"/>
      <w:r w:rsidR="004D10FD" w:rsidRPr="002A7D9E">
        <w:rPr>
          <w:rFonts w:ascii="Times New Roman" w:hAnsi="Times New Roman" w:cs="Times New Roman"/>
          <w:bCs/>
          <w:sz w:val="24"/>
          <w:szCs w:val="24"/>
        </w:rPr>
        <w:t xml:space="preserve"> public</w:t>
      </w:r>
      <w:r w:rsidR="002753AE" w:rsidRPr="002A7D9E">
        <w:rPr>
          <w:rFonts w:ascii="Times New Roman" w:hAnsi="Times New Roman" w:cs="Times New Roman"/>
          <w:bCs/>
          <w:sz w:val="24"/>
          <w:szCs w:val="24"/>
        </w:rPr>
        <w:t xml:space="preserve"> documents</w:t>
      </w:r>
      <w:r w:rsidR="004D10FD" w:rsidRPr="002A7D9E">
        <w:rPr>
          <w:rFonts w:ascii="Times New Roman" w:hAnsi="Times New Roman" w:cs="Times New Roman"/>
          <w:bCs/>
          <w:sz w:val="24"/>
          <w:szCs w:val="24"/>
        </w:rPr>
        <w:t xml:space="preserve"> and experts are encouraged to disseminate within their Member State and personal networks, in theory </w:t>
      </w:r>
      <w:r w:rsidR="002753AE" w:rsidRPr="002A7D9E">
        <w:rPr>
          <w:rFonts w:ascii="Times New Roman" w:hAnsi="Times New Roman" w:cs="Times New Roman"/>
          <w:bCs/>
          <w:sz w:val="24"/>
          <w:szCs w:val="24"/>
        </w:rPr>
        <w:t>they are</w:t>
      </w:r>
      <w:r w:rsidR="004D10FD" w:rsidRPr="002A7D9E">
        <w:rPr>
          <w:rFonts w:ascii="Times New Roman" w:hAnsi="Times New Roman" w:cs="Times New Roman"/>
          <w:bCs/>
          <w:sz w:val="24"/>
          <w:szCs w:val="24"/>
        </w:rPr>
        <w:t xml:space="preserve"> useable to a much wider audience than those who took part in the OMC.</w:t>
      </w:r>
      <w:r w:rsidR="006E72F9" w:rsidRPr="002A7D9E">
        <w:rPr>
          <w:rFonts w:ascii="Times New Roman" w:hAnsi="Times New Roman" w:cs="Times New Roman"/>
          <w:bCs/>
          <w:sz w:val="24"/>
          <w:szCs w:val="24"/>
        </w:rPr>
        <w:t xml:space="preserve"> </w:t>
      </w:r>
      <w:r w:rsidR="00214737" w:rsidRPr="002A7D9E">
        <w:rPr>
          <w:rFonts w:ascii="Times New Roman" w:hAnsi="Times New Roman" w:cs="Times New Roman"/>
          <w:bCs/>
          <w:sz w:val="24"/>
          <w:szCs w:val="24"/>
        </w:rPr>
        <w:t xml:space="preserve">Fatima, a policy officer at the European Commission, describes </w:t>
      </w:r>
      <w:r w:rsidR="004D10FD" w:rsidRPr="002A7D9E">
        <w:rPr>
          <w:rFonts w:ascii="Times New Roman" w:hAnsi="Times New Roman" w:cs="Times New Roman"/>
          <w:bCs/>
          <w:sz w:val="24"/>
          <w:szCs w:val="24"/>
        </w:rPr>
        <w:t xml:space="preserve">the </w:t>
      </w:r>
      <w:r w:rsidR="00581B2D" w:rsidRPr="002A7D9E">
        <w:rPr>
          <w:rFonts w:ascii="Times New Roman" w:hAnsi="Times New Roman" w:cs="Times New Roman"/>
          <w:bCs/>
          <w:sz w:val="24"/>
          <w:szCs w:val="24"/>
        </w:rPr>
        <w:t xml:space="preserve">overall </w:t>
      </w:r>
      <w:r w:rsidR="004D10FD" w:rsidRPr="002A7D9E">
        <w:rPr>
          <w:rFonts w:ascii="Times New Roman" w:hAnsi="Times New Roman" w:cs="Times New Roman"/>
          <w:bCs/>
          <w:sz w:val="24"/>
          <w:szCs w:val="24"/>
        </w:rPr>
        <w:t>potential of best prac</w:t>
      </w:r>
      <w:r w:rsidR="001F464D" w:rsidRPr="002A7D9E">
        <w:rPr>
          <w:rFonts w:ascii="Times New Roman" w:hAnsi="Times New Roman" w:cs="Times New Roman"/>
          <w:sz w:val="24"/>
          <w:szCs w:val="24"/>
        </w:rPr>
        <w:t>tice</w:t>
      </w:r>
      <w:r w:rsidR="006E72F9" w:rsidRPr="002A7D9E">
        <w:rPr>
          <w:rFonts w:ascii="Times New Roman" w:hAnsi="Times New Roman" w:cs="Times New Roman"/>
          <w:sz w:val="24"/>
          <w:szCs w:val="24"/>
        </w:rPr>
        <w:t>s</w:t>
      </w:r>
      <w:r w:rsidR="0062312B" w:rsidRPr="002A7D9E">
        <w:rPr>
          <w:rFonts w:ascii="Times New Roman" w:hAnsi="Times New Roman" w:cs="Times New Roman"/>
          <w:sz w:val="24"/>
          <w:szCs w:val="24"/>
        </w:rPr>
        <w:t>:</w:t>
      </w:r>
    </w:p>
    <w:p w:rsidR="003921F3" w:rsidRPr="002A7D9E" w:rsidRDefault="006E72F9" w:rsidP="001A3121">
      <w:pPr>
        <w:spacing w:after="0" w:line="480" w:lineRule="auto"/>
        <w:ind w:left="720"/>
        <w:rPr>
          <w:rFonts w:ascii="Times New Roman" w:hAnsi="Times New Roman" w:cs="Times New Roman"/>
          <w:bCs/>
        </w:rPr>
      </w:pPr>
      <w:r w:rsidRPr="002A7D9E">
        <w:rPr>
          <w:rFonts w:ascii="Times New Roman" w:hAnsi="Times New Roman" w:cs="Times New Roman"/>
        </w:rPr>
        <w:t>…</w:t>
      </w:r>
      <w:r w:rsidR="004D10FD" w:rsidRPr="002A7D9E">
        <w:rPr>
          <w:rFonts w:ascii="Times New Roman" w:hAnsi="Times New Roman" w:cs="Times New Roman"/>
        </w:rPr>
        <w:t>if</w:t>
      </w:r>
      <w:r w:rsidR="003921F3" w:rsidRPr="002A7D9E">
        <w:rPr>
          <w:rFonts w:ascii="Times New Roman" w:hAnsi="Times New Roman" w:cs="Times New Roman"/>
        </w:rPr>
        <w:t xml:space="preserve"> </w:t>
      </w:r>
      <w:r w:rsidR="001F464D" w:rsidRPr="002A7D9E">
        <w:rPr>
          <w:rFonts w:ascii="Times New Roman" w:hAnsi="Times New Roman" w:cs="Times New Roman"/>
        </w:rPr>
        <w:t>a</w:t>
      </w:r>
      <w:r w:rsidR="003921F3" w:rsidRPr="002A7D9E">
        <w:rPr>
          <w:rFonts w:ascii="Times New Roman" w:hAnsi="Times New Roman" w:cs="Times New Roman"/>
        </w:rPr>
        <w:t xml:space="preserve"> </w:t>
      </w:r>
      <w:r w:rsidR="004D10FD" w:rsidRPr="002A7D9E">
        <w:rPr>
          <w:rFonts w:ascii="Times New Roman" w:hAnsi="Times New Roman" w:cs="Times New Roman"/>
        </w:rPr>
        <w:t>Member State</w:t>
      </w:r>
      <w:r w:rsidR="003921F3" w:rsidRPr="002A7D9E">
        <w:rPr>
          <w:rFonts w:ascii="Times New Roman" w:hAnsi="Times New Roman" w:cs="Times New Roman"/>
        </w:rPr>
        <w:t xml:space="preserve"> wants to go in the same direction</w:t>
      </w:r>
      <w:r w:rsidR="001F464D" w:rsidRPr="002A7D9E">
        <w:rPr>
          <w:rFonts w:ascii="Times New Roman" w:hAnsi="Times New Roman" w:cs="Times New Roman"/>
        </w:rPr>
        <w:t xml:space="preserve"> [as another Member State]</w:t>
      </w:r>
      <w:r w:rsidR="003921F3" w:rsidRPr="002A7D9E">
        <w:rPr>
          <w:rFonts w:ascii="Times New Roman" w:hAnsi="Times New Roman" w:cs="Times New Roman"/>
        </w:rPr>
        <w:t xml:space="preserve">, they don’t have to go through all of the steps, there is less trial and error, because </w:t>
      </w:r>
      <w:r w:rsidR="004D10FD" w:rsidRPr="002A7D9E">
        <w:rPr>
          <w:rFonts w:ascii="Times New Roman" w:hAnsi="Times New Roman" w:cs="Times New Roman"/>
        </w:rPr>
        <w:t>[…]</w:t>
      </w:r>
      <w:r w:rsidR="003921F3" w:rsidRPr="002A7D9E">
        <w:rPr>
          <w:rFonts w:ascii="Times New Roman" w:hAnsi="Times New Roman" w:cs="Times New Roman"/>
        </w:rPr>
        <w:t xml:space="preserve"> they can see the entire procedure: how it works, what are the things that didn’t work, the benefits, assessment, evaluation</w:t>
      </w:r>
      <w:r w:rsidR="004D10FD" w:rsidRPr="002A7D9E">
        <w:rPr>
          <w:rFonts w:ascii="Times New Roman" w:hAnsi="Times New Roman" w:cs="Times New Roman"/>
        </w:rPr>
        <w:t xml:space="preserve">. […] </w:t>
      </w:r>
      <w:r w:rsidRPr="002A7D9E">
        <w:rPr>
          <w:rFonts w:ascii="Times New Roman" w:hAnsi="Times New Roman" w:cs="Times New Roman"/>
        </w:rPr>
        <w:t xml:space="preserve">This whole mechanism </w:t>
      </w:r>
      <w:r w:rsidR="003921F3" w:rsidRPr="002A7D9E">
        <w:rPr>
          <w:rFonts w:ascii="Times New Roman" w:hAnsi="Times New Roman" w:cs="Times New Roman"/>
        </w:rPr>
        <w:t>is to speed up procedures or developments</w:t>
      </w:r>
      <w:r w:rsidR="004D10FD" w:rsidRPr="002A7D9E">
        <w:rPr>
          <w:rFonts w:ascii="Times New Roman" w:hAnsi="Times New Roman" w:cs="Times New Roman"/>
          <w:bCs/>
        </w:rPr>
        <w:t xml:space="preserve"> (interview, May 2014).</w:t>
      </w:r>
    </w:p>
    <w:p w:rsidR="000C0D52" w:rsidRPr="002A7D9E" w:rsidRDefault="000C0D52" w:rsidP="001A3121">
      <w:pPr>
        <w:spacing w:after="0" w:line="480" w:lineRule="auto"/>
        <w:rPr>
          <w:rFonts w:ascii="Times New Roman" w:hAnsi="Times New Roman" w:cs="Times New Roman"/>
          <w:sz w:val="24"/>
          <w:szCs w:val="24"/>
        </w:rPr>
      </w:pPr>
    </w:p>
    <w:p w:rsidR="008F68EC" w:rsidRPr="002A7D9E" w:rsidRDefault="00A0495B" w:rsidP="001A3121">
      <w:pPr>
        <w:spacing w:after="0" w:line="480" w:lineRule="auto"/>
        <w:rPr>
          <w:rFonts w:ascii="Times New Roman" w:hAnsi="Times New Roman" w:cs="Times New Roman"/>
          <w:bCs/>
          <w:sz w:val="24"/>
          <w:szCs w:val="24"/>
        </w:rPr>
      </w:pPr>
      <w:r w:rsidRPr="002A7D9E">
        <w:rPr>
          <w:rFonts w:ascii="Times New Roman" w:hAnsi="Times New Roman" w:cs="Times New Roman"/>
          <w:sz w:val="24"/>
          <w:szCs w:val="24"/>
        </w:rPr>
        <w:lastRenderedPageBreak/>
        <w:t>From the interviews carried out with participants in the OMC groups</w:t>
      </w:r>
      <w:r w:rsidR="00991557" w:rsidRPr="002A7D9E">
        <w:rPr>
          <w:rFonts w:ascii="Times New Roman" w:hAnsi="Times New Roman" w:cs="Times New Roman"/>
          <w:sz w:val="24"/>
          <w:szCs w:val="24"/>
        </w:rPr>
        <w:t xml:space="preserve">, several </w:t>
      </w:r>
      <w:r w:rsidR="00251EF1" w:rsidRPr="002A7D9E">
        <w:rPr>
          <w:rFonts w:ascii="Times New Roman" w:hAnsi="Times New Roman" w:cs="Times New Roman"/>
          <w:sz w:val="24"/>
          <w:szCs w:val="24"/>
        </w:rPr>
        <w:t>themes</w:t>
      </w:r>
      <w:r w:rsidR="00991557" w:rsidRPr="002A7D9E">
        <w:rPr>
          <w:rFonts w:ascii="Times New Roman" w:hAnsi="Times New Roman" w:cs="Times New Roman"/>
          <w:sz w:val="24"/>
          <w:szCs w:val="24"/>
        </w:rPr>
        <w:t xml:space="preserve"> </w:t>
      </w:r>
      <w:proofErr w:type="gramStart"/>
      <w:r w:rsidR="00991557" w:rsidRPr="002A7D9E">
        <w:rPr>
          <w:rFonts w:ascii="Times New Roman" w:hAnsi="Times New Roman" w:cs="Times New Roman"/>
          <w:sz w:val="24"/>
          <w:szCs w:val="24"/>
        </w:rPr>
        <w:t>were raised</w:t>
      </w:r>
      <w:proofErr w:type="gramEnd"/>
      <w:r w:rsidR="00991557" w:rsidRPr="002A7D9E">
        <w:rPr>
          <w:rFonts w:ascii="Times New Roman" w:hAnsi="Times New Roman" w:cs="Times New Roman"/>
          <w:sz w:val="24"/>
          <w:szCs w:val="24"/>
        </w:rPr>
        <w:t xml:space="preserve"> about the </w:t>
      </w:r>
      <w:r w:rsidR="009B4121" w:rsidRPr="002A7D9E">
        <w:rPr>
          <w:rFonts w:ascii="Times New Roman" w:hAnsi="Times New Roman" w:cs="Times New Roman"/>
          <w:sz w:val="24"/>
          <w:szCs w:val="24"/>
        </w:rPr>
        <w:t>effectiveness</w:t>
      </w:r>
      <w:r w:rsidR="00991557" w:rsidRPr="002A7D9E">
        <w:rPr>
          <w:rFonts w:ascii="Times New Roman" w:hAnsi="Times New Roman" w:cs="Times New Roman"/>
          <w:sz w:val="24"/>
          <w:szCs w:val="24"/>
        </w:rPr>
        <w:t xml:space="preserve"> of best practices</w:t>
      </w:r>
      <w:r w:rsidR="00414F89" w:rsidRPr="002A7D9E">
        <w:rPr>
          <w:rFonts w:ascii="Times New Roman" w:hAnsi="Times New Roman" w:cs="Times New Roman"/>
          <w:sz w:val="24"/>
          <w:szCs w:val="24"/>
        </w:rPr>
        <w:t>, reflecting that t</w:t>
      </w:r>
      <w:r w:rsidR="004A4CAF" w:rsidRPr="002A7D9E">
        <w:rPr>
          <w:rFonts w:ascii="Times New Roman" w:hAnsi="Times New Roman" w:cs="Times New Roman"/>
          <w:sz w:val="24"/>
          <w:szCs w:val="24"/>
        </w:rPr>
        <w:t xml:space="preserve">heir use varies widely. Some experts gave examples of how they were using them in their own professional practice. One expert, </w:t>
      </w:r>
      <w:proofErr w:type="gramStart"/>
      <w:r w:rsidR="004A4CAF" w:rsidRPr="002A7D9E">
        <w:rPr>
          <w:rFonts w:ascii="Times New Roman" w:hAnsi="Times New Roman" w:cs="Times New Roman"/>
          <w:sz w:val="24"/>
          <w:szCs w:val="24"/>
        </w:rPr>
        <w:t>a director of a cultural in</w:t>
      </w:r>
      <w:r w:rsidR="00414F89" w:rsidRPr="002A7D9E">
        <w:rPr>
          <w:rFonts w:ascii="Times New Roman" w:hAnsi="Times New Roman" w:cs="Times New Roman"/>
          <w:sz w:val="24"/>
          <w:szCs w:val="24"/>
        </w:rPr>
        <w:t>stitution, said that her organiz</w:t>
      </w:r>
      <w:r w:rsidR="004A4CAF" w:rsidRPr="002A7D9E">
        <w:rPr>
          <w:rFonts w:ascii="Times New Roman" w:hAnsi="Times New Roman" w:cs="Times New Roman"/>
          <w:sz w:val="24"/>
          <w:szCs w:val="24"/>
        </w:rPr>
        <w:t>ation was in the process of writing a handbook on their</w:t>
      </w:r>
      <w:proofErr w:type="gramEnd"/>
      <w:r w:rsidR="004A4CAF" w:rsidRPr="002A7D9E">
        <w:rPr>
          <w:rFonts w:ascii="Times New Roman" w:hAnsi="Times New Roman" w:cs="Times New Roman"/>
          <w:sz w:val="24"/>
          <w:szCs w:val="24"/>
        </w:rPr>
        <w:t xml:space="preserve"> own practices and that she was using and referring to the OMC report as it was being written (Salma, interview, July 2014). Others said that although the reports might not have much impact in the immediate aftermath of the groups, one could see a trend that more and more of the OMC reports </w:t>
      </w:r>
      <w:proofErr w:type="gramStart"/>
      <w:r w:rsidR="004A4CAF" w:rsidRPr="002A7D9E">
        <w:rPr>
          <w:rFonts w:ascii="Times New Roman" w:hAnsi="Times New Roman" w:cs="Times New Roman"/>
          <w:sz w:val="24"/>
          <w:szCs w:val="24"/>
        </w:rPr>
        <w:t>are being referred</w:t>
      </w:r>
      <w:proofErr w:type="gramEnd"/>
      <w:r w:rsidR="004A4CAF" w:rsidRPr="002A7D9E">
        <w:rPr>
          <w:rFonts w:ascii="Times New Roman" w:hAnsi="Times New Roman" w:cs="Times New Roman"/>
          <w:sz w:val="24"/>
          <w:szCs w:val="24"/>
        </w:rPr>
        <w:t xml:space="preserve"> to in other </w:t>
      </w:r>
      <w:r w:rsidR="00602D46" w:rsidRPr="002A7D9E">
        <w:rPr>
          <w:rFonts w:ascii="Times New Roman" w:hAnsi="Times New Roman" w:cs="Times New Roman"/>
          <w:sz w:val="24"/>
          <w:szCs w:val="24"/>
        </w:rPr>
        <w:t xml:space="preserve">domestic </w:t>
      </w:r>
      <w:r w:rsidR="004A4CAF" w:rsidRPr="002A7D9E">
        <w:rPr>
          <w:rFonts w:ascii="Times New Roman" w:hAnsi="Times New Roman" w:cs="Times New Roman"/>
          <w:sz w:val="24"/>
          <w:szCs w:val="24"/>
        </w:rPr>
        <w:t xml:space="preserve">policy documents. </w:t>
      </w:r>
      <w:proofErr w:type="gramStart"/>
      <w:r w:rsidR="006C2B23" w:rsidRPr="002A7D9E">
        <w:rPr>
          <w:rFonts w:ascii="Times New Roman" w:hAnsi="Times New Roman" w:cs="Times New Roman"/>
          <w:sz w:val="24"/>
          <w:szCs w:val="24"/>
        </w:rPr>
        <w:t>O</w:t>
      </w:r>
      <w:r w:rsidR="00991557" w:rsidRPr="002A7D9E">
        <w:rPr>
          <w:rFonts w:ascii="Times New Roman" w:hAnsi="Times New Roman" w:cs="Times New Roman"/>
          <w:bCs/>
          <w:sz w:val="24"/>
          <w:szCs w:val="24"/>
        </w:rPr>
        <w:t>verall</w:t>
      </w:r>
      <w:proofErr w:type="gramEnd"/>
      <w:r w:rsidR="00991557" w:rsidRPr="002A7D9E">
        <w:rPr>
          <w:rFonts w:ascii="Times New Roman" w:hAnsi="Times New Roman" w:cs="Times New Roman"/>
          <w:bCs/>
          <w:sz w:val="24"/>
          <w:szCs w:val="24"/>
        </w:rPr>
        <w:t xml:space="preserve"> the consensus was that while they were useful in some cases, </w:t>
      </w:r>
      <w:r w:rsidR="00CF042F" w:rsidRPr="002A7D9E">
        <w:rPr>
          <w:rFonts w:ascii="Times New Roman" w:hAnsi="Times New Roman" w:cs="Times New Roman"/>
          <w:bCs/>
          <w:sz w:val="24"/>
          <w:szCs w:val="24"/>
        </w:rPr>
        <w:t>best practices</w:t>
      </w:r>
      <w:r w:rsidR="007707EE" w:rsidRPr="002A7D9E">
        <w:rPr>
          <w:rFonts w:ascii="Times New Roman" w:hAnsi="Times New Roman" w:cs="Times New Roman"/>
          <w:bCs/>
          <w:sz w:val="24"/>
          <w:szCs w:val="24"/>
        </w:rPr>
        <w:t xml:space="preserve"> also</w:t>
      </w:r>
      <w:r w:rsidR="00CF042F" w:rsidRPr="002A7D9E">
        <w:rPr>
          <w:rFonts w:ascii="Times New Roman" w:hAnsi="Times New Roman" w:cs="Times New Roman"/>
          <w:bCs/>
          <w:sz w:val="24"/>
          <w:szCs w:val="24"/>
        </w:rPr>
        <w:t xml:space="preserve"> raise </w:t>
      </w:r>
      <w:r w:rsidR="00991557" w:rsidRPr="002A7D9E">
        <w:rPr>
          <w:rFonts w:ascii="Times New Roman" w:hAnsi="Times New Roman" w:cs="Times New Roman"/>
          <w:bCs/>
          <w:sz w:val="24"/>
          <w:szCs w:val="24"/>
        </w:rPr>
        <w:t>conceptual</w:t>
      </w:r>
      <w:r w:rsidRPr="002A7D9E">
        <w:rPr>
          <w:rFonts w:ascii="Times New Roman" w:hAnsi="Times New Roman" w:cs="Times New Roman"/>
          <w:bCs/>
          <w:sz w:val="24"/>
          <w:szCs w:val="24"/>
        </w:rPr>
        <w:t xml:space="preserve"> and practical</w:t>
      </w:r>
      <w:r w:rsidR="00251EF1" w:rsidRPr="002A7D9E">
        <w:rPr>
          <w:rFonts w:ascii="Times New Roman" w:hAnsi="Times New Roman" w:cs="Times New Roman"/>
          <w:bCs/>
          <w:sz w:val="24"/>
          <w:szCs w:val="24"/>
        </w:rPr>
        <w:t xml:space="preserve"> </w:t>
      </w:r>
      <w:r w:rsidR="00EA591B" w:rsidRPr="002A7D9E">
        <w:rPr>
          <w:rFonts w:ascii="Times New Roman" w:hAnsi="Times New Roman" w:cs="Times New Roman"/>
          <w:bCs/>
          <w:sz w:val="24"/>
          <w:szCs w:val="24"/>
        </w:rPr>
        <w:t>challenges</w:t>
      </w:r>
      <w:r w:rsidR="004A4CAF" w:rsidRPr="002A7D9E">
        <w:rPr>
          <w:rFonts w:ascii="Times New Roman" w:hAnsi="Times New Roman" w:cs="Times New Roman"/>
          <w:bCs/>
          <w:sz w:val="24"/>
          <w:szCs w:val="24"/>
        </w:rPr>
        <w:t xml:space="preserve">. </w:t>
      </w:r>
      <w:r w:rsidRPr="002A7D9E">
        <w:rPr>
          <w:rFonts w:ascii="Times New Roman" w:hAnsi="Times New Roman" w:cs="Times New Roman"/>
          <w:bCs/>
          <w:sz w:val="24"/>
          <w:szCs w:val="24"/>
        </w:rPr>
        <w:t xml:space="preserve">Below, I discuss </w:t>
      </w:r>
      <w:r w:rsidR="006C2B23" w:rsidRPr="002A7D9E">
        <w:rPr>
          <w:rFonts w:ascii="Times New Roman" w:hAnsi="Times New Roman" w:cs="Times New Roman"/>
          <w:bCs/>
          <w:sz w:val="24"/>
          <w:szCs w:val="24"/>
        </w:rPr>
        <w:t xml:space="preserve">four </w:t>
      </w:r>
      <w:r w:rsidR="00794F1F" w:rsidRPr="002A7D9E">
        <w:rPr>
          <w:rFonts w:ascii="Times New Roman" w:hAnsi="Times New Roman" w:cs="Times New Roman"/>
          <w:bCs/>
          <w:sz w:val="24"/>
          <w:szCs w:val="24"/>
        </w:rPr>
        <w:t xml:space="preserve">main </w:t>
      </w:r>
      <w:r w:rsidR="006C2B23" w:rsidRPr="002A7D9E">
        <w:rPr>
          <w:rFonts w:ascii="Times New Roman" w:hAnsi="Times New Roman" w:cs="Times New Roman"/>
          <w:bCs/>
          <w:sz w:val="24"/>
          <w:szCs w:val="24"/>
        </w:rPr>
        <w:t xml:space="preserve">themes </w:t>
      </w:r>
      <w:r w:rsidR="00685AD8" w:rsidRPr="002A7D9E">
        <w:rPr>
          <w:rFonts w:ascii="Times New Roman" w:hAnsi="Times New Roman" w:cs="Times New Roman"/>
          <w:bCs/>
          <w:sz w:val="24"/>
          <w:szCs w:val="24"/>
        </w:rPr>
        <w:t>that emerged throughout my fieldwork</w:t>
      </w:r>
      <w:r w:rsidRPr="002A7D9E">
        <w:rPr>
          <w:rFonts w:ascii="Times New Roman" w:hAnsi="Times New Roman" w:cs="Times New Roman"/>
          <w:bCs/>
          <w:sz w:val="24"/>
          <w:szCs w:val="24"/>
        </w:rPr>
        <w:t xml:space="preserve">, </w:t>
      </w:r>
      <w:r w:rsidR="006C2B23" w:rsidRPr="002A7D9E">
        <w:rPr>
          <w:rFonts w:ascii="Times New Roman" w:hAnsi="Times New Roman" w:cs="Times New Roman"/>
          <w:bCs/>
          <w:sz w:val="24"/>
          <w:szCs w:val="24"/>
        </w:rPr>
        <w:t xml:space="preserve">relating to </w:t>
      </w:r>
      <w:r w:rsidR="00B82288" w:rsidRPr="002A7D9E">
        <w:rPr>
          <w:rFonts w:ascii="Times New Roman" w:hAnsi="Times New Roman" w:cs="Times New Roman"/>
          <w:bCs/>
          <w:sz w:val="24"/>
          <w:szCs w:val="24"/>
        </w:rPr>
        <w:t xml:space="preserve">target audiences, </w:t>
      </w:r>
      <w:proofErr w:type="spellStart"/>
      <w:r w:rsidR="00B82288" w:rsidRPr="002A7D9E">
        <w:rPr>
          <w:rFonts w:ascii="Times New Roman" w:hAnsi="Times New Roman" w:cs="Times New Roman"/>
          <w:bCs/>
          <w:sz w:val="24"/>
          <w:szCs w:val="24"/>
        </w:rPr>
        <w:t>decontextualization</w:t>
      </w:r>
      <w:proofErr w:type="spellEnd"/>
      <w:r w:rsidR="00B82288" w:rsidRPr="002A7D9E">
        <w:rPr>
          <w:rFonts w:ascii="Times New Roman" w:hAnsi="Times New Roman" w:cs="Times New Roman"/>
          <w:bCs/>
          <w:sz w:val="24"/>
          <w:szCs w:val="24"/>
        </w:rPr>
        <w:t>, representativeness, and lack of critical analysis</w:t>
      </w:r>
      <w:r w:rsidRPr="002A7D9E">
        <w:rPr>
          <w:rFonts w:ascii="Times New Roman" w:hAnsi="Times New Roman" w:cs="Times New Roman"/>
          <w:bCs/>
          <w:sz w:val="24"/>
          <w:szCs w:val="24"/>
        </w:rPr>
        <w:t>.</w:t>
      </w:r>
      <w:r w:rsidR="006C2B23" w:rsidRPr="002A7D9E">
        <w:rPr>
          <w:rFonts w:ascii="Times New Roman" w:hAnsi="Times New Roman" w:cs="Times New Roman"/>
          <w:bCs/>
          <w:sz w:val="24"/>
          <w:szCs w:val="24"/>
        </w:rPr>
        <w:t xml:space="preserve"> These </w:t>
      </w:r>
      <w:proofErr w:type="gramStart"/>
      <w:r w:rsidR="006C2B23" w:rsidRPr="002A7D9E">
        <w:rPr>
          <w:rFonts w:ascii="Times New Roman" w:hAnsi="Times New Roman" w:cs="Times New Roman"/>
          <w:bCs/>
          <w:sz w:val="24"/>
          <w:szCs w:val="24"/>
        </w:rPr>
        <w:t>are discussed</w:t>
      </w:r>
      <w:proofErr w:type="gramEnd"/>
      <w:r w:rsidR="006C2B23" w:rsidRPr="002A7D9E">
        <w:rPr>
          <w:rFonts w:ascii="Times New Roman" w:hAnsi="Times New Roman" w:cs="Times New Roman"/>
          <w:bCs/>
          <w:sz w:val="24"/>
          <w:szCs w:val="24"/>
        </w:rPr>
        <w:t xml:space="preserve"> in reference to the case study groups I </w:t>
      </w:r>
      <w:r w:rsidR="000E1405" w:rsidRPr="002A7D9E">
        <w:rPr>
          <w:rFonts w:ascii="Times New Roman" w:hAnsi="Times New Roman" w:cs="Times New Roman"/>
          <w:bCs/>
          <w:sz w:val="24"/>
          <w:szCs w:val="24"/>
        </w:rPr>
        <w:t>researched</w:t>
      </w:r>
      <w:r w:rsidR="006C2B23" w:rsidRPr="002A7D9E">
        <w:rPr>
          <w:rFonts w:ascii="Times New Roman" w:hAnsi="Times New Roman" w:cs="Times New Roman"/>
          <w:bCs/>
          <w:sz w:val="24"/>
          <w:szCs w:val="24"/>
        </w:rPr>
        <w:t>.</w:t>
      </w:r>
    </w:p>
    <w:p w:rsidR="00991557" w:rsidRPr="002A7D9E" w:rsidRDefault="00991557" w:rsidP="001A3121">
      <w:pPr>
        <w:spacing w:after="0" w:line="480" w:lineRule="auto"/>
        <w:rPr>
          <w:rFonts w:ascii="Times New Roman" w:hAnsi="Times New Roman" w:cs="Times New Roman"/>
          <w:sz w:val="24"/>
          <w:szCs w:val="24"/>
        </w:rPr>
      </w:pPr>
    </w:p>
    <w:p w:rsidR="008F68EC" w:rsidRPr="002A7D9E" w:rsidRDefault="008F68EC" w:rsidP="001A3121">
      <w:pPr>
        <w:spacing w:after="0" w:line="480" w:lineRule="auto"/>
        <w:rPr>
          <w:rFonts w:ascii="Times New Roman" w:hAnsi="Times New Roman" w:cs="Times New Roman"/>
          <w:b/>
          <w:i/>
          <w:sz w:val="24"/>
          <w:szCs w:val="24"/>
        </w:rPr>
      </w:pPr>
      <w:r w:rsidRPr="002A7D9E">
        <w:rPr>
          <w:rFonts w:ascii="Times New Roman" w:hAnsi="Times New Roman" w:cs="Times New Roman"/>
          <w:b/>
          <w:i/>
          <w:sz w:val="24"/>
          <w:szCs w:val="24"/>
        </w:rPr>
        <w:t>Target audiences</w:t>
      </w:r>
    </w:p>
    <w:p w:rsidR="00097873" w:rsidRPr="002A7D9E" w:rsidRDefault="00005234"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A </w:t>
      </w:r>
      <w:r w:rsidR="00C52299" w:rsidRPr="002A7D9E">
        <w:rPr>
          <w:rFonts w:ascii="Times New Roman" w:hAnsi="Times New Roman" w:cs="Times New Roman"/>
          <w:sz w:val="24"/>
          <w:szCs w:val="24"/>
        </w:rPr>
        <w:t xml:space="preserve">fundamental question concerning best practices is who the practices </w:t>
      </w:r>
      <w:proofErr w:type="gramStart"/>
      <w:r w:rsidR="00C52299" w:rsidRPr="002A7D9E">
        <w:rPr>
          <w:rFonts w:ascii="Times New Roman" w:hAnsi="Times New Roman" w:cs="Times New Roman"/>
          <w:sz w:val="24"/>
          <w:szCs w:val="24"/>
        </w:rPr>
        <w:t>are aimed at</w:t>
      </w:r>
      <w:proofErr w:type="gramEnd"/>
      <w:r w:rsidR="00C52299" w:rsidRPr="002A7D9E">
        <w:rPr>
          <w:rFonts w:ascii="Times New Roman" w:hAnsi="Times New Roman" w:cs="Times New Roman"/>
          <w:sz w:val="24"/>
          <w:szCs w:val="24"/>
        </w:rPr>
        <w:t>.</w:t>
      </w:r>
      <w:r w:rsidRPr="002A7D9E">
        <w:rPr>
          <w:rFonts w:ascii="Times New Roman" w:hAnsi="Times New Roman" w:cs="Times New Roman"/>
          <w:sz w:val="24"/>
          <w:szCs w:val="24"/>
        </w:rPr>
        <w:t xml:space="preserve"> </w:t>
      </w:r>
      <w:r w:rsidR="00F04A5B" w:rsidRPr="002A7D9E">
        <w:rPr>
          <w:rFonts w:ascii="Times New Roman" w:hAnsi="Times New Roman" w:cs="Times New Roman"/>
          <w:sz w:val="24"/>
          <w:szCs w:val="24"/>
        </w:rPr>
        <w:t>In this case, s</w:t>
      </w:r>
      <w:r w:rsidR="008F68EC" w:rsidRPr="002A7D9E">
        <w:rPr>
          <w:rFonts w:ascii="Times New Roman" w:hAnsi="Times New Roman" w:cs="Times New Roman"/>
          <w:sz w:val="24"/>
          <w:szCs w:val="24"/>
        </w:rPr>
        <w:t xml:space="preserve">ince </w:t>
      </w:r>
      <w:r w:rsidR="00961C5F" w:rsidRPr="002A7D9E">
        <w:rPr>
          <w:rFonts w:ascii="Times New Roman" w:hAnsi="Times New Roman" w:cs="Times New Roman"/>
          <w:sz w:val="24"/>
          <w:szCs w:val="24"/>
        </w:rPr>
        <w:t xml:space="preserve">a central theme of the OMC is to inform national policy-making, and the </w:t>
      </w:r>
      <w:r w:rsidR="00FB6275" w:rsidRPr="002A7D9E">
        <w:rPr>
          <w:rFonts w:ascii="Times New Roman" w:hAnsi="Times New Roman" w:cs="Times New Roman"/>
          <w:sz w:val="24"/>
          <w:szCs w:val="24"/>
        </w:rPr>
        <w:t>Work Plan</w:t>
      </w:r>
      <w:r w:rsidR="00961C5F" w:rsidRPr="002A7D9E">
        <w:rPr>
          <w:rFonts w:ascii="Times New Roman" w:hAnsi="Times New Roman" w:cs="Times New Roman"/>
          <w:sz w:val="24"/>
          <w:szCs w:val="24"/>
        </w:rPr>
        <w:t xml:space="preserve"> state</w:t>
      </w:r>
      <w:r w:rsidR="00FB6275" w:rsidRPr="002A7D9E">
        <w:rPr>
          <w:rFonts w:ascii="Times New Roman" w:hAnsi="Times New Roman" w:cs="Times New Roman"/>
          <w:sz w:val="24"/>
          <w:szCs w:val="24"/>
        </w:rPr>
        <w:t>s</w:t>
      </w:r>
      <w:r w:rsidR="00961C5F" w:rsidRPr="002A7D9E">
        <w:rPr>
          <w:rFonts w:ascii="Times New Roman" w:hAnsi="Times New Roman" w:cs="Times New Roman"/>
          <w:sz w:val="24"/>
          <w:szCs w:val="24"/>
        </w:rPr>
        <w:t xml:space="preserve"> that</w:t>
      </w:r>
      <w:r w:rsidR="008F68EC" w:rsidRPr="002A7D9E">
        <w:rPr>
          <w:rFonts w:ascii="Times New Roman" w:hAnsi="Times New Roman" w:cs="Times New Roman"/>
          <w:sz w:val="24"/>
          <w:szCs w:val="24"/>
        </w:rPr>
        <w:t xml:space="preserve"> experts</w:t>
      </w:r>
      <w:r w:rsidR="00961C5F" w:rsidRPr="002A7D9E">
        <w:rPr>
          <w:rFonts w:ascii="Times New Roman" w:hAnsi="Times New Roman" w:cs="Times New Roman"/>
          <w:sz w:val="24"/>
          <w:szCs w:val="24"/>
        </w:rPr>
        <w:t xml:space="preserve"> should have clear communication channels to national authorities</w:t>
      </w:r>
      <w:r w:rsidR="006C2B23" w:rsidRPr="002A7D9E">
        <w:rPr>
          <w:rFonts w:ascii="Times New Roman" w:hAnsi="Times New Roman" w:cs="Times New Roman"/>
          <w:sz w:val="24"/>
          <w:szCs w:val="24"/>
        </w:rPr>
        <w:t xml:space="preserve"> (</w:t>
      </w:r>
      <w:r w:rsidR="00FB6275" w:rsidRPr="002A7D9E">
        <w:rPr>
          <w:rFonts w:ascii="Times New Roman" w:hAnsi="Times New Roman" w:cs="Times New Roman"/>
          <w:sz w:val="24"/>
          <w:szCs w:val="24"/>
        </w:rPr>
        <w:t>Council of the European Union 2010, 22</w:t>
      </w:r>
      <w:r w:rsidR="006C2B23" w:rsidRPr="002A7D9E">
        <w:rPr>
          <w:rFonts w:ascii="Times New Roman" w:hAnsi="Times New Roman" w:cs="Times New Roman"/>
          <w:sz w:val="24"/>
          <w:szCs w:val="24"/>
        </w:rPr>
        <w:t>)</w:t>
      </w:r>
      <w:r w:rsidR="008F68EC" w:rsidRPr="002A7D9E">
        <w:rPr>
          <w:rFonts w:ascii="Times New Roman" w:hAnsi="Times New Roman" w:cs="Times New Roman"/>
          <w:sz w:val="24"/>
          <w:szCs w:val="24"/>
        </w:rPr>
        <w:t>, it is logical to assume that the</w:t>
      </w:r>
      <w:r w:rsidR="00097873" w:rsidRPr="002A7D9E">
        <w:rPr>
          <w:rFonts w:ascii="Times New Roman" w:hAnsi="Times New Roman" w:cs="Times New Roman"/>
          <w:sz w:val="24"/>
          <w:szCs w:val="24"/>
        </w:rPr>
        <w:t xml:space="preserve">y are </w:t>
      </w:r>
      <w:r w:rsidR="008F68EC" w:rsidRPr="002A7D9E">
        <w:rPr>
          <w:rFonts w:ascii="Times New Roman" w:hAnsi="Times New Roman" w:cs="Times New Roman"/>
          <w:sz w:val="24"/>
          <w:szCs w:val="24"/>
        </w:rPr>
        <w:t xml:space="preserve">targeted at policy-makers. However, </w:t>
      </w:r>
      <w:r w:rsidR="00097873" w:rsidRPr="002A7D9E">
        <w:rPr>
          <w:rFonts w:ascii="Times New Roman" w:hAnsi="Times New Roman" w:cs="Times New Roman"/>
          <w:sz w:val="24"/>
          <w:szCs w:val="24"/>
        </w:rPr>
        <w:t xml:space="preserve">the practices </w:t>
      </w:r>
      <w:r w:rsidR="003831CA" w:rsidRPr="002A7D9E">
        <w:rPr>
          <w:rFonts w:ascii="Times New Roman" w:hAnsi="Times New Roman" w:cs="Times New Roman"/>
          <w:sz w:val="24"/>
          <w:szCs w:val="24"/>
        </w:rPr>
        <w:t>are</w:t>
      </w:r>
      <w:r w:rsidR="008F68EC" w:rsidRPr="002A7D9E">
        <w:rPr>
          <w:rFonts w:ascii="Times New Roman" w:hAnsi="Times New Roman" w:cs="Times New Roman"/>
          <w:sz w:val="24"/>
          <w:szCs w:val="24"/>
        </w:rPr>
        <w:t xml:space="preserve"> wide-ranging</w:t>
      </w:r>
      <w:r w:rsidR="003D3195" w:rsidRPr="002A7D9E">
        <w:rPr>
          <w:rFonts w:ascii="Times New Roman" w:hAnsi="Times New Roman" w:cs="Times New Roman"/>
          <w:sz w:val="24"/>
          <w:szCs w:val="24"/>
        </w:rPr>
        <w:t xml:space="preserve">, and </w:t>
      </w:r>
      <w:proofErr w:type="gramStart"/>
      <w:r w:rsidR="003D3195" w:rsidRPr="002A7D9E">
        <w:rPr>
          <w:rFonts w:ascii="Times New Roman" w:hAnsi="Times New Roman" w:cs="Times New Roman"/>
          <w:sz w:val="24"/>
          <w:szCs w:val="24"/>
        </w:rPr>
        <w:t>are also</w:t>
      </w:r>
      <w:proofErr w:type="gramEnd"/>
      <w:r w:rsidR="003D3195" w:rsidRPr="002A7D9E">
        <w:rPr>
          <w:rFonts w:ascii="Times New Roman" w:hAnsi="Times New Roman" w:cs="Times New Roman"/>
          <w:sz w:val="24"/>
          <w:szCs w:val="24"/>
        </w:rPr>
        <w:t xml:space="preserve"> targeted at cultural </w:t>
      </w:r>
      <w:r w:rsidR="003D3195" w:rsidRPr="002A7D9E">
        <w:rPr>
          <w:rFonts w:ascii="Times New Roman" w:hAnsi="Times New Roman" w:cs="Times New Roman"/>
          <w:sz w:val="24"/>
          <w:szCs w:val="24"/>
        </w:rPr>
        <w:lastRenderedPageBreak/>
        <w:t>practitioners:</w:t>
      </w:r>
      <w:r w:rsidR="008F68EC" w:rsidRPr="002A7D9E">
        <w:rPr>
          <w:rFonts w:ascii="Times New Roman" w:hAnsi="Times New Roman" w:cs="Times New Roman"/>
          <w:sz w:val="24"/>
          <w:szCs w:val="24"/>
        </w:rPr>
        <w:t xml:space="preserve"> some are from arts and cultural institutions, some are Member State-wide policies, </w:t>
      </w:r>
      <w:r w:rsidR="008963D4" w:rsidRPr="002A7D9E">
        <w:rPr>
          <w:rFonts w:ascii="Times New Roman" w:hAnsi="Times New Roman" w:cs="Times New Roman"/>
          <w:sz w:val="24"/>
          <w:szCs w:val="24"/>
        </w:rPr>
        <w:t>and some are a combination.</w:t>
      </w:r>
      <w:r w:rsidR="008F68EC" w:rsidRPr="002A7D9E">
        <w:rPr>
          <w:rFonts w:ascii="Times New Roman" w:hAnsi="Times New Roman" w:cs="Times New Roman"/>
          <w:sz w:val="24"/>
          <w:szCs w:val="24"/>
        </w:rPr>
        <w:t xml:space="preserve"> </w:t>
      </w:r>
      <w:r w:rsidR="00097873" w:rsidRPr="002A7D9E">
        <w:rPr>
          <w:rFonts w:ascii="Times New Roman" w:hAnsi="Times New Roman" w:cs="Times New Roman"/>
          <w:sz w:val="24"/>
          <w:szCs w:val="24"/>
        </w:rPr>
        <w:t>There ar</w:t>
      </w:r>
      <w:r w:rsidR="00D510E0" w:rsidRPr="002A7D9E">
        <w:rPr>
          <w:rFonts w:ascii="Times New Roman" w:hAnsi="Times New Roman" w:cs="Times New Roman"/>
          <w:sz w:val="24"/>
          <w:szCs w:val="24"/>
        </w:rPr>
        <w:t>e numerous challenges for this “one size fits all”</w:t>
      </w:r>
      <w:r w:rsidR="00097873" w:rsidRPr="002A7D9E">
        <w:rPr>
          <w:rFonts w:ascii="Times New Roman" w:hAnsi="Times New Roman" w:cs="Times New Roman"/>
          <w:sz w:val="24"/>
          <w:szCs w:val="24"/>
        </w:rPr>
        <w:t xml:space="preserve"> approach</w:t>
      </w:r>
      <w:r w:rsidR="00EE5838" w:rsidRPr="002A7D9E">
        <w:rPr>
          <w:rFonts w:ascii="Times New Roman" w:hAnsi="Times New Roman" w:cs="Times New Roman"/>
          <w:sz w:val="24"/>
          <w:szCs w:val="24"/>
        </w:rPr>
        <w:t xml:space="preserve">, as </w:t>
      </w:r>
      <w:r w:rsidR="00D510E0" w:rsidRPr="002A7D9E">
        <w:rPr>
          <w:rFonts w:ascii="Times New Roman" w:hAnsi="Times New Roman" w:cs="Times New Roman"/>
          <w:sz w:val="24"/>
          <w:szCs w:val="24"/>
        </w:rPr>
        <w:t>‘</w:t>
      </w:r>
      <w:r w:rsidR="00097873" w:rsidRPr="002A7D9E">
        <w:rPr>
          <w:rFonts w:ascii="Times New Roman" w:hAnsi="Times New Roman" w:cs="Times New Roman"/>
          <w:sz w:val="24"/>
          <w:szCs w:val="24"/>
        </w:rPr>
        <w:t>it’s a very hard task to address both [policy makers and cultural practitioners] equally</w:t>
      </w:r>
      <w:r w:rsidR="009D1825" w:rsidRPr="002A7D9E">
        <w:rPr>
          <w:rFonts w:ascii="Times New Roman" w:hAnsi="Times New Roman" w:cs="Times New Roman"/>
          <w:sz w:val="24"/>
          <w:szCs w:val="24"/>
        </w:rPr>
        <w:t>’</w:t>
      </w:r>
      <w:r w:rsidR="00097873" w:rsidRPr="002A7D9E">
        <w:rPr>
          <w:rFonts w:ascii="Times New Roman" w:hAnsi="Times New Roman" w:cs="Times New Roman"/>
          <w:sz w:val="24"/>
          <w:szCs w:val="24"/>
        </w:rPr>
        <w:t xml:space="preserve"> (</w:t>
      </w:r>
      <w:proofErr w:type="spellStart"/>
      <w:r w:rsidR="00097873" w:rsidRPr="002A7D9E">
        <w:rPr>
          <w:rFonts w:ascii="Times New Roman" w:hAnsi="Times New Roman" w:cs="Times New Roman"/>
          <w:sz w:val="24"/>
          <w:szCs w:val="24"/>
        </w:rPr>
        <w:t>Luise</w:t>
      </w:r>
      <w:proofErr w:type="spellEnd"/>
      <w:r w:rsidR="00097873" w:rsidRPr="002A7D9E">
        <w:rPr>
          <w:rFonts w:ascii="Times New Roman" w:hAnsi="Times New Roman" w:cs="Times New Roman"/>
          <w:sz w:val="24"/>
          <w:szCs w:val="24"/>
        </w:rPr>
        <w:t>,</w:t>
      </w:r>
      <w:r w:rsidR="003B63A0" w:rsidRPr="002A7D9E">
        <w:rPr>
          <w:rFonts w:ascii="Times New Roman" w:hAnsi="Times New Roman" w:cs="Times New Roman"/>
          <w:sz w:val="24"/>
          <w:szCs w:val="24"/>
        </w:rPr>
        <w:t xml:space="preserve"> expert, interview, June 2014). </w:t>
      </w:r>
      <w:r w:rsidR="00097873" w:rsidRPr="002A7D9E">
        <w:rPr>
          <w:rFonts w:ascii="Times New Roman" w:hAnsi="Times New Roman" w:cs="Times New Roman"/>
          <w:sz w:val="24"/>
          <w:szCs w:val="24"/>
        </w:rPr>
        <w:t>The two groups have different, although often o</w:t>
      </w:r>
      <w:r w:rsidR="0089539C" w:rsidRPr="002A7D9E">
        <w:rPr>
          <w:rFonts w:ascii="Times New Roman" w:hAnsi="Times New Roman" w:cs="Times New Roman"/>
          <w:sz w:val="24"/>
          <w:szCs w:val="24"/>
        </w:rPr>
        <w:t xml:space="preserve">verlapping, challenges. For best practices </w:t>
      </w:r>
      <w:r w:rsidR="00097873" w:rsidRPr="002A7D9E">
        <w:rPr>
          <w:rFonts w:ascii="Times New Roman" w:hAnsi="Times New Roman" w:cs="Times New Roman"/>
          <w:sz w:val="24"/>
          <w:szCs w:val="24"/>
        </w:rPr>
        <w:t xml:space="preserve">to be of use to policy-makers (whether national or sub-national), </w:t>
      </w:r>
      <w:r w:rsidR="0089539C" w:rsidRPr="002A7D9E">
        <w:rPr>
          <w:rFonts w:ascii="Times New Roman" w:hAnsi="Times New Roman" w:cs="Times New Roman"/>
          <w:sz w:val="24"/>
          <w:szCs w:val="24"/>
        </w:rPr>
        <w:t>they need</w:t>
      </w:r>
      <w:r w:rsidR="00097873" w:rsidRPr="002A7D9E">
        <w:rPr>
          <w:rFonts w:ascii="Times New Roman" w:hAnsi="Times New Roman" w:cs="Times New Roman"/>
          <w:sz w:val="24"/>
          <w:szCs w:val="24"/>
        </w:rPr>
        <w:t xml:space="preserve"> to go beyond examples of good practice from cultural institutions an</w:t>
      </w:r>
      <w:r w:rsidR="009D1825" w:rsidRPr="002A7D9E">
        <w:rPr>
          <w:rFonts w:ascii="Times New Roman" w:hAnsi="Times New Roman" w:cs="Times New Roman"/>
          <w:sz w:val="24"/>
          <w:szCs w:val="24"/>
        </w:rPr>
        <w:t>d look a</w:t>
      </w:r>
      <w:r w:rsidR="000E1405" w:rsidRPr="002A7D9E">
        <w:rPr>
          <w:rFonts w:ascii="Times New Roman" w:hAnsi="Times New Roman" w:cs="Times New Roman"/>
          <w:sz w:val="24"/>
          <w:szCs w:val="24"/>
        </w:rPr>
        <w:t>t</w:t>
      </w:r>
      <w:r w:rsidR="009D1825" w:rsidRPr="002A7D9E">
        <w:rPr>
          <w:rFonts w:ascii="Times New Roman" w:hAnsi="Times New Roman" w:cs="Times New Roman"/>
          <w:sz w:val="24"/>
          <w:szCs w:val="24"/>
        </w:rPr>
        <w:t xml:space="preserve">, as one expert </w:t>
      </w:r>
      <w:r w:rsidR="00EC6BA9" w:rsidRPr="002A7D9E">
        <w:rPr>
          <w:rFonts w:ascii="Times New Roman" w:hAnsi="Times New Roman" w:cs="Times New Roman"/>
          <w:sz w:val="24"/>
          <w:szCs w:val="24"/>
        </w:rPr>
        <w:t>put it</w:t>
      </w:r>
      <w:r w:rsidR="009D1825" w:rsidRPr="002A7D9E">
        <w:rPr>
          <w:rFonts w:ascii="Times New Roman" w:hAnsi="Times New Roman" w:cs="Times New Roman"/>
          <w:sz w:val="24"/>
          <w:szCs w:val="24"/>
        </w:rPr>
        <w:t>, ‘</w:t>
      </w:r>
      <w:r w:rsidR="00097873" w:rsidRPr="002A7D9E">
        <w:rPr>
          <w:rFonts w:ascii="Times New Roman" w:hAnsi="Times New Roman" w:cs="Times New Roman"/>
          <w:sz w:val="24"/>
          <w:szCs w:val="24"/>
        </w:rPr>
        <w:t>which policies were the base [of the good practices]</w:t>
      </w:r>
      <w:r w:rsidR="009D1825" w:rsidRPr="002A7D9E">
        <w:rPr>
          <w:rFonts w:ascii="Times New Roman" w:hAnsi="Times New Roman" w:cs="Times New Roman"/>
          <w:sz w:val="24"/>
          <w:szCs w:val="24"/>
        </w:rPr>
        <w:t>’</w:t>
      </w:r>
      <w:r w:rsidR="00097873" w:rsidRPr="002A7D9E">
        <w:rPr>
          <w:rFonts w:ascii="Times New Roman" w:hAnsi="Times New Roman" w:cs="Times New Roman"/>
          <w:sz w:val="24"/>
          <w:szCs w:val="24"/>
        </w:rPr>
        <w:t xml:space="preserve"> (</w:t>
      </w:r>
      <w:proofErr w:type="spellStart"/>
      <w:r w:rsidR="00097873" w:rsidRPr="002A7D9E">
        <w:rPr>
          <w:rFonts w:ascii="Times New Roman" w:hAnsi="Times New Roman" w:cs="Times New Roman"/>
          <w:sz w:val="24"/>
          <w:szCs w:val="24"/>
        </w:rPr>
        <w:t>Wasil</w:t>
      </w:r>
      <w:proofErr w:type="spellEnd"/>
      <w:r w:rsidR="00097873" w:rsidRPr="002A7D9E">
        <w:rPr>
          <w:rFonts w:ascii="Times New Roman" w:hAnsi="Times New Roman" w:cs="Times New Roman"/>
          <w:sz w:val="24"/>
          <w:szCs w:val="24"/>
        </w:rPr>
        <w:t xml:space="preserve">, interview, October 2014). </w:t>
      </w:r>
      <w:r w:rsidR="00A42BB7" w:rsidRPr="002A7D9E">
        <w:rPr>
          <w:rFonts w:ascii="Times New Roman" w:hAnsi="Times New Roman" w:cs="Times New Roman"/>
          <w:sz w:val="24"/>
          <w:szCs w:val="24"/>
        </w:rPr>
        <w:t>F</w:t>
      </w:r>
      <w:r w:rsidR="008716CC" w:rsidRPr="002A7D9E">
        <w:rPr>
          <w:rFonts w:ascii="Times New Roman" w:hAnsi="Times New Roman" w:cs="Times New Roman"/>
          <w:sz w:val="24"/>
          <w:szCs w:val="24"/>
        </w:rPr>
        <w:t>or</w:t>
      </w:r>
      <w:r w:rsidR="00097873" w:rsidRPr="002A7D9E">
        <w:rPr>
          <w:rFonts w:ascii="Times New Roman" w:hAnsi="Times New Roman" w:cs="Times New Roman"/>
          <w:sz w:val="24"/>
          <w:szCs w:val="24"/>
        </w:rPr>
        <w:t xml:space="preserve"> cultural institutions, </w:t>
      </w:r>
      <w:r w:rsidR="008716CC" w:rsidRPr="002A7D9E">
        <w:rPr>
          <w:rFonts w:ascii="Times New Roman" w:hAnsi="Times New Roman" w:cs="Times New Roman"/>
          <w:sz w:val="24"/>
          <w:szCs w:val="24"/>
        </w:rPr>
        <w:t xml:space="preserve">examples </w:t>
      </w:r>
      <w:r w:rsidR="00D93AAD" w:rsidRPr="002A7D9E">
        <w:rPr>
          <w:rFonts w:ascii="Times New Roman" w:hAnsi="Times New Roman" w:cs="Times New Roman"/>
          <w:sz w:val="24"/>
          <w:szCs w:val="24"/>
        </w:rPr>
        <w:t>need to</w:t>
      </w:r>
      <w:r w:rsidR="008716CC" w:rsidRPr="002A7D9E">
        <w:rPr>
          <w:rFonts w:ascii="Times New Roman" w:hAnsi="Times New Roman" w:cs="Times New Roman"/>
          <w:sz w:val="24"/>
          <w:szCs w:val="24"/>
        </w:rPr>
        <w:t xml:space="preserve"> include as much </w:t>
      </w:r>
      <w:r w:rsidR="00D93AAD" w:rsidRPr="002A7D9E">
        <w:rPr>
          <w:rFonts w:ascii="Times New Roman" w:hAnsi="Times New Roman" w:cs="Times New Roman"/>
          <w:sz w:val="24"/>
          <w:szCs w:val="24"/>
        </w:rPr>
        <w:t>practical information</w:t>
      </w:r>
      <w:r w:rsidR="008716CC" w:rsidRPr="002A7D9E">
        <w:rPr>
          <w:rFonts w:ascii="Times New Roman" w:hAnsi="Times New Roman" w:cs="Times New Roman"/>
          <w:sz w:val="24"/>
          <w:szCs w:val="24"/>
        </w:rPr>
        <w:t xml:space="preserve"> as possible in order to </w:t>
      </w:r>
      <w:r w:rsidR="00D93AAD" w:rsidRPr="002A7D9E">
        <w:rPr>
          <w:rFonts w:ascii="Times New Roman" w:hAnsi="Times New Roman" w:cs="Times New Roman"/>
          <w:sz w:val="24"/>
          <w:szCs w:val="24"/>
        </w:rPr>
        <w:t>increase the likelihood of implementation elsewhere.</w:t>
      </w:r>
    </w:p>
    <w:p w:rsidR="008F68EC" w:rsidRPr="002A7D9E" w:rsidRDefault="008F68EC" w:rsidP="001A3121">
      <w:pPr>
        <w:spacing w:after="0" w:line="480" w:lineRule="auto"/>
        <w:rPr>
          <w:rFonts w:ascii="Times New Roman" w:hAnsi="Times New Roman" w:cs="Times New Roman"/>
          <w:sz w:val="24"/>
          <w:szCs w:val="24"/>
        </w:rPr>
      </w:pPr>
    </w:p>
    <w:p w:rsidR="006C1960" w:rsidRPr="002A7D9E" w:rsidRDefault="006C1960" w:rsidP="001A3121">
      <w:pPr>
        <w:spacing w:after="0" w:line="480" w:lineRule="auto"/>
        <w:rPr>
          <w:rFonts w:ascii="Times New Roman" w:hAnsi="Times New Roman" w:cs="Times New Roman"/>
          <w:b/>
          <w:i/>
          <w:sz w:val="24"/>
          <w:szCs w:val="24"/>
        </w:rPr>
      </w:pPr>
      <w:proofErr w:type="spellStart"/>
      <w:r w:rsidRPr="002A7D9E">
        <w:rPr>
          <w:rFonts w:ascii="Times New Roman" w:hAnsi="Times New Roman" w:cs="Times New Roman"/>
          <w:b/>
          <w:i/>
          <w:sz w:val="24"/>
          <w:szCs w:val="24"/>
        </w:rPr>
        <w:t>Decontextualization</w:t>
      </w:r>
      <w:proofErr w:type="spellEnd"/>
    </w:p>
    <w:p w:rsidR="00E555FE" w:rsidRPr="002A7D9E" w:rsidRDefault="00E555FE" w:rsidP="001A3121">
      <w:pPr>
        <w:spacing w:after="0" w:line="480" w:lineRule="auto"/>
        <w:rPr>
          <w:rFonts w:ascii="Times New Roman" w:eastAsia="Batang" w:hAnsi="Times New Roman" w:cs="Times New Roman"/>
          <w:sz w:val="24"/>
          <w:szCs w:val="24"/>
        </w:rPr>
      </w:pPr>
      <w:r w:rsidRPr="002A7D9E">
        <w:rPr>
          <w:rFonts w:ascii="Times New Roman" w:hAnsi="Times New Roman" w:cs="Times New Roman"/>
          <w:sz w:val="24"/>
          <w:szCs w:val="24"/>
        </w:rPr>
        <w:t xml:space="preserve">Although the information from the Commission indicates that the groups should identify policies </w:t>
      </w:r>
      <w:r w:rsidRPr="002A7D9E">
        <w:rPr>
          <w:rFonts w:ascii="Times New Roman" w:hAnsi="Times New Roman" w:cs="Times New Roman"/>
          <w:i/>
          <w:sz w:val="24"/>
          <w:szCs w:val="24"/>
        </w:rPr>
        <w:t>and</w:t>
      </w:r>
      <w:r w:rsidRPr="002A7D9E">
        <w:rPr>
          <w:rFonts w:ascii="Times New Roman" w:hAnsi="Times New Roman" w:cs="Times New Roman"/>
          <w:sz w:val="24"/>
          <w:szCs w:val="24"/>
        </w:rPr>
        <w:t xml:space="preserve"> good practices, it is not clear how this division </w:t>
      </w:r>
      <w:proofErr w:type="gramStart"/>
      <w:r w:rsidRPr="002A7D9E">
        <w:rPr>
          <w:rFonts w:ascii="Times New Roman" w:hAnsi="Times New Roman" w:cs="Times New Roman"/>
          <w:sz w:val="24"/>
          <w:szCs w:val="24"/>
        </w:rPr>
        <w:t>is meant</w:t>
      </w:r>
      <w:proofErr w:type="gramEnd"/>
      <w:r w:rsidRPr="002A7D9E">
        <w:rPr>
          <w:rFonts w:ascii="Times New Roman" w:hAnsi="Times New Roman" w:cs="Times New Roman"/>
          <w:sz w:val="24"/>
          <w:szCs w:val="24"/>
        </w:rPr>
        <w:t xml:space="preserve"> to work in practice. </w:t>
      </w:r>
      <w:r w:rsidR="0009476A" w:rsidRPr="002A7D9E">
        <w:rPr>
          <w:rFonts w:ascii="Times New Roman" w:hAnsi="Times New Roman" w:cs="Times New Roman"/>
          <w:sz w:val="24"/>
          <w:szCs w:val="24"/>
        </w:rPr>
        <w:t>One expert described how this was a conflict from the beginning: ‘</w:t>
      </w:r>
      <w:r w:rsidR="002337F5" w:rsidRPr="002A7D9E">
        <w:rPr>
          <w:rFonts w:ascii="Times New Roman" w:hAnsi="Times New Roman" w:cs="Times New Roman"/>
          <w:sz w:val="24"/>
          <w:szCs w:val="24"/>
        </w:rPr>
        <w:t>[w]</w:t>
      </w:r>
      <w:r w:rsidR="0009476A" w:rsidRPr="002A7D9E">
        <w:rPr>
          <w:rFonts w:ascii="Times New Roman" w:eastAsia="Batang" w:hAnsi="Times New Roman" w:cs="Times New Roman"/>
          <w:sz w:val="24"/>
          <w:szCs w:val="24"/>
        </w:rPr>
        <w:t xml:space="preserve">e were discussing so many different things. [Some were] insisting to focus on policy, but there was a rejection … to focus on best practices. You could immediately see there was a conflict’ </w:t>
      </w:r>
      <w:r w:rsidR="003921F3" w:rsidRPr="002A7D9E">
        <w:rPr>
          <w:rFonts w:ascii="Times New Roman" w:eastAsia="Batang" w:hAnsi="Times New Roman" w:cs="Times New Roman"/>
          <w:sz w:val="24"/>
          <w:szCs w:val="24"/>
        </w:rPr>
        <w:t>(</w:t>
      </w:r>
      <w:proofErr w:type="spellStart"/>
      <w:r w:rsidR="003921F3" w:rsidRPr="002A7D9E">
        <w:rPr>
          <w:rFonts w:ascii="Times New Roman" w:eastAsia="Batang" w:hAnsi="Times New Roman" w:cs="Times New Roman"/>
          <w:sz w:val="24"/>
          <w:szCs w:val="24"/>
        </w:rPr>
        <w:t>Timo</w:t>
      </w:r>
      <w:proofErr w:type="spellEnd"/>
      <w:r w:rsidR="003921F3" w:rsidRPr="002A7D9E">
        <w:rPr>
          <w:rFonts w:ascii="Times New Roman" w:eastAsia="Batang" w:hAnsi="Times New Roman" w:cs="Times New Roman"/>
          <w:sz w:val="24"/>
          <w:szCs w:val="24"/>
        </w:rPr>
        <w:t xml:space="preserve">, expert, </w:t>
      </w:r>
      <w:r w:rsidR="003E6FE0" w:rsidRPr="002A7D9E">
        <w:rPr>
          <w:rFonts w:ascii="Times New Roman" w:eastAsia="Batang" w:hAnsi="Times New Roman" w:cs="Times New Roman"/>
          <w:sz w:val="24"/>
          <w:szCs w:val="24"/>
        </w:rPr>
        <w:t>interview, September 2014)</w:t>
      </w:r>
      <w:r w:rsidR="003921F3" w:rsidRPr="002A7D9E">
        <w:rPr>
          <w:rFonts w:ascii="Times New Roman" w:eastAsia="Batang" w:hAnsi="Times New Roman" w:cs="Times New Roman"/>
          <w:sz w:val="24"/>
          <w:szCs w:val="24"/>
        </w:rPr>
        <w:t>.</w:t>
      </w:r>
      <w:r w:rsidR="00F43848" w:rsidRPr="002A7D9E">
        <w:rPr>
          <w:rFonts w:ascii="Times New Roman" w:eastAsia="Batang" w:hAnsi="Times New Roman" w:cs="Times New Roman"/>
          <w:sz w:val="24"/>
          <w:szCs w:val="24"/>
        </w:rPr>
        <w:t xml:space="preserve"> </w:t>
      </w:r>
      <w:r w:rsidRPr="002A7D9E">
        <w:rPr>
          <w:rFonts w:ascii="Times New Roman" w:hAnsi="Times New Roman" w:cs="Times New Roman"/>
          <w:sz w:val="24"/>
          <w:szCs w:val="24"/>
        </w:rPr>
        <w:t xml:space="preserve">Nils, </w:t>
      </w:r>
      <w:r w:rsidR="00F43848" w:rsidRPr="002A7D9E">
        <w:rPr>
          <w:rFonts w:ascii="Times New Roman" w:hAnsi="Times New Roman" w:cs="Times New Roman"/>
          <w:sz w:val="24"/>
          <w:szCs w:val="24"/>
        </w:rPr>
        <w:t>another</w:t>
      </w:r>
      <w:r w:rsidRPr="002A7D9E">
        <w:rPr>
          <w:rFonts w:ascii="Times New Roman" w:hAnsi="Times New Roman" w:cs="Times New Roman"/>
          <w:sz w:val="24"/>
          <w:szCs w:val="24"/>
        </w:rPr>
        <w:t xml:space="preserve"> expert, summari</w:t>
      </w:r>
      <w:r w:rsidR="002337F5" w:rsidRPr="002A7D9E">
        <w:rPr>
          <w:rFonts w:ascii="Times New Roman" w:hAnsi="Times New Roman" w:cs="Times New Roman"/>
          <w:sz w:val="24"/>
          <w:szCs w:val="24"/>
        </w:rPr>
        <w:t>z</w:t>
      </w:r>
      <w:r w:rsidRPr="002A7D9E">
        <w:rPr>
          <w:rFonts w:ascii="Times New Roman" w:hAnsi="Times New Roman" w:cs="Times New Roman"/>
          <w:sz w:val="24"/>
          <w:szCs w:val="24"/>
        </w:rPr>
        <w:t>ed</w:t>
      </w:r>
      <w:r w:rsidR="002337F5" w:rsidRPr="002A7D9E">
        <w:rPr>
          <w:rFonts w:ascii="Times New Roman" w:hAnsi="Times New Roman" w:cs="Times New Roman"/>
          <w:sz w:val="24"/>
          <w:szCs w:val="24"/>
        </w:rPr>
        <w:t xml:space="preserve"> the concerns about </w:t>
      </w:r>
      <w:proofErr w:type="spellStart"/>
      <w:r w:rsidR="002337F5" w:rsidRPr="002A7D9E">
        <w:rPr>
          <w:rFonts w:ascii="Times New Roman" w:hAnsi="Times New Roman" w:cs="Times New Roman"/>
          <w:sz w:val="24"/>
          <w:szCs w:val="24"/>
        </w:rPr>
        <w:t>decontextualization</w:t>
      </w:r>
      <w:proofErr w:type="spellEnd"/>
      <w:r w:rsidRPr="002A7D9E">
        <w:rPr>
          <w:rFonts w:ascii="Times New Roman" w:hAnsi="Times New Roman" w:cs="Times New Roman"/>
          <w:sz w:val="24"/>
          <w:szCs w:val="24"/>
        </w:rPr>
        <w:t xml:space="preserve"> when he asked,</w:t>
      </w:r>
    </w:p>
    <w:p w:rsidR="00E555FE" w:rsidRPr="002A7D9E" w:rsidRDefault="00E555FE" w:rsidP="001A3121">
      <w:pPr>
        <w:pStyle w:val="ListParagraph"/>
        <w:spacing w:after="0" w:line="480" w:lineRule="auto"/>
        <w:rPr>
          <w:rFonts w:ascii="Times New Roman" w:hAnsi="Times New Roman" w:cs="Times New Roman"/>
        </w:rPr>
      </w:pPr>
      <w:r w:rsidRPr="002A7D9E">
        <w:rPr>
          <w:rFonts w:ascii="Times New Roman" w:hAnsi="Times New Roman" w:cs="Times New Roman"/>
        </w:rPr>
        <w:lastRenderedPageBreak/>
        <w:t xml:space="preserve">… </w:t>
      </w:r>
      <w:proofErr w:type="gramStart"/>
      <w:r w:rsidRPr="002A7D9E">
        <w:rPr>
          <w:rFonts w:ascii="Times New Roman" w:hAnsi="Times New Roman" w:cs="Times New Roman"/>
          <w:bCs/>
        </w:rPr>
        <w:t>how</w:t>
      </w:r>
      <w:proofErr w:type="gramEnd"/>
      <w:r w:rsidRPr="002A7D9E">
        <w:rPr>
          <w:rFonts w:ascii="Times New Roman" w:hAnsi="Times New Roman" w:cs="Times New Roman"/>
          <w:bCs/>
        </w:rPr>
        <w:t xml:space="preserve"> can we make good practices useful for other people? </w:t>
      </w:r>
      <w:r w:rsidRPr="002A7D9E">
        <w:rPr>
          <w:rFonts w:ascii="Times New Roman" w:hAnsi="Times New Roman" w:cs="Times New Roman"/>
        </w:rPr>
        <w:t xml:space="preserve">How should we describe them in a way </w:t>
      </w:r>
      <w:proofErr w:type="gramStart"/>
      <w:r w:rsidRPr="002A7D9E">
        <w:rPr>
          <w:rFonts w:ascii="Times New Roman" w:hAnsi="Times New Roman" w:cs="Times New Roman"/>
        </w:rPr>
        <w:t>that’s</w:t>
      </w:r>
      <w:proofErr w:type="gramEnd"/>
      <w:r w:rsidRPr="002A7D9E">
        <w:rPr>
          <w:rFonts w:ascii="Times New Roman" w:hAnsi="Times New Roman" w:cs="Times New Roman"/>
        </w:rPr>
        <w:t xml:space="preserve"> not a</w:t>
      </w:r>
      <w:r w:rsidR="009D3FF5" w:rsidRPr="002A7D9E">
        <w:rPr>
          <w:rFonts w:ascii="Times New Roman" w:hAnsi="Times New Roman" w:cs="Times New Roman"/>
        </w:rPr>
        <w:t>bout a “situation”</w:t>
      </w:r>
      <w:r w:rsidRPr="002A7D9E">
        <w:rPr>
          <w:rFonts w:ascii="Times New Roman" w:hAnsi="Times New Roman" w:cs="Times New Roman"/>
        </w:rPr>
        <w:t xml:space="preserve"> but about [policy] mechanisms? We </w:t>
      </w:r>
      <w:proofErr w:type="gramStart"/>
      <w:r w:rsidRPr="002A7D9E">
        <w:rPr>
          <w:rFonts w:ascii="Times New Roman" w:hAnsi="Times New Roman" w:cs="Times New Roman"/>
        </w:rPr>
        <w:t>aren’t</w:t>
      </w:r>
      <w:proofErr w:type="gramEnd"/>
      <w:r w:rsidRPr="002A7D9E">
        <w:rPr>
          <w:rFonts w:ascii="Times New Roman" w:hAnsi="Times New Roman" w:cs="Times New Roman"/>
        </w:rPr>
        <w:t xml:space="preserve"> aware enough to analyse what is going on, and then take a situation [in another country] and adapt it as our own. […</w:t>
      </w:r>
      <w:r w:rsidR="00C57514" w:rsidRPr="002A7D9E">
        <w:rPr>
          <w:rFonts w:ascii="Times New Roman" w:hAnsi="Times New Roman" w:cs="Times New Roman"/>
        </w:rPr>
        <w:t>] Just describing is not enough</w:t>
      </w:r>
      <w:r w:rsidRPr="002A7D9E">
        <w:rPr>
          <w:rFonts w:ascii="Times New Roman" w:hAnsi="Times New Roman" w:cs="Times New Roman"/>
          <w:i/>
        </w:rPr>
        <w:t xml:space="preserve"> </w:t>
      </w:r>
      <w:r w:rsidRPr="002A7D9E">
        <w:rPr>
          <w:rFonts w:ascii="Times New Roman" w:hAnsi="Times New Roman" w:cs="Times New Roman"/>
        </w:rPr>
        <w:t>(interview, June 2014).</w:t>
      </w:r>
    </w:p>
    <w:p w:rsidR="00EC6BA9" w:rsidRPr="002A7D9E" w:rsidRDefault="00EC6BA9"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What </w:t>
      </w:r>
      <w:proofErr w:type="spellStart"/>
      <w:r w:rsidR="00A973DA" w:rsidRPr="002A7D9E">
        <w:rPr>
          <w:rFonts w:ascii="Times New Roman" w:hAnsi="Times New Roman" w:cs="Times New Roman"/>
          <w:sz w:val="24"/>
          <w:szCs w:val="24"/>
        </w:rPr>
        <w:t>Timo</w:t>
      </w:r>
      <w:proofErr w:type="spellEnd"/>
      <w:r w:rsidRPr="002A7D9E">
        <w:rPr>
          <w:rFonts w:ascii="Times New Roman" w:hAnsi="Times New Roman" w:cs="Times New Roman"/>
          <w:sz w:val="24"/>
          <w:szCs w:val="24"/>
        </w:rPr>
        <w:t xml:space="preserve"> is referring to is the need to more deeply contextualise what Richard Rose </w:t>
      </w:r>
      <w:r w:rsidR="00AB33A8" w:rsidRPr="002A7D9E">
        <w:rPr>
          <w:rFonts w:ascii="Times New Roman" w:hAnsi="Times New Roman" w:cs="Times New Roman"/>
          <w:sz w:val="24"/>
          <w:szCs w:val="24"/>
        </w:rPr>
        <w:t xml:space="preserve">(2005) </w:t>
      </w:r>
      <w:r w:rsidRPr="002A7D9E">
        <w:rPr>
          <w:rFonts w:ascii="Times New Roman" w:hAnsi="Times New Roman" w:cs="Times New Roman"/>
          <w:sz w:val="24"/>
          <w:szCs w:val="24"/>
        </w:rPr>
        <w:t xml:space="preserve">calls </w:t>
      </w:r>
      <w:r w:rsidR="00AB33A8" w:rsidRPr="002A7D9E">
        <w:rPr>
          <w:rFonts w:ascii="Times New Roman" w:hAnsi="Times New Roman" w:cs="Times New Roman"/>
          <w:sz w:val="24"/>
          <w:szCs w:val="24"/>
        </w:rPr>
        <w:t>models (see more on this below)</w:t>
      </w:r>
      <w:r w:rsidRPr="002A7D9E">
        <w:rPr>
          <w:rFonts w:ascii="Times New Roman" w:hAnsi="Times New Roman" w:cs="Times New Roman"/>
          <w:sz w:val="24"/>
          <w:szCs w:val="24"/>
        </w:rPr>
        <w:t xml:space="preserve">: it is </w:t>
      </w:r>
      <w:proofErr w:type="gramStart"/>
      <w:r w:rsidRPr="002A7D9E">
        <w:rPr>
          <w:rFonts w:ascii="Times New Roman" w:hAnsi="Times New Roman" w:cs="Times New Roman"/>
          <w:sz w:val="24"/>
          <w:szCs w:val="24"/>
        </w:rPr>
        <w:t xml:space="preserve">not only about </w:t>
      </w:r>
      <w:r w:rsidRPr="002A7D9E">
        <w:rPr>
          <w:rFonts w:ascii="Times New Roman" w:hAnsi="Times New Roman" w:cs="Times New Roman"/>
          <w:i/>
          <w:sz w:val="24"/>
          <w:szCs w:val="24"/>
        </w:rPr>
        <w:t>what</w:t>
      </w:r>
      <w:r w:rsidRPr="002A7D9E">
        <w:rPr>
          <w:rFonts w:ascii="Times New Roman" w:hAnsi="Times New Roman" w:cs="Times New Roman"/>
          <w:sz w:val="24"/>
          <w:szCs w:val="24"/>
        </w:rPr>
        <w:t xml:space="preserve"> public administrations or cultural</w:t>
      </w:r>
      <w:proofErr w:type="gramEnd"/>
      <w:r w:rsidRPr="002A7D9E">
        <w:rPr>
          <w:rFonts w:ascii="Times New Roman" w:hAnsi="Times New Roman" w:cs="Times New Roman"/>
          <w:sz w:val="24"/>
          <w:szCs w:val="24"/>
        </w:rPr>
        <w:t xml:space="preserve"> institutions do, but </w:t>
      </w:r>
      <w:r w:rsidRPr="002A7D9E">
        <w:rPr>
          <w:rFonts w:ascii="Times New Roman" w:hAnsi="Times New Roman" w:cs="Times New Roman"/>
          <w:i/>
          <w:sz w:val="24"/>
          <w:szCs w:val="24"/>
        </w:rPr>
        <w:t>how</w:t>
      </w:r>
      <w:r w:rsidRPr="002A7D9E">
        <w:rPr>
          <w:rFonts w:ascii="Times New Roman" w:hAnsi="Times New Roman" w:cs="Times New Roman"/>
          <w:sz w:val="24"/>
          <w:szCs w:val="24"/>
        </w:rPr>
        <w:t>.</w:t>
      </w:r>
      <w:r w:rsidR="00BF4AF7" w:rsidRPr="002A7D9E">
        <w:rPr>
          <w:rFonts w:ascii="Times New Roman" w:hAnsi="Times New Roman" w:cs="Times New Roman"/>
          <w:sz w:val="24"/>
          <w:szCs w:val="24"/>
        </w:rPr>
        <w:t xml:space="preserve"> In his view, simply describing an event or programme is not enough.</w:t>
      </w:r>
    </w:p>
    <w:p w:rsidR="00EC6BA9" w:rsidRPr="002A7D9E" w:rsidRDefault="00EC6BA9" w:rsidP="001A3121">
      <w:pPr>
        <w:autoSpaceDE w:val="0"/>
        <w:autoSpaceDN w:val="0"/>
        <w:adjustRightInd w:val="0"/>
        <w:spacing w:after="0" w:line="480" w:lineRule="auto"/>
        <w:rPr>
          <w:rFonts w:ascii="Times New Roman" w:hAnsi="Times New Roman" w:cs="Times New Roman"/>
          <w:sz w:val="24"/>
          <w:szCs w:val="24"/>
        </w:rPr>
      </w:pPr>
    </w:p>
    <w:p w:rsidR="006B55F7" w:rsidRPr="002A7D9E" w:rsidRDefault="00E555FE"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Best practices </w:t>
      </w:r>
      <w:r w:rsidR="005109CE" w:rsidRPr="002A7D9E">
        <w:rPr>
          <w:rFonts w:ascii="Times New Roman" w:hAnsi="Times New Roman" w:cs="Times New Roman"/>
          <w:sz w:val="24"/>
          <w:szCs w:val="24"/>
        </w:rPr>
        <w:t xml:space="preserve">examples </w:t>
      </w:r>
      <w:r w:rsidRPr="002A7D9E">
        <w:rPr>
          <w:rFonts w:ascii="Times New Roman" w:hAnsi="Times New Roman" w:cs="Times New Roman"/>
          <w:sz w:val="24"/>
          <w:szCs w:val="24"/>
        </w:rPr>
        <w:t xml:space="preserve">are often </w:t>
      </w:r>
      <w:r w:rsidR="00A42BB7" w:rsidRPr="002A7D9E">
        <w:rPr>
          <w:rFonts w:ascii="Times New Roman" w:hAnsi="Times New Roman" w:cs="Times New Roman"/>
          <w:sz w:val="24"/>
          <w:szCs w:val="24"/>
        </w:rPr>
        <w:t xml:space="preserve">short </w:t>
      </w:r>
      <w:proofErr w:type="gramStart"/>
      <w:r w:rsidR="00A42BB7" w:rsidRPr="002A7D9E">
        <w:rPr>
          <w:rFonts w:ascii="Times New Roman" w:hAnsi="Times New Roman" w:cs="Times New Roman"/>
          <w:sz w:val="24"/>
          <w:szCs w:val="24"/>
        </w:rPr>
        <w:t>descriptions which</w:t>
      </w:r>
      <w:proofErr w:type="gramEnd"/>
      <w:r w:rsidR="00A42BB7" w:rsidRPr="002A7D9E">
        <w:rPr>
          <w:rFonts w:ascii="Times New Roman" w:hAnsi="Times New Roman" w:cs="Times New Roman"/>
          <w:sz w:val="24"/>
          <w:szCs w:val="24"/>
        </w:rPr>
        <w:t xml:space="preserve"> run the risk of being vague and decontextualized</w:t>
      </w:r>
      <w:r w:rsidRPr="002A7D9E">
        <w:rPr>
          <w:rFonts w:ascii="Times New Roman" w:hAnsi="Times New Roman" w:cs="Times New Roman"/>
          <w:sz w:val="24"/>
          <w:szCs w:val="24"/>
        </w:rPr>
        <w:t xml:space="preserve">. </w:t>
      </w:r>
      <w:r w:rsidR="0083325A" w:rsidRPr="002A7D9E">
        <w:rPr>
          <w:rFonts w:ascii="Times New Roman" w:hAnsi="Times New Roman" w:cs="Times New Roman"/>
          <w:sz w:val="24"/>
          <w:szCs w:val="24"/>
        </w:rPr>
        <w:t>To take one example</w:t>
      </w:r>
      <w:r w:rsidR="006B55F7" w:rsidRPr="002A7D9E">
        <w:rPr>
          <w:rFonts w:ascii="Times New Roman" w:hAnsi="Times New Roman" w:cs="Times New Roman"/>
          <w:sz w:val="24"/>
          <w:szCs w:val="24"/>
        </w:rPr>
        <w:t>, in Group 1’s report, a best practice exampl</w:t>
      </w:r>
      <w:r w:rsidR="00683453" w:rsidRPr="002A7D9E">
        <w:rPr>
          <w:rFonts w:ascii="Times New Roman" w:hAnsi="Times New Roman" w:cs="Times New Roman"/>
          <w:sz w:val="24"/>
          <w:szCs w:val="24"/>
        </w:rPr>
        <w:t>e on policy evaluation contains</w:t>
      </w:r>
      <w:r w:rsidR="006B55F7" w:rsidRPr="002A7D9E">
        <w:rPr>
          <w:rFonts w:ascii="Times New Roman" w:hAnsi="Times New Roman" w:cs="Times New Roman"/>
          <w:sz w:val="24"/>
          <w:szCs w:val="24"/>
        </w:rPr>
        <w:t xml:space="preserve"> three sentences on the Louvre Museum’s Studies and Research department, saying that the department ‘conducts surveys and research covering sociology, statistics, the economy and marketing’ (European Union 2012, 103).</w:t>
      </w:r>
      <w:r w:rsidR="0007173E" w:rsidRPr="002A7D9E">
        <w:rPr>
          <w:rFonts w:ascii="Times New Roman" w:hAnsi="Times New Roman" w:cs="Times New Roman"/>
          <w:sz w:val="24"/>
          <w:szCs w:val="24"/>
        </w:rPr>
        <w:t xml:space="preserve"> This is not enough information for any similar institution wanting to implement or change their own research practices.</w:t>
      </w:r>
      <w:r w:rsidR="009A214B" w:rsidRPr="002A7D9E">
        <w:rPr>
          <w:rFonts w:ascii="Times New Roman" w:hAnsi="Times New Roman" w:cs="Times New Roman"/>
          <w:sz w:val="24"/>
          <w:szCs w:val="24"/>
        </w:rPr>
        <w:t xml:space="preserve"> Similarly, </w:t>
      </w:r>
      <w:r w:rsidR="007B1F18" w:rsidRPr="002A7D9E">
        <w:rPr>
          <w:rFonts w:ascii="Times New Roman" w:hAnsi="Times New Roman" w:cs="Times New Roman"/>
          <w:sz w:val="24"/>
          <w:szCs w:val="24"/>
        </w:rPr>
        <w:t>one</w:t>
      </w:r>
      <w:r w:rsidR="009A214B" w:rsidRPr="002A7D9E">
        <w:rPr>
          <w:rFonts w:ascii="Times New Roman" w:hAnsi="Times New Roman" w:cs="Times New Roman"/>
          <w:sz w:val="24"/>
          <w:szCs w:val="24"/>
        </w:rPr>
        <w:t xml:space="preserve"> recommendation for EU policy-makers in Group 3’s report </w:t>
      </w:r>
      <w:r w:rsidR="00683453" w:rsidRPr="002A7D9E">
        <w:rPr>
          <w:rFonts w:ascii="Times New Roman" w:hAnsi="Times New Roman" w:cs="Times New Roman"/>
          <w:sz w:val="24"/>
          <w:szCs w:val="24"/>
        </w:rPr>
        <w:t>is</w:t>
      </w:r>
      <w:r w:rsidR="0083325A" w:rsidRPr="002A7D9E">
        <w:rPr>
          <w:rFonts w:ascii="Times New Roman" w:hAnsi="Times New Roman" w:cs="Times New Roman"/>
          <w:sz w:val="24"/>
          <w:szCs w:val="24"/>
        </w:rPr>
        <w:t xml:space="preserve"> to</w:t>
      </w:r>
      <w:r w:rsidR="007B1F18" w:rsidRPr="002A7D9E">
        <w:rPr>
          <w:rFonts w:ascii="Times New Roman" w:eastAsia="HelveticaNeueCE-Roman" w:hAnsi="Times New Roman" w:cs="Times New Roman"/>
          <w:sz w:val="24"/>
          <w:szCs w:val="24"/>
        </w:rPr>
        <w:t xml:space="preserve"> ‘[s]</w:t>
      </w:r>
      <w:proofErr w:type="spellStart"/>
      <w:r w:rsidR="007B1F18" w:rsidRPr="002A7D9E">
        <w:rPr>
          <w:rFonts w:ascii="Times New Roman" w:hAnsi="Times New Roman" w:cs="Times New Roman"/>
          <w:sz w:val="24"/>
          <w:szCs w:val="24"/>
        </w:rPr>
        <w:t>timulate</w:t>
      </w:r>
      <w:proofErr w:type="spellEnd"/>
      <w:r w:rsidR="007B1F18" w:rsidRPr="002A7D9E">
        <w:rPr>
          <w:rFonts w:ascii="Times New Roman" w:hAnsi="Times New Roman" w:cs="Times New Roman"/>
          <w:sz w:val="24"/>
          <w:szCs w:val="24"/>
        </w:rPr>
        <w:t xml:space="preserve"> cultural participation of all citizens, with specific attention to children, starting from an early age, and to citizens from underprivileged socio-economic backgrounds’ (European Union 2015, </w:t>
      </w:r>
      <w:r w:rsidR="00EB4FA2" w:rsidRPr="002A7D9E">
        <w:rPr>
          <w:rFonts w:ascii="Times New Roman" w:hAnsi="Times New Roman" w:cs="Times New Roman"/>
          <w:sz w:val="24"/>
          <w:szCs w:val="24"/>
        </w:rPr>
        <w:t>68).</w:t>
      </w:r>
      <w:r w:rsidR="0083325A" w:rsidRPr="002A7D9E">
        <w:rPr>
          <w:rFonts w:ascii="Times New Roman" w:eastAsia="HelveticaNeueCE-Roman" w:hAnsi="Times New Roman" w:cs="Times New Roman"/>
          <w:sz w:val="24"/>
          <w:szCs w:val="24"/>
        </w:rPr>
        <w:t xml:space="preserve"> This</w:t>
      </w:r>
      <w:r w:rsidR="00475D9B" w:rsidRPr="002A7D9E">
        <w:rPr>
          <w:rFonts w:ascii="Times New Roman" w:eastAsia="HelveticaNeueCE-Roman" w:hAnsi="Times New Roman" w:cs="Times New Roman"/>
          <w:sz w:val="24"/>
          <w:szCs w:val="24"/>
        </w:rPr>
        <w:t xml:space="preserve"> recommendation</w:t>
      </w:r>
      <w:r w:rsidR="00EB4FA2" w:rsidRPr="002A7D9E">
        <w:rPr>
          <w:rFonts w:ascii="Times New Roman" w:eastAsia="HelveticaNeueCE-Roman" w:hAnsi="Times New Roman" w:cs="Times New Roman"/>
          <w:sz w:val="24"/>
          <w:szCs w:val="24"/>
        </w:rPr>
        <w:t xml:space="preserve">, though </w:t>
      </w:r>
      <w:proofErr w:type="gramStart"/>
      <w:r w:rsidR="00EB4FA2" w:rsidRPr="002A7D9E">
        <w:rPr>
          <w:rFonts w:ascii="Times New Roman" w:eastAsia="HelveticaNeueCE-Roman" w:hAnsi="Times New Roman" w:cs="Times New Roman"/>
          <w:sz w:val="24"/>
          <w:szCs w:val="24"/>
        </w:rPr>
        <w:t>well-meaning</w:t>
      </w:r>
      <w:proofErr w:type="gramEnd"/>
      <w:r w:rsidR="00EB4FA2" w:rsidRPr="002A7D9E">
        <w:rPr>
          <w:rFonts w:ascii="Times New Roman" w:eastAsia="HelveticaNeueCE-Roman" w:hAnsi="Times New Roman" w:cs="Times New Roman"/>
          <w:sz w:val="24"/>
          <w:szCs w:val="24"/>
        </w:rPr>
        <w:t xml:space="preserve">, </w:t>
      </w:r>
      <w:r w:rsidR="0083325A" w:rsidRPr="002A7D9E">
        <w:rPr>
          <w:rFonts w:ascii="Times New Roman" w:eastAsia="HelveticaNeueCE-Roman" w:hAnsi="Times New Roman" w:cs="Times New Roman"/>
          <w:sz w:val="24"/>
          <w:szCs w:val="24"/>
        </w:rPr>
        <w:t>is</w:t>
      </w:r>
      <w:r w:rsidR="00EB4FA2" w:rsidRPr="002A7D9E">
        <w:rPr>
          <w:rFonts w:ascii="Times New Roman" w:eastAsia="HelveticaNeueCE-Roman" w:hAnsi="Times New Roman" w:cs="Times New Roman"/>
          <w:sz w:val="24"/>
          <w:szCs w:val="24"/>
        </w:rPr>
        <w:t xml:space="preserve"> too </w:t>
      </w:r>
      <w:r w:rsidR="00475D9B" w:rsidRPr="002A7D9E">
        <w:rPr>
          <w:rFonts w:ascii="Times New Roman" w:eastAsia="HelveticaNeueCE-Roman" w:hAnsi="Times New Roman" w:cs="Times New Roman"/>
          <w:sz w:val="24"/>
          <w:szCs w:val="24"/>
        </w:rPr>
        <w:t>vague</w:t>
      </w:r>
      <w:r w:rsidR="00EB4FA2" w:rsidRPr="002A7D9E">
        <w:rPr>
          <w:rFonts w:ascii="Times New Roman" w:eastAsia="HelveticaNeueCE-Roman" w:hAnsi="Times New Roman" w:cs="Times New Roman"/>
          <w:sz w:val="24"/>
          <w:szCs w:val="24"/>
        </w:rPr>
        <w:t xml:space="preserve"> to be of </w:t>
      </w:r>
      <w:r w:rsidR="0020194B" w:rsidRPr="002A7D9E">
        <w:rPr>
          <w:rFonts w:ascii="Times New Roman" w:eastAsia="HelveticaNeueCE-Roman" w:hAnsi="Times New Roman" w:cs="Times New Roman"/>
          <w:sz w:val="24"/>
          <w:szCs w:val="24"/>
        </w:rPr>
        <w:t xml:space="preserve">much </w:t>
      </w:r>
      <w:r w:rsidR="00EB4FA2" w:rsidRPr="002A7D9E">
        <w:rPr>
          <w:rFonts w:ascii="Times New Roman" w:eastAsia="HelveticaNeueCE-Roman" w:hAnsi="Times New Roman" w:cs="Times New Roman"/>
          <w:sz w:val="24"/>
          <w:szCs w:val="24"/>
        </w:rPr>
        <w:lastRenderedPageBreak/>
        <w:t>practical use</w:t>
      </w:r>
      <w:r w:rsidR="00EC6C21" w:rsidRPr="002A7D9E">
        <w:rPr>
          <w:rFonts w:ascii="Times New Roman" w:eastAsia="HelveticaNeueCE-Roman" w:hAnsi="Times New Roman" w:cs="Times New Roman"/>
          <w:sz w:val="24"/>
          <w:szCs w:val="24"/>
        </w:rPr>
        <w:t xml:space="preserve"> when it comes to</w:t>
      </w:r>
      <w:r w:rsidR="00EA591B" w:rsidRPr="002A7D9E">
        <w:rPr>
          <w:rFonts w:ascii="Times New Roman" w:eastAsia="HelveticaNeueCE-Roman" w:hAnsi="Times New Roman" w:cs="Times New Roman"/>
          <w:sz w:val="24"/>
          <w:szCs w:val="24"/>
        </w:rPr>
        <w:t xml:space="preserve"> the implement</w:t>
      </w:r>
      <w:r w:rsidR="00C2423E" w:rsidRPr="002A7D9E">
        <w:rPr>
          <w:rFonts w:ascii="Times New Roman" w:eastAsia="HelveticaNeueCE-Roman" w:hAnsi="Times New Roman" w:cs="Times New Roman"/>
          <w:sz w:val="24"/>
          <w:szCs w:val="24"/>
        </w:rPr>
        <w:t>at</w:t>
      </w:r>
      <w:r w:rsidR="00EA591B" w:rsidRPr="002A7D9E">
        <w:rPr>
          <w:rFonts w:ascii="Times New Roman" w:eastAsia="HelveticaNeueCE-Roman" w:hAnsi="Times New Roman" w:cs="Times New Roman"/>
          <w:sz w:val="24"/>
          <w:szCs w:val="24"/>
        </w:rPr>
        <w:t xml:space="preserve">ion of </w:t>
      </w:r>
      <w:r w:rsidR="00EC6C21" w:rsidRPr="002A7D9E">
        <w:rPr>
          <w:rFonts w:ascii="Times New Roman" w:eastAsia="HelveticaNeueCE-Roman" w:hAnsi="Times New Roman" w:cs="Times New Roman"/>
          <w:sz w:val="24"/>
          <w:szCs w:val="24"/>
        </w:rPr>
        <w:t>specific policies or actions.</w:t>
      </w:r>
    </w:p>
    <w:p w:rsidR="006B55F7" w:rsidRPr="002A7D9E" w:rsidRDefault="006B55F7" w:rsidP="001A3121">
      <w:pPr>
        <w:spacing w:after="0" w:line="480" w:lineRule="auto"/>
        <w:rPr>
          <w:rFonts w:ascii="Times New Roman" w:hAnsi="Times New Roman" w:cs="Times New Roman"/>
          <w:sz w:val="24"/>
          <w:szCs w:val="24"/>
        </w:rPr>
      </w:pPr>
    </w:p>
    <w:p w:rsidR="00E555FE" w:rsidRPr="002A7D9E" w:rsidRDefault="00C2423E"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In general, t</w:t>
      </w:r>
      <w:r w:rsidR="009D3FF5" w:rsidRPr="002A7D9E">
        <w:rPr>
          <w:rFonts w:ascii="Times New Roman" w:hAnsi="Times New Roman" w:cs="Times New Roman"/>
          <w:sz w:val="24"/>
          <w:szCs w:val="24"/>
        </w:rPr>
        <w:t xml:space="preserve">he reports do not </w:t>
      </w:r>
      <w:r w:rsidR="005109CE" w:rsidRPr="002A7D9E">
        <w:rPr>
          <w:rFonts w:ascii="Times New Roman" w:hAnsi="Times New Roman" w:cs="Times New Roman"/>
          <w:sz w:val="24"/>
          <w:szCs w:val="24"/>
        </w:rPr>
        <w:t>provide a great deal of information</w:t>
      </w:r>
      <w:r w:rsidR="009D3FF5" w:rsidRPr="002A7D9E">
        <w:rPr>
          <w:rFonts w:ascii="Times New Roman" w:hAnsi="Times New Roman" w:cs="Times New Roman"/>
          <w:sz w:val="24"/>
          <w:szCs w:val="24"/>
        </w:rPr>
        <w:t xml:space="preserve"> on </w:t>
      </w:r>
      <w:r w:rsidR="00E555FE" w:rsidRPr="002A7D9E">
        <w:rPr>
          <w:rFonts w:ascii="Times New Roman" w:hAnsi="Times New Roman" w:cs="Times New Roman"/>
          <w:sz w:val="24"/>
          <w:szCs w:val="24"/>
        </w:rPr>
        <w:t>how to implement</w:t>
      </w:r>
      <w:r w:rsidR="00CE6215" w:rsidRPr="002A7D9E">
        <w:rPr>
          <w:rFonts w:ascii="Times New Roman" w:hAnsi="Times New Roman" w:cs="Times New Roman"/>
          <w:sz w:val="24"/>
          <w:szCs w:val="24"/>
        </w:rPr>
        <w:t xml:space="preserve"> or evaluate </w:t>
      </w:r>
      <w:r w:rsidR="00E555FE" w:rsidRPr="002A7D9E">
        <w:rPr>
          <w:rFonts w:ascii="Times New Roman" w:hAnsi="Times New Roman" w:cs="Times New Roman"/>
          <w:sz w:val="24"/>
          <w:szCs w:val="24"/>
        </w:rPr>
        <w:t>policies or programs</w:t>
      </w:r>
      <w:r w:rsidR="00CE6215" w:rsidRPr="002A7D9E">
        <w:rPr>
          <w:rFonts w:ascii="Times New Roman" w:hAnsi="Times New Roman" w:cs="Times New Roman"/>
          <w:sz w:val="24"/>
          <w:szCs w:val="24"/>
        </w:rPr>
        <w:t xml:space="preserve"> and ultimately </w:t>
      </w:r>
      <w:r w:rsidR="00E555FE" w:rsidRPr="002A7D9E">
        <w:rPr>
          <w:rFonts w:ascii="Times New Roman" w:hAnsi="Times New Roman" w:cs="Times New Roman"/>
          <w:sz w:val="24"/>
          <w:szCs w:val="24"/>
        </w:rPr>
        <w:t xml:space="preserve">contain </w:t>
      </w:r>
      <w:r w:rsidR="00CE6215" w:rsidRPr="002A7D9E">
        <w:rPr>
          <w:rFonts w:ascii="Times New Roman" w:hAnsi="Times New Roman" w:cs="Times New Roman"/>
          <w:sz w:val="24"/>
          <w:szCs w:val="24"/>
        </w:rPr>
        <w:t>‘</w:t>
      </w:r>
      <w:r w:rsidR="00E555FE" w:rsidRPr="002A7D9E">
        <w:rPr>
          <w:rFonts w:ascii="Times New Roman" w:hAnsi="Times New Roman" w:cs="Times New Roman"/>
          <w:sz w:val="24"/>
          <w:szCs w:val="24"/>
        </w:rPr>
        <w:t>very few examples of coherent policy frameworks at the national level</w:t>
      </w:r>
      <w:r w:rsidR="00CE6215" w:rsidRPr="002A7D9E">
        <w:rPr>
          <w:rFonts w:ascii="Times New Roman" w:hAnsi="Times New Roman" w:cs="Times New Roman"/>
          <w:sz w:val="24"/>
          <w:szCs w:val="24"/>
        </w:rPr>
        <w:t>’</w:t>
      </w:r>
      <w:r w:rsidR="00E555FE" w:rsidRPr="002A7D9E">
        <w:rPr>
          <w:rFonts w:ascii="Times New Roman" w:hAnsi="Times New Roman" w:cs="Times New Roman"/>
          <w:sz w:val="24"/>
          <w:szCs w:val="24"/>
        </w:rPr>
        <w:t xml:space="preserve"> (Camilla, invited guest ex</w:t>
      </w:r>
      <w:r w:rsidR="0094366C" w:rsidRPr="002A7D9E">
        <w:rPr>
          <w:rFonts w:ascii="Times New Roman" w:hAnsi="Times New Roman" w:cs="Times New Roman"/>
          <w:sz w:val="24"/>
          <w:szCs w:val="24"/>
        </w:rPr>
        <w:t>pert, interview, October 2014). To</w:t>
      </w:r>
      <w:r w:rsidR="00CB1847" w:rsidRPr="002A7D9E">
        <w:rPr>
          <w:rFonts w:ascii="Times New Roman" w:hAnsi="Times New Roman" w:cs="Times New Roman"/>
          <w:sz w:val="24"/>
          <w:szCs w:val="24"/>
        </w:rPr>
        <w:t xml:space="preserve"> maximiz</w:t>
      </w:r>
      <w:r w:rsidR="00E555FE" w:rsidRPr="002A7D9E">
        <w:rPr>
          <w:rFonts w:ascii="Times New Roman" w:hAnsi="Times New Roman" w:cs="Times New Roman"/>
          <w:sz w:val="24"/>
          <w:szCs w:val="24"/>
        </w:rPr>
        <w:t>e</w:t>
      </w:r>
      <w:r w:rsidR="00177F03" w:rsidRPr="002A7D9E">
        <w:rPr>
          <w:rFonts w:ascii="Times New Roman" w:hAnsi="Times New Roman" w:cs="Times New Roman"/>
          <w:sz w:val="24"/>
          <w:szCs w:val="24"/>
        </w:rPr>
        <w:t xml:space="preserve"> potential for</w:t>
      </w:r>
      <w:r w:rsidR="00E555FE" w:rsidRPr="002A7D9E">
        <w:rPr>
          <w:rFonts w:ascii="Times New Roman" w:hAnsi="Times New Roman" w:cs="Times New Roman"/>
          <w:sz w:val="24"/>
          <w:szCs w:val="24"/>
        </w:rPr>
        <w:t xml:space="preserve"> policy transfer across jurisdictions, </w:t>
      </w:r>
      <w:r w:rsidR="00D32E8D" w:rsidRPr="002A7D9E">
        <w:rPr>
          <w:rFonts w:ascii="Times New Roman" w:hAnsi="Times New Roman" w:cs="Times New Roman"/>
          <w:sz w:val="24"/>
          <w:szCs w:val="24"/>
        </w:rPr>
        <w:t xml:space="preserve">more information on </w:t>
      </w:r>
      <w:r w:rsidR="00E555FE" w:rsidRPr="002A7D9E">
        <w:rPr>
          <w:rFonts w:ascii="Times New Roman" w:hAnsi="Times New Roman" w:cs="Times New Roman"/>
          <w:sz w:val="24"/>
          <w:szCs w:val="24"/>
        </w:rPr>
        <w:t xml:space="preserve">institutional arrangements and implementation </w:t>
      </w:r>
      <w:r w:rsidR="00D32E8D" w:rsidRPr="002A7D9E">
        <w:rPr>
          <w:rFonts w:ascii="Times New Roman" w:hAnsi="Times New Roman" w:cs="Times New Roman"/>
          <w:sz w:val="24"/>
          <w:szCs w:val="24"/>
        </w:rPr>
        <w:t>is required</w:t>
      </w:r>
      <w:r w:rsidR="00EC6C21" w:rsidRPr="002A7D9E">
        <w:rPr>
          <w:rFonts w:ascii="Times New Roman" w:hAnsi="Times New Roman" w:cs="Times New Roman"/>
          <w:sz w:val="24"/>
          <w:szCs w:val="24"/>
        </w:rPr>
        <w:t xml:space="preserve"> </w:t>
      </w:r>
      <w:r w:rsidR="00D32E8D" w:rsidRPr="002A7D9E">
        <w:rPr>
          <w:rFonts w:ascii="Times New Roman" w:hAnsi="Times New Roman" w:cs="Times New Roman"/>
          <w:sz w:val="24"/>
          <w:szCs w:val="24"/>
        </w:rPr>
        <w:t>(</w:t>
      </w:r>
      <w:proofErr w:type="spellStart"/>
      <w:r w:rsidR="00D32E8D" w:rsidRPr="002A7D9E">
        <w:rPr>
          <w:rFonts w:ascii="Times New Roman" w:hAnsi="Times New Roman" w:cs="Times New Roman"/>
          <w:sz w:val="24"/>
          <w:szCs w:val="24"/>
        </w:rPr>
        <w:t>Radaelli</w:t>
      </w:r>
      <w:proofErr w:type="spellEnd"/>
      <w:r w:rsidR="00D32E8D" w:rsidRPr="002A7D9E">
        <w:rPr>
          <w:rFonts w:ascii="Times New Roman" w:hAnsi="Times New Roman" w:cs="Times New Roman"/>
          <w:sz w:val="24"/>
          <w:szCs w:val="24"/>
        </w:rPr>
        <w:t xml:space="preserve"> 2003)</w:t>
      </w:r>
      <w:r w:rsidR="00E555FE" w:rsidRPr="002A7D9E">
        <w:rPr>
          <w:rFonts w:ascii="Times New Roman" w:hAnsi="Times New Roman" w:cs="Times New Roman"/>
          <w:sz w:val="24"/>
          <w:szCs w:val="24"/>
        </w:rPr>
        <w:t xml:space="preserve">. This is especially true in a cross-national context </w:t>
      </w:r>
      <w:r w:rsidR="0007173E" w:rsidRPr="002A7D9E">
        <w:rPr>
          <w:rFonts w:ascii="Times New Roman" w:hAnsi="Times New Roman" w:cs="Times New Roman"/>
          <w:sz w:val="24"/>
          <w:szCs w:val="24"/>
        </w:rPr>
        <w:t>(Pratt 2009)</w:t>
      </w:r>
      <w:r w:rsidR="00EC6C21" w:rsidRPr="002A7D9E">
        <w:rPr>
          <w:rFonts w:ascii="Times New Roman" w:hAnsi="Times New Roman" w:cs="Times New Roman"/>
          <w:sz w:val="24"/>
          <w:szCs w:val="24"/>
        </w:rPr>
        <w:t>,</w:t>
      </w:r>
      <w:r w:rsidR="00E555FE" w:rsidRPr="002A7D9E">
        <w:rPr>
          <w:rFonts w:ascii="Times New Roman" w:hAnsi="Times New Roman" w:cs="Times New Roman"/>
          <w:sz w:val="24"/>
          <w:szCs w:val="24"/>
        </w:rPr>
        <w:t xml:space="preserve"> given the heterogeneity of cultural</w:t>
      </w:r>
      <w:r w:rsidR="001511D6" w:rsidRPr="002A7D9E">
        <w:rPr>
          <w:rFonts w:ascii="Times New Roman" w:hAnsi="Times New Roman" w:cs="Times New Roman"/>
          <w:sz w:val="24"/>
          <w:szCs w:val="24"/>
        </w:rPr>
        <w:t xml:space="preserve"> policy </w:t>
      </w:r>
      <w:r w:rsidR="00177F03" w:rsidRPr="002A7D9E">
        <w:rPr>
          <w:rFonts w:ascii="Times New Roman" w:hAnsi="Times New Roman" w:cs="Times New Roman"/>
          <w:sz w:val="24"/>
          <w:szCs w:val="24"/>
        </w:rPr>
        <w:t>across</w:t>
      </w:r>
      <w:r w:rsidR="001511D6" w:rsidRPr="002A7D9E">
        <w:rPr>
          <w:rFonts w:ascii="Times New Roman" w:hAnsi="Times New Roman" w:cs="Times New Roman"/>
          <w:sz w:val="24"/>
          <w:szCs w:val="24"/>
        </w:rPr>
        <w:t xml:space="preserve"> the EU Member States</w:t>
      </w:r>
      <w:r w:rsidR="00E555FE" w:rsidRPr="002A7D9E">
        <w:rPr>
          <w:rFonts w:ascii="Times New Roman" w:hAnsi="Times New Roman" w:cs="Times New Roman"/>
          <w:sz w:val="24"/>
          <w:szCs w:val="24"/>
        </w:rPr>
        <w:t>.</w:t>
      </w:r>
      <w:r w:rsidR="0058201A" w:rsidRPr="002A7D9E">
        <w:rPr>
          <w:rFonts w:ascii="Times New Roman" w:hAnsi="Times New Roman" w:cs="Times New Roman"/>
          <w:sz w:val="24"/>
          <w:szCs w:val="24"/>
        </w:rPr>
        <w:t xml:space="preserve"> </w:t>
      </w:r>
    </w:p>
    <w:p w:rsidR="00502CB1" w:rsidRPr="002A7D9E" w:rsidRDefault="00502CB1" w:rsidP="001A3121">
      <w:pPr>
        <w:spacing w:after="0" w:line="480" w:lineRule="auto"/>
        <w:rPr>
          <w:rFonts w:ascii="Times New Roman" w:hAnsi="Times New Roman" w:cs="Times New Roman"/>
          <w:sz w:val="24"/>
          <w:szCs w:val="24"/>
        </w:rPr>
      </w:pPr>
    </w:p>
    <w:p w:rsidR="00502CB1" w:rsidRPr="002A7D9E" w:rsidRDefault="00502CB1" w:rsidP="001A3121">
      <w:pPr>
        <w:spacing w:after="0" w:line="480" w:lineRule="auto"/>
        <w:rPr>
          <w:rFonts w:ascii="Times New Roman" w:hAnsi="Times New Roman" w:cs="Times New Roman"/>
          <w:b/>
          <w:i/>
          <w:sz w:val="24"/>
          <w:szCs w:val="24"/>
        </w:rPr>
      </w:pPr>
      <w:r w:rsidRPr="002A7D9E">
        <w:rPr>
          <w:rFonts w:ascii="Times New Roman" w:hAnsi="Times New Roman" w:cs="Times New Roman"/>
          <w:b/>
          <w:i/>
          <w:sz w:val="24"/>
          <w:szCs w:val="24"/>
        </w:rPr>
        <w:t xml:space="preserve">Representativeness </w:t>
      </w:r>
    </w:p>
    <w:p w:rsidR="00986A7A" w:rsidRPr="002A7D9E" w:rsidRDefault="00713EF2"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In the case of cross-national sharing and comparison, there is a</w:t>
      </w:r>
      <w:r w:rsidR="00A772E1" w:rsidRPr="002A7D9E">
        <w:rPr>
          <w:rFonts w:ascii="Times New Roman" w:hAnsi="Times New Roman" w:cs="Times New Roman"/>
          <w:sz w:val="24"/>
          <w:szCs w:val="24"/>
        </w:rPr>
        <w:t>lso the</w:t>
      </w:r>
      <w:r w:rsidRPr="002A7D9E">
        <w:rPr>
          <w:rFonts w:ascii="Times New Roman" w:hAnsi="Times New Roman" w:cs="Times New Roman"/>
          <w:sz w:val="24"/>
          <w:szCs w:val="24"/>
        </w:rPr>
        <w:t xml:space="preserve"> question of how representative to make the examples. </w:t>
      </w:r>
      <w:r w:rsidR="003155CB" w:rsidRPr="002A7D9E">
        <w:rPr>
          <w:rFonts w:ascii="Times New Roman" w:hAnsi="Times New Roman" w:cs="Times New Roman"/>
          <w:sz w:val="24"/>
          <w:szCs w:val="24"/>
        </w:rPr>
        <w:t xml:space="preserve">In the culture OMC’s first generation (2008-2010), the groups tried to make the examples geographically representative. This presented challenges of equitability and comparability and so </w:t>
      </w:r>
      <w:proofErr w:type="gramStart"/>
      <w:r w:rsidR="003155CB" w:rsidRPr="002A7D9E">
        <w:rPr>
          <w:rFonts w:ascii="Times New Roman" w:hAnsi="Times New Roman" w:cs="Times New Roman"/>
          <w:sz w:val="24"/>
          <w:szCs w:val="24"/>
        </w:rPr>
        <w:t>was done away with</w:t>
      </w:r>
      <w:proofErr w:type="gramEnd"/>
      <w:r w:rsidR="003155CB" w:rsidRPr="002A7D9E">
        <w:rPr>
          <w:rFonts w:ascii="Times New Roman" w:hAnsi="Times New Roman" w:cs="Times New Roman"/>
          <w:sz w:val="24"/>
          <w:szCs w:val="24"/>
        </w:rPr>
        <w:t xml:space="preserve"> for the second generation.</w:t>
      </w:r>
      <w:r w:rsidRPr="002A7D9E">
        <w:rPr>
          <w:rFonts w:ascii="Times New Roman" w:hAnsi="Times New Roman" w:cs="Times New Roman"/>
          <w:sz w:val="24"/>
          <w:szCs w:val="24"/>
        </w:rPr>
        <w:t xml:space="preserve"> </w:t>
      </w:r>
      <w:r w:rsidR="000A49D8" w:rsidRPr="002A7D9E">
        <w:rPr>
          <w:rFonts w:ascii="Times New Roman" w:hAnsi="Times New Roman" w:cs="Times New Roman"/>
          <w:sz w:val="24"/>
          <w:szCs w:val="24"/>
        </w:rPr>
        <w:t>However, r</w:t>
      </w:r>
      <w:r w:rsidRPr="002A7D9E">
        <w:rPr>
          <w:rFonts w:ascii="Times New Roman" w:hAnsi="Times New Roman" w:cs="Times New Roman"/>
          <w:sz w:val="24"/>
          <w:szCs w:val="24"/>
        </w:rPr>
        <w:t xml:space="preserve">epresentativeness also goes beyond geography to issues of, </w:t>
      </w:r>
      <w:r w:rsidR="00475D9B" w:rsidRPr="002A7D9E">
        <w:rPr>
          <w:rFonts w:ascii="Times New Roman" w:hAnsi="Times New Roman" w:cs="Times New Roman"/>
          <w:sz w:val="24"/>
          <w:szCs w:val="24"/>
        </w:rPr>
        <w:t>for example</w:t>
      </w:r>
      <w:r w:rsidRPr="002A7D9E">
        <w:rPr>
          <w:rFonts w:ascii="Times New Roman" w:hAnsi="Times New Roman" w:cs="Times New Roman"/>
          <w:sz w:val="24"/>
          <w:szCs w:val="24"/>
        </w:rPr>
        <w:t xml:space="preserve">, size and </w:t>
      </w:r>
      <w:r w:rsidR="00A23360" w:rsidRPr="002A7D9E">
        <w:rPr>
          <w:rFonts w:ascii="Times New Roman" w:hAnsi="Times New Roman" w:cs="Times New Roman"/>
          <w:sz w:val="24"/>
          <w:szCs w:val="24"/>
        </w:rPr>
        <w:t>type</w:t>
      </w:r>
      <w:r w:rsidRPr="002A7D9E">
        <w:rPr>
          <w:rFonts w:ascii="Times New Roman" w:hAnsi="Times New Roman" w:cs="Times New Roman"/>
          <w:sz w:val="24"/>
          <w:szCs w:val="24"/>
        </w:rPr>
        <w:t xml:space="preserve"> of cultural organization. Should there be a balance of practices between</w:t>
      </w:r>
      <w:r w:rsidR="00AA6BD6" w:rsidRPr="002A7D9E">
        <w:rPr>
          <w:rFonts w:ascii="Times New Roman" w:hAnsi="Times New Roman" w:cs="Times New Roman"/>
          <w:sz w:val="24"/>
          <w:szCs w:val="24"/>
        </w:rPr>
        <w:t xml:space="preserve"> world-known, national</w:t>
      </w:r>
      <w:r w:rsidRPr="002A7D9E">
        <w:rPr>
          <w:rFonts w:ascii="Times New Roman" w:hAnsi="Times New Roman" w:cs="Times New Roman"/>
          <w:sz w:val="24"/>
          <w:szCs w:val="24"/>
        </w:rPr>
        <w:t xml:space="preserve"> institutions like the Tate and the Louvre and small, local museums?</w:t>
      </w:r>
      <w:r w:rsidR="00A14919" w:rsidRPr="002A7D9E">
        <w:rPr>
          <w:rFonts w:ascii="Times New Roman" w:hAnsi="Times New Roman" w:cs="Times New Roman"/>
          <w:sz w:val="24"/>
          <w:szCs w:val="24"/>
        </w:rPr>
        <w:t xml:space="preserve"> Should there be a balance of types of orga</w:t>
      </w:r>
      <w:r w:rsidR="00AA6BD6" w:rsidRPr="002A7D9E">
        <w:rPr>
          <w:rFonts w:ascii="Times New Roman" w:hAnsi="Times New Roman" w:cs="Times New Roman"/>
          <w:sz w:val="24"/>
          <w:szCs w:val="24"/>
        </w:rPr>
        <w:t>nizations (museum, gallery, local community centre) and art forms?</w:t>
      </w:r>
      <w:r w:rsidR="008F1AE2" w:rsidRPr="002A7D9E">
        <w:rPr>
          <w:rFonts w:ascii="Times New Roman" w:hAnsi="Times New Roman" w:cs="Times New Roman"/>
          <w:sz w:val="24"/>
          <w:szCs w:val="24"/>
        </w:rPr>
        <w:t xml:space="preserve"> </w:t>
      </w:r>
    </w:p>
    <w:p w:rsidR="00986A7A" w:rsidRPr="002A7D9E" w:rsidRDefault="00986A7A" w:rsidP="001A3121">
      <w:pPr>
        <w:autoSpaceDE w:val="0"/>
        <w:autoSpaceDN w:val="0"/>
        <w:adjustRightInd w:val="0"/>
        <w:spacing w:after="0" w:line="480" w:lineRule="auto"/>
        <w:rPr>
          <w:rFonts w:ascii="Times New Roman" w:hAnsi="Times New Roman" w:cs="Times New Roman"/>
          <w:sz w:val="24"/>
          <w:szCs w:val="24"/>
        </w:rPr>
      </w:pPr>
    </w:p>
    <w:p w:rsidR="00D37F8E" w:rsidRPr="002A7D9E" w:rsidRDefault="008F1AE2" w:rsidP="001A3121">
      <w:pPr>
        <w:autoSpaceDE w:val="0"/>
        <w:autoSpaceDN w:val="0"/>
        <w:adjustRightInd w:val="0"/>
        <w:spacing w:after="0" w:line="480" w:lineRule="auto"/>
        <w:rPr>
          <w:rFonts w:ascii="Times New Roman" w:eastAsia="HelveticaNeueCE-Roman" w:hAnsi="Times New Roman" w:cs="Times New Roman"/>
          <w:sz w:val="24"/>
          <w:szCs w:val="24"/>
        </w:rPr>
      </w:pPr>
      <w:r w:rsidRPr="002A7D9E">
        <w:rPr>
          <w:rFonts w:ascii="Times New Roman" w:hAnsi="Times New Roman" w:cs="Times New Roman"/>
          <w:sz w:val="24"/>
          <w:szCs w:val="24"/>
        </w:rPr>
        <w:t xml:space="preserve">Group 1 </w:t>
      </w:r>
      <w:r w:rsidR="00A973DA" w:rsidRPr="002A7D9E">
        <w:rPr>
          <w:rFonts w:ascii="Times New Roman" w:hAnsi="Times New Roman" w:cs="Times New Roman"/>
          <w:sz w:val="24"/>
          <w:szCs w:val="24"/>
        </w:rPr>
        <w:t>was</w:t>
      </w:r>
      <w:r w:rsidRPr="002A7D9E">
        <w:rPr>
          <w:rFonts w:ascii="Times New Roman" w:hAnsi="Times New Roman" w:cs="Times New Roman"/>
          <w:sz w:val="24"/>
          <w:szCs w:val="24"/>
        </w:rPr>
        <w:t xml:space="preserve"> clear on the challenges associated with representativeness and said that ‘the selection of examples aims only to provide a sample of diverse experiences, and it does not have the ambition to provide a systematic and fully representative overview </w:t>
      </w:r>
      <w:r w:rsidR="007C2633" w:rsidRPr="002A7D9E">
        <w:rPr>
          <w:rFonts w:ascii="Times New Roman" w:hAnsi="Times New Roman" w:cs="Times New Roman"/>
          <w:sz w:val="24"/>
          <w:szCs w:val="24"/>
        </w:rPr>
        <w:t>of best practices across Europe’</w:t>
      </w:r>
      <w:r w:rsidRPr="002A7D9E">
        <w:rPr>
          <w:rFonts w:ascii="Times New Roman" w:hAnsi="Times New Roman" w:cs="Times New Roman"/>
          <w:sz w:val="24"/>
          <w:szCs w:val="24"/>
        </w:rPr>
        <w:t xml:space="preserve"> (European Union 2012, 6)</w:t>
      </w:r>
      <w:r w:rsidR="00A34971" w:rsidRPr="002A7D9E">
        <w:rPr>
          <w:rFonts w:ascii="Times New Roman" w:hAnsi="Times New Roman" w:cs="Times New Roman"/>
          <w:sz w:val="24"/>
          <w:szCs w:val="24"/>
        </w:rPr>
        <w:t>.</w:t>
      </w:r>
      <w:r w:rsidR="00475D9B" w:rsidRPr="002A7D9E">
        <w:rPr>
          <w:rFonts w:ascii="Times New Roman" w:hAnsi="Times New Roman" w:cs="Times New Roman"/>
          <w:sz w:val="24"/>
          <w:szCs w:val="24"/>
        </w:rPr>
        <w:t xml:space="preserve"> Group 2 </w:t>
      </w:r>
      <w:r w:rsidR="00A772E1" w:rsidRPr="002A7D9E">
        <w:rPr>
          <w:rFonts w:ascii="Times New Roman" w:hAnsi="Times New Roman" w:cs="Times New Roman"/>
          <w:sz w:val="24"/>
          <w:szCs w:val="24"/>
        </w:rPr>
        <w:t>acknowledge</w:t>
      </w:r>
      <w:r w:rsidR="00A973DA" w:rsidRPr="002A7D9E">
        <w:rPr>
          <w:rFonts w:ascii="Times New Roman" w:hAnsi="Times New Roman" w:cs="Times New Roman"/>
          <w:sz w:val="24"/>
          <w:szCs w:val="24"/>
        </w:rPr>
        <w:t>d</w:t>
      </w:r>
      <w:r w:rsidR="00A772E1" w:rsidRPr="002A7D9E">
        <w:rPr>
          <w:rFonts w:ascii="Times New Roman" w:hAnsi="Times New Roman" w:cs="Times New Roman"/>
          <w:sz w:val="24"/>
          <w:szCs w:val="24"/>
        </w:rPr>
        <w:t xml:space="preserve"> the boundaries of their examples</w:t>
      </w:r>
      <w:r w:rsidR="00D32110" w:rsidRPr="002A7D9E">
        <w:rPr>
          <w:rFonts w:ascii="Times New Roman" w:hAnsi="Times New Roman" w:cs="Times New Roman"/>
          <w:sz w:val="24"/>
          <w:szCs w:val="24"/>
        </w:rPr>
        <w:t xml:space="preserve"> </w:t>
      </w:r>
      <w:r w:rsidR="00A772E1" w:rsidRPr="002A7D9E">
        <w:rPr>
          <w:rFonts w:ascii="Times New Roman" w:hAnsi="Times New Roman" w:cs="Times New Roman"/>
          <w:sz w:val="24"/>
          <w:szCs w:val="24"/>
        </w:rPr>
        <w:t xml:space="preserve">and </w:t>
      </w:r>
      <w:r w:rsidR="00475D9B" w:rsidRPr="002A7D9E">
        <w:rPr>
          <w:rFonts w:ascii="Times New Roman" w:hAnsi="Times New Roman" w:cs="Times New Roman"/>
          <w:sz w:val="24"/>
          <w:szCs w:val="24"/>
        </w:rPr>
        <w:t>focuse</w:t>
      </w:r>
      <w:r w:rsidR="00A973DA" w:rsidRPr="002A7D9E">
        <w:rPr>
          <w:rFonts w:ascii="Times New Roman" w:hAnsi="Times New Roman" w:cs="Times New Roman"/>
          <w:sz w:val="24"/>
          <w:szCs w:val="24"/>
        </w:rPr>
        <w:t>d</w:t>
      </w:r>
      <w:r w:rsidR="00475D9B" w:rsidRPr="002A7D9E">
        <w:rPr>
          <w:rFonts w:ascii="Times New Roman" w:hAnsi="Times New Roman" w:cs="Times New Roman"/>
          <w:sz w:val="24"/>
          <w:szCs w:val="24"/>
        </w:rPr>
        <w:t xml:space="preserve"> on </w:t>
      </w:r>
      <w:r w:rsidR="00D32110" w:rsidRPr="002A7D9E">
        <w:rPr>
          <w:rFonts w:ascii="Times New Roman" w:hAnsi="Times New Roman" w:cs="Times New Roman"/>
          <w:sz w:val="24"/>
          <w:szCs w:val="24"/>
        </w:rPr>
        <w:t xml:space="preserve">the </w:t>
      </w:r>
      <w:r w:rsidR="00475D9B" w:rsidRPr="002A7D9E">
        <w:rPr>
          <w:rFonts w:ascii="Times New Roman" w:hAnsi="Times New Roman" w:cs="Times New Roman"/>
          <w:sz w:val="24"/>
          <w:szCs w:val="24"/>
        </w:rPr>
        <w:t>best practice</w:t>
      </w:r>
      <w:r w:rsidR="00D32110" w:rsidRPr="002A7D9E">
        <w:rPr>
          <w:rFonts w:ascii="Times New Roman" w:hAnsi="Times New Roman" w:cs="Times New Roman"/>
          <w:sz w:val="24"/>
          <w:szCs w:val="24"/>
        </w:rPr>
        <w:t>s</w:t>
      </w:r>
      <w:r w:rsidR="00475D9B" w:rsidRPr="002A7D9E">
        <w:rPr>
          <w:rFonts w:ascii="Times New Roman" w:hAnsi="Times New Roman" w:cs="Times New Roman"/>
          <w:sz w:val="24"/>
          <w:szCs w:val="24"/>
        </w:rPr>
        <w:t xml:space="preserve"> of </w:t>
      </w:r>
      <w:r w:rsidR="00475D9B" w:rsidRPr="002A7D9E">
        <w:rPr>
          <w:rFonts w:ascii="Times New Roman" w:eastAsia="HelveticaNeueCE-Roman" w:hAnsi="Times New Roman" w:cs="Times New Roman"/>
          <w:sz w:val="24"/>
          <w:szCs w:val="24"/>
        </w:rPr>
        <w:t>museums, live performance institutions, libraries and community cultural centres, ‘[d]</w:t>
      </w:r>
      <w:proofErr w:type="spellStart"/>
      <w:r w:rsidR="00475D9B" w:rsidRPr="002A7D9E">
        <w:rPr>
          <w:rFonts w:ascii="Times New Roman" w:eastAsia="HelveticaNeueCE-Roman" w:hAnsi="Times New Roman" w:cs="Times New Roman"/>
          <w:sz w:val="24"/>
          <w:szCs w:val="24"/>
        </w:rPr>
        <w:t>ue</w:t>
      </w:r>
      <w:proofErr w:type="spellEnd"/>
      <w:r w:rsidR="00475D9B" w:rsidRPr="002A7D9E">
        <w:rPr>
          <w:rFonts w:ascii="Times New Roman" w:eastAsia="HelveticaNeueCE-Roman" w:hAnsi="Times New Roman" w:cs="Times New Roman"/>
          <w:sz w:val="24"/>
          <w:szCs w:val="24"/>
        </w:rPr>
        <w:t xml:space="preserve"> to the selection of good practices,[</w:t>
      </w:r>
      <w:r w:rsidR="00475D9B" w:rsidRPr="002A7D9E">
        <w:rPr>
          <w:rFonts w:ascii="Times New Roman" w:eastAsia="HelveticaNeueCE-Roman" w:hAnsi="Times New Roman" w:cs="Times New Roman"/>
          <w:i/>
          <w:sz w:val="24"/>
          <w:szCs w:val="24"/>
        </w:rPr>
        <w:t>sic</w:t>
      </w:r>
      <w:r w:rsidR="00475D9B" w:rsidRPr="002A7D9E">
        <w:rPr>
          <w:rFonts w:ascii="Times New Roman" w:eastAsia="HelveticaNeueCE-Roman" w:hAnsi="Times New Roman" w:cs="Times New Roman"/>
          <w:sz w:val="24"/>
          <w:szCs w:val="24"/>
        </w:rPr>
        <w:t>] proposed by members of the group’ (European Union 2014, 16).</w:t>
      </w:r>
      <w:r w:rsidR="00BF29E0" w:rsidRPr="002A7D9E">
        <w:rPr>
          <w:rFonts w:ascii="Times New Roman" w:eastAsia="HelveticaNeueCE-Roman" w:hAnsi="Times New Roman" w:cs="Times New Roman"/>
          <w:sz w:val="24"/>
          <w:szCs w:val="24"/>
        </w:rPr>
        <w:t xml:space="preserve"> </w:t>
      </w:r>
    </w:p>
    <w:p w:rsidR="00AA6BD6" w:rsidRPr="002A7D9E" w:rsidRDefault="00AA6BD6" w:rsidP="001A3121">
      <w:pPr>
        <w:spacing w:after="0" w:line="480" w:lineRule="auto"/>
        <w:rPr>
          <w:rFonts w:ascii="Times New Roman" w:hAnsi="Times New Roman" w:cs="Times New Roman"/>
          <w:sz w:val="24"/>
          <w:szCs w:val="24"/>
        </w:rPr>
      </w:pPr>
    </w:p>
    <w:p w:rsidR="008F68EC" w:rsidRPr="002A7D9E" w:rsidRDefault="0089539C" w:rsidP="001A3121">
      <w:pPr>
        <w:spacing w:after="0" w:line="480" w:lineRule="auto"/>
        <w:rPr>
          <w:rFonts w:ascii="Times New Roman" w:hAnsi="Times New Roman" w:cs="Times New Roman"/>
          <w:b/>
          <w:sz w:val="24"/>
          <w:szCs w:val="24"/>
        </w:rPr>
      </w:pPr>
      <w:r w:rsidRPr="002A7D9E">
        <w:rPr>
          <w:rFonts w:ascii="Times New Roman" w:hAnsi="Times New Roman" w:cs="Times New Roman"/>
          <w:b/>
          <w:i/>
          <w:sz w:val="24"/>
          <w:szCs w:val="24"/>
        </w:rPr>
        <w:t>Lack of critical analysis</w:t>
      </w:r>
    </w:p>
    <w:p w:rsidR="0089539C" w:rsidRPr="002A7D9E" w:rsidRDefault="0089539C"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Another </w:t>
      </w:r>
      <w:r w:rsidR="00A23360" w:rsidRPr="002A7D9E">
        <w:rPr>
          <w:rFonts w:ascii="Times New Roman" w:hAnsi="Times New Roman" w:cs="Times New Roman"/>
          <w:sz w:val="24"/>
          <w:szCs w:val="24"/>
        </w:rPr>
        <w:t>issue with</w:t>
      </w:r>
      <w:r w:rsidRPr="002A7D9E">
        <w:rPr>
          <w:rFonts w:ascii="Times New Roman" w:hAnsi="Times New Roman" w:cs="Times New Roman"/>
          <w:sz w:val="24"/>
          <w:szCs w:val="24"/>
        </w:rPr>
        <w:t xml:space="preserve"> best pra</w:t>
      </w:r>
      <w:r w:rsidR="00A23360" w:rsidRPr="002A7D9E">
        <w:rPr>
          <w:rFonts w:ascii="Times New Roman" w:hAnsi="Times New Roman" w:cs="Times New Roman"/>
          <w:sz w:val="24"/>
          <w:szCs w:val="24"/>
        </w:rPr>
        <w:t xml:space="preserve">ctices is that they </w:t>
      </w:r>
      <w:proofErr w:type="gramStart"/>
      <w:r w:rsidR="00A23360" w:rsidRPr="002A7D9E">
        <w:rPr>
          <w:rFonts w:ascii="Times New Roman" w:hAnsi="Times New Roman" w:cs="Times New Roman"/>
          <w:sz w:val="24"/>
          <w:szCs w:val="24"/>
        </w:rPr>
        <w:t>are criticiz</w:t>
      </w:r>
      <w:r w:rsidRPr="002A7D9E">
        <w:rPr>
          <w:rFonts w:ascii="Times New Roman" w:hAnsi="Times New Roman" w:cs="Times New Roman"/>
          <w:sz w:val="24"/>
          <w:szCs w:val="24"/>
        </w:rPr>
        <w:t>ed</w:t>
      </w:r>
      <w:proofErr w:type="gramEnd"/>
      <w:r w:rsidRPr="002A7D9E">
        <w:rPr>
          <w:rFonts w:ascii="Times New Roman" w:hAnsi="Times New Roman" w:cs="Times New Roman"/>
          <w:sz w:val="24"/>
          <w:szCs w:val="24"/>
        </w:rPr>
        <w:t xml:space="preserve"> for being </w:t>
      </w:r>
      <w:r w:rsidR="00E555FE" w:rsidRPr="002A7D9E">
        <w:rPr>
          <w:rFonts w:ascii="Times New Roman" w:hAnsi="Times New Roman" w:cs="Times New Roman"/>
          <w:sz w:val="24"/>
          <w:szCs w:val="24"/>
        </w:rPr>
        <w:t>reactive</w:t>
      </w:r>
      <w:r w:rsidR="0055744A" w:rsidRPr="002A7D9E">
        <w:rPr>
          <w:rFonts w:ascii="Times New Roman" w:hAnsi="Times New Roman" w:cs="Times New Roman"/>
          <w:sz w:val="24"/>
          <w:szCs w:val="24"/>
        </w:rPr>
        <w:t>, ‘</w:t>
      </w:r>
      <w:r w:rsidRPr="002A7D9E">
        <w:rPr>
          <w:rFonts w:ascii="Times New Roman" w:hAnsi="Times New Roman" w:cs="Times New Roman"/>
          <w:sz w:val="24"/>
          <w:szCs w:val="24"/>
        </w:rPr>
        <w:t>seldom a</w:t>
      </w:r>
      <w:r w:rsidR="0055744A" w:rsidRPr="002A7D9E">
        <w:rPr>
          <w:rFonts w:ascii="Times New Roman" w:hAnsi="Times New Roman" w:cs="Times New Roman"/>
          <w:sz w:val="24"/>
          <w:szCs w:val="24"/>
        </w:rPr>
        <w:t>lter[</w:t>
      </w:r>
      <w:proofErr w:type="spellStart"/>
      <w:r w:rsidR="0055744A" w:rsidRPr="002A7D9E">
        <w:rPr>
          <w:rFonts w:ascii="Times New Roman" w:hAnsi="Times New Roman" w:cs="Times New Roman"/>
          <w:sz w:val="24"/>
          <w:szCs w:val="24"/>
        </w:rPr>
        <w:t>ing</w:t>
      </w:r>
      <w:proofErr w:type="spellEnd"/>
      <w:r w:rsidR="0055744A" w:rsidRPr="002A7D9E">
        <w:rPr>
          <w:rFonts w:ascii="Times New Roman" w:hAnsi="Times New Roman" w:cs="Times New Roman"/>
          <w:sz w:val="24"/>
          <w:szCs w:val="24"/>
        </w:rPr>
        <w:t>] the information pool’ (</w:t>
      </w:r>
      <w:proofErr w:type="spellStart"/>
      <w:r w:rsidR="0055744A" w:rsidRPr="002A7D9E">
        <w:rPr>
          <w:rFonts w:ascii="Times New Roman" w:hAnsi="Times New Roman" w:cs="Times New Roman"/>
          <w:sz w:val="24"/>
          <w:szCs w:val="24"/>
        </w:rPr>
        <w:t>Hartlapp</w:t>
      </w:r>
      <w:proofErr w:type="spellEnd"/>
      <w:r w:rsidR="0055744A" w:rsidRPr="002A7D9E">
        <w:rPr>
          <w:rFonts w:ascii="Times New Roman" w:hAnsi="Times New Roman" w:cs="Times New Roman"/>
          <w:sz w:val="24"/>
          <w:szCs w:val="24"/>
        </w:rPr>
        <w:t xml:space="preserve"> 2009, </w:t>
      </w:r>
      <w:r w:rsidRPr="002A7D9E">
        <w:rPr>
          <w:rFonts w:ascii="Times New Roman" w:hAnsi="Times New Roman" w:cs="Times New Roman"/>
          <w:sz w:val="24"/>
          <w:szCs w:val="24"/>
        </w:rPr>
        <w:t>11), and lacking</w:t>
      </w:r>
      <w:r w:rsidR="00D22BEA" w:rsidRPr="002A7D9E">
        <w:rPr>
          <w:rFonts w:ascii="Times New Roman" w:hAnsi="Times New Roman" w:cs="Times New Roman"/>
          <w:sz w:val="24"/>
          <w:szCs w:val="24"/>
        </w:rPr>
        <w:t xml:space="preserve"> critical</w:t>
      </w:r>
      <w:r w:rsidRPr="002A7D9E">
        <w:rPr>
          <w:rFonts w:ascii="Times New Roman" w:hAnsi="Times New Roman" w:cs="Times New Roman"/>
          <w:sz w:val="24"/>
          <w:szCs w:val="24"/>
        </w:rPr>
        <w:t xml:space="preserve"> analysis:</w:t>
      </w:r>
    </w:p>
    <w:p w:rsidR="0089539C" w:rsidRPr="002A7D9E" w:rsidRDefault="0089539C" w:rsidP="001A3121">
      <w:pPr>
        <w:spacing w:after="0" w:line="480" w:lineRule="auto"/>
        <w:ind w:left="720"/>
        <w:rPr>
          <w:rFonts w:ascii="Times New Roman" w:eastAsia="Batang" w:hAnsi="Times New Roman" w:cs="Times New Roman"/>
          <w:i/>
          <w:sz w:val="24"/>
          <w:szCs w:val="24"/>
        </w:rPr>
      </w:pPr>
      <w:r w:rsidRPr="002A7D9E">
        <w:rPr>
          <w:rFonts w:ascii="Times New Roman" w:eastAsia="Batang" w:hAnsi="Times New Roman" w:cs="Times New Roman"/>
        </w:rPr>
        <w:t xml:space="preserve">I was left with the sense that it was more about logistics – making </w:t>
      </w:r>
      <w:proofErr w:type="gramStart"/>
      <w:r w:rsidRPr="002A7D9E">
        <w:rPr>
          <w:rFonts w:ascii="Times New Roman" w:eastAsia="Batang" w:hAnsi="Times New Roman" w:cs="Times New Roman"/>
        </w:rPr>
        <w:t>paths for certain</w:t>
      </w:r>
      <w:proofErr w:type="gramEnd"/>
      <w:r w:rsidRPr="002A7D9E">
        <w:rPr>
          <w:rFonts w:ascii="Times New Roman" w:eastAsia="Batang" w:hAnsi="Times New Roman" w:cs="Times New Roman"/>
        </w:rPr>
        <w:t xml:space="preserve"> kinds of knowledge to circulate, but not criticising that knowledge. Like constructing a pipeline of knowledge that goes from one place to anoth</w:t>
      </w:r>
      <w:r w:rsidR="0055744A" w:rsidRPr="002A7D9E">
        <w:rPr>
          <w:rFonts w:ascii="Times New Roman" w:eastAsia="Batang" w:hAnsi="Times New Roman" w:cs="Times New Roman"/>
        </w:rPr>
        <w:t xml:space="preserve">er, but not about </w:t>
      </w:r>
      <w:proofErr w:type="gramStart"/>
      <w:r w:rsidR="0055744A" w:rsidRPr="002A7D9E">
        <w:rPr>
          <w:rFonts w:ascii="Times New Roman" w:eastAsia="Batang" w:hAnsi="Times New Roman" w:cs="Times New Roman"/>
        </w:rPr>
        <w:t>critiquing</w:t>
      </w:r>
      <w:proofErr w:type="gramEnd"/>
      <w:r w:rsidR="0055744A" w:rsidRPr="002A7D9E">
        <w:rPr>
          <w:rFonts w:ascii="Times New Roman" w:eastAsia="Batang" w:hAnsi="Times New Roman" w:cs="Times New Roman"/>
        </w:rPr>
        <w:t xml:space="preserve"> it</w:t>
      </w:r>
      <w:r w:rsidRPr="002A7D9E">
        <w:rPr>
          <w:rFonts w:ascii="Times New Roman" w:eastAsia="Batang" w:hAnsi="Times New Roman" w:cs="Times New Roman"/>
          <w:i/>
        </w:rPr>
        <w:t xml:space="preserve"> </w:t>
      </w:r>
      <w:r w:rsidRPr="002A7D9E">
        <w:rPr>
          <w:rFonts w:ascii="Times New Roman" w:eastAsia="Batang" w:hAnsi="Times New Roman" w:cs="Times New Roman"/>
        </w:rPr>
        <w:t>(</w:t>
      </w:r>
      <w:proofErr w:type="spellStart"/>
      <w:r w:rsidRPr="002A7D9E">
        <w:rPr>
          <w:rFonts w:ascii="Times New Roman" w:eastAsia="Batang" w:hAnsi="Times New Roman" w:cs="Times New Roman"/>
        </w:rPr>
        <w:t>Timo</w:t>
      </w:r>
      <w:proofErr w:type="spellEnd"/>
      <w:r w:rsidRPr="002A7D9E">
        <w:rPr>
          <w:rFonts w:ascii="Times New Roman" w:eastAsia="Batang" w:hAnsi="Times New Roman" w:cs="Times New Roman"/>
        </w:rPr>
        <w:t>, expert, interview, September 2014).</w:t>
      </w:r>
    </w:p>
    <w:p w:rsidR="00BB78A3" w:rsidRPr="002A7D9E" w:rsidRDefault="00325E77"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The reports </w:t>
      </w:r>
      <w:r w:rsidR="00B70CC0" w:rsidRPr="002A7D9E">
        <w:rPr>
          <w:rFonts w:ascii="Times New Roman" w:hAnsi="Times New Roman" w:cs="Times New Roman"/>
          <w:sz w:val="24"/>
          <w:szCs w:val="24"/>
        </w:rPr>
        <w:t>include</w:t>
      </w:r>
      <w:r w:rsidR="00C74866" w:rsidRPr="002A7D9E">
        <w:rPr>
          <w:rFonts w:ascii="Times New Roman" w:hAnsi="Times New Roman" w:cs="Times New Roman"/>
          <w:sz w:val="24"/>
          <w:szCs w:val="24"/>
        </w:rPr>
        <w:t xml:space="preserve"> both</w:t>
      </w:r>
      <w:r w:rsidR="00B70CC0" w:rsidRPr="002A7D9E">
        <w:rPr>
          <w:rFonts w:ascii="Times New Roman" w:hAnsi="Times New Roman" w:cs="Times New Roman"/>
          <w:sz w:val="24"/>
          <w:szCs w:val="24"/>
        </w:rPr>
        <w:t xml:space="preserve"> examples and analysis, but more of the former than the latter</w:t>
      </w:r>
      <w:r w:rsidR="00D37F8E" w:rsidRPr="002A7D9E">
        <w:rPr>
          <w:rFonts w:ascii="Times New Roman" w:hAnsi="Times New Roman" w:cs="Times New Roman"/>
          <w:sz w:val="24"/>
          <w:szCs w:val="24"/>
        </w:rPr>
        <w:t>, leading one invited expert to claim that gathering, listening, and discussing are not enough</w:t>
      </w:r>
      <w:r w:rsidR="000A49D8" w:rsidRPr="002A7D9E">
        <w:rPr>
          <w:rFonts w:ascii="Times New Roman" w:hAnsi="Times New Roman" w:cs="Times New Roman"/>
          <w:sz w:val="24"/>
          <w:szCs w:val="24"/>
        </w:rPr>
        <w:t xml:space="preserve"> –</w:t>
      </w:r>
      <w:r w:rsidR="00D37F8E" w:rsidRPr="002A7D9E">
        <w:rPr>
          <w:rFonts w:ascii="Times New Roman" w:hAnsi="Times New Roman" w:cs="Times New Roman"/>
          <w:sz w:val="24"/>
          <w:szCs w:val="24"/>
        </w:rPr>
        <w:t xml:space="preserve"> that</w:t>
      </w:r>
      <w:r w:rsidR="000A49D8" w:rsidRPr="002A7D9E">
        <w:rPr>
          <w:rFonts w:ascii="Times New Roman" w:hAnsi="Times New Roman" w:cs="Times New Roman"/>
          <w:sz w:val="24"/>
          <w:szCs w:val="24"/>
        </w:rPr>
        <w:t xml:space="preserve"> </w:t>
      </w:r>
      <w:r w:rsidR="00D37F8E" w:rsidRPr="002A7D9E">
        <w:rPr>
          <w:rFonts w:ascii="Times New Roman" w:hAnsi="Times New Roman" w:cs="Times New Roman"/>
          <w:sz w:val="24"/>
          <w:szCs w:val="24"/>
        </w:rPr>
        <w:t>there</w:t>
      </w:r>
      <w:r w:rsidR="00A772E1" w:rsidRPr="002A7D9E">
        <w:rPr>
          <w:rFonts w:ascii="Times New Roman" w:hAnsi="Times New Roman" w:cs="Times New Roman"/>
          <w:sz w:val="24"/>
          <w:szCs w:val="24"/>
        </w:rPr>
        <w:t xml:space="preserve"> are ‘too many databases</w:t>
      </w:r>
      <w:r w:rsidR="00821DEA" w:rsidRPr="002A7D9E">
        <w:rPr>
          <w:rFonts w:ascii="Times New Roman" w:hAnsi="Times New Roman" w:cs="Times New Roman"/>
          <w:sz w:val="24"/>
          <w:szCs w:val="24"/>
        </w:rPr>
        <w:t xml:space="preserve"> of best </w:t>
      </w:r>
      <w:r w:rsidR="00821DEA" w:rsidRPr="002A7D9E">
        <w:rPr>
          <w:rFonts w:ascii="Times New Roman" w:hAnsi="Times New Roman" w:cs="Times New Roman"/>
          <w:sz w:val="24"/>
          <w:szCs w:val="24"/>
        </w:rPr>
        <w:lastRenderedPageBreak/>
        <w:t>practices</w:t>
      </w:r>
      <w:r w:rsidR="00A772E1" w:rsidRPr="002A7D9E">
        <w:rPr>
          <w:rFonts w:ascii="Times New Roman" w:hAnsi="Times New Roman" w:cs="Times New Roman"/>
          <w:sz w:val="24"/>
          <w:szCs w:val="24"/>
        </w:rPr>
        <w:t xml:space="preserve">’ </w:t>
      </w:r>
      <w:r w:rsidR="0009219C" w:rsidRPr="002A7D9E">
        <w:rPr>
          <w:rFonts w:ascii="Times New Roman" w:hAnsi="Times New Roman" w:cs="Times New Roman"/>
          <w:sz w:val="24"/>
          <w:szCs w:val="24"/>
        </w:rPr>
        <w:t>(Camilla, interview, November 2014).</w:t>
      </w:r>
      <w:r w:rsidR="00996DEB" w:rsidRPr="002A7D9E">
        <w:rPr>
          <w:rFonts w:ascii="Times New Roman" w:hAnsi="Times New Roman" w:cs="Times New Roman"/>
          <w:sz w:val="24"/>
          <w:szCs w:val="24"/>
        </w:rPr>
        <w:t xml:space="preserve"> </w:t>
      </w:r>
      <w:r w:rsidR="00B70CC0" w:rsidRPr="002A7D9E">
        <w:rPr>
          <w:rFonts w:ascii="Times New Roman" w:hAnsi="Times New Roman" w:cs="Times New Roman"/>
          <w:sz w:val="24"/>
          <w:szCs w:val="24"/>
        </w:rPr>
        <w:t>In addition, t</w:t>
      </w:r>
      <w:r w:rsidR="0089539C" w:rsidRPr="002A7D9E">
        <w:rPr>
          <w:rFonts w:ascii="Times New Roman" w:hAnsi="Times New Roman" w:cs="Times New Roman"/>
          <w:sz w:val="24"/>
          <w:szCs w:val="24"/>
        </w:rPr>
        <w:t>he reports</w:t>
      </w:r>
      <w:r w:rsidR="00996DEB" w:rsidRPr="002A7D9E">
        <w:rPr>
          <w:rFonts w:ascii="Times New Roman" w:hAnsi="Times New Roman" w:cs="Times New Roman"/>
          <w:sz w:val="24"/>
          <w:szCs w:val="24"/>
        </w:rPr>
        <w:t xml:space="preserve"> </w:t>
      </w:r>
      <w:r w:rsidR="0089539C" w:rsidRPr="002A7D9E">
        <w:rPr>
          <w:rFonts w:ascii="Times New Roman" w:hAnsi="Times New Roman" w:cs="Times New Roman"/>
          <w:sz w:val="24"/>
          <w:szCs w:val="24"/>
        </w:rPr>
        <w:t>represent a collation of ideas, but</w:t>
      </w:r>
      <w:r w:rsidR="00F513C8" w:rsidRPr="002A7D9E">
        <w:rPr>
          <w:rFonts w:ascii="Times New Roman" w:hAnsi="Times New Roman" w:cs="Times New Roman"/>
          <w:sz w:val="24"/>
          <w:szCs w:val="24"/>
        </w:rPr>
        <w:t xml:space="preserve"> are </w:t>
      </w:r>
      <w:r w:rsidR="00A90F98" w:rsidRPr="002A7D9E">
        <w:rPr>
          <w:rFonts w:ascii="Times New Roman" w:hAnsi="Times New Roman" w:cs="Times New Roman"/>
          <w:i/>
          <w:sz w:val="24"/>
          <w:szCs w:val="24"/>
        </w:rPr>
        <w:t>ex post</w:t>
      </w:r>
      <w:r w:rsidR="00934F64" w:rsidRPr="002A7D9E">
        <w:rPr>
          <w:rFonts w:ascii="Times New Roman" w:hAnsi="Times New Roman" w:cs="Times New Roman"/>
          <w:sz w:val="24"/>
          <w:szCs w:val="24"/>
        </w:rPr>
        <w:t>, rather than innovative</w:t>
      </w:r>
      <w:r w:rsidR="00A90F98" w:rsidRPr="002A7D9E">
        <w:rPr>
          <w:rFonts w:ascii="Times New Roman" w:hAnsi="Times New Roman" w:cs="Times New Roman"/>
          <w:sz w:val="24"/>
          <w:szCs w:val="24"/>
        </w:rPr>
        <w:t xml:space="preserve"> and </w:t>
      </w:r>
      <w:proofErr w:type="gramStart"/>
      <w:r w:rsidR="00A90F98" w:rsidRPr="002A7D9E">
        <w:rPr>
          <w:rFonts w:ascii="Times New Roman" w:hAnsi="Times New Roman" w:cs="Times New Roman"/>
          <w:sz w:val="24"/>
          <w:szCs w:val="24"/>
        </w:rPr>
        <w:t>forward-thinking</w:t>
      </w:r>
      <w:proofErr w:type="gramEnd"/>
      <w:r w:rsidR="007F4887" w:rsidRPr="002A7D9E">
        <w:rPr>
          <w:rFonts w:ascii="Times New Roman" w:hAnsi="Times New Roman" w:cs="Times New Roman"/>
          <w:sz w:val="24"/>
          <w:szCs w:val="24"/>
        </w:rPr>
        <w:t>:</w:t>
      </w:r>
      <w:r w:rsidR="00E674DA" w:rsidRPr="002A7D9E">
        <w:rPr>
          <w:rFonts w:ascii="Times New Roman" w:hAnsi="Times New Roman" w:cs="Times New Roman"/>
          <w:sz w:val="24"/>
          <w:szCs w:val="24"/>
        </w:rPr>
        <w:t xml:space="preserve"> ‘[h]</w:t>
      </w:r>
      <w:proofErr w:type="spellStart"/>
      <w:r w:rsidR="00E674DA" w:rsidRPr="002A7D9E">
        <w:rPr>
          <w:rFonts w:ascii="Times New Roman" w:hAnsi="Times New Roman" w:cs="Times New Roman"/>
          <w:sz w:val="24"/>
          <w:szCs w:val="24"/>
        </w:rPr>
        <w:t>istory</w:t>
      </w:r>
      <w:proofErr w:type="spellEnd"/>
      <w:r w:rsidR="00E674DA" w:rsidRPr="002A7D9E">
        <w:rPr>
          <w:rFonts w:ascii="Times New Roman" w:hAnsi="Times New Roman" w:cs="Times New Roman"/>
          <w:sz w:val="24"/>
          <w:szCs w:val="24"/>
        </w:rPr>
        <w:t xml:space="preserve"> does not provide lessons, but a stock of ambiguous evidence in search of interpretation’ (</w:t>
      </w:r>
      <w:proofErr w:type="spellStart"/>
      <w:r w:rsidR="00E674DA" w:rsidRPr="002A7D9E">
        <w:rPr>
          <w:rFonts w:ascii="Times New Roman" w:hAnsi="Times New Roman" w:cs="Times New Roman"/>
          <w:sz w:val="24"/>
          <w:szCs w:val="24"/>
        </w:rPr>
        <w:t>Radaelli</w:t>
      </w:r>
      <w:proofErr w:type="spellEnd"/>
      <w:r w:rsidR="00E674DA" w:rsidRPr="002A7D9E">
        <w:rPr>
          <w:rFonts w:ascii="Times New Roman" w:hAnsi="Times New Roman" w:cs="Times New Roman"/>
          <w:sz w:val="24"/>
          <w:szCs w:val="24"/>
        </w:rPr>
        <w:t xml:space="preserve"> 2004, 743</w:t>
      </w:r>
      <w:r w:rsidR="0050176F" w:rsidRPr="002A7D9E">
        <w:rPr>
          <w:rFonts w:ascii="Times New Roman" w:hAnsi="Times New Roman" w:cs="Times New Roman"/>
          <w:sz w:val="24"/>
          <w:szCs w:val="24"/>
        </w:rPr>
        <w:t xml:space="preserve">). They are also </w:t>
      </w:r>
      <w:r w:rsidR="0089539C" w:rsidRPr="002A7D9E">
        <w:rPr>
          <w:rFonts w:ascii="Times New Roman" w:hAnsi="Times New Roman" w:cs="Times New Roman"/>
          <w:sz w:val="24"/>
          <w:szCs w:val="24"/>
        </w:rPr>
        <w:t>not based on so</w:t>
      </w:r>
      <w:r w:rsidR="00BB78A3" w:rsidRPr="002A7D9E">
        <w:rPr>
          <w:rFonts w:ascii="Times New Roman" w:hAnsi="Times New Roman" w:cs="Times New Roman"/>
          <w:sz w:val="24"/>
          <w:szCs w:val="24"/>
        </w:rPr>
        <w:t>lving a clearly defined problem (see more on this below</w:t>
      </w:r>
      <w:r w:rsidR="0050176F" w:rsidRPr="002A7D9E">
        <w:rPr>
          <w:rFonts w:ascii="Times New Roman" w:hAnsi="Times New Roman" w:cs="Times New Roman"/>
          <w:sz w:val="24"/>
          <w:szCs w:val="24"/>
        </w:rPr>
        <w:t xml:space="preserve">) and </w:t>
      </w:r>
      <w:r w:rsidR="00A22EB8" w:rsidRPr="002A7D9E">
        <w:rPr>
          <w:rFonts w:ascii="Times New Roman" w:hAnsi="Times New Roman" w:cs="Times New Roman"/>
          <w:sz w:val="24"/>
          <w:szCs w:val="24"/>
        </w:rPr>
        <w:t xml:space="preserve">run the risk of ‘silencing debate,’ since </w:t>
      </w:r>
      <w:r w:rsidR="007F4887" w:rsidRPr="002A7D9E">
        <w:rPr>
          <w:rFonts w:ascii="Times New Roman" w:hAnsi="Times New Roman" w:cs="Times New Roman"/>
          <w:sz w:val="24"/>
          <w:szCs w:val="24"/>
        </w:rPr>
        <w:t xml:space="preserve">certain ways of </w:t>
      </w:r>
      <w:r w:rsidR="00177F03" w:rsidRPr="002A7D9E">
        <w:rPr>
          <w:rFonts w:ascii="Times New Roman" w:hAnsi="Times New Roman" w:cs="Times New Roman"/>
          <w:sz w:val="24"/>
          <w:szCs w:val="24"/>
        </w:rPr>
        <w:t>“</w:t>
      </w:r>
      <w:r w:rsidR="007F4887" w:rsidRPr="002A7D9E">
        <w:rPr>
          <w:rFonts w:ascii="Times New Roman" w:hAnsi="Times New Roman" w:cs="Times New Roman"/>
          <w:sz w:val="24"/>
          <w:szCs w:val="24"/>
        </w:rPr>
        <w:t>doing things</w:t>
      </w:r>
      <w:r w:rsidR="00177F03" w:rsidRPr="002A7D9E">
        <w:rPr>
          <w:rFonts w:ascii="Times New Roman" w:hAnsi="Times New Roman" w:cs="Times New Roman"/>
          <w:sz w:val="24"/>
          <w:szCs w:val="24"/>
        </w:rPr>
        <w:t>”</w:t>
      </w:r>
      <w:r w:rsidR="007F4887" w:rsidRPr="002A7D9E">
        <w:rPr>
          <w:rFonts w:ascii="Times New Roman" w:hAnsi="Times New Roman" w:cs="Times New Roman"/>
          <w:sz w:val="24"/>
          <w:szCs w:val="24"/>
        </w:rPr>
        <w:t xml:space="preserve"> are prioritized</w:t>
      </w:r>
      <w:r w:rsidR="00F626A2" w:rsidRPr="002A7D9E">
        <w:rPr>
          <w:rFonts w:ascii="Times New Roman" w:hAnsi="Times New Roman" w:cs="Times New Roman"/>
          <w:sz w:val="24"/>
          <w:szCs w:val="24"/>
        </w:rPr>
        <w:t xml:space="preserve"> (</w:t>
      </w:r>
      <w:proofErr w:type="spellStart"/>
      <w:r w:rsidR="00F626A2" w:rsidRPr="002A7D9E">
        <w:rPr>
          <w:rFonts w:ascii="Times New Roman" w:hAnsi="Times New Roman" w:cs="Times New Roman"/>
          <w:sz w:val="24"/>
          <w:szCs w:val="24"/>
        </w:rPr>
        <w:t>Radaelli</w:t>
      </w:r>
      <w:proofErr w:type="spellEnd"/>
      <w:r w:rsidR="00F626A2" w:rsidRPr="002A7D9E">
        <w:rPr>
          <w:rFonts w:ascii="Times New Roman" w:hAnsi="Times New Roman" w:cs="Times New Roman"/>
          <w:sz w:val="24"/>
          <w:szCs w:val="24"/>
        </w:rPr>
        <w:t xml:space="preserve"> 2004, 726).</w:t>
      </w:r>
      <w:r w:rsidR="00D90995" w:rsidRPr="002A7D9E">
        <w:rPr>
          <w:rFonts w:ascii="Times New Roman" w:hAnsi="Times New Roman" w:cs="Times New Roman"/>
          <w:sz w:val="24"/>
          <w:szCs w:val="24"/>
        </w:rPr>
        <w:t xml:space="preserve"> As </w:t>
      </w:r>
      <w:proofErr w:type="spellStart"/>
      <w:r w:rsidR="00D90995" w:rsidRPr="002A7D9E">
        <w:rPr>
          <w:rFonts w:ascii="Times New Roman" w:hAnsi="Times New Roman" w:cs="Times New Roman"/>
          <w:sz w:val="24"/>
          <w:szCs w:val="24"/>
        </w:rPr>
        <w:t>Radaelli</w:t>
      </w:r>
      <w:proofErr w:type="spellEnd"/>
      <w:r w:rsidR="00D90995" w:rsidRPr="002A7D9E">
        <w:rPr>
          <w:rFonts w:ascii="Times New Roman" w:hAnsi="Times New Roman" w:cs="Times New Roman"/>
          <w:sz w:val="24"/>
          <w:szCs w:val="24"/>
        </w:rPr>
        <w:t xml:space="preserve"> (2004</w:t>
      </w:r>
      <w:r w:rsidR="00A22EB8" w:rsidRPr="002A7D9E">
        <w:rPr>
          <w:rFonts w:ascii="Times New Roman" w:hAnsi="Times New Roman" w:cs="Times New Roman"/>
          <w:sz w:val="24"/>
          <w:szCs w:val="24"/>
        </w:rPr>
        <w:t xml:space="preserve">) argues, best practices </w:t>
      </w:r>
      <w:r w:rsidR="00A22EB8" w:rsidRPr="002A7D9E">
        <w:rPr>
          <w:rFonts w:ascii="Times New Roman" w:hAnsi="Times New Roman" w:cs="Times New Roman"/>
          <w:i/>
          <w:sz w:val="24"/>
          <w:szCs w:val="24"/>
        </w:rPr>
        <w:t>should</w:t>
      </w:r>
      <w:r w:rsidR="00A22EB8" w:rsidRPr="002A7D9E">
        <w:rPr>
          <w:rFonts w:ascii="Times New Roman" w:hAnsi="Times New Roman" w:cs="Times New Roman"/>
          <w:sz w:val="24"/>
          <w:szCs w:val="24"/>
        </w:rPr>
        <w:t xml:space="preserve"> stimulate and encourage discussion, rather th</w:t>
      </w:r>
      <w:r w:rsidR="008F4E23" w:rsidRPr="002A7D9E">
        <w:rPr>
          <w:rFonts w:ascii="Times New Roman" w:hAnsi="Times New Roman" w:cs="Times New Roman"/>
          <w:sz w:val="24"/>
          <w:szCs w:val="24"/>
        </w:rPr>
        <w:t>an act as a one-way communiqué</w:t>
      </w:r>
      <w:r w:rsidR="00A22EB8" w:rsidRPr="002A7D9E">
        <w:rPr>
          <w:rFonts w:ascii="Times New Roman" w:hAnsi="Times New Roman" w:cs="Times New Roman"/>
          <w:sz w:val="24"/>
          <w:szCs w:val="24"/>
        </w:rPr>
        <w:t>.</w:t>
      </w:r>
    </w:p>
    <w:p w:rsidR="002315DA" w:rsidRPr="002A7D9E" w:rsidRDefault="002315DA" w:rsidP="001A3121">
      <w:pPr>
        <w:spacing w:after="0" w:line="480" w:lineRule="auto"/>
        <w:rPr>
          <w:rFonts w:ascii="Times New Roman" w:hAnsi="Times New Roman" w:cs="Times New Roman"/>
          <w:sz w:val="24"/>
          <w:szCs w:val="24"/>
        </w:rPr>
      </w:pPr>
    </w:p>
    <w:p w:rsidR="0041094B" w:rsidRPr="002A7D9E" w:rsidRDefault="0041094B" w:rsidP="001A3121">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Discu</w:t>
      </w:r>
      <w:r w:rsidR="00D252E9" w:rsidRPr="002A7D9E">
        <w:rPr>
          <w:rFonts w:ascii="Times New Roman" w:hAnsi="Times New Roman" w:cs="Times New Roman"/>
          <w:b/>
          <w:sz w:val="24"/>
          <w:szCs w:val="24"/>
        </w:rPr>
        <w:t>ssion</w:t>
      </w:r>
      <w:r w:rsidR="00ED51D7" w:rsidRPr="002A7D9E">
        <w:rPr>
          <w:rFonts w:ascii="Times New Roman" w:hAnsi="Times New Roman" w:cs="Times New Roman"/>
          <w:b/>
          <w:sz w:val="24"/>
          <w:szCs w:val="24"/>
        </w:rPr>
        <w:t xml:space="preserve"> and lessons</w:t>
      </w:r>
    </w:p>
    <w:p w:rsidR="00BC0844" w:rsidRPr="002A7D9E" w:rsidRDefault="00996DEB"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The </w:t>
      </w:r>
      <w:r w:rsidR="00C74866" w:rsidRPr="002A7D9E">
        <w:rPr>
          <w:rFonts w:ascii="Times New Roman" w:hAnsi="Times New Roman" w:cs="Times New Roman"/>
          <w:sz w:val="24"/>
          <w:szCs w:val="24"/>
        </w:rPr>
        <w:t xml:space="preserve">themes </w:t>
      </w:r>
      <w:r w:rsidR="00821DEA" w:rsidRPr="002A7D9E">
        <w:rPr>
          <w:rFonts w:ascii="Times New Roman" w:hAnsi="Times New Roman" w:cs="Times New Roman"/>
          <w:sz w:val="24"/>
          <w:szCs w:val="24"/>
        </w:rPr>
        <w:t xml:space="preserve">raised above show </w:t>
      </w:r>
      <w:r w:rsidRPr="002A7D9E">
        <w:rPr>
          <w:rFonts w:ascii="Times New Roman" w:hAnsi="Times New Roman" w:cs="Times New Roman"/>
          <w:sz w:val="24"/>
          <w:szCs w:val="24"/>
        </w:rPr>
        <w:t>that while b</w:t>
      </w:r>
      <w:r w:rsidR="008808CC" w:rsidRPr="002A7D9E">
        <w:rPr>
          <w:rFonts w:ascii="Times New Roman" w:hAnsi="Times New Roman" w:cs="Times New Roman"/>
          <w:sz w:val="24"/>
          <w:szCs w:val="24"/>
        </w:rPr>
        <w:t>est practice reports represent, in theory</w:t>
      </w:r>
      <w:r w:rsidR="005C3F29" w:rsidRPr="002A7D9E">
        <w:rPr>
          <w:rFonts w:ascii="Times New Roman" w:hAnsi="Times New Roman" w:cs="Times New Roman"/>
          <w:sz w:val="24"/>
          <w:szCs w:val="24"/>
        </w:rPr>
        <w:t xml:space="preserve">, a tangible and </w:t>
      </w:r>
      <w:r w:rsidR="00A23360" w:rsidRPr="002A7D9E">
        <w:rPr>
          <w:rFonts w:ascii="Times New Roman" w:hAnsi="Times New Roman" w:cs="Times New Roman"/>
          <w:sz w:val="24"/>
          <w:szCs w:val="24"/>
        </w:rPr>
        <w:t>valuable</w:t>
      </w:r>
      <w:r w:rsidR="005C3F29" w:rsidRPr="002A7D9E">
        <w:rPr>
          <w:rFonts w:ascii="Times New Roman" w:hAnsi="Times New Roman" w:cs="Times New Roman"/>
          <w:sz w:val="24"/>
          <w:szCs w:val="24"/>
        </w:rPr>
        <w:t xml:space="preserve"> guide </w:t>
      </w:r>
      <w:r w:rsidR="008808CC" w:rsidRPr="002A7D9E">
        <w:rPr>
          <w:rFonts w:ascii="Times New Roman" w:hAnsi="Times New Roman" w:cs="Times New Roman"/>
          <w:sz w:val="24"/>
          <w:szCs w:val="24"/>
        </w:rPr>
        <w:t>that has the potential to be widely disseminated</w:t>
      </w:r>
      <w:r w:rsidRPr="002A7D9E">
        <w:rPr>
          <w:rFonts w:ascii="Times New Roman" w:hAnsi="Times New Roman" w:cs="Times New Roman"/>
          <w:sz w:val="24"/>
          <w:szCs w:val="24"/>
        </w:rPr>
        <w:t xml:space="preserve">, they also raise several fundamental </w:t>
      </w:r>
      <w:r w:rsidR="009456AE" w:rsidRPr="002A7D9E">
        <w:rPr>
          <w:rFonts w:ascii="Times New Roman" w:hAnsi="Times New Roman" w:cs="Times New Roman"/>
          <w:sz w:val="24"/>
          <w:szCs w:val="24"/>
        </w:rPr>
        <w:t xml:space="preserve">conceptual </w:t>
      </w:r>
      <w:r w:rsidRPr="002A7D9E">
        <w:rPr>
          <w:rFonts w:ascii="Times New Roman" w:hAnsi="Times New Roman" w:cs="Times New Roman"/>
          <w:sz w:val="24"/>
          <w:szCs w:val="24"/>
        </w:rPr>
        <w:t>questions for the cultural field</w:t>
      </w:r>
      <w:r w:rsidR="008808CC" w:rsidRPr="002A7D9E">
        <w:rPr>
          <w:rFonts w:ascii="Times New Roman" w:hAnsi="Times New Roman" w:cs="Times New Roman"/>
          <w:sz w:val="24"/>
          <w:szCs w:val="24"/>
        </w:rPr>
        <w:t>.</w:t>
      </w:r>
      <w:r w:rsidR="005C3F29"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While </w:t>
      </w:r>
      <w:r w:rsidR="005C3F29" w:rsidRPr="002A7D9E">
        <w:rPr>
          <w:rFonts w:ascii="Times New Roman" w:hAnsi="Times New Roman" w:cs="Times New Roman"/>
          <w:sz w:val="24"/>
          <w:szCs w:val="24"/>
        </w:rPr>
        <w:t>m</w:t>
      </w:r>
      <w:r w:rsidRPr="002A7D9E">
        <w:rPr>
          <w:rFonts w:ascii="Times New Roman" w:hAnsi="Times New Roman" w:cs="Times New Roman"/>
          <w:sz w:val="24"/>
          <w:szCs w:val="24"/>
        </w:rPr>
        <w:t xml:space="preserve">any experts do use the reports in their own practices, </w:t>
      </w:r>
      <w:r w:rsidR="00CA7C3D" w:rsidRPr="002A7D9E">
        <w:rPr>
          <w:rFonts w:ascii="Times New Roman" w:hAnsi="Times New Roman" w:cs="Times New Roman"/>
          <w:sz w:val="24"/>
          <w:szCs w:val="24"/>
        </w:rPr>
        <w:t>interviews with practitioners have illuminated several issues</w:t>
      </w:r>
      <w:r w:rsidR="00020796" w:rsidRPr="002A7D9E">
        <w:rPr>
          <w:rFonts w:ascii="Times New Roman" w:hAnsi="Times New Roman" w:cs="Times New Roman"/>
          <w:sz w:val="24"/>
          <w:szCs w:val="24"/>
        </w:rPr>
        <w:t xml:space="preserve"> that warrant further consideration</w:t>
      </w:r>
      <w:r w:rsidR="008808CC" w:rsidRPr="002A7D9E">
        <w:rPr>
          <w:rFonts w:ascii="Times New Roman" w:hAnsi="Times New Roman" w:cs="Times New Roman"/>
          <w:sz w:val="24"/>
          <w:szCs w:val="24"/>
        </w:rPr>
        <w:t>.</w:t>
      </w:r>
      <w:r w:rsidR="009A1F15" w:rsidRPr="002A7D9E">
        <w:rPr>
          <w:rFonts w:ascii="Times New Roman" w:hAnsi="Times New Roman" w:cs="Times New Roman"/>
          <w:sz w:val="24"/>
          <w:szCs w:val="24"/>
        </w:rPr>
        <w:t xml:space="preserve"> </w:t>
      </w:r>
      <w:proofErr w:type="spellStart"/>
      <w:r w:rsidR="00BC0844" w:rsidRPr="002A7D9E">
        <w:rPr>
          <w:rFonts w:ascii="Times New Roman" w:hAnsi="Times New Roman" w:cs="Times New Roman"/>
          <w:sz w:val="24"/>
          <w:szCs w:val="24"/>
        </w:rPr>
        <w:t>Bartek</w:t>
      </w:r>
      <w:proofErr w:type="spellEnd"/>
      <w:r w:rsidR="00BC0844" w:rsidRPr="002A7D9E">
        <w:rPr>
          <w:rFonts w:ascii="Times New Roman" w:hAnsi="Times New Roman" w:cs="Times New Roman"/>
          <w:sz w:val="24"/>
          <w:szCs w:val="24"/>
        </w:rPr>
        <w:t xml:space="preserve">, a guest expert, captured many of these tensions in his thoughts on the </w:t>
      </w:r>
      <w:r w:rsidR="00F653D8" w:rsidRPr="002A7D9E">
        <w:rPr>
          <w:rFonts w:ascii="Times New Roman" w:hAnsi="Times New Roman" w:cs="Times New Roman"/>
          <w:sz w:val="24"/>
          <w:szCs w:val="24"/>
        </w:rPr>
        <w:t>under-</w:t>
      </w:r>
      <w:r w:rsidR="00BC0844" w:rsidRPr="002A7D9E">
        <w:rPr>
          <w:rFonts w:ascii="Times New Roman" w:hAnsi="Times New Roman" w:cs="Times New Roman"/>
          <w:sz w:val="24"/>
          <w:szCs w:val="24"/>
        </w:rPr>
        <w:t>conceptuali</w:t>
      </w:r>
      <w:r w:rsidR="002A0980" w:rsidRPr="002A7D9E">
        <w:rPr>
          <w:rFonts w:ascii="Times New Roman" w:hAnsi="Times New Roman" w:cs="Times New Roman"/>
          <w:sz w:val="24"/>
          <w:szCs w:val="24"/>
        </w:rPr>
        <w:t>z</w:t>
      </w:r>
      <w:r w:rsidR="00BC0844" w:rsidRPr="002A7D9E">
        <w:rPr>
          <w:rFonts w:ascii="Times New Roman" w:hAnsi="Times New Roman" w:cs="Times New Roman"/>
          <w:sz w:val="24"/>
          <w:szCs w:val="24"/>
        </w:rPr>
        <w:t xml:space="preserve">ation of best practices: </w:t>
      </w:r>
    </w:p>
    <w:p w:rsidR="00BC0844" w:rsidRPr="002A7D9E" w:rsidRDefault="00BC0844" w:rsidP="001A3121">
      <w:pPr>
        <w:pStyle w:val="ListParagraph"/>
        <w:spacing w:after="0" w:line="480" w:lineRule="auto"/>
        <w:rPr>
          <w:rFonts w:ascii="Times New Roman" w:hAnsi="Times New Roman" w:cs="Times New Roman"/>
        </w:rPr>
      </w:pPr>
      <w:r w:rsidRPr="002A7D9E">
        <w:rPr>
          <w:rFonts w:ascii="Times New Roman" w:hAnsi="Times New Roman" w:cs="Times New Roman"/>
        </w:rPr>
        <w:t xml:space="preserve">…sharing best practices and discussing: </w:t>
      </w:r>
      <w:proofErr w:type="gramStart"/>
      <w:r w:rsidRPr="002A7D9E">
        <w:rPr>
          <w:rFonts w:ascii="Times New Roman" w:hAnsi="Times New Roman" w:cs="Times New Roman"/>
        </w:rPr>
        <w:t>it’s</w:t>
      </w:r>
      <w:proofErr w:type="gramEnd"/>
      <w:r w:rsidRPr="002A7D9E">
        <w:rPr>
          <w:rFonts w:ascii="Times New Roman" w:hAnsi="Times New Roman" w:cs="Times New Roman"/>
        </w:rPr>
        <w:t xml:space="preserve"> important. </w:t>
      </w:r>
      <w:proofErr w:type="gramStart"/>
      <w:r w:rsidRPr="002A7D9E">
        <w:rPr>
          <w:rFonts w:ascii="Times New Roman" w:hAnsi="Times New Roman" w:cs="Times New Roman"/>
        </w:rPr>
        <w:t>But</w:t>
      </w:r>
      <w:proofErr w:type="gramEnd"/>
      <w:r w:rsidRPr="002A7D9E">
        <w:rPr>
          <w:rFonts w:ascii="Times New Roman" w:hAnsi="Times New Roman" w:cs="Times New Roman"/>
        </w:rPr>
        <w:t xml:space="preserve"> you do not demonstrate the importance of your activity with best practices. […] Good practices, I often say, that in their best dimension, it is testimony; in their worst dimension, </w:t>
      </w:r>
      <w:proofErr w:type="gramStart"/>
      <w:r w:rsidRPr="002A7D9E">
        <w:rPr>
          <w:rFonts w:ascii="Times New Roman" w:hAnsi="Times New Roman" w:cs="Times New Roman"/>
        </w:rPr>
        <w:t>it’s</w:t>
      </w:r>
      <w:proofErr w:type="gramEnd"/>
      <w:r w:rsidRPr="002A7D9E">
        <w:rPr>
          <w:rFonts w:ascii="Times New Roman" w:hAnsi="Times New Roman" w:cs="Times New Roman"/>
        </w:rPr>
        <w:t xml:space="preserve"> just publicity. […] We have too many best practices </w:t>
      </w:r>
      <w:r w:rsidRPr="002A7D9E">
        <w:rPr>
          <w:rFonts w:ascii="Times New Roman" w:hAnsi="Times New Roman" w:cs="Times New Roman"/>
        </w:rPr>
        <w:lastRenderedPageBreak/>
        <w:t>reports. I think the cultural field in Europe, post-crisis, will die with their best practices!”</w:t>
      </w:r>
      <w:r w:rsidR="000D7815" w:rsidRPr="002A7D9E">
        <w:rPr>
          <w:rFonts w:ascii="Times New Roman" w:hAnsi="Times New Roman" w:cs="Times New Roman"/>
        </w:rPr>
        <w:t xml:space="preserve"> (</w:t>
      </w:r>
      <w:proofErr w:type="gramStart"/>
      <w:r w:rsidRPr="002A7D9E">
        <w:rPr>
          <w:rFonts w:ascii="Times New Roman" w:hAnsi="Times New Roman" w:cs="Times New Roman"/>
        </w:rPr>
        <w:t>interview</w:t>
      </w:r>
      <w:proofErr w:type="gramEnd"/>
      <w:r w:rsidRPr="002A7D9E">
        <w:rPr>
          <w:rFonts w:ascii="Times New Roman" w:hAnsi="Times New Roman" w:cs="Times New Roman"/>
        </w:rPr>
        <w:t>, November 2014).</w:t>
      </w:r>
    </w:p>
    <w:p w:rsidR="008808CC" w:rsidRPr="002A7D9E" w:rsidRDefault="008808CC" w:rsidP="001A3121">
      <w:pPr>
        <w:spacing w:after="0" w:line="480" w:lineRule="auto"/>
        <w:rPr>
          <w:rFonts w:ascii="Times New Roman" w:hAnsi="Times New Roman" w:cs="Times New Roman"/>
          <w:sz w:val="24"/>
          <w:szCs w:val="24"/>
        </w:rPr>
      </w:pPr>
    </w:p>
    <w:p w:rsidR="00D15F96" w:rsidRPr="002A7D9E" w:rsidRDefault="00D252E9"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How do we explain these findings</w:t>
      </w:r>
      <w:r w:rsidR="005C39DC" w:rsidRPr="002A7D9E">
        <w:rPr>
          <w:rFonts w:ascii="Times New Roman" w:hAnsi="Times New Roman" w:cs="Times New Roman"/>
          <w:sz w:val="24"/>
          <w:szCs w:val="24"/>
        </w:rPr>
        <w:t xml:space="preserve"> and create lessons for future sharing</w:t>
      </w:r>
      <w:r w:rsidR="0032753A" w:rsidRPr="002A7D9E">
        <w:rPr>
          <w:rFonts w:ascii="Times New Roman" w:hAnsi="Times New Roman" w:cs="Times New Roman"/>
          <w:sz w:val="24"/>
          <w:szCs w:val="24"/>
        </w:rPr>
        <w:t xml:space="preserve"> and exchange</w:t>
      </w:r>
      <w:r w:rsidRPr="002A7D9E">
        <w:rPr>
          <w:rFonts w:ascii="Times New Roman" w:hAnsi="Times New Roman" w:cs="Times New Roman"/>
          <w:sz w:val="24"/>
          <w:szCs w:val="24"/>
        </w:rPr>
        <w:t xml:space="preserve">? </w:t>
      </w:r>
      <w:r w:rsidR="00513DE8" w:rsidRPr="002A7D9E">
        <w:rPr>
          <w:rFonts w:ascii="Times New Roman" w:hAnsi="Times New Roman" w:cs="Times New Roman"/>
          <w:sz w:val="24"/>
          <w:szCs w:val="24"/>
        </w:rPr>
        <w:t xml:space="preserve">Below, I offer </w:t>
      </w:r>
      <w:r w:rsidR="00D32110" w:rsidRPr="002A7D9E">
        <w:rPr>
          <w:rFonts w:ascii="Times New Roman" w:hAnsi="Times New Roman" w:cs="Times New Roman"/>
          <w:sz w:val="24"/>
          <w:szCs w:val="24"/>
        </w:rPr>
        <w:t>six</w:t>
      </w:r>
      <w:r w:rsidR="00513DE8" w:rsidRPr="002A7D9E">
        <w:rPr>
          <w:rFonts w:ascii="Times New Roman" w:hAnsi="Times New Roman" w:cs="Times New Roman"/>
          <w:sz w:val="24"/>
          <w:szCs w:val="24"/>
        </w:rPr>
        <w:t xml:space="preserve"> key questions to ask about best practices. They are both conceptual and practical</w:t>
      </w:r>
      <w:r w:rsidR="00934F64" w:rsidRPr="002A7D9E">
        <w:rPr>
          <w:rFonts w:ascii="Times New Roman" w:hAnsi="Times New Roman" w:cs="Times New Roman"/>
          <w:sz w:val="24"/>
          <w:szCs w:val="24"/>
        </w:rPr>
        <w:t xml:space="preserve"> in nature</w:t>
      </w:r>
      <w:r w:rsidR="00513DE8"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conceptually, care needs to </w:t>
      </w:r>
      <w:proofErr w:type="gramStart"/>
      <w:r w:rsidRPr="002A7D9E">
        <w:rPr>
          <w:rFonts w:ascii="Times New Roman" w:hAnsi="Times New Roman" w:cs="Times New Roman"/>
          <w:sz w:val="24"/>
          <w:szCs w:val="24"/>
        </w:rPr>
        <w:t>be taken</w:t>
      </w:r>
      <w:proofErr w:type="gramEnd"/>
      <w:r w:rsidRPr="002A7D9E">
        <w:rPr>
          <w:rFonts w:ascii="Times New Roman" w:hAnsi="Times New Roman" w:cs="Times New Roman"/>
          <w:sz w:val="24"/>
          <w:szCs w:val="24"/>
        </w:rPr>
        <w:t xml:space="preserve"> to design a system of </w:t>
      </w:r>
      <w:r w:rsidR="00020796" w:rsidRPr="002A7D9E">
        <w:rPr>
          <w:rFonts w:ascii="Times New Roman" w:hAnsi="Times New Roman" w:cs="Times New Roman"/>
          <w:sz w:val="24"/>
          <w:szCs w:val="24"/>
        </w:rPr>
        <w:t xml:space="preserve">debating and </w:t>
      </w:r>
      <w:r w:rsidRPr="002A7D9E">
        <w:rPr>
          <w:rFonts w:ascii="Times New Roman" w:hAnsi="Times New Roman" w:cs="Times New Roman"/>
          <w:sz w:val="24"/>
          <w:szCs w:val="24"/>
        </w:rPr>
        <w:t>selecting practices that are meaningful and contextualized, especially in a cross-national context.</w:t>
      </w:r>
      <w:r w:rsidR="0032753A" w:rsidRPr="002A7D9E">
        <w:rPr>
          <w:rFonts w:ascii="Times New Roman" w:hAnsi="Times New Roman" w:cs="Times New Roman"/>
          <w:sz w:val="24"/>
          <w:szCs w:val="24"/>
        </w:rPr>
        <w:t xml:space="preserve"> There are also practical considerations tha</w:t>
      </w:r>
      <w:r w:rsidR="004E1610" w:rsidRPr="002A7D9E">
        <w:rPr>
          <w:rFonts w:ascii="Times New Roman" w:hAnsi="Times New Roman" w:cs="Times New Roman"/>
          <w:sz w:val="24"/>
          <w:szCs w:val="24"/>
        </w:rPr>
        <w:t xml:space="preserve">t need to </w:t>
      </w:r>
      <w:proofErr w:type="gramStart"/>
      <w:r w:rsidR="004E1610" w:rsidRPr="002A7D9E">
        <w:rPr>
          <w:rFonts w:ascii="Times New Roman" w:hAnsi="Times New Roman" w:cs="Times New Roman"/>
          <w:sz w:val="24"/>
          <w:szCs w:val="24"/>
        </w:rPr>
        <w:t>be taken</w:t>
      </w:r>
      <w:proofErr w:type="gramEnd"/>
      <w:r w:rsidR="004E1610" w:rsidRPr="002A7D9E">
        <w:rPr>
          <w:rFonts w:ascii="Times New Roman" w:hAnsi="Times New Roman" w:cs="Times New Roman"/>
          <w:sz w:val="24"/>
          <w:szCs w:val="24"/>
        </w:rPr>
        <w:t xml:space="preserve"> into account in orde</w:t>
      </w:r>
      <w:r w:rsidR="00F653D8" w:rsidRPr="002A7D9E">
        <w:rPr>
          <w:rFonts w:ascii="Times New Roman" w:hAnsi="Times New Roman" w:cs="Times New Roman"/>
          <w:sz w:val="24"/>
          <w:szCs w:val="24"/>
        </w:rPr>
        <w:t>r to maximiz</w:t>
      </w:r>
      <w:r w:rsidR="004E1610" w:rsidRPr="002A7D9E">
        <w:rPr>
          <w:rFonts w:ascii="Times New Roman" w:hAnsi="Times New Roman" w:cs="Times New Roman"/>
          <w:sz w:val="24"/>
          <w:szCs w:val="24"/>
        </w:rPr>
        <w:t>e opportunity for exchange.</w:t>
      </w:r>
      <w:r w:rsidR="00721A2A" w:rsidRPr="002A7D9E">
        <w:rPr>
          <w:rFonts w:ascii="Times New Roman" w:hAnsi="Times New Roman" w:cs="Times New Roman"/>
          <w:sz w:val="24"/>
          <w:szCs w:val="24"/>
        </w:rPr>
        <w:t xml:space="preserve"> These questions </w:t>
      </w:r>
      <w:proofErr w:type="gramStart"/>
      <w:r w:rsidR="00721A2A" w:rsidRPr="002A7D9E">
        <w:rPr>
          <w:rFonts w:ascii="Times New Roman" w:hAnsi="Times New Roman" w:cs="Times New Roman"/>
          <w:sz w:val="24"/>
          <w:szCs w:val="24"/>
        </w:rPr>
        <w:t>are not designed</w:t>
      </w:r>
      <w:proofErr w:type="gramEnd"/>
      <w:r w:rsidR="00721A2A" w:rsidRPr="002A7D9E">
        <w:rPr>
          <w:rFonts w:ascii="Times New Roman" w:hAnsi="Times New Roman" w:cs="Times New Roman"/>
          <w:sz w:val="24"/>
          <w:szCs w:val="24"/>
        </w:rPr>
        <w:t xml:space="preserve"> to discourage the use of best practices, nor to provide a “fool</w:t>
      </w:r>
      <w:r w:rsidR="00BE1858" w:rsidRPr="002A7D9E">
        <w:rPr>
          <w:rFonts w:ascii="Times New Roman" w:hAnsi="Times New Roman" w:cs="Times New Roman"/>
          <w:sz w:val="24"/>
          <w:szCs w:val="24"/>
        </w:rPr>
        <w:t>-</w:t>
      </w:r>
      <w:r w:rsidR="00721A2A" w:rsidRPr="002A7D9E">
        <w:rPr>
          <w:rFonts w:ascii="Times New Roman" w:hAnsi="Times New Roman" w:cs="Times New Roman"/>
          <w:sz w:val="24"/>
          <w:szCs w:val="24"/>
        </w:rPr>
        <w:t>proof” approach</w:t>
      </w:r>
      <w:r w:rsidR="00BE1858" w:rsidRPr="002A7D9E">
        <w:rPr>
          <w:rFonts w:ascii="Times New Roman" w:hAnsi="Times New Roman" w:cs="Times New Roman"/>
          <w:sz w:val="24"/>
          <w:szCs w:val="24"/>
        </w:rPr>
        <w:t xml:space="preserve"> to creating or using them</w:t>
      </w:r>
      <w:r w:rsidR="00721A2A" w:rsidRPr="002A7D9E">
        <w:rPr>
          <w:rFonts w:ascii="Times New Roman" w:hAnsi="Times New Roman" w:cs="Times New Roman"/>
          <w:sz w:val="24"/>
          <w:szCs w:val="24"/>
        </w:rPr>
        <w:t xml:space="preserve">. Instead, they </w:t>
      </w:r>
      <w:proofErr w:type="gramStart"/>
      <w:r w:rsidR="00721A2A" w:rsidRPr="002A7D9E">
        <w:rPr>
          <w:rFonts w:ascii="Times New Roman" w:hAnsi="Times New Roman" w:cs="Times New Roman"/>
          <w:sz w:val="24"/>
          <w:szCs w:val="24"/>
        </w:rPr>
        <w:t>are intended</w:t>
      </w:r>
      <w:proofErr w:type="gramEnd"/>
      <w:r w:rsidR="00721A2A" w:rsidRPr="002A7D9E">
        <w:rPr>
          <w:rFonts w:ascii="Times New Roman" w:hAnsi="Times New Roman" w:cs="Times New Roman"/>
          <w:sz w:val="24"/>
          <w:szCs w:val="24"/>
        </w:rPr>
        <w:t xml:space="preserve"> to be food for thought for organizations or individuals seeking to maximize the possibilities of policy transfer and learning.</w:t>
      </w:r>
    </w:p>
    <w:p w:rsidR="00BC0844" w:rsidRPr="002A7D9E" w:rsidRDefault="00BC0844" w:rsidP="001A3121">
      <w:pPr>
        <w:spacing w:after="0" w:line="480" w:lineRule="auto"/>
        <w:rPr>
          <w:rFonts w:ascii="Times New Roman" w:hAnsi="Times New Roman" w:cs="Times New Roman"/>
          <w:sz w:val="24"/>
          <w:szCs w:val="24"/>
        </w:rPr>
      </w:pPr>
    </w:p>
    <w:p w:rsidR="00F93F3F" w:rsidRPr="002A7D9E" w:rsidRDefault="002532ED"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The f</w:t>
      </w:r>
      <w:r w:rsidR="005C39DC" w:rsidRPr="002A7D9E">
        <w:rPr>
          <w:rFonts w:ascii="Times New Roman" w:hAnsi="Times New Roman" w:cs="Times New Roman"/>
          <w:sz w:val="24"/>
          <w:szCs w:val="24"/>
        </w:rPr>
        <w:t xml:space="preserve">irst </w:t>
      </w:r>
      <w:r w:rsidRPr="002A7D9E">
        <w:rPr>
          <w:rFonts w:ascii="Times New Roman" w:hAnsi="Times New Roman" w:cs="Times New Roman"/>
          <w:sz w:val="24"/>
          <w:szCs w:val="24"/>
        </w:rPr>
        <w:t xml:space="preserve">question to ask </w:t>
      </w:r>
      <w:r w:rsidR="00597F0C" w:rsidRPr="002A7D9E">
        <w:rPr>
          <w:rFonts w:ascii="Times New Roman" w:hAnsi="Times New Roman" w:cs="Times New Roman"/>
          <w:i/>
          <w:sz w:val="24"/>
          <w:szCs w:val="24"/>
        </w:rPr>
        <w:t xml:space="preserve">is </w:t>
      </w:r>
      <w:r w:rsidRPr="002A7D9E">
        <w:rPr>
          <w:rFonts w:ascii="Times New Roman" w:hAnsi="Times New Roman" w:cs="Times New Roman"/>
          <w:i/>
          <w:sz w:val="24"/>
          <w:szCs w:val="24"/>
        </w:rPr>
        <w:t xml:space="preserve">whether </w:t>
      </w:r>
      <w:r w:rsidR="009456AE" w:rsidRPr="002A7D9E">
        <w:rPr>
          <w:rFonts w:ascii="Times New Roman" w:hAnsi="Times New Roman" w:cs="Times New Roman"/>
          <w:i/>
          <w:sz w:val="24"/>
          <w:szCs w:val="24"/>
        </w:rPr>
        <w:t>a best practice approach</w:t>
      </w:r>
      <w:r w:rsidR="00D252E9" w:rsidRPr="002A7D9E">
        <w:rPr>
          <w:rFonts w:ascii="Times New Roman" w:hAnsi="Times New Roman" w:cs="Times New Roman"/>
          <w:i/>
          <w:sz w:val="24"/>
          <w:szCs w:val="24"/>
        </w:rPr>
        <w:t xml:space="preserve"> </w:t>
      </w:r>
      <w:r w:rsidR="004E1610" w:rsidRPr="002A7D9E">
        <w:rPr>
          <w:rFonts w:ascii="Times New Roman" w:hAnsi="Times New Roman" w:cs="Times New Roman"/>
          <w:i/>
          <w:sz w:val="24"/>
          <w:szCs w:val="24"/>
        </w:rPr>
        <w:t xml:space="preserve">is indeed </w:t>
      </w:r>
      <w:r w:rsidR="00D252E9" w:rsidRPr="002A7D9E">
        <w:rPr>
          <w:rFonts w:ascii="Times New Roman" w:hAnsi="Times New Roman" w:cs="Times New Roman"/>
          <w:i/>
          <w:sz w:val="24"/>
          <w:szCs w:val="24"/>
        </w:rPr>
        <w:t xml:space="preserve">the </w:t>
      </w:r>
      <w:r w:rsidR="00C74866" w:rsidRPr="002A7D9E">
        <w:rPr>
          <w:rFonts w:ascii="Times New Roman" w:hAnsi="Times New Roman" w:cs="Times New Roman"/>
          <w:i/>
          <w:sz w:val="24"/>
          <w:szCs w:val="24"/>
        </w:rPr>
        <w:t>optimum “</w:t>
      </w:r>
      <w:r w:rsidR="00D252E9" w:rsidRPr="002A7D9E">
        <w:rPr>
          <w:rFonts w:ascii="Times New Roman" w:hAnsi="Times New Roman" w:cs="Times New Roman"/>
          <w:i/>
          <w:sz w:val="24"/>
          <w:szCs w:val="24"/>
        </w:rPr>
        <w:t>way</w:t>
      </w:r>
      <w:r w:rsidR="004E1610" w:rsidRPr="002A7D9E">
        <w:rPr>
          <w:rFonts w:ascii="Times New Roman" w:hAnsi="Times New Roman" w:cs="Times New Roman"/>
          <w:i/>
          <w:sz w:val="24"/>
          <w:szCs w:val="24"/>
        </w:rPr>
        <w:t>”</w:t>
      </w:r>
      <w:r w:rsidR="00D252E9" w:rsidRPr="002A7D9E">
        <w:rPr>
          <w:rFonts w:ascii="Times New Roman" w:hAnsi="Times New Roman" w:cs="Times New Roman"/>
          <w:i/>
          <w:sz w:val="24"/>
          <w:szCs w:val="24"/>
        </w:rPr>
        <w:t xml:space="preserve"> to </w:t>
      </w:r>
      <w:r w:rsidR="00934F64" w:rsidRPr="002A7D9E">
        <w:rPr>
          <w:rFonts w:ascii="Times New Roman" w:hAnsi="Times New Roman" w:cs="Times New Roman"/>
          <w:i/>
          <w:sz w:val="24"/>
          <w:szCs w:val="24"/>
        </w:rPr>
        <w:t>collaborate</w:t>
      </w:r>
      <w:r w:rsidR="005C39DC" w:rsidRPr="002A7D9E">
        <w:rPr>
          <w:rFonts w:ascii="Times New Roman" w:hAnsi="Times New Roman" w:cs="Times New Roman"/>
          <w:i/>
          <w:sz w:val="24"/>
          <w:szCs w:val="24"/>
        </w:rPr>
        <w:t xml:space="preserve"> and exchange ideas</w:t>
      </w:r>
      <w:r w:rsidRPr="002A7D9E">
        <w:rPr>
          <w:rFonts w:ascii="Times New Roman" w:hAnsi="Times New Roman" w:cs="Times New Roman"/>
          <w:sz w:val="24"/>
          <w:szCs w:val="24"/>
        </w:rPr>
        <w:t>.</w:t>
      </w:r>
      <w:r w:rsidR="005C39DC" w:rsidRPr="002A7D9E">
        <w:rPr>
          <w:rFonts w:ascii="Times New Roman" w:hAnsi="Times New Roman" w:cs="Times New Roman"/>
          <w:sz w:val="24"/>
          <w:szCs w:val="24"/>
        </w:rPr>
        <w:t xml:space="preserve"> </w:t>
      </w:r>
      <w:r w:rsidR="008F12A4" w:rsidRPr="002A7D9E">
        <w:rPr>
          <w:rFonts w:ascii="Times New Roman" w:hAnsi="Times New Roman" w:cs="Times New Roman"/>
          <w:sz w:val="24"/>
          <w:szCs w:val="24"/>
        </w:rPr>
        <w:t>Critical question</w:t>
      </w:r>
      <w:r w:rsidR="00934F64" w:rsidRPr="002A7D9E">
        <w:rPr>
          <w:rFonts w:ascii="Times New Roman" w:hAnsi="Times New Roman" w:cs="Times New Roman"/>
          <w:sz w:val="24"/>
          <w:szCs w:val="24"/>
        </w:rPr>
        <w:t>s first</w:t>
      </w:r>
      <w:r w:rsidR="008F12A4" w:rsidRPr="002A7D9E">
        <w:rPr>
          <w:rFonts w:ascii="Times New Roman" w:hAnsi="Times New Roman" w:cs="Times New Roman"/>
          <w:sz w:val="24"/>
          <w:szCs w:val="24"/>
        </w:rPr>
        <w:t xml:space="preserve"> need to </w:t>
      </w:r>
      <w:proofErr w:type="gramStart"/>
      <w:r w:rsidR="008F12A4" w:rsidRPr="002A7D9E">
        <w:rPr>
          <w:rFonts w:ascii="Times New Roman" w:hAnsi="Times New Roman" w:cs="Times New Roman"/>
          <w:sz w:val="24"/>
          <w:szCs w:val="24"/>
        </w:rPr>
        <w:t>be asked</w:t>
      </w:r>
      <w:proofErr w:type="gramEnd"/>
      <w:r w:rsidR="008F12A4" w:rsidRPr="002A7D9E">
        <w:rPr>
          <w:rFonts w:ascii="Times New Roman" w:hAnsi="Times New Roman" w:cs="Times New Roman"/>
          <w:sz w:val="24"/>
          <w:szCs w:val="24"/>
        </w:rPr>
        <w:t xml:space="preserve"> about </w:t>
      </w:r>
      <w:r w:rsidR="00F93F3F" w:rsidRPr="002A7D9E">
        <w:rPr>
          <w:rFonts w:ascii="Times New Roman" w:hAnsi="Times New Roman" w:cs="Times New Roman"/>
          <w:sz w:val="24"/>
          <w:szCs w:val="24"/>
        </w:rPr>
        <w:t>the aim</w:t>
      </w:r>
      <w:r w:rsidR="00B70CC0" w:rsidRPr="002A7D9E">
        <w:rPr>
          <w:rFonts w:ascii="Times New Roman" w:hAnsi="Times New Roman" w:cs="Times New Roman"/>
          <w:sz w:val="24"/>
          <w:szCs w:val="24"/>
        </w:rPr>
        <w:t>s</w:t>
      </w:r>
      <w:r w:rsidR="00F93F3F" w:rsidRPr="002A7D9E">
        <w:rPr>
          <w:rFonts w:ascii="Times New Roman" w:hAnsi="Times New Roman" w:cs="Times New Roman"/>
          <w:sz w:val="24"/>
          <w:szCs w:val="24"/>
        </w:rPr>
        <w:t xml:space="preserve"> of </w:t>
      </w:r>
      <w:r w:rsidR="00F653D8" w:rsidRPr="002A7D9E">
        <w:rPr>
          <w:rFonts w:ascii="Times New Roman" w:hAnsi="Times New Roman" w:cs="Times New Roman"/>
          <w:sz w:val="24"/>
          <w:szCs w:val="24"/>
        </w:rPr>
        <w:t>collaborating and sharing</w:t>
      </w:r>
      <w:r w:rsidR="008F12A4" w:rsidRPr="002A7D9E">
        <w:rPr>
          <w:rFonts w:ascii="Times New Roman" w:hAnsi="Times New Roman" w:cs="Times New Roman"/>
          <w:sz w:val="24"/>
          <w:szCs w:val="24"/>
        </w:rPr>
        <w:t>.</w:t>
      </w:r>
      <w:r w:rsidR="008F12A4" w:rsidRPr="002A7D9E">
        <w:rPr>
          <w:rStyle w:val="FootnoteReference"/>
          <w:rFonts w:ascii="Times New Roman" w:hAnsi="Times New Roman" w:cs="Times New Roman"/>
          <w:sz w:val="24"/>
          <w:szCs w:val="24"/>
        </w:rPr>
        <w:footnoteReference w:id="5"/>
      </w:r>
      <w:r w:rsidR="00F93F3F" w:rsidRPr="002A7D9E">
        <w:rPr>
          <w:rFonts w:ascii="Times New Roman" w:hAnsi="Times New Roman" w:cs="Times New Roman"/>
          <w:sz w:val="24"/>
          <w:szCs w:val="24"/>
        </w:rPr>
        <w:t xml:space="preserve"> As Armstrong (2010, 41) argues, ‘coordination </w:t>
      </w:r>
      <w:r w:rsidR="00020796" w:rsidRPr="002A7D9E">
        <w:rPr>
          <w:rFonts w:ascii="Times New Roman" w:hAnsi="Times New Roman" w:cs="Times New Roman"/>
          <w:sz w:val="24"/>
          <w:szCs w:val="24"/>
        </w:rPr>
        <w:t>[…]</w:t>
      </w:r>
      <w:r w:rsidR="00F93F3F" w:rsidRPr="002A7D9E">
        <w:rPr>
          <w:rFonts w:ascii="Times New Roman" w:hAnsi="Times New Roman" w:cs="Times New Roman"/>
          <w:sz w:val="24"/>
          <w:szCs w:val="24"/>
        </w:rPr>
        <w:t xml:space="preserve"> demands justification.’ It is not always obvious why states</w:t>
      </w:r>
      <w:r w:rsidR="00DE5DDF" w:rsidRPr="002A7D9E">
        <w:rPr>
          <w:rFonts w:ascii="Times New Roman" w:hAnsi="Times New Roman" w:cs="Times New Roman"/>
          <w:sz w:val="24"/>
          <w:szCs w:val="24"/>
        </w:rPr>
        <w:t>, groups, or individuals</w:t>
      </w:r>
      <w:r w:rsidR="00F93F3F" w:rsidRPr="002A7D9E">
        <w:rPr>
          <w:rFonts w:ascii="Times New Roman" w:hAnsi="Times New Roman" w:cs="Times New Roman"/>
          <w:sz w:val="24"/>
          <w:szCs w:val="24"/>
        </w:rPr>
        <w:t xml:space="preserve"> </w:t>
      </w:r>
      <w:r w:rsidR="00531732" w:rsidRPr="002A7D9E">
        <w:rPr>
          <w:rFonts w:ascii="Times New Roman" w:hAnsi="Times New Roman" w:cs="Times New Roman"/>
          <w:sz w:val="24"/>
          <w:szCs w:val="24"/>
        </w:rPr>
        <w:t xml:space="preserve">collaborate </w:t>
      </w:r>
      <w:r w:rsidR="00ED51D7" w:rsidRPr="002A7D9E">
        <w:rPr>
          <w:rFonts w:ascii="Times New Roman" w:hAnsi="Times New Roman" w:cs="Times New Roman"/>
          <w:sz w:val="24"/>
          <w:szCs w:val="24"/>
        </w:rPr>
        <w:t xml:space="preserve">and share </w:t>
      </w:r>
      <w:r w:rsidR="00F93F3F" w:rsidRPr="002A7D9E">
        <w:rPr>
          <w:rFonts w:ascii="Times New Roman" w:hAnsi="Times New Roman" w:cs="Times New Roman"/>
          <w:sz w:val="24"/>
          <w:szCs w:val="24"/>
        </w:rPr>
        <w:t>policy</w:t>
      </w:r>
      <w:r w:rsidR="00ED51D7" w:rsidRPr="002A7D9E">
        <w:rPr>
          <w:rFonts w:ascii="Times New Roman" w:hAnsi="Times New Roman" w:cs="Times New Roman"/>
          <w:sz w:val="24"/>
          <w:szCs w:val="24"/>
        </w:rPr>
        <w:t xml:space="preserve"> ideas</w:t>
      </w:r>
      <w:r w:rsidR="00527B7C" w:rsidRPr="002A7D9E">
        <w:rPr>
          <w:rFonts w:ascii="Times New Roman" w:hAnsi="Times New Roman" w:cs="Times New Roman"/>
          <w:sz w:val="24"/>
          <w:szCs w:val="24"/>
        </w:rPr>
        <w:t xml:space="preserve">. </w:t>
      </w:r>
      <w:r w:rsidR="009E5D45" w:rsidRPr="002A7D9E">
        <w:rPr>
          <w:rFonts w:ascii="Times New Roman" w:hAnsi="Times New Roman" w:cs="Times New Roman"/>
          <w:sz w:val="24"/>
          <w:szCs w:val="24"/>
        </w:rPr>
        <w:lastRenderedPageBreak/>
        <w:t xml:space="preserve">In general, </w:t>
      </w:r>
      <w:proofErr w:type="gramStart"/>
      <w:r w:rsidR="009E5D45" w:rsidRPr="002A7D9E">
        <w:rPr>
          <w:rFonts w:ascii="Times New Roman" w:hAnsi="Times New Roman" w:cs="Times New Roman"/>
          <w:sz w:val="24"/>
          <w:szCs w:val="24"/>
        </w:rPr>
        <w:t>the “</w:t>
      </w:r>
      <w:r w:rsidR="00F93F3F" w:rsidRPr="002A7D9E">
        <w:rPr>
          <w:rFonts w:ascii="Times New Roman" w:hAnsi="Times New Roman" w:cs="Times New Roman"/>
          <w:sz w:val="24"/>
          <w:szCs w:val="24"/>
        </w:rPr>
        <w:t>pu</w:t>
      </w:r>
      <w:r w:rsidR="009E5D45" w:rsidRPr="002A7D9E">
        <w:rPr>
          <w:rFonts w:ascii="Times New Roman" w:hAnsi="Times New Roman" w:cs="Times New Roman"/>
          <w:sz w:val="24"/>
          <w:szCs w:val="24"/>
        </w:rPr>
        <w:t>sh”</w:t>
      </w:r>
      <w:r w:rsidR="00F93F3F" w:rsidRPr="002A7D9E">
        <w:rPr>
          <w:rFonts w:ascii="Times New Roman" w:hAnsi="Times New Roman" w:cs="Times New Roman"/>
          <w:sz w:val="24"/>
          <w:szCs w:val="24"/>
        </w:rPr>
        <w:t xml:space="preserve"> for common action may be driven by various forces, including external shocks, policy-related objectives, institutional and constitutional factors, or normative impulses to improve decision-making due to, for example, concerns about legitimacy (</w:t>
      </w:r>
      <w:proofErr w:type="spellStart"/>
      <w:r w:rsidR="00F93F3F" w:rsidRPr="002A7D9E">
        <w:rPr>
          <w:rFonts w:ascii="Times New Roman" w:hAnsi="Times New Roman" w:cs="Times New Roman"/>
          <w:sz w:val="24"/>
          <w:szCs w:val="24"/>
        </w:rPr>
        <w:t>Diedrichs</w:t>
      </w:r>
      <w:proofErr w:type="spellEnd"/>
      <w:r w:rsidR="00F93F3F" w:rsidRPr="002A7D9E">
        <w:rPr>
          <w:rFonts w:ascii="Times New Roman" w:hAnsi="Times New Roman" w:cs="Times New Roman"/>
          <w:sz w:val="24"/>
          <w:szCs w:val="24"/>
        </w:rPr>
        <w:t xml:space="preserve">, </w:t>
      </w:r>
      <w:proofErr w:type="spellStart"/>
      <w:r w:rsidR="00F93F3F" w:rsidRPr="002A7D9E">
        <w:rPr>
          <w:rFonts w:ascii="Times New Roman" w:hAnsi="Times New Roman" w:cs="Times New Roman"/>
          <w:sz w:val="24"/>
          <w:szCs w:val="24"/>
        </w:rPr>
        <w:t>Reiners</w:t>
      </w:r>
      <w:proofErr w:type="spellEnd"/>
      <w:r w:rsidR="00F93F3F" w:rsidRPr="002A7D9E">
        <w:rPr>
          <w:rFonts w:ascii="Times New Roman" w:hAnsi="Times New Roman" w:cs="Times New Roman"/>
          <w:sz w:val="24"/>
          <w:szCs w:val="24"/>
        </w:rPr>
        <w:t>,</w:t>
      </w:r>
      <w:r w:rsidR="009E5D45" w:rsidRPr="002A7D9E">
        <w:rPr>
          <w:rFonts w:ascii="Times New Roman" w:hAnsi="Times New Roman" w:cs="Times New Roman"/>
          <w:sz w:val="24"/>
          <w:szCs w:val="24"/>
        </w:rPr>
        <w:t xml:space="preserve"> and </w:t>
      </w:r>
      <w:proofErr w:type="spellStart"/>
      <w:r w:rsidR="009E5D45" w:rsidRPr="002A7D9E">
        <w:rPr>
          <w:rFonts w:ascii="Times New Roman" w:hAnsi="Times New Roman" w:cs="Times New Roman"/>
          <w:sz w:val="24"/>
          <w:szCs w:val="24"/>
        </w:rPr>
        <w:t>Wessels</w:t>
      </w:r>
      <w:proofErr w:type="spellEnd"/>
      <w:r w:rsidR="009E5D45" w:rsidRPr="002A7D9E">
        <w:rPr>
          <w:rFonts w:ascii="Times New Roman" w:hAnsi="Times New Roman" w:cs="Times New Roman"/>
          <w:sz w:val="24"/>
          <w:szCs w:val="24"/>
        </w:rPr>
        <w:t xml:space="preserve"> 2011)</w:t>
      </w:r>
      <w:proofErr w:type="gramEnd"/>
      <w:r w:rsidR="009E5D45" w:rsidRPr="002A7D9E">
        <w:rPr>
          <w:rFonts w:ascii="Times New Roman" w:hAnsi="Times New Roman" w:cs="Times New Roman"/>
          <w:sz w:val="24"/>
          <w:szCs w:val="24"/>
        </w:rPr>
        <w:t>.</w:t>
      </w:r>
      <w:r w:rsidR="00934F64" w:rsidRPr="002A7D9E">
        <w:rPr>
          <w:rFonts w:ascii="Times New Roman" w:hAnsi="Times New Roman" w:cs="Times New Roman"/>
          <w:sz w:val="24"/>
          <w:szCs w:val="24"/>
        </w:rPr>
        <w:t xml:space="preserve"> In the case of the EU, t</w:t>
      </w:r>
      <w:r w:rsidR="009E5D45" w:rsidRPr="002A7D9E">
        <w:rPr>
          <w:rFonts w:ascii="Times New Roman" w:hAnsi="Times New Roman" w:cs="Times New Roman"/>
          <w:sz w:val="24"/>
          <w:szCs w:val="24"/>
        </w:rPr>
        <w:t>here is a spectrum</w:t>
      </w:r>
      <w:r w:rsidR="00F93F3F" w:rsidRPr="002A7D9E">
        <w:rPr>
          <w:rFonts w:ascii="Times New Roman" w:hAnsi="Times New Roman" w:cs="Times New Roman"/>
          <w:sz w:val="24"/>
          <w:szCs w:val="24"/>
        </w:rPr>
        <w:t xml:space="preserve"> of rationales</w:t>
      </w:r>
      <w:r w:rsidR="00A67287" w:rsidRPr="002A7D9E">
        <w:rPr>
          <w:rFonts w:ascii="Times New Roman" w:hAnsi="Times New Roman" w:cs="Times New Roman"/>
          <w:sz w:val="24"/>
          <w:szCs w:val="24"/>
        </w:rPr>
        <w:t xml:space="preserve"> for</w:t>
      </w:r>
      <w:r w:rsidR="00F93F3F" w:rsidRPr="002A7D9E">
        <w:rPr>
          <w:rFonts w:ascii="Times New Roman" w:hAnsi="Times New Roman" w:cs="Times New Roman"/>
          <w:sz w:val="24"/>
          <w:szCs w:val="24"/>
        </w:rPr>
        <w:t xml:space="preserve"> </w:t>
      </w:r>
      <w:r w:rsidR="00934F64" w:rsidRPr="002A7D9E">
        <w:rPr>
          <w:rFonts w:ascii="Times New Roman" w:hAnsi="Times New Roman" w:cs="Times New Roman"/>
          <w:sz w:val="24"/>
          <w:szCs w:val="24"/>
        </w:rPr>
        <w:t>coordination, ranging from “</w:t>
      </w:r>
      <w:r w:rsidR="00F93F3F" w:rsidRPr="002A7D9E">
        <w:rPr>
          <w:rFonts w:ascii="Times New Roman" w:hAnsi="Times New Roman" w:cs="Times New Roman"/>
          <w:sz w:val="24"/>
          <w:szCs w:val="24"/>
        </w:rPr>
        <w:t>damage control” in the case of a shock</w:t>
      </w:r>
      <w:r w:rsidR="00A67287" w:rsidRPr="002A7D9E">
        <w:rPr>
          <w:rFonts w:ascii="Times New Roman" w:hAnsi="Times New Roman" w:cs="Times New Roman"/>
          <w:sz w:val="24"/>
          <w:szCs w:val="24"/>
        </w:rPr>
        <w:t>,</w:t>
      </w:r>
      <w:r w:rsidR="00F93F3F" w:rsidRPr="002A7D9E">
        <w:rPr>
          <w:rFonts w:ascii="Times New Roman" w:hAnsi="Times New Roman" w:cs="Times New Roman"/>
          <w:sz w:val="24"/>
          <w:szCs w:val="24"/>
        </w:rPr>
        <w:t xml:space="preserve"> to looser coordination such as capacity-building and lea</w:t>
      </w:r>
      <w:r w:rsidR="00CA1C8E" w:rsidRPr="002A7D9E">
        <w:rPr>
          <w:rFonts w:ascii="Times New Roman" w:hAnsi="Times New Roman" w:cs="Times New Roman"/>
          <w:sz w:val="24"/>
          <w:szCs w:val="24"/>
        </w:rPr>
        <w:t>rning facilitation (</w:t>
      </w:r>
      <w:proofErr w:type="spellStart"/>
      <w:r w:rsidR="00CA1C8E" w:rsidRPr="002A7D9E">
        <w:rPr>
          <w:rFonts w:ascii="Times New Roman" w:hAnsi="Times New Roman" w:cs="Times New Roman"/>
          <w:sz w:val="24"/>
          <w:szCs w:val="24"/>
        </w:rPr>
        <w:t>Begg</w:t>
      </w:r>
      <w:proofErr w:type="spellEnd"/>
      <w:r w:rsidR="00CA1C8E" w:rsidRPr="002A7D9E">
        <w:rPr>
          <w:rFonts w:ascii="Times New Roman" w:hAnsi="Times New Roman" w:cs="Times New Roman"/>
          <w:sz w:val="24"/>
          <w:szCs w:val="24"/>
        </w:rPr>
        <w:t xml:space="preserve"> 2008).</w:t>
      </w:r>
    </w:p>
    <w:p w:rsidR="00C01A75" w:rsidRPr="002A7D9E" w:rsidRDefault="00C01A75" w:rsidP="001A3121">
      <w:pPr>
        <w:spacing w:after="0" w:line="480" w:lineRule="auto"/>
        <w:rPr>
          <w:rFonts w:ascii="Times New Roman" w:hAnsi="Times New Roman" w:cs="Times New Roman"/>
          <w:sz w:val="24"/>
          <w:szCs w:val="24"/>
        </w:rPr>
      </w:pPr>
    </w:p>
    <w:p w:rsidR="00934F64" w:rsidRPr="002A7D9E" w:rsidRDefault="008F6326"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T</w:t>
      </w:r>
      <w:r w:rsidR="004E1610" w:rsidRPr="002A7D9E">
        <w:rPr>
          <w:rFonts w:ascii="Times New Roman" w:hAnsi="Times New Roman" w:cs="Times New Roman"/>
          <w:sz w:val="24"/>
          <w:szCs w:val="24"/>
        </w:rPr>
        <w:t>he aim of exchange and dialogue</w:t>
      </w:r>
      <w:r w:rsidRPr="002A7D9E">
        <w:rPr>
          <w:rFonts w:ascii="Times New Roman" w:hAnsi="Times New Roman" w:cs="Times New Roman"/>
          <w:sz w:val="24"/>
          <w:szCs w:val="24"/>
        </w:rPr>
        <w:t xml:space="preserve"> needs to be clear.</w:t>
      </w:r>
      <w:r w:rsidR="004E1610" w:rsidRPr="002A7D9E">
        <w:rPr>
          <w:rFonts w:ascii="Times New Roman" w:hAnsi="Times New Roman" w:cs="Times New Roman"/>
          <w:sz w:val="24"/>
          <w:szCs w:val="24"/>
        </w:rPr>
        <w:t xml:space="preserve"> </w:t>
      </w:r>
      <w:r w:rsidR="00934F64" w:rsidRPr="002A7D9E">
        <w:rPr>
          <w:rFonts w:ascii="Times New Roman" w:hAnsi="Times New Roman" w:cs="Times New Roman"/>
          <w:sz w:val="24"/>
          <w:szCs w:val="24"/>
        </w:rPr>
        <w:t xml:space="preserve">Is the aim to be innovative and creative, to solve a problem, or to exchange ideas? </w:t>
      </w:r>
      <w:r w:rsidR="004E1610" w:rsidRPr="002A7D9E">
        <w:rPr>
          <w:rFonts w:ascii="Times New Roman" w:hAnsi="Times New Roman" w:cs="Times New Roman"/>
          <w:sz w:val="24"/>
          <w:szCs w:val="24"/>
        </w:rPr>
        <w:t xml:space="preserve">Will best practice exchange really be the best way </w:t>
      </w:r>
      <w:r w:rsidRPr="002A7D9E">
        <w:rPr>
          <w:rFonts w:ascii="Times New Roman" w:hAnsi="Times New Roman" w:cs="Times New Roman"/>
          <w:sz w:val="24"/>
          <w:szCs w:val="24"/>
        </w:rPr>
        <w:t>of achieving this aim</w:t>
      </w:r>
      <w:r w:rsidR="004E1610" w:rsidRPr="002A7D9E">
        <w:rPr>
          <w:rFonts w:ascii="Times New Roman" w:hAnsi="Times New Roman" w:cs="Times New Roman"/>
          <w:sz w:val="24"/>
          <w:szCs w:val="24"/>
        </w:rPr>
        <w:t>?</w:t>
      </w:r>
      <w:r w:rsidRPr="002A7D9E">
        <w:rPr>
          <w:rFonts w:ascii="Times New Roman" w:hAnsi="Times New Roman" w:cs="Times New Roman"/>
          <w:sz w:val="24"/>
          <w:szCs w:val="24"/>
        </w:rPr>
        <w:t xml:space="preserve"> The answer may very well be “yes,” but </w:t>
      </w:r>
      <w:r w:rsidR="00ED51D7" w:rsidRPr="002A7D9E">
        <w:rPr>
          <w:rFonts w:ascii="Times New Roman" w:hAnsi="Times New Roman" w:cs="Times New Roman"/>
          <w:sz w:val="24"/>
          <w:szCs w:val="24"/>
        </w:rPr>
        <w:t xml:space="preserve">these </w:t>
      </w:r>
      <w:r w:rsidR="004B6F59" w:rsidRPr="002A7D9E">
        <w:rPr>
          <w:rFonts w:ascii="Times New Roman" w:hAnsi="Times New Roman" w:cs="Times New Roman"/>
          <w:sz w:val="24"/>
          <w:szCs w:val="24"/>
        </w:rPr>
        <w:t xml:space="preserve">questions need to </w:t>
      </w:r>
      <w:proofErr w:type="gramStart"/>
      <w:r w:rsidR="004B6F59" w:rsidRPr="002A7D9E">
        <w:rPr>
          <w:rFonts w:ascii="Times New Roman" w:hAnsi="Times New Roman" w:cs="Times New Roman"/>
          <w:sz w:val="24"/>
          <w:szCs w:val="24"/>
        </w:rPr>
        <w:t>be asked</w:t>
      </w:r>
      <w:proofErr w:type="gramEnd"/>
      <w:r w:rsidR="004B6F59" w:rsidRPr="002A7D9E">
        <w:rPr>
          <w:rFonts w:ascii="Times New Roman" w:hAnsi="Times New Roman" w:cs="Times New Roman"/>
          <w:sz w:val="24"/>
          <w:szCs w:val="24"/>
        </w:rPr>
        <w:t xml:space="preserve">. </w:t>
      </w:r>
      <w:r w:rsidR="00ED51D7" w:rsidRPr="002A7D9E">
        <w:rPr>
          <w:rFonts w:ascii="Times New Roman" w:hAnsi="Times New Roman" w:cs="Times New Roman"/>
          <w:sz w:val="24"/>
          <w:szCs w:val="24"/>
        </w:rPr>
        <w:t>In addition, b</w:t>
      </w:r>
      <w:r w:rsidR="005C39DC" w:rsidRPr="002A7D9E">
        <w:rPr>
          <w:rFonts w:ascii="Times New Roman" w:hAnsi="Times New Roman" w:cs="Times New Roman"/>
          <w:sz w:val="24"/>
          <w:szCs w:val="24"/>
        </w:rPr>
        <w:t xml:space="preserve">est practices are most relevant when they </w:t>
      </w:r>
      <w:proofErr w:type="gramStart"/>
      <w:r w:rsidR="005C39DC" w:rsidRPr="002A7D9E">
        <w:rPr>
          <w:rFonts w:ascii="Times New Roman" w:hAnsi="Times New Roman" w:cs="Times New Roman"/>
          <w:sz w:val="24"/>
          <w:szCs w:val="24"/>
        </w:rPr>
        <w:t>are aimed</w:t>
      </w:r>
      <w:proofErr w:type="gramEnd"/>
      <w:r w:rsidR="005C39DC" w:rsidRPr="002A7D9E">
        <w:rPr>
          <w:rFonts w:ascii="Times New Roman" w:hAnsi="Times New Roman" w:cs="Times New Roman"/>
          <w:sz w:val="24"/>
          <w:szCs w:val="24"/>
        </w:rPr>
        <w:t xml:space="preserve"> at fixing a specific </w:t>
      </w:r>
      <w:r w:rsidR="00B02098" w:rsidRPr="002A7D9E">
        <w:rPr>
          <w:rFonts w:ascii="Times New Roman" w:hAnsi="Times New Roman" w:cs="Times New Roman"/>
          <w:sz w:val="24"/>
          <w:szCs w:val="24"/>
        </w:rPr>
        <w:t>problem</w:t>
      </w:r>
      <w:r w:rsidR="00DC21C1" w:rsidRPr="002A7D9E">
        <w:rPr>
          <w:rFonts w:ascii="Times New Roman" w:hAnsi="Times New Roman" w:cs="Times New Roman"/>
          <w:sz w:val="24"/>
          <w:szCs w:val="24"/>
        </w:rPr>
        <w:t xml:space="preserve"> (</w:t>
      </w:r>
      <w:r w:rsidR="00B70CC0" w:rsidRPr="002A7D9E">
        <w:rPr>
          <w:rFonts w:ascii="Times New Roman" w:hAnsi="Times New Roman" w:cs="Times New Roman"/>
          <w:sz w:val="24"/>
          <w:szCs w:val="24"/>
        </w:rPr>
        <w:t xml:space="preserve">rather than sharing the results of a loose </w:t>
      </w:r>
      <w:r w:rsidR="00DC21C1" w:rsidRPr="002A7D9E">
        <w:rPr>
          <w:rFonts w:ascii="Times New Roman" w:hAnsi="Times New Roman" w:cs="Times New Roman"/>
          <w:sz w:val="24"/>
          <w:szCs w:val="24"/>
        </w:rPr>
        <w:t>discussion)</w:t>
      </w:r>
      <w:r w:rsidR="005C39DC" w:rsidRPr="002A7D9E">
        <w:rPr>
          <w:rFonts w:ascii="Times New Roman" w:hAnsi="Times New Roman" w:cs="Times New Roman"/>
          <w:sz w:val="24"/>
          <w:szCs w:val="24"/>
        </w:rPr>
        <w:t>.</w:t>
      </w:r>
      <w:r w:rsidR="003F60DC" w:rsidRPr="002A7D9E">
        <w:rPr>
          <w:rFonts w:ascii="Times New Roman" w:hAnsi="Times New Roman" w:cs="Times New Roman"/>
          <w:sz w:val="24"/>
          <w:szCs w:val="24"/>
        </w:rPr>
        <w:t xml:space="preserve"> </w:t>
      </w:r>
      <w:r w:rsidR="00934F64" w:rsidRPr="002A7D9E">
        <w:rPr>
          <w:rFonts w:ascii="Times New Roman" w:hAnsi="Times New Roman" w:cs="Times New Roman"/>
          <w:sz w:val="24"/>
          <w:szCs w:val="24"/>
        </w:rPr>
        <w:t xml:space="preserve">In the case of the OMC, there is no real </w:t>
      </w:r>
      <w:proofErr w:type="gramStart"/>
      <w:r w:rsidR="00934F64" w:rsidRPr="002A7D9E">
        <w:rPr>
          <w:rFonts w:ascii="Times New Roman" w:hAnsi="Times New Roman" w:cs="Times New Roman"/>
          <w:sz w:val="24"/>
          <w:szCs w:val="24"/>
        </w:rPr>
        <w:t>problem-solving</w:t>
      </w:r>
      <w:proofErr w:type="gramEnd"/>
      <w:r w:rsidR="00934F64" w:rsidRPr="002A7D9E">
        <w:rPr>
          <w:rFonts w:ascii="Times New Roman" w:hAnsi="Times New Roman" w:cs="Times New Roman"/>
          <w:sz w:val="24"/>
          <w:szCs w:val="24"/>
        </w:rPr>
        <w:t xml:space="preserve"> involved</w:t>
      </w:r>
      <w:r w:rsidR="000F7878" w:rsidRPr="002A7D9E">
        <w:rPr>
          <w:rFonts w:ascii="Times New Roman" w:hAnsi="Times New Roman" w:cs="Times New Roman"/>
          <w:sz w:val="24"/>
          <w:szCs w:val="24"/>
        </w:rPr>
        <w:t xml:space="preserve">. For example, </w:t>
      </w:r>
      <w:r w:rsidR="00934F64" w:rsidRPr="002A7D9E">
        <w:rPr>
          <w:rFonts w:ascii="Times New Roman" w:hAnsi="Times New Roman" w:cs="Times New Roman"/>
          <w:sz w:val="24"/>
          <w:szCs w:val="24"/>
        </w:rPr>
        <w:t xml:space="preserve">rather than a solution-finding discussion on how to get under-represented groups to visit more art galleries and museums, </w:t>
      </w:r>
      <w:r w:rsidR="000F7878" w:rsidRPr="002A7D9E">
        <w:rPr>
          <w:rFonts w:ascii="Times New Roman" w:hAnsi="Times New Roman" w:cs="Times New Roman"/>
          <w:sz w:val="24"/>
          <w:szCs w:val="24"/>
        </w:rPr>
        <w:t>Group 1’s report</w:t>
      </w:r>
      <w:r w:rsidR="00934F64" w:rsidRPr="002A7D9E">
        <w:rPr>
          <w:rFonts w:ascii="Times New Roman" w:hAnsi="Times New Roman" w:cs="Times New Roman"/>
          <w:sz w:val="24"/>
          <w:szCs w:val="24"/>
        </w:rPr>
        <w:t xml:space="preserve"> is about collecting what has already been done, in vastly differing circumstances and scenarios: the policy problem is de-emphasized. </w:t>
      </w:r>
      <w:r w:rsidR="001F0628" w:rsidRPr="002A7D9E">
        <w:rPr>
          <w:rFonts w:ascii="Times New Roman" w:hAnsi="Times New Roman" w:cs="Times New Roman"/>
          <w:sz w:val="24"/>
          <w:szCs w:val="24"/>
        </w:rPr>
        <w:t>D</w:t>
      </w:r>
      <w:r w:rsidR="00934F64" w:rsidRPr="002A7D9E">
        <w:rPr>
          <w:rFonts w:ascii="Times New Roman" w:hAnsi="Times New Roman" w:cs="Times New Roman"/>
          <w:sz w:val="24"/>
          <w:szCs w:val="24"/>
        </w:rPr>
        <w:t xml:space="preserve">iscussions can </w:t>
      </w:r>
      <w:r w:rsidR="00ED51D7" w:rsidRPr="002A7D9E">
        <w:rPr>
          <w:rFonts w:ascii="Times New Roman" w:hAnsi="Times New Roman" w:cs="Times New Roman"/>
          <w:sz w:val="24"/>
          <w:szCs w:val="24"/>
        </w:rPr>
        <w:t>become vague and unfocused</w:t>
      </w:r>
      <w:r w:rsidR="001F0628" w:rsidRPr="002A7D9E">
        <w:rPr>
          <w:rFonts w:ascii="Times New Roman" w:hAnsi="Times New Roman" w:cs="Times New Roman"/>
          <w:sz w:val="24"/>
          <w:szCs w:val="24"/>
        </w:rPr>
        <w:t xml:space="preserve"> as a result.</w:t>
      </w:r>
    </w:p>
    <w:p w:rsidR="00BD1A58" w:rsidRPr="002A7D9E" w:rsidRDefault="00BD1A58" w:rsidP="001A3121">
      <w:pPr>
        <w:spacing w:after="0" w:line="480" w:lineRule="auto"/>
        <w:rPr>
          <w:rFonts w:ascii="Times New Roman" w:hAnsi="Times New Roman" w:cs="Times New Roman"/>
          <w:sz w:val="24"/>
          <w:szCs w:val="24"/>
        </w:rPr>
      </w:pPr>
    </w:p>
    <w:p w:rsidR="00FD1679" w:rsidRPr="002A7D9E" w:rsidRDefault="005C39DC"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Secondly, </w:t>
      </w:r>
      <w:r w:rsidR="00EB7A3F" w:rsidRPr="002A7D9E">
        <w:rPr>
          <w:rFonts w:ascii="Times New Roman" w:hAnsi="Times New Roman" w:cs="Times New Roman"/>
          <w:i/>
          <w:sz w:val="24"/>
          <w:szCs w:val="24"/>
        </w:rPr>
        <w:t xml:space="preserve">what is a </w:t>
      </w:r>
      <w:r w:rsidR="001F0628" w:rsidRPr="002A7D9E">
        <w:rPr>
          <w:rFonts w:ascii="Times New Roman" w:hAnsi="Times New Roman" w:cs="Times New Roman"/>
          <w:i/>
          <w:sz w:val="24"/>
          <w:szCs w:val="24"/>
        </w:rPr>
        <w:t>“</w:t>
      </w:r>
      <w:r w:rsidR="00633C27" w:rsidRPr="002A7D9E">
        <w:rPr>
          <w:rFonts w:ascii="Times New Roman" w:hAnsi="Times New Roman" w:cs="Times New Roman"/>
          <w:i/>
          <w:sz w:val="24"/>
          <w:szCs w:val="24"/>
        </w:rPr>
        <w:t>practice</w:t>
      </w:r>
      <w:r w:rsidR="001F0628" w:rsidRPr="002A7D9E">
        <w:rPr>
          <w:rFonts w:ascii="Times New Roman" w:hAnsi="Times New Roman" w:cs="Times New Roman"/>
          <w:i/>
          <w:sz w:val="24"/>
          <w:szCs w:val="24"/>
        </w:rPr>
        <w:t>”</w:t>
      </w:r>
      <w:r w:rsidR="00EB7A3F" w:rsidRPr="002A7D9E">
        <w:rPr>
          <w:rFonts w:ascii="Times New Roman" w:hAnsi="Times New Roman" w:cs="Times New Roman"/>
          <w:sz w:val="24"/>
          <w:szCs w:val="24"/>
        </w:rPr>
        <w:t>? This</w:t>
      </w:r>
      <w:r w:rsidR="00633C27" w:rsidRPr="002A7D9E">
        <w:rPr>
          <w:rFonts w:ascii="Times New Roman" w:hAnsi="Times New Roman" w:cs="Times New Roman"/>
          <w:sz w:val="24"/>
          <w:szCs w:val="24"/>
        </w:rPr>
        <w:t xml:space="preserve"> needs to </w:t>
      </w:r>
      <w:proofErr w:type="gramStart"/>
      <w:r w:rsidR="00633C27" w:rsidRPr="002A7D9E">
        <w:rPr>
          <w:rFonts w:ascii="Times New Roman" w:hAnsi="Times New Roman" w:cs="Times New Roman"/>
          <w:sz w:val="24"/>
          <w:szCs w:val="24"/>
        </w:rPr>
        <w:t>be</w:t>
      </w:r>
      <w:r w:rsidR="00F47F3D" w:rsidRPr="002A7D9E">
        <w:rPr>
          <w:rFonts w:ascii="Times New Roman" w:hAnsi="Times New Roman" w:cs="Times New Roman"/>
          <w:sz w:val="24"/>
          <w:szCs w:val="24"/>
        </w:rPr>
        <w:t xml:space="preserve"> carefully </w:t>
      </w:r>
      <w:r w:rsidR="00EB7A3F" w:rsidRPr="002A7D9E">
        <w:rPr>
          <w:rFonts w:ascii="Times New Roman" w:hAnsi="Times New Roman" w:cs="Times New Roman"/>
          <w:sz w:val="24"/>
          <w:szCs w:val="24"/>
        </w:rPr>
        <w:t>defined</w:t>
      </w:r>
      <w:proofErr w:type="gramEnd"/>
      <w:r w:rsidR="00EB7A3F" w:rsidRPr="002A7D9E">
        <w:rPr>
          <w:rFonts w:ascii="Times New Roman" w:hAnsi="Times New Roman" w:cs="Times New Roman"/>
          <w:sz w:val="24"/>
          <w:szCs w:val="24"/>
        </w:rPr>
        <w:t xml:space="preserve">. </w:t>
      </w:r>
      <w:r w:rsidR="00F47F3D" w:rsidRPr="002A7D9E">
        <w:rPr>
          <w:rFonts w:ascii="Times New Roman" w:hAnsi="Times New Roman" w:cs="Times New Roman"/>
          <w:sz w:val="24"/>
          <w:szCs w:val="24"/>
        </w:rPr>
        <w:t>Is it a program, a policy, an idea?</w:t>
      </w:r>
      <w:r w:rsidRPr="002A7D9E">
        <w:rPr>
          <w:rFonts w:ascii="Times New Roman" w:hAnsi="Times New Roman" w:cs="Times New Roman"/>
          <w:sz w:val="24"/>
          <w:szCs w:val="24"/>
        </w:rPr>
        <w:t xml:space="preserve"> </w:t>
      </w:r>
      <w:r w:rsidR="002C01DC" w:rsidRPr="002A7D9E">
        <w:rPr>
          <w:rFonts w:ascii="Times New Roman" w:hAnsi="Times New Roman" w:cs="Times New Roman"/>
          <w:sz w:val="24"/>
          <w:szCs w:val="24"/>
        </w:rPr>
        <w:t xml:space="preserve">Dolowitz and Marsh (1996, </w:t>
      </w:r>
      <w:r w:rsidRPr="002A7D9E">
        <w:rPr>
          <w:rFonts w:ascii="Times New Roman" w:hAnsi="Times New Roman" w:cs="Times New Roman"/>
          <w:sz w:val="24"/>
          <w:szCs w:val="24"/>
        </w:rPr>
        <w:t xml:space="preserve">349-50) </w:t>
      </w:r>
      <w:r w:rsidR="00DF2AE9" w:rsidRPr="002A7D9E">
        <w:rPr>
          <w:rFonts w:ascii="Times New Roman" w:hAnsi="Times New Roman" w:cs="Times New Roman"/>
          <w:sz w:val="24"/>
          <w:szCs w:val="24"/>
        </w:rPr>
        <w:t>identify</w:t>
      </w:r>
      <w:r w:rsidRPr="002A7D9E">
        <w:rPr>
          <w:rFonts w:ascii="Times New Roman" w:hAnsi="Times New Roman" w:cs="Times New Roman"/>
          <w:sz w:val="24"/>
          <w:szCs w:val="24"/>
        </w:rPr>
        <w:t xml:space="preserve"> seven possible ‘items’ of transfer</w:t>
      </w:r>
      <w:r w:rsidR="00527B7C" w:rsidRPr="002A7D9E">
        <w:rPr>
          <w:rFonts w:ascii="Times New Roman" w:hAnsi="Times New Roman" w:cs="Times New Roman"/>
          <w:sz w:val="24"/>
          <w:szCs w:val="24"/>
        </w:rPr>
        <w:t>:</w:t>
      </w:r>
      <w:r w:rsidRPr="002A7D9E">
        <w:rPr>
          <w:rFonts w:ascii="Times New Roman" w:hAnsi="Times New Roman" w:cs="Times New Roman"/>
          <w:sz w:val="24"/>
          <w:szCs w:val="24"/>
        </w:rPr>
        <w:t xml:space="preserve"> policy goals, structure and content; policy </w:t>
      </w:r>
      <w:r w:rsidRPr="002A7D9E">
        <w:rPr>
          <w:rFonts w:ascii="Times New Roman" w:hAnsi="Times New Roman" w:cs="Times New Roman"/>
          <w:sz w:val="24"/>
          <w:szCs w:val="24"/>
        </w:rPr>
        <w:lastRenderedPageBreak/>
        <w:t xml:space="preserve">instruments or administrative techniques; institutions; ideology; ideas; attitudes or concepts; and negative lessons. What we see in the case </w:t>
      </w:r>
      <w:r w:rsidR="008F12A4" w:rsidRPr="002A7D9E">
        <w:rPr>
          <w:rFonts w:ascii="Times New Roman" w:hAnsi="Times New Roman" w:cs="Times New Roman"/>
          <w:sz w:val="24"/>
          <w:szCs w:val="24"/>
        </w:rPr>
        <w:t xml:space="preserve">of the OMC is a mixture, </w:t>
      </w:r>
      <w:r w:rsidR="00E02607" w:rsidRPr="002A7D9E">
        <w:rPr>
          <w:rFonts w:ascii="Times New Roman" w:hAnsi="Times New Roman" w:cs="Times New Roman"/>
          <w:sz w:val="24"/>
          <w:szCs w:val="24"/>
        </w:rPr>
        <w:t>al</w:t>
      </w:r>
      <w:r w:rsidR="008F12A4" w:rsidRPr="002A7D9E">
        <w:rPr>
          <w:rFonts w:ascii="Times New Roman" w:hAnsi="Times New Roman" w:cs="Times New Roman"/>
          <w:sz w:val="24"/>
          <w:szCs w:val="24"/>
        </w:rPr>
        <w:t>though t</w:t>
      </w:r>
      <w:r w:rsidRPr="002A7D9E">
        <w:rPr>
          <w:rFonts w:ascii="Times New Roman" w:hAnsi="Times New Roman" w:cs="Times New Roman"/>
          <w:sz w:val="24"/>
          <w:szCs w:val="24"/>
        </w:rPr>
        <w:t>here are no negative lessons.</w:t>
      </w:r>
      <w:r w:rsidR="00FD1679" w:rsidRPr="002A7D9E">
        <w:rPr>
          <w:rFonts w:ascii="Times New Roman" w:hAnsi="Times New Roman" w:cs="Times New Roman"/>
          <w:sz w:val="24"/>
          <w:szCs w:val="24"/>
        </w:rPr>
        <w:t xml:space="preserve"> As De </w:t>
      </w:r>
      <w:proofErr w:type="spellStart"/>
      <w:r w:rsidR="00FD1679" w:rsidRPr="002A7D9E">
        <w:rPr>
          <w:rFonts w:ascii="Times New Roman" w:hAnsi="Times New Roman" w:cs="Times New Roman"/>
          <w:sz w:val="24"/>
          <w:szCs w:val="24"/>
        </w:rPr>
        <w:t>Beukelaer</w:t>
      </w:r>
      <w:proofErr w:type="spellEnd"/>
      <w:r w:rsidR="00FD1679" w:rsidRPr="002A7D9E">
        <w:rPr>
          <w:rFonts w:ascii="Times New Roman" w:hAnsi="Times New Roman" w:cs="Times New Roman"/>
          <w:sz w:val="24"/>
          <w:szCs w:val="24"/>
        </w:rPr>
        <w:t xml:space="preserve"> comments in the case of the UNESCO report, by excluding any “bad” practices, learning is impinged: ‘[w]e can learn from best practices, but we can also learn from (our own) mistakes by confronting them more explicitly and perhaps more publicly’ (De </w:t>
      </w:r>
      <w:proofErr w:type="spellStart"/>
      <w:r w:rsidR="00FD1679" w:rsidRPr="002A7D9E">
        <w:rPr>
          <w:rFonts w:ascii="Times New Roman" w:hAnsi="Times New Roman" w:cs="Times New Roman"/>
          <w:sz w:val="24"/>
          <w:szCs w:val="24"/>
        </w:rPr>
        <w:t>Beukelaer</w:t>
      </w:r>
      <w:proofErr w:type="spellEnd"/>
      <w:r w:rsidR="00FD1679" w:rsidRPr="002A7D9E">
        <w:rPr>
          <w:rFonts w:ascii="Times New Roman" w:hAnsi="Times New Roman" w:cs="Times New Roman"/>
          <w:sz w:val="24"/>
          <w:szCs w:val="24"/>
        </w:rPr>
        <w:t xml:space="preserve"> 2014, 95).</w:t>
      </w:r>
    </w:p>
    <w:p w:rsidR="00EB7A3F" w:rsidRPr="002A7D9E" w:rsidRDefault="00EB7A3F" w:rsidP="001A3121">
      <w:pPr>
        <w:spacing w:after="0" w:line="480" w:lineRule="auto"/>
        <w:rPr>
          <w:rFonts w:ascii="Times New Roman" w:hAnsi="Times New Roman" w:cs="Times New Roman"/>
          <w:sz w:val="24"/>
          <w:szCs w:val="24"/>
        </w:rPr>
      </w:pPr>
    </w:p>
    <w:p w:rsidR="00EB7A3F" w:rsidRPr="002A7D9E" w:rsidRDefault="00D17FD3"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In addition to </w:t>
      </w:r>
      <w:r w:rsidR="00076181" w:rsidRPr="002A7D9E">
        <w:rPr>
          <w:rFonts w:ascii="Times New Roman" w:hAnsi="Times New Roman" w:cs="Times New Roman"/>
          <w:sz w:val="24"/>
          <w:szCs w:val="24"/>
        </w:rPr>
        <w:t xml:space="preserve">defining </w:t>
      </w:r>
      <w:r w:rsidRPr="002A7D9E">
        <w:rPr>
          <w:rFonts w:ascii="Times New Roman" w:hAnsi="Times New Roman" w:cs="Times New Roman"/>
          <w:sz w:val="24"/>
          <w:szCs w:val="24"/>
        </w:rPr>
        <w:t xml:space="preserve">a practice, there is also a need to establish early on a set of </w:t>
      </w:r>
      <w:r w:rsidR="00527B7C" w:rsidRPr="002A7D9E">
        <w:rPr>
          <w:rFonts w:ascii="Times New Roman" w:hAnsi="Times New Roman" w:cs="Times New Roman"/>
          <w:sz w:val="24"/>
          <w:szCs w:val="24"/>
        </w:rPr>
        <w:t xml:space="preserve">agreed </w:t>
      </w:r>
      <w:r w:rsidRPr="002A7D9E">
        <w:rPr>
          <w:rFonts w:ascii="Times New Roman" w:hAnsi="Times New Roman" w:cs="Times New Roman"/>
          <w:sz w:val="24"/>
          <w:szCs w:val="24"/>
        </w:rPr>
        <w:t>definitions</w:t>
      </w:r>
      <w:r w:rsidR="00076181" w:rsidRPr="002A7D9E">
        <w:rPr>
          <w:rFonts w:ascii="Times New Roman" w:hAnsi="Times New Roman" w:cs="Times New Roman"/>
          <w:sz w:val="24"/>
          <w:szCs w:val="24"/>
        </w:rPr>
        <w:t xml:space="preserve"> </w:t>
      </w:r>
      <w:r w:rsidR="00527B7C" w:rsidRPr="002A7D9E">
        <w:rPr>
          <w:rFonts w:ascii="Times New Roman" w:hAnsi="Times New Roman" w:cs="Times New Roman"/>
          <w:sz w:val="24"/>
          <w:szCs w:val="24"/>
        </w:rPr>
        <w:t>and terminology</w:t>
      </w:r>
      <w:r w:rsidRPr="002A7D9E">
        <w:rPr>
          <w:rFonts w:ascii="Times New Roman" w:hAnsi="Times New Roman" w:cs="Times New Roman"/>
          <w:sz w:val="24"/>
          <w:szCs w:val="24"/>
        </w:rPr>
        <w:t xml:space="preserve">. </w:t>
      </w:r>
      <w:r w:rsidR="001C543A" w:rsidRPr="002A7D9E">
        <w:rPr>
          <w:rFonts w:ascii="Times New Roman" w:hAnsi="Times New Roman" w:cs="Times New Roman"/>
          <w:sz w:val="24"/>
          <w:szCs w:val="24"/>
        </w:rPr>
        <w:t>This</w:t>
      </w:r>
      <w:r w:rsidR="00EB7A3F" w:rsidRPr="002A7D9E">
        <w:rPr>
          <w:rFonts w:ascii="Times New Roman" w:hAnsi="Times New Roman" w:cs="Times New Roman"/>
          <w:sz w:val="24"/>
          <w:szCs w:val="24"/>
        </w:rPr>
        <w:t xml:space="preserve"> presents numerous challenges</w:t>
      </w:r>
      <w:r w:rsidR="00ED51D7" w:rsidRPr="002A7D9E">
        <w:rPr>
          <w:rFonts w:ascii="Times New Roman" w:hAnsi="Times New Roman" w:cs="Times New Roman"/>
          <w:sz w:val="24"/>
          <w:szCs w:val="24"/>
        </w:rPr>
        <w:t>, particularly</w:t>
      </w:r>
      <w:r w:rsidR="00EB7A3F" w:rsidRPr="002A7D9E">
        <w:rPr>
          <w:rFonts w:ascii="Times New Roman" w:hAnsi="Times New Roman" w:cs="Times New Roman"/>
          <w:sz w:val="24"/>
          <w:szCs w:val="24"/>
        </w:rPr>
        <w:t xml:space="preserve"> in </w:t>
      </w:r>
      <w:r w:rsidR="00BB6834" w:rsidRPr="002A7D9E">
        <w:rPr>
          <w:rFonts w:ascii="Times New Roman" w:hAnsi="Times New Roman" w:cs="Times New Roman"/>
          <w:sz w:val="24"/>
          <w:szCs w:val="24"/>
        </w:rPr>
        <w:t>a cross-national context</w:t>
      </w:r>
      <w:r w:rsidR="00ED51D7" w:rsidRPr="002A7D9E">
        <w:rPr>
          <w:rFonts w:ascii="Times New Roman" w:hAnsi="Times New Roman" w:cs="Times New Roman"/>
          <w:sz w:val="24"/>
          <w:szCs w:val="24"/>
        </w:rPr>
        <w:t xml:space="preserve"> with 25 or more countries participating</w:t>
      </w:r>
      <w:r w:rsidR="00EB7A3F" w:rsidRPr="002A7D9E">
        <w:rPr>
          <w:rFonts w:ascii="Times New Roman" w:hAnsi="Times New Roman" w:cs="Times New Roman"/>
          <w:sz w:val="24"/>
          <w:szCs w:val="24"/>
        </w:rPr>
        <w:t xml:space="preserve">. The </w:t>
      </w:r>
      <w:r w:rsidRPr="002A7D9E">
        <w:rPr>
          <w:rFonts w:ascii="Times New Roman" w:hAnsi="Times New Roman" w:cs="Times New Roman"/>
          <w:sz w:val="24"/>
          <w:szCs w:val="24"/>
        </w:rPr>
        <w:t>challenges</w:t>
      </w:r>
      <w:r w:rsidR="00EB7A3F" w:rsidRPr="002A7D9E">
        <w:rPr>
          <w:rFonts w:ascii="Times New Roman" w:hAnsi="Times New Roman" w:cs="Times New Roman"/>
          <w:sz w:val="24"/>
          <w:szCs w:val="24"/>
        </w:rPr>
        <w:t xml:space="preserve"> </w:t>
      </w:r>
      <w:r w:rsidR="004F7FAD" w:rsidRPr="002A7D9E">
        <w:rPr>
          <w:rFonts w:ascii="Times New Roman" w:hAnsi="Times New Roman" w:cs="Times New Roman"/>
          <w:sz w:val="24"/>
          <w:szCs w:val="24"/>
        </w:rPr>
        <w:t>can be</w:t>
      </w:r>
      <w:r w:rsidR="00EB7A3F" w:rsidRPr="002A7D9E">
        <w:rPr>
          <w:rFonts w:ascii="Times New Roman" w:hAnsi="Times New Roman" w:cs="Times New Roman"/>
          <w:sz w:val="24"/>
          <w:szCs w:val="24"/>
        </w:rPr>
        <w:t xml:space="preserve"> both </w:t>
      </w:r>
      <w:r w:rsidR="008C1A3B" w:rsidRPr="002A7D9E">
        <w:rPr>
          <w:rFonts w:ascii="Times New Roman" w:hAnsi="Times New Roman" w:cs="Times New Roman"/>
          <w:sz w:val="24"/>
          <w:szCs w:val="24"/>
        </w:rPr>
        <w:t xml:space="preserve">pragmatic, </w:t>
      </w:r>
      <w:r w:rsidR="00527B7C" w:rsidRPr="002A7D9E">
        <w:rPr>
          <w:rFonts w:ascii="Times New Roman" w:hAnsi="Times New Roman" w:cs="Times New Roman"/>
          <w:sz w:val="24"/>
          <w:szCs w:val="24"/>
        </w:rPr>
        <w:t xml:space="preserve">such as </w:t>
      </w:r>
      <w:r w:rsidR="00EB7A3F" w:rsidRPr="002A7D9E">
        <w:rPr>
          <w:rFonts w:ascii="Times New Roman" w:hAnsi="Times New Roman" w:cs="Times New Roman"/>
          <w:sz w:val="24"/>
          <w:szCs w:val="24"/>
        </w:rPr>
        <w:t>language barriers</w:t>
      </w:r>
      <w:r w:rsidRPr="002A7D9E">
        <w:rPr>
          <w:rFonts w:ascii="Times New Roman" w:hAnsi="Times New Roman" w:cs="Times New Roman"/>
          <w:sz w:val="24"/>
          <w:szCs w:val="24"/>
        </w:rPr>
        <w:t xml:space="preserve">, </w:t>
      </w:r>
      <w:r w:rsidR="00EB7A3F" w:rsidRPr="002A7D9E">
        <w:rPr>
          <w:rFonts w:ascii="Times New Roman" w:hAnsi="Times New Roman" w:cs="Times New Roman"/>
          <w:sz w:val="24"/>
          <w:szCs w:val="24"/>
        </w:rPr>
        <w:t xml:space="preserve">but also </w:t>
      </w:r>
      <w:proofErr w:type="gramStart"/>
      <w:r w:rsidR="00076181" w:rsidRPr="002A7D9E">
        <w:rPr>
          <w:rFonts w:ascii="Times New Roman" w:hAnsi="Times New Roman" w:cs="Times New Roman"/>
          <w:sz w:val="24"/>
          <w:szCs w:val="24"/>
        </w:rPr>
        <w:t>more conceptual</w:t>
      </w:r>
      <w:proofErr w:type="gramEnd"/>
      <w:r w:rsidR="00076181" w:rsidRPr="002A7D9E">
        <w:rPr>
          <w:rFonts w:ascii="Times New Roman" w:hAnsi="Times New Roman" w:cs="Times New Roman"/>
          <w:sz w:val="24"/>
          <w:szCs w:val="24"/>
        </w:rPr>
        <w:t xml:space="preserve"> </w:t>
      </w:r>
      <w:r w:rsidR="00EB7A3F" w:rsidRPr="002A7D9E">
        <w:rPr>
          <w:rFonts w:ascii="Times New Roman" w:hAnsi="Times New Roman" w:cs="Times New Roman"/>
          <w:sz w:val="24"/>
          <w:szCs w:val="24"/>
        </w:rPr>
        <w:t xml:space="preserve">in terms of the translation of ideas and discourses. </w:t>
      </w:r>
      <w:proofErr w:type="gramStart"/>
      <w:r w:rsidR="00076181" w:rsidRPr="002A7D9E">
        <w:rPr>
          <w:rFonts w:ascii="Times New Roman" w:hAnsi="Times New Roman" w:cs="Times New Roman"/>
          <w:sz w:val="24"/>
          <w:szCs w:val="24"/>
        </w:rPr>
        <w:t xml:space="preserve">As such, the </w:t>
      </w:r>
      <w:r w:rsidR="00EB7A3F" w:rsidRPr="002A7D9E">
        <w:rPr>
          <w:rFonts w:ascii="Times New Roman" w:hAnsi="Times New Roman" w:cs="Times New Roman"/>
          <w:sz w:val="24"/>
          <w:szCs w:val="24"/>
        </w:rPr>
        <w:t xml:space="preserve">clarification of definitions </w:t>
      </w:r>
      <w:r w:rsidR="00076181" w:rsidRPr="002A7D9E">
        <w:rPr>
          <w:rFonts w:ascii="Times New Roman" w:hAnsi="Times New Roman" w:cs="Times New Roman"/>
          <w:sz w:val="24"/>
          <w:szCs w:val="24"/>
        </w:rPr>
        <w:t>takes considerable</w:t>
      </w:r>
      <w:r w:rsidR="00EB7A3F" w:rsidRPr="002A7D9E">
        <w:rPr>
          <w:rFonts w:ascii="Times New Roman" w:hAnsi="Times New Roman" w:cs="Times New Roman"/>
          <w:sz w:val="24"/>
          <w:szCs w:val="24"/>
        </w:rPr>
        <w:t xml:space="preserve"> time and was a source of frustration for some partici</w:t>
      </w:r>
      <w:r w:rsidR="002C01DC" w:rsidRPr="002A7D9E">
        <w:rPr>
          <w:rFonts w:ascii="Times New Roman" w:hAnsi="Times New Roman" w:cs="Times New Roman"/>
          <w:sz w:val="24"/>
          <w:szCs w:val="24"/>
        </w:rPr>
        <w:t xml:space="preserve">pants (McDonald et al. 2013a, </w:t>
      </w:r>
      <w:r w:rsidR="00EB7A3F" w:rsidRPr="002A7D9E">
        <w:rPr>
          <w:rFonts w:ascii="Times New Roman" w:hAnsi="Times New Roman" w:cs="Times New Roman"/>
          <w:sz w:val="24"/>
          <w:szCs w:val="24"/>
        </w:rPr>
        <w:t>22).</w:t>
      </w:r>
      <w:proofErr w:type="gramEnd"/>
      <w:r w:rsidR="00EB7A3F" w:rsidRPr="002A7D9E">
        <w:rPr>
          <w:rFonts w:ascii="Times New Roman" w:hAnsi="Times New Roman" w:cs="Times New Roman"/>
          <w:sz w:val="24"/>
          <w:szCs w:val="24"/>
        </w:rPr>
        <w:t xml:space="preserve"> This quote from expert </w:t>
      </w:r>
      <w:proofErr w:type="spellStart"/>
      <w:r w:rsidR="00EB7A3F" w:rsidRPr="002A7D9E">
        <w:rPr>
          <w:rFonts w:ascii="Times New Roman" w:hAnsi="Times New Roman" w:cs="Times New Roman"/>
          <w:sz w:val="24"/>
          <w:szCs w:val="24"/>
        </w:rPr>
        <w:t>Timo</w:t>
      </w:r>
      <w:proofErr w:type="spellEnd"/>
      <w:r w:rsidR="00EB7A3F" w:rsidRPr="002A7D9E">
        <w:rPr>
          <w:rFonts w:ascii="Times New Roman" w:hAnsi="Times New Roman" w:cs="Times New Roman"/>
          <w:sz w:val="24"/>
          <w:szCs w:val="24"/>
        </w:rPr>
        <w:t xml:space="preserve">, recounting his group’s discussion of the meaning of </w:t>
      </w:r>
      <w:r w:rsidR="00EB7A3F" w:rsidRPr="002A7D9E">
        <w:rPr>
          <w:rFonts w:ascii="Times New Roman" w:hAnsi="Times New Roman" w:cs="Times New Roman"/>
          <w:i/>
          <w:sz w:val="24"/>
          <w:szCs w:val="24"/>
        </w:rPr>
        <w:t>cultural diversity</w:t>
      </w:r>
      <w:r w:rsidR="00EB7A3F" w:rsidRPr="002A7D9E">
        <w:rPr>
          <w:rFonts w:ascii="Times New Roman" w:hAnsi="Times New Roman" w:cs="Times New Roman"/>
          <w:sz w:val="24"/>
          <w:szCs w:val="24"/>
        </w:rPr>
        <w:t>, highlights some of the difficulties:</w:t>
      </w:r>
    </w:p>
    <w:p w:rsidR="00EB7A3F" w:rsidRPr="002A7D9E" w:rsidRDefault="00EB7A3F" w:rsidP="001A3121">
      <w:pPr>
        <w:spacing w:after="0" w:line="480" w:lineRule="auto"/>
        <w:ind w:left="720"/>
        <w:rPr>
          <w:rFonts w:ascii="Times New Roman" w:eastAsia="Batang" w:hAnsi="Times New Roman" w:cs="Times New Roman"/>
        </w:rPr>
      </w:pPr>
      <w:r w:rsidRPr="002A7D9E">
        <w:rPr>
          <w:rFonts w:ascii="Times New Roman" w:eastAsia="Batang" w:hAnsi="Times New Roman" w:cs="Times New Roman"/>
        </w:rPr>
        <w:t>…racism, immigration, this discourse is very Nordic. Others … were explaining their definitions of diversity, which has more to do with internal inclusion, marginal groups in a local context. Their history of diversity is different. This was really ob</w:t>
      </w:r>
      <w:r w:rsidR="003310EE" w:rsidRPr="002A7D9E">
        <w:rPr>
          <w:rFonts w:ascii="Times New Roman" w:eastAsia="Batang" w:hAnsi="Times New Roman" w:cs="Times New Roman"/>
        </w:rPr>
        <w:t xml:space="preserve">vious and important. I </w:t>
      </w:r>
      <w:proofErr w:type="gramStart"/>
      <w:r w:rsidR="003310EE" w:rsidRPr="002A7D9E">
        <w:rPr>
          <w:rFonts w:ascii="Times New Roman" w:eastAsia="Batang" w:hAnsi="Times New Roman" w:cs="Times New Roman"/>
        </w:rPr>
        <w:t>thought</w:t>
      </w:r>
      <w:proofErr w:type="gramEnd"/>
      <w:r w:rsidR="003310EE" w:rsidRPr="002A7D9E">
        <w:rPr>
          <w:rFonts w:ascii="Times New Roman" w:eastAsia="Batang" w:hAnsi="Times New Roman" w:cs="Times New Roman"/>
        </w:rPr>
        <w:t xml:space="preserve"> “</w:t>
      </w:r>
      <w:r w:rsidRPr="002A7D9E">
        <w:rPr>
          <w:rFonts w:ascii="Times New Roman" w:eastAsia="Batang" w:hAnsi="Times New Roman" w:cs="Times New Roman"/>
        </w:rPr>
        <w:t>ok,</w:t>
      </w:r>
      <w:r w:rsidR="003310EE" w:rsidRPr="002A7D9E">
        <w:rPr>
          <w:rFonts w:ascii="Times New Roman" w:eastAsia="Batang" w:hAnsi="Times New Roman" w:cs="Times New Roman"/>
        </w:rPr>
        <w:t xml:space="preserve"> I don’t know how this will go,”</w:t>
      </w:r>
      <w:r w:rsidRPr="002A7D9E">
        <w:rPr>
          <w:rFonts w:ascii="Times New Roman" w:eastAsia="Batang" w:hAnsi="Times New Roman" w:cs="Times New Roman"/>
        </w:rPr>
        <w:t xml:space="preserve"> because it’s such a multitude. It was too wide a subject (interview, October 2014).</w:t>
      </w:r>
    </w:p>
    <w:p w:rsidR="00EB7A3F" w:rsidRPr="002A7D9E" w:rsidRDefault="003310EE" w:rsidP="001A3121">
      <w:pPr>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lastRenderedPageBreak/>
        <w:t>Timo’s</w:t>
      </w:r>
      <w:proofErr w:type="spellEnd"/>
      <w:r w:rsidRPr="002A7D9E">
        <w:rPr>
          <w:rFonts w:ascii="Times New Roman" w:hAnsi="Times New Roman" w:cs="Times New Roman"/>
          <w:sz w:val="24"/>
          <w:szCs w:val="24"/>
        </w:rPr>
        <w:t xml:space="preserve"> comment corresponds with one of the challenges identifi</w:t>
      </w:r>
      <w:r w:rsidR="00450242" w:rsidRPr="002A7D9E">
        <w:rPr>
          <w:rFonts w:ascii="Times New Roman" w:hAnsi="Times New Roman" w:cs="Times New Roman"/>
          <w:sz w:val="24"/>
          <w:szCs w:val="24"/>
        </w:rPr>
        <w:t>ed by the European Commission,</w:t>
      </w:r>
      <w:r w:rsidR="00EB7A3F" w:rsidRPr="002A7D9E">
        <w:rPr>
          <w:rFonts w:ascii="Times New Roman" w:hAnsi="Times New Roman" w:cs="Times New Roman"/>
          <w:sz w:val="24"/>
          <w:szCs w:val="24"/>
        </w:rPr>
        <w:t xml:space="preserve"> that </w:t>
      </w:r>
      <w:r w:rsidR="00276025" w:rsidRPr="002A7D9E">
        <w:rPr>
          <w:rFonts w:ascii="Times New Roman" w:hAnsi="Times New Roman" w:cs="Times New Roman"/>
          <w:sz w:val="24"/>
          <w:szCs w:val="24"/>
        </w:rPr>
        <w:t>‘</w:t>
      </w:r>
      <w:r w:rsidR="00EB7A3F" w:rsidRPr="002A7D9E">
        <w:rPr>
          <w:rFonts w:ascii="Times New Roman" w:hAnsi="Times New Roman" w:cs="Times New Roman"/>
          <w:sz w:val="24"/>
          <w:szCs w:val="24"/>
        </w:rPr>
        <w:t>…the process of agreeing more specific fields proved challenging for the groups and, in some cases, delayed the effe</w:t>
      </w:r>
      <w:r w:rsidR="00276025" w:rsidRPr="002A7D9E">
        <w:rPr>
          <w:rFonts w:ascii="Times New Roman" w:hAnsi="Times New Roman" w:cs="Times New Roman"/>
          <w:sz w:val="24"/>
          <w:szCs w:val="24"/>
        </w:rPr>
        <w:t>ctive start of their activities’</w:t>
      </w:r>
      <w:r w:rsidR="00EB7A3F" w:rsidRPr="002A7D9E">
        <w:rPr>
          <w:rFonts w:ascii="Times New Roman" w:hAnsi="Times New Roman" w:cs="Times New Roman"/>
          <w:sz w:val="24"/>
          <w:szCs w:val="24"/>
        </w:rPr>
        <w:t xml:space="preserve"> (</w:t>
      </w:r>
      <w:r w:rsidR="00652A8B" w:rsidRPr="002A7D9E">
        <w:rPr>
          <w:rFonts w:ascii="Times New Roman" w:hAnsi="Times New Roman" w:cs="Times New Roman"/>
          <w:sz w:val="24"/>
          <w:szCs w:val="24"/>
        </w:rPr>
        <w:t>European Commission</w:t>
      </w:r>
      <w:r w:rsidR="00D74E84" w:rsidRPr="002A7D9E">
        <w:rPr>
          <w:rFonts w:ascii="Times New Roman" w:hAnsi="Times New Roman" w:cs="Times New Roman"/>
          <w:sz w:val="24"/>
          <w:szCs w:val="24"/>
        </w:rPr>
        <w:t xml:space="preserve"> 2010</w:t>
      </w:r>
      <w:r w:rsidR="00EB7A3F" w:rsidRPr="002A7D9E">
        <w:rPr>
          <w:rFonts w:ascii="Times New Roman" w:hAnsi="Times New Roman" w:cs="Times New Roman"/>
          <w:sz w:val="24"/>
          <w:szCs w:val="24"/>
        </w:rPr>
        <w:t>, as cited in McDonald et al. 2013a).</w:t>
      </w:r>
      <w:r w:rsidR="00276025" w:rsidRPr="002A7D9E">
        <w:rPr>
          <w:rStyle w:val="FootnoteReference"/>
          <w:rFonts w:ascii="Times New Roman" w:hAnsi="Times New Roman" w:cs="Times New Roman"/>
          <w:sz w:val="24"/>
          <w:szCs w:val="24"/>
        </w:rPr>
        <w:footnoteReference w:id="6"/>
      </w:r>
    </w:p>
    <w:p w:rsidR="00EB7A3F" w:rsidRPr="002A7D9E" w:rsidRDefault="00EB7A3F" w:rsidP="001A3121">
      <w:pPr>
        <w:spacing w:after="0" w:line="480" w:lineRule="auto"/>
        <w:rPr>
          <w:rFonts w:ascii="Times New Roman" w:hAnsi="Times New Roman" w:cs="Times New Roman"/>
          <w:sz w:val="24"/>
          <w:szCs w:val="24"/>
        </w:rPr>
      </w:pPr>
    </w:p>
    <w:p w:rsidR="00EB7A3F" w:rsidRPr="002A7D9E" w:rsidRDefault="00B02098"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Indeed, t</w:t>
      </w:r>
      <w:r w:rsidR="00EB7A3F" w:rsidRPr="002A7D9E">
        <w:rPr>
          <w:rFonts w:ascii="Times New Roman" w:hAnsi="Times New Roman" w:cs="Times New Roman"/>
          <w:sz w:val="24"/>
          <w:szCs w:val="24"/>
        </w:rPr>
        <w:t xml:space="preserve">he role of language cannot be underestimated: </w:t>
      </w:r>
    </w:p>
    <w:p w:rsidR="00EB7A3F" w:rsidRPr="002A7D9E" w:rsidRDefault="00EB7A3F" w:rsidP="001A3121">
      <w:pPr>
        <w:spacing w:after="0" w:line="480" w:lineRule="auto"/>
        <w:ind w:left="720"/>
        <w:rPr>
          <w:rFonts w:ascii="Times New Roman" w:hAnsi="Times New Roman" w:cs="Times New Roman"/>
        </w:rPr>
      </w:pPr>
      <w:r w:rsidRPr="002A7D9E">
        <w:rPr>
          <w:rFonts w:ascii="Times New Roman" w:hAnsi="Times New Roman" w:cs="Times New Roman"/>
        </w:rPr>
        <w:t xml:space="preserve">… </w:t>
      </w:r>
      <w:proofErr w:type="gramStart"/>
      <w:r w:rsidRPr="002A7D9E">
        <w:rPr>
          <w:rFonts w:ascii="Times New Roman" w:hAnsi="Times New Roman" w:cs="Times New Roman"/>
        </w:rPr>
        <w:t>rules</w:t>
      </w:r>
      <w:proofErr w:type="gramEnd"/>
      <w:r w:rsidRPr="002A7D9E">
        <w:rPr>
          <w:rFonts w:ascii="Times New Roman" w:hAnsi="Times New Roman" w:cs="Times New Roman"/>
        </w:rPr>
        <w:t xml:space="preserve"> and situations are related by criteria of similarity or difference through reasoning by analogy and metaphor. The process </w:t>
      </w:r>
      <w:proofErr w:type="gramStart"/>
      <w:r w:rsidRPr="002A7D9E">
        <w:rPr>
          <w:rFonts w:ascii="Times New Roman" w:hAnsi="Times New Roman" w:cs="Times New Roman"/>
        </w:rPr>
        <w:t>is mediated</w:t>
      </w:r>
      <w:proofErr w:type="gramEnd"/>
      <w:r w:rsidRPr="002A7D9E">
        <w:rPr>
          <w:rFonts w:ascii="Times New Roman" w:hAnsi="Times New Roman" w:cs="Times New Roman"/>
        </w:rPr>
        <w:t xml:space="preserve"> by language, by the ways in which participants come to be able to talk about one situation as similar to or different from another; and assign situations to rules. The process maintains consistency in action primarily through the creation of typologies of sim</w:t>
      </w:r>
      <w:r w:rsidR="008C1A3B" w:rsidRPr="002A7D9E">
        <w:rPr>
          <w:rFonts w:ascii="Times New Roman" w:hAnsi="Times New Roman" w:cs="Times New Roman"/>
        </w:rPr>
        <w:t xml:space="preserve">ilarity </w:t>
      </w:r>
      <w:r w:rsidR="002C01DC" w:rsidRPr="002A7D9E">
        <w:rPr>
          <w:rFonts w:ascii="Times New Roman" w:hAnsi="Times New Roman" w:cs="Times New Roman"/>
        </w:rPr>
        <w:t xml:space="preserve">(March and Olsen 2009, </w:t>
      </w:r>
      <w:r w:rsidRPr="002A7D9E">
        <w:rPr>
          <w:rFonts w:ascii="Times New Roman" w:hAnsi="Times New Roman" w:cs="Times New Roman"/>
        </w:rPr>
        <w:t>9).</w:t>
      </w:r>
    </w:p>
    <w:p w:rsidR="00EB7A3F" w:rsidRPr="002A7D9E" w:rsidRDefault="00EB7A3F"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These </w:t>
      </w:r>
      <w:r w:rsidR="00B400E0" w:rsidRPr="002A7D9E">
        <w:rPr>
          <w:rFonts w:ascii="Times New Roman" w:hAnsi="Times New Roman" w:cs="Times New Roman"/>
          <w:sz w:val="24"/>
          <w:szCs w:val="24"/>
        </w:rPr>
        <w:t>‘</w:t>
      </w:r>
      <w:r w:rsidRPr="002A7D9E">
        <w:rPr>
          <w:rFonts w:ascii="Times New Roman" w:hAnsi="Times New Roman" w:cs="Times New Roman"/>
          <w:sz w:val="24"/>
          <w:szCs w:val="24"/>
        </w:rPr>
        <w:t xml:space="preserve">typologies of similarity’ are exactly what is lacking in the case of </w:t>
      </w:r>
      <w:r w:rsidR="001D59FC" w:rsidRPr="002A7D9E">
        <w:rPr>
          <w:rFonts w:ascii="Times New Roman" w:hAnsi="Times New Roman" w:cs="Times New Roman"/>
          <w:sz w:val="24"/>
          <w:szCs w:val="24"/>
        </w:rPr>
        <w:t>the OMC</w:t>
      </w:r>
      <w:r w:rsidRPr="002A7D9E">
        <w:rPr>
          <w:rFonts w:ascii="Times New Roman" w:hAnsi="Times New Roman" w:cs="Times New Roman"/>
          <w:sz w:val="24"/>
          <w:szCs w:val="24"/>
        </w:rPr>
        <w:t>. Policy development on Priority A’s themes is at various stages in the EU-28, and participants come from very different approaches, creating challenges for achieving quick consensus on such broad and sensitive topics</w:t>
      </w:r>
      <w:r w:rsidR="00B400E0" w:rsidRPr="002A7D9E">
        <w:rPr>
          <w:rFonts w:ascii="Times New Roman" w:hAnsi="Times New Roman" w:cs="Times New Roman"/>
          <w:sz w:val="24"/>
          <w:szCs w:val="24"/>
        </w:rPr>
        <w:t>:</w:t>
      </w:r>
      <w:r w:rsidRPr="002A7D9E">
        <w:rPr>
          <w:rFonts w:ascii="Times New Roman" w:hAnsi="Times New Roman" w:cs="Times New Roman"/>
          <w:sz w:val="24"/>
          <w:szCs w:val="24"/>
        </w:rPr>
        <w:t xml:space="preserve"> </w:t>
      </w:r>
    </w:p>
    <w:p w:rsidR="00EB7A3F" w:rsidRPr="002A7D9E" w:rsidRDefault="00EB7A3F" w:rsidP="001A3121">
      <w:pPr>
        <w:spacing w:after="0" w:line="480" w:lineRule="auto"/>
        <w:ind w:left="720"/>
        <w:rPr>
          <w:rFonts w:ascii="Times New Roman" w:hAnsi="Times New Roman" w:cs="Times New Roman"/>
        </w:rPr>
      </w:pPr>
      <w:r w:rsidRPr="002A7D9E">
        <w:rPr>
          <w:rFonts w:ascii="Times New Roman" w:hAnsi="Times New Roman" w:cs="Times New Roman"/>
        </w:rPr>
        <w:t xml:space="preserve">…it is a sensitive area and you </w:t>
      </w:r>
      <w:proofErr w:type="gramStart"/>
      <w:r w:rsidRPr="002A7D9E">
        <w:rPr>
          <w:rFonts w:ascii="Times New Roman" w:hAnsi="Times New Roman" w:cs="Times New Roman"/>
        </w:rPr>
        <w:t>don’t</w:t>
      </w:r>
      <w:proofErr w:type="gramEnd"/>
      <w:r w:rsidRPr="002A7D9E">
        <w:rPr>
          <w:rFonts w:ascii="Times New Roman" w:hAnsi="Times New Roman" w:cs="Times New Roman"/>
        </w:rPr>
        <w:t xml:space="preserve"> have a long tradition. […] </w:t>
      </w:r>
      <w:proofErr w:type="gramStart"/>
      <w:r w:rsidRPr="002A7D9E">
        <w:rPr>
          <w:rFonts w:ascii="Times New Roman" w:hAnsi="Times New Roman" w:cs="Times New Roman"/>
        </w:rPr>
        <w:t>There’s</w:t>
      </w:r>
      <w:proofErr w:type="gramEnd"/>
      <w:r w:rsidRPr="002A7D9E">
        <w:rPr>
          <w:rFonts w:ascii="Times New Roman" w:hAnsi="Times New Roman" w:cs="Times New Roman"/>
        </w:rPr>
        <w:t xml:space="preserve"> still a lot of work to do. I think it </w:t>
      </w:r>
      <w:proofErr w:type="gramStart"/>
      <w:r w:rsidRPr="002A7D9E">
        <w:rPr>
          <w:rFonts w:ascii="Times New Roman" w:hAnsi="Times New Roman" w:cs="Times New Roman"/>
        </w:rPr>
        <w:t>should be more focused</w:t>
      </w:r>
      <w:proofErr w:type="gramEnd"/>
      <w:r w:rsidRPr="002A7D9E">
        <w:rPr>
          <w:rFonts w:ascii="Times New Roman" w:hAnsi="Times New Roman" w:cs="Times New Roman"/>
        </w:rPr>
        <w:t xml:space="preserve"> though, on specific issues, because otherwise one ends up collecting too much general information</w:t>
      </w:r>
      <w:r w:rsidRPr="002A7D9E">
        <w:rPr>
          <w:rFonts w:ascii="Times New Roman" w:hAnsi="Times New Roman" w:cs="Times New Roman"/>
          <w:i/>
        </w:rPr>
        <w:t xml:space="preserve"> </w:t>
      </w:r>
      <w:r w:rsidRPr="002A7D9E">
        <w:rPr>
          <w:rFonts w:ascii="Times New Roman" w:hAnsi="Times New Roman" w:cs="Times New Roman"/>
        </w:rPr>
        <w:t>(Quentin, expert, interview, July 2014).</w:t>
      </w:r>
      <w:r w:rsidR="003E491F" w:rsidRPr="002A7D9E">
        <w:rPr>
          <w:rStyle w:val="FootnoteReference"/>
          <w:rFonts w:ascii="Times New Roman" w:hAnsi="Times New Roman" w:cs="Times New Roman"/>
        </w:rPr>
        <w:footnoteReference w:id="7"/>
      </w:r>
    </w:p>
    <w:p w:rsidR="0035155E" w:rsidRPr="002A7D9E" w:rsidRDefault="0035155E" w:rsidP="001A3121">
      <w:pPr>
        <w:spacing w:after="0" w:line="480" w:lineRule="auto"/>
        <w:rPr>
          <w:rFonts w:ascii="Times New Roman" w:hAnsi="Times New Roman" w:cs="Times New Roman"/>
          <w:sz w:val="24"/>
          <w:szCs w:val="24"/>
        </w:rPr>
      </w:pPr>
    </w:p>
    <w:p w:rsidR="00B02098" w:rsidRPr="002A7D9E" w:rsidRDefault="000E6AB6"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Thirdly, </w:t>
      </w:r>
      <w:r w:rsidR="00D252E9" w:rsidRPr="002A7D9E">
        <w:rPr>
          <w:rFonts w:ascii="Times New Roman" w:hAnsi="Times New Roman" w:cs="Times New Roman"/>
          <w:i/>
          <w:sz w:val="24"/>
          <w:szCs w:val="24"/>
        </w:rPr>
        <w:t xml:space="preserve">who </w:t>
      </w:r>
      <w:proofErr w:type="gramStart"/>
      <w:r w:rsidRPr="002A7D9E">
        <w:rPr>
          <w:rFonts w:ascii="Times New Roman" w:hAnsi="Times New Roman" w:cs="Times New Roman"/>
          <w:i/>
          <w:sz w:val="24"/>
          <w:szCs w:val="24"/>
        </w:rPr>
        <w:t>are the best practices aimed at</w:t>
      </w:r>
      <w:proofErr w:type="gramEnd"/>
      <w:r w:rsidRPr="002A7D9E">
        <w:rPr>
          <w:rFonts w:ascii="Times New Roman" w:hAnsi="Times New Roman" w:cs="Times New Roman"/>
          <w:sz w:val="24"/>
          <w:szCs w:val="24"/>
        </w:rPr>
        <w:t>?</w:t>
      </w:r>
      <w:r w:rsidR="00D252E9" w:rsidRPr="002A7D9E">
        <w:rPr>
          <w:rFonts w:ascii="Times New Roman" w:hAnsi="Times New Roman" w:cs="Times New Roman"/>
          <w:sz w:val="24"/>
          <w:szCs w:val="24"/>
        </w:rPr>
        <w:t xml:space="preserve"> </w:t>
      </w:r>
      <w:r w:rsidR="00BD1A58" w:rsidRPr="002A7D9E">
        <w:rPr>
          <w:rFonts w:ascii="Times New Roman" w:hAnsi="Times New Roman" w:cs="Times New Roman"/>
          <w:sz w:val="24"/>
          <w:szCs w:val="24"/>
        </w:rPr>
        <w:t xml:space="preserve">The clearer the target audience, the more useful the practices will be. </w:t>
      </w:r>
      <w:r w:rsidR="00505FF2" w:rsidRPr="002A7D9E">
        <w:rPr>
          <w:rFonts w:ascii="Times New Roman" w:hAnsi="Times New Roman" w:cs="Times New Roman"/>
          <w:sz w:val="24"/>
          <w:szCs w:val="24"/>
        </w:rPr>
        <w:t>As discussed above,</w:t>
      </w:r>
      <w:r w:rsidR="00D252E9" w:rsidRPr="002A7D9E">
        <w:rPr>
          <w:rFonts w:ascii="Times New Roman" w:hAnsi="Times New Roman" w:cs="Times New Roman"/>
          <w:sz w:val="24"/>
          <w:szCs w:val="24"/>
        </w:rPr>
        <w:t xml:space="preserve"> the </w:t>
      </w:r>
      <w:r w:rsidR="00CF6FF0" w:rsidRPr="002A7D9E">
        <w:rPr>
          <w:rFonts w:ascii="Times New Roman" w:hAnsi="Times New Roman" w:cs="Times New Roman"/>
          <w:sz w:val="24"/>
          <w:szCs w:val="24"/>
        </w:rPr>
        <w:t>intended audience</w:t>
      </w:r>
      <w:r w:rsidR="00505FF2" w:rsidRPr="002A7D9E">
        <w:rPr>
          <w:rFonts w:ascii="Times New Roman" w:hAnsi="Times New Roman" w:cs="Times New Roman"/>
          <w:sz w:val="24"/>
          <w:szCs w:val="24"/>
        </w:rPr>
        <w:t xml:space="preserve"> of the culture OMC</w:t>
      </w:r>
      <w:r w:rsidR="00EE3BDC" w:rsidRPr="002A7D9E">
        <w:rPr>
          <w:rFonts w:ascii="Times New Roman" w:hAnsi="Times New Roman" w:cs="Times New Roman"/>
          <w:sz w:val="24"/>
          <w:szCs w:val="24"/>
        </w:rPr>
        <w:t xml:space="preserve"> is not always clear:</w:t>
      </w:r>
      <w:r w:rsidR="00D252E9" w:rsidRPr="002A7D9E">
        <w:rPr>
          <w:rFonts w:ascii="Times New Roman" w:hAnsi="Times New Roman" w:cs="Times New Roman"/>
          <w:sz w:val="24"/>
          <w:szCs w:val="24"/>
        </w:rPr>
        <w:t xml:space="preserve"> policy-makers, cultural practitioners</w:t>
      </w:r>
      <w:r w:rsidR="00B02098" w:rsidRPr="002A7D9E">
        <w:rPr>
          <w:rFonts w:ascii="Times New Roman" w:hAnsi="Times New Roman" w:cs="Times New Roman"/>
          <w:sz w:val="24"/>
          <w:szCs w:val="24"/>
        </w:rPr>
        <w:t xml:space="preserve"> and organiz</w:t>
      </w:r>
      <w:r w:rsidR="00294E58" w:rsidRPr="002A7D9E">
        <w:rPr>
          <w:rFonts w:ascii="Times New Roman" w:hAnsi="Times New Roman" w:cs="Times New Roman"/>
          <w:sz w:val="24"/>
          <w:szCs w:val="24"/>
        </w:rPr>
        <w:t>ations</w:t>
      </w:r>
      <w:r w:rsidR="00D252E9" w:rsidRPr="002A7D9E">
        <w:rPr>
          <w:rFonts w:ascii="Times New Roman" w:hAnsi="Times New Roman" w:cs="Times New Roman"/>
          <w:sz w:val="24"/>
          <w:szCs w:val="24"/>
        </w:rPr>
        <w:t xml:space="preserve">, </w:t>
      </w:r>
      <w:r w:rsidR="00EE3BDC" w:rsidRPr="002A7D9E">
        <w:rPr>
          <w:rFonts w:ascii="Times New Roman" w:hAnsi="Times New Roman" w:cs="Times New Roman"/>
          <w:sz w:val="24"/>
          <w:szCs w:val="24"/>
        </w:rPr>
        <w:t xml:space="preserve">or </w:t>
      </w:r>
      <w:proofErr w:type="gramStart"/>
      <w:r w:rsidR="00EE3BDC" w:rsidRPr="002A7D9E">
        <w:rPr>
          <w:rFonts w:ascii="Times New Roman" w:hAnsi="Times New Roman" w:cs="Times New Roman"/>
          <w:sz w:val="24"/>
          <w:szCs w:val="24"/>
        </w:rPr>
        <w:t>both?</w:t>
      </w:r>
      <w:proofErr w:type="gramEnd"/>
      <w:r w:rsidR="00D252E9" w:rsidRPr="002A7D9E">
        <w:rPr>
          <w:rFonts w:ascii="Times New Roman" w:hAnsi="Times New Roman" w:cs="Times New Roman"/>
          <w:sz w:val="24"/>
          <w:szCs w:val="24"/>
        </w:rPr>
        <w:t xml:space="preserve"> </w:t>
      </w:r>
      <w:r w:rsidR="00294E58" w:rsidRPr="002A7D9E">
        <w:rPr>
          <w:rFonts w:ascii="Times New Roman" w:hAnsi="Times New Roman" w:cs="Times New Roman"/>
          <w:sz w:val="24"/>
          <w:szCs w:val="24"/>
        </w:rPr>
        <w:t>(</w:t>
      </w:r>
      <w:r w:rsidR="00B02098" w:rsidRPr="002A7D9E">
        <w:rPr>
          <w:rFonts w:ascii="Times New Roman" w:hAnsi="Times New Roman" w:cs="Times New Roman"/>
          <w:sz w:val="24"/>
          <w:szCs w:val="24"/>
        </w:rPr>
        <w:t>In other</w:t>
      </w:r>
      <w:r w:rsidR="00294E58" w:rsidRPr="002A7D9E">
        <w:rPr>
          <w:rFonts w:ascii="Times New Roman" w:hAnsi="Times New Roman" w:cs="Times New Roman"/>
          <w:sz w:val="24"/>
          <w:szCs w:val="24"/>
        </w:rPr>
        <w:t xml:space="preserve"> context</w:t>
      </w:r>
      <w:r w:rsidR="00B02098" w:rsidRPr="002A7D9E">
        <w:rPr>
          <w:rFonts w:ascii="Times New Roman" w:hAnsi="Times New Roman" w:cs="Times New Roman"/>
          <w:sz w:val="24"/>
          <w:szCs w:val="24"/>
        </w:rPr>
        <w:t>s</w:t>
      </w:r>
      <w:r w:rsidR="00294E58" w:rsidRPr="002A7D9E">
        <w:rPr>
          <w:rFonts w:ascii="Times New Roman" w:hAnsi="Times New Roman" w:cs="Times New Roman"/>
          <w:sz w:val="24"/>
          <w:szCs w:val="24"/>
        </w:rPr>
        <w:t xml:space="preserve">, practices </w:t>
      </w:r>
      <w:proofErr w:type="gramStart"/>
      <w:r w:rsidR="00294E58" w:rsidRPr="002A7D9E">
        <w:rPr>
          <w:rFonts w:ascii="Times New Roman" w:hAnsi="Times New Roman" w:cs="Times New Roman"/>
          <w:sz w:val="24"/>
          <w:szCs w:val="24"/>
        </w:rPr>
        <w:t>may</w:t>
      </w:r>
      <w:r w:rsidR="00B02098" w:rsidRPr="002A7D9E">
        <w:rPr>
          <w:rFonts w:ascii="Times New Roman" w:hAnsi="Times New Roman" w:cs="Times New Roman"/>
          <w:sz w:val="24"/>
          <w:szCs w:val="24"/>
        </w:rPr>
        <w:t xml:space="preserve"> of course</w:t>
      </w:r>
      <w:r w:rsidR="00294E58" w:rsidRPr="002A7D9E">
        <w:rPr>
          <w:rFonts w:ascii="Times New Roman" w:hAnsi="Times New Roman" w:cs="Times New Roman"/>
          <w:sz w:val="24"/>
          <w:szCs w:val="24"/>
        </w:rPr>
        <w:t xml:space="preserve"> be</w:t>
      </w:r>
      <w:r w:rsidR="00D252E9" w:rsidRPr="002A7D9E">
        <w:rPr>
          <w:rFonts w:ascii="Times New Roman" w:hAnsi="Times New Roman" w:cs="Times New Roman"/>
          <w:sz w:val="24"/>
          <w:szCs w:val="24"/>
        </w:rPr>
        <w:t xml:space="preserve"> aimed</w:t>
      </w:r>
      <w:proofErr w:type="gramEnd"/>
      <w:r w:rsidR="00D252E9" w:rsidRPr="002A7D9E">
        <w:rPr>
          <w:rFonts w:ascii="Times New Roman" w:hAnsi="Times New Roman" w:cs="Times New Roman"/>
          <w:sz w:val="24"/>
          <w:szCs w:val="24"/>
        </w:rPr>
        <w:t xml:space="preserve"> at other groups</w:t>
      </w:r>
      <w:r w:rsidR="00B02098" w:rsidRPr="002A7D9E">
        <w:rPr>
          <w:rFonts w:ascii="Times New Roman" w:hAnsi="Times New Roman" w:cs="Times New Roman"/>
          <w:sz w:val="24"/>
          <w:szCs w:val="24"/>
        </w:rPr>
        <w:t xml:space="preserve">, </w:t>
      </w:r>
      <w:r w:rsidR="001C543A" w:rsidRPr="002A7D9E">
        <w:rPr>
          <w:rFonts w:ascii="Times New Roman" w:hAnsi="Times New Roman" w:cs="Times New Roman"/>
          <w:sz w:val="24"/>
          <w:szCs w:val="24"/>
        </w:rPr>
        <w:t>such as</w:t>
      </w:r>
      <w:r w:rsidR="00BD1A58" w:rsidRPr="002A7D9E">
        <w:rPr>
          <w:rFonts w:ascii="Times New Roman" w:hAnsi="Times New Roman" w:cs="Times New Roman"/>
          <w:sz w:val="24"/>
          <w:szCs w:val="24"/>
        </w:rPr>
        <w:t xml:space="preserve"> artists, NGOs, </w:t>
      </w:r>
      <w:r w:rsidR="00B02098" w:rsidRPr="002A7D9E">
        <w:rPr>
          <w:rFonts w:ascii="Times New Roman" w:hAnsi="Times New Roman" w:cs="Times New Roman"/>
          <w:sz w:val="24"/>
          <w:szCs w:val="24"/>
        </w:rPr>
        <w:t>or</w:t>
      </w:r>
      <w:r w:rsidR="00BD1A58" w:rsidRPr="002A7D9E">
        <w:rPr>
          <w:rFonts w:ascii="Times New Roman" w:hAnsi="Times New Roman" w:cs="Times New Roman"/>
          <w:sz w:val="24"/>
          <w:szCs w:val="24"/>
        </w:rPr>
        <w:t xml:space="preserve"> charities</w:t>
      </w:r>
      <w:r w:rsidR="00B02098" w:rsidRPr="002A7D9E">
        <w:rPr>
          <w:rFonts w:ascii="Times New Roman" w:hAnsi="Times New Roman" w:cs="Times New Roman"/>
          <w:sz w:val="24"/>
          <w:szCs w:val="24"/>
        </w:rPr>
        <w:t>)</w:t>
      </w:r>
      <w:r w:rsidR="00D252E9" w:rsidRPr="002A7D9E">
        <w:rPr>
          <w:rFonts w:ascii="Times New Roman" w:hAnsi="Times New Roman" w:cs="Times New Roman"/>
          <w:sz w:val="24"/>
          <w:szCs w:val="24"/>
        </w:rPr>
        <w:t>.</w:t>
      </w:r>
      <w:r w:rsidR="00BD1A58" w:rsidRPr="002A7D9E">
        <w:rPr>
          <w:rFonts w:ascii="Times New Roman" w:hAnsi="Times New Roman" w:cs="Times New Roman"/>
          <w:sz w:val="24"/>
          <w:szCs w:val="24"/>
        </w:rPr>
        <w:t xml:space="preserve"> </w:t>
      </w:r>
      <w:r w:rsidR="00CF6FF0" w:rsidRPr="002A7D9E">
        <w:rPr>
          <w:rFonts w:ascii="Times New Roman" w:hAnsi="Times New Roman" w:cs="Times New Roman"/>
          <w:sz w:val="24"/>
          <w:szCs w:val="24"/>
        </w:rPr>
        <w:t>Even</w:t>
      </w:r>
      <w:r w:rsidR="00726CB5" w:rsidRPr="002A7D9E">
        <w:rPr>
          <w:rFonts w:ascii="Times New Roman" w:hAnsi="Times New Roman" w:cs="Times New Roman"/>
          <w:sz w:val="24"/>
          <w:szCs w:val="24"/>
        </w:rPr>
        <w:t xml:space="preserve"> when they are</w:t>
      </w:r>
      <w:r w:rsidR="00CF6FF0" w:rsidRPr="002A7D9E">
        <w:rPr>
          <w:rFonts w:ascii="Times New Roman" w:hAnsi="Times New Roman" w:cs="Times New Roman"/>
          <w:sz w:val="24"/>
          <w:szCs w:val="24"/>
        </w:rPr>
        <w:t xml:space="preserve"> made explicit</w:t>
      </w:r>
      <w:r w:rsidR="00726CB5" w:rsidRPr="002A7D9E">
        <w:rPr>
          <w:rFonts w:ascii="Times New Roman" w:hAnsi="Times New Roman" w:cs="Times New Roman"/>
          <w:sz w:val="24"/>
          <w:szCs w:val="24"/>
        </w:rPr>
        <w:t>,</w:t>
      </w:r>
      <w:r w:rsidR="00CF6FF0" w:rsidRPr="002A7D9E">
        <w:rPr>
          <w:rFonts w:ascii="Times New Roman" w:hAnsi="Times New Roman" w:cs="Times New Roman"/>
          <w:sz w:val="24"/>
          <w:szCs w:val="24"/>
        </w:rPr>
        <w:t xml:space="preserve"> they can still represent a large, heterogeneous </w:t>
      </w:r>
      <w:r w:rsidR="00726CB5" w:rsidRPr="002A7D9E">
        <w:rPr>
          <w:rFonts w:ascii="Times New Roman" w:hAnsi="Times New Roman" w:cs="Times New Roman"/>
          <w:sz w:val="24"/>
          <w:szCs w:val="24"/>
        </w:rPr>
        <w:t xml:space="preserve">group, as </w:t>
      </w:r>
      <w:r w:rsidR="00BA703C" w:rsidRPr="002A7D9E">
        <w:rPr>
          <w:rFonts w:ascii="Times New Roman" w:hAnsi="Times New Roman" w:cs="Times New Roman"/>
          <w:sz w:val="24"/>
          <w:szCs w:val="24"/>
        </w:rPr>
        <w:t>was</w:t>
      </w:r>
      <w:r w:rsidR="00726CB5" w:rsidRPr="002A7D9E">
        <w:rPr>
          <w:rFonts w:ascii="Times New Roman" w:hAnsi="Times New Roman" w:cs="Times New Roman"/>
          <w:sz w:val="24"/>
          <w:szCs w:val="24"/>
        </w:rPr>
        <w:t xml:space="preserve"> the case of </w:t>
      </w:r>
      <w:r w:rsidR="001D59FC" w:rsidRPr="002A7D9E">
        <w:rPr>
          <w:rFonts w:ascii="Times New Roman" w:hAnsi="Times New Roman" w:cs="Times New Roman"/>
          <w:sz w:val="24"/>
          <w:szCs w:val="24"/>
        </w:rPr>
        <w:t>G</w:t>
      </w:r>
      <w:r w:rsidR="001D59FC" w:rsidRPr="002A7D9E">
        <w:rPr>
          <w:rFonts w:ascii="Times New Roman" w:eastAsia="HelveticaNeueCE-Roman" w:hAnsi="Times New Roman" w:cs="Times New Roman"/>
          <w:sz w:val="24"/>
          <w:szCs w:val="24"/>
        </w:rPr>
        <w:t xml:space="preserve">roup 3, </w:t>
      </w:r>
      <w:r w:rsidR="00726CB5" w:rsidRPr="002A7D9E">
        <w:rPr>
          <w:rFonts w:ascii="Times New Roman" w:eastAsia="HelveticaNeueCE-Roman" w:hAnsi="Times New Roman" w:cs="Times New Roman"/>
          <w:sz w:val="24"/>
          <w:szCs w:val="24"/>
        </w:rPr>
        <w:t>which</w:t>
      </w:r>
      <w:r w:rsidR="00901358" w:rsidRPr="002A7D9E">
        <w:rPr>
          <w:rFonts w:ascii="Times New Roman" w:eastAsia="HelveticaNeueCE-Roman" w:hAnsi="Times New Roman" w:cs="Times New Roman"/>
          <w:sz w:val="24"/>
          <w:szCs w:val="24"/>
        </w:rPr>
        <w:t>,</w:t>
      </w:r>
      <w:r w:rsidR="00726CB5" w:rsidRPr="002A7D9E">
        <w:rPr>
          <w:rFonts w:ascii="Times New Roman" w:eastAsia="HelveticaNeueCE-Roman" w:hAnsi="Times New Roman" w:cs="Times New Roman"/>
          <w:sz w:val="24"/>
          <w:szCs w:val="24"/>
        </w:rPr>
        <w:t xml:space="preserve"> </w:t>
      </w:r>
      <w:r w:rsidR="001D59FC" w:rsidRPr="002A7D9E">
        <w:rPr>
          <w:rFonts w:ascii="Times New Roman" w:eastAsia="HelveticaNeueCE-Roman" w:hAnsi="Times New Roman" w:cs="Times New Roman"/>
          <w:sz w:val="24"/>
          <w:szCs w:val="24"/>
        </w:rPr>
        <w:t>recognizing the vast potential for cultural awareness practices, chose to focus on ‘two policy levels: the European and multilateral on the one hand and the national and regional on the other’ (European Union 2015, 61).</w:t>
      </w:r>
    </w:p>
    <w:p w:rsidR="00A34971" w:rsidRPr="002A7D9E" w:rsidRDefault="00A34971" w:rsidP="001A3121">
      <w:pPr>
        <w:autoSpaceDE w:val="0"/>
        <w:autoSpaceDN w:val="0"/>
        <w:adjustRightInd w:val="0"/>
        <w:spacing w:after="0" w:line="480" w:lineRule="auto"/>
        <w:rPr>
          <w:rFonts w:ascii="Times New Roman" w:hAnsi="Times New Roman" w:cs="Times New Roman"/>
          <w:sz w:val="24"/>
          <w:szCs w:val="24"/>
        </w:rPr>
      </w:pPr>
    </w:p>
    <w:p w:rsidR="00A90F06" w:rsidRPr="002A7D9E" w:rsidRDefault="00D252E9" w:rsidP="001A3121">
      <w:pPr>
        <w:spacing w:after="0" w:line="480" w:lineRule="auto"/>
        <w:rPr>
          <w:rFonts w:ascii="Times New Roman" w:hAnsi="Times New Roman" w:cs="Times New Roman"/>
        </w:rPr>
      </w:pPr>
      <w:r w:rsidRPr="002A7D9E">
        <w:rPr>
          <w:rFonts w:ascii="Times New Roman" w:hAnsi="Times New Roman" w:cs="Times New Roman"/>
          <w:sz w:val="24"/>
          <w:szCs w:val="24"/>
        </w:rPr>
        <w:t xml:space="preserve">A </w:t>
      </w:r>
      <w:r w:rsidR="008223C5" w:rsidRPr="002A7D9E">
        <w:rPr>
          <w:rFonts w:ascii="Times New Roman" w:hAnsi="Times New Roman" w:cs="Times New Roman"/>
          <w:sz w:val="24"/>
          <w:szCs w:val="24"/>
        </w:rPr>
        <w:t>fo</w:t>
      </w:r>
      <w:r w:rsidR="001C6C27" w:rsidRPr="002A7D9E">
        <w:rPr>
          <w:rFonts w:ascii="Times New Roman" w:hAnsi="Times New Roman" w:cs="Times New Roman"/>
          <w:sz w:val="24"/>
          <w:szCs w:val="24"/>
        </w:rPr>
        <w:t>u</w:t>
      </w:r>
      <w:r w:rsidR="008223C5" w:rsidRPr="002A7D9E">
        <w:rPr>
          <w:rFonts w:ascii="Times New Roman" w:hAnsi="Times New Roman" w:cs="Times New Roman"/>
          <w:sz w:val="24"/>
          <w:szCs w:val="24"/>
        </w:rPr>
        <w:t>rth issue</w:t>
      </w:r>
      <w:r w:rsidRPr="002A7D9E">
        <w:rPr>
          <w:rFonts w:ascii="Times New Roman" w:hAnsi="Times New Roman" w:cs="Times New Roman"/>
          <w:sz w:val="24"/>
          <w:szCs w:val="24"/>
        </w:rPr>
        <w:t xml:space="preserve"> is </w:t>
      </w:r>
      <w:r w:rsidRPr="002A7D9E">
        <w:rPr>
          <w:rFonts w:ascii="Times New Roman" w:hAnsi="Times New Roman" w:cs="Times New Roman"/>
          <w:i/>
          <w:sz w:val="24"/>
          <w:szCs w:val="24"/>
        </w:rPr>
        <w:t>what m</w:t>
      </w:r>
      <w:r w:rsidR="002C7556" w:rsidRPr="002A7D9E">
        <w:rPr>
          <w:rFonts w:ascii="Times New Roman" w:hAnsi="Times New Roman" w:cs="Times New Roman"/>
          <w:i/>
          <w:sz w:val="24"/>
          <w:szCs w:val="24"/>
        </w:rPr>
        <w:t xml:space="preserve">akes a practice </w:t>
      </w:r>
      <w:r w:rsidR="005B711B" w:rsidRPr="002A7D9E">
        <w:rPr>
          <w:rFonts w:ascii="Times New Roman" w:hAnsi="Times New Roman" w:cs="Times New Roman"/>
          <w:i/>
          <w:sz w:val="24"/>
          <w:szCs w:val="24"/>
        </w:rPr>
        <w:t>best</w:t>
      </w:r>
      <w:r w:rsidR="002C7556" w:rsidRPr="002A7D9E">
        <w:rPr>
          <w:rFonts w:ascii="Times New Roman" w:hAnsi="Times New Roman" w:cs="Times New Roman"/>
          <w:i/>
          <w:sz w:val="24"/>
          <w:szCs w:val="24"/>
        </w:rPr>
        <w:t xml:space="preserve"> (or </w:t>
      </w:r>
      <w:r w:rsidR="005B711B" w:rsidRPr="002A7D9E">
        <w:rPr>
          <w:rFonts w:ascii="Times New Roman" w:hAnsi="Times New Roman" w:cs="Times New Roman"/>
          <w:i/>
          <w:sz w:val="24"/>
          <w:szCs w:val="24"/>
        </w:rPr>
        <w:t>good</w:t>
      </w:r>
      <w:r w:rsidR="002C7556" w:rsidRPr="002A7D9E">
        <w:rPr>
          <w:rFonts w:ascii="Times New Roman" w:hAnsi="Times New Roman" w:cs="Times New Roman"/>
          <w:i/>
          <w:sz w:val="24"/>
          <w:szCs w:val="24"/>
        </w:rPr>
        <w:t>!)?</w:t>
      </w:r>
      <w:r w:rsidR="00BF56BF" w:rsidRPr="002A7D9E">
        <w:rPr>
          <w:rFonts w:ascii="Times New Roman" w:hAnsi="Times New Roman" w:cs="Times New Roman"/>
          <w:sz w:val="24"/>
          <w:szCs w:val="24"/>
        </w:rPr>
        <w:t xml:space="preserve"> </w:t>
      </w:r>
      <w:r w:rsidR="00E15AE7" w:rsidRPr="002A7D9E">
        <w:rPr>
          <w:rFonts w:ascii="Times New Roman" w:hAnsi="Times New Roman" w:cs="Times New Roman"/>
          <w:sz w:val="24"/>
          <w:szCs w:val="24"/>
        </w:rPr>
        <w:t xml:space="preserve">How is success of policies and programs measured? </w:t>
      </w:r>
      <w:r w:rsidR="001F5E3C" w:rsidRPr="002A7D9E">
        <w:rPr>
          <w:rFonts w:ascii="Times New Roman" w:hAnsi="Times New Roman" w:cs="Times New Roman"/>
          <w:sz w:val="24"/>
          <w:szCs w:val="24"/>
        </w:rPr>
        <w:t xml:space="preserve">How diverse should they be? </w:t>
      </w:r>
      <w:r w:rsidR="00B02098" w:rsidRPr="002A7D9E">
        <w:rPr>
          <w:rFonts w:ascii="Times New Roman" w:hAnsi="Times New Roman" w:cs="Times New Roman"/>
          <w:sz w:val="24"/>
          <w:szCs w:val="24"/>
        </w:rPr>
        <w:t xml:space="preserve">Who decides what is best? </w:t>
      </w:r>
      <w:r w:rsidR="00521239" w:rsidRPr="002A7D9E">
        <w:rPr>
          <w:rFonts w:ascii="Times New Roman" w:hAnsi="Times New Roman" w:cs="Times New Roman"/>
          <w:sz w:val="24"/>
          <w:szCs w:val="24"/>
        </w:rPr>
        <w:t xml:space="preserve">Choosing best practices is a </w:t>
      </w:r>
      <w:bookmarkStart w:id="0" w:name="_GoBack"/>
      <w:bookmarkEnd w:id="0"/>
      <w:r w:rsidR="00521239" w:rsidRPr="002A7D9E">
        <w:rPr>
          <w:rFonts w:ascii="Times New Roman" w:hAnsi="Times New Roman" w:cs="Times New Roman"/>
          <w:sz w:val="24"/>
          <w:szCs w:val="24"/>
        </w:rPr>
        <w:t>political decision (</w:t>
      </w:r>
      <w:proofErr w:type="spellStart"/>
      <w:r w:rsidR="00505FF2" w:rsidRPr="002A7D9E">
        <w:rPr>
          <w:rFonts w:ascii="Times New Roman" w:hAnsi="Times New Roman" w:cs="Times New Roman"/>
          <w:sz w:val="24"/>
          <w:szCs w:val="24"/>
        </w:rPr>
        <w:t>Kerber</w:t>
      </w:r>
      <w:proofErr w:type="spellEnd"/>
      <w:r w:rsidR="00505FF2" w:rsidRPr="002A7D9E">
        <w:rPr>
          <w:rFonts w:ascii="Times New Roman" w:hAnsi="Times New Roman" w:cs="Times New Roman"/>
          <w:sz w:val="24"/>
          <w:szCs w:val="24"/>
        </w:rPr>
        <w:t xml:space="preserve"> and </w:t>
      </w:r>
      <w:proofErr w:type="spellStart"/>
      <w:r w:rsidR="00505FF2" w:rsidRPr="002A7D9E">
        <w:rPr>
          <w:rFonts w:ascii="Times New Roman" w:hAnsi="Times New Roman" w:cs="Times New Roman"/>
          <w:sz w:val="24"/>
          <w:szCs w:val="24"/>
        </w:rPr>
        <w:t>Eckardt</w:t>
      </w:r>
      <w:proofErr w:type="spellEnd"/>
      <w:r w:rsidR="00505FF2" w:rsidRPr="002A7D9E">
        <w:rPr>
          <w:rFonts w:ascii="Times New Roman" w:hAnsi="Times New Roman" w:cs="Times New Roman"/>
          <w:sz w:val="24"/>
          <w:szCs w:val="24"/>
        </w:rPr>
        <w:t xml:space="preserve"> 2007), and</w:t>
      </w:r>
      <w:r w:rsidR="00521239" w:rsidRPr="002A7D9E">
        <w:rPr>
          <w:rFonts w:ascii="Times New Roman" w:hAnsi="Times New Roman" w:cs="Times New Roman"/>
          <w:sz w:val="24"/>
          <w:szCs w:val="24"/>
        </w:rPr>
        <w:t xml:space="preserve"> raises important questions </w:t>
      </w:r>
      <w:r w:rsidR="00585493" w:rsidRPr="002A7D9E">
        <w:rPr>
          <w:rFonts w:ascii="Times New Roman" w:hAnsi="Times New Roman" w:cs="Times New Roman"/>
          <w:sz w:val="24"/>
          <w:szCs w:val="24"/>
        </w:rPr>
        <w:t xml:space="preserve">about </w:t>
      </w:r>
      <w:r w:rsidR="00521239" w:rsidRPr="002A7D9E">
        <w:rPr>
          <w:rFonts w:ascii="Times New Roman" w:hAnsi="Times New Roman" w:cs="Times New Roman"/>
          <w:sz w:val="24"/>
          <w:szCs w:val="24"/>
        </w:rPr>
        <w:t>who sets the parameters, fra</w:t>
      </w:r>
      <w:r w:rsidR="00137243" w:rsidRPr="002A7D9E">
        <w:rPr>
          <w:rFonts w:ascii="Times New Roman" w:hAnsi="Times New Roman" w:cs="Times New Roman"/>
          <w:sz w:val="24"/>
          <w:szCs w:val="24"/>
        </w:rPr>
        <w:t>meworks, and terms of reference:</w:t>
      </w:r>
      <w:r w:rsidR="007976D0" w:rsidRPr="002A7D9E">
        <w:rPr>
          <w:rFonts w:ascii="Times New Roman" w:hAnsi="Times New Roman" w:cs="Times New Roman"/>
          <w:sz w:val="24"/>
          <w:szCs w:val="24"/>
        </w:rPr>
        <w:t xml:space="preserve"> ‘[t]</w:t>
      </w:r>
      <w:r w:rsidR="008B1B6E" w:rsidRPr="002A7D9E">
        <w:rPr>
          <w:rFonts w:ascii="Times New Roman" w:hAnsi="Times New Roman" w:cs="Times New Roman"/>
          <w:sz w:val="24"/>
          <w:szCs w:val="24"/>
        </w:rPr>
        <w:t xml:space="preserve">o choose a set of indicators, to designate an innovation as </w:t>
      </w:r>
      <w:r w:rsidR="001C543A" w:rsidRPr="002A7D9E">
        <w:rPr>
          <w:rFonts w:ascii="Times New Roman" w:hAnsi="Times New Roman" w:cs="Times New Roman"/>
          <w:sz w:val="24"/>
          <w:szCs w:val="24"/>
        </w:rPr>
        <w:t>“</w:t>
      </w:r>
      <w:r w:rsidR="008B1B6E" w:rsidRPr="002A7D9E">
        <w:rPr>
          <w:rFonts w:ascii="Times New Roman" w:hAnsi="Times New Roman" w:cs="Times New Roman"/>
          <w:sz w:val="24"/>
          <w:szCs w:val="24"/>
        </w:rPr>
        <w:t>good practice</w:t>
      </w:r>
      <w:r w:rsidR="001C543A" w:rsidRPr="002A7D9E">
        <w:rPr>
          <w:rFonts w:ascii="Times New Roman" w:hAnsi="Times New Roman" w:cs="Times New Roman"/>
          <w:sz w:val="24"/>
          <w:szCs w:val="24"/>
        </w:rPr>
        <w:t>”</w:t>
      </w:r>
      <w:r w:rsidR="008B1B6E" w:rsidRPr="002A7D9E">
        <w:rPr>
          <w:rFonts w:ascii="Times New Roman" w:hAnsi="Times New Roman" w:cs="Times New Roman"/>
          <w:sz w:val="24"/>
          <w:szCs w:val="24"/>
        </w:rPr>
        <w:t>, to undertake a benchmarking exercise, and to write guidelines are all political processes. They establish hi</w:t>
      </w:r>
      <w:r w:rsidR="007976D0" w:rsidRPr="002A7D9E">
        <w:rPr>
          <w:rFonts w:ascii="Times New Roman" w:hAnsi="Times New Roman" w:cs="Times New Roman"/>
          <w:sz w:val="24"/>
          <w:szCs w:val="24"/>
        </w:rPr>
        <w:t xml:space="preserve">erarchies of domestic solutions’ </w:t>
      </w:r>
      <w:r w:rsidR="008B1B6E" w:rsidRPr="002A7D9E">
        <w:rPr>
          <w:rFonts w:ascii="Times New Roman" w:hAnsi="Times New Roman" w:cs="Times New Roman"/>
          <w:sz w:val="24"/>
          <w:szCs w:val="24"/>
        </w:rPr>
        <w:t>(</w:t>
      </w:r>
      <w:proofErr w:type="spellStart"/>
      <w:r w:rsidR="008B1B6E" w:rsidRPr="002A7D9E">
        <w:rPr>
          <w:rFonts w:ascii="Times New Roman" w:hAnsi="Times New Roman" w:cs="Times New Roman"/>
          <w:sz w:val="24"/>
          <w:szCs w:val="24"/>
        </w:rPr>
        <w:t>Radaelli</w:t>
      </w:r>
      <w:proofErr w:type="spellEnd"/>
      <w:r w:rsidR="008B1B6E" w:rsidRPr="002A7D9E">
        <w:rPr>
          <w:rFonts w:ascii="Times New Roman" w:hAnsi="Times New Roman" w:cs="Times New Roman"/>
          <w:sz w:val="24"/>
          <w:szCs w:val="24"/>
        </w:rPr>
        <w:t xml:space="preserve"> 2003, 40).</w:t>
      </w:r>
      <w:r w:rsidR="007976D0" w:rsidRPr="002A7D9E">
        <w:rPr>
          <w:rFonts w:ascii="Times New Roman" w:hAnsi="Times New Roman" w:cs="Times New Roman"/>
          <w:sz w:val="24"/>
          <w:szCs w:val="24"/>
        </w:rPr>
        <w:t xml:space="preserve"> </w:t>
      </w:r>
      <w:r w:rsidR="00A90F06" w:rsidRPr="002A7D9E">
        <w:rPr>
          <w:rFonts w:ascii="Times New Roman" w:hAnsi="Times New Roman" w:cs="Times New Roman"/>
          <w:sz w:val="24"/>
          <w:szCs w:val="24"/>
        </w:rPr>
        <w:t xml:space="preserve">A </w:t>
      </w:r>
      <w:r w:rsidR="00054394" w:rsidRPr="002A7D9E">
        <w:rPr>
          <w:rFonts w:ascii="Times New Roman" w:hAnsi="Times New Roman" w:cs="Times New Roman"/>
          <w:sz w:val="24"/>
          <w:szCs w:val="24"/>
        </w:rPr>
        <w:t xml:space="preserve">rigorous, explicit set </w:t>
      </w:r>
      <w:r w:rsidR="00A90F06" w:rsidRPr="002A7D9E">
        <w:rPr>
          <w:rFonts w:ascii="Times New Roman" w:hAnsi="Times New Roman" w:cs="Times New Roman"/>
          <w:sz w:val="24"/>
          <w:szCs w:val="24"/>
        </w:rPr>
        <w:lastRenderedPageBreak/>
        <w:t>of criteria should be set. The more transparent this process is, the m</w:t>
      </w:r>
      <w:r w:rsidR="00585493" w:rsidRPr="002A7D9E">
        <w:rPr>
          <w:rFonts w:ascii="Times New Roman" w:hAnsi="Times New Roman" w:cs="Times New Roman"/>
          <w:sz w:val="24"/>
          <w:szCs w:val="24"/>
        </w:rPr>
        <w:t xml:space="preserve">ore </w:t>
      </w:r>
      <w:r w:rsidR="004F7FAD" w:rsidRPr="002A7D9E">
        <w:rPr>
          <w:rFonts w:ascii="Times New Roman" w:hAnsi="Times New Roman" w:cs="Times New Roman"/>
          <w:sz w:val="24"/>
          <w:szCs w:val="24"/>
        </w:rPr>
        <w:t>legitimate the practices are.</w:t>
      </w:r>
    </w:p>
    <w:p w:rsidR="00521239" w:rsidRPr="002A7D9E" w:rsidRDefault="00521239" w:rsidP="001A3121">
      <w:pPr>
        <w:spacing w:after="0" w:line="480" w:lineRule="auto"/>
        <w:rPr>
          <w:rFonts w:ascii="Times New Roman" w:hAnsi="Times New Roman" w:cs="Times New Roman"/>
          <w:sz w:val="24"/>
          <w:szCs w:val="24"/>
        </w:rPr>
      </w:pPr>
    </w:p>
    <w:p w:rsidR="0084454D" w:rsidRPr="002A7D9E" w:rsidRDefault="00170A89"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Identifying</w:t>
      </w:r>
      <w:r w:rsidR="00674384" w:rsidRPr="002A7D9E">
        <w:rPr>
          <w:rFonts w:ascii="Times New Roman" w:hAnsi="Times New Roman" w:cs="Times New Roman"/>
          <w:sz w:val="24"/>
          <w:szCs w:val="24"/>
        </w:rPr>
        <w:t xml:space="preserve"> and choosing</w:t>
      </w:r>
      <w:r w:rsidRPr="002A7D9E">
        <w:rPr>
          <w:rFonts w:ascii="Times New Roman" w:hAnsi="Times New Roman" w:cs="Times New Roman"/>
          <w:sz w:val="24"/>
          <w:szCs w:val="24"/>
        </w:rPr>
        <w:t xml:space="preserve"> practices is often a difficult task.</w:t>
      </w:r>
      <w:r w:rsidR="00674384" w:rsidRPr="002A7D9E">
        <w:rPr>
          <w:rFonts w:ascii="Times New Roman" w:hAnsi="Times New Roman" w:cs="Times New Roman"/>
          <w:sz w:val="24"/>
          <w:szCs w:val="24"/>
        </w:rPr>
        <w:t xml:space="preserve"> </w:t>
      </w:r>
      <w:r w:rsidR="00585493" w:rsidRPr="002A7D9E">
        <w:rPr>
          <w:rFonts w:ascii="Times New Roman" w:hAnsi="Times New Roman" w:cs="Times New Roman"/>
          <w:sz w:val="24"/>
          <w:szCs w:val="24"/>
        </w:rPr>
        <w:t>In</w:t>
      </w:r>
      <w:r w:rsidR="00A90F06" w:rsidRPr="002A7D9E">
        <w:rPr>
          <w:rFonts w:ascii="Times New Roman" w:hAnsi="Times New Roman" w:cs="Times New Roman"/>
          <w:sz w:val="24"/>
          <w:szCs w:val="24"/>
        </w:rPr>
        <w:t xml:space="preserve"> the OMC, the practices </w:t>
      </w:r>
      <w:proofErr w:type="gramStart"/>
      <w:r w:rsidR="00A90F06" w:rsidRPr="002A7D9E">
        <w:rPr>
          <w:rFonts w:ascii="Times New Roman" w:hAnsi="Times New Roman" w:cs="Times New Roman"/>
          <w:sz w:val="24"/>
          <w:szCs w:val="24"/>
        </w:rPr>
        <w:t>are identified and self-selected by the group</w:t>
      </w:r>
      <w:proofErr w:type="gramEnd"/>
      <w:r w:rsidR="00A90F06" w:rsidRPr="002A7D9E">
        <w:rPr>
          <w:rFonts w:ascii="Times New Roman" w:hAnsi="Times New Roman" w:cs="Times New Roman"/>
          <w:sz w:val="24"/>
          <w:szCs w:val="24"/>
        </w:rPr>
        <w:t xml:space="preserve">. </w:t>
      </w:r>
      <w:r w:rsidR="0084454D" w:rsidRPr="002A7D9E">
        <w:rPr>
          <w:rFonts w:ascii="Times New Roman" w:hAnsi="Times New Roman" w:cs="Times New Roman"/>
          <w:sz w:val="24"/>
          <w:szCs w:val="24"/>
        </w:rPr>
        <w:t xml:space="preserve">In order to </w:t>
      </w:r>
      <w:r w:rsidR="00521239" w:rsidRPr="002A7D9E">
        <w:rPr>
          <w:rFonts w:ascii="Times New Roman" w:hAnsi="Times New Roman" w:cs="Times New Roman"/>
          <w:sz w:val="24"/>
          <w:szCs w:val="24"/>
        </w:rPr>
        <w:t>compile an initial compendium</w:t>
      </w:r>
      <w:r w:rsidR="0084454D" w:rsidRPr="002A7D9E">
        <w:rPr>
          <w:rFonts w:ascii="Times New Roman" w:hAnsi="Times New Roman" w:cs="Times New Roman"/>
          <w:sz w:val="24"/>
          <w:szCs w:val="24"/>
        </w:rPr>
        <w:t xml:space="preserve"> for Group 3</w:t>
      </w:r>
      <w:r w:rsidR="00521239" w:rsidRPr="002A7D9E">
        <w:rPr>
          <w:rFonts w:ascii="Times New Roman" w:hAnsi="Times New Roman" w:cs="Times New Roman"/>
          <w:sz w:val="24"/>
          <w:szCs w:val="24"/>
        </w:rPr>
        <w:t xml:space="preserve">, each expert </w:t>
      </w:r>
      <w:proofErr w:type="gramStart"/>
      <w:r w:rsidR="00521239" w:rsidRPr="002A7D9E">
        <w:rPr>
          <w:rFonts w:ascii="Times New Roman" w:hAnsi="Times New Roman" w:cs="Times New Roman"/>
          <w:sz w:val="24"/>
          <w:szCs w:val="24"/>
        </w:rPr>
        <w:t>was asked</w:t>
      </w:r>
      <w:proofErr w:type="gramEnd"/>
      <w:r w:rsidR="00521239" w:rsidRPr="002A7D9E">
        <w:rPr>
          <w:rFonts w:ascii="Times New Roman" w:hAnsi="Times New Roman" w:cs="Times New Roman"/>
          <w:sz w:val="24"/>
          <w:szCs w:val="24"/>
        </w:rPr>
        <w:t xml:space="preserve"> to bring two examples. While many experts consult other relevant actors in their individual Member State, the examples are lim</w:t>
      </w:r>
      <w:r w:rsidR="000B26D5" w:rsidRPr="002A7D9E">
        <w:rPr>
          <w:rFonts w:ascii="Times New Roman" w:hAnsi="Times New Roman" w:cs="Times New Roman"/>
          <w:sz w:val="24"/>
          <w:szCs w:val="24"/>
        </w:rPr>
        <w:t xml:space="preserve">ited to what that expert, as a </w:t>
      </w:r>
      <w:r w:rsidR="00521239" w:rsidRPr="002A7D9E">
        <w:rPr>
          <w:rFonts w:ascii="Times New Roman" w:hAnsi="Times New Roman" w:cs="Times New Roman"/>
          <w:sz w:val="24"/>
          <w:szCs w:val="24"/>
        </w:rPr>
        <w:t>bounded actor, is aw</w:t>
      </w:r>
      <w:r w:rsidR="001117F6" w:rsidRPr="002A7D9E">
        <w:rPr>
          <w:rFonts w:ascii="Times New Roman" w:hAnsi="Times New Roman" w:cs="Times New Roman"/>
          <w:sz w:val="24"/>
          <w:szCs w:val="24"/>
        </w:rPr>
        <w:t xml:space="preserve">are </w:t>
      </w:r>
      <w:proofErr w:type="gramStart"/>
      <w:r w:rsidR="001117F6" w:rsidRPr="002A7D9E">
        <w:rPr>
          <w:rFonts w:ascii="Times New Roman" w:hAnsi="Times New Roman" w:cs="Times New Roman"/>
          <w:sz w:val="24"/>
          <w:szCs w:val="24"/>
        </w:rPr>
        <w:t>of</w:t>
      </w:r>
      <w:proofErr w:type="gramEnd"/>
      <w:r w:rsidR="001117F6" w:rsidRPr="002A7D9E">
        <w:rPr>
          <w:rFonts w:ascii="Times New Roman" w:hAnsi="Times New Roman" w:cs="Times New Roman"/>
          <w:sz w:val="24"/>
          <w:szCs w:val="24"/>
        </w:rPr>
        <w:t>. There may be a case of “internal”</w:t>
      </w:r>
      <w:r w:rsidR="00521239" w:rsidRPr="002A7D9E">
        <w:rPr>
          <w:rFonts w:ascii="Times New Roman" w:hAnsi="Times New Roman" w:cs="Times New Roman"/>
          <w:sz w:val="24"/>
          <w:szCs w:val="24"/>
        </w:rPr>
        <w:t xml:space="preserve"> debate </w:t>
      </w:r>
      <w:r w:rsidR="00521239" w:rsidRPr="002A7D9E">
        <w:rPr>
          <w:rFonts w:ascii="Times New Roman" w:hAnsi="Times New Roman" w:cs="Times New Roman"/>
          <w:i/>
          <w:sz w:val="24"/>
          <w:szCs w:val="24"/>
        </w:rPr>
        <w:t>within</w:t>
      </w:r>
      <w:r w:rsidR="00521239" w:rsidRPr="002A7D9E">
        <w:rPr>
          <w:rFonts w:ascii="Times New Roman" w:hAnsi="Times New Roman" w:cs="Times New Roman"/>
          <w:sz w:val="24"/>
          <w:szCs w:val="24"/>
        </w:rPr>
        <w:t xml:space="preserve"> a Member State over which practices to share at the EU level, but this varies considerably. From there, the group decided which examples were to be included in the final report. The selection of these practices </w:t>
      </w:r>
      <w:r w:rsidR="00106037" w:rsidRPr="002A7D9E">
        <w:rPr>
          <w:rFonts w:ascii="Times New Roman" w:hAnsi="Times New Roman" w:cs="Times New Roman"/>
          <w:sz w:val="24"/>
          <w:szCs w:val="24"/>
        </w:rPr>
        <w:t>did</w:t>
      </w:r>
      <w:r w:rsidR="00521239" w:rsidRPr="002A7D9E">
        <w:rPr>
          <w:rFonts w:ascii="Times New Roman" w:hAnsi="Times New Roman" w:cs="Times New Roman"/>
          <w:sz w:val="24"/>
          <w:szCs w:val="24"/>
        </w:rPr>
        <w:t xml:space="preserve"> not adhere to any </w:t>
      </w:r>
      <w:r w:rsidR="00106037" w:rsidRPr="002A7D9E">
        <w:rPr>
          <w:rFonts w:ascii="Times New Roman" w:hAnsi="Times New Roman" w:cs="Times New Roman"/>
          <w:sz w:val="24"/>
          <w:szCs w:val="24"/>
        </w:rPr>
        <w:t>strict</w:t>
      </w:r>
      <w:r w:rsidR="00521239" w:rsidRPr="002A7D9E">
        <w:rPr>
          <w:rFonts w:ascii="Times New Roman" w:hAnsi="Times New Roman" w:cs="Times New Roman"/>
          <w:sz w:val="24"/>
          <w:szCs w:val="24"/>
        </w:rPr>
        <w:t xml:space="preserve"> criteria.</w:t>
      </w:r>
      <w:r w:rsidR="0084454D" w:rsidRPr="002A7D9E">
        <w:rPr>
          <w:rFonts w:ascii="Times New Roman" w:hAnsi="Times New Roman" w:cs="Times New Roman"/>
          <w:sz w:val="24"/>
          <w:szCs w:val="24"/>
        </w:rPr>
        <w:t xml:space="preserve"> Some, for example, </w:t>
      </w:r>
      <w:proofErr w:type="gramStart"/>
      <w:r w:rsidR="0084454D" w:rsidRPr="002A7D9E">
        <w:rPr>
          <w:rFonts w:ascii="Times New Roman" w:hAnsi="Times New Roman" w:cs="Times New Roman"/>
          <w:sz w:val="24"/>
          <w:szCs w:val="24"/>
        </w:rPr>
        <w:t>were discounted</w:t>
      </w:r>
      <w:proofErr w:type="gramEnd"/>
      <w:r w:rsidR="0084454D" w:rsidRPr="002A7D9E">
        <w:rPr>
          <w:rFonts w:ascii="Times New Roman" w:hAnsi="Times New Roman" w:cs="Times New Roman"/>
          <w:sz w:val="24"/>
          <w:szCs w:val="24"/>
        </w:rPr>
        <w:t xml:space="preserve"> because they were too complex and could not easily be understood in a couple of paragraph</w:t>
      </w:r>
      <w:r w:rsidR="00D86C12" w:rsidRPr="002A7D9E">
        <w:rPr>
          <w:rFonts w:ascii="Times New Roman" w:hAnsi="Times New Roman" w:cs="Times New Roman"/>
          <w:sz w:val="24"/>
          <w:szCs w:val="24"/>
        </w:rPr>
        <w:t>s</w:t>
      </w:r>
      <w:r w:rsidR="0084454D" w:rsidRPr="002A7D9E">
        <w:rPr>
          <w:rFonts w:ascii="Times New Roman" w:hAnsi="Times New Roman" w:cs="Times New Roman"/>
          <w:sz w:val="24"/>
          <w:szCs w:val="24"/>
        </w:rPr>
        <w:t>.</w:t>
      </w:r>
    </w:p>
    <w:p w:rsidR="0084454D" w:rsidRPr="002A7D9E" w:rsidRDefault="0084454D" w:rsidP="001A3121">
      <w:pPr>
        <w:spacing w:after="0" w:line="480" w:lineRule="auto"/>
        <w:rPr>
          <w:rFonts w:ascii="Times New Roman" w:hAnsi="Times New Roman" w:cs="Times New Roman"/>
          <w:sz w:val="24"/>
          <w:szCs w:val="24"/>
        </w:rPr>
      </w:pPr>
    </w:p>
    <w:p w:rsidR="00054394" w:rsidRPr="002A7D9E" w:rsidRDefault="00D86C12" w:rsidP="001A3121">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Practices</w:t>
      </w:r>
      <w:r w:rsidR="0084454D" w:rsidRPr="002A7D9E">
        <w:rPr>
          <w:rFonts w:ascii="Times New Roman" w:hAnsi="Times New Roman" w:cs="Times New Roman"/>
          <w:sz w:val="24"/>
          <w:szCs w:val="24"/>
        </w:rPr>
        <w:t xml:space="preserve"> are</w:t>
      </w:r>
      <w:r w:rsidRPr="002A7D9E">
        <w:rPr>
          <w:rFonts w:ascii="Times New Roman" w:hAnsi="Times New Roman" w:cs="Times New Roman"/>
          <w:sz w:val="24"/>
          <w:szCs w:val="24"/>
        </w:rPr>
        <w:t xml:space="preserve"> therefore</w:t>
      </w:r>
      <w:r w:rsidR="0084454D" w:rsidRPr="002A7D9E">
        <w:rPr>
          <w:rFonts w:ascii="Times New Roman" w:hAnsi="Times New Roman" w:cs="Times New Roman"/>
          <w:sz w:val="24"/>
          <w:szCs w:val="24"/>
        </w:rPr>
        <w:t xml:space="preserve"> not tested, debated extensively, or measured against each other for style or type. In this case, they </w:t>
      </w:r>
      <w:proofErr w:type="gramStart"/>
      <w:r w:rsidR="0084454D" w:rsidRPr="002A7D9E">
        <w:rPr>
          <w:rFonts w:ascii="Times New Roman" w:hAnsi="Times New Roman" w:cs="Times New Roman"/>
          <w:sz w:val="24"/>
          <w:szCs w:val="24"/>
        </w:rPr>
        <w:t>are self-selected</w:t>
      </w:r>
      <w:proofErr w:type="gramEnd"/>
      <w:r w:rsidR="0084454D" w:rsidRPr="002A7D9E">
        <w:rPr>
          <w:rFonts w:ascii="Times New Roman" w:hAnsi="Times New Roman" w:cs="Times New Roman"/>
          <w:sz w:val="24"/>
          <w:szCs w:val="24"/>
        </w:rPr>
        <w:t>, with “</w:t>
      </w:r>
      <w:proofErr w:type="spellStart"/>
      <w:r w:rsidR="0084454D" w:rsidRPr="002A7D9E">
        <w:rPr>
          <w:rFonts w:ascii="Times New Roman" w:hAnsi="Times New Roman" w:cs="Times New Roman"/>
          <w:sz w:val="24"/>
          <w:szCs w:val="24"/>
        </w:rPr>
        <w:t>curational</w:t>
      </w:r>
      <w:proofErr w:type="spellEnd"/>
      <w:r w:rsidR="0084454D" w:rsidRPr="002A7D9E">
        <w:rPr>
          <w:rFonts w:ascii="Times New Roman" w:hAnsi="Times New Roman" w:cs="Times New Roman"/>
          <w:sz w:val="24"/>
          <w:szCs w:val="24"/>
        </w:rPr>
        <w:t xml:space="preserve">” input by the chair, sub-group, Commission policy officer, and/or an external guiding expert. </w:t>
      </w:r>
      <w:r w:rsidR="00054394" w:rsidRPr="002A7D9E">
        <w:rPr>
          <w:rFonts w:ascii="Times New Roman" w:hAnsi="Times New Roman" w:cs="Times New Roman"/>
          <w:sz w:val="24"/>
          <w:szCs w:val="24"/>
        </w:rPr>
        <w:t xml:space="preserve">There is also no distinction </w:t>
      </w:r>
      <w:r w:rsidR="00054394" w:rsidRPr="002A7D9E">
        <w:rPr>
          <w:rFonts w:ascii="Times New Roman" w:hAnsi="Times New Roman" w:cs="Times New Roman"/>
          <w:i/>
          <w:sz w:val="24"/>
          <w:szCs w:val="24"/>
        </w:rPr>
        <w:t>between</w:t>
      </w:r>
      <w:r w:rsidR="00054394" w:rsidRPr="002A7D9E">
        <w:rPr>
          <w:rFonts w:ascii="Times New Roman" w:hAnsi="Times New Roman" w:cs="Times New Roman"/>
          <w:sz w:val="24"/>
          <w:szCs w:val="24"/>
        </w:rPr>
        <w:t xml:space="preserve"> practices, </w:t>
      </w:r>
      <w:r w:rsidR="000E1BF4" w:rsidRPr="002A7D9E">
        <w:rPr>
          <w:rFonts w:ascii="Times New Roman" w:hAnsi="Times New Roman" w:cs="Times New Roman"/>
          <w:sz w:val="24"/>
          <w:szCs w:val="24"/>
        </w:rPr>
        <w:t>since</w:t>
      </w:r>
      <w:r w:rsidR="00054394" w:rsidRPr="002A7D9E">
        <w:rPr>
          <w:rFonts w:ascii="Times New Roman" w:hAnsi="Times New Roman" w:cs="Times New Roman"/>
          <w:sz w:val="24"/>
          <w:szCs w:val="24"/>
        </w:rPr>
        <w:t xml:space="preserve"> </w:t>
      </w:r>
      <w:r w:rsidR="001117F6" w:rsidRPr="002A7D9E">
        <w:rPr>
          <w:rFonts w:ascii="Times New Roman" w:hAnsi="Times New Roman" w:cs="Times New Roman"/>
          <w:sz w:val="24"/>
          <w:szCs w:val="24"/>
        </w:rPr>
        <w:t>best practices</w:t>
      </w:r>
      <w:r w:rsidR="00054394" w:rsidRPr="002A7D9E">
        <w:rPr>
          <w:rFonts w:ascii="Times New Roman" w:hAnsi="Times New Roman" w:cs="Times New Roman"/>
          <w:sz w:val="24"/>
          <w:szCs w:val="24"/>
        </w:rPr>
        <w:t xml:space="preserve"> ‘tend to homogenize distinctions between programmes ranging from the second-best to worst’ (Rose 2005, 39). </w:t>
      </w:r>
      <w:r w:rsidR="001117F6" w:rsidRPr="002A7D9E">
        <w:rPr>
          <w:rFonts w:ascii="Times New Roman" w:hAnsi="Times New Roman" w:cs="Times New Roman"/>
          <w:sz w:val="24"/>
          <w:szCs w:val="24"/>
        </w:rPr>
        <w:t>Indeed</w:t>
      </w:r>
      <w:r w:rsidR="00054394" w:rsidRPr="002A7D9E">
        <w:rPr>
          <w:rFonts w:ascii="Times New Roman" w:hAnsi="Times New Roman" w:cs="Times New Roman"/>
          <w:sz w:val="24"/>
          <w:szCs w:val="24"/>
        </w:rPr>
        <w:t xml:space="preserve">, we often see that no </w:t>
      </w:r>
      <w:r w:rsidR="001C543A" w:rsidRPr="002A7D9E">
        <w:rPr>
          <w:rFonts w:ascii="Times New Roman" w:hAnsi="Times New Roman" w:cs="Times New Roman"/>
          <w:sz w:val="24"/>
          <w:szCs w:val="24"/>
        </w:rPr>
        <w:t>“</w:t>
      </w:r>
      <w:r w:rsidR="00054394" w:rsidRPr="002A7D9E">
        <w:rPr>
          <w:rFonts w:ascii="Times New Roman" w:hAnsi="Times New Roman" w:cs="Times New Roman"/>
          <w:sz w:val="24"/>
          <w:szCs w:val="24"/>
        </w:rPr>
        <w:t>top</w:t>
      </w:r>
      <w:r w:rsidR="001C543A" w:rsidRPr="002A7D9E">
        <w:rPr>
          <w:rFonts w:ascii="Times New Roman" w:hAnsi="Times New Roman" w:cs="Times New Roman"/>
          <w:sz w:val="24"/>
          <w:szCs w:val="24"/>
        </w:rPr>
        <w:t>”</w:t>
      </w:r>
      <w:r w:rsidR="00054394" w:rsidRPr="002A7D9E">
        <w:rPr>
          <w:rFonts w:ascii="Times New Roman" w:hAnsi="Times New Roman" w:cs="Times New Roman"/>
          <w:sz w:val="24"/>
          <w:szCs w:val="24"/>
        </w:rPr>
        <w:t xml:space="preserve"> i.e. best is determined, implying that they are all of equal quality</w:t>
      </w:r>
      <w:r w:rsidR="00DE5D79" w:rsidRPr="002A7D9E">
        <w:rPr>
          <w:rFonts w:ascii="Times New Roman" w:hAnsi="Times New Roman" w:cs="Times New Roman"/>
          <w:sz w:val="24"/>
          <w:szCs w:val="24"/>
        </w:rPr>
        <w:t xml:space="preserve"> </w:t>
      </w:r>
      <w:r w:rsidR="00DE5D79" w:rsidRPr="002A7D9E">
        <w:rPr>
          <w:rFonts w:ascii="Times New Roman" w:hAnsi="Times New Roman" w:cs="Times New Roman"/>
          <w:sz w:val="24"/>
          <w:szCs w:val="24"/>
        </w:rPr>
        <w:lastRenderedPageBreak/>
        <w:t>(a</w:t>
      </w:r>
      <w:r w:rsidR="00054394" w:rsidRPr="002A7D9E">
        <w:rPr>
          <w:rFonts w:ascii="Times New Roman" w:hAnsi="Times New Roman" w:cs="Times New Roman"/>
          <w:sz w:val="24"/>
          <w:szCs w:val="24"/>
        </w:rPr>
        <w:t>fter all, “[</w:t>
      </w:r>
      <w:proofErr w:type="spellStart"/>
      <w:r w:rsidR="00054394" w:rsidRPr="002A7D9E">
        <w:rPr>
          <w:rFonts w:ascii="Times New Roman" w:hAnsi="Times New Roman" w:cs="Times New Roman"/>
          <w:sz w:val="24"/>
          <w:szCs w:val="24"/>
        </w:rPr>
        <w:t>i</w:t>
      </w:r>
      <w:proofErr w:type="spellEnd"/>
      <w:r w:rsidR="00054394" w:rsidRPr="002A7D9E">
        <w:rPr>
          <w:rFonts w:ascii="Times New Roman" w:hAnsi="Times New Roman" w:cs="Times New Roman"/>
          <w:sz w:val="24"/>
          <w:szCs w:val="24"/>
        </w:rPr>
        <w:t>]f ‘best’ means that it is truly better than many or most other practices this implies that it is a relatively r</w:t>
      </w:r>
      <w:r w:rsidR="00DE5D79" w:rsidRPr="002A7D9E">
        <w:rPr>
          <w:rFonts w:ascii="Times New Roman" w:hAnsi="Times New Roman" w:cs="Times New Roman"/>
          <w:sz w:val="24"/>
          <w:szCs w:val="24"/>
        </w:rPr>
        <w:t>are thing” [</w:t>
      </w:r>
      <w:proofErr w:type="spellStart"/>
      <w:r w:rsidR="0084454D" w:rsidRPr="002A7D9E">
        <w:rPr>
          <w:rFonts w:ascii="Times New Roman" w:hAnsi="Times New Roman" w:cs="Times New Roman"/>
          <w:sz w:val="24"/>
          <w:szCs w:val="24"/>
        </w:rPr>
        <w:t>Bardach</w:t>
      </w:r>
      <w:proofErr w:type="spellEnd"/>
      <w:r w:rsidR="0084454D" w:rsidRPr="002A7D9E">
        <w:rPr>
          <w:rFonts w:ascii="Times New Roman" w:hAnsi="Times New Roman" w:cs="Times New Roman"/>
          <w:sz w:val="24"/>
          <w:szCs w:val="24"/>
        </w:rPr>
        <w:t xml:space="preserve"> 1994, 266</w:t>
      </w:r>
      <w:r w:rsidR="00DE5D79" w:rsidRPr="002A7D9E">
        <w:rPr>
          <w:rFonts w:ascii="Times New Roman" w:hAnsi="Times New Roman" w:cs="Times New Roman"/>
          <w:sz w:val="24"/>
          <w:szCs w:val="24"/>
        </w:rPr>
        <w:t>]</w:t>
      </w:r>
      <w:r w:rsidR="0084454D" w:rsidRPr="002A7D9E">
        <w:rPr>
          <w:rFonts w:ascii="Times New Roman" w:hAnsi="Times New Roman" w:cs="Times New Roman"/>
          <w:sz w:val="24"/>
          <w:szCs w:val="24"/>
        </w:rPr>
        <w:t>).</w:t>
      </w:r>
    </w:p>
    <w:p w:rsidR="004A266E" w:rsidRPr="002A7D9E" w:rsidRDefault="004A266E" w:rsidP="001A3121">
      <w:pPr>
        <w:spacing w:after="0" w:line="480" w:lineRule="auto"/>
        <w:rPr>
          <w:rFonts w:ascii="Times New Roman" w:hAnsi="Times New Roman" w:cs="Times New Roman"/>
          <w:sz w:val="24"/>
          <w:szCs w:val="24"/>
        </w:rPr>
      </w:pPr>
    </w:p>
    <w:p w:rsidR="001F5E3C" w:rsidRPr="002A7D9E" w:rsidRDefault="004A266E"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A </w:t>
      </w:r>
      <w:r w:rsidR="008223C5" w:rsidRPr="002A7D9E">
        <w:rPr>
          <w:rFonts w:ascii="Times New Roman" w:hAnsi="Times New Roman" w:cs="Times New Roman"/>
          <w:sz w:val="24"/>
          <w:szCs w:val="24"/>
        </w:rPr>
        <w:t>fifth</w:t>
      </w:r>
      <w:r w:rsidRPr="002A7D9E">
        <w:rPr>
          <w:rFonts w:ascii="Times New Roman" w:hAnsi="Times New Roman" w:cs="Times New Roman"/>
          <w:sz w:val="24"/>
          <w:szCs w:val="24"/>
        </w:rPr>
        <w:t xml:space="preserve"> issue is </w:t>
      </w:r>
      <w:r w:rsidR="00D839D2" w:rsidRPr="002A7D9E">
        <w:rPr>
          <w:rFonts w:ascii="Times New Roman" w:hAnsi="Times New Roman" w:cs="Times New Roman"/>
          <w:i/>
          <w:sz w:val="24"/>
          <w:szCs w:val="24"/>
        </w:rPr>
        <w:t>how do best practices work</w:t>
      </w:r>
      <w:r w:rsidR="00D839D2" w:rsidRPr="002A7D9E">
        <w:rPr>
          <w:rFonts w:ascii="Times New Roman" w:hAnsi="Times New Roman" w:cs="Times New Roman"/>
          <w:sz w:val="24"/>
          <w:szCs w:val="24"/>
        </w:rPr>
        <w:t xml:space="preserve">? </w:t>
      </w:r>
      <w:r w:rsidR="005E484F" w:rsidRPr="002A7D9E">
        <w:rPr>
          <w:rFonts w:ascii="Times New Roman" w:hAnsi="Times New Roman" w:cs="Times New Roman"/>
          <w:sz w:val="24"/>
          <w:szCs w:val="24"/>
        </w:rPr>
        <w:t xml:space="preserve">Best practice analysis </w:t>
      </w:r>
      <w:r w:rsidR="006C21A4" w:rsidRPr="002A7D9E">
        <w:rPr>
          <w:rFonts w:ascii="Times New Roman" w:hAnsi="Times New Roman" w:cs="Times New Roman"/>
          <w:sz w:val="24"/>
          <w:szCs w:val="24"/>
        </w:rPr>
        <w:t xml:space="preserve">usually points to “one size fits all” </w:t>
      </w:r>
      <w:r w:rsidR="005E484F" w:rsidRPr="002A7D9E">
        <w:rPr>
          <w:rFonts w:ascii="Times New Roman" w:hAnsi="Times New Roman" w:cs="Times New Roman"/>
          <w:sz w:val="24"/>
          <w:szCs w:val="24"/>
        </w:rPr>
        <w:t xml:space="preserve">suggestions, obfuscating the necessary combination of actors, institutions, and ideas necessary </w:t>
      </w:r>
      <w:proofErr w:type="gramStart"/>
      <w:r w:rsidR="005E484F" w:rsidRPr="002A7D9E">
        <w:rPr>
          <w:rFonts w:ascii="Times New Roman" w:hAnsi="Times New Roman" w:cs="Times New Roman"/>
          <w:sz w:val="24"/>
          <w:szCs w:val="24"/>
        </w:rPr>
        <w:t>to actually carry</w:t>
      </w:r>
      <w:proofErr w:type="gramEnd"/>
      <w:r w:rsidR="005E484F" w:rsidRPr="002A7D9E">
        <w:rPr>
          <w:rFonts w:ascii="Times New Roman" w:hAnsi="Times New Roman" w:cs="Times New Roman"/>
          <w:sz w:val="24"/>
          <w:szCs w:val="24"/>
        </w:rPr>
        <w:t xml:space="preserve"> out a policy or program. </w:t>
      </w:r>
      <w:r w:rsidR="007B1F18" w:rsidRPr="002A7D9E">
        <w:rPr>
          <w:rFonts w:ascii="Times New Roman" w:hAnsi="Times New Roman" w:cs="Times New Roman"/>
          <w:sz w:val="24"/>
          <w:szCs w:val="24"/>
        </w:rPr>
        <w:t>However, to be most effective, they</w:t>
      </w:r>
      <w:r w:rsidR="004317AC" w:rsidRPr="002A7D9E">
        <w:rPr>
          <w:rFonts w:ascii="Times New Roman" w:hAnsi="Times New Roman" w:cs="Times New Roman"/>
          <w:sz w:val="24"/>
          <w:szCs w:val="24"/>
        </w:rPr>
        <w:t xml:space="preserve"> need t</w:t>
      </w:r>
      <w:r w:rsidRPr="002A7D9E">
        <w:rPr>
          <w:rFonts w:ascii="Times New Roman" w:hAnsi="Times New Roman" w:cs="Times New Roman"/>
          <w:sz w:val="24"/>
          <w:szCs w:val="24"/>
        </w:rPr>
        <w:t xml:space="preserve">o include what Rose terms </w:t>
      </w:r>
      <w:r w:rsidRPr="002A7D9E">
        <w:rPr>
          <w:rFonts w:ascii="Times New Roman" w:hAnsi="Times New Roman" w:cs="Times New Roman"/>
          <w:i/>
          <w:sz w:val="24"/>
          <w:szCs w:val="24"/>
        </w:rPr>
        <w:t>models</w:t>
      </w:r>
      <w:r w:rsidR="00501F64" w:rsidRPr="002A7D9E">
        <w:rPr>
          <w:rFonts w:ascii="Times New Roman" w:hAnsi="Times New Roman" w:cs="Times New Roman"/>
          <w:sz w:val="24"/>
          <w:szCs w:val="24"/>
        </w:rPr>
        <w:t>, which contain</w:t>
      </w:r>
      <w:r w:rsidRPr="002A7D9E">
        <w:rPr>
          <w:rFonts w:ascii="Times New Roman" w:hAnsi="Times New Roman" w:cs="Times New Roman"/>
          <w:sz w:val="24"/>
          <w:szCs w:val="24"/>
        </w:rPr>
        <w:t xml:space="preserve"> information on pertinent laws and regulation, organization/structure, personnel, </w:t>
      </w:r>
      <w:r w:rsidR="001117F6" w:rsidRPr="002A7D9E">
        <w:rPr>
          <w:rFonts w:ascii="Times New Roman" w:hAnsi="Times New Roman" w:cs="Times New Roman"/>
          <w:sz w:val="24"/>
          <w:szCs w:val="24"/>
        </w:rPr>
        <w:t>financial details</w:t>
      </w:r>
      <w:r w:rsidRPr="002A7D9E">
        <w:rPr>
          <w:rFonts w:ascii="Times New Roman" w:hAnsi="Times New Roman" w:cs="Times New Roman"/>
          <w:sz w:val="24"/>
          <w:szCs w:val="24"/>
        </w:rPr>
        <w:t>, program outputs</w:t>
      </w:r>
      <w:r w:rsidR="001117F6" w:rsidRPr="002A7D9E">
        <w:rPr>
          <w:rFonts w:ascii="Times New Roman" w:hAnsi="Times New Roman" w:cs="Times New Roman"/>
          <w:sz w:val="24"/>
          <w:szCs w:val="24"/>
        </w:rPr>
        <w:t xml:space="preserve"> and</w:t>
      </w:r>
      <w:r w:rsidRPr="002A7D9E">
        <w:rPr>
          <w:rFonts w:ascii="Times New Roman" w:hAnsi="Times New Roman" w:cs="Times New Roman"/>
          <w:sz w:val="24"/>
          <w:szCs w:val="24"/>
        </w:rPr>
        <w:t xml:space="preserve"> recipients, and goal(s). This is particularly important when working cross-nationally (Rose 2</w:t>
      </w:r>
      <w:r w:rsidR="00D94A14" w:rsidRPr="002A7D9E">
        <w:rPr>
          <w:rFonts w:ascii="Times New Roman" w:hAnsi="Times New Roman" w:cs="Times New Roman"/>
          <w:sz w:val="24"/>
          <w:szCs w:val="24"/>
        </w:rPr>
        <w:t xml:space="preserve">005, </w:t>
      </w:r>
      <w:r w:rsidR="0014089C" w:rsidRPr="002A7D9E">
        <w:rPr>
          <w:rFonts w:ascii="Times New Roman" w:hAnsi="Times New Roman" w:cs="Times New Roman"/>
          <w:sz w:val="24"/>
          <w:szCs w:val="24"/>
        </w:rPr>
        <w:t>71), and also given the particular</w:t>
      </w:r>
      <w:r w:rsidR="001F5E3C" w:rsidRPr="002A7D9E">
        <w:rPr>
          <w:rFonts w:ascii="Times New Roman" w:hAnsi="Times New Roman" w:cs="Times New Roman"/>
          <w:sz w:val="24"/>
          <w:szCs w:val="24"/>
        </w:rPr>
        <w:t xml:space="preserve"> challenges </w:t>
      </w:r>
      <w:r w:rsidR="0014089C" w:rsidRPr="002A7D9E">
        <w:rPr>
          <w:rFonts w:ascii="Times New Roman" w:hAnsi="Times New Roman" w:cs="Times New Roman"/>
          <w:sz w:val="24"/>
          <w:szCs w:val="24"/>
        </w:rPr>
        <w:t>of</w:t>
      </w:r>
      <w:r w:rsidR="001F5E3C" w:rsidRPr="002A7D9E">
        <w:rPr>
          <w:rFonts w:ascii="Times New Roman" w:hAnsi="Times New Roman" w:cs="Times New Roman"/>
          <w:sz w:val="24"/>
          <w:szCs w:val="24"/>
        </w:rPr>
        <w:t xml:space="preserve"> governance </w:t>
      </w:r>
      <w:r w:rsidR="0014089C" w:rsidRPr="002A7D9E">
        <w:rPr>
          <w:rFonts w:ascii="Times New Roman" w:hAnsi="Times New Roman" w:cs="Times New Roman"/>
          <w:sz w:val="24"/>
          <w:szCs w:val="24"/>
        </w:rPr>
        <w:t xml:space="preserve">in the cultural sector </w:t>
      </w:r>
      <w:r w:rsidR="001F5E3C" w:rsidRPr="002A7D9E">
        <w:rPr>
          <w:rFonts w:ascii="Times New Roman" w:hAnsi="Times New Roman" w:cs="Times New Roman"/>
          <w:sz w:val="24"/>
          <w:szCs w:val="24"/>
        </w:rPr>
        <w:t>(</w:t>
      </w:r>
      <w:r w:rsidR="0014089C" w:rsidRPr="002A7D9E">
        <w:rPr>
          <w:rFonts w:ascii="Times New Roman" w:hAnsi="Times New Roman" w:cs="Times New Roman"/>
          <w:sz w:val="24"/>
          <w:szCs w:val="24"/>
        </w:rPr>
        <w:t xml:space="preserve">see </w:t>
      </w:r>
      <w:r w:rsidR="001F5E3C" w:rsidRPr="002A7D9E">
        <w:rPr>
          <w:rFonts w:ascii="Times New Roman" w:hAnsi="Times New Roman" w:cs="Times New Roman"/>
          <w:sz w:val="24"/>
          <w:szCs w:val="24"/>
        </w:rPr>
        <w:t xml:space="preserve">Pratt </w:t>
      </w:r>
      <w:r w:rsidR="00874354" w:rsidRPr="002A7D9E">
        <w:rPr>
          <w:rFonts w:ascii="Times New Roman" w:hAnsi="Times New Roman" w:cs="Times New Roman"/>
          <w:sz w:val="24"/>
          <w:szCs w:val="24"/>
        </w:rPr>
        <w:t>2012</w:t>
      </w:r>
      <w:r w:rsidR="0014089C" w:rsidRPr="002A7D9E">
        <w:rPr>
          <w:rFonts w:ascii="Times New Roman" w:hAnsi="Times New Roman" w:cs="Times New Roman"/>
          <w:sz w:val="24"/>
          <w:szCs w:val="24"/>
        </w:rPr>
        <w:t>)</w:t>
      </w:r>
      <w:r w:rsidR="00DC42C5" w:rsidRPr="002A7D9E">
        <w:rPr>
          <w:rFonts w:ascii="Times New Roman" w:hAnsi="Times New Roman" w:cs="Times New Roman"/>
          <w:sz w:val="24"/>
          <w:szCs w:val="24"/>
        </w:rPr>
        <w:t xml:space="preserve">. </w:t>
      </w:r>
    </w:p>
    <w:p w:rsidR="001F5E3C" w:rsidRPr="002A7D9E" w:rsidRDefault="001F5E3C" w:rsidP="001A3121">
      <w:pPr>
        <w:autoSpaceDE w:val="0"/>
        <w:autoSpaceDN w:val="0"/>
        <w:adjustRightInd w:val="0"/>
        <w:spacing w:after="0" w:line="480" w:lineRule="auto"/>
        <w:rPr>
          <w:rFonts w:ascii="Times New Roman" w:hAnsi="Times New Roman" w:cs="Times New Roman"/>
          <w:sz w:val="24"/>
          <w:szCs w:val="24"/>
        </w:rPr>
      </w:pPr>
    </w:p>
    <w:p w:rsidR="00AB56C6" w:rsidRPr="002A7D9E" w:rsidRDefault="00640FB4" w:rsidP="001A3121">
      <w:pPr>
        <w:autoSpaceDE w:val="0"/>
        <w:autoSpaceDN w:val="0"/>
        <w:adjustRightInd w:val="0"/>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Klofsten</w:t>
      </w:r>
      <w:proofErr w:type="spellEnd"/>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t>Heydebreck</w:t>
      </w:r>
      <w:proofErr w:type="spellEnd"/>
      <w:r w:rsidRPr="002A7D9E">
        <w:rPr>
          <w:rFonts w:ascii="Times New Roman" w:hAnsi="Times New Roman" w:cs="Times New Roman"/>
          <w:sz w:val="24"/>
          <w:szCs w:val="24"/>
        </w:rPr>
        <w:t>, and Jones-Evans (2010) discuss how an actor wanting to use</w:t>
      </w:r>
      <w:r w:rsidR="00E55BE7" w:rsidRPr="002A7D9E">
        <w:rPr>
          <w:rFonts w:ascii="Times New Roman" w:hAnsi="Times New Roman" w:cs="Times New Roman"/>
          <w:sz w:val="24"/>
          <w:szCs w:val="24"/>
        </w:rPr>
        <w:t xml:space="preserve"> a best practice</w:t>
      </w:r>
      <w:r w:rsidRPr="002A7D9E">
        <w:rPr>
          <w:rFonts w:ascii="Times New Roman" w:hAnsi="Times New Roman" w:cs="Times New Roman"/>
          <w:sz w:val="24"/>
          <w:szCs w:val="24"/>
        </w:rPr>
        <w:t xml:space="preserve"> only has access to the information provided by the “good-practice actor” (in </w:t>
      </w:r>
      <w:r w:rsidR="00BE6540" w:rsidRPr="002A7D9E">
        <w:rPr>
          <w:rFonts w:ascii="Times New Roman" w:hAnsi="Times New Roman" w:cs="Times New Roman"/>
          <w:sz w:val="24"/>
          <w:szCs w:val="24"/>
        </w:rPr>
        <w:t>th</w:t>
      </w:r>
      <w:r w:rsidR="00717D0C" w:rsidRPr="002A7D9E">
        <w:rPr>
          <w:rFonts w:ascii="Times New Roman" w:hAnsi="Times New Roman" w:cs="Times New Roman"/>
          <w:sz w:val="24"/>
          <w:szCs w:val="24"/>
        </w:rPr>
        <w:t>is</w:t>
      </w:r>
      <w:r w:rsidRPr="002A7D9E">
        <w:rPr>
          <w:rFonts w:ascii="Times New Roman" w:hAnsi="Times New Roman" w:cs="Times New Roman"/>
          <w:sz w:val="24"/>
          <w:szCs w:val="24"/>
        </w:rPr>
        <w:t xml:space="preserve"> case, the Member State expert who supplied the practice). This seems an obvious point, but is worth repeating: best practices are static and exist in a certain time and space; to be useful to broader audiences</w:t>
      </w:r>
      <w:r w:rsidR="00A76246" w:rsidRPr="002A7D9E">
        <w:rPr>
          <w:rFonts w:ascii="Times New Roman" w:hAnsi="Times New Roman" w:cs="Times New Roman"/>
          <w:sz w:val="24"/>
          <w:szCs w:val="24"/>
        </w:rPr>
        <w:t xml:space="preserve">, </w:t>
      </w:r>
      <w:r w:rsidRPr="002A7D9E">
        <w:rPr>
          <w:rFonts w:ascii="Times New Roman" w:hAnsi="Times New Roman" w:cs="Times New Roman"/>
          <w:sz w:val="24"/>
          <w:szCs w:val="24"/>
        </w:rPr>
        <w:t>enough information has to be includ</w:t>
      </w:r>
      <w:r w:rsidR="002C743F" w:rsidRPr="002A7D9E">
        <w:rPr>
          <w:rFonts w:ascii="Times New Roman" w:hAnsi="Times New Roman" w:cs="Times New Roman"/>
          <w:sz w:val="24"/>
          <w:szCs w:val="24"/>
        </w:rPr>
        <w:t xml:space="preserve">ed </w:t>
      </w:r>
      <w:r w:rsidR="000C3B62" w:rsidRPr="002A7D9E">
        <w:rPr>
          <w:rFonts w:ascii="Times New Roman" w:hAnsi="Times New Roman" w:cs="Times New Roman"/>
          <w:sz w:val="24"/>
          <w:szCs w:val="24"/>
        </w:rPr>
        <w:t xml:space="preserve">to enable implementation. The </w:t>
      </w:r>
      <w:r w:rsidR="00A76246" w:rsidRPr="002A7D9E">
        <w:rPr>
          <w:rFonts w:ascii="Times New Roman" w:hAnsi="Times New Roman" w:cs="Times New Roman"/>
          <w:sz w:val="24"/>
          <w:szCs w:val="24"/>
        </w:rPr>
        <w:t xml:space="preserve">same </w:t>
      </w:r>
      <w:r w:rsidR="000C3B62" w:rsidRPr="002A7D9E">
        <w:rPr>
          <w:rFonts w:ascii="Times New Roman" w:hAnsi="Times New Roman" w:cs="Times New Roman"/>
          <w:sz w:val="24"/>
          <w:szCs w:val="24"/>
        </w:rPr>
        <w:t xml:space="preserve">authors </w:t>
      </w:r>
      <w:r w:rsidR="002C743F" w:rsidRPr="002A7D9E">
        <w:rPr>
          <w:rFonts w:ascii="Times New Roman" w:hAnsi="Times New Roman" w:cs="Times New Roman"/>
          <w:sz w:val="24"/>
          <w:szCs w:val="24"/>
        </w:rPr>
        <w:t>go so far as to suggest that</w:t>
      </w:r>
      <w:r w:rsidRPr="002A7D9E">
        <w:rPr>
          <w:rFonts w:ascii="Times New Roman" w:hAnsi="Times New Roman" w:cs="Times New Roman"/>
          <w:sz w:val="24"/>
          <w:szCs w:val="24"/>
        </w:rPr>
        <w:t xml:space="preserve"> ‘any learning from third-party experience can only be effective if the </w:t>
      </w:r>
      <w:r w:rsidR="002C743F" w:rsidRPr="002A7D9E">
        <w:rPr>
          <w:rFonts w:ascii="Times New Roman" w:hAnsi="Times New Roman" w:cs="Times New Roman"/>
          <w:sz w:val="24"/>
          <w:szCs w:val="24"/>
        </w:rPr>
        <w:t>“champions”</w:t>
      </w:r>
      <w:r w:rsidRPr="002A7D9E">
        <w:rPr>
          <w:rFonts w:ascii="Times New Roman" w:hAnsi="Times New Roman" w:cs="Times New Roman"/>
          <w:sz w:val="24"/>
          <w:szCs w:val="24"/>
        </w:rPr>
        <w:t xml:space="preserve"> who initiated and managed the good-practice case in one region are substantially involved in the implementation of lessons learned by a partner in another region</w:t>
      </w:r>
      <w:r w:rsidR="002C743F" w:rsidRPr="002A7D9E">
        <w:rPr>
          <w:rFonts w:ascii="Times New Roman" w:hAnsi="Times New Roman" w:cs="Times New Roman"/>
          <w:sz w:val="24"/>
          <w:szCs w:val="24"/>
        </w:rPr>
        <w:t>’</w:t>
      </w:r>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t>Klofsten</w:t>
      </w:r>
      <w:proofErr w:type="spellEnd"/>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lastRenderedPageBreak/>
        <w:t>Heydebreck</w:t>
      </w:r>
      <w:proofErr w:type="spellEnd"/>
      <w:r w:rsidRPr="002A7D9E">
        <w:rPr>
          <w:rFonts w:ascii="Times New Roman" w:hAnsi="Times New Roman" w:cs="Times New Roman"/>
          <w:sz w:val="24"/>
          <w:szCs w:val="24"/>
        </w:rPr>
        <w:t>, and Jones-Evans 2010, 792-3).</w:t>
      </w:r>
      <w:r w:rsidR="00AB56C6" w:rsidRPr="002A7D9E">
        <w:rPr>
          <w:rFonts w:ascii="Times New Roman" w:eastAsia="HelveticaNeueCE-Roman" w:hAnsi="Times New Roman" w:cs="Times New Roman"/>
          <w:sz w:val="24"/>
          <w:szCs w:val="24"/>
        </w:rPr>
        <w:t xml:space="preserve"> </w:t>
      </w:r>
      <w:r w:rsidR="00EB4FA2" w:rsidRPr="002A7D9E">
        <w:rPr>
          <w:rFonts w:ascii="Times New Roman" w:eastAsia="HelveticaNeueCE-Roman" w:hAnsi="Times New Roman" w:cs="Times New Roman"/>
          <w:sz w:val="24"/>
          <w:szCs w:val="24"/>
        </w:rPr>
        <w:t>While all groups have provided a list of further sources and reference documents at the end of the reports, these are general and usually not specific to the individual practices.</w:t>
      </w:r>
    </w:p>
    <w:p w:rsidR="0061060E" w:rsidRPr="002A7D9E" w:rsidRDefault="0061060E" w:rsidP="001A3121">
      <w:pPr>
        <w:autoSpaceDE w:val="0"/>
        <w:autoSpaceDN w:val="0"/>
        <w:adjustRightInd w:val="0"/>
        <w:spacing w:after="0" w:line="480" w:lineRule="auto"/>
        <w:rPr>
          <w:rFonts w:ascii="Times New Roman" w:hAnsi="Times New Roman" w:cs="Times New Roman"/>
          <w:sz w:val="24"/>
          <w:szCs w:val="24"/>
        </w:rPr>
      </w:pPr>
    </w:p>
    <w:p w:rsidR="0024187B" w:rsidRPr="002A7D9E" w:rsidRDefault="0061060E"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A sixth and final question is </w:t>
      </w:r>
      <w:proofErr w:type="spellStart"/>
      <w:r w:rsidRPr="002A7D9E">
        <w:rPr>
          <w:rFonts w:ascii="Times New Roman" w:hAnsi="Times New Roman" w:cs="Times New Roman"/>
          <w:i/>
          <w:sz w:val="24"/>
          <w:szCs w:val="24"/>
        </w:rPr>
        <w:t>is</w:t>
      </w:r>
      <w:proofErr w:type="spellEnd"/>
      <w:r w:rsidRPr="002A7D9E">
        <w:rPr>
          <w:rFonts w:ascii="Times New Roman" w:hAnsi="Times New Roman" w:cs="Times New Roman"/>
          <w:i/>
          <w:sz w:val="24"/>
          <w:szCs w:val="24"/>
        </w:rPr>
        <w:t xml:space="preserve"> there any accompanying </w:t>
      </w:r>
      <w:proofErr w:type="gramStart"/>
      <w:r w:rsidRPr="002A7D9E">
        <w:rPr>
          <w:rFonts w:ascii="Times New Roman" w:hAnsi="Times New Roman" w:cs="Times New Roman"/>
          <w:i/>
          <w:sz w:val="24"/>
          <w:szCs w:val="24"/>
        </w:rPr>
        <w:t>analysis</w:t>
      </w:r>
      <w:r w:rsidRPr="002A7D9E">
        <w:rPr>
          <w:rFonts w:ascii="Times New Roman" w:hAnsi="Times New Roman" w:cs="Times New Roman"/>
          <w:sz w:val="24"/>
          <w:szCs w:val="24"/>
        </w:rPr>
        <w:t>?</w:t>
      </w:r>
      <w:proofErr w:type="gramEnd"/>
      <w:r w:rsidR="0024187B" w:rsidRPr="002A7D9E">
        <w:rPr>
          <w:rFonts w:ascii="Times New Roman" w:hAnsi="Times New Roman" w:cs="Times New Roman"/>
          <w:sz w:val="24"/>
          <w:szCs w:val="24"/>
        </w:rPr>
        <w:t xml:space="preserve"> All of the reports included some analysis. Group </w:t>
      </w:r>
      <w:proofErr w:type="gramStart"/>
      <w:r w:rsidR="0024187B" w:rsidRPr="002A7D9E">
        <w:rPr>
          <w:rFonts w:ascii="Times New Roman" w:hAnsi="Times New Roman" w:cs="Times New Roman"/>
          <w:sz w:val="24"/>
          <w:szCs w:val="24"/>
        </w:rPr>
        <w:t>1</w:t>
      </w:r>
      <w:proofErr w:type="gramEnd"/>
      <w:r w:rsidR="0024187B" w:rsidRPr="002A7D9E">
        <w:rPr>
          <w:rFonts w:ascii="Times New Roman" w:hAnsi="Times New Roman" w:cs="Times New Roman"/>
          <w:sz w:val="24"/>
          <w:szCs w:val="24"/>
        </w:rPr>
        <w:t xml:space="preserve"> set out a loose framework at the start of the report, contextualizing the </w:t>
      </w:r>
      <w:r w:rsidR="00DD7882" w:rsidRPr="002A7D9E">
        <w:rPr>
          <w:rFonts w:ascii="Times New Roman" w:hAnsi="Times New Roman" w:cs="Times New Roman"/>
          <w:sz w:val="24"/>
          <w:szCs w:val="24"/>
        </w:rPr>
        <w:t>subject</w:t>
      </w:r>
      <w:r w:rsidR="0024187B" w:rsidRPr="002A7D9E">
        <w:rPr>
          <w:rFonts w:ascii="Times New Roman" w:hAnsi="Times New Roman" w:cs="Times New Roman"/>
          <w:sz w:val="24"/>
          <w:szCs w:val="24"/>
        </w:rPr>
        <w:t xml:space="preserve"> of access to culture. </w:t>
      </w:r>
      <w:proofErr w:type="gramStart"/>
      <w:r w:rsidR="0024187B" w:rsidRPr="002A7D9E">
        <w:rPr>
          <w:rFonts w:ascii="Times New Roman" w:hAnsi="Times New Roman" w:cs="Times New Roman"/>
          <w:sz w:val="24"/>
          <w:szCs w:val="24"/>
        </w:rPr>
        <w:t>This is followed by six chapters</w:t>
      </w:r>
      <w:proofErr w:type="gramEnd"/>
      <w:r w:rsidR="0024187B" w:rsidRPr="002A7D9E">
        <w:rPr>
          <w:rFonts w:ascii="Times New Roman" w:hAnsi="Times New Roman" w:cs="Times New Roman"/>
          <w:sz w:val="24"/>
          <w:szCs w:val="24"/>
        </w:rPr>
        <w:t xml:space="preserve">, each tackling a different </w:t>
      </w:r>
      <w:r w:rsidR="00DD7882" w:rsidRPr="002A7D9E">
        <w:rPr>
          <w:rFonts w:ascii="Times New Roman" w:hAnsi="Times New Roman" w:cs="Times New Roman"/>
          <w:sz w:val="24"/>
          <w:szCs w:val="24"/>
        </w:rPr>
        <w:t>theme</w:t>
      </w:r>
      <w:r w:rsidR="0024187B" w:rsidRPr="002A7D9E">
        <w:rPr>
          <w:rFonts w:ascii="Times New Roman" w:hAnsi="Times New Roman" w:cs="Times New Roman"/>
          <w:sz w:val="24"/>
          <w:szCs w:val="24"/>
        </w:rPr>
        <w:t xml:space="preserve"> </w:t>
      </w:r>
      <w:r w:rsidR="00904117" w:rsidRPr="002A7D9E">
        <w:rPr>
          <w:rFonts w:ascii="Times New Roman" w:hAnsi="Times New Roman" w:cs="Times New Roman"/>
          <w:sz w:val="24"/>
          <w:szCs w:val="24"/>
        </w:rPr>
        <w:t>relating to</w:t>
      </w:r>
      <w:r w:rsidR="0024187B" w:rsidRPr="002A7D9E">
        <w:rPr>
          <w:rFonts w:ascii="Times New Roman" w:hAnsi="Times New Roman" w:cs="Times New Roman"/>
          <w:sz w:val="24"/>
          <w:szCs w:val="24"/>
        </w:rPr>
        <w:t xml:space="preserve"> access. Each chapter </w:t>
      </w:r>
      <w:r w:rsidR="008D4A0F" w:rsidRPr="002A7D9E">
        <w:rPr>
          <w:rFonts w:ascii="Times New Roman" w:hAnsi="Times New Roman" w:cs="Times New Roman"/>
          <w:sz w:val="24"/>
          <w:szCs w:val="24"/>
        </w:rPr>
        <w:t xml:space="preserve">provides some </w:t>
      </w:r>
      <w:r w:rsidR="00D647EE" w:rsidRPr="002A7D9E">
        <w:rPr>
          <w:rFonts w:ascii="Times New Roman" w:hAnsi="Times New Roman" w:cs="Times New Roman"/>
          <w:sz w:val="24"/>
          <w:szCs w:val="24"/>
        </w:rPr>
        <w:t xml:space="preserve">thematic </w:t>
      </w:r>
      <w:r w:rsidR="00226697" w:rsidRPr="002A7D9E">
        <w:rPr>
          <w:rFonts w:ascii="Times New Roman" w:hAnsi="Times New Roman" w:cs="Times New Roman"/>
          <w:sz w:val="24"/>
          <w:szCs w:val="24"/>
        </w:rPr>
        <w:t>analysis</w:t>
      </w:r>
      <w:r w:rsidR="008D4A0F" w:rsidRPr="002A7D9E">
        <w:rPr>
          <w:rFonts w:ascii="Times New Roman" w:hAnsi="Times New Roman" w:cs="Times New Roman"/>
          <w:sz w:val="24"/>
          <w:szCs w:val="24"/>
        </w:rPr>
        <w:t xml:space="preserve">, and the report finishes with a page and a half of recommendations. </w:t>
      </w:r>
      <w:r w:rsidR="006F01C4" w:rsidRPr="002A7D9E">
        <w:rPr>
          <w:rFonts w:ascii="Times New Roman" w:eastAsia="HelveticaNeueCE-Roman" w:hAnsi="Times New Roman" w:cs="Times New Roman"/>
          <w:sz w:val="24"/>
          <w:szCs w:val="24"/>
        </w:rPr>
        <w:t xml:space="preserve">Group 2’s report </w:t>
      </w:r>
      <w:r w:rsidR="00082A35" w:rsidRPr="002A7D9E">
        <w:rPr>
          <w:rFonts w:ascii="Times New Roman" w:eastAsia="HelveticaNeueCE-Roman" w:hAnsi="Times New Roman" w:cs="Times New Roman"/>
          <w:sz w:val="24"/>
          <w:szCs w:val="24"/>
        </w:rPr>
        <w:t>ha</w:t>
      </w:r>
      <w:r w:rsidR="00AE4135" w:rsidRPr="002A7D9E">
        <w:rPr>
          <w:rFonts w:ascii="Times New Roman" w:eastAsia="HelveticaNeueCE-Roman" w:hAnsi="Times New Roman" w:cs="Times New Roman"/>
          <w:sz w:val="24"/>
          <w:szCs w:val="24"/>
        </w:rPr>
        <w:t>d</w:t>
      </w:r>
      <w:r w:rsidR="006F01C4" w:rsidRPr="002A7D9E">
        <w:rPr>
          <w:rFonts w:ascii="Times New Roman" w:eastAsia="HelveticaNeueCE-Roman" w:hAnsi="Times New Roman" w:cs="Times New Roman"/>
          <w:sz w:val="24"/>
          <w:szCs w:val="24"/>
        </w:rPr>
        <w:t xml:space="preserve"> a more analytical focus. </w:t>
      </w:r>
      <w:r w:rsidR="00082A35" w:rsidRPr="002A7D9E">
        <w:rPr>
          <w:rFonts w:ascii="Times New Roman" w:eastAsia="HelveticaNeueCE-Roman" w:hAnsi="Times New Roman" w:cs="Times New Roman"/>
          <w:sz w:val="24"/>
          <w:szCs w:val="24"/>
        </w:rPr>
        <w:t>The</w:t>
      </w:r>
      <w:r w:rsidR="006F01C4" w:rsidRPr="002A7D9E">
        <w:rPr>
          <w:rFonts w:ascii="Times New Roman" w:eastAsia="HelveticaNeueCE-Roman" w:hAnsi="Times New Roman" w:cs="Times New Roman"/>
          <w:sz w:val="24"/>
          <w:szCs w:val="24"/>
        </w:rPr>
        <w:t xml:space="preserve"> examples </w:t>
      </w:r>
      <w:proofErr w:type="gramStart"/>
      <w:r w:rsidR="00AE4135" w:rsidRPr="002A7D9E">
        <w:rPr>
          <w:rFonts w:ascii="Times New Roman" w:eastAsia="HelveticaNeueCE-Roman" w:hAnsi="Times New Roman" w:cs="Times New Roman"/>
          <w:sz w:val="24"/>
          <w:szCs w:val="24"/>
        </w:rPr>
        <w:t xml:space="preserve">were </w:t>
      </w:r>
      <w:r w:rsidR="00082A35" w:rsidRPr="002A7D9E">
        <w:rPr>
          <w:rFonts w:ascii="Times New Roman" w:eastAsia="HelveticaNeueCE-Roman" w:hAnsi="Times New Roman" w:cs="Times New Roman"/>
          <w:sz w:val="24"/>
          <w:szCs w:val="24"/>
        </w:rPr>
        <w:t>separated</w:t>
      </w:r>
      <w:proofErr w:type="gramEnd"/>
      <w:r w:rsidR="00082A35" w:rsidRPr="002A7D9E">
        <w:rPr>
          <w:rFonts w:ascii="Times New Roman" w:eastAsia="HelveticaNeueCE-Roman" w:hAnsi="Times New Roman" w:cs="Times New Roman"/>
          <w:sz w:val="24"/>
          <w:szCs w:val="24"/>
        </w:rPr>
        <w:t xml:space="preserve"> </w:t>
      </w:r>
      <w:r w:rsidR="006F01C4" w:rsidRPr="002A7D9E">
        <w:rPr>
          <w:rFonts w:ascii="Times New Roman" w:eastAsia="HelveticaNeueCE-Roman" w:hAnsi="Times New Roman" w:cs="Times New Roman"/>
          <w:sz w:val="24"/>
          <w:szCs w:val="24"/>
        </w:rPr>
        <w:t xml:space="preserve">into policy </w:t>
      </w:r>
      <w:r w:rsidR="006F01C4" w:rsidRPr="002A7D9E">
        <w:rPr>
          <w:rFonts w:ascii="Times New Roman" w:hAnsi="Times New Roman" w:cs="Times New Roman"/>
          <w:sz w:val="24"/>
          <w:szCs w:val="24"/>
        </w:rPr>
        <w:t xml:space="preserve">measures, which tended to be broad frameworks, and practices, </w:t>
      </w:r>
      <w:r w:rsidR="00D647EE" w:rsidRPr="002A7D9E">
        <w:rPr>
          <w:rFonts w:ascii="Times New Roman" w:hAnsi="Times New Roman" w:cs="Times New Roman"/>
          <w:sz w:val="24"/>
          <w:szCs w:val="24"/>
        </w:rPr>
        <w:t xml:space="preserve">further splitting </w:t>
      </w:r>
      <w:r w:rsidR="0082069C" w:rsidRPr="002A7D9E">
        <w:rPr>
          <w:rFonts w:ascii="Times New Roman" w:hAnsi="Times New Roman" w:cs="Times New Roman"/>
          <w:sz w:val="24"/>
          <w:szCs w:val="24"/>
        </w:rPr>
        <w:t>the latter</w:t>
      </w:r>
      <w:r w:rsidR="00D647EE" w:rsidRPr="002A7D9E">
        <w:rPr>
          <w:rFonts w:ascii="Times New Roman" w:hAnsi="Times New Roman" w:cs="Times New Roman"/>
          <w:sz w:val="24"/>
          <w:szCs w:val="24"/>
        </w:rPr>
        <w:t xml:space="preserve"> </w:t>
      </w:r>
      <w:r w:rsidR="006F01C4" w:rsidRPr="002A7D9E">
        <w:rPr>
          <w:rFonts w:ascii="Times New Roman" w:hAnsi="Times New Roman" w:cs="Times New Roman"/>
          <w:sz w:val="24"/>
          <w:szCs w:val="24"/>
        </w:rPr>
        <w:t>into programming, staffing, reaching out to new audiences, creating spaces for encounters, and intercultural c</w:t>
      </w:r>
      <w:r w:rsidR="00226697" w:rsidRPr="002A7D9E">
        <w:rPr>
          <w:rFonts w:ascii="Times New Roman" w:hAnsi="Times New Roman" w:cs="Times New Roman"/>
          <w:sz w:val="24"/>
          <w:szCs w:val="24"/>
        </w:rPr>
        <w:t>ompetences</w:t>
      </w:r>
      <w:r w:rsidR="006F01C4" w:rsidRPr="002A7D9E">
        <w:rPr>
          <w:rFonts w:ascii="Times New Roman" w:hAnsi="Times New Roman" w:cs="Times New Roman"/>
          <w:sz w:val="24"/>
          <w:szCs w:val="24"/>
        </w:rPr>
        <w:t xml:space="preserve">. In addition to two sets of recommendations, the report </w:t>
      </w:r>
      <w:r w:rsidR="00226697" w:rsidRPr="002A7D9E">
        <w:rPr>
          <w:rFonts w:ascii="Times New Roman" w:hAnsi="Times New Roman" w:cs="Times New Roman"/>
          <w:sz w:val="24"/>
          <w:szCs w:val="24"/>
        </w:rPr>
        <w:t xml:space="preserve">also </w:t>
      </w:r>
      <w:r w:rsidR="0082069C" w:rsidRPr="002A7D9E">
        <w:rPr>
          <w:rFonts w:ascii="Times New Roman" w:hAnsi="Times New Roman" w:cs="Times New Roman"/>
          <w:sz w:val="24"/>
          <w:szCs w:val="24"/>
        </w:rPr>
        <w:t>included a section on “</w:t>
      </w:r>
      <w:r w:rsidR="006F01C4" w:rsidRPr="002A7D9E">
        <w:rPr>
          <w:rFonts w:ascii="Times New Roman" w:hAnsi="Times New Roman" w:cs="Times New Roman"/>
          <w:sz w:val="24"/>
          <w:szCs w:val="24"/>
        </w:rPr>
        <w:t>success factors</w:t>
      </w:r>
      <w:r w:rsidR="0082069C" w:rsidRPr="002A7D9E">
        <w:rPr>
          <w:rFonts w:ascii="Times New Roman" w:hAnsi="Times New Roman" w:cs="Times New Roman"/>
          <w:sz w:val="24"/>
          <w:szCs w:val="24"/>
        </w:rPr>
        <w:t>.”</w:t>
      </w:r>
      <w:r w:rsidR="00226697" w:rsidRPr="002A7D9E">
        <w:rPr>
          <w:rFonts w:ascii="Times New Roman" w:hAnsi="Times New Roman" w:cs="Times New Roman"/>
          <w:sz w:val="24"/>
          <w:szCs w:val="24"/>
        </w:rPr>
        <w:t xml:space="preserve"> </w:t>
      </w:r>
      <w:r w:rsidR="008D4A0F" w:rsidRPr="002A7D9E">
        <w:rPr>
          <w:rFonts w:ascii="Times New Roman" w:hAnsi="Times New Roman" w:cs="Times New Roman"/>
          <w:sz w:val="24"/>
          <w:szCs w:val="24"/>
        </w:rPr>
        <w:t xml:space="preserve">Meanwhile, </w:t>
      </w:r>
      <w:r w:rsidR="0024187B" w:rsidRPr="002A7D9E">
        <w:rPr>
          <w:rFonts w:ascii="Times New Roman" w:hAnsi="Times New Roman" w:cs="Times New Roman"/>
          <w:sz w:val="24"/>
          <w:szCs w:val="24"/>
        </w:rPr>
        <w:t xml:space="preserve">Group 3’s report </w:t>
      </w:r>
      <w:r w:rsidR="00813113" w:rsidRPr="002A7D9E">
        <w:rPr>
          <w:rFonts w:ascii="Times New Roman" w:hAnsi="Times New Roman" w:cs="Times New Roman"/>
          <w:sz w:val="24"/>
          <w:szCs w:val="24"/>
        </w:rPr>
        <w:t>wa</w:t>
      </w:r>
      <w:r w:rsidR="0024187B" w:rsidRPr="002A7D9E">
        <w:rPr>
          <w:rFonts w:ascii="Times New Roman" w:hAnsi="Times New Roman" w:cs="Times New Roman"/>
          <w:sz w:val="24"/>
          <w:szCs w:val="24"/>
        </w:rPr>
        <w:t>s structured around key lessons, which ‘</w:t>
      </w:r>
      <w:r w:rsidR="0024187B" w:rsidRPr="002A7D9E">
        <w:rPr>
          <w:rFonts w:ascii="Times New Roman" w:eastAsia="HelveticaNeueCE-Roman" w:hAnsi="Times New Roman" w:cs="Times New Roman"/>
          <w:sz w:val="24"/>
          <w:szCs w:val="24"/>
        </w:rPr>
        <w:t xml:space="preserve">reflect the way in which Member States include </w:t>
      </w:r>
      <w:r w:rsidR="000B26D5" w:rsidRPr="002A7D9E">
        <w:rPr>
          <w:rFonts w:ascii="Times New Roman" w:eastAsia="HelveticaNeueCE-Roman" w:hAnsi="Times New Roman" w:cs="Times New Roman"/>
          <w:sz w:val="24"/>
          <w:szCs w:val="24"/>
        </w:rPr>
        <w:t>[the key competence]</w:t>
      </w:r>
      <w:r w:rsidR="0024187B" w:rsidRPr="002A7D9E">
        <w:rPr>
          <w:rFonts w:ascii="Times New Roman" w:eastAsia="HelveticaNeueCE-Roman" w:hAnsi="Times New Roman" w:cs="Times New Roman"/>
          <w:sz w:val="24"/>
          <w:szCs w:val="24"/>
        </w:rPr>
        <w:t xml:space="preserve"> in their current policies on lifelong</w:t>
      </w:r>
      <w:r w:rsidR="003F3EB8" w:rsidRPr="002A7D9E">
        <w:rPr>
          <w:rFonts w:ascii="Times New Roman" w:eastAsia="HelveticaNeueCE-Roman" w:hAnsi="Times New Roman" w:cs="Times New Roman"/>
          <w:sz w:val="24"/>
          <w:szCs w:val="24"/>
        </w:rPr>
        <w:t xml:space="preserve"> lear</w:t>
      </w:r>
      <w:r w:rsidR="008743E2" w:rsidRPr="002A7D9E">
        <w:rPr>
          <w:rFonts w:ascii="Times New Roman" w:eastAsia="HelveticaNeueCE-Roman" w:hAnsi="Times New Roman" w:cs="Times New Roman"/>
          <w:sz w:val="24"/>
          <w:szCs w:val="24"/>
        </w:rPr>
        <w:t xml:space="preserve">ning’ </w:t>
      </w:r>
      <w:proofErr w:type="gramStart"/>
      <w:r w:rsidR="00184FF5" w:rsidRPr="002A7D9E">
        <w:rPr>
          <w:rFonts w:ascii="Times New Roman" w:eastAsia="HelveticaNeueCE-Roman" w:hAnsi="Times New Roman" w:cs="Times New Roman"/>
          <w:sz w:val="24"/>
          <w:szCs w:val="24"/>
        </w:rPr>
        <w:t>and also</w:t>
      </w:r>
      <w:proofErr w:type="gramEnd"/>
      <w:r w:rsidR="00184FF5" w:rsidRPr="002A7D9E">
        <w:rPr>
          <w:rFonts w:ascii="Times New Roman" w:eastAsia="HelveticaNeueCE-Roman" w:hAnsi="Times New Roman" w:cs="Times New Roman"/>
          <w:sz w:val="24"/>
          <w:szCs w:val="24"/>
        </w:rPr>
        <w:t xml:space="preserve"> includes </w:t>
      </w:r>
      <w:r w:rsidR="003F3EB8" w:rsidRPr="002A7D9E">
        <w:rPr>
          <w:rFonts w:ascii="Times New Roman" w:eastAsia="HelveticaNeueCE-Roman" w:hAnsi="Times New Roman" w:cs="Times New Roman"/>
          <w:sz w:val="24"/>
          <w:szCs w:val="24"/>
        </w:rPr>
        <w:t>‘</w:t>
      </w:r>
      <w:r w:rsidR="0024187B" w:rsidRPr="002A7D9E">
        <w:rPr>
          <w:rFonts w:ascii="Times New Roman" w:eastAsia="HelveticaNeueCE-Roman" w:hAnsi="Times New Roman" w:cs="Times New Roman"/>
          <w:sz w:val="24"/>
          <w:szCs w:val="24"/>
        </w:rPr>
        <w:t>analysis of</w:t>
      </w:r>
      <w:r w:rsidR="00D647EE" w:rsidRPr="002A7D9E">
        <w:rPr>
          <w:rFonts w:ascii="Times New Roman" w:eastAsia="HelveticaNeueCE-Roman" w:hAnsi="Times New Roman" w:cs="Times New Roman"/>
          <w:sz w:val="24"/>
          <w:szCs w:val="24"/>
        </w:rPr>
        <w:t xml:space="preserve"> what we consider good practice</w:t>
      </w:r>
      <w:r w:rsidR="0024187B" w:rsidRPr="002A7D9E">
        <w:rPr>
          <w:rFonts w:ascii="Times New Roman" w:eastAsia="HelveticaNeueCE-Roman" w:hAnsi="Times New Roman" w:cs="Times New Roman"/>
          <w:sz w:val="24"/>
          <w:szCs w:val="24"/>
        </w:rPr>
        <w:t xml:space="preserve">’ (European Union 2015, </w:t>
      </w:r>
      <w:r w:rsidR="0091671F" w:rsidRPr="002A7D9E">
        <w:rPr>
          <w:rFonts w:ascii="Times New Roman" w:eastAsia="HelveticaNeueCE-Roman" w:hAnsi="Times New Roman" w:cs="Times New Roman"/>
          <w:sz w:val="24"/>
          <w:szCs w:val="24"/>
        </w:rPr>
        <w:t>39</w:t>
      </w:r>
      <w:r w:rsidR="0024187B" w:rsidRPr="002A7D9E">
        <w:rPr>
          <w:rFonts w:ascii="Times New Roman" w:eastAsia="HelveticaNeueCE-Roman" w:hAnsi="Times New Roman" w:cs="Times New Roman"/>
          <w:sz w:val="24"/>
          <w:szCs w:val="24"/>
        </w:rPr>
        <w:t>).</w:t>
      </w:r>
    </w:p>
    <w:p w:rsidR="006D0014" w:rsidRPr="002A7D9E" w:rsidRDefault="006D0014" w:rsidP="001A3121">
      <w:pPr>
        <w:spacing w:after="0" w:line="480" w:lineRule="auto"/>
        <w:rPr>
          <w:rFonts w:ascii="Times New Roman" w:hAnsi="Times New Roman" w:cs="Times New Roman"/>
          <w:sz w:val="24"/>
          <w:szCs w:val="24"/>
        </w:rPr>
      </w:pPr>
    </w:p>
    <w:p w:rsidR="00CC3C99" w:rsidRPr="002A7D9E" w:rsidRDefault="00CC3C99" w:rsidP="001A3121">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t>Conclusion</w:t>
      </w:r>
      <w:r w:rsidR="00901E70" w:rsidRPr="002A7D9E">
        <w:rPr>
          <w:rFonts w:ascii="Times New Roman" w:hAnsi="Times New Roman" w:cs="Times New Roman"/>
          <w:b/>
          <w:sz w:val="24"/>
          <w:szCs w:val="24"/>
        </w:rPr>
        <w:t>s</w:t>
      </w:r>
    </w:p>
    <w:p w:rsidR="009C4587" w:rsidRPr="002A7D9E" w:rsidRDefault="00DD7882"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B</w:t>
      </w:r>
      <w:r w:rsidR="008E2232" w:rsidRPr="002A7D9E">
        <w:rPr>
          <w:rFonts w:ascii="Times New Roman" w:hAnsi="Times New Roman" w:cs="Times New Roman"/>
          <w:sz w:val="24"/>
          <w:szCs w:val="24"/>
        </w:rPr>
        <w:t>est</w:t>
      </w:r>
      <w:r w:rsidR="00901E70" w:rsidRPr="002A7D9E">
        <w:rPr>
          <w:rFonts w:ascii="Times New Roman" w:hAnsi="Times New Roman" w:cs="Times New Roman"/>
          <w:sz w:val="24"/>
          <w:szCs w:val="24"/>
        </w:rPr>
        <w:t xml:space="preserve"> practices raise several questions concerning target audiences, critical analysis, representativeness, and contextualization. Identifying practices </w:t>
      </w:r>
      <w:r w:rsidR="00901E70" w:rsidRPr="002A7D9E">
        <w:rPr>
          <w:rFonts w:ascii="Times New Roman" w:hAnsi="Times New Roman" w:cs="Times New Roman"/>
          <w:sz w:val="24"/>
          <w:szCs w:val="24"/>
        </w:rPr>
        <w:lastRenderedPageBreak/>
        <w:t>among several participating states with vastly differing political systems, cultural policy models, policy priorities, and f</w:t>
      </w:r>
      <w:r w:rsidR="00EC3D26" w:rsidRPr="002A7D9E">
        <w:rPr>
          <w:rFonts w:ascii="Times New Roman" w:hAnsi="Times New Roman" w:cs="Times New Roman"/>
          <w:sz w:val="24"/>
          <w:szCs w:val="24"/>
        </w:rPr>
        <w:t>unding structures is a challenging task</w:t>
      </w:r>
      <w:r w:rsidR="00901E70" w:rsidRPr="002A7D9E">
        <w:rPr>
          <w:rFonts w:ascii="Times New Roman" w:hAnsi="Times New Roman" w:cs="Times New Roman"/>
          <w:sz w:val="24"/>
          <w:szCs w:val="24"/>
        </w:rPr>
        <w:t xml:space="preserve">. Rather than act as a default option, </w:t>
      </w:r>
      <w:r w:rsidR="00E00706" w:rsidRPr="002A7D9E">
        <w:rPr>
          <w:rFonts w:ascii="Times New Roman" w:hAnsi="Times New Roman" w:cs="Times New Roman"/>
          <w:sz w:val="24"/>
          <w:szCs w:val="24"/>
        </w:rPr>
        <w:t xml:space="preserve">instead, </w:t>
      </w:r>
      <w:r w:rsidR="00901E70" w:rsidRPr="002A7D9E">
        <w:rPr>
          <w:rFonts w:ascii="Times New Roman" w:hAnsi="Times New Roman" w:cs="Times New Roman"/>
          <w:sz w:val="24"/>
          <w:szCs w:val="24"/>
        </w:rPr>
        <w:t xml:space="preserve">critical questions need to </w:t>
      </w:r>
      <w:proofErr w:type="gramStart"/>
      <w:r w:rsidR="00901E70" w:rsidRPr="002A7D9E">
        <w:rPr>
          <w:rFonts w:ascii="Times New Roman" w:hAnsi="Times New Roman" w:cs="Times New Roman"/>
          <w:sz w:val="24"/>
          <w:szCs w:val="24"/>
        </w:rPr>
        <w:t>be asked</w:t>
      </w:r>
      <w:proofErr w:type="gramEnd"/>
      <w:r w:rsidR="00901E70" w:rsidRPr="002A7D9E">
        <w:rPr>
          <w:rFonts w:ascii="Times New Roman" w:hAnsi="Times New Roman" w:cs="Times New Roman"/>
          <w:sz w:val="24"/>
          <w:szCs w:val="24"/>
        </w:rPr>
        <w:t xml:space="preserve"> about whether or not best practices are </w:t>
      </w:r>
      <w:r w:rsidR="00EC3D26" w:rsidRPr="002A7D9E">
        <w:rPr>
          <w:rFonts w:ascii="Times New Roman" w:hAnsi="Times New Roman" w:cs="Times New Roman"/>
          <w:sz w:val="24"/>
          <w:szCs w:val="24"/>
        </w:rPr>
        <w:t>the best approach to learning and exchange</w:t>
      </w:r>
      <w:r w:rsidR="00901E70" w:rsidRPr="002A7D9E">
        <w:rPr>
          <w:rFonts w:ascii="Times New Roman" w:hAnsi="Times New Roman" w:cs="Times New Roman"/>
          <w:sz w:val="24"/>
          <w:szCs w:val="24"/>
        </w:rPr>
        <w:t xml:space="preserve">. </w:t>
      </w:r>
    </w:p>
    <w:p w:rsidR="009C4587" w:rsidRPr="002A7D9E" w:rsidRDefault="009C4587" w:rsidP="001A3121">
      <w:pPr>
        <w:autoSpaceDE w:val="0"/>
        <w:autoSpaceDN w:val="0"/>
        <w:adjustRightInd w:val="0"/>
        <w:spacing w:after="0" w:line="480" w:lineRule="auto"/>
        <w:rPr>
          <w:rFonts w:ascii="Times New Roman" w:hAnsi="Times New Roman" w:cs="Times New Roman"/>
          <w:sz w:val="24"/>
          <w:szCs w:val="24"/>
        </w:rPr>
      </w:pPr>
    </w:p>
    <w:p w:rsidR="00CE073C" w:rsidRPr="002A7D9E" w:rsidRDefault="009C4587" w:rsidP="001A3121">
      <w:pPr>
        <w:autoSpaceDE w:val="0"/>
        <w:autoSpaceDN w:val="0"/>
        <w:adjustRightInd w:val="0"/>
        <w:spacing w:after="0" w:line="480" w:lineRule="auto"/>
        <w:rPr>
          <w:rFonts w:ascii="Times New Roman" w:eastAsia="HelveticaNeueCE-Roman" w:hAnsi="Times New Roman" w:cs="Times New Roman"/>
          <w:sz w:val="24"/>
          <w:szCs w:val="24"/>
        </w:rPr>
      </w:pPr>
      <w:r w:rsidRPr="002A7D9E">
        <w:rPr>
          <w:rFonts w:ascii="Times New Roman" w:hAnsi="Times New Roman" w:cs="Times New Roman"/>
          <w:sz w:val="24"/>
          <w:szCs w:val="24"/>
        </w:rPr>
        <w:t xml:space="preserve">Where best practices may have most appeal and success in learning is ideationally. </w:t>
      </w:r>
      <w:r w:rsidR="006838A3" w:rsidRPr="002A7D9E">
        <w:rPr>
          <w:rFonts w:ascii="Times New Roman" w:hAnsi="Times New Roman" w:cs="Times New Roman"/>
          <w:sz w:val="24"/>
          <w:szCs w:val="24"/>
        </w:rPr>
        <w:t xml:space="preserve">Of the four possible “outcomes” of learning – copying, emulation, hybridization, and inspiration (Evans 2009b) – exchange via best practice is most likely to lead to </w:t>
      </w:r>
      <w:r w:rsidR="006838A3" w:rsidRPr="002A7D9E">
        <w:rPr>
          <w:rFonts w:ascii="Times New Roman" w:hAnsi="Times New Roman" w:cs="Times New Roman"/>
          <w:i/>
          <w:sz w:val="24"/>
          <w:szCs w:val="24"/>
        </w:rPr>
        <w:t>inspiration</w:t>
      </w:r>
      <w:r w:rsidR="008577B0" w:rsidRPr="002A7D9E">
        <w:rPr>
          <w:rFonts w:ascii="Times New Roman" w:hAnsi="Times New Roman" w:cs="Times New Roman"/>
          <w:sz w:val="24"/>
          <w:szCs w:val="24"/>
        </w:rPr>
        <w:t xml:space="preserve">, </w:t>
      </w:r>
      <w:r w:rsidRPr="002A7D9E">
        <w:rPr>
          <w:rFonts w:ascii="Times New Roman" w:hAnsi="Times New Roman" w:cs="Times New Roman"/>
          <w:sz w:val="24"/>
          <w:szCs w:val="24"/>
        </w:rPr>
        <w:t xml:space="preserve">whereby ‘an idea inspires fresh thinking about a policy problem and helps to facilitate policy change’ (Evans 2009b, 246). In the </w:t>
      </w:r>
      <w:proofErr w:type="spellStart"/>
      <w:r w:rsidRPr="002A7D9E">
        <w:rPr>
          <w:rFonts w:ascii="Times New Roman" w:hAnsi="Times New Roman" w:cs="Times New Roman"/>
          <w:sz w:val="24"/>
          <w:szCs w:val="24"/>
        </w:rPr>
        <w:t>Ecorys</w:t>
      </w:r>
      <w:proofErr w:type="spellEnd"/>
      <w:r w:rsidRPr="002A7D9E">
        <w:rPr>
          <w:rFonts w:ascii="Times New Roman" w:hAnsi="Times New Roman" w:cs="Times New Roman"/>
          <w:sz w:val="24"/>
          <w:szCs w:val="24"/>
        </w:rPr>
        <w:t xml:space="preserve"> survey, of 70 respondents, 61.4% said that the working groups increased their knowledge of best practices </w:t>
      </w:r>
      <w:proofErr w:type="gramStart"/>
      <w:r w:rsidRPr="002A7D9E">
        <w:rPr>
          <w:rFonts w:ascii="Times New Roman" w:hAnsi="Times New Roman" w:cs="Times New Roman"/>
          <w:sz w:val="24"/>
          <w:szCs w:val="24"/>
        </w:rPr>
        <w:t>to a large extent</w:t>
      </w:r>
      <w:proofErr w:type="gramEnd"/>
      <w:r w:rsidRPr="002A7D9E">
        <w:rPr>
          <w:rFonts w:ascii="Times New Roman" w:hAnsi="Times New Roman" w:cs="Times New Roman"/>
          <w:sz w:val="24"/>
          <w:szCs w:val="24"/>
        </w:rPr>
        <w:t xml:space="preserve">, and 38.6% to some extent (McDonald et al. 2013a, 39). </w:t>
      </w:r>
      <w:r w:rsidR="00E00706" w:rsidRPr="002A7D9E">
        <w:rPr>
          <w:rFonts w:ascii="Times New Roman" w:hAnsi="Times New Roman" w:cs="Times New Roman"/>
          <w:sz w:val="24"/>
          <w:szCs w:val="24"/>
        </w:rPr>
        <w:t>However, w</w:t>
      </w:r>
      <w:r w:rsidRPr="002A7D9E">
        <w:rPr>
          <w:rFonts w:ascii="Times New Roman" w:hAnsi="Times New Roman" w:cs="Times New Roman"/>
          <w:sz w:val="24"/>
          <w:szCs w:val="24"/>
        </w:rPr>
        <w:t xml:space="preserve">hen </w:t>
      </w:r>
      <w:proofErr w:type="gramStart"/>
      <w:r w:rsidRPr="002A7D9E">
        <w:rPr>
          <w:rFonts w:ascii="Times New Roman" w:hAnsi="Times New Roman" w:cs="Times New Roman"/>
          <w:sz w:val="24"/>
          <w:szCs w:val="24"/>
        </w:rPr>
        <w:t>translated</w:t>
      </w:r>
      <w:proofErr w:type="gramEnd"/>
      <w:r w:rsidRPr="002A7D9E">
        <w:rPr>
          <w:rFonts w:ascii="Times New Roman" w:hAnsi="Times New Roman" w:cs="Times New Roman"/>
          <w:sz w:val="24"/>
          <w:szCs w:val="24"/>
        </w:rPr>
        <w:t xml:space="preserve"> into outcomes, and asked whether exchange has translated into changes in individuals’ own working practices, 27.1% said to a great extent, 41.4% to some extent, and 31.4% not at all (McDonald et al. 2013a, 39). As Group 3 outlines in their report, ‘</w:t>
      </w:r>
      <w:r w:rsidRPr="002A7D9E">
        <w:rPr>
          <w:rFonts w:ascii="Times New Roman" w:eastAsia="HelveticaNeueCE-Roman" w:hAnsi="Times New Roman" w:cs="Times New Roman"/>
          <w:sz w:val="24"/>
          <w:szCs w:val="24"/>
        </w:rPr>
        <w:t xml:space="preserve">… we do not offer readers a ‘how to’ handbook for developing the key competence of cultural awareness and expression. […] [W]e hope to </w:t>
      </w:r>
      <w:r w:rsidRPr="002A7D9E">
        <w:rPr>
          <w:rFonts w:ascii="Times New Roman" w:eastAsia="HelveticaNeueCE-Roman" w:hAnsi="Times New Roman" w:cs="Times New Roman"/>
          <w:i/>
          <w:sz w:val="24"/>
          <w:szCs w:val="24"/>
        </w:rPr>
        <w:t>inspire</w:t>
      </w:r>
      <w:r w:rsidRPr="002A7D9E">
        <w:rPr>
          <w:rFonts w:ascii="Times New Roman" w:eastAsia="HelveticaNeueCE-Roman" w:hAnsi="Times New Roman" w:cs="Times New Roman"/>
          <w:sz w:val="24"/>
          <w:szCs w:val="24"/>
        </w:rPr>
        <w:t xml:space="preserve"> readers with our practices and recommendations (European Union 2015, 11; emphasis added).</w:t>
      </w:r>
      <w:r w:rsidR="00E00706" w:rsidRPr="002A7D9E">
        <w:rPr>
          <w:rFonts w:ascii="Times New Roman" w:eastAsia="HelveticaNeueCE-Roman" w:hAnsi="Times New Roman" w:cs="Times New Roman"/>
          <w:sz w:val="24"/>
          <w:szCs w:val="24"/>
        </w:rPr>
        <w:t xml:space="preserve"> </w:t>
      </w:r>
    </w:p>
    <w:p w:rsidR="00CE073C" w:rsidRPr="002A7D9E" w:rsidRDefault="00CE073C" w:rsidP="001A3121">
      <w:pPr>
        <w:autoSpaceDE w:val="0"/>
        <w:autoSpaceDN w:val="0"/>
        <w:adjustRightInd w:val="0"/>
        <w:spacing w:after="0" w:line="480" w:lineRule="auto"/>
        <w:rPr>
          <w:rFonts w:ascii="Times New Roman" w:eastAsia="HelveticaNeueCE-Roman" w:hAnsi="Times New Roman" w:cs="Times New Roman"/>
          <w:sz w:val="24"/>
          <w:szCs w:val="24"/>
        </w:rPr>
      </w:pPr>
    </w:p>
    <w:p w:rsidR="00930CCD" w:rsidRPr="002A7D9E" w:rsidRDefault="00E00706" w:rsidP="001A3121">
      <w:pPr>
        <w:autoSpaceDE w:val="0"/>
        <w:autoSpaceDN w:val="0"/>
        <w:adjustRightInd w:val="0"/>
        <w:spacing w:after="0" w:line="480" w:lineRule="auto"/>
        <w:rPr>
          <w:rFonts w:ascii="Times New Roman" w:hAnsi="Times New Roman" w:cs="Times New Roman"/>
          <w:sz w:val="24"/>
          <w:szCs w:val="24"/>
        </w:rPr>
      </w:pPr>
      <w:r w:rsidRPr="002A7D9E">
        <w:rPr>
          <w:rFonts w:ascii="Times New Roman" w:eastAsia="HelveticaNeueCE-Roman" w:hAnsi="Times New Roman" w:cs="Times New Roman"/>
          <w:sz w:val="24"/>
          <w:szCs w:val="24"/>
        </w:rPr>
        <w:lastRenderedPageBreak/>
        <w:t xml:space="preserve">Therefore, ultimately, </w:t>
      </w:r>
      <w:r w:rsidR="00901E70" w:rsidRPr="002A7D9E">
        <w:rPr>
          <w:rFonts w:ascii="Times New Roman" w:hAnsi="Times New Roman" w:cs="Times New Roman"/>
          <w:sz w:val="24"/>
          <w:szCs w:val="24"/>
        </w:rPr>
        <w:t xml:space="preserve">best practices can provide the beginnings of </w:t>
      </w:r>
      <w:r w:rsidR="00A83471" w:rsidRPr="002A7D9E">
        <w:rPr>
          <w:rFonts w:ascii="Times New Roman" w:hAnsi="Times New Roman" w:cs="Times New Roman"/>
          <w:sz w:val="24"/>
          <w:szCs w:val="24"/>
        </w:rPr>
        <w:t>inspiration</w:t>
      </w:r>
      <w:r w:rsidR="00901E70" w:rsidRPr="002A7D9E">
        <w:rPr>
          <w:rFonts w:ascii="Times New Roman" w:hAnsi="Times New Roman" w:cs="Times New Roman"/>
          <w:sz w:val="24"/>
          <w:szCs w:val="24"/>
        </w:rPr>
        <w:t xml:space="preserve"> for policy learning and transfer. However, without the inclusion of </w:t>
      </w:r>
      <w:r w:rsidR="00901E70" w:rsidRPr="002A7D9E">
        <w:rPr>
          <w:rFonts w:ascii="Times New Roman" w:hAnsi="Times New Roman" w:cs="Times New Roman"/>
          <w:i/>
          <w:sz w:val="24"/>
          <w:szCs w:val="24"/>
        </w:rPr>
        <w:t>models</w:t>
      </w:r>
      <w:r w:rsidR="00901E70" w:rsidRPr="002A7D9E">
        <w:rPr>
          <w:rFonts w:ascii="Times New Roman" w:hAnsi="Times New Roman" w:cs="Times New Roman"/>
          <w:sz w:val="24"/>
          <w:szCs w:val="24"/>
        </w:rPr>
        <w:t xml:space="preserve">, contextualized information on implementation and evaluation, as well as contact information </w:t>
      </w:r>
      <w:r w:rsidR="001A6282" w:rsidRPr="002A7D9E">
        <w:rPr>
          <w:rFonts w:ascii="Times New Roman" w:hAnsi="Times New Roman" w:cs="Times New Roman"/>
          <w:sz w:val="24"/>
          <w:szCs w:val="24"/>
        </w:rPr>
        <w:t>so that</w:t>
      </w:r>
      <w:r w:rsidR="00901E70" w:rsidRPr="002A7D9E">
        <w:rPr>
          <w:rFonts w:ascii="Times New Roman" w:hAnsi="Times New Roman" w:cs="Times New Roman"/>
          <w:sz w:val="24"/>
          <w:szCs w:val="24"/>
        </w:rPr>
        <w:t xml:space="preserve"> interested agents can obtain further details from the source of the practice itself, their </w:t>
      </w:r>
      <w:r w:rsidR="00930CCD" w:rsidRPr="002A7D9E">
        <w:rPr>
          <w:rFonts w:ascii="Times New Roman" w:hAnsi="Times New Roman" w:cs="Times New Roman"/>
          <w:sz w:val="24"/>
          <w:szCs w:val="24"/>
        </w:rPr>
        <w:t>effectiveness</w:t>
      </w:r>
      <w:r w:rsidR="00901E70" w:rsidRPr="002A7D9E">
        <w:rPr>
          <w:rFonts w:ascii="Times New Roman" w:hAnsi="Times New Roman" w:cs="Times New Roman"/>
          <w:sz w:val="24"/>
          <w:szCs w:val="24"/>
        </w:rPr>
        <w:t xml:space="preserve"> </w:t>
      </w:r>
      <w:r w:rsidR="00930CCD" w:rsidRPr="002A7D9E">
        <w:rPr>
          <w:rFonts w:ascii="Times New Roman" w:hAnsi="Times New Roman" w:cs="Times New Roman"/>
          <w:sz w:val="24"/>
          <w:szCs w:val="24"/>
        </w:rPr>
        <w:t>as an approach for policy learning and exchange of remains</w:t>
      </w:r>
      <w:r w:rsidR="00901E70" w:rsidRPr="002A7D9E">
        <w:rPr>
          <w:rFonts w:ascii="Times New Roman" w:hAnsi="Times New Roman" w:cs="Times New Roman"/>
          <w:sz w:val="24"/>
          <w:szCs w:val="24"/>
        </w:rPr>
        <w:t xml:space="preserve"> limited.</w:t>
      </w:r>
      <w:r w:rsidR="00BE1858" w:rsidRPr="002A7D9E">
        <w:rPr>
          <w:rFonts w:ascii="Times New Roman" w:hAnsi="Times New Roman" w:cs="Times New Roman"/>
          <w:sz w:val="24"/>
          <w:szCs w:val="24"/>
        </w:rPr>
        <w:t xml:space="preserve"> A fruitful option for future research in this area is to combine insights on policy learning and transfer from public policy and administration with the literature on arts management in order to further the discussion on how </w:t>
      </w:r>
      <w:proofErr w:type="gramStart"/>
      <w:r w:rsidR="00BE1858" w:rsidRPr="002A7D9E">
        <w:rPr>
          <w:rFonts w:ascii="Times New Roman" w:hAnsi="Times New Roman" w:cs="Times New Roman"/>
          <w:sz w:val="24"/>
          <w:szCs w:val="24"/>
        </w:rPr>
        <w:t>to best achieve</w:t>
      </w:r>
      <w:proofErr w:type="gramEnd"/>
      <w:r w:rsidR="00BE1858" w:rsidRPr="002A7D9E">
        <w:rPr>
          <w:rFonts w:ascii="Times New Roman" w:hAnsi="Times New Roman" w:cs="Times New Roman"/>
          <w:sz w:val="24"/>
          <w:szCs w:val="24"/>
        </w:rPr>
        <w:t xml:space="preserve"> these in the arts and cultural sectors. </w:t>
      </w:r>
    </w:p>
    <w:p w:rsidR="00930CCD" w:rsidRPr="002A7D9E" w:rsidRDefault="00930CCD" w:rsidP="00562A8C">
      <w:pPr>
        <w:autoSpaceDE w:val="0"/>
        <w:autoSpaceDN w:val="0"/>
        <w:adjustRightInd w:val="0"/>
        <w:spacing w:after="0" w:line="276" w:lineRule="auto"/>
        <w:rPr>
          <w:rFonts w:ascii="Times New Roman" w:hAnsi="Times New Roman" w:cs="Times New Roman"/>
          <w:sz w:val="24"/>
          <w:szCs w:val="24"/>
        </w:rPr>
      </w:pPr>
    </w:p>
    <w:p w:rsidR="00930CCD" w:rsidRPr="002A7D9E" w:rsidRDefault="00930CCD" w:rsidP="00562A8C">
      <w:pPr>
        <w:autoSpaceDE w:val="0"/>
        <w:autoSpaceDN w:val="0"/>
        <w:adjustRightInd w:val="0"/>
        <w:spacing w:after="0" w:line="276" w:lineRule="auto"/>
        <w:rPr>
          <w:rFonts w:ascii="Times New Roman" w:hAnsi="Times New Roman" w:cs="Times New Roman"/>
          <w:sz w:val="24"/>
          <w:szCs w:val="24"/>
        </w:rPr>
      </w:pPr>
    </w:p>
    <w:p w:rsidR="00930CCD" w:rsidRPr="002A7D9E" w:rsidRDefault="00930CCD" w:rsidP="00562A8C">
      <w:pPr>
        <w:autoSpaceDE w:val="0"/>
        <w:autoSpaceDN w:val="0"/>
        <w:adjustRightInd w:val="0"/>
        <w:spacing w:after="0" w:line="276" w:lineRule="auto"/>
        <w:rPr>
          <w:rFonts w:ascii="Times New Roman" w:hAnsi="Times New Roman" w:cs="Times New Roman"/>
          <w:sz w:val="24"/>
          <w:szCs w:val="24"/>
        </w:rPr>
      </w:pPr>
    </w:p>
    <w:p w:rsidR="00930CCD" w:rsidRPr="002A7D9E" w:rsidRDefault="00930CCD" w:rsidP="00562A8C">
      <w:pPr>
        <w:autoSpaceDE w:val="0"/>
        <w:autoSpaceDN w:val="0"/>
        <w:adjustRightInd w:val="0"/>
        <w:spacing w:after="0" w:line="276" w:lineRule="auto"/>
        <w:rPr>
          <w:rFonts w:ascii="Times New Roman" w:hAnsi="Times New Roman" w:cs="Times New Roman"/>
          <w:sz w:val="24"/>
          <w:szCs w:val="24"/>
        </w:rPr>
      </w:pPr>
    </w:p>
    <w:p w:rsidR="00930CCD" w:rsidRPr="002A7D9E" w:rsidRDefault="00930CCD" w:rsidP="00562A8C">
      <w:pPr>
        <w:autoSpaceDE w:val="0"/>
        <w:autoSpaceDN w:val="0"/>
        <w:adjustRightInd w:val="0"/>
        <w:spacing w:after="0" w:line="276" w:lineRule="auto"/>
        <w:rPr>
          <w:rFonts w:ascii="Times New Roman" w:hAnsi="Times New Roman" w:cs="Times New Roman"/>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C56505" w:rsidRPr="002A7D9E" w:rsidRDefault="00C56505" w:rsidP="00562A8C">
      <w:pPr>
        <w:spacing w:after="0" w:line="276"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BE1858" w:rsidRPr="002A7D9E" w:rsidRDefault="00BE1858" w:rsidP="00C56505">
      <w:pPr>
        <w:spacing w:after="0" w:line="480" w:lineRule="auto"/>
        <w:rPr>
          <w:rFonts w:ascii="Times New Roman" w:hAnsi="Times New Roman" w:cs="Times New Roman"/>
          <w:b/>
          <w:sz w:val="24"/>
          <w:szCs w:val="24"/>
        </w:rPr>
      </w:pPr>
    </w:p>
    <w:p w:rsidR="006651C8" w:rsidRPr="002A7D9E" w:rsidRDefault="006651C8" w:rsidP="00C56505">
      <w:pPr>
        <w:spacing w:after="0" w:line="480" w:lineRule="auto"/>
        <w:rPr>
          <w:rFonts w:ascii="Times New Roman" w:hAnsi="Times New Roman" w:cs="Times New Roman"/>
          <w:b/>
          <w:sz w:val="24"/>
          <w:szCs w:val="24"/>
        </w:rPr>
      </w:pPr>
      <w:r w:rsidRPr="002A7D9E">
        <w:rPr>
          <w:rFonts w:ascii="Times New Roman" w:hAnsi="Times New Roman" w:cs="Times New Roman"/>
          <w:b/>
          <w:sz w:val="24"/>
          <w:szCs w:val="24"/>
        </w:rPr>
        <w:lastRenderedPageBreak/>
        <w:t>References</w:t>
      </w:r>
    </w:p>
    <w:p w:rsidR="006651C8" w:rsidRPr="002A7D9E" w:rsidRDefault="006651C8" w:rsidP="00C56505">
      <w:pPr>
        <w:spacing w:after="0" w:line="480" w:lineRule="auto"/>
        <w:rPr>
          <w:rFonts w:ascii="Times New Roman" w:hAnsi="Times New Roman" w:cs="Times New Roman"/>
          <w:b/>
          <w:sz w:val="24"/>
          <w:szCs w:val="24"/>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r w:rsidRPr="002A7D9E">
        <w:rPr>
          <w:rFonts w:ascii="Times New Roman" w:hAnsi="Times New Roman" w:cs="Times New Roman"/>
          <w:sz w:val="24"/>
          <w:szCs w:val="24"/>
          <w:shd w:val="clear" w:color="auto" w:fill="FFFFFF"/>
        </w:rPr>
        <w:t xml:space="preserve">Armstrong, Kenneth. 2010. </w:t>
      </w:r>
      <w:r w:rsidRPr="002A7D9E">
        <w:rPr>
          <w:rFonts w:ascii="Times New Roman" w:hAnsi="Times New Roman" w:cs="Times New Roman"/>
          <w:i/>
          <w:sz w:val="24"/>
          <w:szCs w:val="24"/>
          <w:shd w:val="clear" w:color="auto" w:fill="FFFFFF"/>
        </w:rPr>
        <w:t>Governing Social Inclusion: Europeanization through Policy Coordination</w:t>
      </w:r>
      <w:r w:rsidRPr="002A7D9E">
        <w:rPr>
          <w:rFonts w:ascii="Times New Roman" w:hAnsi="Times New Roman" w:cs="Times New Roman"/>
          <w:sz w:val="24"/>
          <w:szCs w:val="24"/>
          <w:shd w:val="clear" w:color="auto" w:fill="FFFFFF"/>
        </w:rPr>
        <w:t>. Oxford: Oxford University Press.</w:t>
      </w:r>
    </w:p>
    <w:p w:rsidR="006651C8" w:rsidRPr="002A7D9E" w:rsidRDefault="006651C8" w:rsidP="00C56505">
      <w:pPr>
        <w:spacing w:after="0" w:line="480" w:lineRule="auto"/>
        <w:rPr>
          <w:rFonts w:ascii="Times New Roman" w:hAnsi="Times New Roman" w:cs="Times New Roman"/>
          <w:b/>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Bardach</w:t>
      </w:r>
      <w:proofErr w:type="spellEnd"/>
      <w:r w:rsidRPr="002A7D9E">
        <w:rPr>
          <w:rFonts w:ascii="Times New Roman" w:hAnsi="Times New Roman" w:cs="Times New Roman"/>
          <w:sz w:val="24"/>
          <w:szCs w:val="24"/>
        </w:rPr>
        <w:t>, Eugene. 1994. “</w:t>
      </w:r>
      <w:r w:rsidRPr="002A7D9E">
        <w:rPr>
          <w:rFonts w:ascii="Times New Roman" w:hAnsi="Times New Roman" w:cs="Times New Roman"/>
          <w:bCs/>
          <w:sz w:val="24"/>
          <w:szCs w:val="24"/>
        </w:rPr>
        <w:t xml:space="preserve">Comment: The Problem </w:t>
      </w:r>
      <w:r w:rsidRPr="002A7D9E">
        <w:rPr>
          <w:rFonts w:ascii="Times New Roman" w:hAnsi="Times New Roman" w:cs="Times New Roman"/>
          <w:sz w:val="24"/>
          <w:szCs w:val="24"/>
        </w:rPr>
        <w:t xml:space="preserve">of </w:t>
      </w:r>
      <w:r w:rsidRPr="002A7D9E">
        <w:rPr>
          <w:rFonts w:ascii="Times New Roman" w:hAnsi="Times New Roman" w:cs="Times New Roman"/>
          <w:bCs/>
          <w:sz w:val="24"/>
          <w:szCs w:val="24"/>
        </w:rPr>
        <w:t>‘Best Practice’ Research.”</w:t>
      </w:r>
      <w:r w:rsidRPr="002A7D9E">
        <w:rPr>
          <w:rFonts w:ascii="Times New Roman" w:hAnsi="Times New Roman" w:cs="Times New Roman"/>
          <w:sz w:val="24"/>
          <w:szCs w:val="24"/>
        </w:rPr>
        <w:t xml:space="preserve"> </w:t>
      </w:r>
      <w:r w:rsidRPr="002A7D9E">
        <w:rPr>
          <w:rFonts w:ascii="Times New Roman" w:hAnsi="Times New Roman" w:cs="Times New Roman"/>
          <w:bCs/>
          <w:i/>
          <w:sz w:val="24"/>
          <w:szCs w:val="24"/>
        </w:rPr>
        <w:t>Journal of Policy Analysis and Management</w:t>
      </w:r>
      <w:r w:rsidRPr="002A7D9E">
        <w:rPr>
          <w:rFonts w:ascii="Times New Roman" w:hAnsi="Times New Roman" w:cs="Times New Roman"/>
          <w:bCs/>
          <w:sz w:val="24"/>
          <w:szCs w:val="24"/>
        </w:rPr>
        <w:t xml:space="preserve"> 13(2): </w:t>
      </w:r>
      <w:r w:rsidRPr="002A7D9E">
        <w:rPr>
          <w:rFonts w:ascii="Times New Roman" w:hAnsi="Times New Roman" w:cs="Times New Roman"/>
          <w:sz w:val="24"/>
          <w:szCs w:val="24"/>
        </w:rPr>
        <w:t>260-268.</w:t>
      </w:r>
    </w:p>
    <w:p w:rsidR="006651C8" w:rsidRPr="002A7D9E" w:rsidRDefault="006651C8" w:rsidP="00C56505">
      <w:pPr>
        <w:spacing w:after="0" w:line="480" w:lineRule="auto"/>
        <w:rPr>
          <w:rFonts w:ascii="Times New Roman" w:hAnsi="Times New Roman" w:cs="Times New Roman"/>
          <w:b/>
          <w:sz w:val="24"/>
          <w:szCs w:val="24"/>
        </w:rPr>
      </w:pPr>
    </w:p>
    <w:p w:rsidR="006651C8" w:rsidRPr="002A7D9E" w:rsidRDefault="006651C8" w:rsidP="00C56505">
      <w:pPr>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Begg</w:t>
      </w:r>
      <w:proofErr w:type="spellEnd"/>
      <w:r w:rsidRPr="002A7D9E">
        <w:rPr>
          <w:rFonts w:ascii="Times New Roman" w:hAnsi="Times New Roman" w:cs="Times New Roman"/>
          <w:sz w:val="24"/>
          <w:szCs w:val="24"/>
        </w:rPr>
        <w:t>, Iain. 2008. “</w:t>
      </w:r>
      <w:r w:rsidRPr="002A7D9E">
        <w:rPr>
          <w:rFonts w:ascii="Times New Roman" w:hAnsi="Times New Roman" w:cs="Times New Roman"/>
          <w:bCs/>
          <w:sz w:val="24"/>
          <w:szCs w:val="24"/>
        </w:rPr>
        <w:t>Is there a convincing rationale for the Lisbon Strategy?”</w:t>
      </w:r>
      <w:r w:rsidRPr="002A7D9E">
        <w:rPr>
          <w:rFonts w:ascii="Times New Roman" w:hAnsi="Times New Roman" w:cs="Times New Roman"/>
          <w:sz w:val="24"/>
          <w:szCs w:val="24"/>
        </w:rPr>
        <w:t xml:space="preserve"> </w:t>
      </w:r>
      <w:r w:rsidRPr="002A7D9E">
        <w:rPr>
          <w:rStyle w:val="Emphasis"/>
          <w:rFonts w:ascii="Times New Roman" w:hAnsi="Times New Roman" w:cs="Times New Roman"/>
          <w:sz w:val="24"/>
          <w:szCs w:val="24"/>
        </w:rPr>
        <w:t>Journal of Common Market Studies</w:t>
      </w:r>
      <w:r w:rsidRPr="002A7D9E">
        <w:rPr>
          <w:rFonts w:ascii="Times New Roman" w:hAnsi="Times New Roman" w:cs="Times New Roman"/>
          <w:sz w:val="24"/>
          <w:szCs w:val="24"/>
        </w:rPr>
        <w:t xml:space="preserve"> 46(2): 427-435.</w:t>
      </w:r>
    </w:p>
    <w:p w:rsidR="006651C8" w:rsidRPr="002A7D9E" w:rsidRDefault="006651C8" w:rsidP="00C56505">
      <w:pPr>
        <w:spacing w:after="0" w:line="480" w:lineRule="auto"/>
        <w:rPr>
          <w:rFonts w:ascii="Times New Roman" w:hAnsi="Times New Roman" w:cs="Times New Roman"/>
          <w:b/>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Belfiore</w:t>
      </w:r>
      <w:proofErr w:type="spellEnd"/>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t>Eleonora</w:t>
      </w:r>
      <w:proofErr w:type="spellEnd"/>
      <w:r w:rsidRPr="002A7D9E">
        <w:rPr>
          <w:rFonts w:ascii="Times New Roman" w:hAnsi="Times New Roman" w:cs="Times New Roman"/>
          <w:sz w:val="24"/>
          <w:szCs w:val="24"/>
        </w:rPr>
        <w:t>. 2004. The methodological challenge of cross-national research: comparing cultural policy in Britain and Italy. Working Paper No. 8. Warwick: Centre for Cultural Policy Studies, Warwick University. Accessed 26 July 2016.</w:t>
      </w:r>
    </w:p>
    <w:p w:rsidR="006651C8" w:rsidRPr="002A7D9E" w:rsidRDefault="002A7D9E" w:rsidP="00C56505">
      <w:pPr>
        <w:spacing w:after="0" w:line="480" w:lineRule="auto"/>
        <w:rPr>
          <w:rFonts w:ascii="Times New Roman" w:hAnsi="Times New Roman" w:cs="Times New Roman"/>
          <w:sz w:val="24"/>
          <w:szCs w:val="24"/>
        </w:rPr>
      </w:pPr>
      <w:hyperlink r:id="rId8" w:history="1">
        <w:r w:rsidR="006651C8" w:rsidRPr="002A7D9E">
          <w:rPr>
            <w:rStyle w:val="Hyperlink"/>
            <w:rFonts w:ascii="Times New Roman" w:hAnsi="Times New Roman" w:cs="Times New Roman"/>
            <w:color w:val="auto"/>
            <w:sz w:val="24"/>
            <w:szCs w:val="24"/>
          </w:rPr>
          <w:t>http://www2.warwick.ac.uk/fac/arts/theatre_s/cp/research/publications/centrepubs/ccps_paper_8.pdf</w:t>
        </w:r>
      </w:hyperlink>
      <w:r w:rsidR="006651C8" w:rsidRPr="002A7D9E">
        <w:rPr>
          <w:rFonts w:ascii="Times New Roman" w:hAnsi="Times New Roman" w:cs="Times New Roman"/>
          <w:sz w:val="24"/>
          <w:szCs w:val="24"/>
        </w:rPr>
        <w:t xml:space="preserve"> </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bCs/>
          <w:sz w:val="24"/>
          <w:szCs w:val="24"/>
        </w:rPr>
      </w:pPr>
      <w:proofErr w:type="spellStart"/>
      <w:r w:rsidRPr="002A7D9E">
        <w:rPr>
          <w:rFonts w:ascii="Times New Roman" w:hAnsi="Times New Roman" w:cs="Times New Roman"/>
          <w:bCs/>
          <w:sz w:val="24"/>
          <w:szCs w:val="24"/>
        </w:rPr>
        <w:t>Cairney</w:t>
      </w:r>
      <w:proofErr w:type="spellEnd"/>
      <w:r w:rsidRPr="002A7D9E">
        <w:rPr>
          <w:rFonts w:ascii="Times New Roman" w:hAnsi="Times New Roman" w:cs="Times New Roman"/>
          <w:bCs/>
          <w:sz w:val="24"/>
          <w:szCs w:val="24"/>
        </w:rPr>
        <w:t xml:space="preserve">, Paul. 2012. </w:t>
      </w:r>
      <w:r w:rsidRPr="002A7D9E">
        <w:rPr>
          <w:rFonts w:ascii="Times New Roman" w:hAnsi="Times New Roman" w:cs="Times New Roman"/>
          <w:bCs/>
          <w:i/>
          <w:iCs/>
          <w:sz w:val="24"/>
          <w:szCs w:val="24"/>
        </w:rPr>
        <w:t>Understanding Public Policy: Theories and Issues</w:t>
      </w:r>
      <w:r w:rsidRPr="002A7D9E">
        <w:rPr>
          <w:rFonts w:ascii="Times New Roman" w:hAnsi="Times New Roman" w:cs="Times New Roman"/>
          <w:bCs/>
          <w:sz w:val="24"/>
          <w:szCs w:val="24"/>
        </w:rPr>
        <w:t>. Basingstoke: Palgrave Macmillan.</w:t>
      </w:r>
    </w:p>
    <w:p w:rsidR="006651C8" w:rsidRPr="002A7D9E" w:rsidRDefault="006651C8" w:rsidP="00C56505">
      <w:pPr>
        <w:spacing w:after="0" w:line="480" w:lineRule="auto"/>
        <w:rPr>
          <w:rFonts w:ascii="Times New Roman" w:hAnsi="Times New Roman" w:cs="Times New Roman"/>
          <w:bCs/>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Checkel</w:t>
      </w:r>
      <w:proofErr w:type="spellEnd"/>
      <w:r w:rsidRPr="002A7D9E">
        <w:rPr>
          <w:rFonts w:ascii="Times New Roman" w:hAnsi="Times New Roman" w:cs="Times New Roman"/>
          <w:sz w:val="24"/>
          <w:szCs w:val="24"/>
        </w:rPr>
        <w:t xml:space="preserve">, Jeffrey T. (1999) Social Construction and Integration. </w:t>
      </w:r>
      <w:r w:rsidRPr="002A7D9E">
        <w:rPr>
          <w:rFonts w:ascii="Times New Roman" w:hAnsi="Times New Roman" w:cs="Times New Roman"/>
          <w:i/>
          <w:iCs/>
          <w:sz w:val="24"/>
          <w:szCs w:val="24"/>
        </w:rPr>
        <w:t xml:space="preserve">Journal of European Public Policy. </w:t>
      </w:r>
      <w:r w:rsidRPr="002A7D9E">
        <w:rPr>
          <w:rFonts w:ascii="Times New Roman" w:hAnsi="Times New Roman" w:cs="Times New Roman"/>
          <w:sz w:val="24"/>
          <w:szCs w:val="24"/>
        </w:rPr>
        <w:t>6(4). Pp. 545-560.</w:t>
      </w:r>
    </w:p>
    <w:p w:rsidR="006651C8" w:rsidRPr="002A7D9E" w:rsidRDefault="006651C8" w:rsidP="00C56505">
      <w:pPr>
        <w:spacing w:after="0" w:line="480" w:lineRule="auto"/>
        <w:rPr>
          <w:rFonts w:ascii="Times New Roman" w:hAnsi="Times New Roman" w:cs="Times New Roman"/>
          <w:sz w:val="24"/>
          <w:szCs w:val="24"/>
        </w:rPr>
      </w:pPr>
    </w:p>
    <w:p w:rsidR="002C4BFE" w:rsidRPr="002A7D9E" w:rsidRDefault="002C4BFE" w:rsidP="00C56505">
      <w:pPr>
        <w:pStyle w:val="Default"/>
        <w:spacing w:line="480" w:lineRule="auto"/>
        <w:rPr>
          <w:rFonts w:ascii="Times New Roman" w:hAnsi="Times New Roman" w:cs="Times New Roman"/>
          <w:color w:val="auto"/>
        </w:rPr>
      </w:pPr>
      <w:r w:rsidRPr="002A7D9E">
        <w:rPr>
          <w:rFonts w:ascii="Times New Roman" w:hAnsi="Times New Roman" w:cs="Times New Roman"/>
          <w:color w:val="auto"/>
        </w:rPr>
        <w:t xml:space="preserve">Council of the European Union. 2010. </w:t>
      </w:r>
      <w:r w:rsidRPr="002A7D9E">
        <w:rPr>
          <w:rFonts w:ascii="Times New Roman" w:hAnsi="Times New Roman" w:cs="Times New Roman"/>
          <w:i/>
          <w:color w:val="auto"/>
        </w:rPr>
        <w:t>Work Plan for Culture 2011-2014</w:t>
      </w:r>
      <w:r w:rsidRPr="002A7D9E">
        <w:rPr>
          <w:rFonts w:ascii="Times New Roman" w:hAnsi="Times New Roman" w:cs="Times New Roman"/>
          <w:color w:val="auto"/>
        </w:rPr>
        <w:t>. Document 2010/C 325/01.</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De </w:t>
      </w:r>
      <w:proofErr w:type="spellStart"/>
      <w:r w:rsidRPr="002A7D9E">
        <w:rPr>
          <w:rFonts w:ascii="Times New Roman" w:hAnsi="Times New Roman" w:cs="Times New Roman"/>
          <w:sz w:val="24"/>
          <w:szCs w:val="24"/>
        </w:rPr>
        <w:t>Beukelaer</w:t>
      </w:r>
      <w:proofErr w:type="spellEnd"/>
      <w:r w:rsidRPr="002A7D9E">
        <w:rPr>
          <w:rFonts w:ascii="Times New Roman" w:hAnsi="Times New Roman" w:cs="Times New Roman"/>
          <w:sz w:val="24"/>
          <w:szCs w:val="24"/>
        </w:rPr>
        <w:t xml:space="preserve">, Christiaan. 2014. “The UNESCO/UNDP 2013 Creative Economy Report: Perks and Perils of an Evolving Agenda.” </w:t>
      </w:r>
      <w:r w:rsidRPr="002A7D9E">
        <w:rPr>
          <w:rFonts w:ascii="Times New Roman" w:hAnsi="Times New Roman" w:cs="Times New Roman"/>
          <w:i/>
          <w:sz w:val="24"/>
          <w:szCs w:val="24"/>
        </w:rPr>
        <w:t>Journal of Arts Management, Law, and Society</w:t>
      </w:r>
      <w:r w:rsidRPr="002A7D9E">
        <w:rPr>
          <w:rFonts w:ascii="Times New Roman" w:hAnsi="Times New Roman" w:cs="Times New Roman"/>
          <w:sz w:val="24"/>
          <w:szCs w:val="24"/>
        </w:rPr>
        <w:t xml:space="preserve"> 44(2): 90-100.</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De la Porte, Caroline. 2002. “Is the open method of coordination appropriate for organising activities at European level in sensitive policy areas?” </w:t>
      </w:r>
      <w:r w:rsidRPr="002A7D9E">
        <w:rPr>
          <w:rFonts w:ascii="Times New Roman" w:hAnsi="Times New Roman" w:cs="Times New Roman"/>
          <w:i/>
          <w:iCs/>
          <w:sz w:val="24"/>
          <w:szCs w:val="24"/>
        </w:rPr>
        <w:t>European Law Journal</w:t>
      </w:r>
      <w:r w:rsidRPr="002A7D9E">
        <w:rPr>
          <w:rFonts w:ascii="Times New Roman" w:hAnsi="Times New Roman" w:cs="Times New Roman"/>
          <w:sz w:val="24"/>
          <w:szCs w:val="24"/>
        </w:rPr>
        <w:t xml:space="preserve"> 8(1): 38-58.</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De la Porte, Caroline. 2010. </w:t>
      </w:r>
      <w:r w:rsidRPr="002A7D9E">
        <w:rPr>
          <w:rFonts w:ascii="Times New Roman" w:hAnsi="Times New Roman" w:cs="Times New Roman"/>
          <w:i/>
          <w:sz w:val="24"/>
          <w:szCs w:val="24"/>
        </w:rPr>
        <w:t xml:space="preserve">State of the Art: Overview of concepts, indicators and methodologies used for </w:t>
      </w:r>
      <w:proofErr w:type="spellStart"/>
      <w:r w:rsidRPr="002A7D9E">
        <w:rPr>
          <w:rFonts w:ascii="Times New Roman" w:hAnsi="Times New Roman" w:cs="Times New Roman"/>
          <w:i/>
          <w:sz w:val="24"/>
          <w:szCs w:val="24"/>
        </w:rPr>
        <w:t>analyzing</w:t>
      </w:r>
      <w:proofErr w:type="spellEnd"/>
      <w:r w:rsidRPr="002A7D9E">
        <w:rPr>
          <w:rFonts w:ascii="Times New Roman" w:hAnsi="Times New Roman" w:cs="Times New Roman"/>
          <w:i/>
          <w:sz w:val="24"/>
          <w:szCs w:val="24"/>
        </w:rPr>
        <w:t xml:space="preserve"> the social OMCs</w:t>
      </w:r>
      <w:r w:rsidRPr="002A7D9E">
        <w:rPr>
          <w:rFonts w:ascii="Times New Roman" w:hAnsi="Times New Roman" w:cs="Times New Roman"/>
          <w:sz w:val="24"/>
          <w:szCs w:val="24"/>
        </w:rPr>
        <w:t xml:space="preserve">. Brussels: </w:t>
      </w:r>
      <w:r w:rsidRPr="002A7D9E">
        <w:rPr>
          <w:rFonts w:ascii="Times New Roman" w:hAnsi="Times New Roman" w:cs="Times New Roman"/>
          <w:bCs/>
          <w:sz w:val="24"/>
          <w:szCs w:val="24"/>
        </w:rPr>
        <w:t xml:space="preserve">Reconciling Work and Welfare in Europe </w:t>
      </w:r>
      <w:r w:rsidRPr="002A7D9E">
        <w:rPr>
          <w:rFonts w:ascii="Times New Roman" w:hAnsi="Times New Roman" w:cs="Times New Roman"/>
          <w:sz w:val="24"/>
          <w:szCs w:val="24"/>
        </w:rPr>
        <w:t>(RECWOWE) working paper, no. 54.</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De la Porte, Caroline, and Philippe </w:t>
      </w:r>
      <w:proofErr w:type="spellStart"/>
      <w:r w:rsidRPr="002A7D9E">
        <w:rPr>
          <w:rFonts w:ascii="Times New Roman" w:hAnsi="Times New Roman" w:cs="Times New Roman"/>
          <w:sz w:val="24"/>
          <w:szCs w:val="24"/>
        </w:rPr>
        <w:t>Pochet</w:t>
      </w:r>
      <w:proofErr w:type="spellEnd"/>
      <w:r w:rsidRPr="002A7D9E">
        <w:rPr>
          <w:rFonts w:ascii="Times New Roman" w:hAnsi="Times New Roman" w:cs="Times New Roman"/>
          <w:sz w:val="24"/>
          <w:szCs w:val="24"/>
        </w:rPr>
        <w:t xml:space="preserve">. 2012. “Why and how (still) study the Open Method of Co-ordination (OMC)?” </w:t>
      </w:r>
      <w:r w:rsidRPr="002A7D9E">
        <w:rPr>
          <w:rFonts w:ascii="Times New Roman" w:hAnsi="Times New Roman" w:cs="Times New Roman"/>
          <w:i/>
          <w:sz w:val="24"/>
          <w:szCs w:val="24"/>
        </w:rPr>
        <w:t>Journal of European social policy</w:t>
      </w:r>
      <w:r w:rsidRPr="002A7D9E">
        <w:rPr>
          <w:rFonts w:ascii="Times New Roman" w:hAnsi="Times New Roman" w:cs="Times New Roman"/>
          <w:sz w:val="24"/>
          <w:szCs w:val="24"/>
        </w:rPr>
        <w:t xml:space="preserve"> 22(3): 336-349.</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Diedrichs</w:t>
      </w:r>
      <w:proofErr w:type="spellEnd"/>
      <w:r w:rsidRPr="002A7D9E">
        <w:rPr>
          <w:rFonts w:ascii="Times New Roman" w:hAnsi="Times New Roman" w:cs="Times New Roman"/>
          <w:sz w:val="24"/>
          <w:szCs w:val="24"/>
        </w:rPr>
        <w:t xml:space="preserve">, Udo, </w:t>
      </w:r>
      <w:proofErr w:type="spellStart"/>
      <w:r w:rsidRPr="002A7D9E">
        <w:rPr>
          <w:rFonts w:ascii="Times New Roman" w:hAnsi="Times New Roman" w:cs="Times New Roman"/>
          <w:sz w:val="24"/>
          <w:szCs w:val="24"/>
        </w:rPr>
        <w:t>Wulf</w:t>
      </w:r>
      <w:proofErr w:type="spellEnd"/>
      <w:r w:rsidRPr="002A7D9E">
        <w:rPr>
          <w:rFonts w:ascii="Times New Roman" w:hAnsi="Times New Roman" w:cs="Times New Roman"/>
          <w:sz w:val="24"/>
          <w:szCs w:val="24"/>
        </w:rPr>
        <w:t xml:space="preserve"> </w:t>
      </w:r>
      <w:proofErr w:type="spellStart"/>
      <w:r w:rsidRPr="002A7D9E">
        <w:rPr>
          <w:rFonts w:ascii="Times New Roman" w:hAnsi="Times New Roman" w:cs="Times New Roman"/>
          <w:sz w:val="24"/>
          <w:szCs w:val="24"/>
        </w:rPr>
        <w:t>Reiners</w:t>
      </w:r>
      <w:proofErr w:type="spellEnd"/>
      <w:r w:rsidRPr="002A7D9E">
        <w:rPr>
          <w:rFonts w:ascii="Times New Roman" w:hAnsi="Times New Roman" w:cs="Times New Roman"/>
          <w:sz w:val="24"/>
          <w:szCs w:val="24"/>
        </w:rPr>
        <w:t xml:space="preserve">, and Wolfgang </w:t>
      </w:r>
      <w:proofErr w:type="spellStart"/>
      <w:r w:rsidRPr="002A7D9E">
        <w:rPr>
          <w:rFonts w:ascii="Times New Roman" w:hAnsi="Times New Roman" w:cs="Times New Roman"/>
          <w:sz w:val="24"/>
          <w:szCs w:val="24"/>
        </w:rPr>
        <w:t>Wessels</w:t>
      </w:r>
      <w:proofErr w:type="spellEnd"/>
      <w:r w:rsidRPr="002A7D9E">
        <w:rPr>
          <w:rFonts w:ascii="Times New Roman" w:hAnsi="Times New Roman" w:cs="Times New Roman"/>
          <w:sz w:val="24"/>
          <w:szCs w:val="24"/>
        </w:rPr>
        <w:t>. 2011. “New modes of governance: policy development and the Hidden Steps of EU Integration.” In</w:t>
      </w:r>
      <w:r w:rsidRPr="002A7D9E">
        <w:rPr>
          <w:rFonts w:ascii="Times New Roman" w:hAnsi="Times New Roman" w:cs="Times New Roman"/>
          <w:i/>
          <w:sz w:val="24"/>
          <w:szCs w:val="24"/>
        </w:rPr>
        <w:t xml:space="preserve"> New Modes of Governance in Europe: Governing in the shadow of Hierarchy</w:t>
      </w:r>
      <w:r w:rsidRPr="002A7D9E">
        <w:rPr>
          <w:rFonts w:ascii="Times New Roman" w:hAnsi="Times New Roman" w:cs="Times New Roman"/>
          <w:sz w:val="24"/>
          <w:szCs w:val="24"/>
        </w:rPr>
        <w:t xml:space="preserve">, </w:t>
      </w:r>
      <w:r w:rsidRPr="002A7D9E">
        <w:rPr>
          <w:rFonts w:ascii="Times New Roman" w:hAnsi="Times New Roman" w:cs="Times New Roman"/>
          <w:sz w:val="24"/>
          <w:szCs w:val="24"/>
        </w:rPr>
        <w:lastRenderedPageBreak/>
        <w:t xml:space="preserve">edited by Adrienne </w:t>
      </w:r>
      <w:proofErr w:type="spellStart"/>
      <w:r w:rsidRPr="002A7D9E">
        <w:rPr>
          <w:rFonts w:ascii="Times New Roman" w:hAnsi="Times New Roman" w:cs="Times New Roman"/>
          <w:sz w:val="24"/>
          <w:szCs w:val="24"/>
        </w:rPr>
        <w:t>Héritier</w:t>
      </w:r>
      <w:proofErr w:type="spellEnd"/>
      <w:r w:rsidRPr="002A7D9E">
        <w:rPr>
          <w:rFonts w:ascii="Times New Roman" w:hAnsi="Times New Roman" w:cs="Times New Roman"/>
          <w:sz w:val="24"/>
          <w:szCs w:val="24"/>
        </w:rPr>
        <w:t xml:space="preserve"> and Martin Rhodes, 19-47. Basingstoke: Palgrave Macmillan.</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Dolowitz, David, and David Marsh. 1996. “Who learns from whom: a review of the policy transfer literature.” </w:t>
      </w:r>
      <w:r w:rsidRPr="002A7D9E">
        <w:rPr>
          <w:rFonts w:ascii="Times New Roman" w:hAnsi="Times New Roman" w:cs="Times New Roman"/>
          <w:i/>
          <w:iCs/>
          <w:sz w:val="24"/>
          <w:szCs w:val="24"/>
        </w:rPr>
        <w:t xml:space="preserve">Political Studies </w:t>
      </w:r>
      <w:r w:rsidRPr="002A7D9E">
        <w:rPr>
          <w:rFonts w:ascii="Times New Roman" w:hAnsi="Times New Roman" w:cs="Times New Roman"/>
          <w:sz w:val="24"/>
          <w:szCs w:val="24"/>
        </w:rPr>
        <w:t>44(2): 343-357.</w:t>
      </w: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Dolowitz, David, and David Marsh. 2000. “Learning from abroad: the role of policy transfer in contemporary policy making.” </w:t>
      </w:r>
      <w:r w:rsidRPr="002A7D9E">
        <w:rPr>
          <w:rFonts w:ascii="Times New Roman" w:hAnsi="Times New Roman" w:cs="Times New Roman"/>
          <w:i/>
          <w:iCs/>
          <w:sz w:val="24"/>
          <w:szCs w:val="24"/>
        </w:rPr>
        <w:t xml:space="preserve">Governance </w:t>
      </w:r>
      <w:r w:rsidRPr="002A7D9E">
        <w:rPr>
          <w:rFonts w:ascii="Times New Roman" w:hAnsi="Times New Roman" w:cs="Times New Roman"/>
          <w:sz w:val="24"/>
          <w:szCs w:val="24"/>
        </w:rPr>
        <w:t>13(1): 5-24.</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r w:rsidRPr="002A7D9E">
        <w:rPr>
          <w:rFonts w:ascii="Times New Roman" w:hAnsi="Times New Roman" w:cs="Times New Roman"/>
          <w:sz w:val="24"/>
          <w:szCs w:val="24"/>
          <w:shd w:val="clear" w:color="auto" w:fill="FFFFFF"/>
        </w:rPr>
        <w:t xml:space="preserve">Egan, Michelle. 2009. “Governance and learning in the post-Maastricht era?” </w:t>
      </w:r>
      <w:r w:rsidRPr="002A7D9E">
        <w:rPr>
          <w:rFonts w:ascii="Times New Roman" w:hAnsi="Times New Roman" w:cs="Times New Roman"/>
          <w:i/>
          <w:sz w:val="24"/>
          <w:szCs w:val="24"/>
          <w:shd w:val="clear" w:color="auto" w:fill="FFFFFF"/>
        </w:rPr>
        <w:t>Journal of European Public Policy</w:t>
      </w:r>
      <w:r w:rsidRPr="002A7D9E">
        <w:rPr>
          <w:rFonts w:ascii="Times New Roman" w:hAnsi="Times New Roman" w:cs="Times New Roman"/>
          <w:sz w:val="24"/>
          <w:szCs w:val="24"/>
          <w:shd w:val="clear" w:color="auto" w:fill="FFFFFF"/>
        </w:rPr>
        <w:t xml:space="preserve"> 16(8): 1244-1253.</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shd w:val="clear" w:color="auto" w:fill="FFFFFF"/>
        </w:rPr>
        <w:t>European Commission</w:t>
      </w:r>
      <w:r w:rsidRPr="002A7D9E">
        <w:rPr>
          <w:rFonts w:ascii="Times New Roman" w:hAnsi="Times New Roman" w:cs="Times New Roman"/>
          <w:sz w:val="24"/>
          <w:szCs w:val="24"/>
        </w:rPr>
        <w:t xml:space="preserve">. 2007. </w:t>
      </w:r>
      <w:r w:rsidRPr="002A7D9E">
        <w:rPr>
          <w:rFonts w:ascii="Times New Roman" w:hAnsi="Times New Roman" w:cs="Times New Roman"/>
          <w:i/>
          <w:iCs/>
          <w:sz w:val="24"/>
          <w:szCs w:val="24"/>
        </w:rPr>
        <w:t xml:space="preserve">Communication on a European agenda for culture in a globalizing world. </w:t>
      </w:r>
      <w:proofErr w:type="gramStart"/>
      <w:r w:rsidRPr="002A7D9E">
        <w:rPr>
          <w:rFonts w:ascii="Times New Roman" w:hAnsi="Times New Roman" w:cs="Times New Roman"/>
          <w:sz w:val="24"/>
          <w:szCs w:val="24"/>
        </w:rPr>
        <w:t>COM(</w:t>
      </w:r>
      <w:proofErr w:type="gramEnd"/>
      <w:r w:rsidRPr="002A7D9E">
        <w:rPr>
          <w:rFonts w:ascii="Times New Roman" w:hAnsi="Times New Roman" w:cs="Times New Roman"/>
          <w:sz w:val="24"/>
          <w:szCs w:val="24"/>
        </w:rPr>
        <w:t>2007) 242 final.</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shd w:val="clear" w:color="auto" w:fill="FFFFFF"/>
        </w:rPr>
        <w:t>European Commission</w:t>
      </w:r>
      <w:r w:rsidRPr="002A7D9E">
        <w:rPr>
          <w:rFonts w:ascii="Times New Roman" w:hAnsi="Times New Roman" w:cs="Times New Roman"/>
          <w:sz w:val="24"/>
          <w:szCs w:val="24"/>
        </w:rPr>
        <w:t xml:space="preserve">. 2010. Commission Report to the European Parliament, the Council, the European Economic and Social Committee and the Committee of the Regions on the implementation of the European Agenda for Culture. </w:t>
      </w:r>
      <w:proofErr w:type="gramStart"/>
      <w:r w:rsidRPr="002A7D9E">
        <w:rPr>
          <w:rFonts w:ascii="Times New Roman" w:hAnsi="Times New Roman" w:cs="Times New Roman"/>
          <w:i/>
          <w:sz w:val="24"/>
          <w:szCs w:val="24"/>
        </w:rPr>
        <w:t>COM(</w:t>
      </w:r>
      <w:proofErr w:type="gramEnd"/>
      <w:r w:rsidRPr="002A7D9E">
        <w:rPr>
          <w:rFonts w:ascii="Times New Roman" w:hAnsi="Times New Roman" w:cs="Times New Roman"/>
          <w:i/>
          <w:sz w:val="24"/>
          <w:szCs w:val="24"/>
        </w:rPr>
        <w:t>2010)390 final</w:t>
      </w:r>
      <w:r w:rsidRPr="002A7D9E">
        <w:rPr>
          <w:rFonts w:ascii="Times New Roman" w:hAnsi="Times New Roman" w:cs="Times New Roman"/>
          <w:sz w:val="24"/>
          <w:szCs w:val="24"/>
        </w:rPr>
        <w:t>.</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shd w:val="clear" w:color="auto" w:fill="FFFFFF"/>
        </w:rPr>
        <w:t xml:space="preserve">European Commission. 2013. </w:t>
      </w:r>
      <w:r w:rsidRPr="002A7D9E">
        <w:rPr>
          <w:rFonts w:ascii="Times New Roman" w:hAnsi="Times New Roman" w:cs="Times New Roman"/>
          <w:sz w:val="24"/>
          <w:szCs w:val="24"/>
        </w:rPr>
        <w:t xml:space="preserve">Culture and </w:t>
      </w:r>
      <w:proofErr w:type="spellStart"/>
      <w:r w:rsidRPr="002A7D9E">
        <w:rPr>
          <w:rFonts w:ascii="Times New Roman" w:hAnsi="Times New Roman" w:cs="Times New Roman"/>
          <w:sz w:val="24"/>
          <w:szCs w:val="24"/>
        </w:rPr>
        <w:t>audiovisual</w:t>
      </w:r>
      <w:proofErr w:type="spellEnd"/>
      <w:r w:rsidRPr="002A7D9E">
        <w:rPr>
          <w:rFonts w:ascii="Times New Roman" w:hAnsi="Times New Roman" w:cs="Times New Roman"/>
          <w:sz w:val="24"/>
          <w:szCs w:val="24"/>
        </w:rPr>
        <w:t xml:space="preserve">. The European Union explained series. Brussels: European Commission. Accessed 3 June 2016. </w:t>
      </w:r>
      <w:hyperlink r:id="rId9" w:history="1">
        <w:r w:rsidRPr="002A7D9E">
          <w:rPr>
            <w:rStyle w:val="Hyperlink"/>
            <w:rFonts w:ascii="Times New Roman" w:hAnsi="Times New Roman" w:cs="Times New Roman"/>
            <w:color w:val="auto"/>
            <w:sz w:val="24"/>
            <w:szCs w:val="24"/>
          </w:rPr>
          <w:t>http://europa.eu/pol/pdf/flipbook/en/culture_audiovisual_en.pdf</w:t>
        </w:r>
      </w:hyperlink>
      <w:r w:rsidRPr="002A7D9E">
        <w:rPr>
          <w:rFonts w:ascii="Times New Roman" w:hAnsi="Times New Roman" w:cs="Times New Roman"/>
          <w:sz w:val="24"/>
          <w:szCs w:val="24"/>
        </w:rPr>
        <w:t xml:space="preserve">. </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European Council. 2000. Presidency Conclusions. Lisbon European Council of 23 and 24 March 2000.</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European Union. 2012. Final Report on Access to Culture: Policies and good practices in the public arts and in cultural institutions to promote better access to and wider participation in culture. Open Method of Coordination Working Group. Accessed 3 June 2016. </w:t>
      </w:r>
      <w:hyperlink r:id="rId10" w:history="1">
        <w:r w:rsidRPr="002A7D9E">
          <w:rPr>
            <w:rStyle w:val="Hyperlink"/>
            <w:rFonts w:ascii="Times New Roman" w:hAnsi="Times New Roman" w:cs="Times New Roman"/>
            <w:color w:val="auto"/>
            <w:sz w:val="24"/>
            <w:szCs w:val="24"/>
          </w:rPr>
          <w:t>http://ec.europa.eu/culture/policy/strategic-framework/documents/omc-report-access-to-culture_en.pdf</w:t>
        </w:r>
      </w:hyperlink>
      <w:r w:rsidRPr="002A7D9E">
        <w:rPr>
          <w:rFonts w:ascii="Times New Roman" w:hAnsi="Times New Roman" w:cs="Times New Roman"/>
          <w:sz w:val="24"/>
          <w:szCs w:val="24"/>
        </w:rPr>
        <w:t>.</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European Union. 2014. Report on the role of public arts and cultural institutions in the promotion of cultural diversity and intercultural dialogue. Open Method of Coordination Working Group. Accessed 3 June 2016. </w:t>
      </w:r>
      <w:hyperlink r:id="rId11" w:history="1">
        <w:r w:rsidRPr="002A7D9E">
          <w:rPr>
            <w:rStyle w:val="Hyperlink"/>
            <w:rFonts w:ascii="Times New Roman" w:hAnsi="Times New Roman" w:cs="Times New Roman"/>
            <w:color w:val="auto"/>
            <w:sz w:val="24"/>
            <w:szCs w:val="24"/>
          </w:rPr>
          <w:t>http://ec.europa.eu/culture/library/reports/201405-omc-diversity-dialogue_en.pdf</w:t>
        </w:r>
      </w:hyperlink>
      <w:r w:rsidRPr="002A7D9E">
        <w:rPr>
          <w:rFonts w:ascii="Times New Roman" w:hAnsi="Times New Roman" w:cs="Times New Roman"/>
          <w:sz w:val="24"/>
          <w:szCs w:val="24"/>
        </w:rPr>
        <w:t>.</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European Union. 2015. Cultural Awareness and Expression Handbook. Open Method of Coordination Working Group. Accessed 25 July 2016. </w:t>
      </w:r>
      <w:hyperlink r:id="rId12" w:history="1">
        <w:r w:rsidRPr="002A7D9E">
          <w:rPr>
            <w:rStyle w:val="Hyperlink"/>
            <w:rFonts w:ascii="Times New Roman" w:hAnsi="Times New Roman" w:cs="Times New Roman"/>
            <w:color w:val="auto"/>
            <w:sz w:val="24"/>
            <w:szCs w:val="24"/>
          </w:rPr>
          <w:t>http://bookshop.europa.eu/en/cultural-awareness-and-expression-handbook-pbNC0116125/</w:t>
        </w:r>
      </w:hyperlink>
      <w:r w:rsidRPr="002A7D9E">
        <w:rPr>
          <w:rFonts w:ascii="Times New Roman" w:hAnsi="Times New Roman" w:cs="Times New Roman"/>
          <w:sz w:val="24"/>
          <w:szCs w:val="24"/>
        </w:rPr>
        <w:t xml:space="preserve"> </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r w:rsidRPr="002A7D9E">
        <w:rPr>
          <w:rFonts w:ascii="Times New Roman" w:hAnsi="Times New Roman" w:cs="Times New Roman"/>
          <w:sz w:val="24"/>
          <w:szCs w:val="24"/>
          <w:shd w:val="clear" w:color="auto" w:fill="FFFFFF"/>
        </w:rPr>
        <w:t>Evans, Mark. 2009a. “</w:t>
      </w:r>
      <w:r w:rsidRPr="002A7D9E">
        <w:rPr>
          <w:rFonts w:ascii="Times New Roman" w:hAnsi="Times New Roman" w:cs="Times New Roman"/>
          <w:sz w:val="24"/>
          <w:szCs w:val="24"/>
        </w:rPr>
        <w:t>Editorial: new directions in the study of policy transfer.” Policy Studies 30(3): 237-242.</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r w:rsidRPr="002A7D9E">
        <w:rPr>
          <w:rFonts w:ascii="Times New Roman" w:hAnsi="Times New Roman" w:cs="Times New Roman"/>
          <w:sz w:val="24"/>
          <w:szCs w:val="24"/>
          <w:shd w:val="clear" w:color="auto" w:fill="FFFFFF"/>
        </w:rPr>
        <w:t>Evans, Mark. 2009b. “</w:t>
      </w:r>
      <w:r w:rsidRPr="002A7D9E">
        <w:rPr>
          <w:rFonts w:ascii="Times New Roman" w:hAnsi="Times New Roman" w:cs="Times New Roman"/>
          <w:sz w:val="24"/>
          <w:szCs w:val="24"/>
        </w:rPr>
        <w:t xml:space="preserve">Policy Transfer in critical perspective.” </w:t>
      </w:r>
      <w:r w:rsidRPr="002A7D9E">
        <w:rPr>
          <w:rFonts w:ascii="Times New Roman" w:hAnsi="Times New Roman" w:cs="Times New Roman"/>
          <w:i/>
          <w:sz w:val="24"/>
          <w:szCs w:val="24"/>
        </w:rPr>
        <w:t>Policy Studies</w:t>
      </w:r>
      <w:r w:rsidRPr="002A7D9E">
        <w:rPr>
          <w:rFonts w:ascii="Times New Roman" w:hAnsi="Times New Roman" w:cs="Times New Roman"/>
          <w:sz w:val="24"/>
          <w:szCs w:val="24"/>
        </w:rPr>
        <w:t xml:space="preserve"> 30(3): 243-268.</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Evans, Mark, and Jonathan Davies. 1999. </w:t>
      </w:r>
      <w:r w:rsidRPr="002A7D9E">
        <w:rPr>
          <w:rFonts w:ascii="Times New Roman" w:hAnsi="Times New Roman" w:cs="Times New Roman"/>
          <w:sz w:val="24"/>
          <w:szCs w:val="24"/>
          <w:shd w:val="clear" w:color="auto" w:fill="FFFFFF"/>
        </w:rPr>
        <w:t>Understanding policy transfer: A Multi</w:t>
      </w:r>
      <w:r w:rsidRPr="002A7D9E">
        <w:rPr>
          <w:rFonts w:ascii="Cambria Math" w:hAnsi="Cambria Math" w:cs="Cambria Math"/>
          <w:sz w:val="24"/>
          <w:szCs w:val="24"/>
          <w:shd w:val="clear" w:color="auto" w:fill="FFFFFF"/>
        </w:rPr>
        <w:t>‐</w:t>
      </w:r>
      <w:r w:rsidRPr="002A7D9E">
        <w:rPr>
          <w:rFonts w:ascii="Times New Roman" w:hAnsi="Times New Roman" w:cs="Times New Roman"/>
          <w:sz w:val="24"/>
          <w:szCs w:val="24"/>
          <w:shd w:val="clear" w:color="auto" w:fill="FFFFFF"/>
        </w:rPr>
        <w:t>level, multi</w:t>
      </w:r>
      <w:r w:rsidRPr="002A7D9E">
        <w:rPr>
          <w:rFonts w:ascii="Cambria Math" w:hAnsi="Cambria Math" w:cs="Cambria Math"/>
          <w:sz w:val="24"/>
          <w:szCs w:val="24"/>
          <w:shd w:val="clear" w:color="auto" w:fill="FFFFFF"/>
        </w:rPr>
        <w:t>‐</w:t>
      </w:r>
      <w:r w:rsidRPr="002A7D9E">
        <w:rPr>
          <w:rFonts w:ascii="Times New Roman" w:hAnsi="Times New Roman" w:cs="Times New Roman"/>
          <w:sz w:val="24"/>
          <w:szCs w:val="24"/>
          <w:shd w:val="clear" w:color="auto" w:fill="FFFFFF"/>
        </w:rPr>
        <w:t>disciplinary perspective</w:t>
      </w:r>
      <w:r w:rsidRPr="002A7D9E">
        <w:rPr>
          <w:rFonts w:ascii="Times New Roman" w:hAnsi="Times New Roman" w:cs="Times New Roman"/>
          <w:sz w:val="24"/>
          <w:szCs w:val="24"/>
        </w:rPr>
        <w:t xml:space="preserve">. </w:t>
      </w:r>
      <w:r w:rsidRPr="002A7D9E">
        <w:rPr>
          <w:rFonts w:ascii="Times New Roman" w:hAnsi="Times New Roman" w:cs="Times New Roman"/>
          <w:i/>
          <w:sz w:val="24"/>
          <w:szCs w:val="24"/>
        </w:rPr>
        <w:t>Public administration</w:t>
      </w:r>
      <w:r w:rsidRPr="002A7D9E">
        <w:rPr>
          <w:rFonts w:ascii="Times New Roman" w:hAnsi="Times New Roman" w:cs="Times New Roman"/>
          <w:sz w:val="24"/>
          <w:szCs w:val="24"/>
        </w:rPr>
        <w:t xml:space="preserve"> 77(2): 361-385.</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Feldman, Elliot J. 1978. Comparative Public Policy: Field or Method? Review Article. </w:t>
      </w:r>
      <w:r w:rsidRPr="002A7D9E">
        <w:rPr>
          <w:rFonts w:ascii="Times New Roman" w:hAnsi="Times New Roman" w:cs="Times New Roman"/>
          <w:i/>
          <w:sz w:val="24"/>
          <w:szCs w:val="24"/>
        </w:rPr>
        <w:t>Comparative Politics</w:t>
      </w:r>
      <w:r w:rsidRPr="002A7D9E">
        <w:rPr>
          <w:rFonts w:ascii="Times New Roman" w:hAnsi="Times New Roman" w:cs="Times New Roman"/>
          <w:sz w:val="24"/>
          <w:szCs w:val="24"/>
        </w:rPr>
        <w:t xml:space="preserve"> 10(2): 287-305.</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Gray</w:t>
      </w:r>
      <w:proofErr w:type="spellEnd"/>
      <w:r w:rsidRPr="002A7D9E">
        <w:rPr>
          <w:rFonts w:ascii="Times New Roman" w:hAnsi="Times New Roman" w:cs="Times New Roman"/>
          <w:sz w:val="24"/>
          <w:szCs w:val="24"/>
        </w:rPr>
        <w:t xml:space="preserve">, Clive. 1996. “Comparing cultural policy: A reformulation.” </w:t>
      </w:r>
      <w:r w:rsidRPr="002A7D9E">
        <w:rPr>
          <w:rFonts w:ascii="Times New Roman" w:hAnsi="Times New Roman" w:cs="Times New Roman"/>
          <w:i/>
          <w:sz w:val="24"/>
          <w:szCs w:val="24"/>
        </w:rPr>
        <w:t>The European Journal of Cultural Policy</w:t>
      </w:r>
      <w:r w:rsidRPr="002A7D9E">
        <w:rPr>
          <w:rFonts w:ascii="Times New Roman" w:hAnsi="Times New Roman" w:cs="Times New Roman"/>
          <w:sz w:val="24"/>
          <w:szCs w:val="24"/>
        </w:rPr>
        <w:t xml:space="preserve"> 2(2): 213-222.</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Hartlapp</w:t>
      </w:r>
      <w:proofErr w:type="spellEnd"/>
      <w:r w:rsidRPr="002A7D9E">
        <w:rPr>
          <w:rFonts w:ascii="Times New Roman" w:hAnsi="Times New Roman" w:cs="Times New Roman"/>
          <w:sz w:val="24"/>
          <w:szCs w:val="24"/>
        </w:rPr>
        <w:t xml:space="preserve">, Miriam. 2009. “Learning about policy learning. Reflections on the European Employment Strategy.” In </w:t>
      </w:r>
      <w:proofErr w:type="gramStart"/>
      <w:r w:rsidRPr="002A7D9E">
        <w:rPr>
          <w:rFonts w:ascii="Times New Roman" w:hAnsi="Times New Roman" w:cs="Times New Roman"/>
          <w:sz w:val="24"/>
          <w:szCs w:val="24"/>
        </w:rPr>
        <w:t>What</w:t>
      </w:r>
      <w:proofErr w:type="gramEnd"/>
      <w:r w:rsidRPr="002A7D9E">
        <w:rPr>
          <w:rFonts w:ascii="Times New Roman" w:hAnsi="Times New Roman" w:cs="Times New Roman"/>
          <w:sz w:val="24"/>
          <w:szCs w:val="24"/>
        </w:rPr>
        <w:t xml:space="preserve"> we have learnt: Advances, pitfalls and remaining questions in OMC research, edited by Sandra </w:t>
      </w:r>
      <w:proofErr w:type="spellStart"/>
      <w:r w:rsidRPr="002A7D9E">
        <w:rPr>
          <w:rFonts w:ascii="Times New Roman" w:hAnsi="Times New Roman" w:cs="Times New Roman"/>
          <w:sz w:val="24"/>
          <w:szCs w:val="24"/>
        </w:rPr>
        <w:t>Kröger</w:t>
      </w:r>
      <w:proofErr w:type="spellEnd"/>
      <w:r w:rsidRPr="002A7D9E">
        <w:rPr>
          <w:rFonts w:ascii="Times New Roman" w:hAnsi="Times New Roman" w:cs="Times New Roman"/>
          <w:sz w:val="24"/>
          <w:szCs w:val="24"/>
        </w:rPr>
        <w:t xml:space="preserve">, Sandra. </w:t>
      </w:r>
      <w:r w:rsidRPr="002A7D9E">
        <w:rPr>
          <w:rFonts w:ascii="Times New Roman" w:hAnsi="Times New Roman" w:cs="Times New Roman"/>
          <w:i/>
          <w:sz w:val="24"/>
          <w:szCs w:val="24"/>
        </w:rPr>
        <w:t>European Integration online Papers (</w:t>
      </w:r>
      <w:proofErr w:type="spellStart"/>
      <w:r w:rsidRPr="002A7D9E">
        <w:rPr>
          <w:rFonts w:ascii="Times New Roman" w:hAnsi="Times New Roman" w:cs="Times New Roman"/>
          <w:i/>
          <w:sz w:val="24"/>
          <w:szCs w:val="24"/>
        </w:rPr>
        <w:t>EIoP</w:t>
      </w:r>
      <w:proofErr w:type="spellEnd"/>
      <w:r w:rsidRPr="002A7D9E">
        <w:rPr>
          <w:rFonts w:ascii="Times New Roman" w:hAnsi="Times New Roman" w:cs="Times New Roman"/>
          <w:i/>
          <w:sz w:val="24"/>
          <w:szCs w:val="24"/>
        </w:rPr>
        <w:t xml:space="preserve">) </w:t>
      </w:r>
      <w:r w:rsidRPr="002A7D9E">
        <w:rPr>
          <w:rFonts w:ascii="Times New Roman" w:hAnsi="Times New Roman" w:cs="Times New Roman"/>
          <w:sz w:val="24"/>
          <w:szCs w:val="24"/>
        </w:rPr>
        <w:t xml:space="preserve">13. Accessed 3 June 2016. </w:t>
      </w:r>
      <w:hyperlink r:id="rId13" w:history="1">
        <w:r w:rsidRPr="002A7D9E">
          <w:rPr>
            <w:rStyle w:val="Hyperlink"/>
            <w:rFonts w:ascii="Times New Roman" w:hAnsi="Times New Roman" w:cs="Times New Roman"/>
            <w:color w:val="auto"/>
            <w:sz w:val="24"/>
            <w:szCs w:val="24"/>
          </w:rPr>
          <w:t>https://eiop.or.at/eiop/pdf/2009-007.pdf</w:t>
        </w:r>
      </w:hyperlink>
      <w:r w:rsidRPr="002A7D9E">
        <w:rPr>
          <w:rFonts w:ascii="Times New Roman" w:hAnsi="Times New Roman" w:cs="Times New Roman"/>
          <w:sz w:val="24"/>
          <w:szCs w:val="24"/>
        </w:rPr>
        <w:t>.</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proofErr w:type="spellStart"/>
      <w:r w:rsidRPr="002A7D9E">
        <w:rPr>
          <w:rFonts w:ascii="Times New Roman" w:hAnsi="Times New Roman" w:cs="Times New Roman"/>
          <w:sz w:val="24"/>
          <w:szCs w:val="24"/>
          <w:shd w:val="clear" w:color="auto" w:fill="FFFFFF"/>
        </w:rPr>
        <w:t>Kerber</w:t>
      </w:r>
      <w:proofErr w:type="spellEnd"/>
      <w:r w:rsidRPr="002A7D9E">
        <w:rPr>
          <w:rFonts w:ascii="Times New Roman" w:hAnsi="Times New Roman" w:cs="Times New Roman"/>
          <w:sz w:val="24"/>
          <w:szCs w:val="24"/>
          <w:shd w:val="clear" w:color="auto" w:fill="FFFFFF"/>
        </w:rPr>
        <w:t xml:space="preserve">, Wolfgang, and Marina </w:t>
      </w:r>
      <w:proofErr w:type="spellStart"/>
      <w:r w:rsidRPr="002A7D9E">
        <w:rPr>
          <w:rFonts w:ascii="Times New Roman" w:hAnsi="Times New Roman" w:cs="Times New Roman"/>
          <w:sz w:val="24"/>
          <w:szCs w:val="24"/>
          <w:shd w:val="clear" w:color="auto" w:fill="FFFFFF"/>
        </w:rPr>
        <w:t>Eckardt</w:t>
      </w:r>
      <w:proofErr w:type="spellEnd"/>
      <w:r w:rsidRPr="002A7D9E">
        <w:rPr>
          <w:rFonts w:ascii="Times New Roman" w:hAnsi="Times New Roman" w:cs="Times New Roman"/>
          <w:sz w:val="24"/>
          <w:szCs w:val="24"/>
          <w:shd w:val="clear" w:color="auto" w:fill="FFFFFF"/>
        </w:rPr>
        <w:t xml:space="preserve">. 2007. “Policy learning in Europe: the open method of co-ordination and laboratory federalism.” </w:t>
      </w:r>
      <w:r w:rsidRPr="002A7D9E">
        <w:rPr>
          <w:rFonts w:ascii="Times New Roman" w:hAnsi="Times New Roman" w:cs="Times New Roman"/>
          <w:i/>
          <w:sz w:val="24"/>
          <w:szCs w:val="24"/>
          <w:shd w:val="clear" w:color="auto" w:fill="FFFFFF"/>
        </w:rPr>
        <w:t>Journal of European Public Policy</w:t>
      </w:r>
      <w:r w:rsidRPr="002A7D9E">
        <w:rPr>
          <w:rFonts w:ascii="Times New Roman" w:hAnsi="Times New Roman" w:cs="Times New Roman"/>
          <w:sz w:val="24"/>
          <w:szCs w:val="24"/>
          <w:shd w:val="clear" w:color="auto" w:fill="FFFFFF"/>
        </w:rPr>
        <w:t xml:space="preserve"> 14(2): 227-247.</w:t>
      </w:r>
    </w:p>
    <w:p w:rsidR="006651C8" w:rsidRPr="002A7D9E" w:rsidRDefault="006651C8" w:rsidP="00C56505">
      <w:pPr>
        <w:spacing w:after="0" w:line="480" w:lineRule="auto"/>
        <w:rPr>
          <w:rFonts w:ascii="Times New Roman" w:hAnsi="Times New Roman" w:cs="Times New Roman"/>
          <w:sz w:val="24"/>
          <w:szCs w:val="24"/>
          <w:shd w:val="clear" w:color="auto" w:fill="FFFFFF"/>
        </w:rPr>
      </w:pPr>
    </w:p>
    <w:p w:rsidR="006651C8" w:rsidRPr="002A7D9E" w:rsidRDefault="006651C8" w:rsidP="00C56505">
      <w:pPr>
        <w:spacing w:after="0" w:line="480" w:lineRule="auto"/>
        <w:rPr>
          <w:rFonts w:ascii="Times New Roman" w:hAnsi="Times New Roman" w:cs="Times New Roman"/>
          <w:sz w:val="24"/>
          <w:szCs w:val="24"/>
          <w:shd w:val="clear" w:color="auto" w:fill="FFFFFF"/>
        </w:rPr>
      </w:pPr>
      <w:proofErr w:type="spellStart"/>
      <w:r w:rsidRPr="002A7D9E">
        <w:rPr>
          <w:rFonts w:ascii="Times New Roman" w:hAnsi="Times New Roman" w:cs="Times New Roman"/>
          <w:sz w:val="24"/>
          <w:szCs w:val="24"/>
        </w:rPr>
        <w:t>Klofsten</w:t>
      </w:r>
      <w:proofErr w:type="spellEnd"/>
      <w:r w:rsidRPr="002A7D9E">
        <w:rPr>
          <w:rFonts w:ascii="Times New Roman" w:hAnsi="Times New Roman" w:cs="Times New Roman"/>
          <w:sz w:val="24"/>
          <w:szCs w:val="24"/>
        </w:rPr>
        <w:t xml:space="preserve">, Magnus, Peter </w:t>
      </w:r>
      <w:proofErr w:type="spellStart"/>
      <w:r w:rsidRPr="002A7D9E">
        <w:rPr>
          <w:rFonts w:ascii="Times New Roman" w:hAnsi="Times New Roman" w:cs="Times New Roman"/>
          <w:sz w:val="24"/>
          <w:szCs w:val="24"/>
        </w:rPr>
        <w:t>Heydebreck</w:t>
      </w:r>
      <w:proofErr w:type="spellEnd"/>
      <w:r w:rsidRPr="002A7D9E">
        <w:rPr>
          <w:rFonts w:ascii="Times New Roman" w:hAnsi="Times New Roman" w:cs="Times New Roman"/>
          <w:sz w:val="24"/>
          <w:szCs w:val="24"/>
        </w:rPr>
        <w:t xml:space="preserve">, and Dylan Jones-Evans. 2010. “Transferring Good Practice Beyond Organizational Borders: Lessons from Transferring an Entrepreneurship Programme.” </w:t>
      </w:r>
      <w:r w:rsidRPr="002A7D9E">
        <w:rPr>
          <w:rFonts w:ascii="Times New Roman" w:hAnsi="Times New Roman" w:cs="Times New Roman"/>
          <w:i/>
          <w:sz w:val="24"/>
          <w:szCs w:val="24"/>
        </w:rPr>
        <w:t>Regional Studies</w:t>
      </w:r>
      <w:r w:rsidRPr="002A7D9E">
        <w:rPr>
          <w:rFonts w:ascii="Times New Roman" w:hAnsi="Times New Roman" w:cs="Times New Roman"/>
          <w:sz w:val="24"/>
          <w:szCs w:val="24"/>
        </w:rPr>
        <w:t xml:space="preserve"> 44(6): 791-799.</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Madden, Christopher. 2005. “Cross-country comparisons of cultural statistics: Issues and good practice.” </w:t>
      </w:r>
      <w:r w:rsidRPr="002A7D9E">
        <w:rPr>
          <w:rFonts w:ascii="Times New Roman" w:hAnsi="Times New Roman" w:cs="Times New Roman"/>
          <w:i/>
          <w:sz w:val="24"/>
          <w:szCs w:val="24"/>
        </w:rPr>
        <w:t>Cultural Trends</w:t>
      </w:r>
      <w:r w:rsidRPr="002A7D9E">
        <w:rPr>
          <w:rFonts w:ascii="Times New Roman" w:hAnsi="Times New Roman" w:cs="Times New Roman"/>
          <w:sz w:val="24"/>
          <w:szCs w:val="24"/>
        </w:rPr>
        <w:t xml:space="preserve"> 14(4): 299-316</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March, James G. and Johan P. Olsen. 2009. “The Logic of Appropriateness.” Arena Working Papers, Centre for European Studies, University of Oslo.</w:t>
      </w:r>
    </w:p>
    <w:p w:rsidR="006651C8" w:rsidRPr="002A7D9E" w:rsidRDefault="006651C8" w:rsidP="00C56505">
      <w:pPr>
        <w:spacing w:after="0" w:line="480" w:lineRule="auto"/>
        <w:rPr>
          <w:rFonts w:ascii="Times New Roman" w:hAnsi="Times New Roman" w:cs="Times New Roman"/>
          <w:sz w:val="24"/>
          <w:szCs w:val="24"/>
        </w:rPr>
      </w:pPr>
    </w:p>
    <w:p w:rsidR="00AB5C40" w:rsidRPr="002A7D9E" w:rsidRDefault="00AB5C40" w:rsidP="00C56505">
      <w:pPr>
        <w:spacing w:line="480" w:lineRule="auto"/>
      </w:pPr>
      <w:r w:rsidRPr="002A7D9E">
        <w:rPr>
          <w:bdr w:val="none" w:sz="0" w:space="0" w:color="auto" w:frame="1"/>
          <w:shd w:val="clear" w:color="auto" w:fill="FFFFFF"/>
        </w:rPr>
        <w:t xml:space="preserve">Mattocks, Kate (2017) </w:t>
      </w:r>
      <w:r w:rsidRPr="002A7D9E">
        <w:t>“A few sparks of inspiration”</w:t>
      </w:r>
      <w:proofErr w:type="gramStart"/>
      <w:r w:rsidRPr="002A7D9E">
        <w:t>?:</w:t>
      </w:r>
      <w:proofErr w:type="gramEnd"/>
      <w:r w:rsidRPr="002A7D9E">
        <w:t xml:space="preserve"> Analysing the outcomes of European Union cultural policy coordination. </w:t>
      </w:r>
      <w:r w:rsidRPr="002A7D9E">
        <w:rPr>
          <w:i/>
        </w:rPr>
        <w:t>European Politics &amp; Society</w:t>
      </w:r>
      <w:r w:rsidRPr="002A7D9E">
        <w:t xml:space="preserve">. Advanced online publication. </w:t>
      </w:r>
      <w:proofErr w:type="spellStart"/>
      <w:proofErr w:type="gramStart"/>
      <w:r w:rsidRPr="002A7D9E">
        <w:t>doi</w:t>
      </w:r>
      <w:proofErr w:type="spellEnd"/>
      <w:proofErr w:type="gramEnd"/>
      <w:r w:rsidRPr="002A7D9E">
        <w:t xml:space="preserve">: </w:t>
      </w:r>
      <w:r w:rsidRPr="002A7D9E">
        <w:rPr>
          <w:lang w:val="en"/>
        </w:rPr>
        <w:t>10.1080/23745118.2017.1303885.</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pStyle w:val="Default"/>
        <w:spacing w:line="480" w:lineRule="auto"/>
        <w:rPr>
          <w:rFonts w:ascii="Times New Roman" w:hAnsi="Times New Roman" w:cs="Times New Roman"/>
          <w:color w:val="auto"/>
        </w:rPr>
      </w:pPr>
      <w:r w:rsidRPr="002A7D9E">
        <w:rPr>
          <w:rFonts w:ascii="Times New Roman" w:hAnsi="Times New Roman" w:cs="Times New Roman"/>
          <w:color w:val="auto"/>
        </w:rPr>
        <w:t xml:space="preserve">McDonald, Kevin, </w:t>
      </w:r>
      <w:proofErr w:type="spellStart"/>
      <w:r w:rsidRPr="002A7D9E">
        <w:rPr>
          <w:rFonts w:ascii="Times New Roman" w:hAnsi="Times New Roman" w:cs="Times New Roman"/>
          <w:bCs/>
          <w:color w:val="auto"/>
        </w:rPr>
        <w:t>Neringa</w:t>
      </w:r>
      <w:proofErr w:type="spellEnd"/>
      <w:r w:rsidRPr="002A7D9E">
        <w:rPr>
          <w:rFonts w:ascii="Times New Roman" w:hAnsi="Times New Roman" w:cs="Times New Roman"/>
          <w:bCs/>
          <w:color w:val="auto"/>
        </w:rPr>
        <w:t xml:space="preserve"> </w:t>
      </w:r>
      <w:proofErr w:type="spellStart"/>
      <w:r w:rsidRPr="002A7D9E">
        <w:rPr>
          <w:rFonts w:ascii="Times New Roman" w:hAnsi="Times New Roman" w:cs="Times New Roman"/>
          <w:bCs/>
          <w:color w:val="auto"/>
        </w:rPr>
        <w:t>Mozuraityte</w:t>
      </w:r>
      <w:proofErr w:type="spellEnd"/>
      <w:r w:rsidRPr="002A7D9E">
        <w:rPr>
          <w:rFonts w:ascii="Times New Roman" w:hAnsi="Times New Roman" w:cs="Times New Roman"/>
          <w:bCs/>
          <w:color w:val="auto"/>
        </w:rPr>
        <w:t xml:space="preserve">, Laura </w:t>
      </w:r>
      <w:proofErr w:type="spellStart"/>
      <w:r w:rsidRPr="002A7D9E">
        <w:rPr>
          <w:rFonts w:ascii="Times New Roman" w:hAnsi="Times New Roman" w:cs="Times New Roman"/>
          <w:bCs/>
          <w:color w:val="auto"/>
        </w:rPr>
        <w:t>Veart</w:t>
      </w:r>
      <w:proofErr w:type="spellEnd"/>
      <w:r w:rsidRPr="002A7D9E">
        <w:rPr>
          <w:rFonts w:ascii="Times New Roman" w:hAnsi="Times New Roman" w:cs="Times New Roman"/>
          <w:bCs/>
          <w:color w:val="auto"/>
        </w:rPr>
        <w:t>, and Sandra Frost</w:t>
      </w:r>
      <w:r w:rsidRPr="002A7D9E">
        <w:rPr>
          <w:rFonts w:ascii="Times New Roman" w:hAnsi="Times New Roman" w:cs="Times New Roman"/>
          <w:color w:val="auto"/>
        </w:rPr>
        <w:t xml:space="preserve">. 2013a. Evaluation of the open method of coordination and the structured dialogue, as the Agenda for </w:t>
      </w:r>
      <w:proofErr w:type="gramStart"/>
      <w:r w:rsidRPr="002A7D9E">
        <w:rPr>
          <w:rFonts w:ascii="Times New Roman" w:hAnsi="Times New Roman" w:cs="Times New Roman"/>
          <w:color w:val="auto"/>
        </w:rPr>
        <w:t>culture’s</w:t>
      </w:r>
      <w:proofErr w:type="gramEnd"/>
      <w:r w:rsidRPr="002A7D9E">
        <w:rPr>
          <w:rFonts w:ascii="Times New Roman" w:hAnsi="Times New Roman" w:cs="Times New Roman"/>
          <w:color w:val="auto"/>
        </w:rPr>
        <w:t xml:space="preserve"> implementing tools at European Union level: final report for the European Commission Directorate-General for Culture and Education.</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lastRenderedPageBreak/>
        <w:t xml:space="preserve">McDonald, Kevin, </w:t>
      </w:r>
      <w:proofErr w:type="spellStart"/>
      <w:r w:rsidRPr="002A7D9E">
        <w:rPr>
          <w:rFonts w:ascii="Times New Roman" w:hAnsi="Times New Roman" w:cs="Times New Roman"/>
          <w:bCs/>
          <w:sz w:val="24"/>
          <w:szCs w:val="24"/>
        </w:rPr>
        <w:t>Neringa</w:t>
      </w:r>
      <w:proofErr w:type="spellEnd"/>
      <w:r w:rsidRPr="002A7D9E">
        <w:rPr>
          <w:rFonts w:ascii="Times New Roman" w:hAnsi="Times New Roman" w:cs="Times New Roman"/>
          <w:bCs/>
          <w:sz w:val="24"/>
          <w:szCs w:val="24"/>
        </w:rPr>
        <w:t xml:space="preserve"> </w:t>
      </w:r>
      <w:proofErr w:type="spellStart"/>
      <w:r w:rsidRPr="002A7D9E">
        <w:rPr>
          <w:rFonts w:ascii="Times New Roman" w:hAnsi="Times New Roman" w:cs="Times New Roman"/>
          <w:bCs/>
          <w:sz w:val="24"/>
          <w:szCs w:val="24"/>
        </w:rPr>
        <w:t>Mozuraityte</w:t>
      </w:r>
      <w:proofErr w:type="spellEnd"/>
      <w:r w:rsidRPr="002A7D9E">
        <w:rPr>
          <w:rFonts w:ascii="Times New Roman" w:hAnsi="Times New Roman" w:cs="Times New Roman"/>
          <w:bCs/>
          <w:sz w:val="24"/>
          <w:szCs w:val="24"/>
        </w:rPr>
        <w:t xml:space="preserve">, Laura </w:t>
      </w:r>
      <w:proofErr w:type="spellStart"/>
      <w:r w:rsidRPr="002A7D9E">
        <w:rPr>
          <w:rFonts w:ascii="Times New Roman" w:hAnsi="Times New Roman" w:cs="Times New Roman"/>
          <w:bCs/>
          <w:sz w:val="24"/>
          <w:szCs w:val="24"/>
        </w:rPr>
        <w:t>Veart</w:t>
      </w:r>
      <w:proofErr w:type="spellEnd"/>
      <w:r w:rsidRPr="002A7D9E">
        <w:rPr>
          <w:rFonts w:ascii="Times New Roman" w:hAnsi="Times New Roman" w:cs="Times New Roman"/>
          <w:bCs/>
          <w:sz w:val="24"/>
          <w:szCs w:val="24"/>
        </w:rPr>
        <w:t>, and Sandra Frost</w:t>
      </w:r>
      <w:r w:rsidRPr="002A7D9E">
        <w:rPr>
          <w:rFonts w:ascii="Times New Roman" w:hAnsi="Times New Roman" w:cs="Times New Roman"/>
          <w:sz w:val="24"/>
          <w:szCs w:val="24"/>
        </w:rPr>
        <w:t xml:space="preserve">. 2013b. Evaluation of the Agenda for </w:t>
      </w:r>
      <w:proofErr w:type="gramStart"/>
      <w:r w:rsidRPr="002A7D9E">
        <w:rPr>
          <w:rFonts w:ascii="Times New Roman" w:hAnsi="Times New Roman" w:cs="Times New Roman"/>
          <w:sz w:val="24"/>
          <w:szCs w:val="24"/>
        </w:rPr>
        <w:t>Culture’s</w:t>
      </w:r>
      <w:proofErr w:type="gramEnd"/>
      <w:r w:rsidRPr="002A7D9E">
        <w:rPr>
          <w:rFonts w:ascii="Times New Roman" w:hAnsi="Times New Roman" w:cs="Times New Roman"/>
          <w:sz w:val="24"/>
          <w:szCs w:val="24"/>
        </w:rPr>
        <w:t xml:space="preserve"> implementing tools at EU level: annexes.</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Peters, B. Guy. 1998. </w:t>
      </w:r>
      <w:r w:rsidRPr="002A7D9E">
        <w:rPr>
          <w:rFonts w:ascii="Times New Roman" w:hAnsi="Times New Roman" w:cs="Times New Roman"/>
          <w:i/>
          <w:sz w:val="24"/>
          <w:szCs w:val="24"/>
        </w:rPr>
        <w:t>Comparative Politics: Theory and Methods</w:t>
      </w:r>
      <w:r w:rsidRPr="002A7D9E">
        <w:rPr>
          <w:rFonts w:ascii="Times New Roman" w:hAnsi="Times New Roman" w:cs="Times New Roman"/>
          <w:sz w:val="24"/>
          <w:szCs w:val="24"/>
        </w:rPr>
        <w:t xml:space="preserve">. New York: New York University Press. </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Pratt, Andy C. 2009. “Policy transfer and the field of the cultural and creative industries: learning from Europe?” In </w:t>
      </w:r>
      <w:hyperlink r:id="rId14" w:tooltip="http://www.springer.com/geography/human+geography/book/978-1-4020-9948-9" w:history="1">
        <w:r w:rsidRPr="002A7D9E">
          <w:rPr>
            <w:rFonts w:ascii="Times New Roman" w:hAnsi="Times New Roman" w:cs="Times New Roman"/>
            <w:i/>
            <w:sz w:val="24"/>
            <w:szCs w:val="24"/>
          </w:rPr>
          <w:t>Creative Economies, Creative Cities: Asian-European Perspectives</w:t>
        </w:r>
      </w:hyperlink>
      <w:r w:rsidRPr="002A7D9E">
        <w:rPr>
          <w:rFonts w:ascii="Times New Roman" w:hAnsi="Times New Roman" w:cs="Times New Roman"/>
          <w:i/>
          <w:sz w:val="24"/>
          <w:szCs w:val="24"/>
        </w:rPr>
        <w:t xml:space="preserve">, </w:t>
      </w:r>
      <w:r w:rsidRPr="002A7D9E">
        <w:rPr>
          <w:rFonts w:ascii="Times New Roman" w:hAnsi="Times New Roman" w:cs="Times New Roman"/>
          <w:sz w:val="24"/>
          <w:szCs w:val="24"/>
        </w:rPr>
        <w:t>edited by Lily Kong and Justin O’Connor, 9-23. Heidelberg: Springer.</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t xml:space="preserve">Pratt, Andy C. 2012. The Cultural and Creative Industries: Organisational and Spatial Challenges to their Governance. </w:t>
      </w:r>
      <w:r w:rsidRPr="002A7D9E">
        <w:rPr>
          <w:rFonts w:ascii="Times New Roman" w:hAnsi="Times New Roman" w:cs="Times New Roman"/>
          <w:i/>
          <w:sz w:val="24"/>
          <w:szCs w:val="24"/>
        </w:rPr>
        <w:t xml:space="preserve">Die </w:t>
      </w:r>
      <w:proofErr w:type="spellStart"/>
      <w:r w:rsidRPr="002A7D9E">
        <w:rPr>
          <w:rFonts w:ascii="Times New Roman" w:hAnsi="Times New Roman" w:cs="Times New Roman"/>
          <w:i/>
          <w:sz w:val="24"/>
          <w:szCs w:val="24"/>
        </w:rPr>
        <w:t>Erde</w:t>
      </w:r>
      <w:proofErr w:type="spellEnd"/>
      <w:r w:rsidRPr="002A7D9E">
        <w:rPr>
          <w:rFonts w:ascii="Times New Roman" w:hAnsi="Times New Roman" w:cs="Times New Roman"/>
          <w:sz w:val="24"/>
          <w:szCs w:val="24"/>
        </w:rPr>
        <w:t xml:space="preserve"> 143(4): 41-58.</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proofErr w:type="spellStart"/>
      <w:r w:rsidRPr="002A7D9E">
        <w:rPr>
          <w:rFonts w:ascii="Times New Roman" w:hAnsi="Times New Roman" w:cs="Times New Roman"/>
          <w:sz w:val="24"/>
          <w:szCs w:val="24"/>
        </w:rPr>
        <w:t>Radaelli</w:t>
      </w:r>
      <w:proofErr w:type="spellEnd"/>
      <w:r w:rsidRPr="002A7D9E">
        <w:rPr>
          <w:rFonts w:ascii="Times New Roman" w:hAnsi="Times New Roman" w:cs="Times New Roman"/>
          <w:sz w:val="24"/>
          <w:szCs w:val="24"/>
        </w:rPr>
        <w:t>, Claudio. 2003. The Open Method of Coordination: A New Governance Architecture for the European Union? Report for Swedish Institute for European Policy Studies (SIEPS), Stockholm.</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bCs/>
          <w:sz w:val="24"/>
          <w:szCs w:val="24"/>
        </w:rPr>
      </w:pPr>
      <w:proofErr w:type="spellStart"/>
      <w:r w:rsidRPr="002A7D9E">
        <w:rPr>
          <w:rFonts w:ascii="Times New Roman" w:hAnsi="Times New Roman" w:cs="Times New Roman"/>
          <w:sz w:val="24"/>
          <w:szCs w:val="24"/>
        </w:rPr>
        <w:t>Radaelli</w:t>
      </w:r>
      <w:proofErr w:type="spellEnd"/>
      <w:r w:rsidRPr="002A7D9E">
        <w:rPr>
          <w:rFonts w:ascii="Times New Roman" w:hAnsi="Times New Roman" w:cs="Times New Roman"/>
          <w:sz w:val="24"/>
          <w:szCs w:val="24"/>
        </w:rPr>
        <w:t>, Claudio. 2004. “</w:t>
      </w:r>
      <w:r w:rsidRPr="002A7D9E">
        <w:rPr>
          <w:rFonts w:ascii="Times New Roman" w:hAnsi="Times New Roman" w:cs="Times New Roman"/>
          <w:bCs/>
          <w:sz w:val="24"/>
          <w:szCs w:val="24"/>
        </w:rPr>
        <w:t>The diffusion of regulatory impact analysis – Best practice or lesson-drawing?”</w:t>
      </w:r>
      <w:r w:rsidRPr="002A7D9E">
        <w:rPr>
          <w:rFonts w:ascii="Times New Roman" w:hAnsi="Times New Roman" w:cs="Times New Roman"/>
          <w:sz w:val="24"/>
          <w:szCs w:val="24"/>
        </w:rPr>
        <w:t xml:space="preserve"> </w:t>
      </w:r>
      <w:r w:rsidRPr="002A7D9E">
        <w:rPr>
          <w:rFonts w:ascii="Times New Roman" w:hAnsi="Times New Roman" w:cs="Times New Roman"/>
          <w:i/>
          <w:iCs/>
          <w:sz w:val="24"/>
          <w:szCs w:val="24"/>
        </w:rPr>
        <w:t xml:space="preserve">European Journal of Political Research </w:t>
      </w:r>
      <w:r w:rsidRPr="002A7D9E">
        <w:rPr>
          <w:rFonts w:ascii="Times New Roman" w:hAnsi="Times New Roman" w:cs="Times New Roman"/>
          <w:bCs/>
          <w:sz w:val="24"/>
          <w:szCs w:val="24"/>
        </w:rPr>
        <w:t>43(5)</w:t>
      </w:r>
      <w:r w:rsidRPr="002A7D9E">
        <w:rPr>
          <w:rFonts w:ascii="Times New Roman" w:hAnsi="Times New Roman" w:cs="Times New Roman"/>
          <w:sz w:val="24"/>
          <w:szCs w:val="24"/>
        </w:rPr>
        <w:t>: 723-747.</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spacing w:after="0" w:line="480" w:lineRule="auto"/>
        <w:rPr>
          <w:rFonts w:ascii="Times New Roman" w:hAnsi="Times New Roman" w:cs="Times New Roman"/>
          <w:sz w:val="24"/>
          <w:szCs w:val="24"/>
        </w:rPr>
      </w:pPr>
      <w:r w:rsidRPr="002A7D9E">
        <w:rPr>
          <w:rFonts w:ascii="Times New Roman" w:hAnsi="Times New Roman" w:cs="Times New Roman"/>
          <w:sz w:val="24"/>
          <w:szCs w:val="24"/>
        </w:rPr>
        <w:lastRenderedPageBreak/>
        <w:t xml:space="preserve">Rose, Richard. 2005. </w:t>
      </w:r>
      <w:r w:rsidRPr="002A7D9E">
        <w:rPr>
          <w:rFonts w:ascii="Times New Roman" w:hAnsi="Times New Roman" w:cs="Times New Roman"/>
          <w:i/>
          <w:sz w:val="24"/>
          <w:szCs w:val="24"/>
        </w:rPr>
        <w:t>Learning from Comparative Public Policy: A practical guide</w:t>
      </w:r>
      <w:r w:rsidRPr="002A7D9E">
        <w:rPr>
          <w:rFonts w:ascii="Times New Roman" w:hAnsi="Times New Roman" w:cs="Times New Roman"/>
          <w:sz w:val="24"/>
          <w:szCs w:val="24"/>
        </w:rPr>
        <w:t>. Abingdon: Routledge.</w:t>
      </w:r>
    </w:p>
    <w:p w:rsidR="006651C8" w:rsidRPr="002A7D9E" w:rsidRDefault="006651C8" w:rsidP="00C56505">
      <w:pPr>
        <w:spacing w:after="0" w:line="480" w:lineRule="auto"/>
        <w:rPr>
          <w:rFonts w:ascii="Times New Roman" w:hAnsi="Times New Roman" w:cs="Times New Roman"/>
          <w:sz w:val="24"/>
          <w:szCs w:val="24"/>
        </w:rPr>
      </w:pPr>
    </w:p>
    <w:p w:rsidR="006651C8" w:rsidRPr="002A7D9E" w:rsidRDefault="006651C8" w:rsidP="00C56505">
      <w:pPr>
        <w:autoSpaceDE w:val="0"/>
        <w:autoSpaceDN w:val="0"/>
        <w:adjustRightInd w:val="0"/>
        <w:spacing w:after="0" w:line="480" w:lineRule="auto"/>
        <w:rPr>
          <w:rFonts w:ascii="Times New Roman" w:hAnsi="Times New Roman" w:cs="Times New Roman"/>
          <w:sz w:val="24"/>
          <w:szCs w:val="24"/>
          <w:shd w:val="clear" w:color="auto" w:fill="FFFFFF"/>
        </w:rPr>
      </w:pPr>
      <w:proofErr w:type="spellStart"/>
      <w:r w:rsidRPr="002A7D9E">
        <w:rPr>
          <w:rFonts w:ascii="Times New Roman" w:hAnsi="Times New Roman" w:cs="Times New Roman"/>
          <w:sz w:val="24"/>
          <w:szCs w:val="24"/>
          <w:shd w:val="clear" w:color="auto" w:fill="FFFFFF"/>
        </w:rPr>
        <w:t>Schäfer</w:t>
      </w:r>
      <w:proofErr w:type="spellEnd"/>
      <w:r w:rsidRPr="002A7D9E">
        <w:rPr>
          <w:rFonts w:ascii="Times New Roman" w:hAnsi="Times New Roman" w:cs="Times New Roman"/>
          <w:sz w:val="24"/>
          <w:szCs w:val="24"/>
          <w:shd w:val="clear" w:color="auto" w:fill="FFFFFF"/>
        </w:rPr>
        <w:t>, Armin. 2004. “</w:t>
      </w:r>
      <w:r w:rsidRPr="002A7D9E">
        <w:rPr>
          <w:rFonts w:ascii="Times New Roman" w:hAnsi="Times New Roman" w:cs="Times New Roman"/>
          <w:bCs/>
          <w:sz w:val="24"/>
          <w:szCs w:val="24"/>
        </w:rPr>
        <w:t xml:space="preserve">Beyond the Community Method: Why the Open Method of Coordination Was Introduced to EU Policy-making.” </w:t>
      </w:r>
      <w:r w:rsidRPr="002A7D9E">
        <w:rPr>
          <w:rFonts w:ascii="Times New Roman" w:hAnsi="Times New Roman" w:cs="Times New Roman"/>
          <w:i/>
          <w:sz w:val="24"/>
          <w:szCs w:val="24"/>
        </w:rPr>
        <w:t>European Integration online Papers (</w:t>
      </w:r>
      <w:proofErr w:type="spellStart"/>
      <w:r w:rsidRPr="002A7D9E">
        <w:rPr>
          <w:rFonts w:ascii="Times New Roman" w:hAnsi="Times New Roman" w:cs="Times New Roman"/>
          <w:i/>
          <w:sz w:val="24"/>
          <w:szCs w:val="24"/>
        </w:rPr>
        <w:t>EIoP</w:t>
      </w:r>
      <w:proofErr w:type="spellEnd"/>
      <w:r w:rsidRPr="002A7D9E">
        <w:rPr>
          <w:rFonts w:ascii="Times New Roman" w:hAnsi="Times New Roman" w:cs="Times New Roman"/>
          <w:i/>
          <w:sz w:val="24"/>
          <w:szCs w:val="24"/>
        </w:rPr>
        <w:t>)</w:t>
      </w:r>
      <w:r w:rsidRPr="002A7D9E">
        <w:rPr>
          <w:rFonts w:ascii="Times New Roman" w:hAnsi="Times New Roman" w:cs="Times New Roman"/>
          <w:sz w:val="24"/>
          <w:szCs w:val="24"/>
        </w:rPr>
        <w:t xml:space="preserve"> 8. Accessed 3 June 2016.</w:t>
      </w:r>
      <w:r w:rsidRPr="002A7D9E">
        <w:rPr>
          <w:rFonts w:ascii="Times New Roman" w:hAnsi="Times New Roman" w:cs="Times New Roman"/>
          <w:sz w:val="24"/>
          <w:szCs w:val="24"/>
          <w:shd w:val="clear" w:color="auto" w:fill="FFFFFF"/>
        </w:rPr>
        <w:t xml:space="preserve"> </w:t>
      </w:r>
      <w:hyperlink r:id="rId15" w:history="1">
        <w:r w:rsidRPr="002A7D9E">
          <w:rPr>
            <w:rStyle w:val="Hyperlink"/>
            <w:rFonts w:ascii="Times New Roman" w:hAnsi="Times New Roman" w:cs="Times New Roman"/>
            <w:color w:val="auto"/>
            <w:sz w:val="24"/>
            <w:szCs w:val="24"/>
            <w:shd w:val="clear" w:color="auto" w:fill="FFFFFF"/>
          </w:rPr>
          <w:t>http://eiop.or.at/eiop/pdf/2004-013.pdf</w:t>
        </w:r>
      </w:hyperlink>
      <w:r w:rsidRPr="002A7D9E">
        <w:rPr>
          <w:rFonts w:ascii="Times New Roman" w:hAnsi="Times New Roman" w:cs="Times New Roman"/>
          <w:sz w:val="24"/>
          <w:szCs w:val="24"/>
          <w:shd w:val="clear" w:color="auto" w:fill="FFFFFF"/>
        </w:rPr>
        <w:t>.</w:t>
      </w:r>
    </w:p>
    <w:p w:rsidR="006651C8" w:rsidRPr="002A7D9E" w:rsidRDefault="006651C8" w:rsidP="00C56505">
      <w:pPr>
        <w:spacing w:after="0" w:line="480" w:lineRule="auto"/>
        <w:rPr>
          <w:rFonts w:ascii="Times New Roman" w:hAnsi="Times New Roman" w:cs="Times New Roman"/>
          <w:sz w:val="24"/>
          <w:szCs w:val="24"/>
        </w:rPr>
      </w:pPr>
    </w:p>
    <w:p w:rsidR="006714B5" w:rsidRPr="002A7D9E" w:rsidRDefault="006651C8" w:rsidP="00C56505">
      <w:pPr>
        <w:spacing w:after="0" w:line="480" w:lineRule="auto"/>
        <w:rPr>
          <w:rFonts w:ascii="Times New Roman" w:hAnsi="Times New Roman" w:cs="Times New Roman"/>
          <w:sz w:val="24"/>
          <w:szCs w:val="24"/>
          <w:shd w:val="clear" w:color="auto" w:fill="FFFFFF"/>
        </w:rPr>
      </w:pPr>
      <w:r w:rsidRPr="002A7D9E">
        <w:rPr>
          <w:rFonts w:ascii="Times New Roman" w:hAnsi="Times New Roman" w:cs="Times New Roman"/>
          <w:sz w:val="24"/>
          <w:szCs w:val="24"/>
          <w:shd w:val="clear" w:color="auto" w:fill="FFFFFF"/>
        </w:rPr>
        <w:t>Schmidt, Vivien A.</w:t>
      </w:r>
      <w:r w:rsidR="00221914" w:rsidRPr="002A7D9E">
        <w:rPr>
          <w:rFonts w:ascii="Times New Roman" w:hAnsi="Times New Roman" w:cs="Times New Roman"/>
          <w:sz w:val="24"/>
          <w:szCs w:val="24"/>
          <w:shd w:val="clear" w:color="auto" w:fill="FFFFFF"/>
        </w:rPr>
        <w:t xml:space="preserve">, and Claudio M. </w:t>
      </w:r>
      <w:proofErr w:type="spellStart"/>
      <w:r w:rsidR="00221914" w:rsidRPr="002A7D9E">
        <w:rPr>
          <w:rFonts w:ascii="Times New Roman" w:hAnsi="Times New Roman" w:cs="Times New Roman"/>
          <w:sz w:val="24"/>
          <w:szCs w:val="24"/>
          <w:shd w:val="clear" w:color="auto" w:fill="FFFFFF"/>
        </w:rPr>
        <w:t>Radaelli</w:t>
      </w:r>
      <w:proofErr w:type="spellEnd"/>
      <w:r w:rsidR="00221914" w:rsidRPr="002A7D9E">
        <w:rPr>
          <w:rFonts w:ascii="Times New Roman" w:hAnsi="Times New Roman" w:cs="Times New Roman"/>
          <w:sz w:val="24"/>
          <w:szCs w:val="24"/>
          <w:shd w:val="clear" w:color="auto" w:fill="FFFFFF"/>
        </w:rPr>
        <w:t>. 2004</w:t>
      </w:r>
      <w:r w:rsidRPr="002A7D9E">
        <w:rPr>
          <w:rFonts w:ascii="Times New Roman" w:hAnsi="Times New Roman" w:cs="Times New Roman"/>
          <w:sz w:val="24"/>
          <w:szCs w:val="24"/>
          <w:shd w:val="clear" w:color="auto" w:fill="FFFFFF"/>
        </w:rPr>
        <w:t xml:space="preserve">. “Conclusions.” </w:t>
      </w:r>
      <w:r w:rsidRPr="002A7D9E">
        <w:rPr>
          <w:rFonts w:ascii="Times New Roman" w:hAnsi="Times New Roman" w:cs="Times New Roman"/>
          <w:i/>
          <w:sz w:val="24"/>
          <w:szCs w:val="24"/>
          <w:shd w:val="clear" w:color="auto" w:fill="FFFFFF"/>
        </w:rPr>
        <w:t>West European Politics</w:t>
      </w:r>
      <w:r w:rsidRPr="002A7D9E">
        <w:rPr>
          <w:rFonts w:ascii="Times New Roman" w:hAnsi="Times New Roman" w:cs="Times New Roman"/>
          <w:sz w:val="24"/>
          <w:szCs w:val="24"/>
          <w:shd w:val="clear" w:color="auto" w:fill="FFFFFF"/>
        </w:rPr>
        <w:t xml:space="preserve"> 27(2): 364-379.</w:t>
      </w:r>
    </w:p>
    <w:p w:rsidR="006714B5" w:rsidRPr="002A7D9E" w:rsidRDefault="006714B5" w:rsidP="00562A8C">
      <w:pPr>
        <w:spacing w:after="0" w:line="276" w:lineRule="auto"/>
        <w:rPr>
          <w:rFonts w:ascii="Times New Roman" w:hAnsi="Times New Roman" w:cs="Times New Roman"/>
          <w:sz w:val="24"/>
          <w:szCs w:val="24"/>
        </w:rPr>
      </w:pPr>
    </w:p>
    <w:sectPr w:rsidR="006714B5" w:rsidRPr="002A7D9E" w:rsidSect="00A74DB6">
      <w:pgSz w:w="11906" w:h="16838"/>
      <w:pgMar w:top="2160" w:right="2160" w:bottom="216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A4" w:rsidRDefault="00777DA4" w:rsidP="008F68EC">
      <w:pPr>
        <w:spacing w:after="0" w:line="240" w:lineRule="auto"/>
      </w:pPr>
      <w:r>
        <w:separator/>
      </w:r>
    </w:p>
  </w:endnote>
  <w:endnote w:type="continuationSeparator" w:id="0">
    <w:p w:rsidR="00777DA4" w:rsidRDefault="00777DA4" w:rsidP="008F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JMLVG+Futura">
    <w:altName w:val="Futu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elveticaNeueCE-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A4" w:rsidRDefault="00777DA4" w:rsidP="008F68EC">
      <w:pPr>
        <w:spacing w:after="0" w:line="240" w:lineRule="auto"/>
      </w:pPr>
      <w:r>
        <w:separator/>
      </w:r>
    </w:p>
  </w:footnote>
  <w:footnote w:type="continuationSeparator" w:id="0">
    <w:p w:rsidR="00777DA4" w:rsidRDefault="00777DA4" w:rsidP="008F68EC">
      <w:pPr>
        <w:spacing w:after="0" w:line="240" w:lineRule="auto"/>
      </w:pPr>
      <w:r>
        <w:continuationSeparator/>
      </w:r>
    </w:p>
  </w:footnote>
  <w:footnote w:id="1">
    <w:p w:rsidR="00BB39FC" w:rsidRDefault="00BB39FC" w:rsidP="00B72014">
      <w:pPr>
        <w:autoSpaceDE w:val="0"/>
        <w:autoSpaceDN w:val="0"/>
        <w:adjustRightInd w:val="0"/>
        <w:spacing w:after="0" w:line="240" w:lineRule="auto"/>
      </w:pPr>
      <w:r w:rsidRPr="00B72014">
        <w:rPr>
          <w:rStyle w:val="FootnoteReference"/>
          <w:rFonts w:ascii="Times New Roman" w:hAnsi="Times New Roman" w:cs="Times New Roman"/>
          <w:sz w:val="20"/>
          <w:szCs w:val="20"/>
        </w:rPr>
        <w:footnoteRef/>
      </w:r>
      <w:r w:rsidR="00B72014" w:rsidRPr="00B72014">
        <w:rPr>
          <w:rFonts w:ascii="Times New Roman" w:hAnsi="Times New Roman" w:cs="Times New Roman"/>
          <w:sz w:val="20"/>
          <w:szCs w:val="20"/>
        </w:rPr>
        <w:t xml:space="preserve"> This priority area </w:t>
      </w:r>
      <w:r w:rsidR="00B72014" w:rsidRPr="00B72014">
        <w:rPr>
          <w:rFonts w:ascii="Times New Roman" w:eastAsia="CIDFont+F3" w:hAnsi="Times New Roman" w:cs="Times New Roman"/>
          <w:sz w:val="20"/>
          <w:szCs w:val="20"/>
        </w:rPr>
        <w:t xml:space="preserve">was chosen as a case study because of its interconnectedness with European cultural identity and diversity, which has come to be a symbolic, </w:t>
      </w:r>
      <w:proofErr w:type="gramStart"/>
      <w:r w:rsidR="00B72014" w:rsidRPr="00B72014">
        <w:rPr>
          <w:rFonts w:ascii="Times New Roman" w:eastAsia="CIDFont+F3" w:hAnsi="Times New Roman" w:cs="Times New Roman"/>
          <w:sz w:val="20"/>
          <w:szCs w:val="20"/>
        </w:rPr>
        <w:t>politically-charged</w:t>
      </w:r>
      <w:proofErr w:type="gramEnd"/>
      <w:r w:rsidR="00B72014" w:rsidRPr="00B72014">
        <w:rPr>
          <w:rFonts w:ascii="Times New Roman" w:eastAsia="CIDFont+F3" w:hAnsi="Times New Roman" w:cs="Times New Roman"/>
          <w:sz w:val="20"/>
          <w:szCs w:val="20"/>
        </w:rPr>
        <w:t>, and strategic narrative for the EU</w:t>
      </w:r>
      <w:r w:rsidR="00B72014">
        <w:rPr>
          <w:rFonts w:ascii="Times New Roman" w:eastAsia="CIDFont+F3" w:hAnsi="Times New Roman" w:cs="Times New Roman"/>
          <w:sz w:val="20"/>
          <w:szCs w:val="20"/>
        </w:rPr>
        <w:t>. The objective was</w:t>
      </w:r>
      <w:r w:rsidR="00B72014" w:rsidRPr="00B72014">
        <w:rPr>
          <w:rFonts w:ascii="Times New Roman" w:eastAsia="CIDFont+F3" w:hAnsi="Times New Roman" w:cs="Times New Roman"/>
          <w:sz w:val="20"/>
          <w:szCs w:val="20"/>
        </w:rPr>
        <w:t xml:space="preserve"> to gain more insight into the politics of European cultural identity and diversity and how these issues</w:t>
      </w:r>
      <w:r w:rsidR="00B72014">
        <w:rPr>
          <w:rFonts w:ascii="Times New Roman" w:eastAsia="CIDFont+F3" w:hAnsi="Times New Roman" w:cs="Times New Roman"/>
          <w:sz w:val="20"/>
          <w:szCs w:val="20"/>
        </w:rPr>
        <w:t xml:space="preserve"> </w:t>
      </w:r>
      <w:proofErr w:type="gramStart"/>
      <w:r w:rsidR="00B72014">
        <w:rPr>
          <w:rFonts w:ascii="Times New Roman" w:eastAsia="CIDFont+F3" w:hAnsi="Times New Roman" w:cs="Times New Roman"/>
          <w:sz w:val="20"/>
          <w:szCs w:val="20"/>
        </w:rPr>
        <w:t>are conceptualiz</w:t>
      </w:r>
      <w:r w:rsidR="00B72014" w:rsidRPr="00B72014">
        <w:rPr>
          <w:rFonts w:ascii="Times New Roman" w:eastAsia="CIDFont+F3" w:hAnsi="Times New Roman" w:cs="Times New Roman"/>
          <w:sz w:val="20"/>
          <w:szCs w:val="20"/>
        </w:rPr>
        <w:t>ed</w:t>
      </w:r>
      <w:proofErr w:type="gramEnd"/>
      <w:r w:rsidR="00B72014" w:rsidRPr="00B72014">
        <w:rPr>
          <w:rFonts w:ascii="Times New Roman" w:eastAsia="CIDFont+F3" w:hAnsi="Times New Roman" w:cs="Times New Roman"/>
          <w:sz w:val="20"/>
          <w:szCs w:val="20"/>
        </w:rPr>
        <w:t xml:space="preserve"> </w:t>
      </w:r>
      <w:r w:rsidR="00B72014">
        <w:rPr>
          <w:rFonts w:ascii="Times New Roman" w:eastAsia="CIDFont+F3" w:hAnsi="Times New Roman" w:cs="Times New Roman"/>
          <w:sz w:val="20"/>
          <w:szCs w:val="20"/>
        </w:rPr>
        <w:t>in a supranational context.</w:t>
      </w:r>
    </w:p>
  </w:footnote>
  <w:footnote w:id="2">
    <w:p w:rsidR="00414F89" w:rsidRDefault="00414F89">
      <w:pPr>
        <w:pStyle w:val="FootnoteText"/>
      </w:pPr>
      <w:r>
        <w:rPr>
          <w:rStyle w:val="FootnoteReference"/>
        </w:rPr>
        <w:footnoteRef/>
      </w:r>
      <w:r>
        <w:t xml:space="preserve"> Note that the </w:t>
      </w:r>
      <w:proofErr w:type="gramStart"/>
      <w:r>
        <w:t xml:space="preserve">terminology of best/good practices is used interchangeably by the </w:t>
      </w:r>
      <w:r w:rsidR="008448E1">
        <w:t xml:space="preserve">European </w:t>
      </w:r>
      <w:r>
        <w:t>Commission and the participating experts</w:t>
      </w:r>
      <w:proofErr w:type="gramEnd"/>
      <w:r>
        <w:t>.</w:t>
      </w:r>
    </w:p>
  </w:footnote>
  <w:footnote w:id="3">
    <w:p w:rsidR="007500A8" w:rsidRPr="00D510E0" w:rsidRDefault="007500A8" w:rsidP="007500A8">
      <w:pPr>
        <w:pStyle w:val="FootnoteText"/>
      </w:pPr>
      <w:r w:rsidRPr="00D510E0">
        <w:rPr>
          <w:rStyle w:val="FootnoteReference"/>
        </w:rPr>
        <w:footnoteRef/>
      </w:r>
      <w:r w:rsidRPr="00D510E0">
        <w:t xml:space="preserve"> Interviewees at the EU were initially contacted via heads of unit and then progressively via the snowball method. Member Sta</w:t>
      </w:r>
      <w:r>
        <w:t xml:space="preserve">te experts and invited experts </w:t>
      </w:r>
      <w:r w:rsidRPr="00D510E0">
        <w:t xml:space="preserve">were contacted via email using a </w:t>
      </w:r>
      <w:proofErr w:type="gramStart"/>
      <w:r w:rsidRPr="00D510E0">
        <w:t>publically-available</w:t>
      </w:r>
      <w:proofErr w:type="gramEnd"/>
      <w:r w:rsidRPr="00D510E0">
        <w:t xml:space="preserve"> participant list published in each OMC report. </w:t>
      </w:r>
    </w:p>
  </w:footnote>
  <w:footnote w:id="4">
    <w:p w:rsidR="00C55FBE" w:rsidRPr="00D510E0" w:rsidRDefault="00C55FBE" w:rsidP="00C55FBE">
      <w:pPr>
        <w:pStyle w:val="FootnoteText"/>
      </w:pPr>
      <w:r w:rsidRPr="00D510E0">
        <w:rPr>
          <w:rStyle w:val="FootnoteReference"/>
        </w:rPr>
        <w:footnoteRef/>
      </w:r>
      <w:r w:rsidRPr="00D510E0">
        <w:t xml:space="preserve"> </w:t>
      </w:r>
      <w:r w:rsidR="008B25EC">
        <w:t>Subsidiarity</w:t>
      </w:r>
      <w:r w:rsidRPr="00D510E0">
        <w:t xml:space="preserve"> is a principle of EU law. It says that the EU will only become involved in a policy area if it is deemed the best ‘level’ of government to do so, i.e. </w:t>
      </w:r>
      <w:r>
        <w:t xml:space="preserve">that </w:t>
      </w:r>
      <w:r w:rsidRPr="00D510E0">
        <w:t>Member States acting on their own is insufficient.</w:t>
      </w:r>
    </w:p>
  </w:footnote>
  <w:footnote w:id="5">
    <w:p w:rsidR="008F12A4" w:rsidRPr="008F12A4" w:rsidRDefault="008F12A4" w:rsidP="008F12A4">
      <w:pPr>
        <w:spacing w:after="0" w:line="240" w:lineRule="auto"/>
        <w:rPr>
          <w:rFonts w:ascii="Times New Roman" w:hAnsi="Times New Roman" w:cs="Times New Roman"/>
          <w:color w:val="C00000"/>
          <w:sz w:val="20"/>
          <w:szCs w:val="20"/>
        </w:rPr>
      </w:pPr>
      <w:r w:rsidRPr="00B02098">
        <w:rPr>
          <w:rStyle w:val="FootnoteReference"/>
          <w:rFonts w:ascii="Times New Roman" w:hAnsi="Times New Roman" w:cs="Times New Roman"/>
          <w:sz w:val="20"/>
          <w:szCs w:val="20"/>
        </w:rPr>
        <w:footnoteRef/>
      </w:r>
      <w:r w:rsidRPr="00B02098">
        <w:rPr>
          <w:rFonts w:ascii="Times New Roman" w:hAnsi="Times New Roman" w:cs="Times New Roman"/>
          <w:sz w:val="20"/>
          <w:szCs w:val="20"/>
        </w:rPr>
        <w:t xml:space="preserve"> </w:t>
      </w:r>
      <w:r w:rsidR="00B844B1">
        <w:rPr>
          <w:rFonts w:ascii="Times New Roman" w:hAnsi="Times New Roman" w:cs="Times New Roman"/>
          <w:sz w:val="20"/>
          <w:szCs w:val="20"/>
        </w:rPr>
        <w:t>T</w:t>
      </w:r>
      <w:r w:rsidRPr="00B02098">
        <w:rPr>
          <w:rFonts w:ascii="Times New Roman" w:hAnsi="Times New Roman" w:cs="Times New Roman"/>
          <w:sz w:val="20"/>
          <w:szCs w:val="20"/>
        </w:rPr>
        <w:t xml:space="preserve">he </w:t>
      </w:r>
      <w:r w:rsidR="00B844B1">
        <w:rPr>
          <w:rFonts w:ascii="Times New Roman" w:hAnsi="Times New Roman" w:cs="Times New Roman"/>
          <w:sz w:val="20"/>
          <w:szCs w:val="20"/>
        </w:rPr>
        <w:t>OMC</w:t>
      </w:r>
      <w:r w:rsidRPr="00B02098">
        <w:rPr>
          <w:rFonts w:ascii="Times New Roman" w:hAnsi="Times New Roman" w:cs="Times New Roman"/>
          <w:sz w:val="20"/>
          <w:szCs w:val="20"/>
        </w:rPr>
        <w:t xml:space="preserve"> </w:t>
      </w:r>
      <w:proofErr w:type="gramStart"/>
      <w:r w:rsidRPr="00B02098">
        <w:rPr>
          <w:rFonts w:ascii="Times New Roman" w:hAnsi="Times New Roman" w:cs="Times New Roman"/>
          <w:sz w:val="20"/>
          <w:szCs w:val="20"/>
        </w:rPr>
        <w:t>has been criticized</w:t>
      </w:r>
      <w:proofErr w:type="gramEnd"/>
      <w:r w:rsidR="00B844B1">
        <w:rPr>
          <w:rFonts w:ascii="Times New Roman" w:hAnsi="Times New Roman" w:cs="Times New Roman"/>
          <w:sz w:val="20"/>
          <w:szCs w:val="20"/>
        </w:rPr>
        <w:t xml:space="preserve"> in the literature</w:t>
      </w:r>
      <w:r w:rsidR="006506DC">
        <w:rPr>
          <w:rFonts w:ascii="Times New Roman" w:hAnsi="Times New Roman" w:cs="Times New Roman"/>
          <w:sz w:val="20"/>
          <w:szCs w:val="20"/>
        </w:rPr>
        <w:t xml:space="preserve"> for</w:t>
      </w:r>
      <w:r w:rsidRPr="00B02098">
        <w:rPr>
          <w:rFonts w:ascii="Times New Roman" w:hAnsi="Times New Roman" w:cs="Times New Roman"/>
          <w:sz w:val="20"/>
          <w:szCs w:val="20"/>
        </w:rPr>
        <w:t xml:space="preserve"> its lack of clear aims and </w:t>
      </w:r>
      <w:r w:rsidR="00183D3B">
        <w:rPr>
          <w:rFonts w:ascii="Times New Roman" w:hAnsi="Times New Roman" w:cs="Times New Roman"/>
          <w:sz w:val="20"/>
          <w:szCs w:val="20"/>
        </w:rPr>
        <w:t>justifications</w:t>
      </w:r>
      <w:r w:rsidR="00183D3B" w:rsidRPr="00B02098">
        <w:rPr>
          <w:rFonts w:ascii="Times New Roman" w:hAnsi="Times New Roman" w:cs="Times New Roman"/>
          <w:sz w:val="20"/>
          <w:szCs w:val="20"/>
        </w:rPr>
        <w:t xml:space="preserve"> </w:t>
      </w:r>
      <w:r w:rsidRPr="00B02098">
        <w:rPr>
          <w:rFonts w:ascii="Times New Roman" w:hAnsi="Times New Roman" w:cs="Times New Roman"/>
          <w:sz w:val="20"/>
          <w:szCs w:val="20"/>
        </w:rPr>
        <w:t xml:space="preserve">for cooperation. As one </w:t>
      </w:r>
      <w:r w:rsidR="00ED51D7">
        <w:rPr>
          <w:rFonts w:ascii="Times New Roman" w:hAnsi="Times New Roman" w:cs="Times New Roman"/>
          <w:sz w:val="20"/>
          <w:szCs w:val="20"/>
        </w:rPr>
        <w:t>invited</w:t>
      </w:r>
      <w:r w:rsidRPr="00B02098">
        <w:rPr>
          <w:rFonts w:ascii="Times New Roman" w:hAnsi="Times New Roman" w:cs="Times New Roman"/>
          <w:sz w:val="20"/>
          <w:szCs w:val="20"/>
        </w:rPr>
        <w:t xml:space="preserve"> expert claimed, ‘[t]here is a gravitation without a serious push or pull. Not even by the Commission. […] It was a diligent task – the teacher gives a task to a group</w:t>
      </w:r>
      <w:r w:rsidR="00531732">
        <w:rPr>
          <w:rFonts w:ascii="Times New Roman" w:hAnsi="Times New Roman" w:cs="Times New Roman"/>
          <w:sz w:val="20"/>
          <w:szCs w:val="20"/>
        </w:rPr>
        <w:t>…</w:t>
      </w:r>
      <w:r w:rsidR="00DF2AE9">
        <w:rPr>
          <w:rFonts w:ascii="Times New Roman" w:hAnsi="Times New Roman" w:cs="Times New Roman"/>
          <w:sz w:val="20"/>
          <w:szCs w:val="20"/>
        </w:rPr>
        <w:t>’</w:t>
      </w:r>
      <w:r w:rsidRPr="00B02098">
        <w:rPr>
          <w:rFonts w:ascii="Times New Roman" w:hAnsi="Times New Roman" w:cs="Times New Roman"/>
          <w:sz w:val="20"/>
          <w:szCs w:val="20"/>
        </w:rPr>
        <w:t xml:space="preserve"> (Frederick, interview, December 2014).</w:t>
      </w:r>
    </w:p>
  </w:footnote>
  <w:footnote w:id="6">
    <w:p w:rsidR="00276025" w:rsidRPr="00BB6834" w:rsidRDefault="00276025" w:rsidP="00BB6834">
      <w:pPr>
        <w:pStyle w:val="FootnoteText"/>
      </w:pPr>
      <w:r w:rsidRPr="00BB6834">
        <w:rPr>
          <w:rStyle w:val="FootnoteReference"/>
        </w:rPr>
        <w:footnoteRef/>
      </w:r>
      <w:r w:rsidR="008C1A3B" w:rsidRPr="00BB6834">
        <w:t xml:space="preserve"> Interestingly, t</w:t>
      </w:r>
      <w:r w:rsidRPr="00BB6834">
        <w:t>his is not particular to the cultural sector; de la Porte (2010) describes the difficulties an OMC group on social policy had in defining homelessness.</w:t>
      </w:r>
    </w:p>
  </w:footnote>
  <w:footnote w:id="7">
    <w:p w:rsidR="003E491F" w:rsidRPr="00AB0481" w:rsidRDefault="003E491F" w:rsidP="00BB6834">
      <w:pPr>
        <w:spacing w:after="0" w:line="240" w:lineRule="auto"/>
        <w:rPr>
          <w:rFonts w:ascii="Times New Roman" w:hAnsi="Times New Roman" w:cs="Times New Roman"/>
          <w:sz w:val="20"/>
          <w:szCs w:val="20"/>
        </w:rPr>
      </w:pPr>
      <w:r w:rsidRPr="00BB6834">
        <w:rPr>
          <w:rStyle w:val="FootnoteReference"/>
          <w:rFonts w:ascii="Times New Roman" w:hAnsi="Times New Roman" w:cs="Times New Roman"/>
          <w:sz w:val="20"/>
          <w:szCs w:val="20"/>
        </w:rPr>
        <w:footnoteRef/>
      </w:r>
      <w:r w:rsidRPr="00BB6834">
        <w:rPr>
          <w:rFonts w:ascii="Times New Roman" w:hAnsi="Times New Roman" w:cs="Times New Roman"/>
          <w:sz w:val="20"/>
          <w:szCs w:val="20"/>
        </w:rPr>
        <w:t xml:space="preserve"> </w:t>
      </w:r>
      <w:r w:rsidR="00AB0481" w:rsidRPr="00BB6834">
        <w:rPr>
          <w:rFonts w:ascii="Times New Roman" w:eastAsia="Batang" w:hAnsi="Times New Roman" w:cs="Times New Roman"/>
          <w:sz w:val="20"/>
          <w:szCs w:val="20"/>
        </w:rPr>
        <w:t xml:space="preserve">There is also a careful balance to be struck between allowing enough time for dialogue and “getting on” with the </w:t>
      </w:r>
      <w:proofErr w:type="gramStart"/>
      <w:r w:rsidR="00AB0481" w:rsidRPr="00BB6834">
        <w:rPr>
          <w:rFonts w:ascii="Times New Roman" w:eastAsia="Batang" w:hAnsi="Times New Roman" w:cs="Times New Roman"/>
          <w:sz w:val="20"/>
          <w:szCs w:val="20"/>
        </w:rPr>
        <w:t>task at hand</w:t>
      </w:r>
      <w:proofErr w:type="gramEnd"/>
      <w:r w:rsidR="00AB0481" w:rsidRPr="00BB6834">
        <w:rPr>
          <w:rFonts w:ascii="Times New Roman" w:eastAsia="Batang" w:hAnsi="Times New Roman" w:cs="Times New Roman"/>
          <w:sz w:val="20"/>
          <w:szCs w:val="20"/>
        </w:rPr>
        <w:t>, the creation of the manual. Many</w:t>
      </w:r>
      <w:r w:rsidR="00AB0481" w:rsidRPr="00BB6834">
        <w:rPr>
          <w:rFonts w:ascii="Times New Roman" w:hAnsi="Times New Roman" w:cs="Times New Roman"/>
          <w:sz w:val="20"/>
          <w:szCs w:val="20"/>
        </w:rPr>
        <w:t xml:space="preserve"> </w:t>
      </w:r>
      <w:r w:rsidR="00AB0481" w:rsidRPr="00AB5C40">
        <w:rPr>
          <w:rFonts w:ascii="Times New Roman" w:hAnsi="Times New Roman" w:cs="Times New Roman"/>
          <w:sz w:val="20"/>
          <w:szCs w:val="20"/>
        </w:rPr>
        <w:t xml:space="preserve">experts thought that there was not enough time for real debate within the way that the OMC </w:t>
      </w:r>
      <w:proofErr w:type="gramStart"/>
      <w:r w:rsidR="00AB0481" w:rsidRPr="00AB5C40">
        <w:rPr>
          <w:rFonts w:ascii="Times New Roman" w:hAnsi="Times New Roman" w:cs="Times New Roman"/>
          <w:sz w:val="20"/>
          <w:szCs w:val="20"/>
        </w:rPr>
        <w:t>is organized</w:t>
      </w:r>
      <w:proofErr w:type="gramEnd"/>
      <w:r w:rsidR="00AB0481" w:rsidRPr="00AB5C40">
        <w:rPr>
          <w:rFonts w:ascii="Times New Roman" w:hAnsi="Times New Roman" w:cs="Times New Roman"/>
          <w:sz w:val="20"/>
          <w:szCs w:val="20"/>
        </w:rPr>
        <w:t xml:space="preserve">. The ultimate functioning of the OMC </w:t>
      </w:r>
      <w:proofErr w:type="gramStart"/>
      <w:r w:rsidR="00AB0481" w:rsidRPr="00AB5C40">
        <w:rPr>
          <w:rFonts w:ascii="Times New Roman" w:hAnsi="Times New Roman" w:cs="Times New Roman"/>
          <w:sz w:val="20"/>
          <w:szCs w:val="20"/>
        </w:rPr>
        <w:t>is based</w:t>
      </w:r>
      <w:proofErr w:type="gramEnd"/>
      <w:r w:rsidR="00AB0481" w:rsidRPr="00AB5C40">
        <w:rPr>
          <w:rFonts w:ascii="Times New Roman" w:hAnsi="Times New Roman" w:cs="Times New Roman"/>
          <w:sz w:val="20"/>
          <w:szCs w:val="20"/>
        </w:rPr>
        <w:t xml:space="preserve"> on </w:t>
      </w:r>
      <w:r w:rsidR="00AB0481" w:rsidRPr="00AB5C40">
        <w:rPr>
          <w:rFonts w:ascii="Times New Roman" w:hAnsi="Times New Roman" w:cs="Times New Roman"/>
          <w:i/>
          <w:sz w:val="20"/>
          <w:szCs w:val="20"/>
        </w:rPr>
        <w:t>task completion</w:t>
      </w:r>
      <w:r w:rsidR="00BB6834" w:rsidRPr="00AB5C40">
        <w:rPr>
          <w:rFonts w:ascii="Times New Roman" w:hAnsi="Times New Roman" w:cs="Times New Roman"/>
          <w:sz w:val="20"/>
          <w:szCs w:val="20"/>
        </w:rPr>
        <w:t xml:space="preserve">, creating </w:t>
      </w:r>
      <w:r w:rsidR="0009254B" w:rsidRPr="00AB5C40">
        <w:rPr>
          <w:rFonts w:ascii="Times New Roman" w:hAnsi="Times New Roman" w:cs="Times New Roman"/>
          <w:sz w:val="20"/>
          <w:szCs w:val="20"/>
        </w:rPr>
        <w:t>the manual (see Mattocks</w:t>
      </w:r>
      <w:r w:rsidR="007925E9" w:rsidRPr="00AB5C40">
        <w:rPr>
          <w:rFonts w:ascii="Times New Roman" w:hAnsi="Times New Roman" w:cs="Times New Roman"/>
          <w:sz w:val="20"/>
          <w:szCs w:val="20"/>
        </w:rPr>
        <w:t xml:space="preserve"> 201</w:t>
      </w:r>
      <w:r w:rsidR="00AB5C40" w:rsidRPr="001A3121">
        <w:rPr>
          <w:rFonts w:ascii="Times New Roman" w:hAnsi="Times New Roman" w:cs="Times New Roman"/>
          <w:sz w:val="20"/>
          <w:szCs w:val="20"/>
        </w:rPr>
        <w:t>7</w:t>
      </w:r>
      <w:r w:rsidR="0009254B" w:rsidRPr="00AB5C40">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6552"/>
    <w:multiLevelType w:val="hybridMultilevel"/>
    <w:tmpl w:val="B4C2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77AC1"/>
    <w:multiLevelType w:val="hybridMultilevel"/>
    <w:tmpl w:val="471E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B22BC"/>
    <w:multiLevelType w:val="hybridMultilevel"/>
    <w:tmpl w:val="697AF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EF"/>
    <w:rsid w:val="00005234"/>
    <w:rsid w:val="000068B0"/>
    <w:rsid w:val="00011175"/>
    <w:rsid w:val="0001494B"/>
    <w:rsid w:val="00017741"/>
    <w:rsid w:val="00020796"/>
    <w:rsid w:val="000352E0"/>
    <w:rsid w:val="000433DD"/>
    <w:rsid w:val="000438BF"/>
    <w:rsid w:val="000525A6"/>
    <w:rsid w:val="00053B6C"/>
    <w:rsid w:val="00054394"/>
    <w:rsid w:val="00055564"/>
    <w:rsid w:val="00067AAF"/>
    <w:rsid w:val="0007173E"/>
    <w:rsid w:val="00071C36"/>
    <w:rsid w:val="00075C21"/>
    <w:rsid w:val="00076181"/>
    <w:rsid w:val="00082A35"/>
    <w:rsid w:val="00083681"/>
    <w:rsid w:val="00084C75"/>
    <w:rsid w:val="000859D9"/>
    <w:rsid w:val="000912F2"/>
    <w:rsid w:val="0009219C"/>
    <w:rsid w:val="0009254B"/>
    <w:rsid w:val="0009474F"/>
    <w:rsid w:val="0009476A"/>
    <w:rsid w:val="00094DAE"/>
    <w:rsid w:val="00094DCE"/>
    <w:rsid w:val="00097873"/>
    <w:rsid w:val="000A49D8"/>
    <w:rsid w:val="000B26D5"/>
    <w:rsid w:val="000C0D52"/>
    <w:rsid w:val="000C15A1"/>
    <w:rsid w:val="000C3B62"/>
    <w:rsid w:val="000C7AC9"/>
    <w:rsid w:val="000D7815"/>
    <w:rsid w:val="000E1405"/>
    <w:rsid w:val="000E1BF4"/>
    <w:rsid w:val="000E4D5B"/>
    <w:rsid w:val="000E52A7"/>
    <w:rsid w:val="000E6AB6"/>
    <w:rsid w:val="000F00DB"/>
    <w:rsid w:val="000F444E"/>
    <w:rsid w:val="000F6F9F"/>
    <w:rsid w:val="000F7878"/>
    <w:rsid w:val="00102567"/>
    <w:rsid w:val="0010413B"/>
    <w:rsid w:val="00106037"/>
    <w:rsid w:val="001076CD"/>
    <w:rsid w:val="00107704"/>
    <w:rsid w:val="001117F6"/>
    <w:rsid w:val="00111A4A"/>
    <w:rsid w:val="001121FF"/>
    <w:rsid w:val="001135A4"/>
    <w:rsid w:val="0011722D"/>
    <w:rsid w:val="00120122"/>
    <w:rsid w:val="0012254C"/>
    <w:rsid w:val="00123EFA"/>
    <w:rsid w:val="0013022F"/>
    <w:rsid w:val="0013491F"/>
    <w:rsid w:val="0013654B"/>
    <w:rsid w:val="00137243"/>
    <w:rsid w:val="0014089C"/>
    <w:rsid w:val="001469EA"/>
    <w:rsid w:val="0014733C"/>
    <w:rsid w:val="00147FDB"/>
    <w:rsid w:val="001511D6"/>
    <w:rsid w:val="001540CF"/>
    <w:rsid w:val="00160D9F"/>
    <w:rsid w:val="00162EFF"/>
    <w:rsid w:val="00166333"/>
    <w:rsid w:val="00167EBA"/>
    <w:rsid w:val="00170A89"/>
    <w:rsid w:val="00172B90"/>
    <w:rsid w:val="001730F3"/>
    <w:rsid w:val="00177F03"/>
    <w:rsid w:val="0018003E"/>
    <w:rsid w:val="001805C0"/>
    <w:rsid w:val="00183D3B"/>
    <w:rsid w:val="00184FF5"/>
    <w:rsid w:val="00186EBC"/>
    <w:rsid w:val="001919A7"/>
    <w:rsid w:val="001950F2"/>
    <w:rsid w:val="00197D0D"/>
    <w:rsid w:val="001A1394"/>
    <w:rsid w:val="001A3121"/>
    <w:rsid w:val="001A516C"/>
    <w:rsid w:val="001A6282"/>
    <w:rsid w:val="001A7AAC"/>
    <w:rsid w:val="001B1ABD"/>
    <w:rsid w:val="001B3504"/>
    <w:rsid w:val="001B453F"/>
    <w:rsid w:val="001C011B"/>
    <w:rsid w:val="001C14FC"/>
    <w:rsid w:val="001C52D4"/>
    <w:rsid w:val="001C543A"/>
    <w:rsid w:val="001C638D"/>
    <w:rsid w:val="001C6C27"/>
    <w:rsid w:val="001D59FC"/>
    <w:rsid w:val="001E1386"/>
    <w:rsid w:val="001E7243"/>
    <w:rsid w:val="001F0628"/>
    <w:rsid w:val="001F464D"/>
    <w:rsid w:val="001F48DA"/>
    <w:rsid w:val="001F5E3C"/>
    <w:rsid w:val="001F6D12"/>
    <w:rsid w:val="0020194B"/>
    <w:rsid w:val="00207603"/>
    <w:rsid w:val="00211620"/>
    <w:rsid w:val="00214737"/>
    <w:rsid w:val="00215524"/>
    <w:rsid w:val="002209C0"/>
    <w:rsid w:val="00221914"/>
    <w:rsid w:val="00222EBF"/>
    <w:rsid w:val="00226697"/>
    <w:rsid w:val="002315DA"/>
    <w:rsid w:val="002337F5"/>
    <w:rsid w:val="00234510"/>
    <w:rsid w:val="00235C7B"/>
    <w:rsid w:val="0024187B"/>
    <w:rsid w:val="0024212D"/>
    <w:rsid w:val="00242DCD"/>
    <w:rsid w:val="00243E32"/>
    <w:rsid w:val="0024615C"/>
    <w:rsid w:val="00247D30"/>
    <w:rsid w:val="00251EF1"/>
    <w:rsid w:val="002523AE"/>
    <w:rsid w:val="002532ED"/>
    <w:rsid w:val="00253E1F"/>
    <w:rsid w:val="002547C5"/>
    <w:rsid w:val="00254F6B"/>
    <w:rsid w:val="002670B4"/>
    <w:rsid w:val="00267E7C"/>
    <w:rsid w:val="00271143"/>
    <w:rsid w:val="002753AE"/>
    <w:rsid w:val="00276025"/>
    <w:rsid w:val="00276255"/>
    <w:rsid w:val="00280BE1"/>
    <w:rsid w:val="00285442"/>
    <w:rsid w:val="002908BF"/>
    <w:rsid w:val="00290B58"/>
    <w:rsid w:val="00294E58"/>
    <w:rsid w:val="00295F93"/>
    <w:rsid w:val="002A055E"/>
    <w:rsid w:val="002A0980"/>
    <w:rsid w:val="002A2A0B"/>
    <w:rsid w:val="002A5C11"/>
    <w:rsid w:val="002A6189"/>
    <w:rsid w:val="002A6D1A"/>
    <w:rsid w:val="002A74A4"/>
    <w:rsid w:val="002A7D9E"/>
    <w:rsid w:val="002B14A1"/>
    <w:rsid w:val="002B28F8"/>
    <w:rsid w:val="002B6245"/>
    <w:rsid w:val="002C01DC"/>
    <w:rsid w:val="002C4BFE"/>
    <w:rsid w:val="002C649A"/>
    <w:rsid w:val="002C743F"/>
    <w:rsid w:val="002C7556"/>
    <w:rsid w:val="002D3CAF"/>
    <w:rsid w:val="002E22E9"/>
    <w:rsid w:val="00307EB2"/>
    <w:rsid w:val="003155CB"/>
    <w:rsid w:val="003207C3"/>
    <w:rsid w:val="00321EE8"/>
    <w:rsid w:val="00325E77"/>
    <w:rsid w:val="0032753A"/>
    <w:rsid w:val="003310EE"/>
    <w:rsid w:val="00344E5C"/>
    <w:rsid w:val="0035155E"/>
    <w:rsid w:val="003525FA"/>
    <w:rsid w:val="00355778"/>
    <w:rsid w:val="00360677"/>
    <w:rsid w:val="00370DA4"/>
    <w:rsid w:val="00374DBE"/>
    <w:rsid w:val="003764BD"/>
    <w:rsid w:val="003765A2"/>
    <w:rsid w:val="0038112E"/>
    <w:rsid w:val="003831CA"/>
    <w:rsid w:val="00386E79"/>
    <w:rsid w:val="0039166B"/>
    <w:rsid w:val="00391DC9"/>
    <w:rsid w:val="003921F3"/>
    <w:rsid w:val="00395A3E"/>
    <w:rsid w:val="003A0395"/>
    <w:rsid w:val="003A090A"/>
    <w:rsid w:val="003A23D8"/>
    <w:rsid w:val="003A5D81"/>
    <w:rsid w:val="003A6A1E"/>
    <w:rsid w:val="003B045A"/>
    <w:rsid w:val="003B552C"/>
    <w:rsid w:val="003B63A0"/>
    <w:rsid w:val="003D3195"/>
    <w:rsid w:val="003D3F2B"/>
    <w:rsid w:val="003E491F"/>
    <w:rsid w:val="003E6FE0"/>
    <w:rsid w:val="003F3624"/>
    <w:rsid w:val="003F3EB8"/>
    <w:rsid w:val="003F4256"/>
    <w:rsid w:val="003F60DC"/>
    <w:rsid w:val="0041094B"/>
    <w:rsid w:val="00411D67"/>
    <w:rsid w:val="00412041"/>
    <w:rsid w:val="00414F89"/>
    <w:rsid w:val="004213F7"/>
    <w:rsid w:val="00422B33"/>
    <w:rsid w:val="00425B23"/>
    <w:rsid w:val="00426613"/>
    <w:rsid w:val="004317AC"/>
    <w:rsid w:val="00434847"/>
    <w:rsid w:val="00437052"/>
    <w:rsid w:val="00442456"/>
    <w:rsid w:val="0044324F"/>
    <w:rsid w:val="004460DC"/>
    <w:rsid w:val="00450242"/>
    <w:rsid w:val="004550AF"/>
    <w:rsid w:val="00460F93"/>
    <w:rsid w:val="0046498F"/>
    <w:rsid w:val="00466A2C"/>
    <w:rsid w:val="00474231"/>
    <w:rsid w:val="00475115"/>
    <w:rsid w:val="00475D9B"/>
    <w:rsid w:val="00476DFA"/>
    <w:rsid w:val="004815E0"/>
    <w:rsid w:val="0048291F"/>
    <w:rsid w:val="00484E18"/>
    <w:rsid w:val="00496D31"/>
    <w:rsid w:val="004A266E"/>
    <w:rsid w:val="004A4CAF"/>
    <w:rsid w:val="004A6A4A"/>
    <w:rsid w:val="004B21E5"/>
    <w:rsid w:val="004B24BC"/>
    <w:rsid w:val="004B6F59"/>
    <w:rsid w:val="004B7476"/>
    <w:rsid w:val="004C45D8"/>
    <w:rsid w:val="004C6D01"/>
    <w:rsid w:val="004D10FD"/>
    <w:rsid w:val="004D398D"/>
    <w:rsid w:val="004D5952"/>
    <w:rsid w:val="004E1610"/>
    <w:rsid w:val="004E6F08"/>
    <w:rsid w:val="004F19F1"/>
    <w:rsid w:val="004F3657"/>
    <w:rsid w:val="004F3E04"/>
    <w:rsid w:val="004F73E2"/>
    <w:rsid w:val="004F7FAD"/>
    <w:rsid w:val="005002CA"/>
    <w:rsid w:val="0050176F"/>
    <w:rsid w:val="00501F64"/>
    <w:rsid w:val="0050215A"/>
    <w:rsid w:val="0050296B"/>
    <w:rsid w:val="00502CB1"/>
    <w:rsid w:val="00505FF2"/>
    <w:rsid w:val="005109CE"/>
    <w:rsid w:val="00510B6F"/>
    <w:rsid w:val="0051168A"/>
    <w:rsid w:val="00513DE8"/>
    <w:rsid w:val="00513E9F"/>
    <w:rsid w:val="00521239"/>
    <w:rsid w:val="0052717A"/>
    <w:rsid w:val="00527B7C"/>
    <w:rsid w:val="00527E55"/>
    <w:rsid w:val="00531732"/>
    <w:rsid w:val="005318D7"/>
    <w:rsid w:val="00535156"/>
    <w:rsid w:val="005427C7"/>
    <w:rsid w:val="00546B5F"/>
    <w:rsid w:val="0055744A"/>
    <w:rsid w:val="0055766B"/>
    <w:rsid w:val="005614C9"/>
    <w:rsid w:val="00562A8C"/>
    <w:rsid w:val="005641E5"/>
    <w:rsid w:val="00565422"/>
    <w:rsid w:val="00574294"/>
    <w:rsid w:val="00581B2D"/>
    <w:rsid w:val="0058201A"/>
    <w:rsid w:val="00585493"/>
    <w:rsid w:val="00590A89"/>
    <w:rsid w:val="005965DB"/>
    <w:rsid w:val="00597F0C"/>
    <w:rsid w:val="005A05EF"/>
    <w:rsid w:val="005A31BB"/>
    <w:rsid w:val="005A37AE"/>
    <w:rsid w:val="005A6E06"/>
    <w:rsid w:val="005A714D"/>
    <w:rsid w:val="005B3EE8"/>
    <w:rsid w:val="005B465F"/>
    <w:rsid w:val="005B711B"/>
    <w:rsid w:val="005C0BBD"/>
    <w:rsid w:val="005C248C"/>
    <w:rsid w:val="005C39DC"/>
    <w:rsid w:val="005C3F29"/>
    <w:rsid w:val="005C6A64"/>
    <w:rsid w:val="005C74DA"/>
    <w:rsid w:val="005D17C5"/>
    <w:rsid w:val="005D6047"/>
    <w:rsid w:val="005D6DCD"/>
    <w:rsid w:val="005E0A06"/>
    <w:rsid w:val="005E431C"/>
    <w:rsid w:val="005E484F"/>
    <w:rsid w:val="005E5605"/>
    <w:rsid w:val="005F017A"/>
    <w:rsid w:val="005F0F08"/>
    <w:rsid w:val="005F5C07"/>
    <w:rsid w:val="00602D46"/>
    <w:rsid w:val="006052DB"/>
    <w:rsid w:val="00605369"/>
    <w:rsid w:val="0061060E"/>
    <w:rsid w:val="00620338"/>
    <w:rsid w:val="006208D2"/>
    <w:rsid w:val="00622281"/>
    <w:rsid w:val="00622DF7"/>
    <w:rsid w:val="0062312B"/>
    <w:rsid w:val="006269A1"/>
    <w:rsid w:val="00631269"/>
    <w:rsid w:val="0063381C"/>
    <w:rsid w:val="00633C27"/>
    <w:rsid w:val="0063747E"/>
    <w:rsid w:val="00640FB4"/>
    <w:rsid w:val="00644BB9"/>
    <w:rsid w:val="00646B0C"/>
    <w:rsid w:val="006506DC"/>
    <w:rsid w:val="00651B01"/>
    <w:rsid w:val="00652A8B"/>
    <w:rsid w:val="006603D3"/>
    <w:rsid w:val="006607BB"/>
    <w:rsid w:val="00663EB1"/>
    <w:rsid w:val="006651C8"/>
    <w:rsid w:val="006657D9"/>
    <w:rsid w:val="00670360"/>
    <w:rsid w:val="006714B5"/>
    <w:rsid w:val="00674384"/>
    <w:rsid w:val="006763AF"/>
    <w:rsid w:val="00681020"/>
    <w:rsid w:val="00683453"/>
    <w:rsid w:val="006838A3"/>
    <w:rsid w:val="00685AD8"/>
    <w:rsid w:val="006902E8"/>
    <w:rsid w:val="006914BA"/>
    <w:rsid w:val="0069589A"/>
    <w:rsid w:val="00697AF9"/>
    <w:rsid w:val="006A2AAC"/>
    <w:rsid w:val="006A2D43"/>
    <w:rsid w:val="006A6A1E"/>
    <w:rsid w:val="006A78C1"/>
    <w:rsid w:val="006B1508"/>
    <w:rsid w:val="006B20DD"/>
    <w:rsid w:val="006B55F7"/>
    <w:rsid w:val="006C0A0B"/>
    <w:rsid w:val="006C1960"/>
    <w:rsid w:val="006C21A4"/>
    <w:rsid w:val="006C2B23"/>
    <w:rsid w:val="006C59CB"/>
    <w:rsid w:val="006D0014"/>
    <w:rsid w:val="006D06FB"/>
    <w:rsid w:val="006E0432"/>
    <w:rsid w:val="006E05C4"/>
    <w:rsid w:val="006E0D02"/>
    <w:rsid w:val="006E3C95"/>
    <w:rsid w:val="006E3EF8"/>
    <w:rsid w:val="006E72F9"/>
    <w:rsid w:val="006F01C4"/>
    <w:rsid w:val="006F55C0"/>
    <w:rsid w:val="006F6354"/>
    <w:rsid w:val="006F713B"/>
    <w:rsid w:val="00701D4C"/>
    <w:rsid w:val="00713EF2"/>
    <w:rsid w:val="00717D0C"/>
    <w:rsid w:val="007209B9"/>
    <w:rsid w:val="00721938"/>
    <w:rsid w:val="00721948"/>
    <w:rsid w:val="00721A2A"/>
    <w:rsid w:val="00726AA8"/>
    <w:rsid w:val="00726CB5"/>
    <w:rsid w:val="00732DFE"/>
    <w:rsid w:val="00745348"/>
    <w:rsid w:val="007500A8"/>
    <w:rsid w:val="00751A53"/>
    <w:rsid w:val="00751DBA"/>
    <w:rsid w:val="0075382B"/>
    <w:rsid w:val="007552FC"/>
    <w:rsid w:val="00761D33"/>
    <w:rsid w:val="007707EE"/>
    <w:rsid w:val="0077308C"/>
    <w:rsid w:val="00777393"/>
    <w:rsid w:val="00777DA4"/>
    <w:rsid w:val="00781DD1"/>
    <w:rsid w:val="007827D8"/>
    <w:rsid w:val="00783415"/>
    <w:rsid w:val="007850E9"/>
    <w:rsid w:val="00785A4A"/>
    <w:rsid w:val="0078713E"/>
    <w:rsid w:val="007925E9"/>
    <w:rsid w:val="007936EC"/>
    <w:rsid w:val="00793C2A"/>
    <w:rsid w:val="00794F1F"/>
    <w:rsid w:val="007976D0"/>
    <w:rsid w:val="007A638C"/>
    <w:rsid w:val="007A7131"/>
    <w:rsid w:val="007B006C"/>
    <w:rsid w:val="007B0463"/>
    <w:rsid w:val="007B1F18"/>
    <w:rsid w:val="007B4B28"/>
    <w:rsid w:val="007C1F7E"/>
    <w:rsid w:val="007C2633"/>
    <w:rsid w:val="007D2142"/>
    <w:rsid w:val="007D4268"/>
    <w:rsid w:val="007D4D1B"/>
    <w:rsid w:val="007E13AA"/>
    <w:rsid w:val="007E1D01"/>
    <w:rsid w:val="007E2492"/>
    <w:rsid w:val="007E524A"/>
    <w:rsid w:val="007E662C"/>
    <w:rsid w:val="007F11D5"/>
    <w:rsid w:val="007F2068"/>
    <w:rsid w:val="007F28F3"/>
    <w:rsid w:val="007F4887"/>
    <w:rsid w:val="007F791B"/>
    <w:rsid w:val="00800089"/>
    <w:rsid w:val="00813113"/>
    <w:rsid w:val="0082069C"/>
    <w:rsid w:val="00821DEA"/>
    <w:rsid w:val="008223C5"/>
    <w:rsid w:val="00822893"/>
    <w:rsid w:val="00823AC3"/>
    <w:rsid w:val="008302C0"/>
    <w:rsid w:val="00831716"/>
    <w:rsid w:val="0083325A"/>
    <w:rsid w:val="00836FE3"/>
    <w:rsid w:val="0084454D"/>
    <w:rsid w:val="008448E1"/>
    <w:rsid w:val="00846287"/>
    <w:rsid w:val="008510D3"/>
    <w:rsid w:val="0085148B"/>
    <w:rsid w:val="00856A49"/>
    <w:rsid w:val="008577B0"/>
    <w:rsid w:val="008629A3"/>
    <w:rsid w:val="008716CC"/>
    <w:rsid w:val="00873E38"/>
    <w:rsid w:val="00874354"/>
    <w:rsid w:val="008743E2"/>
    <w:rsid w:val="0087544C"/>
    <w:rsid w:val="008808CC"/>
    <w:rsid w:val="00882895"/>
    <w:rsid w:val="00885B9A"/>
    <w:rsid w:val="008931A8"/>
    <w:rsid w:val="0089539C"/>
    <w:rsid w:val="008963D4"/>
    <w:rsid w:val="00896AEF"/>
    <w:rsid w:val="008A1822"/>
    <w:rsid w:val="008A3561"/>
    <w:rsid w:val="008A543F"/>
    <w:rsid w:val="008B1B6E"/>
    <w:rsid w:val="008B25EC"/>
    <w:rsid w:val="008B536B"/>
    <w:rsid w:val="008B54FF"/>
    <w:rsid w:val="008B66C4"/>
    <w:rsid w:val="008C13FD"/>
    <w:rsid w:val="008C1A3B"/>
    <w:rsid w:val="008C4784"/>
    <w:rsid w:val="008C499A"/>
    <w:rsid w:val="008D0825"/>
    <w:rsid w:val="008D4A0F"/>
    <w:rsid w:val="008D5319"/>
    <w:rsid w:val="008D5CA7"/>
    <w:rsid w:val="008E2232"/>
    <w:rsid w:val="008E47C0"/>
    <w:rsid w:val="008E5199"/>
    <w:rsid w:val="008F12A4"/>
    <w:rsid w:val="008F1AE2"/>
    <w:rsid w:val="008F29B7"/>
    <w:rsid w:val="008F2ADB"/>
    <w:rsid w:val="008F4E23"/>
    <w:rsid w:val="008F4E30"/>
    <w:rsid w:val="008F6326"/>
    <w:rsid w:val="008F68EC"/>
    <w:rsid w:val="008F73AD"/>
    <w:rsid w:val="008F7EC7"/>
    <w:rsid w:val="009000AD"/>
    <w:rsid w:val="009008AA"/>
    <w:rsid w:val="00901358"/>
    <w:rsid w:val="00901E70"/>
    <w:rsid w:val="00903481"/>
    <w:rsid w:val="00903577"/>
    <w:rsid w:val="00904117"/>
    <w:rsid w:val="00905785"/>
    <w:rsid w:val="009145F5"/>
    <w:rsid w:val="0091561C"/>
    <w:rsid w:val="0091671F"/>
    <w:rsid w:val="00926569"/>
    <w:rsid w:val="00930B4B"/>
    <w:rsid w:val="00930CCD"/>
    <w:rsid w:val="00932072"/>
    <w:rsid w:val="00934F64"/>
    <w:rsid w:val="00941F4A"/>
    <w:rsid w:val="00942C7D"/>
    <w:rsid w:val="00942E10"/>
    <w:rsid w:val="0094366C"/>
    <w:rsid w:val="00943844"/>
    <w:rsid w:val="00944493"/>
    <w:rsid w:val="009456AE"/>
    <w:rsid w:val="00953C3B"/>
    <w:rsid w:val="0095534A"/>
    <w:rsid w:val="009559F4"/>
    <w:rsid w:val="00961964"/>
    <w:rsid w:val="00961C5F"/>
    <w:rsid w:val="0096401B"/>
    <w:rsid w:val="0096531D"/>
    <w:rsid w:val="00970331"/>
    <w:rsid w:val="00970BAB"/>
    <w:rsid w:val="00981B7B"/>
    <w:rsid w:val="00984F75"/>
    <w:rsid w:val="00986A7A"/>
    <w:rsid w:val="00986CC9"/>
    <w:rsid w:val="00991557"/>
    <w:rsid w:val="009918FC"/>
    <w:rsid w:val="00996DEB"/>
    <w:rsid w:val="009A1BEB"/>
    <w:rsid w:val="009A1F15"/>
    <w:rsid w:val="009A214B"/>
    <w:rsid w:val="009A3991"/>
    <w:rsid w:val="009B1E83"/>
    <w:rsid w:val="009B23AA"/>
    <w:rsid w:val="009B356F"/>
    <w:rsid w:val="009B4121"/>
    <w:rsid w:val="009B46CE"/>
    <w:rsid w:val="009C19AE"/>
    <w:rsid w:val="009C210B"/>
    <w:rsid w:val="009C366C"/>
    <w:rsid w:val="009C4587"/>
    <w:rsid w:val="009D029F"/>
    <w:rsid w:val="009D1825"/>
    <w:rsid w:val="009D3FF5"/>
    <w:rsid w:val="009D6AEE"/>
    <w:rsid w:val="009E263B"/>
    <w:rsid w:val="009E3CA6"/>
    <w:rsid w:val="009E5D45"/>
    <w:rsid w:val="009E685F"/>
    <w:rsid w:val="00A02C74"/>
    <w:rsid w:val="00A0495B"/>
    <w:rsid w:val="00A068BA"/>
    <w:rsid w:val="00A07763"/>
    <w:rsid w:val="00A14919"/>
    <w:rsid w:val="00A14C74"/>
    <w:rsid w:val="00A14F45"/>
    <w:rsid w:val="00A15D13"/>
    <w:rsid w:val="00A22EB8"/>
    <w:rsid w:val="00A23360"/>
    <w:rsid w:val="00A30C58"/>
    <w:rsid w:val="00A3436B"/>
    <w:rsid w:val="00A34971"/>
    <w:rsid w:val="00A34A57"/>
    <w:rsid w:val="00A40426"/>
    <w:rsid w:val="00A408CB"/>
    <w:rsid w:val="00A42BB7"/>
    <w:rsid w:val="00A43400"/>
    <w:rsid w:val="00A4720C"/>
    <w:rsid w:val="00A6483D"/>
    <w:rsid w:val="00A65DC0"/>
    <w:rsid w:val="00A67287"/>
    <w:rsid w:val="00A676F3"/>
    <w:rsid w:val="00A708E9"/>
    <w:rsid w:val="00A74DB6"/>
    <w:rsid w:val="00A76246"/>
    <w:rsid w:val="00A76CB6"/>
    <w:rsid w:val="00A772E1"/>
    <w:rsid w:val="00A77D26"/>
    <w:rsid w:val="00A8171F"/>
    <w:rsid w:val="00A81D1B"/>
    <w:rsid w:val="00A82134"/>
    <w:rsid w:val="00A83471"/>
    <w:rsid w:val="00A84B9E"/>
    <w:rsid w:val="00A86ECB"/>
    <w:rsid w:val="00A90F06"/>
    <w:rsid w:val="00A90F98"/>
    <w:rsid w:val="00A94F07"/>
    <w:rsid w:val="00A973DA"/>
    <w:rsid w:val="00AA3894"/>
    <w:rsid w:val="00AA620B"/>
    <w:rsid w:val="00AA6BD6"/>
    <w:rsid w:val="00AB0481"/>
    <w:rsid w:val="00AB200F"/>
    <w:rsid w:val="00AB33A8"/>
    <w:rsid w:val="00AB56C6"/>
    <w:rsid w:val="00AB5C40"/>
    <w:rsid w:val="00AC240E"/>
    <w:rsid w:val="00AC41DE"/>
    <w:rsid w:val="00AD12A1"/>
    <w:rsid w:val="00AD1690"/>
    <w:rsid w:val="00AD2939"/>
    <w:rsid w:val="00AD6687"/>
    <w:rsid w:val="00AE2237"/>
    <w:rsid w:val="00AE4135"/>
    <w:rsid w:val="00AE7E32"/>
    <w:rsid w:val="00AF17E9"/>
    <w:rsid w:val="00AF2130"/>
    <w:rsid w:val="00AF5863"/>
    <w:rsid w:val="00B00523"/>
    <w:rsid w:val="00B02098"/>
    <w:rsid w:val="00B13C25"/>
    <w:rsid w:val="00B2205B"/>
    <w:rsid w:val="00B271A7"/>
    <w:rsid w:val="00B357E2"/>
    <w:rsid w:val="00B374BF"/>
    <w:rsid w:val="00B400E0"/>
    <w:rsid w:val="00B40D74"/>
    <w:rsid w:val="00B437FC"/>
    <w:rsid w:val="00B47DA7"/>
    <w:rsid w:val="00B47F76"/>
    <w:rsid w:val="00B50EC4"/>
    <w:rsid w:val="00B512B4"/>
    <w:rsid w:val="00B535D5"/>
    <w:rsid w:val="00B55473"/>
    <w:rsid w:val="00B567B9"/>
    <w:rsid w:val="00B62B97"/>
    <w:rsid w:val="00B70CC0"/>
    <w:rsid w:val="00B72014"/>
    <w:rsid w:val="00B73CEB"/>
    <w:rsid w:val="00B75CC4"/>
    <w:rsid w:val="00B7688B"/>
    <w:rsid w:val="00B82288"/>
    <w:rsid w:val="00B844B1"/>
    <w:rsid w:val="00B92259"/>
    <w:rsid w:val="00B93971"/>
    <w:rsid w:val="00B944D7"/>
    <w:rsid w:val="00B97862"/>
    <w:rsid w:val="00BA0894"/>
    <w:rsid w:val="00BA703C"/>
    <w:rsid w:val="00BB392C"/>
    <w:rsid w:val="00BB39FC"/>
    <w:rsid w:val="00BB6834"/>
    <w:rsid w:val="00BB78A3"/>
    <w:rsid w:val="00BC0844"/>
    <w:rsid w:val="00BC1022"/>
    <w:rsid w:val="00BD1A58"/>
    <w:rsid w:val="00BE1858"/>
    <w:rsid w:val="00BE3066"/>
    <w:rsid w:val="00BE3AB3"/>
    <w:rsid w:val="00BE6540"/>
    <w:rsid w:val="00BF172D"/>
    <w:rsid w:val="00BF29E0"/>
    <w:rsid w:val="00BF3307"/>
    <w:rsid w:val="00BF4AF7"/>
    <w:rsid w:val="00BF4EF7"/>
    <w:rsid w:val="00BF56BF"/>
    <w:rsid w:val="00C00C18"/>
    <w:rsid w:val="00C01A75"/>
    <w:rsid w:val="00C03ED3"/>
    <w:rsid w:val="00C05BCB"/>
    <w:rsid w:val="00C1233E"/>
    <w:rsid w:val="00C12B91"/>
    <w:rsid w:val="00C13875"/>
    <w:rsid w:val="00C149F9"/>
    <w:rsid w:val="00C217C7"/>
    <w:rsid w:val="00C222D6"/>
    <w:rsid w:val="00C22A71"/>
    <w:rsid w:val="00C2352D"/>
    <w:rsid w:val="00C23FD8"/>
    <w:rsid w:val="00C2423E"/>
    <w:rsid w:val="00C26CB1"/>
    <w:rsid w:val="00C31147"/>
    <w:rsid w:val="00C312B7"/>
    <w:rsid w:val="00C3257E"/>
    <w:rsid w:val="00C338E0"/>
    <w:rsid w:val="00C374CB"/>
    <w:rsid w:val="00C47757"/>
    <w:rsid w:val="00C47F4F"/>
    <w:rsid w:val="00C52299"/>
    <w:rsid w:val="00C5285F"/>
    <w:rsid w:val="00C55FBE"/>
    <w:rsid w:val="00C56505"/>
    <w:rsid w:val="00C57514"/>
    <w:rsid w:val="00C74866"/>
    <w:rsid w:val="00C76D70"/>
    <w:rsid w:val="00C845CC"/>
    <w:rsid w:val="00C869F3"/>
    <w:rsid w:val="00C87272"/>
    <w:rsid w:val="00C91328"/>
    <w:rsid w:val="00C92F4B"/>
    <w:rsid w:val="00CA1AD9"/>
    <w:rsid w:val="00CA1C8E"/>
    <w:rsid w:val="00CA3907"/>
    <w:rsid w:val="00CA6853"/>
    <w:rsid w:val="00CA7C3D"/>
    <w:rsid w:val="00CA7DCB"/>
    <w:rsid w:val="00CB1847"/>
    <w:rsid w:val="00CB3A74"/>
    <w:rsid w:val="00CB6216"/>
    <w:rsid w:val="00CB6A2B"/>
    <w:rsid w:val="00CB77F4"/>
    <w:rsid w:val="00CC3AB4"/>
    <w:rsid w:val="00CC3C99"/>
    <w:rsid w:val="00CD09BD"/>
    <w:rsid w:val="00CD470A"/>
    <w:rsid w:val="00CE073C"/>
    <w:rsid w:val="00CE6215"/>
    <w:rsid w:val="00CF042F"/>
    <w:rsid w:val="00CF082A"/>
    <w:rsid w:val="00CF169C"/>
    <w:rsid w:val="00CF5BDE"/>
    <w:rsid w:val="00CF6FF0"/>
    <w:rsid w:val="00D0040A"/>
    <w:rsid w:val="00D01266"/>
    <w:rsid w:val="00D018DB"/>
    <w:rsid w:val="00D143A4"/>
    <w:rsid w:val="00D15986"/>
    <w:rsid w:val="00D15F96"/>
    <w:rsid w:val="00D17FD3"/>
    <w:rsid w:val="00D20004"/>
    <w:rsid w:val="00D22BEA"/>
    <w:rsid w:val="00D22DBB"/>
    <w:rsid w:val="00D252E9"/>
    <w:rsid w:val="00D30F7A"/>
    <w:rsid w:val="00D32110"/>
    <w:rsid w:val="00D32E8D"/>
    <w:rsid w:val="00D36B65"/>
    <w:rsid w:val="00D37F8E"/>
    <w:rsid w:val="00D40EFF"/>
    <w:rsid w:val="00D42A0E"/>
    <w:rsid w:val="00D42C48"/>
    <w:rsid w:val="00D43F9B"/>
    <w:rsid w:val="00D44D9B"/>
    <w:rsid w:val="00D510E0"/>
    <w:rsid w:val="00D5391D"/>
    <w:rsid w:val="00D55387"/>
    <w:rsid w:val="00D577ED"/>
    <w:rsid w:val="00D622F7"/>
    <w:rsid w:val="00D638D1"/>
    <w:rsid w:val="00D643C4"/>
    <w:rsid w:val="00D647EE"/>
    <w:rsid w:val="00D67875"/>
    <w:rsid w:val="00D727FE"/>
    <w:rsid w:val="00D7375E"/>
    <w:rsid w:val="00D73766"/>
    <w:rsid w:val="00D74E84"/>
    <w:rsid w:val="00D81265"/>
    <w:rsid w:val="00D820C1"/>
    <w:rsid w:val="00D83990"/>
    <w:rsid w:val="00D839D2"/>
    <w:rsid w:val="00D86C12"/>
    <w:rsid w:val="00D90995"/>
    <w:rsid w:val="00D93AAD"/>
    <w:rsid w:val="00D9404B"/>
    <w:rsid w:val="00D94A14"/>
    <w:rsid w:val="00D96231"/>
    <w:rsid w:val="00DA0EFE"/>
    <w:rsid w:val="00DA424C"/>
    <w:rsid w:val="00DA5338"/>
    <w:rsid w:val="00DB3111"/>
    <w:rsid w:val="00DB33D4"/>
    <w:rsid w:val="00DB4A5D"/>
    <w:rsid w:val="00DB7415"/>
    <w:rsid w:val="00DB7FD2"/>
    <w:rsid w:val="00DC21C1"/>
    <w:rsid w:val="00DC42C5"/>
    <w:rsid w:val="00DC4CD4"/>
    <w:rsid w:val="00DD64D7"/>
    <w:rsid w:val="00DD7882"/>
    <w:rsid w:val="00DE3D11"/>
    <w:rsid w:val="00DE5D79"/>
    <w:rsid w:val="00DE5DDF"/>
    <w:rsid w:val="00DE685C"/>
    <w:rsid w:val="00DF20BF"/>
    <w:rsid w:val="00DF2AE9"/>
    <w:rsid w:val="00DF366A"/>
    <w:rsid w:val="00DF3A12"/>
    <w:rsid w:val="00DF4BC2"/>
    <w:rsid w:val="00E00706"/>
    <w:rsid w:val="00E025D9"/>
    <w:rsid w:val="00E02607"/>
    <w:rsid w:val="00E15AE7"/>
    <w:rsid w:val="00E211E5"/>
    <w:rsid w:val="00E219FC"/>
    <w:rsid w:val="00E261B4"/>
    <w:rsid w:val="00E31721"/>
    <w:rsid w:val="00E32128"/>
    <w:rsid w:val="00E37193"/>
    <w:rsid w:val="00E42569"/>
    <w:rsid w:val="00E454E9"/>
    <w:rsid w:val="00E555FE"/>
    <w:rsid w:val="00E55BE7"/>
    <w:rsid w:val="00E66662"/>
    <w:rsid w:val="00E674DA"/>
    <w:rsid w:val="00E7152A"/>
    <w:rsid w:val="00E71CC9"/>
    <w:rsid w:val="00E76795"/>
    <w:rsid w:val="00E77D57"/>
    <w:rsid w:val="00E83F79"/>
    <w:rsid w:val="00E948F1"/>
    <w:rsid w:val="00E96B48"/>
    <w:rsid w:val="00EA591B"/>
    <w:rsid w:val="00EA59BD"/>
    <w:rsid w:val="00EA7187"/>
    <w:rsid w:val="00EB32EF"/>
    <w:rsid w:val="00EB45A0"/>
    <w:rsid w:val="00EB4FA2"/>
    <w:rsid w:val="00EB589E"/>
    <w:rsid w:val="00EB7A3F"/>
    <w:rsid w:val="00EC3D26"/>
    <w:rsid w:val="00EC6BA9"/>
    <w:rsid w:val="00EC6C21"/>
    <w:rsid w:val="00EC7912"/>
    <w:rsid w:val="00ED17F3"/>
    <w:rsid w:val="00ED51D7"/>
    <w:rsid w:val="00ED6145"/>
    <w:rsid w:val="00ED78B6"/>
    <w:rsid w:val="00EE06ED"/>
    <w:rsid w:val="00EE3BDC"/>
    <w:rsid w:val="00EE5838"/>
    <w:rsid w:val="00EE679D"/>
    <w:rsid w:val="00EF328B"/>
    <w:rsid w:val="00EF46E0"/>
    <w:rsid w:val="00EF4877"/>
    <w:rsid w:val="00EF5EB7"/>
    <w:rsid w:val="00EF7D5B"/>
    <w:rsid w:val="00F04A5B"/>
    <w:rsid w:val="00F13142"/>
    <w:rsid w:val="00F139CD"/>
    <w:rsid w:val="00F15CD0"/>
    <w:rsid w:val="00F22ACB"/>
    <w:rsid w:val="00F25160"/>
    <w:rsid w:val="00F258BD"/>
    <w:rsid w:val="00F328B4"/>
    <w:rsid w:val="00F32F6F"/>
    <w:rsid w:val="00F33765"/>
    <w:rsid w:val="00F34C3D"/>
    <w:rsid w:val="00F350A5"/>
    <w:rsid w:val="00F43848"/>
    <w:rsid w:val="00F43931"/>
    <w:rsid w:val="00F47F3D"/>
    <w:rsid w:val="00F5092F"/>
    <w:rsid w:val="00F513C8"/>
    <w:rsid w:val="00F56F99"/>
    <w:rsid w:val="00F57507"/>
    <w:rsid w:val="00F57F59"/>
    <w:rsid w:val="00F626A2"/>
    <w:rsid w:val="00F653D8"/>
    <w:rsid w:val="00F65FB1"/>
    <w:rsid w:val="00F808C4"/>
    <w:rsid w:val="00F810D9"/>
    <w:rsid w:val="00F86EA9"/>
    <w:rsid w:val="00F90F58"/>
    <w:rsid w:val="00F91A4B"/>
    <w:rsid w:val="00F93F3F"/>
    <w:rsid w:val="00FA19CF"/>
    <w:rsid w:val="00FA1A81"/>
    <w:rsid w:val="00FA467B"/>
    <w:rsid w:val="00FA6DA5"/>
    <w:rsid w:val="00FB0DDB"/>
    <w:rsid w:val="00FB26C0"/>
    <w:rsid w:val="00FB6275"/>
    <w:rsid w:val="00FC002E"/>
    <w:rsid w:val="00FC2F7A"/>
    <w:rsid w:val="00FC38C7"/>
    <w:rsid w:val="00FC421E"/>
    <w:rsid w:val="00FC7A66"/>
    <w:rsid w:val="00FD07EF"/>
    <w:rsid w:val="00FD1679"/>
    <w:rsid w:val="00FD1A9B"/>
    <w:rsid w:val="00FD29EF"/>
    <w:rsid w:val="00FD7ECB"/>
    <w:rsid w:val="00FE2E79"/>
    <w:rsid w:val="00FE5112"/>
    <w:rsid w:val="00FE7652"/>
    <w:rsid w:val="00FF1152"/>
    <w:rsid w:val="00FF33BA"/>
    <w:rsid w:val="00FF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AD95-751C-42DF-94EC-4AEB55F0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8EC"/>
    <w:pPr>
      <w:ind w:left="720"/>
      <w:contextualSpacing/>
    </w:pPr>
  </w:style>
  <w:style w:type="paragraph" w:styleId="FootnoteText">
    <w:name w:val="footnote text"/>
    <w:aliases w:val="Char Char Char,Char Char"/>
    <w:basedOn w:val="Normal"/>
    <w:link w:val="FootnoteTextChar"/>
    <w:semiHidden/>
    <w:rsid w:val="008F68EC"/>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aliases w:val="Char Char Char Char,Char Char Char1"/>
    <w:basedOn w:val="DefaultParagraphFont"/>
    <w:link w:val="FootnoteText"/>
    <w:semiHidden/>
    <w:rsid w:val="008F68EC"/>
    <w:rPr>
      <w:rFonts w:ascii="Times New Roman" w:eastAsia="SimSun" w:hAnsi="Times New Roman" w:cs="Times New Roman"/>
      <w:sz w:val="20"/>
      <w:szCs w:val="20"/>
      <w:lang w:eastAsia="zh-CN"/>
    </w:rPr>
  </w:style>
  <w:style w:type="character" w:styleId="FootnoteReference">
    <w:name w:val="footnote reference"/>
    <w:semiHidden/>
    <w:rsid w:val="008F68EC"/>
    <w:rPr>
      <w:vertAlign w:val="superscript"/>
    </w:rPr>
  </w:style>
  <w:style w:type="character" w:styleId="Hyperlink">
    <w:name w:val="Hyperlink"/>
    <w:basedOn w:val="DefaultParagraphFont"/>
    <w:uiPriority w:val="99"/>
    <w:unhideWhenUsed/>
    <w:rsid w:val="001B3504"/>
    <w:rPr>
      <w:color w:val="0563C1" w:themeColor="hyperlink"/>
      <w:u w:val="single"/>
    </w:rPr>
  </w:style>
  <w:style w:type="character" w:styleId="FollowedHyperlink">
    <w:name w:val="FollowedHyperlink"/>
    <w:basedOn w:val="DefaultParagraphFont"/>
    <w:uiPriority w:val="99"/>
    <w:semiHidden/>
    <w:unhideWhenUsed/>
    <w:rsid w:val="001B3504"/>
    <w:rPr>
      <w:color w:val="954F72" w:themeColor="followedHyperlink"/>
      <w:u w:val="single"/>
    </w:rPr>
  </w:style>
  <w:style w:type="paragraph" w:styleId="BalloonText">
    <w:name w:val="Balloon Text"/>
    <w:basedOn w:val="Normal"/>
    <w:link w:val="BalloonTextChar"/>
    <w:uiPriority w:val="99"/>
    <w:semiHidden/>
    <w:unhideWhenUsed/>
    <w:rsid w:val="002D3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CAF"/>
    <w:rPr>
      <w:rFonts w:ascii="Segoe UI" w:hAnsi="Segoe UI" w:cs="Segoe UI"/>
      <w:sz w:val="18"/>
      <w:szCs w:val="18"/>
    </w:rPr>
  </w:style>
  <w:style w:type="character" w:customStyle="1" w:styleId="A6">
    <w:name w:val="A6"/>
    <w:uiPriority w:val="99"/>
    <w:rsid w:val="006651C8"/>
    <w:rPr>
      <w:rFonts w:cs="SJMLVG+Futura"/>
      <w:color w:val="000000"/>
      <w:sz w:val="22"/>
      <w:szCs w:val="22"/>
    </w:rPr>
  </w:style>
  <w:style w:type="character" w:styleId="Emphasis">
    <w:name w:val="Emphasis"/>
    <w:basedOn w:val="DefaultParagraphFont"/>
    <w:uiPriority w:val="20"/>
    <w:qFormat/>
    <w:rsid w:val="006651C8"/>
    <w:rPr>
      <w:i/>
      <w:iCs/>
    </w:rPr>
  </w:style>
  <w:style w:type="paragraph" w:customStyle="1" w:styleId="Default">
    <w:name w:val="Default"/>
    <w:rsid w:val="006651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7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3C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1587">
      <w:bodyDiv w:val="1"/>
      <w:marLeft w:val="0"/>
      <w:marRight w:val="0"/>
      <w:marTop w:val="0"/>
      <w:marBottom w:val="0"/>
      <w:divBdr>
        <w:top w:val="none" w:sz="0" w:space="0" w:color="auto"/>
        <w:left w:val="none" w:sz="0" w:space="0" w:color="auto"/>
        <w:bottom w:val="none" w:sz="0" w:space="0" w:color="auto"/>
        <w:right w:val="none" w:sz="0" w:space="0" w:color="auto"/>
      </w:divBdr>
      <w:divsChild>
        <w:div w:id="1425765131">
          <w:marLeft w:val="0"/>
          <w:marRight w:val="0"/>
          <w:marTop w:val="0"/>
          <w:marBottom w:val="0"/>
          <w:divBdr>
            <w:top w:val="none" w:sz="0" w:space="0" w:color="auto"/>
            <w:left w:val="none" w:sz="0" w:space="0" w:color="auto"/>
            <w:bottom w:val="none" w:sz="0" w:space="0" w:color="auto"/>
            <w:right w:val="none" w:sz="0" w:space="0" w:color="auto"/>
          </w:divBdr>
          <w:divsChild>
            <w:div w:id="933169819">
              <w:marLeft w:val="0"/>
              <w:marRight w:val="0"/>
              <w:marTop w:val="0"/>
              <w:marBottom w:val="0"/>
              <w:divBdr>
                <w:top w:val="none" w:sz="0" w:space="0" w:color="auto"/>
                <w:left w:val="none" w:sz="0" w:space="0" w:color="auto"/>
                <w:bottom w:val="none" w:sz="0" w:space="0" w:color="auto"/>
                <w:right w:val="none" w:sz="0" w:space="0" w:color="auto"/>
              </w:divBdr>
              <w:divsChild>
                <w:div w:id="1312952402">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43091324">
                          <w:marLeft w:val="0"/>
                          <w:marRight w:val="0"/>
                          <w:marTop w:val="0"/>
                          <w:marBottom w:val="0"/>
                          <w:divBdr>
                            <w:top w:val="none" w:sz="0" w:space="0" w:color="auto"/>
                            <w:left w:val="none" w:sz="0" w:space="0" w:color="auto"/>
                            <w:bottom w:val="none" w:sz="0" w:space="0" w:color="auto"/>
                            <w:right w:val="none" w:sz="0" w:space="0" w:color="auto"/>
                          </w:divBdr>
                          <w:divsChild>
                            <w:div w:id="1298296907">
                              <w:marLeft w:val="0"/>
                              <w:marRight w:val="0"/>
                              <w:marTop w:val="0"/>
                              <w:marBottom w:val="0"/>
                              <w:divBdr>
                                <w:top w:val="none" w:sz="0" w:space="0" w:color="auto"/>
                                <w:left w:val="none" w:sz="0" w:space="0" w:color="auto"/>
                                <w:bottom w:val="none" w:sz="0" w:space="0" w:color="auto"/>
                                <w:right w:val="none" w:sz="0" w:space="0" w:color="auto"/>
                              </w:divBdr>
                              <w:divsChild>
                                <w:div w:id="1804536898">
                                  <w:marLeft w:val="0"/>
                                  <w:marRight w:val="0"/>
                                  <w:marTop w:val="0"/>
                                  <w:marBottom w:val="0"/>
                                  <w:divBdr>
                                    <w:top w:val="none" w:sz="0" w:space="0" w:color="auto"/>
                                    <w:left w:val="none" w:sz="0" w:space="0" w:color="auto"/>
                                    <w:bottom w:val="none" w:sz="0" w:space="0" w:color="auto"/>
                                    <w:right w:val="none" w:sz="0" w:space="0" w:color="auto"/>
                                  </w:divBdr>
                                  <w:divsChild>
                                    <w:div w:id="1888685887">
                                      <w:marLeft w:val="0"/>
                                      <w:marRight w:val="0"/>
                                      <w:marTop w:val="0"/>
                                      <w:marBottom w:val="0"/>
                                      <w:divBdr>
                                        <w:top w:val="none" w:sz="0" w:space="0" w:color="auto"/>
                                        <w:left w:val="none" w:sz="0" w:space="0" w:color="auto"/>
                                        <w:bottom w:val="none" w:sz="0" w:space="0" w:color="auto"/>
                                        <w:right w:val="none" w:sz="0" w:space="0" w:color="auto"/>
                                      </w:divBdr>
                                      <w:divsChild>
                                        <w:div w:id="942147961">
                                          <w:marLeft w:val="0"/>
                                          <w:marRight w:val="0"/>
                                          <w:marTop w:val="0"/>
                                          <w:marBottom w:val="0"/>
                                          <w:divBdr>
                                            <w:top w:val="none" w:sz="0" w:space="0" w:color="auto"/>
                                            <w:left w:val="none" w:sz="0" w:space="0" w:color="auto"/>
                                            <w:bottom w:val="none" w:sz="0" w:space="0" w:color="auto"/>
                                            <w:right w:val="none" w:sz="0" w:space="0" w:color="auto"/>
                                          </w:divBdr>
                                          <w:divsChild>
                                            <w:div w:id="2082293563">
                                              <w:marLeft w:val="0"/>
                                              <w:marRight w:val="0"/>
                                              <w:marTop w:val="0"/>
                                              <w:marBottom w:val="0"/>
                                              <w:divBdr>
                                                <w:top w:val="none" w:sz="0" w:space="0" w:color="auto"/>
                                                <w:left w:val="none" w:sz="0" w:space="0" w:color="auto"/>
                                                <w:bottom w:val="none" w:sz="0" w:space="0" w:color="auto"/>
                                                <w:right w:val="none" w:sz="0" w:space="0" w:color="auto"/>
                                              </w:divBdr>
                                              <w:divsChild>
                                                <w:div w:id="1075057538">
                                                  <w:marLeft w:val="0"/>
                                                  <w:marRight w:val="0"/>
                                                  <w:marTop w:val="0"/>
                                                  <w:marBottom w:val="0"/>
                                                  <w:divBdr>
                                                    <w:top w:val="none" w:sz="0" w:space="0" w:color="auto"/>
                                                    <w:left w:val="none" w:sz="0" w:space="0" w:color="auto"/>
                                                    <w:bottom w:val="none" w:sz="0" w:space="0" w:color="auto"/>
                                                    <w:right w:val="none" w:sz="0" w:space="0" w:color="auto"/>
                                                  </w:divBdr>
                                                  <w:divsChild>
                                                    <w:div w:id="983196610">
                                                      <w:marLeft w:val="0"/>
                                                      <w:marRight w:val="0"/>
                                                      <w:marTop w:val="0"/>
                                                      <w:marBottom w:val="0"/>
                                                      <w:divBdr>
                                                        <w:top w:val="none" w:sz="0" w:space="0" w:color="auto"/>
                                                        <w:left w:val="none" w:sz="0" w:space="0" w:color="auto"/>
                                                        <w:bottom w:val="none" w:sz="0" w:space="0" w:color="auto"/>
                                                        <w:right w:val="none" w:sz="0" w:space="0" w:color="auto"/>
                                                      </w:divBdr>
                                                      <w:divsChild>
                                                        <w:div w:id="761876841">
                                                          <w:marLeft w:val="0"/>
                                                          <w:marRight w:val="0"/>
                                                          <w:marTop w:val="0"/>
                                                          <w:marBottom w:val="0"/>
                                                          <w:divBdr>
                                                            <w:top w:val="none" w:sz="0" w:space="0" w:color="auto"/>
                                                            <w:left w:val="none" w:sz="0" w:space="0" w:color="auto"/>
                                                            <w:bottom w:val="none" w:sz="0" w:space="0" w:color="auto"/>
                                                            <w:right w:val="none" w:sz="0" w:space="0" w:color="auto"/>
                                                          </w:divBdr>
                                                          <w:divsChild>
                                                            <w:div w:id="1630893305">
                                                              <w:marLeft w:val="0"/>
                                                              <w:marRight w:val="0"/>
                                                              <w:marTop w:val="0"/>
                                                              <w:marBottom w:val="0"/>
                                                              <w:divBdr>
                                                                <w:top w:val="none" w:sz="0" w:space="0" w:color="auto"/>
                                                                <w:left w:val="none" w:sz="0" w:space="0" w:color="auto"/>
                                                                <w:bottom w:val="none" w:sz="0" w:space="0" w:color="auto"/>
                                                                <w:right w:val="none" w:sz="0" w:space="0" w:color="auto"/>
                                                              </w:divBdr>
                                                              <w:divsChild>
                                                                <w:div w:id="32001776">
                                                                  <w:marLeft w:val="0"/>
                                                                  <w:marRight w:val="0"/>
                                                                  <w:marTop w:val="0"/>
                                                                  <w:marBottom w:val="0"/>
                                                                  <w:divBdr>
                                                                    <w:top w:val="none" w:sz="0" w:space="0" w:color="auto"/>
                                                                    <w:left w:val="none" w:sz="0" w:space="0" w:color="auto"/>
                                                                    <w:bottom w:val="none" w:sz="0" w:space="0" w:color="auto"/>
                                                                    <w:right w:val="none" w:sz="0" w:space="0" w:color="auto"/>
                                                                  </w:divBdr>
                                                                  <w:divsChild>
                                                                    <w:div w:id="2102600516">
                                                                      <w:marLeft w:val="0"/>
                                                                      <w:marRight w:val="0"/>
                                                                      <w:marTop w:val="0"/>
                                                                      <w:marBottom w:val="0"/>
                                                                      <w:divBdr>
                                                                        <w:top w:val="none" w:sz="0" w:space="0" w:color="auto"/>
                                                                        <w:left w:val="none" w:sz="0" w:space="0" w:color="auto"/>
                                                                        <w:bottom w:val="none" w:sz="0" w:space="0" w:color="auto"/>
                                                                        <w:right w:val="none" w:sz="0" w:space="0" w:color="auto"/>
                                                                      </w:divBdr>
                                                                      <w:divsChild>
                                                                        <w:div w:id="219950200">
                                                                          <w:marLeft w:val="0"/>
                                                                          <w:marRight w:val="0"/>
                                                                          <w:marTop w:val="0"/>
                                                                          <w:marBottom w:val="0"/>
                                                                          <w:divBdr>
                                                                            <w:top w:val="none" w:sz="0" w:space="0" w:color="auto"/>
                                                                            <w:left w:val="none" w:sz="0" w:space="0" w:color="auto"/>
                                                                            <w:bottom w:val="none" w:sz="0" w:space="0" w:color="auto"/>
                                                                            <w:right w:val="none" w:sz="0" w:space="0" w:color="auto"/>
                                                                          </w:divBdr>
                                                                          <w:divsChild>
                                                                            <w:div w:id="161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warwick.ac.uk/fac/arts/theatre_s/cp/research/publications/centrepubs/ccps_paper_8.pdf" TargetMode="External"/><Relationship Id="rId13" Type="http://schemas.openxmlformats.org/officeDocument/2006/relationships/hyperlink" Target="https://eiop.or.at/eiop/pdf/2009-00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shop.europa.eu/en/cultural-awareness-and-expression-handbook-pbNC01161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culture/library/reports/201405-omc-diversity-dialogue_en.pdf" TargetMode="External"/><Relationship Id="rId5" Type="http://schemas.openxmlformats.org/officeDocument/2006/relationships/webSettings" Target="webSettings.xml"/><Relationship Id="rId15" Type="http://schemas.openxmlformats.org/officeDocument/2006/relationships/hyperlink" Target="http://eiop.or.at/eiop/pdf/2004-013.pdf" TargetMode="External"/><Relationship Id="rId10" Type="http://schemas.openxmlformats.org/officeDocument/2006/relationships/hyperlink" Target="http://ec.europa.eu/culture/policy/strategic-framework/documents/omc-report-access-to-culture_en.pdf" TargetMode="External"/><Relationship Id="rId4" Type="http://schemas.openxmlformats.org/officeDocument/2006/relationships/settings" Target="settings.xml"/><Relationship Id="rId9" Type="http://schemas.openxmlformats.org/officeDocument/2006/relationships/hyperlink" Target="http://europa.eu/pol/pdf/flipbook/en/culture_audiovisual_en.pdf" TargetMode="External"/><Relationship Id="rId14" Type="http://schemas.openxmlformats.org/officeDocument/2006/relationships/hyperlink" Target="http://www.springer.com/geography/human+geography/book/978-1-4020-99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0183-5467-407F-8568-CEF413C6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34</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mattock</cp:lastModifiedBy>
  <cp:revision>105</cp:revision>
  <cp:lastPrinted>2016-09-22T07:34:00Z</cp:lastPrinted>
  <dcterms:created xsi:type="dcterms:W3CDTF">2017-04-30T12:13:00Z</dcterms:created>
  <dcterms:modified xsi:type="dcterms:W3CDTF">2017-10-18T09:02:00Z</dcterms:modified>
</cp:coreProperties>
</file>