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98D" w:rsidRPr="0005490E" w:rsidRDefault="00E8274A" w:rsidP="006608C6">
      <w:pPr>
        <w:pStyle w:val="ListParagraph"/>
        <w:spacing w:after="0" w:line="360" w:lineRule="auto"/>
        <w:ind w:left="0"/>
        <w:jc w:val="both"/>
        <w:rPr>
          <w:rFonts w:cstheme="minorBidi"/>
          <w:szCs w:val="22"/>
        </w:rPr>
      </w:pPr>
      <w:r>
        <w:rPr>
          <w:rFonts w:cstheme="minorBidi"/>
          <w:szCs w:val="22"/>
        </w:rPr>
        <w:t>Evidence from the ‘Frontline’?</w:t>
      </w:r>
      <w:r w:rsidR="00F4498D">
        <w:rPr>
          <w:rFonts w:cstheme="minorBidi"/>
          <w:szCs w:val="22"/>
        </w:rPr>
        <w:t xml:space="preserve"> </w:t>
      </w:r>
      <w:r w:rsidR="00C10234">
        <w:rPr>
          <w:rFonts w:cstheme="minorBidi"/>
          <w:szCs w:val="22"/>
        </w:rPr>
        <w:t>An Ethnographic Problematisation of Welfare</w:t>
      </w:r>
      <w:r w:rsidR="00A12E82">
        <w:rPr>
          <w:rFonts w:cstheme="minorBidi"/>
          <w:szCs w:val="22"/>
        </w:rPr>
        <w:t>-to-Work Administrator</w:t>
      </w:r>
      <w:r w:rsidR="00C10234">
        <w:rPr>
          <w:rFonts w:cstheme="minorBidi"/>
          <w:szCs w:val="22"/>
        </w:rPr>
        <w:t xml:space="preserve"> </w:t>
      </w:r>
      <w:r w:rsidR="00FD2191">
        <w:rPr>
          <w:rFonts w:cstheme="minorBidi"/>
          <w:szCs w:val="22"/>
        </w:rPr>
        <w:t>Opinions</w:t>
      </w:r>
    </w:p>
    <w:p w:rsidR="00B70ECD" w:rsidRDefault="00B70ECD" w:rsidP="006608C6">
      <w:pPr>
        <w:spacing w:after="0" w:line="360" w:lineRule="auto"/>
        <w:jc w:val="both"/>
        <w:rPr>
          <w:rFonts w:cstheme="minorBidi"/>
          <w:szCs w:val="22"/>
        </w:rPr>
      </w:pPr>
    </w:p>
    <w:p w:rsidR="00755B22" w:rsidRDefault="00755B22" w:rsidP="006608C6">
      <w:pPr>
        <w:spacing w:after="0" w:line="360" w:lineRule="auto"/>
        <w:jc w:val="both"/>
        <w:rPr>
          <w:rFonts w:cstheme="minorBidi"/>
          <w:szCs w:val="22"/>
        </w:rPr>
      </w:pPr>
    </w:p>
    <w:p w:rsidR="00755B22" w:rsidRDefault="00755B22" w:rsidP="006608C6">
      <w:pPr>
        <w:spacing w:after="0" w:line="360" w:lineRule="auto"/>
        <w:jc w:val="both"/>
        <w:rPr>
          <w:rFonts w:cstheme="minorBidi"/>
          <w:szCs w:val="22"/>
        </w:rPr>
      </w:pPr>
      <w:r>
        <w:rPr>
          <w:rFonts w:cstheme="minorBidi"/>
          <w:szCs w:val="22"/>
        </w:rPr>
        <w:t>Abstract</w:t>
      </w:r>
    </w:p>
    <w:p w:rsidR="002C6B6B" w:rsidRDefault="00C76A92" w:rsidP="00C76A92">
      <w:pPr>
        <w:spacing w:after="0" w:line="360" w:lineRule="auto"/>
        <w:jc w:val="both"/>
        <w:rPr>
          <w:rFonts w:cstheme="minorBidi"/>
          <w:szCs w:val="22"/>
        </w:rPr>
      </w:pPr>
      <w:r w:rsidRPr="00C76A92">
        <w:rPr>
          <w:rFonts w:cstheme="minorBidi"/>
          <w:szCs w:val="22"/>
        </w:rPr>
        <w:t>Researchers both supportive and critical of welfare schemes regularly explore the influence, legitimacy and effects of welfare administrator opinions. However, the ‘origins’ of those opin</w:t>
      </w:r>
      <w:r w:rsidR="004C7E5F">
        <w:rPr>
          <w:rFonts w:cstheme="minorBidi"/>
          <w:szCs w:val="22"/>
        </w:rPr>
        <w:t>ions are generally</w:t>
      </w:r>
      <w:r w:rsidRPr="00C76A92">
        <w:rPr>
          <w:rFonts w:cstheme="minorBidi"/>
          <w:szCs w:val="22"/>
        </w:rPr>
        <w:t xml:space="preserve"> less well considered. This paper explores and problematises the use of welfare-to-work administrator testimony in social scie</w:t>
      </w:r>
      <w:r>
        <w:rPr>
          <w:rFonts w:cstheme="minorBidi"/>
          <w:szCs w:val="22"/>
        </w:rPr>
        <w:t>nce and social policy research</w:t>
      </w:r>
      <w:r w:rsidRPr="00C76A92">
        <w:rPr>
          <w:rFonts w:cstheme="minorBidi"/>
          <w:szCs w:val="22"/>
        </w:rPr>
        <w:t>.</w:t>
      </w:r>
      <w:r>
        <w:rPr>
          <w:rFonts w:cstheme="minorBidi"/>
          <w:szCs w:val="22"/>
        </w:rPr>
        <w:t xml:space="preserve"> Rejecting both Foucauldian models of ‘elite conceptual download’, and approaches that take administrator views at face value, it argues that the material circu</w:t>
      </w:r>
      <w:r w:rsidR="00C10234">
        <w:rPr>
          <w:rFonts w:cstheme="minorBidi"/>
          <w:szCs w:val="22"/>
        </w:rPr>
        <w:t xml:space="preserve">mstances of day-to-day working may </w:t>
      </w:r>
      <w:r>
        <w:rPr>
          <w:rFonts w:cstheme="minorBidi"/>
          <w:szCs w:val="22"/>
        </w:rPr>
        <w:t xml:space="preserve">constitute the most significant influence on administrator views. </w:t>
      </w:r>
      <w:r w:rsidR="00214815">
        <w:rPr>
          <w:rFonts w:cstheme="minorBidi"/>
          <w:szCs w:val="22"/>
        </w:rPr>
        <w:t xml:space="preserve">This both supports a more materialist, less idealist and/or positivistic approach, </w:t>
      </w:r>
      <w:proofErr w:type="gramStart"/>
      <w:r w:rsidR="00214815">
        <w:rPr>
          <w:rFonts w:cstheme="minorBidi"/>
          <w:szCs w:val="22"/>
        </w:rPr>
        <w:t>and also</w:t>
      </w:r>
      <w:proofErr w:type="gramEnd"/>
      <w:r w:rsidR="00214815">
        <w:rPr>
          <w:rFonts w:cstheme="minorBidi"/>
          <w:szCs w:val="22"/>
        </w:rPr>
        <w:t xml:space="preserve"> suggests the pressing need for more contextualised</w:t>
      </w:r>
      <w:r w:rsidR="00C10234">
        <w:rPr>
          <w:rFonts w:cstheme="minorBidi"/>
          <w:szCs w:val="22"/>
        </w:rPr>
        <w:t>, ethnographic</w:t>
      </w:r>
      <w:r w:rsidR="00214815">
        <w:rPr>
          <w:rFonts w:cstheme="minorBidi"/>
          <w:szCs w:val="22"/>
        </w:rPr>
        <w:t xml:space="preserve"> analysis of data in welfare-to-work debates. </w:t>
      </w:r>
    </w:p>
    <w:p w:rsidR="00C76A92" w:rsidRDefault="00C76A92" w:rsidP="00C76A92">
      <w:pPr>
        <w:spacing w:after="0" w:line="360" w:lineRule="auto"/>
        <w:jc w:val="both"/>
        <w:rPr>
          <w:rFonts w:cstheme="minorBidi"/>
          <w:szCs w:val="22"/>
        </w:rPr>
      </w:pPr>
    </w:p>
    <w:p w:rsidR="00C76A92" w:rsidRPr="00C76A92" w:rsidRDefault="00C76A92" w:rsidP="00C76A92">
      <w:pPr>
        <w:spacing w:after="0" w:line="360" w:lineRule="auto"/>
        <w:jc w:val="both"/>
        <w:rPr>
          <w:rFonts w:cstheme="minorBidi"/>
          <w:szCs w:val="22"/>
        </w:rPr>
      </w:pPr>
    </w:p>
    <w:p w:rsidR="004239C2" w:rsidRPr="004239C2" w:rsidRDefault="004239C2" w:rsidP="006608C6">
      <w:pPr>
        <w:pStyle w:val="ListParagraph"/>
        <w:numPr>
          <w:ilvl w:val="0"/>
          <w:numId w:val="4"/>
        </w:numPr>
        <w:spacing w:after="0" w:line="360" w:lineRule="auto"/>
        <w:jc w:val="both"/>
        <w:rPr>
          <w:rFonts w:cstheme="minorBidi"/>
          <w:i/>
          <w:szCs w:val="22"/>
        </w:rPr>
      </w:pPr>
      <w:r>
        <w:rPr>
          <w:rFonts w:cstheme="minorBidi"/>
          <w:i/>
          <w:szCs w:val="22"/>
        </w:rPr>
        <w:t>Introduction</w:t>
      </w:r>
    </w:p>
    <w:p w:rsidR="00C76A92" w:rsidRDefault="008330C1" w:rsidP="00E20BF2">
      <w:pPr>
        <w:spacing w:after="0" w:line="360" w:lineRule="auto"/>
        <w:ind w:firstLine="720"/>
        <w:jc w:val="both"/>
        <w:rPr>
          <w:rFonts w:cstheme="minorBidi"/>
          <w:szCs w:val="22"/>
        </w:rPr>
      </w:pPr>
      <w:r w:rsidRPr="008330C1">
        <w:rPr>
          <w:rFonts w:cstheme="minorBidi"/>
          <w:szCs w:val="22"/>
        </w:rPr>
        <w:t>Researchers both supportive and critical of welfare schemes regularly explore the influence, legitimacy and effects of w</w:t>
      </w:r>
      <w:r>
        <w:rPr>
          <w:rFonts w:cstheme="minorBidi"/>
          <w:szCs w:val="22"/>
        </w:rPr>
        <w:t>elfare administrator opinions. However, t</w:t>
      </w:r>
      <w:r w:rsidRPr="008330C1">
        <w:rPr>
          <w:rFonts w:cstheme="minorBidi"/>
          <w:szCs w:val="22"/>
        </w:rPr>
        <w:t xml:space="preserve">he ‘origins’ of those opinions are </w:t>
      </w:r>
      <w:r>
        <w:rPr>
          <w:rFonts w:cstheme="minorBidi"/>
          <w:szCs w:val="22"/>
        </w:rPr>
        <w:t xml:space="preserve">generally </w:t>
      </w:r>
      <w:r w:rsidRPr="008330C1">
        <w:rPr>
          <w:rFonts w:cstheme="minorBidi"/>
          <w:szCs w:val="22"/>
        </w:rPr>
        <w:t>si</w:t>
      </w:r>
      <w:r>
        <w:rPr>
          <w:rFonts w:cstheme="minorBidi"/>
          <w:szCs w:val="22"/>
        </w:rPr>
        <w:t>gnificantly less well considered</w:t>
      </w:r>
      <w:r w:rsidRPr="008330C1">
        <w:rPr>
          <w:rFonts w:cstheme="minorBidi"/>
          <w:szCs w:val="22"/>
        </w:rPr>
        <w:t xml:space="preserve">. </w:t>
      </w:r>
      <w:r w:rsidR="00C91706">
        <w:rPr>
          <w:rFonts w:cstheme="minorBidi"/>
          <w:szCs w:val="22"/>
        </w:rPr>
        <w:t>This paper explores and problematises the use of welfare-to-work administrator testimony in social scie</w:t>
      </w:r>
      <w:r w:rsidR="005E08C1">
        <w:rPr>
          <w:rFonts w:cstheme="minorBidi"/>
          <w:szCs w:val="22"/>
        </w:rPr>
        <w:t>nce and social policy research ‘on’ the unemployed and/or the effectiveness of unemployment</w:t>
      </w:r>
      <w:r w:rsidR="004C7E5F">
        <w:rPr>
          <w:rFonts w:cstheme="minorBidi"/>
          <w:szCs w:val="22"/>
        </w:rPr>
        <w:t xml:space="preserve"> welfare</w:t>
      </w:r>
      <w:r w:rsidR="005E08C1">
        <w:rPr>
          <w:rFonts w:cstheme="minorBidi"/>
          <w:szCs w:val="22"/>
        </w:rPr>
        <w:t xml:space="preserve"> schemes. </w:t>
      </w:r>
    </w:p>
    <w:p w:rsidR="00613F0E" w:rsidRDefault="009F3434" w:rsidP="00E20BF2">
      <w:pPr>
        <w:spacing w:after="0" w:line="360" w:lineRule="auto"/>
        <w:ind w:firstLine="720"/>
        <w:jc w:val="both"/>
        <w:rPr>
          <w:rFonts w:cstheme="minorBidi"/>
          <w:szCs w:val="22"/>
        </w:rPr>
      </w:pPr>
      <w:r>
        <w:rPr>
          <w:rFonts w:cstheme="minorBidi"/>
          <w:szCs w:val="22"/>
        </w:rPr>
        <w:t>W</w:t>
      </w:r>
      <w:r w:rsidR="005E08C1">
        <w:rPr>
          <w:rFonts w:cstheme="minorBidi"/>
          <w:szCs w:val="22"/>
        </w:rPr>
        <w:t>elfare-to-work administrators</w:t>
      </w:r>
      <w:r>
        <w:rPr>
          <w:rFonts w:cstheme="minorBidi"/>
          <w:szCs w:val="22"/>
        </w:rPr>
        <w:t>’ daily interaction</w:t>
      </w:r>
      <w:r w:rsidR="005E08C1">
        <w:rPr>
          <w:rFonts w:cstheme="minorBidi"/>
          <w:szCs w:val="22"/>
        </w:rPr>
        <w:t xml:space="preserve"> </w:t>
      </w:r>
      <w:r w:rsidR="006F3554" w:rsidRPr="006F3554">
        <w:rPr>
          <w:rFonts w:cstheme="minorBidi"/>
          <w:szCs w:val="22"/>
        </w:rPr>
        <w:t>with</w:t>
      </w:r>
      <w:r>
        <w:rPr>
          <w:rFonts w:cstheme="minorBidi"/>
          <w:szCs w:val="22"/>
        </w:rPr>
        <w:t xml:space="preserve"> unemployment</w:t>
      </w:r>
      <w:r w:rsidR="006F3554" w:rsidRPr="006F3554">
        <w:rPr>
          <w:rFonts w:cstheme="minorBidi"/>
          <w:szCs w:val="22"/>
        </w:rPr>
        <w:t xml:space="preserve"> claimants and services grant them a</w:t>
      </w:r>
      <w:r w:rsidR="005E08C1">
        <w:rPr>
          <w:rFonts w:cstheme="minorBidi"/>
          <w:szCs w:val="22"/>
        </w:rPr>
        <w:t xml:space="preserve"> malleable </w:t>
      </w:r>
      <w:r w:rsidR="00C91706">
        <w:rPr>
          <w:rFonts w:cstheme="minorBidi"/>
          <w:szCs w:val="22"/>
        </w:rPr>
        <w:t xml:space="preserve">legitimacy as informants, </w:t>
      </w:r>
      <w:r w:rsidR="005E08C1">
        <w:rPr>
          <w:rFonts w:cstheme="minorBidi"/>
          <w:szCs w:val="22"/>
        </w:rPr>
        <w:t>broadly divisible into two approaches currently popular in welfare-to-work studies: either citing them as</w:t>
      </w:r>
      <w:r w:rsidR="00482F3C">
        <w:rPr>
          <w:rFonts w:cstheme="minorBidi"/>
          <w:szCs w:val="22"/>
        </w:rPr>
        <w:t xml:space="preserve"> reasonably</w:t>
      </w:r>
      <w:r w:rsidR="005E08C1">
        <w:rPr>
          <w:rFonts w:cstheme="minorBidi"/>
          <w:szCs w:val="22"/>
        </w:rPr>
        <w:t xml:space="preserve"> solid</w:t>
      </w:r>
      <w:r w:rsidR="008330C1">
        <w:rPr>
          <w:rFonts w:cstheme="minorBidi"/>
          <w:szCs w:val="22"/>
        </w:rPr>
        <w:t xml:space="preserve"> sources of in-the-field </w:t>
      </w:r>
      <w:r w:rsidR="00C91706">
        <w:rPr>
          <w:rFonts w:cstheme="minorBidi"/>
          <w:szCs w:val="22"/>
        </w:rPr>
        <w:t>reportage</w:t>
      </w:r>
      <w:r w:rsidR="008330C1">
        <w:rPr>
          <w:rFonts w:cstheme="minorBidi"/>
          <w:szCs w:val="22"/>
        </w:rPr>
        <w:t xml:space="preserve">, including </w:t>
      </w:r>
      <w:r w:rsidR="00214815">
        <w:rPr>
          <w:rFonts w:cstheme="minorBidi"/>
          <w:szCs w:val="22"/>
        </w:rPr>
        <w:t xml:space="preserve">on </w:t>
      </w:r>
      <w:r w:rsidR="008330C1">
        <w:rPr>
          <w:rFonts w:cstheme="minorBidi"/>
          <w:szCs w:val="22"/>
        </w:rPr>
        <w:t>their own behaviours</w:t>
      </w:r>
      <w:r w:rsidR="002301ED">
        <w:rPr>
          <w:rFonts w:cstheme="minorBidi"/>
          <w:szCs w:val="22"/>
        </w:rPr>
        <w:t xml:space="preserve"> and use of discretion</w:t>
      </w:r>
      <w:r w:rsidR="008330C1">
        <w:rPr>
          <w:rFonts w:cstheme="minorBidi"/>
          <w:szCs w:val="22"/>
        </w:rPr>
        <w:t xml:space="preserve"> (</w:t>
      </w:r>
      <w:r w:rsidR="00A60B23">
        <w:rPr>
          <w:rFonts w:cstheme="minorBidi"/>
          <w:szCs w:val="22"/>
        </w:rPr>
        <w:t xml:space="preserve">Bartholomew, 2006; </w:t>
      </w:r>
      <w:r w:rsidR="008330C1">
        <w:rPr>
          <w:rFonts w:cstheme="minorBidi"/>
          <w:szCs w:val="22"/>
        </w:rPr>
        <w:t xml:space="preserve">Dunn, 2014; </w:t>
      </w:r>
      <w:proofErr w:type="spellStart"/>
      <w:r w:rsidR="008330C1">
        <w:rPr>
          <w:rFonts w:cstheme="minorBidi"/>
          <w:szCs w:val="22"/>
        </w:rPr>
        <w:t>Shildrick</w:t>
      </w:r>
      <w:proofErr w:type="spellEnd"/>
      <w:r w:rsidR="008330C1">
        <w:rPr>
          <w:rFonts w:cstheme="minorBidi"/>
          <w:szCs w:val="22"/>
        </w:rPr>
        <w:t xml:space="preserve"> </w:t>
      </w:r>
      <w:r w:rsidR="008330C1">
        <w:rPr>
          <w:rFonts w:cstheme="minorBidi"/>
          <w:i/>
          <w:szCs w:val="22"/>
        </w:rPr>
        <w:t>et al.</w:t>
      </w:r>
      <w:r w:rsidR="008330C1">
        <w:rPr>
          <w:rFonts w:cstheme="minorBidi"/>
          <w:szCs w:val="22"/>
        </w:rPr>
        <w:t>, 2013)</w:t>
      </w:r>
      <w:r w:rsidR="00C91706">
        <w:rPr>
          <w:rFonts w:cstheme="minorBidi"/>
          <w:szCs w:val="22"/>
        </w:rPr>
        <w:t xml:space="preserve"> </w:t>
      </w:r>
      <w:r w:rsidR="005E08C1">
        <w:rPr>
          <w:rFonts w:cstheme="minorBidi"/>
          <w:szCs w:val="22"/>
        </w:rPr>
        <w:t>or, conversely,</w:t>
      </w:r>
      <w:r>
        <w:rPr>
          <w:rFonts w:cstheme="minorBidi"/>
          <w:szCs w:val="22"/>
        </w:rPr>
        <w:t xml:space="preserve"> </w:t>
      </w:r>
      <w:r w:rsidR="00482F3C">
        <w:rPr>
          <w:rFonts w:cstheme="minorBidi"/>
          <w:szCs w:val="22"/>
        </w:rPr>
        <w:t xml:space="preserve">as </w:t>
      </w:r>
      <w:r>
        <w:rPr>
          <w:rFonts w:cstheme="minorBidi"/>
          <w:szCs w:val="22"/>
        </w:rPr>
        <w:t xml:space="preserve">prosecutors of </w:t>
      </w:r>
      <w:r w:rsidR="00A63EF6">
        <w:rPr>
          <w:rFonts w:cstheme="minorBidi"/>
          <w:szCs w:val="22"/>
        </w:rPr>
        <w:t xml:space="preserve">punitive </w:t>
      </w:r>
      <w:r>
        <w:rPr>
          <w:rFonts w:cstheme="minorBidi"/>
          <w:szCs w:val="22"/>
        </w:rPr>
        <w:t xml:space="preserve">neoliberal </w:t>
      </w:r>
      <w:r w:rsidR="008330C1">
        <w:rPr>
          <w:rFonts w:cstheme="minorBidi"/>
          <w:szCs w:val="22"/>
        </w:rPr>
        <w:t>‘</w:t>
      </w:r>
      <w:r w:rsidR="00A63EF6">
        <w:rPr>
          <w:rFonts w:cstheme="minorBidi"/>
          <w:szCs w:val="22"/>
        </w:rPr>
        <w:t>micro-regulation</w:t>
      </w:r>
      <w:r w:rsidR="008330C1">
        <w:rPr>
          <w:rFonts w:cstheme="minorBidi"/>
          <w:szCs w:val="22"/>
        </w:rPr>
        <w:t>’</w:t>
      </w:r>
      <w:r w:rsidR="00A63EF6">
        <w:rPr>
          <w:rFonts w:cstheme="minorBidi"/>
          <w:szCs w:val="22"/>
        </w:rPr>
        <w:t xml:space="preserve"> (Peck, 2001</w:t>
      </w:r>
      <w:r w:rsidR="00C76A92">
        <w:rPr>
          <w:rFonts w:cstheme="minorBidi"/>
          <w:szCs w:val="22"/>
        </w:rPr>
        <w:t xml:space="preserve">; Goldberg, 2001; Schram </w:t>
      </w:r>
      <w:r w:rsidR="00C76A92">
        <w:rPr>
          <w:rFonts w:cstheme="minorBidi"/>
          <w:i/>
          <w:szCs w:val="22"/>
        </w:rPr>
        <w:t>et al.</w:t>
      </w:r>
      <w:r w:rsidR="00C76A92">
        <w:rPr>
          <w:rFonts w:cstheme="minorBidi"/>
          <w:szCs w:val="22"/>
        </w:rPr>
        <w:t xml:space="preserve"> 2010</w:t>
      </w:r>
      <w:r w:rsidR="00A63EF6">
        <w:rPr>
          <w:rFonts w:cstheme="minorBidi"/>
          <w:szCs w:val="22"/>
        </w:rPr>
        <w:t>)</w:t>
      </w:r>
      <w:r w:rsidR="005E08C1">
        <w:rPr>
          <w:rFonts w:cstheme="minorBidi"/>
          <w:szCs w:val="22"/>
        </w:rPr>
        <w:t xml:space="preserve">. In the former case, administrator knowledge is assumed to stem from daily </w:t>
      </w:r>
      <w:r w:rsidR="00482F3C">
        <w:rPr>
          <w:rFonts w:cstheme="minorBidi"/>
          <w:szCs w:val="22"/>
        </w:rPr>
        <w:t>observation of</w:t>
      </w:r>
      <w:r w:rsidR="005E08C1">
        <w:rPr>
          <w:rFonts w:cstheme="minorBidi"/>
          <w:szCs w:val="22"/>
        </w:rPr>
        <w:t xml:space="preserve"> schemes and par</w:t>
      </w:r>
      <w:r>
        <w:rPr>
          <w:rFonts w:cstheme="minorBidi"/>
          <w:szCs w:val="22"/>
        </w:rPr>
        <w:t>ticipants</w:t>
      </w:r>
      <w:r w:rsidR="00A63EF6">
        <w:rPr>
          <w:rFonts w:cstheme="minorBidi"/>
          <w:szCs w:val="22"/>
        </w:rPr>
        <w:t>; an idea captured by the phrase ‘frontline workers’</w:t>
      </w:r>
      <w:r>
        <w:rPr>
          <w:rFonts w:cstheme="minorBidi"/>
          <w:szCs w:val="22"/>
        </w:rPr>
        <w:t xml:space="preserve">. In the latter, from the more abstract Foucauldian </w:t>
      </w:r>
      <w:r w:rsidR="00191DB3">
        <w:rPr>
          <w:rFonts w:cstheme="minorBidi"/>
          <w:szCs w:val="22"/>
        </w:rPr>
        <w:t xml:space="preserve">concept </w:t>
      </w:r>
      <w:r w:rsidR="00214815">
        <w:rPr>
          <w:rFonts w:cstheme="minorBidi"/>
          <w:szCs w:val="22"/>
        </w:rPr>
        <w:t xml:space="preserve">of </w:t>
      </w:r>
      <w:r w:rsidR="00191DB3">
        <w:rPr>
          <w:rFonts w:cstheme="minorBidi"/>
          <w:szCs w:val="22"/>
        </w:rPr>
        <w:t>diffuse, pathological ‘governmentalities’, meaning</w:t>
      </w:r>
      <w:r w:rsidR="00C10234">
        <w:rPr>
          <w:rFonts w:cstheme="minorBidi"/>
          <w:szCs w:val="22"/>
        </w:rPr>
        <w:t>,</w:t>
      </w:r>
      <w:r w:rsidR="00613F0E" w:rsidRPr="00613F0E">
        <w:rPr>
          <w:rFonts w:cstheme="minorBidi"/>
          <w:szCs w:val="22"/>
        </w:rPr>
        <w:t xml:space="preserve"> administrative techniques that transubstantiate service </w:t>
      </w:r>
      <w:r w:rsidR="00C10234">
        <w:rPr>
          <w:rFonts w:cstheme="minorBidi"/>
          <w:szCs w:val="22"/>
        </w:rPr>
        <w:t>providers and users</w:t>
      </w:r>
      <w:r w:rsidR="00613F0E" w:rsidRPr="00613F0E">
        <w:rPr>
          <w:rFonts w:cstheme="minorBidi"/>
          <w:szCs w:val="22"/>
        </w:rPr>
        <w:t xml:space="preserve"> into </w:t>
      </w:r>
      <w:r w:rsidR="00613F0E" w:rsidRPr="00613F0E">
        <w:rPr>
          <w:rFonts w:cstheme="minorBidi"/>
          <w:szCs w:val="22"/>
        </w:rPr>
        <w:lastRenderedPageBreak/>
        <w:t xml:space="preserve">organisational/neoliberal ‘subjectivities’ (Danaher </w:t>
      </w:r>
      <w:r w:rsidR="00613F0E" w:rsidRPr="00613F0E">
        <w:rPr>
          <w:rFonts w:cstheme="minorBidi"/>
          <w:i/>
          <w:szCs w:val="22"/>
        </w:rPr>
        <w:t>et al</w:t>
      </w:r>
      <w:r w:rsidR="00613F0E" w:rsidRPr="00613F0E">
        <w:rPr>
          <w:rFonts w:cstheme="minorBidi"/>
          <w:szCs w:val="22"/>
        </w:rPr>
        <w:t>., 2000)</w:t>
      </w:r>
      <w:r w:rsidR="00613F0E">
        <w:rPr>
          <w:rFonts w:cstheme="minorBidi"/>
          <w:szCs w:val="22"/>
        </w:rPr>
        <w:t>.</w:t>
      </w:r>
      <w:r w:rsidR="002301ED">
        <w:rPr>
          <w:rFonts w:cstheme="minorBidi"/>
          <w:szCs w:val="22"/>
        </w:rPr>
        <w:t xml:space="preserve"> While it is not clear precisely what this means, the implication is that </w:t>
      </w:r>
      <w:r w:rsidR="00C10234">
        <w:rPr>
          <w:rFonts w:cstheme="minorBidi"/>
          <w:szCs w:val="22"/>
        </w:rPr>
        <w:t>administrators have elite neoliberal ideology</w:t>
      </w:r>
      <w:r w:rsidR="002301ED">
        <w:rPr>
          <w:rFonts w:cstheme="minorBidi"/>
          <w:szCs w:val="22"/>
        </w:rPr>
        <w:t xml:space="preserve"> somehow</w:t>
      </w:r>
      <w:r w:rsidR="00C10234">
        <w:rPr>
          <w:rFonts w:cstheme="minorBidi"/>
          <w:szCs w:val="22"/>
        </w:rPr>
        <w:t xml:space="preserve"> ‘downloaded’ into them. </w:t>
      </w:r>
    </w:p>
    <w:p w:rsidR="00887E55" w:rsidRDefault="005E08C1" w:rsidP="00214815">
      <w:pPr>
        <w:spacing w:after="0" w:line="360" w:lineRule="auto"/>
        <w:ind w:firstLine="360"/>
        <w:jc w:val="both"/>
        <w:rPr>
          <w:rFonts w:cstheme="minorBidi"/>
          <w:szCs w:val="22"/>
        </w:rPr>
      </w:pPr>
      <w:r>
        <w:rPr>
          <w:rFonts w:cstheme="minorBidi"/>
          <w:szCs w:val="22"/>
        </w:rPr>
        <w:t xml:space="preserve"> </w:t>
      </w:r>
      <w:r w:rsidR="00E20BF2">
        <w:rPr>
          <w:rFonts w:cstheme="minorBidi"/>
          <w:szCs w:val="22"/>
        </w:rPr>
        <w:tab/>
      </w:r>
      <w:r w:rsidR="006F3554">
        <w:rPr>
          <w:rFonts w:cstheme="minorBidi"/>
          <w:szCs w:val="22"/>
        </w:rPr>
        <w:t>Drawing upon field research conducted in 2014 in two UK ‘Work Programme’ [henceforth ‘WP’] welfare-to-work centres</w:t>
      </w:r>
      <w:r w:rsidR="00C63F96">
        <w:rPr>
          <w:rFonts w:cstheme="minorBidi"/>
          <w:szCs w:val="22"/>
        </w:rPr>
        <w:t>, this article</w:t>
      </w:r>
      <w:r w:rsidR="00482F3C">
        <w:rPr>
          <w:rFonts w:cstheme="minorBidi"/>
          <w:szCs w:val="22"/>
        </w:rPr>
        <w:t xml:space="preserve"> </w:t>
      </w:r>
      <w:r w:rsidR="009F3434">
        <w:rPr>
          <w:rFonts w:cstheme="minorBidi"/>
          <w:szCs w:val="22"/>
        </w:rPr>
        <w:t>highlights</w:t>
      </w:r>
      <w:r w:rsidR="00482F3C">
        <w:rPr>
          <w:rFonts w:cstheme="minorBidi"/>
          <w:szCs w:val="22"/>
        </w:rPr>
        <w:t xml:space="preserve"> </w:t>
      </w:r>
      <w:r w:rsidR="00A63EF6">
        <w:rPr>
          <w:rFonts w:cstheme="minorBidi"/>
          <w:szCs w:val="22"/>
        </w:rPr>
        <w:t>an alternative</w:t>
      </w:r>
      <w:r>
        <w:rPr>
          <w:rFonts w:cstheme="minorBidi"/>
          <w:szCs w:val="22"/>
        </w:rPr>
        <w:t xml:space="preserve"> </w:t>
      </w:r>
      <w:r w:rsidR="00482F3C">
        <w:rPr>
          <w:rFonts w:cstheme="minorBidi"/>
          <w:szCs w:val="22"/>
        </w:rPr>
        <w:t>possibility</w:t>
      </w:r>
      <w:r>
        <w:rPr>
          <w:rFonts w:cstheme="minorBidi"/>
          <w:szCs w:val="22"/>
        </w:rPr>
        <w:t xml:space="preserve">: </w:t>
      </w:r>
      <w:r w:rsidR="008330C1">
        <w:rPr>
          <w:rFonts w:cstheme="minorBidi"/>
          <w:szCs w:val="22"/>
        </w:rPr>
        <w:t>that welfare-to-work centres</w:t>
      </w:r>
      <w:r w:rsidR="00A63EF6">
        <w:rPr>
          <w:rFonts w:cstheme="minorBidi"/>
          <w:szCs w:val="22"/>
        </w:rPr>
        <w:t xml:space="preserve"> are active sites of opinion </w:t>
      </w:r>
      <w:proofErr w:type="gramStart"/>
      <w:r w:rsidR="00A63EF6">
        <w:rPr>
          <w:rFonts w:cstheme="minorBidi"/>
          <w:szCs w:val="22"/>
        </w:rPr>
        <w:t>construction</w:t>
      </w:r>
      <w:r w:rsidR="008330C1">
        <w:rPr>
          <w:rFonts w:cstheme="minorBidi"/>
          <w:szCs w:val="22"/>
        </w:rPr>
        <w:t xml:space="preserve"> in their own right</w:t>
      </w:r>
      <w:proofErr w:type="gramEnd"/>
      <w:r w:rsidR="008330C1">
        <w:rPr>
          <w:rFonts w:cstheme="minorBidi"/>
          <w:szCs w:val="22"/>
        </w:rPr>
        <w:t xml:space="preserve">. Secondly, that this </w:t>
      </w:r>
      <w:proofErr w:type="gramStart"/>
      <w:r w:rsidR="008330C1">
        <w:rPr>
          <w:rFonts w:cstheme="minorBidi"/>
          <w:szCs w:val="22"/>
        </w:rPr>
        <w:t>often hidden</w:t>
      </w:r>
      <w:proofErr w:type="gramEnd"/>
      <w:r w:rsidR="008330C1">
        <w:rPr>
          <w:rFonts w:cstheme="minorBidi"/>
          <w:szCs w:val="22"/>
        </w:rPr>
        <w:t xml:space="preserve"> level of opinion construction must be considered when assessing the validity of staff </w:t>
      </w:r>
      <w:r w:rsidR="00214815">
        <w:rPr>
          <w:rFonts w:cstheme="minorBidi"/>
          <w:szCs w:val="22"/>
        </w:rPr>
        <w:t>interview data</w:t>
      </w:r>
      <w:r w:rsidR="00A63EF6">
        <w:rPr>
          <w:rFonts w:cstheme="minorBidi"/>
          <w:szCs w:val="22"/>
        </w:rPr>
        <w:t xml:space="preserve">. </w:t>
      </w:r>
      <w:r w:rsidR="00105867">
        <w:rPr>
          <w:rFonts w:cstheme="minorBidi"/>
          <w:szCs w:val="22"/>
        </w:rPr>
        <w:t xml:space="preserve">This article therefore contributes to </w:t>
      </w:r>
      <w:r w:rsidR="00887E55">
        <w:rPr>
          <w:rFonts w:cstheme="minorBidi"/>
          <w:szCs w:val="22"/>
        </w:rPr>
        <w:t xml:space="preserve">sociological </w:t>
      </w:r>
      <w:r w:rsidR="00105867">
        <w:rPr>
          <w:rFonts w:cstheme="minorBidi"/>
          <w:szCs w:val="22"/>
        </w:rPr>
        <w:t>debates surrounding the day-to-day functioning of welfare-to-work programmes</w:t>
      </w:r>
      <w:r w:rsidR="006608C6">
        <w:rPr>
          <w:rFonts w:cstheme="minorBidi"/>
          <w:szCs w:val="22"/>
        </w:rPr>
        <w:t>,</w:t>
      </w:r>
      <w:r w:rsidR="00A073DF">
        <w:rPr>
          <w:rFonts w:cstheme="minorBidi"/>
          <w:szCs w:val="22"/>
        </w:rPr>
        <w:t xml:space="preserve"> firstly</w:t>
      </w:r>
      <w:r w:rsidR="00214815">
        <w:rPr>
          <w:rFonts w:cstheme="minorBidi"/>
          <w:szCs w:val="22"/>
        </w:rPr>
        <w:t>,</w:t>
      </w:r>
      <w:r w:rsidR="00A073DF">
        <w:rPr>
          <w:rFonts w:cstheme="minorBidi"/>
          <w:szCs w:val="22"/>
        </w:rPr>
        <w:t xml:space="preserve"> by highlighting the importance of direct ethnographic enquiry (as opposed </w:t>
      </w:r>
      <w:r w:rsidR="00887E55">
        <w:rPr>
          <w:rFonts w:cstheme="minorBidi"/>
          <w:szCs w:val="22"/>
        </w:rPr>
        <w:t>to in</w:t>
      </w:r>
      <w:r w:rsidR="00C10234">
        <w:rPr>
          <w:rFonts w:cstheme="minorBidi"/>
          <w:szCs w:val="22"/>
        </w:rPr>
        <w:t>terviews alone) in</w:t>
      </w:r>
      <w:r w:rsidR="00887E55">
        <w:rPr>
          <w:rFonts w:cstheme="minorBidi"/>
          <w:szCs w:val="22"/>
        </w:rPr>
        <w:t xml:space="preserve"> contextualising administrators’</w:t>
      </w:r>
      <w:r w:rsidR="00A073DF">
        <w:rPr>
          <w:rFonts w:cstheme="minorBidi"/>
          <w:szCs w:val="22"/>
        </w:rPr>
        <w:t xml:space="preserve"> statements</w:t>
      </w:r>
      <w:r w:rsidR="00887E55">
        <w:rPr>
          <w:rFonts w:cstheme="minorBidi"/>
          <w:szCs w:val="22"/>
        </w:rPr>
        <w:t xml:space="preserve">. Secondly, by </w:t>
      </w:r>
      <w:r w:rsidR="00214815">
        <w:rPr>
          <w:rFonts w:cstheme="minorBidi"/>
          <w:szCs w:val="22"/>
        </w:rPr>
        <w:t>arguing</w:t>
      </w:r>
      <w:r w:rsidR="00887E55">
        <w:rPr>
          <w:rFonts w:cstheme="minorBidi"/>
          <w:szCs w:val="22"/>
        </w:rPr>
        <w:t xml:space="preserve"> that the </w:t>
      </w:r>
      <w:proofErr w:type="gramStart"/>
      <w:r w:rsidR="00887E55">
        <w:rPr>
          <w:rFonts w:cstheme="minorBidi"/>
          <w:szCs w:val="22"/>
        </w:rPr>
        <w:t>fairly straightforward</w:t>
      </w:r>
      <w:proofErr w:type="gramEnd"/>
      <w:r w:rsidR="00887E55">
        <w:rPr>
          <w:rFonts w:cstheme="minorBidi"/>
          <w:szCs w:val="22"/>
        </w:rPr>
        <w:t xml:space="preserve"> economic realities of day-to-day ‘service delivery’ can be at least as important in forming staff perceptions as any other factors</w:t>
      </w:r>
      <w:r w:rsidR="007D3800">
        <w:rPr>
          <w:rFonts w:cstheme="minorBidi"/>
          <w:szCs w:val="22"/>
        </w:rPr>
        <w:t>;</w:t>
      </w:r>
      <w:r w:rsidR="00D12478">
        <w:rPr>
          <w:rFonts w:cstheme="minorBidi"/>
          <w:szCs w:val="22"/>
        </w:rPr>
        <w:t xml:space="preserve"> such as, for example,</w:t>
      </w:r>
      <w:r w:rsidR="00887E55">
        <w:rPr>
          <w:rFonts w:cstheme="minorBidi"/>
          <w:szCs w:val="22"/>
        </w:rPr>
        <w:t xml:space="preserve"> ‘elite discourse’,</w:t>
      </w:r>
      <w:r w:rsidR="00D12478">
        <w:rPr>
          <w:rFonts w:cstheme="minorBidi"/>
          <w:szCs w:val="22"/>
        </w:rPr>
        <w:t xml:space="preserve"> </w:t>
      </w:r>
      <w:r w:rsidR="008330C1">
        <w:rPr>
          <w:rFonts w:cstheme="minorBidi"/>
          <w:szCs w:val="22"/>
        </w:rPr>
        <w:t xml:space="preserve">‘street-level bureaucracy’, </w:t>
      </w:r>
      <w:r w:rsidR="00D12478">
        <w:rPr>
          <w:rFonts w:cstheme="minorBidi"/>
          <w:szCs w:val="22"/>
        </w:rPr>
        <w:t>media influence or</w:t>
      </w:r>
      <w:r w:rsidR="008330C1">
        <w:rPr>
          <w:rFonts w:cstheme="minorBidi"/>
          <w:szCs w:val="22"/>
        </w:rPr>
        <w:t xml:space="preserve"> Foucauldian</w:t>
      </w:r>
      <w:r w:rsidR="00887E55">
        <w:rPr>
          <w:rFonts w:cstheme="minorBidi"/>
          <w:szCs w:val="22"/>
        </w:rPr>
        <w:t xml:space="preserve"> ‘governmentalities’</w:t>
      </w:r>
      <w:r w:rsidR="00D12478">
        <w:rPr>
          <w:rFonts w:cstheme="minorBidi"/>
          <w:szCs w:val="22"/>
        </w:rPr>
        <w:t xml:space="preserve">. </w:t>
      </w:r>
    </w:p>
    <w:p w:rsidR="003F3915" w:rsidRPr="003F3915" w:rsidRDefault="003F3915" w:rsidP="006608C6">
      <w:pPr>
        <w:spacing w:after="0" w:line="360" w:lineRule="auto"/>
        <w:jc w:val="both"/>
        <w:rPr>
          <w:rFonts w:cstheme="minorBidi"/>
          <w:szCs w:val="22"/>
        </w:rPr>
      </w:pPr>
      <w:r>
        <w:rPr>
          <w:rFonts w:cstheme="minorBidi"/>
          <w:szCs w:val="22"/>
        </w:rPr>
        <w:tab/>
        <w:t>The remainder of th</w:t>
      </w:r>
      <w:r w:rsidR="00FA2E88">
        <w:rPr>
          <w:rFonts w:cstheme="minorBidi"/>
          <w:szCs w:val="22"/>
        </w:rPr>
        <w:t xml:space="preserve">is article is divided into five </w:t>
      </w:r>
      <w:r>
        <w:rPr>
          <w:rFonts w:cstheme="minorBidi"/>
          <w:szCs w:val="22"/>
        </w:rPr>
        <w:t xml:space="preserve">sections. Section 2 provides a brief overview of the WP. Section </w:t>
      </w:r>
      <w:r w:rsidR="000275C6">
        <w:rPr>
          <w:rFonts w:cstheme="minorBidi"/>
          <w:szCs w:val="22"/>
        </w:rPr>
        <w:t>3 discusses the research and field methods used in</w:t>
      </w:r>
      <w:r w:rsidR="00C63F96">
        <w:rPr>
          <w:rFonts w:cstheme="minorBidi"/>
          <w:szCs w:val="22"/>
        </w:rPr>
        <w:t xml:space="preserve"> this study. Section 4 provides a critical literature review</w:t>
      </w:r>
      <w:r>
        <w:rPr>
          <w:rFonts w:cstheme="minorBidi"/>
          <w:szCs w:val="22"/>
        </w:rPr>
        <w:t>. S</w:t>
      </w:r>
      <w:r w:rsidR="00FA2E88">
        <w:rPr>
          <w:rFonts w:cstheme="minorBidi"/>
          <w:szCs w:val="22"/>
        </w:rPr>
        <w:t>ection 5</w:t>
      </w:r>
      <w:r w:rsidR="00100A52">
        <w:rPr>
          <w:rFonts w:cstheme="minorBidi"/>
          <w:szCs w:val="22"/>
        </w:rPr>
        <w:t xml:space="preserve"> presents the data</w:t>
      </w:r>
      <w:r w:rsidR="007D3800">
        <w:rPr>
          <w:rFonts w:cstheme="minorBidi"/>
          <w:szCs w:val="22"/>
        </w:rPr>
        <w:t>, plus</w:t>
      </w:r>
      <w:r>
        <w:rPr>
          <w:rFonts w:cstheme="minorBidi"/>
          <w:szCs w:val="22"/>
        </w:rPr>
        <w:t xml:space="preserve"> the outlines of an ethnography of t</w:t>
      </w:r>
      <w:r w:rsidR="00FA2E88">
        <w:rPr>
          <w:rFonts w:cstheme="minorBidi"/>
          <w:szCs w:val="22"/>
        </w:rPr>
        <w:t>he centres researched. Section 6</w:t>
      </w:r>
      <w:r>
        <w:rPr>
          <w:rFonts w:cstheme="minorBidi"/>
          <w:szCs w:val="22"/>
        </w:rPr>
        <w:t xml:space="preserve"> offers a</w:t>
      </w:r>
      <w:r w:rsidR="00FA2E88">
        <w:rPr>
          <w:rFonts w:cstheme="minorBidi"/>
          <w:szCs w:val="22"/>
        </w:rPr>
        <w:t xml:space="preserve"> brief conclusion</w:t>
      </w:r>
      <w:r>
        <w:rPr>
          <w:rFonts w:cstheme="minorBidi"/>
          <w:szCs w:val="22"/>
        </w:rPr>
        <w:t>.</w:t>
      </w:r>
    </w:p>
    <w:p w:rsidR="004239C2" w:rsidRDefault="004239C2" w:rsidP="006608C6">
      <w:pPr>
        <w:spacing w:after="0" w:line="360" w:lineRule="auto"/>
        <w:ind w:firstLine="720"/>
        <w:jc w:val="both"/>
        <w:rPr>
          <w:rFonts w:cstheme="minorBidi"/>
          <w:bCs/>
          <w:szCs w:val="22"/>
        </w:rPr>
      </w:pPr>
    </w:p>
    <w:p w:rsidR="00B70ECD" w:rsidRPr="004239C2" w:rsidRDefault="004239C2" w:rsidP="006608C6">
      <w:pPr>
        <w:pStyle w:val="ListParagraph"/>
        <w:numPr>
          <w:ilvl w:val="0"/>
          <w:numId w:val="4"/>
        </w:numPr>
        <w:spacing w:after="0" w:line="360" w:lineRule="auto"/>
        <w:jc w:val="both"/>
        <w:rPr>
          <w:rFonts w:cstheme="minorBidi"/>
          <w:szCs w:val="22"/>
        </w:rPr>
      </w:pPr>
      <w:r w:rsidRPr="004239C2">
        <w:rPr>
          <w:rFonts w:cstheme="minorBidi"/>
          <w:i/>
          <w:szCs w:val="22"/>
        </w:rPr>
        <w:t>The Work Programme</w:t>
      </w:r>
    </w:p>
    <w:p w:rsidR="00370FF6" w:rsidRDefault="00370FF6" w:rsidP="006608C6">
      <w:pPr>
        <w:spacing w:after="0" w:line="360" w:lineRule="auto"/>
        <w:ind w:firstLine="720"/>
        <w:jc w:val="both"/>
        <w:rPr>
          <w:rFonts w:cstheme="minorBidi"/>
          <w:szCs w:val="22"/>
        </w:rPr>
      </w:pPr>
      <w:r>
        <w:rPr>
          <w:rFonts w:cstheme="minorBidi"/>
          <w:szCs w:val="22"/>
        </w:rPr>
        <w:t>The WP is a welfare-to-work scheme int</w:t>
      </w:r>
      <w:r w:rsidR="00FA2E88">
        <w:rPr>
          <w:rFonts w:cstheme="minorBidi"/>
          <w:szCs w:val="22"/>
        </w:rPr>
        <w:t>roduced into the UK in 2011</w:t>
      </w:r>
      <w:r w:rsidR="007D3800">
        <w:rPr>
          <w:rFonts w:cstheme="minorBidi"/>
          <w:szCs w:val="22"/>
        </w:rPr>
        <w:t>,</w:t>
      </w:r>
      <w:r w:rsidR="002301ED">
        <w:rPr>
          <w:rFonts w:cstheme="minorBidi"/>
          <w:szCs w:val="22"/>
        </w:rPr>
        <w:t xml:space="preserve"> which is</w:t>
      </w:r>
      <w:r>
        <w:rPr>
          <w:rFonts w:cstheme="minorBidi"/>
          <w:szCs w:val="22"/>
        </w:rPr>
        <w:t xml:space="preserve"> set to run until the end of 2017</w:t>
      </w:r>
      <w:r w:rsidR="00C10234">
        <w:rPr>
          <w:rFonts w:cstheme="minorBidi"/>
          <w:szCs w:val="22"/>
        </w:rPr>
        <w:t>,</w:t>
      </w:r>
      <w:r>
        <w:rPr>
          <w:rFonts w:cstheme="minorBidi"/>
          <w:szCs w:val="22"/>
        </w:rPr>
        <w:t xml:space="preserve"> when it will be replaced by the </w:t>
      </w:r>
      <w:r w:rsidR="007D3800">
        <w:rPr>
          <w:rFonts w:cstheme="minorBidi"/>
          <w:szCs w:val="22"/>
        </w:rPr>
        <w:t>‘</w:t>
      </w:r>
      <w:r>
        <w:rPr>
          <w:rFonts w:cstheme="minorBidi"/>
          <w:szCs w:val="22"/>
        </w:rPr>
        <w:t>Work and Health Programme</w:t>
      </w:r>
      <w:r w:rsidR="007D3800">
        <w:rPr>
          <w:rFonts w:cstheme="minorBidi"/>
          <w:szCs w:val="22"/>
        </w:rPr>
        <w:t>’</w:t>
      </w:r>
      <w:r w:rsidR="00C10234">
        <w:rPr>
          <w:rFonts w:cstheme="minorBidi"/>
          <w:szCs w:val="22"/>
        </w:rPr>
        <w:t>. The latter</w:t>
      </w:r>
      <w:r w:rsidR="00C63F96">
        <w:rPr>
          <w:rFonts w:cstheme="minorBidi"/>
          <w:szCs w:val="22"/>
        </w:rPr>
        <w:t xml:space="preserve"> will shift most WP emphasis onto sickness benefits claimants</w:t>
      </w:r>
      <w:r>
        <w:rPr>
          <w:rFonts w:cstheme="minorBidi"/>
          <w:szCs w:val="22"/>
        </w:rPr>
        <w:t xml:space="preserve"> (</w:t>
      </w:r>
      <w:r w:rsidR="009575D9">
        <w:rPr>
          <w:rFonts w:cstheme="minorBidi"/>
          <w:szCs w:val="22"/>
        </w:rPr>
        <w:t>Department for Work and Pensions [henceforth ‘</w:t>
      </w:r>
      <w:r>
        <w:rPr>
          <w:rFonts w:cstheme="minorBidi"/>
          <w:szCs w:val="22"/>
        </w:rPr>
        <w:t>DWP</w:t>
      </w:r>
      <w:r w:rsidR="009575D9">
        <w:rPr>
          <w:rFonts w:cstheme="minorBidi"/>
          <w:szCs w:val="22"/>
        </w:rPr>
        <w:t>’</w:t>
      </w:r>
      <w:r w:rsidR="00FA2E88">
        <w:rPr>
          <w:rFonts w:cstheme="minorBidi"/>
          <w:szCs w:val="22"/>
        </w:rPr>
        <w:t>],</w:t>
      </w:r>
      <w:r w:rsidR="00C10234">
        <w:rPr>
          <w:rFonts w:cstheme="minorBidi"/>
          <w:szCs w:val="22"/>
        </w:rPr>
        <w:t xml:space="preserve"> 2015). Currently, a</w:t>
      </w:r>
      <w:r>
        <w:rPr>
          <w:rFonts w:cstheme="minorBidi"/>
          <w:szCs w:val="22"/>
        </w:rPr>
        <w:t>cc</w:t>
      </w:r>
      <w:r w:rsidR="004B72EF">
        <w:rPr>
          <w:rFonts w:cstheme="minorBidi"/>
          <w:szCs w:val="22"/>
        </w:rPr>
        <w:t>ording to the UK Government, the WP’s</w:t>
      </w:r>
      <w:r w:rsidR="00214815">
        <w:rPr>
          <w:rFonts w:cstheme="minorBidi"/>
          <w:szCs w:val="22"/>
        </w:rPr>
        <w:t xml:space="preserve"> purpose is</w:t>
      </w:r>
      <w:r>
        <w:rPr>
          <w:rFonts w:cstheme="minorBidi"/>
          <w:szCs w:val="22"/>
        </w:rPr>
        <w:t>:</w:t>
      </w:r>
    </w:p>
    <w:p w:rsidR="00214815" w:rsidRDefault="00214815" w:rsidP="006608C6">
      <w:pPr>
        <w:spacing w:after="0" w:line="360" w:lineRule="auto"/>
        <w:ind w:firstLine="720"/>
        <w:jc w:val="both"/>
        <w:rPr>
          <w:rFonts w:cstheme="minorBidi"/>
          <w:szCs w:val="22"/>
        </w:rPr>
      </w:pPr>
    </w:p>
    <w:p w:rsidR="00370FF6" w:rsidRDefault="00370FF6" w:rsidP="006608C6">
      <w:pPr>
        <w:spacing w:line="240" w:lineRule="auto"/>
        <w:ind w:left="1134"/>
        <w:jc w:val="both"/>
        <w:rPr>
          <w:rFonts w:cstheme="minorBidi"/>
          <w:szCs w:val="22"/>
        </w:rPr>
      </w:pPr>
      <w:r w:rsidRPr="0004759C">
        <w:t>to increase employment [for the long-term unemployed] compared with previous schemes, decrease time spent on benefit, increase time employed for those coming off benefits, and narrow the performance gap between easi</w:t>
      </w:r>
      <w:r>
        <w:t>er and harder to help claimants.</w:t>
      </w:r>
      <w:r w:rsidRPr="0004759C">
        <w:t xml:space="preserve"> (N</w:t>
      </w:r>
      <w:r>
        <w:t xml:space="preserve">ational </w:t>
      </w:r>
      <w:r w:rsidRPr="0004759C">
        <w:t>A</w:t>
      </w:r>
      <w:r>
        <w:t xml:space="preserve">udit </w:t>
      </w:r>
      <w:r w:rsidRPr="0004759C">
        <w:t>O</w:t>
      </w:r>
      <w:r>
        <w:t>ffice, 2012: 5)</w:t>
      </w:r>
    </w:p>
    <w:p w:rsidR="00370FF6" w:rsidRDefault="00370FF6" w:rsidP="006608C6">
      <w:pPr>
        <w:spacing w:after="0" w:line="360" w:lineRule="auto"/>
        <w:jc w:val="both"/>
        <w:rPr>
          <w:rFonts w:cstheme="minorBidi"/>
          <w:szCs w:val="22"/>
        </w:rPr>
      </w:pPr>
    </w:p>
    <w:p w:rsidR="00370FF6" w:rsidRDefault="00370FF6" w:rsidP="006608C6">
      <w:pPr>
        <w:spacing w:after="0" w:line="360" w:lineRule="auto"/>
        <w:jc w:val="both"/>
        <w:rPr>
          <w:rFonts w:cstheme="minorBidi"/>
          <w:szCs w:val="22"/>
        </w:rPr>
      </w:pPr>
      <w:r>
        <w:rPr>
          <w:rFonts w:cstheme="minorBidi"/>
          <w:szCs w:val="22"/>
        </w:rPr>
        <w:tab/>
      </w:r>
      <w:r w:rsidR="0014797E">
        <w:rPr>
          <w:rFonts w:cstheme="minorBidi"/>
          <w:szCs w:val="22"/>
        </w:rPr>
        <w:t>The UK government divides</w:t>
      </w:r>
      <w:r w:rsidR="003A2286">
        <w:rPr>
          <w:rFonts w:cstheme="minorBidi"/>
          <w:szCs w:val="22"/>
        </w:rPr>
        <w:t xml:space="preserve"> WP administration into </w:t>
      </w:r>
      <w:r w:rsidR="00C63F96">
        <w:rPr>
          <w:rFonts w:cstheme="minorBidi"/>
          <w:szCs w:val="22"/>
        </w:rPr>
        <w:t>18</w:t>
      </w:r>
      <w:r w:rsidR="0014797E" w:rsidRPr="0014797E">
        <w:rPr>
          <w:rFonts w:cstheme="minorBidi"/>
          <w:szCs w:val="22"/>
        </w:rPr>
        <w:t xml:space="preserve"> ‘contract package areas’ covering the entire British</w:t>
      </w:r>
      <w:r w:rsidR="003A2286">
        <w:rPr>
          <w:rFonts w:cstheme="minorBidi"/>
          <w:szCs w:val="22"/>
        </w:rPr>
        <w:t xml:space="preserve"> mainland</w:t>
      </w:r>
      <w:r w:rsidR="0014797E" w:rsidRPr="0014797E">
        <w:rPr>
          <w:rFonts w:cstheme="minorBidi"/>
          <w:szCs w:val="22"/>
        </w:rPr>
        <w:t xml:space="preserve"> (Newton </w:t>
      </w:r>
      <w:r w:rsidR="0014797E" w:rsidRPr="0014797E">
        <w:rPr>
          <w:rFonts w:cstheme="minorBidi"/>
          <w:i/>
          <w:szCs w:val="22"/>
        </w:rPr>
        <w:t>et al</w:t>
      </w:r>
      <w:r w:rsidR="0014797E">
        <w:rPr>
          <w:rFonts w:cstheme="minorBidi"/>
          <w:i/>
          <w:szCs w:val="22"/>
        </w:rPr>
        <w:t>.</w:t>
      </w:r>
      <w:r w:rsidR="007D3800">
        <w:rPr>
          <w:rFonts w:cstheme="minorBidi"/>
          <w:szCs w:val="22"/>
        </w:rPr>
        <w:t>, 2012</w:t>
      </w:r>
      <w:r w:rsidR="003A2286">
        <w:rPr>
          <w:rFonts w:cstheme="minorBidi"/>
          <w:szCs w:val="22"/>
        </w:rPr>
        <w:t xml:space="preserve">). In 2011, </w:t>
      </w:r>
      <w:r w:rsidR="00C63F96">
        <w:rPr>
          <w:rFonts w:cstheme="minorBidi"/>
          <w:szCs w:val="22"/>
        </w:rPr>
        <w:t>18</w:t>
      </w:r>
      <w:r w:rsidR="0014797E" w:rsidRPr="0014797E">
        <w:rPr>
          <w:rFonts w:cstheme="minorBidi"/>
          <w:szCs w:val="22"/>
        </w:rPr>
        <w:t xml:space="preserve"> major organisations</w:t>
      </w:r>
      <w:r w:rsidR="00214815">
        <w:rPr>
          <w:rFonts w:cstheme="minorBidi"/>
          <w:szCs w:val="22"/>
        </w:rPr>
        <w:t xml:space="preserve"> (2 charities, 16</w:t>
      </w:r>
      <w:r w:rsidR="003A2286">
        <w:rPr>
          <w:rFonts w:cstheme="minorBidi"/>
          <w:szCs w:val="22"/>
        </w:rPr>
        <w:t xml:space="preserve"> private companies) </w:t>
      </w:r>
      <w:r w:rsidR="002301ED">
        <w:rPr>
          <w:rFonts w:cstheme="minorBidi"/>
          <w:szCs w:val="22"/>
        </w:rPr>
        <w:t>known as ‘p</w:t>
      </w:r>
      <w:r w:rsidR="0014797E" w:rsidRPr="0014797E">
        <w:rPr>
          <w:rFonts w:cstheme="minorBidi"/>
          <w:szCs w:val="22"/>
        </w:rPr>
        <w:t xml:space="preserve">rimes’, were awarded </w:t>
      </w:r>
      <w:r w:rsidR="0014797E">
        <w:rPr>
          <w:rFonts w:cstheme="minorBidi"/>
          <w:szCs w:val="22"/>
        </w:rPr>
        <w:t xml:space="preserve">WP service delivery </w:t>
      </w:r>
      <w:r w:rsidR="0014797E" w:rsidRPr="0014797E">
        <w:rPr>
          <w:rFonts w:cstheme="minorBidi"/>
          <w:szCs w:val="22"/>
        </w:rPr>
        <w:lastRenderedPageBreak/>
        <w:t>contracts (National Audit Office</w:t>
      </w:r>
      <w:r w:rsidR="004B72EF">
        <w:rPr>
          <w:rFonts w:cstheme="minorBidi"/>
          <w:szCs w:val="22"/>
        </w:rPr>
        <w:t xml:space="preserve"> </w:t>
      </w:r>
      <w:r w:rsidR="004B72EF" w:rsidRPr="0014797E">
        <w:rPr>
          <w:rFonts w:cstheme="minorBidi"/>
          <w:szCs w:val="22"/>
        </w:rPr>
        <w:t xml:space="preserve">[henceforth, NAO], </w:t>
      </w:r>
      <w:r w:rsidR="0014797E" w:rsidRPr="0014797E">
        <w:rPr>
          <w:rFonts w:cstheme="minorBidi"/>
          <w:szCs w:val="22"/>
        </w:rPr>
        <w:t>2012). The matching figures of 18 contract areas and 18 Primes is a coincidence: 40 Prime contracts were awarded nationally (C</w:t>
      </w:r>
      <w:r w:rsidR="0014797E">
        <w:rPr>
          <w:rFonts w:cstheme="minorBidi"/>
          <w:szCs w:val="22"/>
        </w:rPr>
        <w:t>entre for Economic and Social Inclusion [henceforth ‘CESI’</w:t>
      </w:r>
      <w:r w:rsidR="00A712EF">
        <w:rPr>
          <w:rFonts w:cstheme="minorBidi"/>
          <w:szCs w:val="22"/>
        </w:rPr>
        <w:t>]</w:t>
      </w:r>
      <w:r w:rsidR="0014797E">
        <w:rPr>
          <w:rFonts w:cstheme="minorBidi"/>
          <w:szCs w:val="22"/>
        </w:rPr>
        <w:t>, 2013a). Each contract area has</w:t>
      </w:r>
      <w:r w:rsidR="0014797E" w:rsidRPr="0014797E">
        <w:rPr>
          <w:rFonts w:cstheme="minorBidi"/>
          <w:szCs w:val="22"/>
        </w:rPr>
        <w:t xml:space="preserve"> at least two Prim</w:t>
      </w:r>
      <w:r w:rsidR="0014797E">
        <w:rPr>
          <w:rFonts w:cstheme="minorBidi"/>
          <w:szCs w:val="22"/>
        </w:rPr>
        <w:t>es operating within it. Five have</w:t>
      </w:r>
      <w:r w:rsidR="0014797E" w:rsidRPr="0014797E">
        <w:rPr>
          <w:rFonts w:cstheme="minorBidi"/>
          <w:szCs w:val="22"/>
        </w:rPr>
        <w:t xml:space="preserve"> three (Newton </w:t>
      </w:r>
      <w:r w:rsidR="0014797E" w:rsidRPr="0014797E">
        <w:rPr>
          <w:rFonts w:cstheme="minorBidi"/>
          <w:i/>
          <w:szCs w:val="22"/>
        </w:rPr>
        <w:t>et al.</w:t>
      </w:r>
      <w:r w:rsidR="0014797E">
        <w:rPr>
          <w:rFonts w:cstheme="minorBidi"/>
          <w:szCs w:val="22"/>
        </w:rPr>
        <w:t>,</w:t>
      </w:r>
      <w:r w:rsidR="00A712EF">
        <w:rPr>
          <w:rFonts w:cstheme="minorBidi"/>
          <w:szCs w:val="22"/>
        </w:rPr>
        <w:t xml:space="preserve"> 2012). Primes </w:t>
      </w:r>
      <w:r w:rsidR="00A96359">
        <w:rPr>
          <w:rFonts w:cstheme="minorBidi"/>
          <w:szCs w:val="22"/>
        </w:rPr>
        <w:t xml:space="preserve">often </w:t>
      </w:r>
      <w:r w:rsidR="0014797E" w:rsidRPr="0014797E">
        <w:rPr>
          <w:rFonts w:cstheme="minorBidi"/>
          <w:szCs w:val="22"/>
        </w:rPr>
        <w:t xml:space="preserve">subcontract to other </w:t>
      </w:r>
      <w:r w:rsidR="00A96359">
        <w:rPr>
          <w:rFonts w:cstheme="minorBidi"/>
          <w:szCs w:val="22"/>
        </w:rPr>
        <w:t xml:space="preserve">service </w:t>
      </w:r>
      <w:r w:rsidR="0014797E" w:rsidRPr="0014797E">
        <w:rPr>
          <w:rFonts w:cstheme="minorBidi"/>
          <w:szCs w:val="22"/>
        </w:rPr>
        <w:t>providers. Appr</w:t>
      </w:r>
      <w:r w:rsidR="00A712EF">
        <w:rPr>
          <w:rFonts w:cstheme="minorBidi"/>
          <w:szCs w:val="22"/>
        </w:rPr>
        <w:t xml:space="preserve">oximately 900 WP providers </w:t>
      </w:r>
      <w:r w:rsidR="0014797E" w:rsidRPr="0014797E">
        <w:rPr>
          <w:rFonts w:cstheme="minorBidi"/>
          <w:szCs w:val="22"/>
        </w:rPr>
        <w:t>subcontract to Primes nationally (CESI, 2013b: 4).</w:t>
      </w:r>
    </w:p>
    <w:p w:rsidR="0014797E" w:rsidRPr="0014797E" w:rsidRDefault="0014797E" w:rsidP="006608C6">
      <w:pPr>
        <w:spacing w:after="0" w:line="360" w:lineRule="auto"/>
        <w:jc w:val="both"/>
        <w:rPr>
          <w:rFonts w:cstheme="minorBidi"/>
          <w:szCs w:val="22"/>
        </w:rPr>
      </w:pPr>
      <w:r>
        <w:rPr>
          <w:rFonts w:cstheme="minorBidi"/>
          <w:szCs w:val="22"/>
        </w:rPr>
        <w:tab/>
      </w:r>
      <w:r w:rsidR="00A712EF">
        <w:rPr>
          <w:rFonts w:cstheme="minorBidi"/>
          <w:szCs w:val="22"/>
        </w:rPr>
        <w:t>WP providers enjoy</w:t>
      </w:r>
      <w:r w:rsidRPr="0014797E">
        <w:rPr>
          <w:rFonts w:cstheme="minorBidi"/>
          <w:szCs w:val="22"/>
        </w:rPr>
        <w:t xml:space="preserve"> “freedom to develop [their] own processes to support participants, plan activity and manage their experience whilst on the Work Programme in line with [their] delivery model and contract t</w:t>
      </w:r>
      <w:r w:rsidR="00A05873">
        <w:rPr>
          <w:rFonts w:cstheme="minorBidi"/>
          <w:szCs w:val="22"/>
        </w:rPr>
        <w:t>erms and conditions” (DWP, 2014a</w:t>
      </w:r>
      <w:r w:rsidRPr="0014797E">
        <w:rPr>
          <w:rFonts w:cstheme="minorBidi"/>
          <w:szCs w:val="22"/>
        </w:rPr>
        <w:t xml:space="preserve">: 1). In pursuance of this aim, </w:t>
      </w:r>
      <w:r>
        <w:rPr>
          <w:rFonts w:cstheme="minorBidi"/>
          <w:szCs w:val="22"/>
        </w:rPr>
        <w:t xml:space="preserve">the </w:t>
      </w:r>
      <w:r w:rsidR="004B72EF">
        <w:rPr>
          <w:rFonts w:cstheme="minorBidi"/>
          <w:szCs w:val="22"/>
        </w:rPr>
        <w:t xml:space="preserve">UK </w:t>
      </w:r>
      <w:r w:rsidRPr="0014797E">
        <w:rPr>
          <w:rFonts w:cstheme="minorBidi"/>
          <w:szCs w:val="22"/>
        </w:rPr>
        <w:t>government initially permitted providers to set their own mi</w:t>
      </w:r>
      <w:r w:rsidR="00A712EF">
        <w:rPr>
          <w:rFonts w:cstheme="minorBidi"/>
          <w:szCs w:val="22"/>
        </w:rPr>
        <w:t xml:space="preserve">nimum service delivery </w:t>
      </w:r>
      <w:r w:rsidR="0087611F">
        <w:rPr>
          <w:rFonts w:cstheme="minorBidi"/>
          <w:szCs w:val="22"/>
        </w:rPr>
        <w:t>standards</w:t>
      </w:r>
      <w:r w:rsidRPr="0014797E">
        <w:rPr>
          <w:rFonts w:cstheme="minorBidi"/>
          <w:szCs w:val="22"/>
        </w:rPr>
        <w:t xml:space="preserve">. By 2013, </w:t>
      </w:r>
      <w:r w:rsidR="003A2286">
        <w:rPr>
          <w:rFonts w:cstheme="minorBidi"/>
          <w:szCs w:val="22"/>
        </w:rPr>
        <w:t xml:space="preserve">this decision had been revised. </w:t>
      </w:r>
      <w:r w:rsidRPr="0014797E">
        <w:rPr>
          <w:rFonts w:cstheme="minorBidi"/>
          <w:szCs w:val="22"/>
        </w:rPr>
        <w:t>With 212 minimum</w:t>
      </w:r>
      <w:r w:rsidR="0087611F">
        <w:rPr>
          <w:rFonts w:cstheme="minorBidi"/>
          <w:szCs w:val="22"/>
        </w:rPr>
        <w:t xml:space="preserve"> service standards set </w:t>
      </w:r>
      <w:r w:rsidR="002301ED">
        <w:rPr>
          <w:rFonts w:cstheme="minorBidi"/>
          <w:szCs w:val="22"/>
        </w:rPr>
        <w:t>by 18 p</w:t>
      </w:r>
      <w:r w:rsidRPr="0014797E">
        <w:rPr>
          <w:rFonts w:cstheme="minorBidi"/>
          <w:szCs w:val="22"/>
        </w:rPr>
        <w:t xml:space="preserve">rimes, assessing </w:t>
      </w:r>
      <w:r w:rsidR="004B72EF">
        <w:rPr>
          <w:rFonts w:cstheme="minorBidi"/>
          <w:szCs w:val="22"/>
        </w:rPr>
        <w:t>compliance had proven impossible. T</w:t>
      </w:r>
      <w:r w:rsidRPr="0014797E">
        <w:rPr>
          <w:rFonts w:cstheme="minorBidi"/>
          <w:szCs w:val="22"/>
        </w:rPr>
        <w:t xml:space="preserve">he government’s </w:t>
      </w:r>
      <w:r w:rsidR="00214815">
        <w:rPr>
          <w:rFonts w:cstheme="minorBidi"/>
          <w:szCs w:val="22"/>
        </w:rPr>
        <w:t xml:space="preserve">contract expectations and </w:t>
      </w:r>
      <w:r w:rsidRPr="0014797E">
        <w:rPr>
          <w:rFonts w:cstheme="minorBidi"/>
          <w:szCs w:val="22"/>
        </w:rPr>
        <w:t xml:space="preserve">performance monitoring processes were </w:t>
      </w:r>
      <w:r w:rsidR="003A2286">
        <w:rPr>
          <w:rFonts w:cstheme="minorBidi"/>
          <w:szCs w:val="22"/>
        </w:rPr>
        <w:t xml:space="preserve">subsequently </w:t>
      </w:r>
      <w:r w:rsidR="00A712EF">
        <w:rPr>
          <w:rFonts w:cstheme="minorBidi"/>
          <w:szCs w:val="22"/>
        </w:rPr>
        <w:t xml:space="preserve">tightened </w:t>
      </w:r>
      <w:r w:rsidR="00A712EF" w:rsidRPr="0014797E">
        <w:rPr>
          <w:rFonts w:cstheme="minorBidi"/>
          <w:szCs w:val="22"/>
        </w:rPr>
        <w:t>(NAO, 2012: 34)</w:t>
      </w:r>
      <w:r w:rsidR="002301ED">
        <w:rPr>
          <w:rFonts w:cstheme="minorBidi"/>
          <w:szCs w:val="22"/>
        </w:rPr>
        <w:t>. While p</w:t>
      </w:r>
      <w:r w:rsidR="00A712EF">
        <w:rPr>
          <w:rFonts w:cstheme="minorBidi"/>
          <w:szCs w:val="22"/>
        </w:rPr>
        <w:t>rimes retain</w:t>
      </w:r>
      <w:r w:rsidRPr="0014797E">
        <w:rPr>
          <w:rFonts w:cstheme="minorBidi"/>
          <w:szCs w:val="22"/>
        </w:rPr>
        <w:t xml:space="preserve"> </w:t>
      </w:r>
      <w:r w:rsidR="0087611F">
        <w:rPr>
          <w:rFonts w:cstheme="minorBidi"/>
          <w:szCs w:val="22"/>
        </w:rPr>
        <w:t xml:space="preserve">broad </w:t>
      </w:r>
      <w:r w:rsidRPr="0014797E">
        <w:rPr>
          <w:rFonts w:cstheme="minorBidi"/>
          <w:szCs w:val="22"/>
        </w:rPr>
        <w:t>autono</w:t>
      </w:r>
      <w:r w:rsidR="00A712EF">
        <w:rPr>
          <w:rFonts w:cstheme="minorBidi"/>
          <w:szCs w:val="22"/>
        </w:rPr>
        <w:t>my in specific service design, e</w:t>
      </w:r>
      <w:r w:rsidR="002301ED">
        <w:rPr>
          <w:rFonts w:cstheme="minorBidi"/>
          <w:szCs w:val="22"/>
        </w:rPr>
        <w:t>ach p</w:t>
      </w:r>
      <w:r w:rsidRPr="0014797E">
        <w:rPr>
          <w:rFonts w:cstheme="minorBidi"/>
          <w:szCs w:val="22"/>
        </w:rPr>
        <w:t xml:space="preserve">rime’s promised minimum service provision </w:t>
      </w:r>
      <w:r w:rsidR="004B72EF">
        <w:rPr>
          <w:rFonts w:cstheme="minorBidi"/>
          <w:szCs w:val="22"/>
        </w:rPr>
        <w:t>is</w:t>
      </w:r>
      <w:r w:rsidRPr="0014797E">
        <w:rPr>
          <w:rFonts w:cstheme="minorBidi"/>
          <w:szCs w:val="22"/>
        </w:rPr>
        <w:t xml:space="preserve"> </w:t>
      </w:r>
      <w:r w:rsidR="004B72EF">
        <w:rPr>
          <w:rFonts w:cstheme="minorBidi"/>
          <w:szCs w:val="22"/>
        </w:rPr>
        <w:t xml:space="preserve">now </w:t>
      </w:r>
      <w:r w:rsidRPr="0014797E">
        <w:rPr>
          <w:rFonts w:cstheme="minorBidi"/>
          <w:szCs w:val="22"/>
        </w:rPr>
        <w:t>listed in public contracts</w:t>
      </w:r>
      <w:r w:rsidR="003A2286">
        <w:rPr>
          <w:rFonts w:cstheme="minorBidi"/>
          <w:szCs w:val="22"/>
        </w:rPr>
        <w:t xml:space="preserve"> and approved by the government</w:t>
      </w:r>
      <w:r w:rsidR="00FA2E88">
        <w:rPr>
          <w:rFonts w:cstheme="minorBidi"/>
          <w:szCs w:val="22"/>
        </w:rPr>
        <w:t xml:space="preserve">. All are </w:t>
      </w:r>
      <w:r w:rsidR="0087611F">
        <w:rPr>
          <w:rFonts w:cstheme="minorBidi"/>
          <w:szCs w:val="22"/>
        </w:rPr>
        <w:t>generally</w:t>
      </w:r>
      <w:r w:rsidRPr="0014797E">
        <w:rPr>
          <w:rFonts w:cstheme="minorBidi"/>
          <w:szCs w:val="22"/>
        </w:rPr>
        <w:t xml:space="preserve"> similar</w:t>
      </w:r>
      <w:r w:rsidR="00A712EF" w:rsidRPr="00A712EF">
        <w:rPr>
          <w:rFonts w:cstheme="minorBidi"/>
          <w:szCs w:val="22"/>
        </w:rPr>
        <w:t xml:space="preserve"> </w:t>
      </w:r>
      <w:r w:rsidR="00A712EF">
        <w:rPr>
          <w:rFonts w:cstheme="minorBidi"/>
          <w:szCs w:val="22"/>
        </w:rPr>
        <w:t>(</w:t>
      </w:r>
      <w:r w:rsidR="00A712EF" w:rsidRPr="0014797E">
        <w:rPr>
          <w:rFonts w:cstheme="minorBidi"/>
          <w:szCs w:val="22"/>
        </w:rPr>
        <w:t>DWP, 2013a</w:t>
      </w:r>
      <w:r w:rsidR="00A712EF">
        <w:rPr>
          <w:rFonts w:cstheme="minorBidi"/>
          <w:szCs w:val="22"/>
        </w:rPr>
        <w:t>)</w:t>
      </w:r>
      <w:r w:rsidR="003D1D8D">
        <w:rPr>
          <w:rFonts w:cstheme="minorBidi"/>
          <w:szCs w:val="22"/>
        </w:rPr>
        <w:t xml:space="preserve">. For </w:t>
      </w:r>
      <w:proofErr w:type="spellStart"/>
      <w:r w:rsidR="003D1D8D">
        <w:rPr>
          <w:rFonts w:cstheme="minorBidi"/>
          <w:szCs w:val="22"/>
        </w:rPr>
        <w:t>Igneus</w:t>
      </w:r>
      <w:proofErr w:type="spellEnd"/>
      <w:r w:rsidR="002301ED">
        <w:rPr>
          <w:rFonts w:cstheme="minorBidi"/>
          <w:szCs w:val="22"/>
        </w:rPr>
        <w:t>,</w:t>
      </w:r>
      <w:r w:rsidR="003D1D8D">
        <w:rPr>
          <w:rStyle w:val="FootnoteReference"/>
          <w:rFonts w:cstheme="minorBidi"/>
          <w:szCs w:val="22"/>
        </w:rPr>
        <w:footnoteReference w:id="1"/>
      </w:r>
      <w:r w:rsidR="002301ED">
        <w:rPr>
          <w:rFonts w:cstheme="minorBidi"/>
          <w:szCs w:val="22"/>
        </w:rPr>
        <w:t xml:space="preserve"> for instance (not the p</w:t>
      </w:r>
      <w:r w:rsidRPr="0014797E">
        <w:rPr>
          <w:rFonts w:cstheme="minorBidi"/>
          <w:szCs w:val="22"/>
        </w:rPr>
        <w:t>rime involved in this study</w:t>
      </w:r>
      <w:r w:rsidR="00C10234">
        <w:rPr>
          <w:rFonts w:cstheme="minorBidi"/>
          <w:szCs w:val="22"/>
        </w:rPr>
        <w:t>), minimum service provision is</w:t>
      </w:r>
      <w:r w:rsidRPr="0014797E">
        <w:rPr>
          <w:rFonts w:cstheme="minorBidi"/>
          <w:szCs w:val="22"/>
        </w:rPr>
        <w:t xml:space="preserve"> listed as: </w:t>
      </w:r>
    </w:p>
    <w:p w:rsidR="0014797E" w:rsidRPr="0014797E" w:rsidRDefault="0014797E" w:rsidP="006608C6">
      <w:pPr>
        <w:spacing w:after="0" w:line="360" w:lineRule="auto"/>
        <w:jc w:val="both"/>
        <w:rPr>
          <w:rFonts w:cstheme="minorBidi"/>
          <w:szCs w:val="22"/>
        </w:rPr>
      </w:pPr>
    </w:p>
    <w:p w:rsidR="0014797E" w:rsidRPr="0014797E" w:rsidRDefault="0014797E" w:rsidP="006608C6">
      <w:pPr>
        <w:spacing w:after="0" w:line="240" w:lineRule="auto"/>
        <w:ind w:left="1134"/>
        <w:jc w:val="both"/>
        <w:rPr>
          <w:rFonts w:cstheme="minorBidi"/>
          <w:szCs w:val="22"/>
        </w:rPr>
      </w:pPr>
      <w:r w:rsidRPr="0014797E">
        <w:rPr>
          <w:rFonts w:cstheme="minorBidi"/>
          <w:szCs w:val="22"/>
        </w:rPr>
        <w:t xml:space="preserve">1) A flexible service that is convenient and accessible. </w:t>
      </w:r>
    </w:p>
    <w:p w:rsidR="0014797E" w:rsidRPr="0014797E" w:rsidRDefault="0014797E" w:rsidP="006608C6">
      <w:pPr>
        <w:spacing w:after="0" w:line="240" w:lineRule="auto"/>
        <w:ind w:left="1134"/>
        <w:jc w:val="both"/>
        <w:rPr>
          <w:rFonts w:cstheme="minorBidi"/>
          <w:szCs w:val="22"/>
        </w:rPr>
      </w:pPr>
      <w:r w:rsidRPr="0014797E">
        <w:rPr>
          <w:rFonts w:cstheme="minorBidi"/>
          <w:szCs w:val="22"/>
        </w:rPr>
        <w:t xml:space="preserve">2) A personalised package of support that is tailored to individual needs. </w:t>
      </w:r>
    </w:p>
    <w:p w:rsidR="0014797E" w:rsidRPr="0014797E" w:rsidRDefault="0014797E" w:rsidP="006608C6">
      <w:pPr>
        <w:spacing w:after="0" w:line="240" w:lineRule="auto"/>
        <w:ind w:left="1134"/>
        <w:jc w:val="both"/>
        <w:rPr>
          <w:rFonts w:cstheme="minorBidi"/>
          <w:szCs w:val="22"/>
        </w:rPr>
      </w:pPr>
      <w:r w:rsidRPr="0014797E">
        <w:rPr>
          <w:rFonts w:cstheme="minorBidi"/>
          <w:szCs w:val="22"/>
        </w:rPr>
        <w:t xml:space="preserve">3) A professional In Work Support service which will help customers develop and progress in the workplace. </w:t>
      </w:r>
    </w:p>
    <w:p w:rsidR="0014797E" w:rsidRPr="0014797E" w:rsidRDefault="0014797E" w:rsidP="006608C6">
      <w:pPr>
        <w:spacing w:after="0" w:line="240" w:lineRule="auto"/>
        <w:ind w:left="1134"/>
        <w:jc w:val="both"/>
        <w:rPr>
          <w:rFonts w:cstheme="minorBidi"/>
          <w:szCs w:val="22"/>
        </w:rPr>
      </w:pPr>
      <w:r w:rsidRPr="0014797E">
        <w:rPr>
          <w:rFonts w:cstheme="minorBidi"/>
          <w:szCs w:val="22"/>
        </w:rPr>
        <w:t xml:space="preserve">4) Access to job vacancies and labour market information. </w:t>
      </w:r>
    </w:p>
    <w:p w:rsidR="0014797E" w:rsidRPr="0014797E" w:rsidRDefault="0014797E" w:rsidP="006608C6">
      <w:pPr>
        <w:spacing w:after="0" w:line="240" w:lineRule="auto"/>
        <w:ind w:left="1134"/>
        <w:jc w:val="both"/>
        <w:rPr>
          <w:rFonts w:cstheme="minorBidi"/>
          <w:szCs w:val="22"/>
        </w:rPr>
      </w:pPr>
      <w:r w:rsidRPr="0014797E">
        <w:rPr>
          <w:rFonts w:cstheme="minorBidi"/>
          <w:szCs w:val="22"/>
        </w:rPr>
        <w:t xml:space="preserve">5) Treating customers with respect </w:t>
      </w:r>
      <w:proofErr w:type="gramStart"/>
      <w:r w:rsidRPr="0014797E">
        <w:rPr>
          <w:rFonts w:cstheme="minorBidi"/>
          <w:szCs w:val="22"/>
        </w:rPr>
        <w:t>at all times</w:t>
      </w:r>
      <w:proofErr w:type="gramEnd"/>
      <w:r w:rsidRPr="0014797E">
        <w:rPr>
          <w:rFonts w:cstheme="minorBidi"/>
          <w:szCs w:val="22"/>
        </w:rPr>
        <w:t xml:space="preserve"> and enabling them to be active participants in setting their own goals. </w:t>
      </w:r>
    </w:p>
    <w:p w:rsidR="0014797E" w:rsidRPr="0014797E" w:rsidRDefault="0014797E" w:rsidP="006608C6">
      <w:pPr>
        <w:spacing w:after="0" w:line="240" w:lineRule="auto"/>
        <w:ind w:left="1134"/>
        <w:jc w:val="both"/>
        <w:rPr>
          <w:rFonts w:cstheme="minorBidi"/>
          <w:szCs w:val="22"/>
        </w:rPr>
      </w:pPr>
      <w:r w:rsidRPr="0014797E">
        <w:rPr>
          <w:rFonts w:cstheme="minorBidi"/>
          <w:szCs w:val="22"/>
        </w:rPr>
        <w:t xml:space="preserve">(Quoted directly from DWP, 2013a: 1). </w:t>
      </w:r>
    </w:p>
    <w:p w:rsidR="0014797E" w:rsidRPr="0014797E" w:rsidRDefault="0014797E" w:rsidP="006608C6">
      <w:pPr>
        <w:spacing w:after="0" w:line="360" w:lineRule="auto"/>
        <w:jc w:val="both"/>
        <w:rPr>
          <w:rFonts w:cstheme="minorBidi"/>
          <w:szCs w:val="22"/>
        </w:rPr>
      </w:pPr>
    </w:p>
    <w:p w:rsidR="0014797E" w:rsidRDefault="003A2286" w:rsidP="006608C6">
      <w:pPr>
        <w:spacing w:after="0" w:line="360" w:lineRule="auto"/>
        <w:jc w:val="both"/>
        <w:rPr>
          <w:rFonts w:cstheme="minorBidi"/>
          <w:szCs w:val="22"/>
        </w:rPr>
      </w:pPr>
      <w:r>
        <w:rPr>
          <w:rFonts w:cstheme="minorBidi"/>
          <w:szCs w:val="22"/>
        </w:rPr>
        <w:tab/>
      </w:r>
      <w:r w:rsidR="00A712EF">
        <w:rPr>
          <w:rFonts w:cstheme="minorBidi"/>
          <w:szCs w:val="22"/>
        </w:rPr>
        <w:t>Primes earn income</w:t>
      </w:r>
      <w:r>
        <w:rPr>
          <w:rFonts w:cstheme="minorBidi"/>
          <w:szCs w:val="22"/>
        </w:rPr>
        <w:t xml:space="preserve"> by placing ‘referred’ </w:t>
      </w:r>
      <w:r w:rsidR="00FA2E88">
        <w:rPr>
          <w:rFonts w:cstheme="minorBidi"/>
          <w:szCs w:val="22"/>
        </w:rPr>
        <w:t xml:space="preserve">(i.e. sent from the public Job Centre Plus [henceforth ‘JCP’]) </w:t>
      </w:r>
      <w:r>
        <w:rPr>
          <w:rFonts w:cstheme="minorBidi"/>
          <w:szCs w:val="22"/>
        </w:rPr>
        <w:t>participants into ‘sustainable employment’. Participants are d</w:t>
      </w:r>
      <w:r w:rsidR="00C10234">
        <w:rPr>
          <w:rFonts w:cstheme="minorBidi"/>
          <w:szCs w:val="22"/>
        </w:rPr>
        <w:t>ivided into Jobs</w:t>
      </w:r>
      <w:r>
        <w:rPr>
          <w:rFonts w:cstheme="minorBidi"/>
          <w:szCs w:val="22"/>
        </w:rPr>
        <w:t>eeker’s Allowance claimants</w:t>
      </w:r>
      <w:r w:rsidR="00A34983">
        <w:rPr>
          <w:rFonts w:cstheme="minorBidi"/>
          <w:szCs w:val="22"/>
        </w:rPr>
        <w:t xml:space="preserve"> [JSA]</w:t>
      </w:r>
      <w:r>
        <w:rPr>
          <w:rFonts w:cstheme="minorBidi"/>
          <w:szCs w:val="22"/>
        </w:rPr>
        <w:t xml:space="preserve"> who, for the most part, have been</w:t>
      </w:r>
      <w:r w:rsidR="00214815">
        <w:rPr>
          <w:rFonts w:cstheme="minorBidi"/>
          <w:szCs w:val="22"/>
        </w:rPr>
        <w:t xml:space="preserve"> unemployed for a year or more,</w:t>
      </w:r>
      <w:r w:rsidR="004B72EF">
        <w:rPr>
          <w:rFonts w:cstheme="minorBidi"/>
          <w:szCs w:val="22"/>
        </w:rPr>
        <w:t xml:space="preserve"> </w:t>
      </w:r>
      <w:r>
        <w:rPr>
          <w:rFonts w:cstheme="minorBidi"/>
          <w:szCs w:val="22"/>
        </w:rPr>
        <w:t xml:space="preserve">and </w:t>
      </w:r>
      <w:r w:rsidR="00FA2E88">
        <w:rPr>
          <w:rFonts w:cstheme="minorBidi"/>
          <w:szCs w:val="22"/>
        </w:rPr>
        <w:t>Employment and Support Allowance [ESA] claimants, who claim sickness</w:t>
      </w:r>
      <w:r w:rsidR="007D3800">
        <w:rPr>
          <w:rFonts w:cstheme="minorBidi"/>
          <w:szCs w:val="22"/>
        </w:rPr>
        <w:t xml:space="preserve"> benefits but who have been</w:t>
      </w:r>
      <w:r w:rsidR="000275C6">
        <w:rPr>
          <w:rFonts w:cstheme="minorBidi"/>
          <w:szCs w:val="22"/>
        </w:rPr>
        <w:t xml:space="preserve"> assessed </w:t>
      </w:r>
      <w:r w:rsidR="007D3800">
        <w:rPr>
          <w:rFonts w:cstheme="minorBidi"/>
          <w:szCs w:val="22"/>
        </w:rPr>
        <w:t xml:space="preserve">as </w:t>
      </w:r>
      <w:r>
        <w:rPr>
          <w:rFonts w:cstheme="minorBidi"/>
          <w:szCs w:val="22"/>
        </w:rPr>
        <w:t xml:space="preserve">capable of </w:t>
      </w:r>
      <w:r w:rsidR="00A712EF">
        <w:rPr>
          <w:rFonts w:cstheme="minorBidi"/>
          <w:szCs w:val="22"/>
        </w:rPr>
        <w:t xml:space="preserve">performing </w:t>
      </w:r>
      <w:r>
        <w:rPr>
          <w:rFonts w:cstheme="minorBidi"/>
          <w:szCs w:val="22"/>
        </w:rPr>
        <w:t xml:space="preserve">some form of training or </w:t>
      </w:r>
      <w:r w:rsidR="00A712EF">
        <w:rPr>
          <w:rFonts w:cstheme="minorBidi"/>
          <w:szCs w:val="22"/>
        </w:rPr>
        <w:t>‘</w:t>
      </w:r>
      <w:r>
        <w:rPr>
          <w:rFonts w:cstheme="minorBidi"/>
          <w:szCs w:val="22"/>
        </w:rPr>
        <w:t>work related</w:t>
      </w:r>
      <w:r w:rsidR="00A712EF">
        <w:rPr>
          <w:rFonts w:cstheme="minorBidi"/>
          <w:szCs w:val="22"/>
        </w:rPr>
        <w:t>’</w:t>
      </w:r>
      <w:r>
        <w:rPr>
          <w:rFonts w:cstheme="minorBidi"/>
          <w:szCs w:val="22"/>
        </w:rPr>
        <w:t xml:space="preserve"> activity (</w:t>
      </w:r>
      <w:r w:rsidRPr="003A2286">
        <w:rPr>
          <w:rFonts w:cstheme="minorBidi"/>
          <w:szCs w:val="22"/>
        </w:rPr>
        <w:t>Litchfield, 2013</w:t>
      </w:r>
      <w:r>
        <w:rPr>
          <w:rFonts w:cstheme="minorBidi"/>
          <w:szCs w:val="22"/>
        </w:rPr>
        <w:t>). However, p</w:t>
      </w:r>
      <w:r w:rsidR="004B72EF">
        <w:rPr>
          <w:rFonts w:cstheme="minorBidi"/>
          <w:szCs w:val="22"/>
        </w:rPr>
        <w:t>roviders receive nothing for</w:t>
      </w:r>
      <w:r w:rsidR="007D3800">
        <w:rPr>
          <w:rFonts w:cstheme="minorBidi"/>
          <w:szCs w:val="22"/>
        </w:rPr>
        <w:t xml:space="preserve"> just </w:t>
      </w:r>
      <w:r w:rsidRPr="003A2286">
        <w:rPr>
          <w:rFonts w:cstheme="minorBidi"/>
          <w:szCs w:val="22"/>
        </w:rPr>
        <w:t>getting a claimant into work. An</w:t>
      </w:r>
      <w:r>
        <w:rPr>
          <w:rFonts w:cstheme="minorBidi"/>
          <w:szCs w:val="22"/>
        </w:rPr>
        <w:t xml:space="preserve"> ‘outcome payment’</w:t>
      </w:r>
      <w:r w:rsidR="004B72EF">
        <w:rPr>
          <w:rFonts w:cstheme="minorBidi"/>
          <w:szCs w:val="22"/>
        </w:rPr>
        <w:t xml:space="preserve"> i</w:t>
      </w:r>
      <w:r w:rsidRPr="003A2286">
        <w:rPr>
          <w:rFonts w:cstheme="minorBidi"/>
          <w:szCs w:val="22"/>
        </w:rPr>
        <w:t>s only t</w:t>
      </w:r>
      <w:r w:rsidR="004B72EF">
        <w:rPr>
          <w:rFonts w:cstheme="minorBidi"/>
          <w:szCs w:val="22"/>
        </w:rPr>
        <w:t xml:space="preserve">riggered when claimants remain in work </w:t>
      </w:r>
      <w:r w:rsidR="004B72EF">
        <w:rPr>
          <w:rFonts w:cstheme="minorBidi"/>
          <w:szCs w:val="22"/>
        </w:rPr>
        <w:lastRenderedPageBreak/>
        <w:t>for six months, o</w:t>
      </w:r>
      <w:r w:rsidR="007D3800">
        <w:rPr>
          <w:rFonts w:cstheme="minorBidi"/>
          <w:szCs w:val="22"/>
        </w:rPr>
        <w:t>r, in the case of some</w:t>
      </w:r>
      <w:r w:rsidR="00E20BF2">
        <w:rPr>
          <w:rFonts w:cstheme="minorBidi"/>
          <w:szCs w:val="22"/>
        </w:rPr>
        <w:t xml:space="preserve"> </w:t>
      </w:r>
      <w:r w:rsidR="000275C6">
        <w:rPr>
          <w:rFonts w:cstheme="minorBidi"/>
          <w:szCs w:val="22"/>
        </w:rPr>
        <w:t>customers</w:t>
      </w:r>
      <w:r w:rsidR="00E20BF2">
        <w:rPr>
          <w:rFonts w:cstheme="minorBidi"/>
          <w:szCs w:val="22"/>
        </w:rPr>
        <w:t xml:space="preserve"> (e.g. ex-prisoners)</w:t>
      </w:r>
      <w:r w:rsidR="00A05873">
        <w:rPr>
          <w:rFonts w:cstheme="minorBidi"/>
          <w:szCs w:val="22"/>
        </w:rPr>
        <w:t>, three months (DWP, 2012</w:t>
      </w:r>
      <w:r w:rsidRPr="003A2286">
        <w:rPr>
          <w:rFonts w:cstheme="minorBidi"/>
          <w:szCs w:val="22"/>
        </w:rPr>
        <w:t>). Th</w:t>
      </w:r>
      <w:r w:rsidR="004B72EF">
        <w:rPr>
          <w:rFonts w:cstheme="minorBidi"/>
          <w:szCs w:val="22"/>
        </w:rPr>
        <w:t>is six or three-month period is</w:t>
      </w:r>
      <w:r w:rsidRPr="003A2286">
        <w:rPr>
          <w:rFonts w:cstheme="minorBidi"/>
          <w:szCs w:val="22"/>
        </w:rPr>
        <w:t xml:space="preserve"> classed as ‘sustainable employment’ by the government (DWP, 2013</w:t>
      </w:r>
      <w:r w:rsidR="00A05873">
        <w:rPr>
          <w:rFonts w:cstheme="minorBidi"/>
          <w:szCs w:val="22"/>
        </w:rPr>
        <w:t>b</w:t>
      </w:r>
      <w:r w:rsidRPr="003A2286">
        <w:rPr>
          <w:rFonts w:cstheme="minorBidi"/>
          <w:szCs w:val="22"/>
        </w:rPr>
        <w:t>).</w:t>
      </w:r>
      <w:r w:rsidR="004B72EF">
        <w:rPr>
          <w:rFonts w:cstheme="minorBidi"/>
          <w:szCs w:val="22"/>
        </w:rPr>
        <w:t xml:space="preserve"> Payments are graduated to provide higher returns for placing more ‘difficult </w:t>
      </w:r>
      <w:r w:rsidR="00A34983">
        <w:rPr>
          <w:rFonts w:cstheme="minorBidi"/>
          <w:szCs w:val="22"/>
        </w:rPr>
        <w:t>to employ</w:t>
      </w:r>
      <w:r w:rsidR="00A27A07">
        <w:rPr>
          <w:rFonts w:cstheme="minorBidi"/>
          <w:szCs w:val="22"/>
        </w:rPr>
        <w:t>’</w:t>
      </w:r>
      <w:r w:rsidR="00A34983">
        <w:rPr>
          <w:rFonts w:cstheme="minorBidi"/>
          <w:szCs w:val="22"/>
        </w:rPr>
        <w:t xml:space="preserve"> categories</w:t>
      </w:r>
      <w:r w:rsidR="00A27A07">
        <w:rPr>
          <w:rFonts w:cstheme="minorBidi"/>
          <w:szCs w:val="22"/>
        </w:rPr>
        <w:t xml:space="preserve">, </w:t>
      </w:r>
      <w:r w:rsidR="00A34983">
        <w:rPr>
          <w:rFonts w:cstheme="minorBidi"/>
          <w:szCs w:val="22"/>
        </w:rPr>
        <w:t xml:space="preserve">such as ESA claimants and </w:t>
      </w:r>
      <w:r w:rsidR="0087611F">
        <w:rPr>
          <w:rFonts w:cstheme="minorBidi"/>
          <w:szCs w:val="22"/>
        </w:rPr>
        <w:t>ex-</w:t>
      </w:r>
      <w:r w:rsidR="00A34983">
        <w:rPr>
          <w:rFonts w:cstheme="minorBidi"/>
          <w:szCs w:val="22"/>
        </w:rPr>
        <w:t>prisoners</w:t>
      </w:r>
      <w:r w:rsidR="00A27A07">
        <w:rPr>
          <w:rFonts w:cstheme="minorBidi"/>
          <w:szCs w:val="22"/>
        </w:rPr>
        <w:t>,</w:t>
      </w:r>
      <w:r w:rsidR="004B72EF">
        <w:rPr>
          <w:rFonts w:cstheme="minorBidi"/>
          <w:szCs w:val="22"/>
        </w:rPr>
        <w:t xml:space="preserve"> into work.</w:t>
      </w:r>
      <w:r w:rsidRPr="003A2286">
        <w:rPr>
          <w:rFonts w:cstheme="minorBidi"/>
          <w:szCs w:val="22"/>
        </w:rPr>
        <w:t xml:space="preserve"> By March 2014, </w:t>
      </w:r>
      <w:r w:rsidR="000275C6">
        <w:rPr>
          <w:rFonts w:cstheme="minorBidi"/>
          <w:szCs w:val="22"/>
        </w:rPr>
        <w:t xml:space="preserve">the </w:t>
      </w:r>
      <w:r w:rsidRPr="003A2286">
        <w:rPr>
          <w:rFonts w:cstheme="minorBidi"/>
          <w:szCs w:val="22"/>
        </w:rPr>
        <w:t>outcome payments paid out nationally since the commencement of the WP amounted to £332 million, with £177 million paid out for the</w:t>
      </w:r>
      <w:r w:rsidR="00A05873">
        <w:rPr>
          <w:rFonts w:cstheme="minorBidi"/>
          <w:szCs w:val="22"/>
        </w:rPr>
        <w:t xml:space="preserve"> 12 months 2013-2014 (DWP, 2014b</w:t>
      </w:r>
      <w:r w:rsidRPr="003A2286">
        <w:rPr>
          <w:rFonts w:cstheme="minorBidi"/>
          <w:szCs w:val="22"/>
        </w:rPr>
        <w:t>: 3)</w:t>
      </w:r>
      <w:r w:rsidR="00A27A07">
        <w:rPr>
          <w:rFonts w:cstheme="minorBidi"/>
          <w:szCs w:val="22"/>
        </w:rPr>
        <w:t>,</w:t>
      </w:r>
      <w:r w:rsidR="000275C6">
        <w:rPr>
          <w:rFonts w:cstheme="minorBidi"/>
          <w:szCs w:val="22"/>
        </w:rPr>
        <w:t xml:space="preserve"> the</w:t>
      </w:r>
      <w:r w:rsidR="007D3800">
        <w:rPr>
          <w:rFonts w:cstheme="minorBidi"/>
          <w:szCs w:val="22"/>
        </w:rPr>
        <w:t xml:space="preserve"> year in which the present research</w:t>
      </w:r>
      <w:r w:rsidR="000275C6">
        <w:rPr>
          <w:rFonts w:cstheme="minorBidi"/>
          <w:szCs w:val="22"/>
        </w:rPr>
        <w:t xml:space="preserve"> was conducted</w:t>
      </w:r>
      <w:r w:rsidRPr="003A2286">
        <w:rPr>
          <w:rFonts w:cstheme="minorBidi"/>
          <w:szCs w:val="22"/>
        </w:rPr>
        <w:t>.</w:t>
      </w:r>
      <w:r w:rsidR="0060220F" w:rsidRPr="0060220F">
        <w:t xml:space="preserve"> </w:t>
      </w:r>
      <w:r w:rsidR="0060220F">
        <w:rPr>
          <w:rFonts w:cstheme="minorBidi"/>
          <w:szCs w:val="22"/>
        </w:rPr>
        <w:t xml:space="preserve">The total potential </w:t>
      </w:r>
      <w:r w:rsidR="0060220F" w:rsidRPr="0060220F">
        <w:rPr>
          <w:rFonts w:cstheme="minorBidi"/>
          <w:szCs w:val="22"/>
        </w:rPr>
        <w:t>cont</w:t>
      </w:r>
      <w:r w:rsidR="0060220F">
        <w:rPr>
          <w:rFonts w:cstheme="minorBidi"/>
          <w:szCs w:val="22"/>
        </w:rPr>
        <w:t>ract value of the WP has been estimated at</w:t>
      </w:r>
      <w:r w:rsidR="00A34983">
        <w:rPr>
          <w:rFonts w:cstheme="minorBidi"/>
          <w:szCs w:val="22"/>
        </w:rPr>
        <w:t xml:space="preserve"> £3-</w:t>
      </w:r>
      <w:r w:rsidR="0060220F" w:rsidRPr="0060220F">
        <w:rPr>
          <w:rFonts w:cstheme="minorBidi"/>
          <w:szCs w:val="22"/>
        </w:rPr>
        <w:t>5 billion (NAO, 2012: 4).</w:t>
      </w:r>
    </w:p>
    <w:p w:rsidR="00370FF6" w:rsidRDefault="00A712EF" w:rsidP="006608C6">
      <w:pPr>
        <w:spacing w:after="0" w:line="360" w:lineRule="auto"/>
        <w:jc w:val="both"/>
        <w:rPr>
          <w:rFonts w:cstheme="minorBidi"/>
          <w:bCs/>
          <w:szCs w:val="22"/>
        </w:rPr>
      </w:pPr>
      <w:r>
        <w:rPr>
          <w:rFonts w:cstheme="minorBidi"/>
          <w:szCs w:val="22"/>
        </w:rPr>
        <w:tab/>
      </w:r>
      <w:r w:rsidR="002446C0">
        <w:rPr>
          <w:rFonts w:cstheme="minorBidi"/>
          <w:szCs w:val="22"/>
        </w:rPr>
        <w:t xml:space="preserve">Around 1.5 million people attended the WP between 2011-2014 (DWP, 2014c). </w:t>
      </w:r>
      <w:r>
        <w:rPr>
          <w:rFonts w:cstheme="minorBidi"/>
          <w:szCs w:val="22"/>
        </w:rPr>
        <w:t>The</w:t>
      </w:r>
      <w:r w:rsidR="003A2286">
        <w:rPr>
          <w:rFonts w:cstheme="minorBidi"/>
          <w:szCs w:val="22"/>
        </w:rPr>
        <w:t xml:space="preserve"> ‘success’ rate of the WP </w:t>
      </w:r>
      <w:r>
        <w:rPr>
          <w:rFonts w:cstheme="minorBidi"/>
          <w:szCs w:val="22"/>
        </w:rPr>
        <w:t>in its initial 12 months has been</w:t>
      </w:r>
      <w:r w:rsidR="003A2286">
        <w:rPr>
          <w:rFonts w:cstheme="minorBidi"/>
          <w:szCs w:val="22"/>
        </w:rPr>
        <w:t xml:space="preserve"> estimated at around </w:t>
      </w:r>
      <w:r>
        <w:rPr>
          <w:rFonts w:cstheme="minorBidi"/>
          <w:szCs w:val="22"/>
        </w:rPr>
        <w:t xml:space="preserve">3% </w:t>
      </w:r>
      <w:r w:rsidR="0014797E" w:rsidRPr="004368BC">
        <w:t>(CESI,</w:t>
      </w:r>
      <w:r>
        <w:t xml:space="preserve"> 2012: 1), and by </w:t>
      </w:r>
      <w:r w:rsidR="00370FF6">
        <w:rPr>
          <w:rFonts w:cstheme="minorBidi"/>
          <w:szCs w:val="22"/>
        </w:rPr>
        <w:t xml:space="preserve">2014, </w:t>
      </w:r>
      <w:r>
        <w:rPr>
          <w:rFonts w:cstheme="minorBidi"/>
          <w:szCs w:val="22"/>
        </w:rPr>
        <w:t>at around</w:t>
      </w:r>
      <w:r w:rsidR="00370FF6">
        <w:rPr>
          <w:rFonts w:cstheme="minorBidi"/>
          <w:szCs w:val="22"/>
        </w:rPr>
        <w:t xml:space="preserve"> 11.1% </w:t>
      </w:r>
      <w:r w:rsidR="00A27A07">
        <w:rPr>
          <w:rFonts w:cstheme="minorBidi"/>
          <w:szCs w:val="22"/>
        </w:rPr>
        <w:t>(</w:t>
      </w:r>
      <w:r>
        <w:rPr>
          <w:rFonts w:cstheme="minorBidi"/>
          <w:szCs w:val="22"/>
        </w:rPr>
        <w:t>CESI</w:t>
      </w:r>
      <w:r w:rsidR="00370FF6">
        <w:rPr>
          <w:rFonts w:cstheme="minorBidi"/>
          <w:szCs w:val="22"/>
        </w:rPr>
        <w:t xml:space="preserve">, 2014: 2). </w:t>
      </w:r>
      <w:r>
        <w:rPr>
          <w:rFonts w:cstheme="minorBidi"/>
          <w:szCs w:val="22"/>
        </w:rPr>
        <w:t>JSA referrals were initially much higher than expected, followed by an increasing ratio of ESA to JSA</w:t>
      </w:r>
      <w:r w:rsidR="000275C6">
        <w:rPr>
          <w:rFonts w:cstheme="minorBidi"/>
          <w:szCs w:val="22"/>
        </w:rPr>
        <w:t xml:space="preserve"> participants</w:t>
      </w:r>
      <w:r w:rsidR="00A27A07">
        <w:rPr>
          <w:rFonts w:cstheme="minorBidi"/>
          <w:szCs w:val="22"/>
        </w:rPr>
        <w:t>,</w:t>
      </w:r>
      <w:r w:rsidR="002301ED">
        <w:rPr>
          <w:rFonts w:cstheme="minorBidi"/>
          <w:szCs w:val="22"/>
        </w:rPr>
        <w:t xml:space="preserve"> with ESA customers estimated to be</w:t>
      </w:r>
      <w:r>
        <w:rPr>
          <w:rFonts w:cstheme="minorBidi"/>
          <w:szCs w:val="22"/>
        </w:rPr>
        <w:t xml:space="preserve"> more difficult to place into work</w:t>
      </w:r>
      <w:r w:rsidR="004B72EF">
        <w:rPr>
          <w:rFonts w:cstheme="minorBidi"/>
          <w:szCs w:val="22"/>
        </w:rPr>
        <w:t>. This</w:t>
      </w:r>
      <w:r w:rsidR="0060220F">
        <w:rPr>
          <w:rFonts w:cstheme="minorBidi"/>
          <w:szCs w:val="22"/>
        </w:rPr>
        <w:t xml:space="preserve"> is likely to have </w:t>
      </w:r>
      <w:r w:rsidR="00A34983">
        <w:rPr>
          <w:rFonts w:cstheme="minorBidi"/>
          <w:szCs w:val="22"/>
        </w:rPr>
        <w:t xml:space="preserve">negatively </w:t>
      </w:r>
      <w:r w:rsidR="0060220F">
        <w:rPr>
          <w:rFonts w:cstheme="minorBidi"/>
          <w:szCs w:val="22"/>
        </w:rPr>
        <w:t>affected outcome rates</w:t>
      </w:r>
      <w:r>
        <w:rPr>
          <w:rFonts w:cstheme="minorBidi"/>
          <w:szCs w:val="22"/>
        </w:rPr>
        <w:t xml:space="preserve"> </w:t>
      </w:r>
      <w:r w:rsidRPr="00A712EF">
        <w:rPr>
          <w:rFonts w:cstheme="minorBidi"/>
          <w:bCs/>
          <w:szCs w:val="22"/>
        </w:rPr>
        <w:t>(House of Commons Library, 2016: 22).</w:t>
      </w:r>
    </w:p>
    <w:p w:rsidR="00EE0AB5" w:rsidRDefault="00EE0AB5" w:rsidP="00E20BF2">
      <w:pPr>
        <w:spacing w:line="360" w:lineRule="auto"/>
        <w:ind w:firstLine="720"/>
        <w:jc w:val="both"/>
        <w:rPr>
          <w:rFonts w:cstheme="minorBidi"/>
          <w:bCs/>
          <w:szCs w:val="22"/>
        </w:rPr>
      </w:pPr>
      <w:r>
        <w:rPr>
          <w:rFonts w:cstheme="minorBidi"/>
          <w:bCs/>
          <w:szCs w:val="22"/>
        </w:rPr>
        <w:t xml:space="preserve">WP attendance lasts for a maximum </w:t>
      </w:r>
      <w:r w:rsidR="000275C6">
        <w:rPr>
          <w:rFonts w:cstheme="minorBidi"/>
          <w:bCs/>
          <w:szCs w:val="22"/>
        </w:rPr>
        <w:t>of two years, during which time</w:t>
      </w:r>
      <w:r>
        <w:rPr>
          <w:rFonts w:cstheme="minorBidi"/>
          <w:bCs/>
          <w:szCs w:val="22"/>
        </w:rPr>
        <w:t xml:space="preserve"> participants continue to ‘sign on’ at the JCP. Failure to conform to the mandatory requirements</w:t>
      </w:r>
      <w:r w:rsidR="004B72EF">
        <w:rPr>
          <w:rFonts w:cstheme="minorBidi"/>
          <w:bCs/>
          <w:szCs w:val="22"/>
        </w:rPr>
        <w:t xml:space="preserve"> of either the WP or the JCP can trigger </w:t>
      </w:r>
      <w:r w:rsidR="00A27A07">
        <w:rPr>
          <w:rFonts w:cstheme="minorBidi"/>
          <w:bCs/>
          <w:szCs w:val="22"/>
        </w:rPr>
        <w:t>a ‘sanction’,</w:t>
      </w:r>
      <w:r>
        <w:rPr>
          <w:rFonts w:cstheme="minorBidi"/>
          <w:bCs/>
          <w:szCs w:val="22"/>
        </w:rPr>
        <w:t xml:space="preserve"> i.e. loss of benefits. </w:t>
      </w:r>
      <w:r w:rsidRPr="00EE0AB5">
        <w:rPr>
          <w:rFonts w:cstheme="minorBidi"/>
          <w:bCs/>
          <w:szCs w:val="22"/>
        </w:rPr>
        <w:t>In total, 918,600 sanctions were levied in the fiscal year 2013-2014</w:t>
      </w:r>
      <w:r>
        <w:rPr>
          <w:rFonts w:cstheme="minorBidi"/>
          <w:bCs/>
          <w:szCs w:val="22"/>
        </w:rPr>
        <w:t xml:space="preserve">, </w:t>
      </w:r>
      <w:r w:rsidRPr="00EE0AB5">
        <w:rPr>
          <w:rFonts w:cstheme="minorBidi"/>
          <w:bCs/>
          <w:szCs w:val="22"/>
        </w:rPr>
        <w:t xml:space="preserve">including </w:t>
      </w:r>
      <w:r>
        <w:rPr>
          <w:rFonts w:cstheme="minorBidi"/>
          <w:bCs/>
          <w:szCs w:val="22"/>
        </w:rPr>
        <w:t xml:space="preserve">those levied against </w:t>
      </w:r>
      <w:r w:rsidR="00A34983">
        <w:rPr>
          <w:rFonts w:cstheme="minorBidi"/>
          <w:bCs/>
          <w:szCs w:val="22"/>
        </w:rPr>
        <w:t>claimants mandated to the WP, but</w:t>
      </w:r>
      <w:r w:rsidRPr="00EE0AB5">
        <w:rPr>
          <w:rFonts w:cstheme="minorBidi"/>
          <w:bCs/>
          <w:szCs w:val="22"/>
        </w:rPr>
        <w:t xml:space="preserve"> also those only </w:t>
      </w:r>
      <w:r w:rsidR="00A34983">
        <w:rPr>
          <w:rFonts w:cstheme="minorBidi"/>
          <w:bCs/>
          <w:szCs w:val="22"/>
        </w:rPr>
        <w:t>‘</w:t>
      </w:r>
      <w:r w:rsidRPr="00EE0AB5">
        <w:rPr>
          <w:rFonts w:cstheme="minorBidi"/>
          <w:bCs/>
          <w:szCs w:val="22"/>
        </w:rPr>
        <w:t>si</w:t>
      </w:r>
      <w:r w:rsidR="00A34983">
        <w:rPr>
          <w:rFonts w:cstheme="minorBidi"/>
          <w:bCs/>
          <w:szCs w:val="22"/>
        </w:rPr>
        <w:t>gning on’ at the JCP</w:t>
      </w:r>
      <w:r w:rsidR="002446C0">
        <w:rPr>
          <w:rFonts w:cstheme="minorBidi"/>
          <w:bCs/>
          <w:szCs w:val="22"/>
        </w:rPr>
        <w:t xml:space="preserve"> (DWP, 2014d</w:t>
      </w:r>
      <w:r w:rsidRPr="00EE0AB5">
        <w:rPr>
          <w:rFonts w:cstheme="minorBidi"/>
          <w:bCs/>
          <w:szCs w:val="22"/>
        </w:rPr>
        <w:t xml:space="preserve">). </w:t>
      </w:r>
    </w:p>
    <w:p w:rsidR="0060220F" w:rsidRDefault="0060220F" w:rsidP="006608C6">
      <w:pPr>
        <w:spacing w:after="0" w:line="360" w:lineRule="auto"/>
        <w:jc w:val="both"/>
        <w:rPr>
          <w:rFonts w:cstheme="minorBidi"/>
          <w:bCs/>
          <w:szCs w:val="22"/>
        </w:rPr>
      </w:pPr>
    </w:p>
    <w:p w:rsidR="005D12F8" w:rsidRDefault="0060220F" w:rsidP="006C7F7E">
      <w:pPr>
        <w:pStyle w:val="ListParagraph"/>
        <w:numPr>
          <w:ilvl w:val="0"/>
          <w:numId w:val="4"/>
        </w:numPr>
        <w:spacing w:after="0" w:line="360" w:lineRule="auto"/>
        <w:jc w:val="both"/>
      </w:pPr>
      <w:r w:rsidRPr="006C7F7E">
        <w:rPr>
          <w:rFonts w:cstheme="minorBidi"/>
          <w:bCs/>
          <w:i/>
          <w:szCs w:val="22"/>
        </w:rPr>
        <w:t>Literature</w:t>
      </w:r>
      <w:r w:rsidR="007B0E37" w:rsidRPr="006C7F7E">
        <w:rPr>
          <w:rFonts w:cstheme="minorBidi"/>
          <w:bCs/>
          <w:szCs w:val="22"/>
        </w:rPr>
        <w:tab/>
      </w:r>
    </w:p>
    <w:p w:rsidR="00152790" w:rsidRDefault="008330C1" w:rsidP="00152790">
      <w:pPr>
        <w:spacing w:line="360" w:lineRule="auto"/>
        <w:ind w:firstLine="720"/>
        <w:jc w:val="both"/>
      </w:pPr>
      <w:r>
        <w:t>A vast literature exists exploring the operation of welfare systems. Given the context of this article</w:t>
      </w:r>
      <w:r w:rsidR="003F1A54">
        <w:t xml:space="preserve">, this section presents </w:t>
      </w:r>
      <w:r w:rsidR="00B749C7">
        <w:t xml:space="preserve">only </w:t>
      </w:r>
      <w:r w:rsidR="003F1A54">
        <w:t xml:space="preserve">a sample </w:t>
      </w:r>
      <w:r>
        <w:t>review of</w:t>
      </w:r>
      <w:r w:rsidR="00690037">
        <w:t xml:space="preserve"> </w:t>
      </w:r>
      <w:r>
        <w:t>influential</w:t>
      </w:r>
      <w:r w:rsidR="00690037">
        <w:t>, usefully instructive and/</w:t>
      </w:r>
      <w:r>
        <w:t>or contemporary</w:t>
      </w:r>
      <w:r w:rsidR="003F1A54">
        <w:t xml:space="preserve"> treatments of welfare administrator testimony. </w:t>
      </w:r>
    </w:p>
    <w:p w:rsidR="003F1A54" w:rsidRDefault="00690037" w:rsidP="00152790">
      <w:pPr>
        <w:spacing w:line="360" w:lineRule="auto"/>
        <w:ind w:firstLine="720"/>
        <w:jc w:val="both"/>
      </w:pPr>
      <w:r>
        <w:t>For critics of</w:t>
      </w:r>
      <w:r w:rsidR="00DA6741">
        <w:t xml:space="preserve"> social democratic welfare</w:t>
      </w:r>
      <w:r w:rsidR="00B516F7">
        <w:t xml:space="preserve"> regimes,</w:t>
      </w:r>
      <w:r w:rsidR="00DA6741">
        <w:t xml:space="preserve"> and/or supporters of modern welfare-to-work, administrators</w:t>
      </w:r>
      <w:r w:rsidR="00152790">
        <w:t xml:space="preserve"> generally</w:t>
      </w:r>
      <w:r w:rsidR="00DA6741">
        <w:t xml:space="preserve"> ‘meet’ claimants, </w:t>
      </w:r>
      <w:r w:rsidR="003F1A54">
        <w:t>and experience scheme realities</w:t>
      </w:r>
      <w:r w:rsidR="00A27A07">
        <w:t>,</w:t>
      </w:r>
      <w:r w:rsidR="00DA6741">
        <w:t xml:space="preserve"> at a</w:t>
      </w:r>
      <w:r w:rsidR="000F6891">
        <w:t xml:space="preserve"> social and economic</w:t>
      </w:r>
      <w:r w:rsidR="00DA6741">
        <w:t xml:space="preserve"> ‘frontline’. </w:t>
      </w:r>
      <w:r w:rsidR="000F6891">
        <w:t>In the</w:t>
      </w:r>
      <w:r w:rsidR="003F1A54">
        <w:t xml:space="preserve"> simplest iteration of this </w:t>
      </w:r>
      <w:r w:rsidR="00152790">
        <w:t>assumption</w:t>
      </w:r>
      <w:r w:rsidR="003F1A54">
        <w:t>, claimant behaviours and scheme realities</w:t>
      </w:r>
      <w:r w:rsidR="000F6891">
        <w:t xml:space="preserve"> impress themselves upon the beleaguered adm</w:t>
      </w:r>
      <w:r w:rsidR="003F1A54">
        <w:t>inistrators</w:t>
      </w:r>
      <w:r w:rsidR="00B749C7">
        <w:t>, who then report the</w:t>
      </w:r>
      <w:r w:rsidR="003F1A54">
        <w:t xml:space="preserve">se realities </w:t>
      </w:r>
      <w:r w:rsidR="000F6891">
        <w:t>to social researchers</w:t>
      </w:r>
      <w:r w:rsidR="00B516F7">
        <w:t>, either directly, or as secondary data</w:t>
      </w:r>
      <w:r w:rsidR="000F6891">
        <w:t xml:space="preserve">. </w:t>
      </w:r>
      <w:r w:rsidR="003F1A54">
        <w:t>Classically,</w:t>
      </w:r>
      <w:r w:rsidR="00B516F7">
        <w:t xml:space="preserve"> </w:t>
      </w:r>
      <w:r w:rsidR="00064752">
        <w:t>Moynihan’s (1965)</w:t>
      </w:r>
      <w:r w:rsidR="009454AF">
        <w:t xml:space="preserve"> </w:t>
      </w:r>
      <w:r w:rsidR="00064752" w:rsidRPr="0020297A">
        <w:rPr>
          <w:i/>
        </w:rPr>
        <w:t>The Negro Family</w:t>
      </w:r>
      <w:r w:rsidR="00064752">
        <w:t xml:space="preserve"> and Murray’s (1982) </w:t>
      </w:r>
      <w:r w:rsidR="00064752" w:rsidRPr="0020297A">
        <w:rPr>
          <w:i/>
        </w:rPr>
        <w:t>Losing Ground</w:t>
      </w:r>
      <w:r w:rsidR="000F6891">
        <w:t xml:space="preserve"> each treat </w:t>
      </w:r>
      <w:r w:rsidR="0000350C">
        <w:t xml:space="preserve">US </w:t>
      </w:r>
      <w:r w:rsidR="000F6891">
        <w:t xml:space="preserve">administrators as generally unproblematic </w:t>
      </w:r>
      <w:r w:rsidR="002301ED">
        <w:t>sources</w:t>
      </w:r>
      <w:r w:rsidR="000F6891">
        <w:t xml:space="preserve"> of welfare reality</w:t>
      </w:r>
      <w:r w:rsidR="003F1A54">
        <w:t xml:space="preserve">, </w:t>
      </w:r>
      <w:r w:rsidR="00B749C7">
        <w:t xml:space="preserve">in turn </w:t>
      </w:r>
      <w:r w:rsidR="003F1A54">
        <w:t>supporting</w:t>
      </w:r>
      <w:r w:rsidR="00064752">
        <w:t xml:space="preserve"> influential claims of benefits-induced pathological </w:t>
      </w:r>
      <w:r w:rsidR="002301ED">
        <w:t>welfare-dependency and putative ‘underclass’ behaviours</w:t>
      </w:r>
      <w:r w:rsidR="00064752">
        <w:t>.</w:t>
      </w:r>
      <w:r w:rsidR="0000350C">
        <w:t xml:space="preserve"> </w:t>
      </w:r>
      <w:r w:rsidR="00152790">
        <w:t>Following this tradition</w:t>
      </w:r>
      <w:r w:rsidR="0000350C">
        <w:t xml:space="preserve">, but in modern British context, Dunn (2014) </w:t>
      </w:r>
      <w:r w:rsidR="0000350C">
        <w:lastRenderedPageBreak/>
        <w:t xml:space="preserve">draws on interviews with 40 </w:t>
      </w:r>
      <w:proofErr w:type="gramStart"/>
      <w:r w:rsidR="0000350C">
        <w:t>welfare</w:t>
      </w:r>
      <w:proofErr w:type="gramEnd"/>
      <w:r w:rsidR="0000350C">
        <w:t xml:space="preserve"> ‘activation workers’ to support claims of intergenerational </w:t>
      </w:r>
      <w:r w:rsidR="003F1A54">
        <w:t>‘</w:t>
      </w:r>
      <w:r w:rsidR="0000350C">
        <w:t>worklessness</w:t>
      </w:r>
      <w:r w:rsidR="003F1A54">
        <w:t>’</w:t>
      </w:r>
      <w:r w:rsidR="00A27A07">
        <w:t>,</w:t>
      </w:r>
      <w:r w:rsidR="0000350C">
        <w:t xml:space="preserve"> claimant </w:t>
      </w:r>
      <w:r w:rsidR="00011CC9">
        <w:t>social dysfunction and intransigent</w:t>
      </w:r>
      <w:r w:rsidR="00A27A07">
        <w:t xml:space="preserve"> ‘choosiness’ in refusing </w:t>
      </w:r>
      <w:r w:rsidR="002301ED">
        <w:t xml:space="preserve">low-paid </w:t>
      </w:r>
      <w:r w:rsidR="00A27A07">
        <w:t xml:space="preserve">work. </w:t>
      </w:r>
      <w:r w:rsidR="00B749C7">
        <w:t>However, Marston (2013)</w:t>
      </w:r>
      <w:r w:rsidR="003F1A54">
        <w:t xml:space="preserve"> argues that Dunn</w:t>
      </w:r>
      <w:r w:rsidR="002301ED">
        <w:t>’s work</w:t>
      </w:r>
      <w:r w:rsidR="003F1A54">
        <w:t xml:space="preserve"> is ove</w:t>
      </w:r>
      <w:r w:rsidR="002301ED">
        <w:t>rly lenient in assuming that administrator</w:t>
      </w:r>
      <w:r w:rsidR="003F1A54">
        <w:t xml:space="preserve">s’ opinions are unproblematic reflections of reality, despite being contradicted by empirical facts. </w:t>
      </w:r>
      <w:r w:rsidR="008B2A08">
        <w:t xml:space="preserve">A study by the Joseph Rowntree Foundation </w:t>
      </w:r>
      <w:r w:rsidR="007B3303">
        <w:t>(2</w:t>
      </w:r>
      <w:r w:rsidR="008B2A08">
        <w:t xml:space="preserve">012: 1), for example, found </w:t>
      </w:r>
      <w:r w:rsidR="003F1A54">
        <w:t>that “There [is] no evidence</w:t>
      </w:r>
      <w:r w:rsidR="00534792">
        <w:t xml:space="preserve"> of ‘a culture of worklessness’</w:t>
      </w:r>
      <w:r w:rsidR="003F1A54">
        <w:t>”</w:t>
      </w:r>
      <w:r w:rsidR="00534792">
        <w:t xml:space="preserve"> or ‘intergenerational unemployment’.</w:t>
      </w:r>
      <w:r w:rsidR="003F1A54">
        <w:t xml:space="preserve"> Perhaps a more worrying approach in this vein is the use of administrator hearsay</w:t>
      </w:r>
      <w:r w:rsidR="00A27A07">
        <w:t>/anecdote</w:t>
      </w:r>
      <w:r w:rsidR="003F1A54">
        <w:t xml:space="preserve">, or a sense of ‘everyone </w:t>
      </w:r>
      <w:r w:rsidR="00A27A07">
        <w:t>knows that this is true’, as</w:t>
      </w:r>
      <w:r w:rsidR="003F1A54">
        <w:t xml:space="preserve"> </w:t>
      </w:r>
      <w:r w:rsidR="00011CC9">
        <w:t xml:space="preserve">ersatz </w:t>
      </w:r>
      <w:r w:rsidR="007B3303">
        <w:t>empirical evidence. Signally</w:t>
      </w:r>
      <w:r w:rsidR="003F1A54">
        <w:t>, the</w:t>
      </w:r>
      <w:r w:rsidR="007B3303">
        <w:t xml:space="preserve"> influential</w:t>
      </w:r>
      <w:r w:rsidR="003F1A54">
        <w:t xml:space="preserve"> </w:t>
      </w:r>
      <w:r w:rsidR="007B3303">
        <w:rPr>
          <w:i/>
        </w:rPr>
        <w:t>Centre for Social Justice</w:t>
      </w:r>
      <w:r w:rsidR="003F1A54">
        <w:t xml:space="preserve"> (2013: 2) claim</w:t>
      </w:r>
      <w:r w:rsidR="00011CC9">
        <w:t>s</w:t>
      </w:r>
      <w:r w:rsidR="003F1A54">
        <w:t xml:space="preserve"> that “Intergenerational worklessness does exist […] Many of our Alliance members see it regularly; second, third or even fourth generation.” Marston challenges such approaches for their failure to interrogate and contextualise vague, sometimes absurd</w:t>
      </w:r>
      <w:r w:rsidR="00A27A07">
        <w:t>,</w:t>
      </w:r>
      <w:r w:rsidR="003F1A54">
        <w:t xml:space="preserve"> claims and contestable interpretations.</w:t>
      </w:r>
      <w:r w:rsidR="003F1A54" w:rsidRPr="003F1A54">
        <w:t xml:space="preserve"> </w:t>
      </w:r>
      <w:r w:rsidR="00152790">
        <w:t xml:space="preserve"> </w:t>
      </w:r>
    </w:p>
    <w:p w:rsidR="009454AF" w:rsidRDefault="007B3303" w:rsidP="00152790">
      <w:pPr>
        <w:spacing w:line="360" w:lineRule="auto"/>
        <w:ind w:firstLine="720"/>
        <w:jc w:val="both"/>
      </w:pPr>
      <w:r>
        <w:t xml:space="preserve">Mead’s (1986) </w:t>
      </w:r>
      <w:r w:rsidR="003F1A54">
        <w:t>influential</w:t>
      </w:r>
      <w:r w:rsidR="00152790">
        <w:t xml:space="preserve"> and</w:t>
      </w:r>
      <w:r>
        <w:t xml:space="preserve"> highly controversial</w:t>
      </w:r>
      <w:r w:rsidR="003F1A54">
        <w:t xml:space="preserve"> </w:t>
      </w:r>
      <w:r w:rsidR="003F1A54" w:rsidRPr="0020297A">
        <w:rPr>
          <w:i/>
        </w:rPr>
        <w:t>Beyond Entitlement</w:t>
      </w:r>
      <w:r w:rsidR="00152790">
        <w:t>, which</w:t>
      </w:r>
      <w:r w:rsidR="003F1A54">
        <w:t xml:space="preserve"> draws on in-the-field observations and discussions with administrators in the UK and the US, </w:t>
      </w:r>
      <w:r>
        <w:t>offers the beginnings of a</w:t>
      </w:r>
      <w:r w:rsidR="00C05114">
        <w:t>n arguably</w:t>
      </w:r>
      <w:r>
        <w:t xml:space="preserve"> more dynamic, ‘interactive’ model. Mead presents administrator views</w:t>
      </w:r>
      <w:r w:rsidR="00152790">
        <w:t xml:space="preserve"> as influentially partisan, with successful welfare, or ‘workfare’, occurring </w:t>
      </w:r>
      <w:r w:rsidR="003F1A54">
        <w:t>when administrators are hard-nosed and focused</w:t>
      </w:r>
      <w:r w:rsidR="00152790">
        <w:t xml:space="preserve"> on making claimants work. Conversely, </w:t>
      </w:r>
      <w:r w:rsidR="003F1A54">
        <w:t xml:space="preserve">‘liberal-minded’ </w:t>
      </w:r>
      <w:r w:rsidR="00152790">
        <w:t xml:space="preserve">and overly </w:t>
      </w:r>
      <w:r w:rsidR="003F1A54">
        <w:t>sympathetic administrators encourage passi</w:t>
      </w:r>
      <w:r w:rsidR="008B2A08">
        <w:t xml:space="preserve">vity and ‘benefit-seeking’. </w:t>
      </w:r>
      <w:proofErr w:type="spellStart"/>
      <w:r w:rsidR="008B2A08">
        <w:t>Bry</w:t>
      </w:r>
      <w:r w:rsidR="003F1A54">
        <w:t>ner</w:t>
      </w:r>
      <w:proofErr w:type="spellEnd"/>
      <w:r w:rsidR="003F1A54">
        <w:t xml:space="preserve"> (1996) and Quaid (2002) make similar claims based on updated North American data, while Bane and Ellwo</w:t>
      </w:r>
      <w:r w:rsidR="00152790">
        <w:t xml:space="preserve">od (1994) use a </w:t>
      </w:r>
      <w:r w:rsidR="00C05114">
        <w:t>comparable</w:t>
      </w:r>
      <w:r w:rsidR="00484F34">
        <w:t xml:space="preserve"> methodo</w:t>
      </w:r>
      <w:r w:rsidR="00152790">
        <w:t>logical approach,</w:t>
      </w:r>
      <w:r w:rsidR="003F1A54">
        <w:t xml:space="preserve"> but to </w:t>
      </w:r>
      <w:r w:rsidR="00152790">
        <w:t>argue the reverse:</w:t>
      </w:r>
      <w:r w:rsidR="003F1A54">
        <w:t xml:space="preserve"> </w:t>
      </w:r>
      <w:r w:rsidR="00C05114">
        <w:t xml:space="preserve">i.e. </w:t>
      </w:r>
      <w:r w:rsidR="003F1A54">
        <w:t xml:space="preserve">that work-focussed, hard-nosed administrators are correlated to cycles of welfare </w:t>
      </w:r>
      <w:r w:rsidR="003F1A54" w:rsidRPr="00FD05A2">
        <w:rPr>
          <w:i/>
        </w:rPr>
        <w:t>re</w:t>
      </w:r>
      <w:r w:rsidR="003F1A54">
        <w:t>-claiming, as opposed to more sympathetic, training-based approaches.</w:t>
      </w:r>
      <w:r w:rsidR="00933136">
        <w:t xml:space="preserve"> </w:t>
      </w:r>
      <w:r w:rsidR="00C05114">
        <w:t>Perkins (2016), meanwhile, extends Mead’s argument into neuro-biology, proposing</w:t>
      </w:r>
      <w:r w:rsidR="00933136">
        <w:t xml:space="preserve"> that ‘passive’ administrators and welfare systems </w:t>
      </w:r>
      <w:r w:rsidR="008F56AE">
        <w:t xml:space="preserve">facilitate </w:t>
      </w:r>
      <w:r w:rsidR="00933136">
        <w:t>the emergence of a partially genetically inherited ‘welfare trait’</w:t>
      </w:r>
      <w:r w:rsidR="008F56AE">
        <w:t xml:space="preserve">, compounding the problem of intergenerational unemployment. </w:t>
      </w:r>
      <w:r w:rsidR="00933136">
        <w:t xml:space="preserve"> </w:t>
      </w:r>
    </w:p>
    <w:p w:rsidR="008725BB" w:rsidRDefault="00064752" w:rsidP="00152790">
      <w:pPr>
        <w:spacing w:line="360" w:lineRule="auto"/>
        <w:ind w:firstLine="720"/>
        <w:jc w:val="both"/>
      </w:pPr>
      <w:r>
        <w:t xml:space="preserve">Theorists critical of welfare-to-work vary in their treatment of administrator testimony. A common theme, particularly in the US, is to highlight the underlying racism </w:t>
      </w:r>
      <w:r w:rsidR="002730D9">
        <w:t xml:space="preserve">and/or misogyny </w:t>
      </w:r>
      <w:r>
        <w:t>of welfare workers</w:t>
      </w:r>
      <w:r w:rsidR="00484F34">
        <w:t xml:space="preserve"> as precursory belief structures influencing later scheme operation</w:t>
      </w:r>
      <w:r>
        <w:t xml:space="preserve"> (e.g. </w:t>
      </w:r>
      <w:proofErr w:type="spellStart"/>
      <w:r>
        <w:t>Piven</w:t>
      </w:r>
      <w:proofErr w:type="spellEnd"/>
      <w:r>
        <w:t xml:space="preserve"> and Cloward, 1971; </w:t>
      </w:r>
      <w:r w:rsidR="00484F34">
        <w:t>Handler, 1995). In the UK, it has been</w:t>
      </w:r>
      <w:r>
        <w:t xml:space="preserve"> more common to link administrator views to class chauvinism (e.g. </w:t>
      </w:r>
      <w:proofErr w:type="spellStart"/>
      <w:r>
        <w:t>Spicker</w:t>
      </w:r>
      <w:proofErr w:type="spellEnd"/>
      <w:r>
        <w:t xml:space="preserve">, 1984; </w:t>
      </w:r>
      <w:proofErr w:type="spellStart"/>
      <w:r>
        <w:t>Westergaard</w:t>
      </w:r>
      <w:proofErr w:type="spellEnd"/>
      <w:r>
        <w:t>, 1995</w:t>
      </w:r>
      <w:r w:rsidR="0020297A">
        <w:t>; Jones and Novak, 1999</w:t>
      </w:r>
      <w:r w:rsidR="00C05114">
        <w:t>). More recently,</w:t>
      </w:r>
      <w:r>
        <w:t xml:space="preserve"> a ‘neoliberal conduit’ approach has </w:t>
      </w:r>
      <w:r w:rsidR="0020297A">
        <w:t>tended</w:t>
      </w:r>
      <w:r w:rsidR="00B749C7">
        <w:t xml:space="preserve"> to predominate</w:t>
      </w:r>
      <w:r w:rsidR="00C05114">
        <w:t xml:space="preserve"> in critical welfare studies. This characterises</w:t>
      </w:r>
      <w:r w:rsidR="00484F34">
        <w:t xml:space="preserve"> </w:t>
      </w:r>
      <w:r>
        <w:t>admini</w:t>
      </w:r>
      <w:r w:rsidR="007B3303">
        <w:t>strator views as the terminus point</w:t>
      </w:r>
      <w:r>
        <w:t xml:space="preserve"> in a proce</w:t>
      </w:r>
      <w:r w:rsidR="00484F34">
        <w:t>ss of elite conceptual download.</w:t>
      </w:r>
      <w:r>
        <w:t xml:space="preserve"> </w:t>
      </w:r>
      <w:r w:rsidR="00C91706">
        <w:t>T</w:t>
      </w:r>
      <w:r>
        <w:t xml:space="preserve">he real-life presence of administrators within this </w:t>
      </w:r>
      <w:r>
        <w:lastRenderedPageBreak/>
        <w:t xml:space="preserve">conceptualisation varies. </w:t>
      </w:r>
      <w:r w:rsidR="008725BB">
        <w:t>Boland (2016), for example, focuses entirely on UK welfare documentation, finding that while such written output is often presented by the government as conducive to the improvement of claimants’ self-esteem and self-efficacy</w:t>
      </w:r>
      <w:proofErr w:type="gramStart"/>
      <w:r w:rsidR="008725BB">
        <w:t>, in reality, the</w:t>
      </w:r>
      <w:proofErr w:type="gramEnd"/>
      <w:r w:rsidR="008725BB">
        <w:t xml:space="preserve"> implied discourses and related practical implementation of such materials prompt administrators to construct and reinforce the notion of unemployment as a wholly personal failure. Boland concludes that:</w:t>
      </w:r>
    </w:p>
    <w:p w:rsidR="008725BB" w:rsidRDefault="008725BB" w:rsidP="008E65C7">
      <w:pPr>
        <w:spacing w:line="360" w:lineRule="auto"/>
        <w:ind w:left="1134"/>
        <w:jc w:val="both"/>
      </w:pPr>
      <w:r>
        <w:t xml:space="preserve">Far from being empowering, discourses positing job-seeking as intense self-control which can generate convincing performances may be subjectively and psychologically injurious; the consequences of repeated failure or exhaustion through constant </w:t>
      </w:r>
      <w:proofErr w:type="spellStart"/>
      <w:r>
        <w:t>self re-</w:t>
      </w:r>
      <w:proofErr w:type="spellEnd"/>
      <w:r>
        <w:t>invention have yet to be seen. (2016: 348)</w:t>
      </w:r>
    </w:p>
    <w:p w:rsidR="006F0F82" w:rsidRDefault="00C05114" w:rsidP="00152790">
      <w:pPr>
        <w:spacing w:line="360" w:lineRule="auto"/>
        <w:ind w:firstLine="720"/>
        <w:jc w:val="both"/>
      </w:pPr>
      <w:r>
        <w:t>Following</w:t>
      </w:r>
      <w:r w:rsidR="00152790">
        <w:t xml:space="preserve"> a </w:t>
      </w:r>
      <w:r>
        <w:t xml:space="preserve">more field-based </w:t>
      </w:r>
      <w:r w:rsidR="00152790">
        <w:t xml:space="preserve">approach, </w:t>
      </w:r>
      <w:r w:rsidR="008725BB">
        <w:t>P</w:t>
      </w:r>
      <w:r w:rsidR="00064752">
        <w:t>eck (2001)</w:t>
      </w:r>
      <w:r w:rsidR="007B3303">
        <w:t xml:space="preserve"> back</w:t>
      </w:r>
      <w:r w:rsidR="008725BB">
        <w:t>grounds real administrators as</w:t>
      </w:r>
      <w:r w:rsidR="00C91706">
        <w:t xml:space="preserve"> generalised </w:t>
      </w:r>
      <w:r w:rsidR="00064752">
        <w:t>prosecutors o</w:t>
      </w:r>
      <w:r w:rsidR="00C91706">
        <w:t>f ‘micro-r</w:t>
      </w:r>
      <w:r w:rsidR="006F0F82">
        <w:t>egulatory’ regimes</w:t>
      </w:r>
      <w:r w:rsidR="00484F34">
        <w:t xml:space="preserve"> administering</w:t>
      </w:r>
      <w:r w:rsidR="00C91706">
        <w:t xml:space="preserve"> </w:t>
      </w:r>
      <w:r w:rsidR="00064752">
        <w:t xml:space="preserve">bullying and exploitation in the service of neoliberal </w:t>
      </w:r>
      <w:r w:rsidR="00C91706">
        <w:t>economics</w:t>
      </w:r>
      <w:r w:rsidR="00011CC9">
        <w:t>, leading to</w:t>
      </w:r>
      <w:r w:rsidR="00484F34" w:rsidRPr="00484F34">
        <w:t xml:space="preserve"> a ‘structural congruence’ between government and business imperatives</w:t>
      </w:r>
      <w:r w:rsidR="007B3303">
        <w:t>,</w:t>
      </w:r>
      <w:r w:rsidR="00484F34" w:rsidRPr="00484F34">
        <w:t xml:space="preserve"> justified by the intertwined ideologies of the ‘pathological underclass’, ‘competitiveness’, ‘flexibility’ and ‘personal responsibility’ (Peck, 2001, 2002).</w:t>
      </w:r>
      <w:r w:rsidR="00484F34">
        <w:t xml:space="preserve"> However, while Peck sees this process as embodying </w:t>
      </w:r>
      <w:r w:rsidR="00F23A19">
        <w:t>pathological neoliberal subjectivities</w:t>
      </w:r>
      <w:r w:rsidR="00484F34">
        <w:t xml:space="preserve"> </w:t>
      </w:r>
      <w:r w:rsidR="00484F34" w:rsidRPr="00613F0E">
        <w:rPr>
          <w:i/>
        </w:rPr>
        <w:t>within benefit</w:t>
      </w:r>
      <w:r w:rsidR="00484F34">
        <w:t xml:space="preserve"> </w:t>
      </w:r>
      <w:r w:rsidR="00484F34" w:rsidRPr="00B749C7">
        <w:rPr>
          <w:i/>
        </w:rPr>
        <w:t>claimants</w:t>
      </w:r>
      <w:r w:rsidR="00613F0E">
        <w:t>, he is less</w:t>
      </w:r>
      <w:r w:rsidR="00484F34">
        <w:t xml:space="preserve"> clear as to how admi</w:t>
      </w:r>
      <w:r w:rsidR="00F23A19">
        <w:t>ni</w:t>
      </w:r>
      <w:r w:rsidR="00484F34">
        <w:t>st</w:t>
      </w:r>
      <w:r w:rsidR="00F23A19">
        <w:t xml:space="preserve">rators come to </w:t>
      </w:r>
      <w:r w:rsidR="00F23A19" w:rsidRPr="00613F0E">
        <w:t>be</w:t>
      </w:r>
      <w:r w:rsidR="00F23A19">
        <w:t xml:space="preserve"> </w:t>
      </w:r>
      <w:r w:rsidR="00B749C7">
        <w:t xml:space="preserve">active vessels of </w:t>
      </w:r>
      <w:r w:rsidR="00F23A19">
        <w:t xml:space="preserve">neoliberal governmentalities. Goldberg’s (2001) analysis of New York’s </w:t>
      </w:r>
      <w:r w:rsidR="006F0F82">
        <w:t>‘</w:t>
      </w:r>
      <w:r w:rsidR="00F23A19">
        <w:t>Work Experience Programme</w:t>
      </w:r>
      <w:r w:rsidR="006F0F82">
        <w:t>’</w:t>
      </w:r>
      <w:r w:rsidR="00F23A19">
        <w:t xml:space="preserve"> </w:t>
      </w:r>
      <w:r w:rsidR="00613F0E">
        <w:t xml:space="preserve">arguably </w:t>
      </w:r>
      <w:r w:rsidR="00F23A19">
        <w:t>presents a more interactive and fleshed-out version</w:t>
      </w:r>
      <w:r w:rsidR="00613F0E">
        <w:t xml:space="preserve"> of a similar</w:t>
      </w:r>
      <w:r w:rsidR="00B749C7">
        <w:t xml:space="preserve"> approach</w:t>
      </w:r>
      <w:r w:rsidR="00F23A19">
        <w:t xml:space="preserve">. According to Goldberg, welfare-to-work is </w:t>
      </w:r>
      <w:r w:rsidR="00F23A19" w:rsidRPr="00F23A19">
        <w:t>not simply a matter of powe</w:t>
      </w:r>
      <w:r w:rsidR="00011CC9">
        <w:t xml:space="preserve">r, domination or </w:t>
      </w:r>
      <w:r w:rsidR="006F0F82">
        <w:t>control;</w:t>
      </w:r>
      <w:r w:rsidR="00F23A19">
        <w:t xml:space="preserve"> it is</w:t>
      </w:r>
      <w:r w:rsidR="00F23A19" w:rsidRPr="00F23A19">
        <w:t xml:space="preserve"> an active semiotic process of creating ‘welfare claimant’ as </w:t>
      </w:r>
      <w:r w:rsidR="006F0F82">
        <w:t xml:space="preserve">a </w:t>
      </w:r>
      <w:r w:rsidR="00F23A19" w:rsidRPr="00F23A19">
        <w:t xml:space="preserve">symbolically polluted social category. </w:t>
      </w:r>
      <w:r w:rsidR="00F23A19">
        <w:t>Crucially, this involves interaction, and a flow of mutual influence, passing dialectically between welfare administrators and</w:t>
      </w:r>
      <w:r w:rsidR="00B749C7">
        <w:t xml:space="preserve"> the sources of elite discourse</w:t>
      </w:r>
      <w:r w:rsidR="00613F0E">
        <w:t>,</w:t>
      </w:r>
      <w:r w:rsidR="00B749C7">
        <w:t xml:space="preserve"> such as</w:t>
      </w:r>
      <w:r w:rsidR="00F23A19">
        <w:t xml:space="preserve"> media</w:t>
      </w:r>
      <w:r w:rsidR="00B749C7">
        <w:t>, academics</w:t>
      </w:r>
      <w:r w:rsidR="00F23A19">
        <w:t xml:space="preserve"> and government. However, administrators themselves remain notably absent from Goldberg’</w:t>
      </w:r>
      <w:r w:rsidR="00B749C7">
        <w:t>s study.</w:t>
      </w:r>
      <w:r w:rsidR="00F23A19">
        <w:t xml:space="preserve"> </w:t>
      </w:r>
    </w:p>
    <w:p w:rsidR="006F0F82" w:rsidRDefault="006F0F82" w:rsidP="00152790">
      <w:pPr>
        <w:spacing w:line="360" w:lineRule="auto"/>
        <w:ind w:firstLine="720"/>
        <w:jc w:val="both"/>
      </w:pPr>
      <w:r>
        <w:t>On the extreme end of the</w:t>
      </w:r>
      <w:r w:rsidR="00B749C7">
        <w:t xml:space="preserve"> ‘absentee’</w:t>
      </w:r>
      <w:r w:rsidR="00F23A19">
        <w:t xml:space="preserve"> scale, Wacquant</w:t>
      </w:r>
      <w:r w:rsidR="00F23A19" w:rsidRPr="00F23A19">
        <w:t xml:space="preserve"> </w:t>
      </w:r>
      <w:r w:rsidR="00F23A19">
        <w:t xml:space="preserve">(2011) erases administrators altogether, transforming them into faceless malevolent spirits in a neoliberal welfare demonology. </w:t>
      </w:r>
      <w:r w:rsidR="00613F0E">
        <w:t>Theory is foregrounded, and welfare p</w:t>
      </w:r>
      <w:r w:rsidR="00011CC9">
        <w:t xml:space="preserve">raxis all but erased. </w:t>
      </w:r>
    </w:p>
    <w:p w:rsidR="00F23A19" w:rsidRDefault="00011CC9" w:rsidP="00152790">
      <w:pPr>
        <w:spacing w:line="360" w:lineRule="auto"/>
        <w:ind w:firstLine="720"/>
        <w:jc w:val="both"/>
      </w:pPr>
      <w:r>
        <w:t>W</w:t>
      </w:r>
      <w:r w:rsidR="00B749C7">
        <w:t>here real administrators do appear in Foucaul</w:t>
      </w:r>
      <w:r w:rsidR="00613F0E">
        <w:t>t</w:t>
      </w:r>
      <w:r>
        <w:t xml:space="preserve"> </w:t>
      </w:r>
      <w:r w:rsidR="00B749C7">
        <w:t xml:space="preserve">influenced analyses, linking their </w:t>
      </w:r>
      <w:r w:rsidR="00613F0E">
        <w:t>testimony to the theory can remain</w:t>
      </w:r>
      <w:r w:rsidR="00B749C7">
        <w:t xml:space="preserve"> problematic. For example, </w:t>
      </w:r>
      <w:r w:rsidR="00F23A19" w:rsidRPr="00F23A19">
        <w:t xml:space="preserve">Schram </w:t>
      </w:r>
      <w:r w:rsidR="00F23A19" w:rsidRPr="00F23A19">
        <w:rPr>
          <w:i/>
        </w:rPr>
        <w:t>et al.</w:t>
      </w:r>
      <w:r w:rsidR="00F23A19" w:rsidRPr="00F23A19">
        <w:t xml:space="preserve"> (2010: 746)</w:t>
      </w:r>
      <w:r w:rsidR="00F23A19">
        <w:t xml:space="preserve"> argue that:</w:t>
      </w:r>
    </w:p>
    <w:p w:rsidR="00F5256E" w:rsidRPr="00F23A19" w:rsidRDefault="00F5256E" w:rsidP="00F23A19">
      <w:pPr>
        <w:spacing w:line="360" w:lineRule="auto"/>
        <w:ind w:firstLine="360"/>
        <w:jc w:val="both"/>
      </w:pPr>
    </w:p>
    <w:p w:rsidR="00F5256E" w:rsidRPr="00F23A19" w:rsidRDefault="00F23A19" w:rsidP="00F5256E">
      <w:pPr>
        <w:spacing w:line="360" w:lineRule="auto"/>
        <w:ind w:left="1134"/>
        <w:jc w:val="both"/>
      </w:pPr>
      <w:r w:rsidRPr="00F23A19">
        <w:lastRenderedPageBreak/>
        <w:t>The new tools of governance […] such as performance systems, are instruments for a deeper project of governmentality […] designed to produce self-disciplining governing authorities by cultivating appropriate ‘governing mentalities’.</w:t>
      </w:r>
    </w:p>
    <w:p w:rsidR="00F5256E" w:rsidRDefault="00C05114" w:rsidP="00C05114">
      <w:pPr>
        <w:spacing w:line="360" w:lineRule="auto"/>
        <w:jc w:val="both"/>
      </w:pPr>
      <w:r>
        <w:t>Yet, t</w:t>
      </w:r>
      <w:r w:rsidR="00F23A19">
        <w:t>he interview data used to evidence</w:t>
      </w:r>
      <w:r w:rsidR="00B749C7">
        <w:t xml:space="preserve"> this highly </w:t>
      </w:r>
      <w:proofErr w:type="spellStart"/>
      <w:r w:rsidR="00B749C7">
        <w:t>theoreticist</w:t>
      </w:r>
      <w:proofErr w:type="spellEnd"/>
      <w:r w:rsidR="00B749C7">
        <w:t xml:space="preserve"> and specific claim are arguably </w:t>
      </w:r>
      <w:r w:rsidR="00011CC9">
        <w:t xml:space="preserve">sometimes </w:t>
      </w:r>
      <w:r w:rsidR="00B749C7">
        <w:t>unconvincing</w:t>
      </w:r>
      <w:r w:rsidR="00F5256E">
        <w:t xml:space="preserve">. For example: </w:t>
      </w:r>
    </w:p>
    <w:p w:rsidR="00F23A19" w:rsidRDefault="00F23A19" w:rsidP="00F5256E">
      <w:pPr>
        <w:spacing w:line="360" w:lineRule="auto"/>
        <w:ind w:left="1134"/>
        <w:jc w:val="both"/>
      </w:pPr>
      <w:r w:rsidRPr="00F23A19">
        <w:t xml:space="preserve">When asked whether they have time to ‘work on skill development,’ case managers frequently give responses </w:t>
      </w:r>
      <w:proofErr w:type="gramStart"/>
      <w:r w:rsidRPr="00F23A19">
        <w:t>similar to</w:t>
      </w:r>
      <w:proofErr w:type="gramEnd"/>
      <w:r w:rsidRPr="00F23A19">
        <w:t xml:space="preserve"> this one: ‘No, you do not. [...] You just have to refer ‘</w:t>
      </w:r>
      <w:proofErr w:type="spellStart"/>
      <w:r w:rsidRPr="00F23A19">
        <w:t>em</w:t>
      </w:r>
      <w:proofErr w:type="spellEnd"/>
      <w:r w:rsidRPr="00F23A19">
        <w:t xml:space="preserve"> out, and, well, call this nu</w:t>
      </w:r>
      <w:r w:rsidR="00F5256E">
        <w:t>mber, and see what you can find</w:t>
      </w:r>
      <w:r w:rsidRPr="00F23A19">
        <w:t xml:space="preserve"> (p750).</w:t>
      </w:r>
    </w:p>
    <w:p w:rsidR="002A26BF" w:rsidRDefault="00B749C7" w:rsidP="002A26BF">
      <w:pPr>
        <w:spacing w:line="360" w:lineRule="auto"/>
        <w:jc w:val="both"/>
      </w:pPr>
      <w:r>
        <w:t xml:space="preserve">It is not clear how this represents </w:t>
      </w:r>
      <w:r w:rsidR="002A26BF">
        <w:t xml:space="preserve">a Foucauldian dissemination of diffuse </w:t>
      </w:r>
      <w:r w:rsidR="006F0F82">
        <w:t>‘</w:t>
      </w:r>
      <w:r w:rsidR="002A26BF">
        <w:t>governmentalities</w:t>
      </w:r>
      <w:r w:rsidR="006F0F82">
        <w:t>’</w:t>
      </w:r>
      <w:r w:rsidR="00613F0E">
        <w:t>,</w:t>
      </w:r>
      <w:r w:rsidR="002A26BF">
        <w:t xml:space="preserve"> rather than just </w:t>
      </w:r>
      <w:r w:rsidR="00613F0E">
        <w:t xml:space="preserve">administrators </w:t>
      </w:r>
      <w:r w:rsidR="002A26BF">
        <w:t xml:space="preserve">doing a minimal job with poor resources. </w:t>
      </w:r>
    </w:p>
    <w:p w:rsidR="002A26BF" w:rsidRDefault="002A26BF" w:rsidP="00C05114">
      <w:pPr>
        <w:spacing w:line="360" w:lineRule="auto"/>
        <w:ind w:firstLine="720"/>
        <w:jc w:val="both"/>
      </w:pPr>
      <w:r>
        <w:t>In the latter vein, a</w:t>
      </w:r>
      <w:r w:rsidR="00064752">
        <w:t xml:space="preserve">n </w:t>
      </w:r>
      <w:r>
        <w:t>arguably more reality-based</w:t>
      </w:r>
      <w:r w:rsidR="00064752">
        <w:t xml:space="preserve"> approach</w:t>
      </w:r>
      <w:r>
        <w:t xml:space="preserve"> </w:t>
      </w:r>
      <w:r w:rsidR="00064752">
        <w:t>has been presented by some proponents of ‘street-level bureaucracy’ theory</w:t>
      </w:r>
      <w:r w:rsidR="00B3423E">
        <w:t xml:space="preserve"> (Fletcher, 2011)</w:t>
      </w:r>
      <w:r w:rsidR="00064752">
        <w:t xml:space="preserve">. </w:t>
      </w:r>
      <w:proofErr w:type="spellStart"/>
      <w:r w:rsidR="00064752">
        <w:t>Shildrick</w:t>
      </w:r>
      <w:proofErr w:type="spellEnd"/>
      <w:r w:rsidR="00064752">
        <w:t xml:space="preserve"> </w:t>
      </w:r>
      <w:r w:rsidR="00064752" w:rsidRPr="0020297A">
        <w:rPr>
          <w:i/>
        </w:rPr>
        <w:t>et al.</w:t>
      </w:r>
      <w:r>
        <w:t xml:space="preserve"> (2013), for instance, agree</w:t>
      </w:r>
      <w:r w:rsidR="00064752">
        <w:t xml:space="preserve"> that UK ‘welfare re</w:t>
      </w:r>
      <w:r>
        <w:t>form’ constitutes a deliberate New Right policy inte</w:t>
      </w:r>
      <w:r w:rsidR="00064752">
        <w:t>nded to re-valorise low wage ex</w:t>
      </w:r>
      <w:r>
        <w:t>ploitation. However, they also find that administrator</w:t>
      </w:r>
      <w:r w:rsidR="00064752">
        <w:t xml:space="preserve"> practices and attitudes are sometimes at odds with elite policy discourse, creating local frictions between government ambition and localised service realities. Macdonald and Marston (2005) similarly embrace street-level</w:t>
      </w:r>
      <w:r>
        <w:t xml:space="preserve"> bureaucracy theory, but argue that </w:t>
      </w:r>
      <w:r w:rsidR="00064752">
        <w:t>interactions between administrators and service users can form sites of radical contestation in and of themselves.</w:t>
      </w:r>
      <w:r w:rsidR="00107C91">
        <w:t xml:space="preserve"> A recent variation on this approach has been to revert</w:t>
      </w:r>
      <w:r>
        <w:t xml:space="preserve"> to the ‘direct data’ methodology, attempting </w:t>
      </w:r>
      <w:r w:rsidR="00064752">
        <w:t xml:space="preserve">straightforward empirical </w:t>
      </w:r>
      <w:r w:rsidR="00613F0E">
        <w:t>evidence</w:t>
      </w:r>
      <w:r>
        <w:t xml:space="preserve"> </w:t>
      </w:r>
      <w:r w:rsidR="00011CC9">
        <w:t xml:space="preserve">gathering, </w:t>
      </w:r>
      <w:r w:rsidR="0020297A">
        <w:t>but for purposes of critical and functional assessment</w:t>
      </w:r>
      <w:r w:rsidR="00064752">
        <w:t xml:space="preserve">. </w:t>
      </w:r>
      <w:r w:rsidR="00107C91">
        <w:t>Grant’s (2013) study of the</w:t>
      </w:r>
      <w:r w:rsidR="00064752">
        <w:t xml:space="preserve"> WP, for instance, finds advisers describing their role as ‘tailoring’ services over long periods to meet difficult individual customer needs; an approach often at odds with the generic and intensive employment outcomes targets imposed by management. Newton </w:t>
      </w:r>
      <w:r w:rsidR="00064752" w:rsidRPr="0020297A">
        <w:rPr>
          <w:i/>
        </w:rPr>
        <w:t xml:space="preserve">et al.’s </w:t>
      </w:r>
      <w:r w:rsidR="00064752">
        <w:t xml:space="preserve">(2012) assessment of the WP </w:t>
      </w:r>
      <w:r w:rsidR="0020297A">
        <w:t xml:space="preserve">similarly </w:t>
      </w:r>
      <w:r w:rsidR="00064752">
        <w:t>found services ‘tailored’ to some degree, but seve</w:t>
      </w:r>
      <w:r>
        <w:t>rely limited by cost restraints, while</w:t>
      </w:r>
      <w:r w:rsidR="00064752">
        <w:t xml:space="preserve"> Fuerte</w:t>
      </w:r>
      <w:r w:rsidR="00613F0E">
        <w:t>s and Lindsay</w:t>
      </w:r>
      <w:r>
        <w:t xml:space="preserve"> (2015)</w:t>
      </w:r>
      <w:r w:rsidR="00613F0E">
        <w:t xml:space="preserve"> uncovered</w:t>
      </w:r>
      <w:r w:rsidR="00011CC9">
        <w:t xml:space="preserve"> a minimal and generic service</w:t>
      </w:r>
      <w:r w:rsidR="00064752">
        <w:t xml:space="preserve"> focused primarily on CV writing and ‘</w:t>
      </w:r>
      <w:r w:rsidR="00613F0E">
        <w:t>job search’. The authors</w:t>
      </w:r>
      <w:r w:rsidR="00064752">
        <w:t xml:space="preserve"> describe their central conclusion as “the potential relevance of organizational and systemic factors in accounting for frontline practices and street-level interactions that have become increasingly […] repetitive, standardized </w:t>
      </w:r>
      <w:proofErr w:type="spellStart"/>
      <w:r w:rsidR="00064752">
        <w:t>jobsearch</w:t>
      </w:r>
      <w:proofErr w:type="spellEnd"/>
      <w:r w:rsidR="00064752">
        <w:t xml:space="preserve"> activities – speculative applications, ‘to whom it may concern’ letter writing, and CV polishing” (2015: 539). Contrary to the usual ‘street-level bureaucracy’ sense of administrators modifying elite policy goals, the authors argue that their findings indicate an institutional simplification of services that welfare workers merely </w:t>
      </w:r>
      <w:r w:rsidR="00064752">
        <w:lastRenderedPageBreak/>
        <w:t xml:space="preserve">administer, leaving little scope for localised alterations of schemes. Finally, Rees </w:t>
      </w:r>
      <w:r w:rsidR="00064752" w:rsidRPr="00613F0E">
        <w:rPr>
          <w:i/>
        </w:rPr>
        <w:t>et al.</w:t>
      </w:r>
      <w:r w:rsidR="00941E97">
        <w:t xml:space="preserve"> (2014</w:t>
      </w:r>
      <w:r w:rsidR="00064752">
        <w:t xml:space="preserve">) conducted eight key informant interviews with workers in a range of roles associated with WP delivery. They conclude that the WP is not likely to </w:t>
      </w:r>
      <w:r w:rsidR="00993568">
        <w:t>provide a useful service</w:t>
      </w:r>
      <w:r>
        <w:t xml:space="preserve"> given the limited tools and skills available to staff, as indicated by their own testimony. </w:t>
      </w:r>
    </w:p>
    <w:p w:rsidR="00EE0AB5" w:rsidRPr="00D22EF3" w:rsidRDefault="00EE0AB5" w:rsidP="0020297A">
      <w:pPr>
        <w:spacing w:line="360" w:lineRule="auto"/>
        <w:ind w:firstLine="360"/>
        <w:jc w:val="both"/>
      </w:pPr>
      <w:r>
        <w:tab/>
      </w:r>
    </w:p>
    <w:p w:rsidR="00EE0AB5" w:rsidRPr="006C7F7E" w:rsidRDefault="00496E68" w:rsidP="006C7F7E">
      <w:pPr>
        <w:pStyle w:val="ListParagraph"/>
        <w:numPr>
          <w:ilvl w:val="0"/>
          <w:numId w:val="4"/>
        </w:numPr>
        <w:spacing w:line="360" w:lineRule="auto"/>
        <w:jc w:val="both"/>
        <w:rPr>
          <w:i/>
        </w:rPr>
      </w:pPr>
      <w:r w:rsidRPr="006C7F7E">
        <w:rPr>
          <w:i/>
        </w:rPr>
        <w:t>Methods</w:t>
      </w:r>
    </w:p>
    <w:p w:rsidR="00FC078F" w:rsidRDefault="00792A0B" w:rsidP="006608C6">
      <w:pPr>
        <w:pStyle w:val="ListParagraph"/>
        <w:spacing w:after="0" w:line="360" w:lineRule="auto"/>
        <w:ind w:left="0" w:firstLine="720"/>
        <w:jc w:val="both"/>
        <w:rPr>
          <w:rFonts w:cstheme="minorBidi"/>
          <w:bCs/>
          <w:szCs w:val="22"/>
        </w:rPr>
      </w:pPr>
      <w:r>
        <w:rPr>
          <w:rFonts w:cstheme="minorBidi"/>
          <w:bCs/>
          <w:szCs w:val="22"/>
        </w:rPr>
        <w:t>This research was undertaken for a PhD</w:t>
      </w:r>
      <w:r w:rsidR="00723307">
        <w:rPr>
          <w:rFonts w:cstheme="minorBidi"/>
          <w:bCs/>
          <w:szCs w:val="22"/>
        </w:rPr>
        <w:t xml:space="preserve"> (</w:t>
      </w:r>
      <w:r>
        <w:rPr>
          <w:rFonts w:cstheme="minorBidi"/>
          <w:bCs/>
          <w:szCs w:val="22"/>
        </w:rPr>
        <w:t>completed in 2016</w:t>
      </w:r>
      <w:r w:rsidR="00723307">
        <w:rPr>
          <w:rFonts w:cstheme="minorBidi"/>
          <w:bCs/>
          <w:szCs w:val="22"/>
        </w:rPr>
        <w:t>)</w:t>
      </w:r>
      <w:r>
        <w:rPr>
          <w:rFonts w:cstheme="minorBidi"/>
          <w:bCs/>
          <w:szCs w:val="22"/>
        </w:rPr>
        <w:t xml:space="preserve">. </w:t>
      </w:r>
      <w:r w:rsidR="00496E68">
        <w:rPr>
          <w:rFonts w:cstheme="minorBidi"/>
          <w:bCs/>
          <w:szCs w:val="22"/>
        </w:rPr>
        <w:t>The data are drawn from 18 days’ full-time fieldwork conducted inside two WP service delivery c</w:t>
      </w:r>
      <w:r w:rsidR="000F3139">
        <w:rPr>
          <w:rFonts w:cstheme="minorBidi"/>
          <w:bCs/>
          <w:szCs w:val="22"/>
        </w:rPr>
        <w:t xml:space="preserve">entres in two different </w:t>
      </w:r>
      <w:r w:rsidR="00011CC9">
        <w:rPr>
          <w:rFonts w:cstheme="minorBidi"/>
          <w:bCs/>
          <w:szCs w:val="22"/>
        </w:rPr>
        <w:t>north-western</w:t>
      </w:r>
      <w:r w:rsidR="00496E68">
        <w:rPr>
          <w:rFonts w:cstheme="minorBidi"/>
          <w:bCs/>
          <w:szCs w:val="22"/>
        </w:rPr>
        <w:t xml:space="preserve"> English towns in the summer of 2014. </w:t>
      </w:r>
      <w:r w:rsidR="00FC078F">
        <w:rPr>
          <w:rFonts w:cstheme="minorBidi"/>
          <w:bCs/>
          <w:szCs w:val="22"/>
        </w:rPr>
        <w:t xml:space="preserve">Permission to conduct the research was obtained from a senior gatekeeper following protracted negotiations. </w:t>
      </w:r>
    </w:p>
    <w:p w:rsidR="00792A0B" w:rsidRDefault="00FC078F" w:rsidP="006608C6">
      <w:pPr>
        <w:pStyle w:val="ListParagraph"/>
        <w:spacing w:after="0" w:line="360" w:lineRule="auto"/>
        <w:ind w:left="0" w:firstLine="720"/>
        <w:jc w:val="both"/>
        <w:rPr>
          <w:rFonts w:cstheme="minorBidi"/>
          <w:bCs/>
          <w:szCs w:val="22"/>
        </w:rPr>
      </w:pPr>
      <w:r w:rsidRPr="00FC078F">
        <w:rPr>
          <w:rFonts w:cstheme="minorBidi"/>
          <w:bCs/>
          <w:szCs w:val="22"/>
        </w:rPr>
        <w:t xml:space="preserve">Both centres were operated by the same provider. This </w:t>
      </w:r>
      <w:r w:rsidR="00272EE0">
        <w:rPr>
          <w:rFonts w:cstheme="minorBidi"/>
          <w:bCs/>
          <w:szCs w:val="22"/>
        </w:rPr>
        <w:t xml:space="preserve">provider </w:t>
      </w:r>
      <w:r w:rsidRPr="00FC078F">
        <w:rPr>
          <w:rFonts w:cstheme="minorBidi"/>
          <w:bCs/>
          <w:szCs w:val="22"/>
        </w:rPr>
        <w:t xml:space="preserve">was a </w:t>
      </w:r>
      <w:r>
        <w:rPr>
          <w:rFonts w:cstheme="minorBidi"/>
          <w:bCs/>
          <w:szCs w:val="22"/>
        </w:rPr>
        <w:t>‘</w:t>
      </w:r>
      <w:r w:rsidRPr="00FC078F">
        <w:rPr>
          <w:rFonts w:cstheme="minorBidi"/>
          <w:bCs/>
          <w:szCs w:val="22"/>
        </w:rPr>
        <w:t>for-surplus</w:t>
      </w:r>
      <w:r>
        <w:rPr>
          <w:rFonts w:cstheme="minorBidi"/>
          <w:bCs/>
          <w:szCs w:val="22"/>
        </w:rPr>
        <w:t>’</w:t>
      </w:r>
      <w:r w:rsidRPr="00FC078F">
        <w:rPr>
          <w:rFonts w:cstheme="minorBidi"/>
          <w:bCs/>
          <w:szCs w:val="22"/>
        </w:rPr>
        <w:t xml:space="preserve"> </w:t>
      </w:r>
      <w:r>
        <w:rPr>
          <w:rFonts w:cstheme="minorBidi"/>
          <w:bCs/>
          <w:szCs w:val="22"/>
        </w:rPr>
        <w:t>social enterprise</w:t>
      </w:r>
      <w:r w:rsidRPr="00FC078F">
        <w:rPr>
          <w:rFonts w:cstheme="minorBidi"/>
          <w:bCs/>
          <w:szCs w:val="22"/>
        </w:rPr>
        <w:t xml:space="preserve">, subcontracted to a major </w:t>
      </w:r>
      <w:r>
        <w:rPr>
          <w:rFonts w:cstheme="minorBidi"/>
          <w:bCs/>
          <w:szCs w:val="22"/>
        </w:rPr>
        <w:t xml:space="preserve">for-profit </w:t>
      </w:r>
      <w:r w:rsidR="002301ED">
        <w:rPr>
          <w:rFonts w:cstheme="minorBidi"/>
          <w:bCs/>
          <w:szCs w:val="22"/>
        </w:rPr>
        <w:t>p</w:t>
      </w:r>
      <w:r w:rsidRPr="00FC078F">
        <w:rPr>
          <w:rFonts w:cstheme="minorBidi"/>
          <w:bCs/>
          <w:szCs w:val="22"/>
        </w:rPr>
        <w:t xml:space="preserve">rime. </w:t>
      </w:r>
      <w:r w:rsidR="00792A0B">
        <w:rPr>
          <w:rFonts w:cstheme="minorBidi"/>
          <w:bCs/>
          <w:szCs w:val="22"/>
        </w:rPr>
        <w:t>There was a slight difference in the unemployment rates for each town</w:t>
      </w:r>
      <w:r w:rsidR="00722D00">
        <w:rPr>
          <w:rFonts w:cstheme="minorBidi"/>
          <w:bCs/>
          <w:szCs w:val="22"/>
        </w:rPr>
        <w:t>. However, s</w:t>
      </w:r>
      <w:r w:rsidR="00792A0B">
        <w:rPr>
          <w:rFonts w:cstheme="minorBidi"/>
          <w:bCs/>
          <w:szCs w:val="22"/>
        </w:rPr>
        <w:t>ervice provision</w:t>
      </w:r>
      <w:r w:rsidR="00722D00">
        <w:rPr>
          <w:rFonts w:cstheme="minorBidi"/>
          <w:bCs/>
          <w:szCs w:val="22"/>
        </w:rPr>
        <w:t xml:space="preserve"> across both</w:t>
      </w:r>
      <w:r w:rsidR="00792A0B">
        <w:rPr>
          <w:rFonts w:cstheme="minorBidi"/>
          <w:bCs/>
          <w:szCs w:val="22"/>
        </w:rPr>
        <w:t xml:space="preserve"> centres seemed virtually identical</w:t>
      </w:r>
      <w:r w:rsidR="00722D00">
        <w:rPr>
          <w:rFonts w:cstheme="minorBidi"/>
          <w:bCs/>
          <w:szCs w:val="22"/>
        </w:rPr>
        <w:t xml:space="preserve"> </w:t>
      </w:r>
      <w:r w:rsidR="00792A0B">
        <w:rPr>
          <w:rFonts w:cstheme="minorBidi"/>
          <w:bCs/>
          <w:szCs w:val="22"/>
        </w:rPr>
        <w:t>(as did average staff target achievement), with some staff working</w:t>
      </w:r>
      <w:r w:rsidR="00722D00">
        <w:rPr>
          <w:rFonts w:cstheme="minorBidi"/>
          <w:bCs/>
          <w:szCs w:val="22"/>
        </w:rPr>
        <w:t>, or having worked,</w:t>
      </w:r>
      <w:r w:rsidR="00792A0B">
        <w:rPr>
          <w:rFonts w:cstheme="minorBidi"/>
          <w:bCs/>
          <w:szCs w:val="22"/>
        </w:rPr>
        <w:t xml:space="preserve"> at both centres. </w:t>
      </w:r>
      <w:r w:rsidR="00CA43E0">
        <w:rPr>
          <w:rFonts w:cstheme="minorBidi"/>
          <w:bCs/>
          <w:szCs w:val="22"/>
        </w:rPr>
        <w:t xml:space="preserve">The provider had been operating the WP since its inception in 2011, and had a significant previous history in employment and training services. </w:t>
      </w:r>
    </w:p>
    <w:p w:rsidR="00792A0B" w:rsidRDefault="00496E68" w:rsidP="006608C6">
      <w:pPr>
        <w:pStyle w:val="ListParagraph"/>
        <w:spacing w:after="0" w:line="360" w:lineRule="auto"/>
        <w:ind w:left="0" w:firstLine="720"/>
        <w:jc w:val="both"/>
        <w:rPr>
          <w:rFonts w:cstheme="minorBidi"/>
          <w:bCs/>
          <w:szCs w:val="22"/>
        </w:rPr>
      </w:pPr>
      <w:r>
        <w:rPr>
          <w:rFonts w:cstheme="minorBidi"/>
          <w:bCs/>
          <w:szCs w:val="22"/>
        </w:rPr>
        <w:t>Interviews</w:t>
      </w:r>
      <w:r w:rsidR="00C71B45">
        <w:rPr>
          <w:rFonts w:cstheme="minorBidi"/>
          <w:bCs/>
          <w:szCs w:val="22"/>
        </w:rPr>
        <w:t xml:space="preserve"> and ongoing discussions</w:t>
      </w:r>
      <w:r>
        <w:rPr>
          <w:rFonts w:cstheme="minorBidi"/>
          <w:bCs/>
          <w:szCs w:val="22"/>
        </w:rPr>
        <w:t xml:space="preserve"> were conducted with 23 staff members, including </w:t>
      </w:r>
      <w:r w:rsidR="002301ED">
        <w:rPr>
          <w:rFonts w:cstheme="minorBidi"/>
          <w:bCs/>
          <w:szCs w:val="22"/>
        </w:rPr>
        <w:t>p</w:t>
      </w:r>
      <w:r w:rsidR="00722D00">
        <w:rPr>
          <w:rFonts w:cstheme="minorBidi"/>
          <w:bCs/>
          <w:szCs w:val="22"/>
        </w:rPr>
        <w:t xml:space="preserve">rime and provider </w:t>
      </w:r>
      <w:r>
        <w:rPr>
          <w:rFonts w:cstheme="minorBidi"/>
          <w:bCs/>
          <w:szCs w:val="22"/>
        </w:rPr>
        <w:t xml:space="preserve">managers, trainers, ‘complex families’ workers, placement officers, customer advisers, an in-house self-employment adviser and administration/reception workers. </w:t>
      </w:r>
      <w:r w:rsidR="00792A0B">
        <w:rPr>
          <w:rFonts w:cstheme="minorBidi"/>
          <w:bCs/>
          <w:szCs w:val="22"/>
        </w:rPr>
        <w:t>All staff in both centres were white British. Fift</w:t>
      </w:r>
      <w:r w:rsidR="00107C91">
        <w:rPr>
          <w:rFonts w:cstheme="minorBidi"/>
          <w:bCs/>
          <w:szCs w:val="22"/>
        </w:rPr>
        <w:t>een were female, 8</w:t>
      </w:r>
      <w:r w:rsidR="00792A0B">
        <w:rPr>
          <w:rFonts w:cstheme="minorBidi"/>
          <w:bCs/>
          <w:szCs w:val="22"/>
        </w:rPr>
        <w:t xml:space="preserve"> were male. A</w:t>
      </w:r>
      <w:r w:rsidR="006B67C6">
        <w:rPr>
          <w:rFonts w:cstheme="minorBidi"/>
          <w:bCs/>
          <w:szCs w:val="22"/>
        </w:rPr>
        <w:t>ge ranges were as follows: 18-19</w:t>
      </w:r>
      <w:r w:rsidR="00792A0B">
        <w:rPr>
          <w:rFonts w:cstheme="minorBidi"/>
          <w:bCs/>
          <w:szCs w:val="22"/>
        </w:rPr>
        <w:t xml:space="preserve">: 1, 20-29: 6, 30-39: 9, 40-49: 5, 50-59: 1, 60-69: 1. </w:t>
      </w:r>
      <w:proofErr w:type="gramStart"/>
      <w:r w:rsidR="00C71B45">
        <w:rPr>
          <w:rFonts w:cstheme="minorBidi"/>
          <w:bCs/>
          <w:szCs w:val="22"/>
        </w:rPr>
        <w:t>All</w:t>
      </w:r>
      <w:r w:rsidR="00792A0B">
        <w:rPr>
          <w:rFonts w:cstheme="minorBidi"/>
          <w:bCs/>
          <w:szCs w:val="22"/>
        </w:rPr>
        <w:t xml:space="preserve"> </w:t>
      </w:r>
      <w:r w:rsidR="00C71B45">
        <w:rPr>
          <w:rFonts w:cstheme="minorBidi"/>
          <w:bCs/>
          <w:szCs w:val="22"/>
        </w:rPr>
        <w:t>of</w:t>
      </w:r>
      <w:proofErr w:type="gramEnd"/>
      <w:r w:rsidR="00C71B45">
        <w:rPr>
          <w:rFonts w:cstheme="minorBidi"/>
          <w:bCs/>
          <w:szCs w:val="22"/>
        </w:rPr>
        <w:t xml:space="preserve"> the 30-59</w:t>
      </w:r>
      <w:r w:rsidR="00792A0B">
        <w:rPr>
          <w:rFonts w:cstheme="minorBidi"/>
          <w:bCs/>
          <w:szCs w:val="22"/>
        </w:rPr>
        <w:t xml:space="preserve"> age group had some experience of </w:t>
      </w:r>
      <w:r w:rsidR="00C71B45">
        <w:rPr>
          <w:rFonts w:cstheme="minorBidi"/>
          <w:bCs/>
          <w:szCs w:val="22"/>
        </w:rPr>
        <w:t xml:space="preserve">working on </w:t>
      </w:r>
      <w:r w:rsidR="00792A0B">
        <w:rPr>
          <w:rFonts w:cstheme="minorBidi"/>
          <w:bCs/>
          <w:szCs w:val="22"/>
        </w:rPr>
        <w:t>previous welfare</w:t>
      </w:r>
      <w:r w:rsidR="007E0E54">
        <w:rPr>
          <w:rFonts w:cstheme="minorBidi"/>
          <w:bCs/>
          <w:szCs w:val="22"/>
        </w:rPr>
        <w:t>, or other social enterprise</w:t>
      </w:r>
      <w:r w:rsidR="009158EC">
        <w:rPr>
          <w:rFonts w:cstheme="minorBidi"/>
          <w:bCs/>
          <w:szCs w:val="22"/>
        </w:rPr>
        <w:t>,</w:t>
      </w:r>
      <w:r w:rsidR="007E0E54">
        <w:rPr>
          <w:rFonts w:cstheme="minorBidi"/>
          <w:bCs/>
          <w:szCs w:val="22"/>
        </w:rPr>
        <w:t xml:space="preserve"> </w:t>
      </w:r>
      <w:r w:rsidR="00C71B45">
        <w:rPr>
          <w:rFonts w:cstheme="minorBidi"/>
          <w:bCs/>
          <w:szCs w:val="22"/>
        </w:rPr>
        <w:t>schemes,</w:t>
      </w:r>
      <w:r w:rsidR="00792A0B">
        <w:rPr>
          <w:rFonts w:cstheme="minorBidi"/>
          <w:bCs/>
          <w:szCs w:val="22"/>
        </w:rPr>
        <w:t xml:space="preserve"> as did four in the 20-29 category. Three staff members </w:t>
      </w:r>
      <w:r w:rsidR="00722D00">
        <w:rPr>
          <w:rFonts w:cstheme="minorBidi"/>
          <w:bCs/>
          <w:szCs w:val="22"/>
        </w:rPr>
        <w:t xml:space="preserve">noted that they </w:t>
      </w:r>
      <w:r w:rsidR="00792A0B">
        <w:rPr>
          <w:rFonts w:cstheme="minorBidi"/>
          <w:bCs/>
          <w:szCs w:val="22"/>
        </w:rPr>
        <w:t xml:space="preserve">had </w:t>
      </w:r>
      <w:r w:rsidR="00722D00">
        <w:rPr>
          <w:rFonts w:cstheme="minorBidi"/>
          <w:bCs/>
          <w:szCs w:val="22"/>
        </w:rPr>
        <w:t xml:space="preserve">previously </w:t>
      </w:r>
      <w:r w:rsidR="00792A0B">
        <w:rPr>
          <w:rFonts w:cstheme="minorBidi"/>
          <w:bCs/>
          <w:szCs w:val="22"/>
        </w:rPr>
        <w:t xml:space="preserve">been welfare claimants. </w:t>
      </w:r>
    </w:p>
    <w:p w:rsidR="00272EE0" w:rsidRDefault="00496E68" w:rsidP="006608C6">
      <w:pPr>
        <w:pStyle w:val="ListParagraph"/>
        <w:spacing w:after="0" w:line="360" w:lineRule="auto"/>
        <w:ind w:left="0" w:firstLine="720"/>
        <w:jc w:val="both"/>
        <w:rPr>
          <w:rFonts w:cstheme="minorBidi"/>
          <w:bCs/>
          <w:szCs w:val="22"/>
        </w:rPr>
      </w:pPr>
      <w:r>
        <w:rPr>
          <w:rFonts w:cstheme="minorBidi"/>
          <w:bCs/>
          <w:szCs w:val="22"/>
        </w:rPr>
        <w:t xml:space="preserve">Research interviews </w:t>
      </w:r>
      <w:r w:rsidR="007E0E54">
        <w:rPr>
          <w:rFonts w:cstheme="minorBidi"/>
          <w:bCs/>
          <w:szCs w:val="22"/>
        </w:rPr>
        <w:t>were</w:t>
      </w:r>
      <w:r w:rsidRPr="00FD755B">
        <w:rPr>
          <w:rFonts w:cstheme="minorBidi"/>
          <w:bCs/>
          <w:szCs w:val="22"/>
        </w:rPr>
        <w:t xml:space="preserve"> conducted i</w:t>
      </w:r>
      <w:r>
        <w:rPr>
          <w:rFonts w:cstheme="minorBidi"/>
          <w:bCs/>
          <w:szCs w:val="22"/>
        </w:rPr>
        <w:t>n multiple stages over several days</w:t>
      </w:r>
      <w:r w:rsidR="00ED63A7">
        <w:rPr>
          <w:rFonts w:cstheme="minorBidi"/>
          <w:bCs/>
          <w:szCs w:val="22"/>
        </w:rPr>
        <w:t xml:space="preserve">. As </w:t>
      </w:r>
      <w:proofErr w:type="spellStart"/>
      <w:r w:rsidR="00ED63A7">
        <w:rPr>
          <w:rFonts w:cstheme="minorBidi"/>
          <w:bCs/>
          <w:szCs w:val="22"/>
        </w:rPr>
        <w:t>Spradley</w:t>
      </w:r>
      <w:proofErr w:type="spellEnd"/>
      <w:r w:rsidR="00ED63A7">
        <w:rPr>
          <w:rFonts w:cstheme="minorBidi"/>
          <w:bCs/>
          <w:szCs w:val="22"/>
        </w:rPr>
        <w:t xml:space="preserve"> (1979) notes</w:t>
      </w:r>
      <w:r w:rsidR="006B67C6">
        <w:rPr>
          <w:rFonts w:cstheme="minorBidi"/>
          <w:bCs/>
          <w:szCs w:val="22"/>
        </w:rPr>
        <w:t>, a</w:t>
      </w:r>
      <w:r>
        <w:rPr>
          <w:rFonts w:cstheme="minorBidi"/>
          <w:bCs/>
          <w:szCs w:val="22"/>
        </w:rPr>
        <w:t xml:space="preserve"> process</w:t>
      </w:r>
      <w:r w:rsidRPr="00FD755B">
        <w:rPr>
          <w:rFonts w:cstheme="minorBidi"/>
          <w:bCs/>
          <w:szCs w:val="22"/>
        </w:rPr>
        <w:t xml:space="preserve"> of</w:t>
      </w:r>
      <w:r>
        <w:rPr>
          <w:rFonts w:cstheme="minorBidi"/>
          <w:bCs/>
          <w:szCs w:val="22"/>
        </w:rPr>
        <w:t xml:space="preserve"> ‘incremental discussions’ </w:t>
      </w:r>
      <w:r w:rsidRPr="00FD755B">
        <w:rPr>
          <w:rFonts w:cstheme="minorBidi"/>
          <w:bCs/>
          <w:szCs w:val="22"/>
        </w:rPr>
        <w:t>helps to build rapport, leading to more detailed revela</w:t>
      </w:r>
      <w:r>
        <w:rPr>
          <w:rFonts w:cstheme="minorBidi"/>
          <w:bCs/>
          <w:szCs w:val="22"/>
        </w:rPr>
        <w:t xml:space="preserve">tions. </w:t>
      </w:r>
      <w:r w:rsidR="00272EE0">
        <w:rPr>
          <w:rFonts w:cstheme="minorBidi"/>
          <w:bCs/>
          <w:szCs w:val="22"/>
        </w:rPr>
        <w:t>For example, i</w:t>
      </w:r>
      <w:r w:rsidR="006606C5">
        <w:rPr>
          <w:rFonts w:cstheme="minorBidi"/>
          <w:bCs/>
          <w:szCs w:val="22"/>
        </w:rPr>
        <w:t>nitially, several</w:t>
      </w:r>
      <w:r w:rsidR="00C71B45">
        <w:rPr>
          <w:rFonts w:cstheme="minorBidi"/>
          <w:bCs/>
          <w:szCs w:val="22"/>
        </w:rPr>
        <w:t xml:space="preserve"> staff </w:t>
      </w:r>
      <w:r w:rsidR="006606C5">
        <w:rPr>
          <w:rFonts w:cstheme="minorBidi"/>
          <w:bCs/>
          <w:szCs w:val="22"/>
        </w:rPr>
        <w:t xml:space="preserve">members thought </w:t>
      </w:r>
      <w:r w:rsidR="00C71B45">
        <w:rPr>
          <w:rFonts w:cstheme="minorBidi"/>
          <w:bCs/>
          <w:szCs w:val="22"/>
        </w:rPr>
        <w:t xml:space="preserve">that the research was a management </w:t>
      </w:r>
      <w:r w:rsidR="005806A0">
        <w:rPr>
          <w:rFonts w:cstheme="minorBidi"/>
          <w:bCs/>
          <w:szCs w:val="22"/>
        </w:rPr>
        <w:t>‘</w:t>
      </w:r>
      <w:r w:rsidR="00C71B45">
        <w:rPr>
          <w:rFonts w:cstheme="minorBidi"/>
          <w:bCs/>
          <w:szCs w:val="22"/>
        </w:rPr>
        <w:t>spying exercise</w:t>
      </w:r>
      <w:r w:rsidR="005806A0">
        <w:rPr>
          <w:rFonts w:cstheme="minorBidi"/>
          <w:bCs/>
          <w:szCs w:val="22"/>
        </w:rPr>
        <w:t>’</w:t>
      </w:r>
      <w:r w:rsidR="00C71B45">
        <w:rPr>
          <w:rFonts w:cstheme="minorBidi"/>
          <w:bCs/>
          <w:szCs w:val="22"/>
        </w:rPr>
        <w:t>. Continuous field presence over several days radically altered this persp</w:t>
      </w:r>
      <w:r w:rsidR="006606C5">
        <w:rPr>
          <w:rFonts w:cstheme="minorBidi"/>
          <w:bCs/>
          <w:szCs w:val="22"/>
        </w:rPr>
        <w:t>ective</w:t>
      </w:r>
      <w:r w:rsidR="00C71B45">
        <w:rPr>
          <w:rFonts w:cstheme="minorBidi"/>
          <w:bCs/>
          <w:szCs w:val="22"/>
        </w:rPr>
        <w:t>, leading to deeper revelations about workplace practices</w:t>
      </w:r>
      <w:r w:rsidR="006606C5">
        <w:rPr>
          <w:rFonts w:cstheme="minorBidi"/>
          <w:bCs/>
          <w:szCs w:val="22"/>
        </w:rPr>
        <w:t>, and</w:t>
      </w:r>
      <w:r w:rsidR="005806A0">
        <w:rPr>
          <w:rFonts w:cstheme="minorBidi"/>
          <w:bCs/>
          <w:szCs w:val="22"/>
        </w:rPr>
        <w:t xml:space="preserve"> several</w:t>
      </w:r>
      <w:r w:rsidR="006606C5">
        <w:rPr>
          <w:rFonts w:cstheme="minorBidi"/>
          <w:bCs/>
          <w:szCs w:val="22"/>
        </w:rPr>
        <w:t xml:space="preserve"> </w:t>
      </w:r>
      <w:proofErr w:type="gramStart"/>
      <w:r w:rsidR="006606C5">
        <w:rPr>
          <w:rFonts w:cstheme="minorBidi"/>
          <w:bCs/>
          <w:szCs w:val="22"/>
        </w:rPr>
        <w:t>participant</w:t>
      </w:r>
      <w:proofErr w:type="gramEnd"/>
      <w:r w:rsidR="00C71B45">
        <w:rPr>
          <w:rFonts w:cstheme="minorBidi"/>
          <w:bCs/>
          <w:szCs w:val="22"/>
        </w:rPr>
        <w:t xml:space="preserve"> ‘modifications’</w:t>
      </w:r>
      <w:r w:rsidR="007E0E54">
        <w:rPr>
          <w:rFonts w:cstheme="minorBidi"/>
          <w:bCs/>
          <w:szCs w:val="22"/>
        </w:rPr>
        <w:t xml:space="preserve"> of previous statements. F</w:t>
      </w:r>
      <w:r w:rsidR="003B71F5">
        <w:rPr>
          <w:rFonts w:cstheme="minorBidi"/>
          <w:bCs/>
          <w:szCs w:val="22"/>
        </w:rPr>
        <w:t xml:space="preserve">or </w:t>
      </w:r>
      <w:r w:rsidR="00107C91">
        <w:rPr>
          <w:rFonts w:cstheme="minorBidi"/>
          <w:bCs/>
          <w:szCs w:val="22"/>
        </w:rPr>
        <w:t>example,</w:t>
      </w:r>
      <w:r w:rsidR="00342919">
        <w:rPr>
          <w:rFonts w:cstheme="minorBidi"/>
          <w:bCs/>
          <w:szCs w:val="22"/>
        </w:rPr>
        <w:t xml:space="preserve"> through participants adding</w:t>
      </w:r>
      <w:r w:rsidR="00272EE0">
        <w:rPr>
          <w:rFonts w:cstheme="minorBidi"/>
          <w:bCs/>
          <w:szCs w:val="22"/>
        </w:rPr>
        <w:t xml:space="preserve"> significant </w:t>
      </w:r>
      <w:r w:rsidR="006606C5">
        <w:rPr>
          <w:rFonts w:cstheme="minorBidi"/>
          <w:bCs/>
          <w:szCs w:val="22"/>
        </w:rPr>
        <w:t xml:space="preserve">further detail or nuance </w:t>
      </w:r>
      <w:r w:rsidR="00C71B45">
        <w:rPr>
          <w:rFonts w:cstheme="minorBidi"/>
          <w:bCs/>
          <w:szCs w:val="22"/>
        </w:rPr>
        <w:t xml:space="preserve">after giving thought to </w:t>
      </w:r>
      <w:r w:rsidR="006606C5">
        <w:rPr>
          <w:rFonts w:cstheme="minorBidi"/>
          <w:bCs/>
          <w:szCs w:val="22"/>
        </w:rPr>
        <w:t xml:space="preserve">their </w:t>
      </w:r>
      <w:r w:rsidR="00C71B45">
        <w:rPr>
          <w:rFonts w:cstheme="minorBidi"/>
          <w:bCs/>
          <w:szCs w:val="22"/>
        </w:rPr>
        <w:t xml:space="preserve">previous statements. </w:t>
      </w:r>
      <w:r w:rsidR="00450947">
        <w:rPr>
          <w:rFonts w:cstheme="minorBidi"/>
          <w:bCs/>
          <w:szCs w:val="22"/>
        </w:rPr>
        <w:t xml:space="preserve">In several cases there </w:t>
      </w:r>
      <w:r w:rsidR="00C71B45">
        <w:rPr>
          <w:rFonts w:cstheme="minorBidi"/>
          <w:bCs/>
          <w:szCs w:val="22"/>
        </w:rPr>
        <w:t xml:space="preserve">was a noticeable </w:t>
      </w:r>
      <w:r w:rsidR="00450947">
        <w:rPr>
          <w:rFonts w:cstheme="minorBidi"/>
          <w:bCs/>
          <w:szCs w:val="22"/>
        </w:rPr>
        <w:t>change</w:t>
      </w:r>
      <w:r w:rsidR="00C71B45">
        <w:rPr>
          <w:rFonts w:cstheme="minorBidi"/>
          <w:bCs/>
          <w:szCs w:val="22"/>
        </w:rPr>
        <w:t xml:space="preserve"> </w:t>
      </w:r>
      <w:r w:rsidR="00450947">
        <w:rPr>
          <w:rFonts w:cstheme="minorBidi"/>
          <w:bCs/>
          <w:szCs w:val="22"/>
        </w:rPr>
        <w:t xml:space="preserve">in staff responses </w:t>
      </w:r>
      <w:r w:rsidR="007E0E54">
        <w:rPr>
          <w:rFonts w:cstheme="minorBidi"/>
          <w:bCs/>
          <w:szCs w:val="22"/>
        </w:rPr>
        <w:t>over several</w:t>
      </w:r>
      <w:r w:rsidR="00C71B45">
        <w:rPr>
          <w:rFonts w:cstheme="minorBidi"/>
          <w:bCs/>
          <w:szCs w:val="22"/>
        </w:rPr>
        <w:t xml:space="preserve"> days</w:t>
      </w:r>
      <w:r w:rsidR="00450947">
        <w:rPr>
          <w:rFonts w:cstheme="minorBidi"/>
          <w:bCs/>
          <w:szCs w:val="22"/>
        </w:rPr>
        <w:t>, f</w:t>
      </w:r>
      <w:r w:rsidR="00E766C3">
        <w:rPr>
          <w:rFonts w:cstheme="minorBidi"/>
          <w:bCs/>
          <w:szCs w:val="22"/>
        </w:rPr>
        <w:t>r</w:t>
      </w:r>
      <w:r w:rsidR="00342919">
        <w:rPr>
          <w:rFonts w:cstheme="minorBidi"/>
          <w:bCs/>
          <w:szCs w:val="22"/>
        </w:rPr>
        <w:t>om</w:t>
      </w:r>
      <w:r w:rsidR="006606C5">
        <w:rPr>
          <w:rFonts w:cstheme="minorBidi"/>
          <w:bCs/>
          <w:szCs w:val="22"/>
        </w:rPr>
        <w:t xml:space="preserve"> </w:t>
      </w:r>
      <w:proofErr w:type="gramStart"/>
      <w:r w:rsidR="00C71B45">
        <w:rPr>
          <w:rFonts w:cstheme="minorBidi"/>
          <w:bCs/>
          <w:szCs w:val="22"/>
        </w:rPr>
        <w:t>fairly formal</w:t>
      </w:r>
      <w:proofErr w:type="gramEnd"/>
      <w:r w:rsidR="00C71B45">
        <w:rPr>
          <w:rFonts w:cstheme="minorBidi"/>
          <w:bCs/>
          <w:szCs w:val="22"/>
        </w:rPr>
        <w:t xml:space="preserve"> repetitions of </w:t>
      </w:r>
      <w:r w:rsidR="00272EE0">
        <w:rPr>
          <w:rFonts w:cstheme="minorBidi"/>
          <w:bCs/>
          <w:szCs w:val="22"/>
        </w:rPr>
        <w:t>generic welfare-to-work</w:t>
      </w:r>
      <w:r w:rsidR="00C71B45">
        <w:rPr>
          <w:rFonts w:cstheme="minorBidi"/>
          <w:bCs/>
          <w:szCs w:val="22"/>
        </w:rPr>
        <w:t xml:space="preserve"> policy </w:t>
      </w:r>
      <w:r w:rsidR="006606C5">
        <w:rPr>
          <w:rFonts w:cstheme="minorBidi"/>
          <w:bCs/>
          <w:szCs w:val="22"/>
        </w:rPr>
        <w:t>claims</w:t>
      </w:r>
      <w:r w:rsidR="00272EE0">
        <w:rPr>
          <w:rFonts w:cstheme="minorBidi"/>
          <w:bCs/>
          <w:szCs w:val="22"/>
        </w:rPr>
        <w:t>,</w:t>
      </w:r>
      <w:r w:rsidR="00E766C3">
        <w:rPr>
          <w:rFonts w:cstheme="minorBidi"/>
          <w:bCs/>
          <w:szCs w:val="22"/>
        </w:rPr>
        <w:t xml:space="preserve"> </w:t>
      </w:r>
      <w:r w:rsidR="005806A0">
        <w:rPr>
          <w:rFonts w:cstheme="minorBidi"/>
          <w:bCs/>
          <w:szCs w:val="22"/>
        </w:rPr>
        <w:t xml:space="preserve">through </w:t>
      </w:r>
      <w:r w:rsidR="00E766C3">
        <w:rPr>
          <w:rFonts w:cstheme="minorBidi"/>
          <w:bCs/>
          <w:szCs w:val="22"/>
        </w:rPr>
        <w:t xml:space="preserve">to more detailed and confidential </w:t>
      </w:r>
      <w:r w:rsidR="00E766C3">
        <w:rPr>
          <w:rFonts w:cstheme="minorBidi"/>
          <w:bCs/>
          <w:szCs w:val="22"/>
        </w:rPr>
        <w:lastRenderedPageBreak/>
        <w:t>revelations regarding in-house practices, the working environment</w:t>
      </w:r>
      <w:r w:rsidR="00272EE0">
        <w:rPr>
          <w:rFonts w:cstheme="minorBidi"/>
          <w:bCs/>
          <w:szCs w:val="22"/>
        </w:rPr>
        <w:t>, and personal feelings</w:t>
      </w:r>
      <w:r w:rsidR="00342919">
        <w:rPr>
          <w:rFonts w:cstheme="minorBidi"/>
          <w:bCs/>
          <w:szCs w:val="22"/>
        </w:rPr>
        <w:t>, later on.</w:t>
      </w:r>
    </w:p>
    <w:p w:rsidR="005D594F" w:rsidRDefault="009158EC" w:rsidP="006608C6">
      <w:pPr>
        <w:pStyle w:val="ListParagraph"/>
        <w:spacing w:after="0" w:line="360" w:lineRule="auto"/>
        <w:ind w:left="0" w:firstLine="720"/>
        <w:jc w:val="both"/>
        <w:rPr>
          <w:rFonts w:cstheme="minorBidi"/>
          <w:bCs/>
          <w:szCs w:val="22"/>
        </w:rPr>
      </w:pPr>
      <w:r>
        <w:rPr>
          <w:rFonts w:cstheme="minorBidi"/>
          <w:bCs/>
          <w:szCs w:val="22"/>
        </w:rPr>
        <w:t>W</w:t>
      </w:r>
      <w:r w:rsidR="00450947">
        <w:rPr>
          <w:rFonts w:cstheme="minorBidi"/>
          <w:bCs/>
          <w:szCs w:val="22"/>
        </w:rPr>
        <w:t>hen respondents provide their opinions over longer periods (as opposed to</w:t>
      </w:r>
      <w:r w:rsidR="003B71F5">
        <w:rPr>
          <w:rFonts w:cstheme="minorBidi"/>
          <w:bCs/>
          <w:szCs w:val="22"/>
        </w:rPr>
        <w:t xml:space="preserve"> one-off interviews)</w:t>
      </w:r>
      <w:r w:rsidR="006606C5">
        <w:rPr>
          <w:rFonts w:cstheme="minorBidi"/>
          <w:bCs/>
          <w:szCs w:val="22"/>
        </w:rPr>
        <w:t xml:space="preserve"> they </w:t>
      </w:r>
      <w:r>
        <w:rPr>
          <w:rFonts w:cstheme="minorBidi"/>
          <w:bCs/>
          <w:szCs w:val="22"/>
        </w:rPr>
        <w:t>sometimes</w:t>
      </w:r>
      <w:r w:rsidR="006606C5">
        <w:rPr>
          <w:rFonts w:cstheme="minorBidi"/>
          <w:bCs/>
          <w:szCs w:val="22"/>
        </w:rPr>
        <w:t xml:space="preserve"> </w:t>
      </w:r>
      <w:r>
        <w:rPr>
          <w:rFonts w:cstheme="minorBidi"/>
          <w:bCs/>
          <w:szCs w:val="22"/>
        </w:rPr>
        <w:t>give</w:t>
      </w:r>
      <w:r w:rsidR="00450947">
        <w:rPr>
          <w:rFonts w:cstheme="minorBidi"/>
          <w:bCs/>
          <w:szCs w:val="22"/>
        </w:rPr>
        <w:t xml:space="preserve"> contradictory statements (Thomas, 1993). A reasonably common occ</w:t>
      </w:r>
      <w:r>
        <w:rPr>
          <w:rFonts w:cstheme="minorBidi"/>
          <w:bCs/>
          <w:szCs w:val="22"/>
        </w:rPr>
        <w:t>urrence, for example, was for an interviewee</w:t>
      </w:r>
      <w:r w:rsidR="00450947">
        <w:rPr>
          <w:rFonts w:cstheme="minorBidi"/>
          <w:bCs/>
          <w:szCs w:val="22"/>
        </w:rPr>
        <w:t xml:space="preserve"> to say something off-hand, </w:t>
      </w:r>
      <w:r w:rsidR="006606C5">
        <w:rPr>
          <w:rFonts w:cstheme="minorBidi"/>
          <w:bCs/>
          <w:szCs w:val="22"/>
        </w:rPr>
        <w:t>such as</w:t>
      </w:r>
      <w:r w:rsidR="00450947">
        <w:rPr>
          <w:rFonts w:cstheme="minorBidi"/>
          <w:bCs/>
          <w:szCs w:val="22"/>
        </w:rPr>
        <w:t xml:space="preserve"> ‘They’re all skivers in here</w:t>
      </w:r>
      <w:r>
        <w:rPr>
          <w:rFonts w:cstheme="minorBidi"/>
          <w:bCs/>
          <w:szCs w:val="22"/>
        </w:rPr>
        <w:t>,</w:t>
      </w:r>
      <w:r w:rsidR="00450947">
        <w:rPr>
          <w:rFonts w:cstheme="minorBidi"/>
          <w:bCs/>
          <w:szCs w:val="22"/>
        </w:rPr>
        <w:t>’ then</w:t>
      </w:r>
      <w:r>
        <w:rPr>
          <w:rFonts w:cstheme="minorBidi"/>
          <w:bCs/>
          <w:szCs w:val="22"/>
        </w:rPr>
        <w:t>,</w:t>
      </w:r>
      <w:r w:rsidR="00450947">
        <w:rPr>
          <w:rFonts w:cstheme="minorBidi"/>
          <w:bCs/>
          <w:szCs w:val="22"/>
        </w:rPr>
        <w:t xml:space="preserve"> at a later point</w:t>
      </w:r>
      <w:r>
        <w:rPr>
          <w:rFonts w:cstheme="minorBidi"/>
          <w:bCs/>
          <w:szCs w:val="22"/>
        </w:rPr>
        <w:t>,</w:t>
      </w:r>
      <w:r w:rsidR="00450947">
        <w:rPr>
          <w:rFonts w:cstheme="minorBidi"/>
          <w:bCs/>
          <w:szCs w:val="22"/>
        </w:rPr>
        <w:t xml:space="preserve"> </w:t>
      </w:r>
      <w:r w:rsidR="00342919">
        <w:rPr>
          <w:rFonts w:cstheme="minorBidi"/>
          <w:bCs/>
          <w:szCs w:val="22"/>
        </w:rPr>
        <w:t xml:space="preserve">to </w:t>
      </w:r>
      <w:r w:rsidR="00450947">
        <w:rPr>
          <w:rFonts w:cstheme="minorBidi"/>
          <w:bCs/>
          <w:szCs w:val="22"/>
        </w:rPr>
        <w:t xml:space="preserve">state that most WP participants </w:t>
      </w:r>
      <w:r w:rsidR="00450947" w:rsidRPr="00450947">
        <w:rPr>
          <w:rFonts w:cstheme="minorBidi"/>
          <w:bCs/>
          <w:i/>
          <w:szCs w:val="22"/>
        </w:rPr>
        <w:t>would</w:t>
      </w:r>
      <w:r w:rsidR="00450947">
        <w:rPr>
          <w:rFonts w:cstheme="minorBidi"/>
          <w:bCs/>
          <w:szCs w:val="22"/>
        </w:rPr>
        <w:t xml:space="preserve"> work </w:t>
      </w:r>
      <w:r w:rsidR="00450947" w:rsidRPr="00450947">
        <w:rPr>
          <w:rFonts w:cstheme="minorBidi"/>
          <w:bCs/>
          <w:i/>
          <w:szCs w:val="22"/>
        </w:rPr>
        <w:t>if</w:t>
      </w:r>
      <w:r w:rsidR="00450947">
        <w:rPr>
          <w:rFonts w:cstheme="minorBidi"/>
          <w:bCs/>
          <w:szCs w:val="22"/>
        </w:rPr>
        <w:t xml:space="preserve"> there were jobs available for them. The question is, which statement ‘represents’ that </w:t>
      </w:r>
      <w:r>
        <w:rPr>
          <w:rFonts w:cstheme="minorBidi"/>
          <w:bCs/>
          <w:szCs w:val="22"/>
        </w:rPr>
        <w:t>interviewee</w:t>
      </w:r>
      <w:r w:rsidR="00450947">
        <w:rPr>
          <w:rFonts w:cstheme="minorBidi"/>
          <w:bCs/>
          <w:szCs w:val="22"/>
        </w:rPr>
        <w:t>’s ‘real view’? Th</w:t>
      </w:r>
      <w:r w:rsidR="00107C91">
        <w:rPr>
          <w:rFonts w:cstheme="minorBidi"/>
          <w:bCs/>
          <w:szCs w:val="22"/>
        </w:rPr>
        <w:t>e answer is neither, and both. H</w:t>
      </w:r>
      <w:r w:rsidR="00450947">
        <w:rPr>
          <w:rFonts w:cstheme="minorBidi"/>
          <w:bCs/>
          <w:szCs w:val="22"/>
        </w:rPr>
        <w:t xml:space="preserve">uman beings </w:t>
      </w:r>
      <w:r w:rsidR="00450947" w:rsidRPr="00450947">
        <w:rPr>
          <w:rFonts w:cstheme="minorBidi"/>
          <w:bCs/>
          <w:szCs w:val="22"/>
        </w:rPr>
        <w:t>often</w:t>
      </w:r>
      <w:r w:rsidR="00450947">
        <w:rPr>
          <w:rFonts w:cstheme="minorBidi"/>
          <w:bCs/>
          <w:i/>
          <w:szCs w:val="22"/>
        </w:rPr>
        <w:t xml:space="preserve"> </w:t>
      </w:r>
      <w:r w:rsidR="00450947">
        <w:rPr>
          <w:rFonts w:cstheme="minorBidi"/>
          <w:bCs/>
          <w:szCs w:val="22"/>
        </w:rPr>
        <w:t>expre</w:t>
      </w:r>
      <w:r w:rsidR="003B71F5">
        <w:rPr>
          <w:rFonts w:cstheme="minorBidi"/>
          <w:bCs/>
          <w:szCs w:val="22"/>
        </w:rPr>
        <w:t>ss contradictory views depending</w:t>
      </w:r>
      <w:r w:rsidR="007E0E54">
        <w:rPr>
          <w:rFonts w:cstheme="minorBidi"/>
          <w:bCs/>
          <w:szCs w:val="22"/>
        </w:rPr>
        <w:t xml:space="preserve"> on context;</w:t>
      </w:r>
      <w:r w:rsidR="00450947">
        <w:rPr>
          <w:rFonts w:cstheme="minorBidi"/>
          <w:bCs/>
          <w:szCs w:val="22"/>
        </w:rPr>
        <w:t xml:space="preserve"> something that a formal single-interview method does n</w:t>
      </w:r>
      <w:r w:rsidR="00272EE0">
        <w:rPr>
          <w:rFonts w:cstheme="minorBidi"/>
          <w:bCs/>
          <w:szCs w:val="22"/>
        </w:rPr>
        <w:t>ot always capture. Good ethnography should</w:t>
      </w:r>
      <w:r w:rsidR="00450947">
        <w:rPr>
          <w:rFonts w:cstheme="minorBidi"/>
          <w:bCs/>
          <w:szCs w:val="22"/>
        </w:rPr>
        <w:t xml:space="preserve"> at least attempt to explore</w:t>
      </w:r>
      <w:r w:rsidR="006606C5">
        <w:rPr>
          <w:rFonts w:cstheme="minorBidi"/>
          <w:bCs/>
          <w:szCs w:val="22"/>
        </w:rPr>
        <w:t xml:space="preserve"> this complexity of field narrative</w:t>
      </w:r>
      <w:r w:rsidR="005D594F">
        <w:rPr>
          <w:rFonts w:cstheme="minorBidi"/>
          <w:bCs/>
          <w:szCs w:val="22"/>
        </w:rPr>
        <w:t xml:space="preserve"> (Thomas, 1993; Dubois, 2009). </w:t>
      </w:r>
    </w:p>
    <w:p w:rsidR="00450947" w:rsidRDefault="007E0E54" w:rsidP="006608C6">
      <w:pPr>
        <w:pStyle w:val="ListParagraph"/>
        <w:spacing w:after="0" w:line="360" w:lineRule="auto"/>
        <w:ind w:left="0" w:firstLine="720"/>
        <w:jc w:val="both"/>
        <w:rPr>
          <w:rFonts w:cstheme="minorBidi"/>
          <w:bCs/>
          <w:szCs w:val="22"/>
        </w:rPr>
      </w:pPr>
      <w:r>
        <w:rPr>
          <w:rFonts w:cstheme="minorBidi"/>
          <w:bCs/>
          <w:szCs w:val="22"/>
        </w:rPr>
        <w:t>Incremental discussions</w:t>
      </w:r>
      <w:r w:rsidR="005806A0">
        <w:rPr>
          <w:rFonts w:cstheme="minorBidi"/>
          <w:bCs/>
          <w:szCs w:val="22"/>
        </w:rPr>
        <w:t xml:space="preserve"> </w:t>
      </w:r>
      <w:r w:rsidR="00107C91">
        <w:rPr>
          <w:rFonts w:cstheme="minorBidi"/>
          <w:bCs/>
          <w:szCs w:val="22"/>
        </w:rPr>
        <w:t xml:space="preserve">also </w:t>
      </w:r>
      <w:r w:rsidR="005D594F">
        <w:rPr>
          <w:rFonts w:cstheme="minorBidi"/>
          <w:bCs/>
          <w:szCs w:val="22"/>
        </w:rPr>
        <w:t>permitted interview content</w:t>
      </w:r>
      <w:r w:rsidR="005D594F" w:rsidRPr="00FD755B">
        <w:rPr>
          <w:rFonts w:cstheme="minorBidi"/>
          <w:bCs/>
          <w:szCs w:val="22"/>
        </w:rPr>
        <w:t xml:space="preserve"> to form </w:t>
      </w:r>
      <w:r w:rsidR="005D594F">
        <w:rPr>
          <w:rFonts w:cstheme="minorBidi"/>
          <w:bCs/>
          <w:szCs w:val="22"/>
        </w:rPr>
        <w:t xml:space="preserve">organically </w:t>
      </w:r>
      <w:r w:rsidR="005D594F" w:rsidRPr="00FD755B">
        <w:rPr>
          <w:rFonts w:cstheme="minorBidi"/>
          <w:bCs/>
          <w:szCs w:val="22"/>
        </w:rPr>
        <w:t>around specifi</w:t>
      </w:r>
      <w:r w:rsidR="00272EE0">
        <w:rPr>
          <w:rFonts w:cstheme="minorBidi"/>
          <w:bCs/>
          <w:szCs w:val="22"/>
        </w:rPr>
        <w:t>c events that</w:t>
      </w:r>
      <w:r w:rsidR="006606C5">
        <w:rPr>
          <w:rFonts w:cstheme="minorBidi"/>
          <w:bCs/>
          <w:szCs w:val="22"/>
        </w:rPr>
        <w:t xml:space="preserve"> often occurred</w:t>
      </w:r>
      <w:r w:rsidR="005D594F">
        <w:rPr>
          <w:rFonts w:cstheme="minorBidi"/>
          <w:bCs/>
          <w:szCs w:val="22"/>
        </w:rPr>
        <w:t xml:space="preserve"> </w:t>
      </w:r>
      <w:r w:rsidR="005D594F" w:rsidRPr="00FD755B">
        <w:rPr>
          <w:rFonts w:cstheme="minorBidi"/>
          <w:bCs/>
          <w:szCs w:val="22"/>
        </w:rPr>
        <w:t>immediately prior to the discussion</w:t>
      </w:r>
      <w:r w:rsidR="006606C5">
        <w:rPr>
          <w:rFonts w:cstheme="minorBidi"/>
          <w:bCs/>
          <w:szCs w:val="22"/>
        </w:rPr>
        <w:t>s</w:t>
      </w:r>
      <w:r w:rsidR="005D594F" w:rsidRPr="00FD755B">
        <w:rPr>
          <w:rFonts w:cstheme="minorBidi"/>
          <w:bCs/>
          <w:szCs w:val="22"/>
        </w:rPr>
        <w:t xml:space="preserve">. </w:t>
      </w:r>
      <w:r w:rsidR="005D594F">
        <w:rPr>
          <w:rFonts w:cstheme="minorBidi"/>
          <w:bCs/>
          <w:szCs w:val="22"/>
        </w:rPr>
        <w:t>‘Events’ observed included multiple staff/part</w:t>
      </w:r>
      <w:r w:rsidR="00272EE0">
        <w:rPr>
          <w:rFonts w:cstheme="minorBidi"/>
          <w:bCs/>
          <w:szCs w:val="22"/>
        </w:rPr>
        <w:t>icipant interviews (well over 100</w:t>
      </w:r>
      <w:r w:rsidR="005D594F">
        <w:rPr>
          <w:rFonts w:cstheme="minorBidi"/>
          <w:bCs/>
          <w:szCs w:val="22"/>
        </w:rPr>
        <w:t xml:space="preserve"> observed directly, albeit sometimes more than one at a time, and sometimes only partially), team meetings, placement officer meetings, staff and participant training, </w:t>
      </w:r>
      <w:r>
        <w:rPr>
          <w:rFonts w:cstheme="minorBidi"/>
          <w:bCs/>
          <w:szCs w:val="22"/>
        </w:rPr>
        <w:t>‘</w:t>
      </w:r>
      <w:r w:rsidR="005D594F">
        <w:rPr>
          <w:rFonts w:cstheme="minorBidi"/>
          <w:bCs/>
          <w:szCs w:val="22"/>
        </w:rPr>
        <w:t>job search</w:t>
      </w:r>
      <w:r>
        <w:rPr>
          <w:rFonts w:cstheme="minorBidi"/>
          <w:bCs/>
          <w:szCs w:val="22"/>
        </w:rPr>
        <w:t>’</w:t>
      </w:r>
      <w:r w:rsidR="005D594F">
        <w:rPr>
          <w:rFonts w:cstheme="minorBidi"/>
          <w:bCs/>
          <w:szCs w:val="22"/>
        </w:rPr>
        <w:t xml:space="preserve"> sessions and the majority of general day-to-day centre life. (Some private meetings were not observed.) </w:t>
      </w:r>
      <w:r w:rsidR="005D594F" w:rsidRPr="00FD755B">
        <w:rPr>
          <w:rFonts w:cstheme="minorBidi"/>
          <w:bCs/>
          <w:szCs w:val="22"/>
        </w:rPr>
        <w:t>Th</w:t>
      </w:r>
      <w:r w:rsidR="005D594F">
        <w:rPr>
          <w:rFonts w:cstheme="minorBidi"/>
          <w:bCs/>
          <w:szCs w:val="22"/>
        </w:rPr>
        <w:t>is led to a more in-</w:t>
      </w:r>
      <w:r w:rsidR="005D594F" w:rsidRPr="00FD755B">
        <w:rPr>
          <w:rFonts w:cstheme="minorBidi"/>
          <w:bCs/>
          <w:szCs w:val="22"/>
        </w:rPr>
        <w:t>depth and ethnog</w:t>
      </w:r>
      <w:r w:rsidR="00272EE0">
        <w:rPr>
          <w:rFonts w:cstheme="minorBidi"/>
          <w:bCs/>
          <w:szCs w:val="22"/>
        </w:rPr>
        <w:t>r</w:t>
      </w:r>
      <w:r>
        <w:rPr>
          <w:rFonts w:cstheme="minorBidi"/>
          <w:bCs/>
          <w:szCs w:val="22"/>
        </w:rPr>
        <w:t>aphically grounded interaction</w:t>
      </w:r>
      <w:r w:rsidR="00107C91">
        <w:rPr>
          <w:rFonts w:cstheme="minorBidi"/>
          <w:bCs/>
          <w:szCs w:val="22"/>
        </w:rPr>
        <w:t>,</w:t>
      </w:r>
      <w:r w:rsidR="005D594F">
        <w:rPr>
          <w:rFonts w:cstheme="minorBidi"/>
          <w:bCs/>
          <w:szCs w:val="22"/>
        </w:rPr>
        <w:t xml:space="preserve"> and a deeper </w:t>
      </w:r>
      <w:r w:rsidR="006606C5">
        <w:rPr>
          <w:rFonts w:cstheme="minorBidi"/>
          <w:bCs/>
          <w:szCs w:val="22"/>
        </w:rPr>
        <w:t>understanding of the field</w:t>
      </w:r>
      <w:r>
        <w:rPr>
          <w:rFonts w:cstheme="minorBidi"/>
          <w:bCs/>
          <w:szCs w:val="22"/>
        </w:rPr>
        <w:t>,</w:t>
      </w:r>
      <w:r w:rsidR="005D594F">
        <w:rPr>
          <w:rFonts w:cstheme="minorBidi"/>
          <w:bCs/>
          <w:szCs w:val="22"/>
        </w:rPr>
        <w:t xml:space="preserve"> contextualised and triangulated by expo</w:t>
      </w:r>
      <w:r w:rsidR="00272EE0">
        <w:rPr>
          <w:rFonts w:cstheme="minorBidi"/>
          <w:bCs/>
          <w:szCs w:val="22"/>
        </w:rPr>
        <w:t>s</w:t>
      </w:r>
      <w:r>
        <w:rPr>
          <w:rFonts w:cstheme="minorBidi"/>
          <w:bCs/>
          <w:szCs w:val="22"/>
        </w:rPr>
        <w:t>ure to actual service delivery.</w:t>
      </w:r>
      <w:r w:rsidR="005D594F">
        <w:rPr>
          <w:rFonts w:cstheme="minorBidi"/>
          <w:bCs/>
          <w:szCs w:val="22"/>
        </w:rPr>
        <w:t xml:space="preserve"> As Brady (2011: 278) notes: “</w:t>
      </w:r>
      <w:r w:rsidR="005D594F" w:rsidRPr="00ED63A7">
        <w:rPr>
          <w:rFonts w:cstheme="minorBidi"/>
          <w:bCs/>
          <w:szCs w:val="22"/>
        </w:rPr>
        <w:t>while it is self-evident that social policies are not homogeneous entities it is</w:t>
      </w:r>
      <w:r w:rsidR="005D594F">
        <w:rPr>
          <w:rFonts w:cstheme="minorBidi"/>
          <w:bCs/>
          <w:szCs w:val="22"/>
        </w:rPr>
        <w:t xml:space="preserve"> </w:t>
      </w:r>
      <w:r w:rsidR="005D594F" w:rsidRPr="00ED63A7">
        <w:rPr>
          <w:rFonts w:cstheme="minorBidi"/>
          <w:bCs/>
          <w:szCs w:val="22"/>
        </w:rPr>
        <w:t>only field investigation of these programs that makes this visible</w:t>
      </w:r>
      <w:r w:rsidR="005D594F">
        <w:rPr>
          <w:rFonts w:cstheme="minorBidi"/>
          <w:bCs/>
          <w:szCs w:val="22"/>
        </w:rPr>
        <w:t xml:space="preserve">.” Interviews were also conducted with programme participants, but this data is not included in this study. </w:t>
      </w:r>
    </w:p>
    <w:p w:rsidR="00C71B45" w:rsidRDefault="005D594F" w:rsidP="006608C6">
      <w:pPr>
        <w:pStyle w:val="ListParagraph"/>
        <w:spacing w:after="0" w:line="360" w:lineRule="auto"/>
        <w:ind w:left="0" w:firstLine="720"/>
        <w:jc w:val="both"/>
        <w:rPr>
          <w:rFonts w:cstheme="minorBidi"/>
          <w:bCs/>
          <w:szCs w:val="22"/>
        </w:rPr>
      </w:pPr>
      <w:r>
        <w:rPr>
          <w:rFonts w:cstheme="minorBidi"/>
          <w:bCs/>
          <w:szCs w:val="22"/>
        </w:rPr>
        <w:t>Nevertheless, analysing ethnographic</w:t>
      </w:r>
      <w:r w:rsidR="00E766C3">
        <w:rPr>
          <w:rFonts w:cstheme="minorBidi"/>
          <w:bCs/>
          <w:szCs w:val="22"/>
        </w:rPr>
        <w:t xml:space="preserve"> </w:t>
      </w:r>
      <w:r>
        <w:rPr>
          <w:rFonts w:cstheme="minorBidi"/>
          <w:bCs/>
          <w:szCs w:val="22"/>
        </w:rPr>
        <w:t>data is an art, not a science (</w:t>
      </w:r>
      <w:proofErr w:type="spellStart"/>
      <w:r>
        <w:rPr>
          <w:rFonts w:cstheme="minorBidi"/>
          <w:bCs/>
          <w:szCs w:val="22"/>
        </w:rPr>
        <w:t>Spradley</w:t>
      </w:r>
      <w:proofErr w:type="spellEnd"/>
      <w:r>
        <w:rPr>
          <w:rFonts w:cstheme="minorBidi"/>
          <w:bCs/>
          <w:szCs w:val="22"/>
        </w:rPr>
        <w:t>, 1979). T</w:t>
      </w:r>
      <w:r w:rsidR="00E766C3">
        <w:rPr>
          <w:rFonts w:cstheme="minorBidi"/>
          <w:bCs/>
          <w:szCs w:val="22"/>
        </w:rPr>
        <w:t xml:space="preserve">he data presented here represent what appeared </w:t>
      </w:r>
      <w:r>
        <w:rPr>
          <w:rFonts w:cstheme="minorBidi"/>
          <w:bCs/>
          <w:i/>
          <w:szCs w:val="22"/>
        </w:rPr>
        <w:t xml:space="preserve">to me </w:t>
      </w:r>
      <w:r w:rsidR="00E766C3">
        <w:rPr>
          <w:rFonts w:cstheme="minorBidi"/>
          <w:bCs/>
          <w:szCs w:val="22"/>
        </w:rPr>
        <w:t xml:space="preserve">to be the most genuine examples of staff views according to </w:t>
      </w:r>
      <w:r w:rsidR="00E766C3" w:rsidRPr="00E766C3">
        <w:rPr>
          <w:rFonts w:cstheme="minorBidi"/>
          <w:bCs/>
          <w:i/>
          <w:szCs w:val="22"/>
        </w:rPr>
        <w:t>my</w:t>
      </w:r>
      <w:r w:rsidR="00E766C3">
        <w:rPr>
          <w:rFonts w:cstheme="minorBidi"/>
          <w:bCs/>
          <w:szCs w:val="22"/>
        </w:rPr>
        <w:t xml:space="preserve"> ethnographic experience of the</w:t>
      </w:r>
      <w:r>
        <w:rPr>
          <w:rFonts w:cstheme="minorBidi"/>
          <w:bCs/>
          <w:szCs w:val="22"/>
        </w:rPr>
        <w:t>se participants over multiple days. T</w:t>
      </w:r>
      <w:r w:rsidR="00E766C3">
        <w:rPr>
          <w:rFonts w:cstheme="minorBidi"/>
          <w:bCs/>
          <w:szCs w:val="22"/>
        </w:rPr>
        <w:t xml:space="preserve">he participants might </w:t>
      </w:r>
      <w:r w:rsidR="006606C5">
        <w:rPr>
          <w:rFonts w:cstheme="minorBidi"/>
          <w:bCs/>
          <w:szCs w:val="22"/>
        </w:rPr>
        <w:t xml:space="preserve">also </w:t>
      </w:r>
      <w:r w:rsidR="00E766C3">
        <w:rPr>
          <w:rFonts w:cstheme="minorBidi"/>
          <w:bCs/>
          <w:szCs w:val="22"/>
        </w:rPr>
        <w:t xml:space="preserve">reasonably be expected to </w:t>
      </w:r>
      <w:r>
        <w:rPr>
          <w:rFonts w:cstheme="minorBidi"/>
          <w:bCs/>
          <w:szCs w:val="22"/>
        </w:rPr>
        <w:t xml:space="preserve">have </w:t>
      </w:r>
      <w:r w:rsidR="00E766C3">
        <w:rPr>
          <w:rFonts w:cstheme="minorBidi"/>
          <w:bCs/>
          <w:szCs w:val="22"/>
        </w:rPr>
        <w:t>be</w:t>
      </w:r>
      <w:r>
        <w:rPr>
          <w:rFonts w:cstheme="minorBidi"/>
          <w:bCs/>
          <w:szCs w:val="22"/>
        </w:rPr>
        <w:t>en</w:t>
      </w:r>
      <w:r w:rsidR="00E766C3">
        <w:rPr>
          <w:rFonts w:cstheme="minorBidi"/>
          <w:bCs/>
          <w:szCs w:val="22"/>
        </w:rPr>
        <w:t xml:space="preserve"> ‘on their guard’ to some degree</w:t>
      </w:r>
      <w:r>
        <w:rPr>
          <w:rFonts w:cstheme="minorBidi"/>
          <w:bCs/>
          <w:szCs w:val="22"/>
        </w:rPr>
        <w:t>. A</w:t>
      </w:r>
      <w:r w:rsidR="00E766C3">
        <w:rPr>
          <w:rFonts w:cstheme="minorBidi"/>
          <w:bCs/>
          <w:szCs w:val="22"/>
        </w:rPr>
        <w:t xml:space="preserve">s Robertson and </w:t>
      </w:r>
      <w:proofErr w:type="spellStart"/>
      <w:r w:rsidR="00E766C3">
        <w:rPr>
          <w:rFonts w:cstheme="minorBidi"/>
          <w:bCs/>
          <w:szCs w:val="22"/>
        </w:rPr>
        <w:t>Dearling</w:t>
      </w:r>
      <w:proofErr w:type="spellEnd"/>
      <w:r w:rsidR="00E766C3">
        <w:rPr>
          <w:rFonts w:cstheme="minorBidi"/>
          <w:bCs/>
          <w:szCs w:val="22"/>
        </w:rPr>
        <w:t xml:space="preserve"> (2004) note, this should be </w:t>
      </w:r>
      <w:proofErr w:type="gramStart"/>
      <w:r w:rsidR="00E766C3">
        <w:rPr>
          <w:rFonts w:cstheme="minorBidi"/>
          <w:bCs/>
          <w:szCs w:val="22"/>
        </w:rPr>
        <w:t>taken into account</w:t>
      </w:r>
      <w:proofErr w:type="gramEnd"/>
      <w:r w:rsidR="00E766C3">
        <w:rPr>
          <w:rFonts w:cstheme="minorBidi"/>
          <w:bCs/>
          <w:szCs w:val="22"/>
        </w:rPr>
        <w:t xml:space="preserve"> </w:t>
      </w:r>
      <w:r w:rsidR="006606C5">
        <w:rPr>
          <w:rFonts w:cstheme="minorBidi"/>
          <w:bCs/>
          <w:szCs w:val="22"/>
        </w:rPr>
        <w:t>when considering the data; a</w:t>
      </w:r>
      <w:r>
        <w:rPr>
          <w:rFonts w:cstheme="minorBidi"/>
          <w:bCs/>
          <w:szCs w:val="22"/>
        </w:rPr>
        <w:t xml:space="preserve">s should the fact that the data have been selected for emphasis by the researcher. </w:t>
      </w:r>
    </w:p>
    <w:p w:rsidR="00134B1C" w:rsidRDefault="00496E68" w:rsidP="006608C6">
      <w:pPr>
        <w:pStyle w:val="ListParagraph"/>
        <w:spacing w:after="0" w:line="360" w:lineRule="auto"/>
        <w:ind w:left="0"/>
        <w:jc w:val="both"/>
        <w:rPr>
          <w:rFonts w:cstheme="minorBidi"/>
          <w:bCs/>
          <w:szCs w:val="22"/>
        </w:rPr>
      </w:pPr>
      <w:r>
        <w:rPr>
          <w:rFonts w:cstheme="minorBidi"/>
          <w:bCs/>
          <w:szCs w:val="22"/>
        </w:rPr>
        <w:tab/>
        <w:t>S</w:t>
      </w:r>
      <w:r w:rsidRPr="00FD755B">
        <w:rPr>
          <w:rFonts w:cstheme="minorBidi"/>
          <w:bCs/>
          <w:szCs w:val="22"/>
        </w:rPr>
        <w:t xml:space="preserve">taff </w:t>
      </w:r>
      <w:r>
        <w:rPr>
          <w:rFonts w:cstheme="minorBidi"/>
          <w:bCs/>
          <w:szCs w:val="22"/>
        </w:rPr>
        <w:t>decided, for the most part,</w:t>
      </w:r>
      <w:r w:rsidRPr="00FD755B">
        <w:rPr>
          <w:rFonts w:cstheme="minorBidi"/>
          <w:bCs/>
          <w:szCs w:val="22"/>
        </w:rPr>
        <w:t xml:space="preserve"> what they tho</w:t>
      </w:r>
      <w:r>
        <w:rPr>
          <w:rFonts w:cstheme="minorBidi"/>
          <w:bCs/>
          <w:szCs w:val="22"/>
        </w:rPr>
        <w:t>ught was relevant to disclose</w:t>
      </w:r>
      <w:r w:rsidRPr="00FD755B">
        <w:rPr>
          <w:rFonts w:cstheme="minorBidi"/>
          <w:bCs/>
          <w:szCs w:val="22"/>
        </w:rPr>
        <w:t xml:space="preserve">. Nevertheless, as Davies (1999) points out, even in </w:t>
      </w:r>
      <w:proofErr w:type="gramStart"/>
      <w:r w:rsidRPr="00FD755B">
        <w:rPr>
          <w:rFonts w:cstheme="minorBidi"/>
          <w:bCs/>
          <w:szCs w:val="22"/>
        </w:rPr>
        <w:t>fairly unstructured</w:t>
      </w:r>
      <w:proofErr w:type="gramEnd"/>
      <w:r w:rsidRPr="00FD755B">
        <w:rPr>
          <w:rFonts w:cstheme="minorBidi"/>
          <w:bCs/>
          <w:szCs w:val="22"/>
        </w:rPr>
        <w:t xml:space="preserve"> interviews the researcher is often guiding the process through subtle, or not so subtle, p</w:t>
      </w:r>
      <w:r w:rsidR="00FC078F">
        <w:rPr>
          <w:rFonts w:cstheme="minorBidi"/>
          <w:bCs/>
          <w:szCs w:val="22"/>
        </w:rPr>
        <w:t>rompts. The purpose of the research was to assess overall</w:t>
      </w:r>
      <w:r w:rsidR="006606C5">
        <w:rPr>
          <w:rFonts w:cstheme="minorBidi"/>
          <w:bCs/>
          <w:szCs w:val="22"/>
        </w:rPr>
        <w:t xml:space="preserve"> delivery </w:t>
      </w:r>
      <w:proofErr w:type="gramStart"/>
      <w:r w:rsidR="006606C5">
        <w:rPr>
          <w:rFonts w:cstheme="minorBidi"/>
          <w:bCs/>
          <w:szCs w:val="22"/>
        </w:rPr>
        <w:t>practice,</w:t>
      </w:r>
      <w:proofErr w:type="gramEnd"/>
      <w:r w:rsidR="00FC078F">
        <w:rPr>
          <w:rFonts w:cstheme="minorBidi"/>
          <w:bCs/>
          <w:szCs w:val="22"/>
        </w:rPr>
        <w:t xml:space="preserve"> h</w:t>
      </w:r>
      <w:r>
        <w:rPr>
          <w:rFonts w:cstheme="minorBidi"/>
          <w:bCs/>
          <w:szCs w:val="22"/>
        </w:rPr>
        <w:t xml:space="preserve">ence, information was continually elicited that related to key theoretical and policy claims regarding </w:t>
      </w:r>
      <w:r w:rsidR="00107C91">
        <w:rPr>
          <w:rFonts w:cstheme="minorBidi"/>
          <w:bCs/>
          <w:szCs w:val="22"/>
        </w:rPr>
        <w:t>welfare-to-work</w:t>
      </w:r>
      <w:r w:rsidR="005806A0">
        <w:rPr>
          <w:rFonts w:cstheme="minorBidi"/>
          <w:bCs/>
          <w:szCs w:val="22"/>
        </w:rPr>
        <w:t>, mostly</w:t>
      </w:r>
      <w:r w:rsidR="006606C5">
        <w:rPr>
          <w:rFonts w:cstheme="minorBidi"/>
          <w:bCs/>
          <w:szCs w:val="22"/>
        </w:rPr>
        <w:t xml:space="preserve"> drawn from </w:t>
      </w:r>
      <w:r w:rsidR="006606C5">
        <w:rPr>
          <w:rFonts w:cstheme="minorBidi"/>
          <w:bCs/>
          <w:szCs w:val="22"/>
        </w:rPr>
        <w:lastRenderedPageBreak/>
        <w:t>academic</w:t>
      </w:r>
      <w:r w:rsidR="00C71B45">
        <w:rPr>
          <w:rFonts w:cstheme="minorBidi"/>
          <w:bCs/>
          <w:szCs w:val="22"/>
        </w:rPr>
        <w:t xml:space="preserve"> literature</w:t>
      </w:r>
      <w:r w:rsidR="006606C5">
        <w:rPr>
          <w:rFonts w:cstheme="minorBidi"/>
          <w:bCs/>
          <w:szCs w:val="22"/>
        </w:rPr>
        <w:t xml:space="preserve"> and wider public policy discourse</w:t>
      </w:r>
      <w:r>
        <w:rPr>
          <w:rFonts w:cstheme="minorBidi"/>
          <w:bCs/>
          <w:szCs w:val="22"/>
        </w:rPr>
        <w:t>.</w:t>
      </w:r>
      <w:r w:rsidR="00FC078F">
        <w:rPr>
          <w:rFonts w:cstheme="minorBidi"/>
          <w:bCs/>
          <w:szCs w:val="22"/>
        </w:rPr>
        <w:t xml:space="preserve"> </w:t>
      </w:r>
      <w:r w:rsidR="00134B1C">
        <w:rPr>
          <w:rFonts w:cstheme="minorBidi"/>
          <w:bCs/>
          <w:szCs w:val="22"/>
        </w:rPr>
        <w:t>While the specific phrasing of research questions varied, the following information was elicited from all staff:</w:t>
      </w:r>
    </w:p>
    <w:p w:rsidR="00134B1C" w:rsidRDefault="00134B1C" w:rsidP="006608C6">
      <w:pPr>
        <w:pStyle w:val="ListParagraph"/>
        <w:spacing w:after="0" w:line="360" w:lineRule="auto"/>
        <w:ind w:left="0"/>
        <w:jc w:val="both"/>
        <w:rPr>
          <w:rFonts w:cstheme="minorBidi"/>
          <w:bCs/>
          <w:szCs w:val="22"/>
        </w:rPr>
      </w:pPr>
    </w:p>
    <w:p w:rsidR="00134B1C" w:rsidRPr="009E4026" w:rsidRDefault="00134B1C" w:rsidP="006608C6">
      <w:pPr>
        <w:numPr>
          <w:ilvl w:val="0"/>
          <w:numId w:val="1"/>
        </w:numPr>
        <w:spacing w:after="0" w:line="240" w:lineRule="auto"/>
        <w:ind w:left="1440"/>
        <w:contextualSpacing/>
        <w:jc w:val="both"/>
      </w:pPr>
      <w:r w:rsidRPr="009E4026">
        <w:t xml:space="preserve">Their work history, background and training. </w:t>
      </w:r>
    </w:p>
    <w:p w:rsidR="00134B1C" w:rsidRPr="009E4026" w:rsidRDefault="00134B1C" w:rsidP="006608C6">
      <w:pPr>
        <w:numPr>
          <w:ilvl w:val="0"/>
          <w:numId w:val="1"/>
        </w:numPr>
        <w:spacing w:after="0" w:line="240" w:lineRule="auto"/>
        <w:ind w:left="1440"/>
        <w:contextualSpacing/>
        <w:jc w:val="both"/>
      </w:pPr>
      <w:r w:rsidRPr="009E4026">
        <w:t xml:space="preserve">How long they had been involved with </w:t>
      </w:r>
      <w:r w:rsidR="00107C91">
        <w:t>welfare-to-work</w:t>
      </w:r>
      <w:r w:rsidRPr="009E4026">
        <w:t xml:space="preserve">, and working for that </w:t>
      </w:r>
      <w:proofErr w:type="gramStart"/>
      <w:r w:rsidRPr="009E4026">
        <w:t>provider in particular</w:t>
      </w:r>
      <w:proofErr w:type="gramEnd"/>
      <w:r w:rsidRPr="009E4026">
        <w:t xml:space="preserve">.  </w:t>
      </w:r>
    </w:p>
    <w:p w:rsidR="00134B1C" w:rsidRPr="009E4026" w:rsidRDefault="00134B1C" w:rsidP="006608C6">
      <w:pPr>
        <w:numPr>
          <w:ilvl w:val="0"/>
          <w:numId w:val="1"/>
        </w:numPr>
        <w:spacing w:after="0" w:line="240" w:lineRule="auto"/>
        <w:ind w:left="1440"/>
        <w:contextualSpacing/>
        <w:jc w:val="both"/>
      </w:pPr>
      <w:r w:rsidRPr="009E4026">
        <w:t>The nature of their job role.</w:t>
      </w:r>
    </w:p>
    <w:p w:rsidR="00134B1C" w:rsidRPr="009E4026" w:rsidRDefault="00134B1C" w:rsidP="006608C6">
      <w:pPr>
        <w:numPr>
          <w:ilvl w:val="0"/>
          <w:numId w:val="1"/>
        </w:numPr>
        <w:spacing w:after="0" w:line="240" w:lineRule="auto"/>
        <w:ind w:left="1440"/>
        <w:contextualSpacing/>
        <w:jc w:val="both"/>
      </w:pPr>
      <w:r w:rsidRPr="009E4026">
        <w:t>General feelings about</w:t>
      </w:r>
      <w:r>
        <w:t xml:space="preserve"> the WP, and the people on the WP. </w:t>
      </w:r>
      <w:r w:rsidRPr="009E4026">
        <w:t xml:space="preserve"> </w:t>
      </w:r>
    </w:p>
    <w:p w:rsidR="00134B1C" w:rsidRPr="009E4026" w:rsidRDefault="00134B1C" w:rsidP="006608C6">
      <w:pPr>
        <w:numPr>
          <w:ilvl w:val="0"/>
          <w:numId w:val="1"/>
        </w:numPr>
        <w:spacing w:after="0" w:line="240" w:lineRule="auto"/>
        <w:ind w:left="1440"/>
        <w:contextualSpacing/>
        <w:jc w:val="both"/>
      </w:pPr>
      <w:r w:rsidRPr="009E4026">
        <w:t xml:space="preserve">General feelings about the current labour market. </w:t>
      </w:r>
    </w:p>
    <w:p w:rsidR="00134B1C" w:rsidRPr="009E4026" w:rsidRDefault="00134B1C" w:rsidP="006608C6">
      <w:pPr>
        <w:numPr>
          <w:ilvl w:val="0"/>
          <w:numId w:val="1"/>
        </w:numPr>
        <w:spacing w:after="0" w:line="240" w:lineRule="auto"/>
        <w:ind w:left="1440"/>
        <w:contextualSpacing/>
        <w:jc w:val="both"/>
      </w:pPr>
      <w:r w:rsidRPr="009E4026">
        <w:t xml:space="preserve">Information, anecdotes and opinions regarding their </w:t>
      </w:r>
      <w:r>
        <w:t>‘</w:t>
      </w:r>
      <w:r w:rsidRPr="009E4026">
        <w:t>customers</w:t>
      </w:r>
      <w:r>
        <w:t>’</w:t>
      </w:r>
      <w:r w:rsidRPr="009E4026">
        <w:t xml:space="preserve">. </w:t>
      </w:r>
    </w:p>
    <w:p w:rsidR="00134B1C" w:rsidRPr="009E4026" w:rsidRDefault="00134B1C" w:rsidP="006608C6">
      <w:pPr>
        <w:numPr>
          <w:ilvl w:val="0"/>
          <w:numId w:val="1"/>
        </w:numPr>
        <w:spacing w:after="0" w:line="240" w:lineRule="auto"/>
        <w:ind w:left="1440"/>
        <w:contextualSpacing/>
        <w:jc w:val="both"/>
      </w:pPr>
      <w:r w:rsidRPr="009E4026">
        <w:t>Opinions on the activities and events within the centres,</w:t>
      </w:r>
      <w:r w:rsidR="000210BE">
        <w:t xml:space="preserve"> such as training, sanctions, and</w:t>
      </w:r>
      <w:r w:rsidRPr="009E4026">
        <w:t xml:space="preserve"> general atmosphere. </w:t>
      </w:r>
    </w:p>
    <w:p w:rsidR="00134B1C" w:rsidRPr="009E4026" w:rsidRDefault="00134B1C" w:rsidP="006608C6">
      <w:pPr>
        <w:numPr>
          <w:ilvl w:val="0"/>
          <w:numId w:val="1"/>
        </w:numPr>
        <w:spacing w:after="0" w:line="240" w:lineRule="auto"/>
        <w:ind w:left="1440"/>
        <w:contextualSpacing/>
        <w:jc w:val="both"/>
      </w:pPr>
      <w:r w:rsidRPr="009E4026">
        <w:t>Perso</w:t>
      </w:r>
      <w:r w:rsidR="000210BE">
        <w:t xml:space="preserve">nal stresses, including safety </w:t>
      </w:r>
      <w:r w:rsidRPr="009E4026">
        <w:t xml:space="preserve">and relationship with managers. </w:t>
      </w:r>
    </w:p>
    <w:p w:rsidR="00134B1C" w:rsidRDefault="00134B1C" w:rsidP="006608C6">
      <w:pPr>
        <w:pStyle w:val="ListParagraph"/>
        <w:spacing w:after="0" w:line="360" w:lineRule="auto"/>
        <w:ind w:left="0"/>
        <w:jc w:val="both"/>
        <w:rPr>
          <w:rFonts w:cstheme="minorBidi"/>
          <w:bCs/>
          <w:szCs w:val="22"/>
        </w:rPr>
      </w:pPr>
    </w:p>
    <w:p w:rsidR="00FC078F" w:rsidRDefault="00C71B45" w:rsidP="006608C6">
      <w:pPr>
        <w:pStyle w:val="ListParagraph"/>
        <w:spacing w:after="0" w:line="360" w:lineRule="auto"/>
        <w:ind w:left="0" w:firstLine="720"/>
        <w:jc w:val="both"/>
        <w:rPr>
          <w:rFonts w:cstheme="minorBidi"/>
          <w:bCs/>
          <w:szCs w:val="22"/>
        </w:rPr>
      </w:pPr>
      <w:r>
        <w:rPr>
          <w:rFonts w:cstheme="minorBidi"/>
          <w:bCs/>
          <w:szCs w:val="22"/>
        </w:rPr>
        <w:t>T</w:t>
      </w:r>
      <w:r w:rsidR="00FC078F">
        <w:rPr>
          <w:rFonts w:cstheme="minorBidi"/>
          <w:bCs/>
          <w:szCs w:val="22"/>
        </w:rPr>
        <w:t xml:space="preserve">he data presented here </w:t>
      </w:r>
      <w:r w:rsidR="00134B1C">
        <w:rPr>
          <w:rFonts w:cstheme="minorBidi"/>
          <w:bCs/>
          <w:szCs w:val="22"/>
        </w:rPr>
        <w:t>reflect, primarily, the opinions of staff</w:t>
      </w:r>
      <w:r>
        <w:rPr>
          <w:rFonts w:cstheme="minorBidi"/>
          <w:bCs/>
          <w:szCs w:val="22"/>
        </w:rPr>
        <w:t xml:space="preserve"> </w:t>
      </w:r>
      <w:r w:rsidR="00134B1C">
        <w:rPr>
          <w:rFonts w:cstheme="minorBidi"/>
          <w:bCs/>
          <w:szCs w:val="22"/>
        </w:rPr>
        <w:t xml:space="preserve">regarding </w:t>
      </w:r>
      <w:r w:rsidR="007B4D23">
        <w:rPr>
          <w:rFonts w:cstheme="minorBidi"/>
          <w:bCs/>
          <w:szCs w:val="22"/>
        </w:rPr>
        <w:t xml:space="preserve">the </w:t>
      </w:r>
      <w:r w:rsidR="005D43AD">
        <w:rPr>
          <w:rFonts w:cstheme="minorBidi"/>
          <w:bCs/>
          <w:szCs w:val="22"/>
        </w:rPr>
        <w:t xml:space="preserve">WP </w:t>
      </w:r>
      <w:r w:rsidR="007B4D23">
        <w:rPr>
          <w:rFonts w:cstheme="minorBidi"/>
          <w:bCs/>
          <w:szCs w:val="22"/>
        </w:rPr>
        <w:t xml:space="preserve">and its </w:t>
      </w:r>
      <w:r w:rsidR="005D43AD">
        <w:rPr>
          <w:rFonts w:cstheme="minorBidi"/>
          <w:bCs/>
          <w:szCs w:val="22"/>
        </w:rPr>
        <w:t>participants</w:t>
      </w:r>
      <w:r w:rsidR="00134B1C">
        <w:rPr>
          <w:rFonts w:cstheme="minorBidi"/>
          <w:bCs/>
          <w:szCs w:val="22"/>
        </w:rPr>
        <w:t xml:space="preserve">. However, this </w:t>
      </w:r>
      <w:r w:rsidR="00FC078F">
        <w:rPr>
          <w:rFonts w:cstheme="minorBidi"/>
          <w:bCs/>
          <w:szCs w:val="22"/>
        </w:rPr>
        <w:t>form</w:t>
      </w:r>
      <w:r w:rsidR="00134B1C">
        <w:rPr>
          <w:rFonts w:cstheme="minorBidi"/>
          <w:bCs/>
          <w:szCs w:val="22"/>
        </w:rPr>
        <w:t>s</w:t>
      </w:r>
      <w:r w:rsidR="000210BE">
        <w:rPr>
          <w:rFonts w:cstheme="minorBidi"/>
          <w:bCs/>
          <w:szCs w:val="22"/>
        </w:rPr>
        <w:t xml:space="preserve"> only one</w:t>
      </w:r>
      <w:r w:rsidR="00FC078F">
        <w:rPr>
          <w:rFonts w:cstheme="minorBidi"/>
          <w:bCs/>
          <w:szCs w:val="22"/>
        </w:rPr>
        <w:t xml:space="preserve"> subset </w:t>
      </w:r>
      <w:r>
        <w:rPr>
          <w:rFonts w:cstheme="minorBidi"/>
          <w:bCs/>
          <w:szCs w:val="22"/>
        </w:rPr>
        <w:t>of the wider data gathered. The</w:t>
      </w:r>
      <w:r w:rsidR="000210BE">
        <w:rPr>
          <w:rFonts w:cstheme="minorBidi"/>
          <w:bCs/>
          <w:szCs w:val="22"/>
        </w:rPr>
        <w:t xml:space="preserve"> present</w:t>
      </w:r>
      <w:r>
        <w:rPr>
          <w:rFonts w:cstheme="minorBidi"/>
          <w:bCs/>
          <w:szCs w:val="22"/>
        </w:rPr>
        <w:t xml:space="preserve"> data </w:t>
      </w:r>
      <w:r w:rsidR="006606C5">
        <w:rPr>
          <w:rFonts w:cstheme="minorBidi"/>
          <w:bCs/>
          <w:szCs w:val="22"/>
        </w:rPr>
        <w:t xml:space="preserve">have </w:t>
      </w:r>
      <w:r w:rsidR="00E766C3">
        <w:rPr>
          <w:rFonts w:cstheme="minorBidi"/>
          <w:bCs/>
          <w:szCs w:val="22"/>
        </w:rPr>
        <w:t>been selected</w:t>
      </w:r>
      <w:r w:rsidR="00FC078F">
        <w:rPr>
          <w:rFonts w:cstheme="minorBidi"/>
          <w:bCs/>
          <w:szCs w:val="22"/>
        </w:rPr>
        <w:t xml:space="preserve"> </w:t>
      </w:r>
      <w:r w:rsidR="00E766C3">
        <w:rPr>
          <w:rFonts w:cstheme="minorBidi"/>
          <w:bCs/>
          <w:szCs w:val="22"/>
        </w:rPr>
        <w:t xml:space="preserve">specifically for </w:t>
      </w:r>
      <w:r w:rsidR="006606C5">
        <w:rPr>
          <w:rFonts w:cstheme="minorBidi"/>
          <w:bCs/>
          <w:szCs w:val="22"/>
        </w:rPr>
        <w:t>their</w:t>
      </w:r>
      <w:r w:rsidR="00FC078F">
        <w:rPr>
          <w:rFonts w:cstheme="minorBidi"/>
          <w:bCs/>
          <w:szCs w:val="22"/>
        </w:rPr>
        <w:t xml:space="preserve"> relevance to wider debates surrounding </w:t>
      </w:r>
      <w:r w:rsidR="00E766C3">
        <w:rPr>
          <w:rFonts w:cstheme="minorBidi"/>
          <w:bCs/>
          <w:szCs w:val="22"/>
        </w:rPr>
        <w:t>the role of administrator views an</w:t>
      </w:r>
      <w:r w:rsidR="005D43AD">
        <w:rPr>
          <w:rFonts w:cstheme="minorBidi"/>
          <w:bCs/>
          <w:szCs w:val="22"/>
        </w:rPr>
        <w:t>d opinions in welfare-to-work delivery;</w:t>
      </w:r>
      <w:r w:rsidR="00E766C3">
        <w:rPr>
          <w:rFonts w:cstheme="minorBidi"/>
          <w:bCs/>
          <w:szCs w:val="22"/>
        </w:rPr>
        <w:t xml:space="preserve"> although t</w:t>
      </w:r>
      <w:r w:rsidR="005D43AD">
        <w:rPr>
          <w:rFonts w:cstheme="minorBidi"/>
          <w:bCs/>
          <w:szCs w:val="22"/>
        </w:rPr>
        <w:t xml:space="preserve">he surrounding discussion draws </w:t>
      </w:r>
      <w:r w:rsidR="005806A0">
        <w:rPr>
          <w:rFonts w:cstheme="minorBidi"/>
          <w:bCs/>
          <w:szCs w:val="22"/>
        </w:rPr>
        <w:t>this data into an</w:t>
      </w:r>
      <w:r w:rsidR="00E766C3">
        <w:rPr>
          <w:rFonts w:cstheme="minorBidi"/>
          <w:bCs/>
          <w:szCs w:val="22"/>
        </w:rPr>
        <w:t xml:space="preserve"> ethnographic consideration of how these views were formed. </w:t>
      </w:r>
      <w:r w:rsidR="00342919">
        <w:rPr>
          <w:rFonts w:cstheme="minorBidi"/>
          <w:bCs/>
          <w:szCs w:val="22"/>
        </w:rPr>
        <w:t xml:space="preserve">The data and discussion presented here cannot necessarily be extrapolated to the WP generally. </w:t>
      </w:r>
      <w:r w:rsidR="00337D50">
        <w:rPr>
          <w:rFonts w:cstheme="minorBidi"/>
          <w:bCs/>
          <w:szCs w:val="22"/>
        </w:rPr>
        <w:t xml:space="preserve">All names are pseudonyms. </w:t>
      </w:r>
    </w:p>
    <w:p w:rsidR="006606C5" w:rsidRDefault="006606C5" w:rsidP="006608C6">
      <w:pPr>
        <w:pStyle w:val="ListParagraph"/>
        <w:spacing w:after="0" w:line="360" w:lineRule="auto"/>
        <w:ind w:left="0"/>
        <w:jc w:val="both"/>
        <w:rPr>
          <w:rFonts w:cstheme="minorBidi"/>
          <w:bCs/>
          <w:szCs w:val="22"/>
        </w:rPr>
      </w:pPr>
    </w:p>
    <w:p w:rsidR="002D01D9" w:rsidRDefault="002D01D9" w:rsidP="006608C6">
      <w:pPr>
        <w:pStyle w:val="ListParagraph"/>
        <w:spacing w:after="0" w:line="360" w:lineRule="auto"/>
        <w:ind w:left="0"/>
        <w:jc w:val="both"/>
        <w:rPr>
          <w:rFonts w:cstheme="minorBidi"/>
          <w:bCs/>
          <w:i/>
          <w:szCs w:val="22"/>
        </w:rPr>
      </w:pPr>
    </w:p>
    <w:p w:rsidR="002D01D9" w:rsidRDefault="002D01D9" w:rsidP="00342919">
      <w:pPr>
        <w:pStyle w:val="ListParagraph"/>
        <w:numPr>
          <w:ilvl w:val="0"/>
          <w:numId w:val="4"/>
        </w:numPr>
        <w:spacing w:after="0" w:line="360" w:lineRule="auto"/>
        <w:jc w:val="both"/>
        <w:rPr>
          <w:rFonts w:cstheme="minorBidi"/>
          <w:bCs/>
          <w:i/>
          <w:szCs w:val="22"/>
        </w:rPr>
      </w:pPr>
      <w:r>
        <w:rPr>
          <w:rFonts w:cstheme="minorBidi"/>
          <w:bCs/>
          <w:i/>
          <w:szCs w:val="22"/>
        </w:rPr>
        <w:t>Findings</w:t>
      </w:r>
    </w:p>
    <w:p w:rsidR="0076118A" w:rsidRDefault="0076118A" w:rsidP="0076118A">
      <w:pPr>
        <w:spacing w:line="360" w:lineRule="auto"/>
        <w:ind w:firstLine="720"/>
        <w:jc w:val="both"/>
      </w:pPr>
      <w:r>
        <w:t xml:space="preserve">While </w:t>
      </w:r>
      <w:proofErr w:type="spellStart"/>
      <w:r>
        <w:t>Foucaludian</w:t>
      </w:r>
      <w:proofErr w:type="spellEnd"/>
      <w:r>
        <w:t xml:space="preserve"> analyses of administrator views generally emphasise inculcation within elite discourse, interviews and discussions indicated t</w:t>
      </w:r>
      <w:r w:rsidR="00DC48F4">
        <w:t>hat staff did not read academic</w:t>
      </w:r>
      <w:r w:rsidR="008F5B71">
        <w:t xml:space="preserve"> ‘</w:t>
      </w:r>
      <w:r>
        <w:t>neoliberal</w:t>
      </w:r>
      <w:r w:rsidR="008F5B71">
        <w:t>’</w:t>
      </w:r>
      <w:r w:rsidR="00DC48F4">
        <w:t xml:space="preserve"> </w:t>
      </w:r>
      <w:r>
        <w:t xml:space="preserve">literature regarding welfare. No other direct ‘download’ mechanism was identifiable within the centres researched. There were no intensive training sessions, reorientation days, </w:t>
      </w:r>
      <w:r w:rsidR="00DC48F4">
        <w:t>re-education or other forms of neoliberal</w:t>
      </w:r>
      <w:r>
        <w:t xml:space="preserve"> indoctrination. All staff training was ‘on the job’, i.e. shadowing other employees for 2-3 weeks before commencing their roles. </w:t>
      </w:r>
    </w:p>
    <w:p w:rsidR="007B4D23" w:rsidRDefault="0076118A" w:rsidP="0076118A">
      <w:pPr>
        <w:spacing w:line="360" w:lineRule="auto"/>
        <w:ind w:firstLine="720"/>
        <w:jc w:val="both"/>
      </w:pPr>
      <w:r>
        <w:t xml:space="preserve">Some ‘diffuse’ influence, such as the </w:t>
      </w:r>
      <w:proofErr w:type="gramStart"/>
      <w:r>
        <w:t>general public</w:t>
      </w:r>
      <w:proofErr w:type="gramEnd"/>
      <w:r>
        <w:t xml:space="preserve"> might be subject to via media output and immersion within general social life</w:t>
      </w:r>
      <w:r w:rsidR="00974F8E">
        <w:t>,</w:t>
      </w:r>
      <w:r>
        <w:t xml:space="preserve"> might be plausibly assumed. Staff were also unquestionably sensitised to media </w:t>
      </w:r>
      <w:r w:rsidR="007F7828">
        <w:t xml:space="preserve">and political </w:t>
      </w:r>
      <w:r>
        <w:t xml:space="preserve">output due to their </w:t>
      </w:r>
      <w:r w:rsidR="007F7828">
        <w:t>employment roles</w:t>
      </w:r>
      <w:r>
        <w:t xml:space="preserve">, with several making comments such as “I see this on the news…” However, this was </w:t>
      </w:r>
      <w:r w:rsidR="00DC48F4">
        <w:t>invariably followed by a “but…”</w:t>
      </w:r>
      <w:r>
        <w:t xml:space="preserve"> and a questioning of the media or political claim, usually based on the idea that only ‘frontline experience’ can give someone the ‘real picture’. The data indicate that </w:t>
      </w:r>
      <w:r>
        <w:lastRenderedPageBreak/>
        <w:t xml:space="preserve">this sensitisation may have had some influence on staff views, most significantly </w:t>
      </w:r>
      <w:proofErr w:type="gramStart"/>
      <w:r w:rsidR="007B4D23">
        <w:t>through</w:t>
      </w:r>
      <w:r>
        <w:t xml:space="preserve"> the use of</w:t>
      </w:r>
      <w:proofErr w:type="gramEnd"/>
      <w:r>
        <w:t xml:space="preserve"> key terms such as ‘underclass’, ‘intergenerational workles</w:t>
      </w:r>
      <w:r w:rsidR="00DC48F4">
        <w:t>s</w:t>
      </w:r>
      <w:r>
        <w:t>ness’, ‘</w:t>
      </w:r>
      <w:r w:rsidR="00DC48F4">
        <w:t>troubled</w:t>
      </w:r>
      <w:r>
        <w:t xml:space="preserve"> families’, ‘skivers’ and ‘welfare reform’. </w:t>
      </w:r>
      <w:r w:rsidR="007B4D23">
        <w:t xml:space="preserve">Several key welfare-to-work ideas and </w:t>
      </w:r>
      <w:r w:rsidR="003B52A7">
        <w:t xml:space="preserve">terms were also used in the formal documentation issued by the </w:t>
      </w:r>
      <w:r w:rsidR="00974F8E">
        <w:t xml:space="preserve">contracting </w:t>
      </w:r>
      <w:r w:rsidR="002301ED">
        <w:t>p</w:t>
      </w:r>
      <w:r w:rsidR="00974F8E">
        <w:t xml:space="preserve">rime, </w:t>
      </w:r>
      <w:r w:rsidR="003B52A7">
        <w:t>provider</w:t>
      </w:r>
      <w:r w:rsidR="00974F8E">
        <w:t xml:space="preserve"> management,</w:t>
      </w:r>
      <w:r w:rsidR="003B52A7">
        <w:t xml:space="preserve"> and </w:t>
      </w:r>
      <w:r w:rsidR="00974F8E">
        <w:t xml:space="preserve">the </w:t>
      </w:r>
      <w:r w:rsidR="003B52A7">
        <w:t xml:space="preserve">DWP. </w:t>
      </w:r>
      <w:r w:rsidR="007B4D23">
        <w:t>Hence</w:t>
      </w:r>
      <w:r>
        <w:t xml:space="preserve">, </w:t>
      </w:r>
      <w:r w:rsidRPr="00DC48F4">
        <w:t>some</w:t>
      </w:r>
      <w:r w:rsidR="00DC48F4">
        <w:t xml:space="preserve"> </w:t>
      </w:r>
      <w:r>
        <w:t>‘elite conceptual download’ is plausible</w:t>
      </w:r>
      <w:r w:rsidR="003B52A7">
        <w:t>, as explored by Goldberg (2001) and Boland (2016)</w:t>
      </w:r>
      <w:r>
        <w:t xml:space="preserve">. </w:t>
      </w:r>
    </w:p>
    <w:p w:rsidR="0076118A" w:rsidRDefault="00974F8E" w:rsidP="0076118A">
      <w:pPr>
        <w:spacing w:line="360" w:lineRule="auto"/>
        <w:ind w:firstLine="720"/>
        <w:jc w:val="both"/>
      </w:pPr>
      <w:r>
        <w:t>Mead’s (1986</w:t>
      </w:r>
      <w:r w:rsidR="0076118A">
        <w:t xml:space="preserve">) argument that staff generally come to the role with prior </w:t>
      </w:r>
      <w:r w:rsidR="00DC48F4">
        <w:t>ideological</w:t>
      </w:r>
      <w:r w:rsidR="0076118A">
        <w:t xml:space="preserve"> leanings and opinions is </w:t>
      </w:r>
      <w:r w:rsidR="007B4D23">
        <w:t>also plausible</w:t>
      </w:r>
      <w:r w:rsidR="0076118A">
        <w:t xml:space="preserve">, being a </w:t>
      </w:r>
      <w:proofErr w:type="gramStart"/>
      <w:r w:rsidR="0076118A">
        <w:t>fairly unobjectionable</w:t>
      </w:r>
      <w:proofErr w:type="gramEnd"/>
      <w:r w:rsidR="0076118A">
        <w:t xml:space="preserve"> truism. Yet, Mead claims that staff practices ‘loop’ into a self-fulfilling reinforcement of beliefs. As might be expected, this proved an unhelpfully one-dimensional proposition. Notably, it failed to account for the potential power of groups and circumstances to influence individual opinions t</w:t>
      </w:r>
      <w:r w:rsidR="00C10234">
        <w:t>owards a consensus (Berger, 1963</w:t>
      </w:r>
      <w:r w:rsidR="0076118A">
        <w:t>).</w:t>
      </w:r>
    </w:p>
    <w:p w:rsidR="0076118A" w:rsidRDefault="0076118A" w:rsidP="0076118A">
      <w:pPr>
        <w:spacing w:line="360" w:lineRule="auto"/>
        <w:ind w:firstLine="720"/>
        <w:jc w:val="both"/>
      </w:pPr>
      <w:r>
        <w:t xml:space="preserve">The </w:t>
      </w:r>
      <w:r w:rsidR="007F7828">
        <w:t xml:space="preserve">positivistic </w:t>
      </w:r>
      <w:r>
        <w:t>‘unproblematic reportage’ model, i.e. that staff views broadly recount ‘frontline’ reality</w:t>
      </w:r>
      <w:r w:rsidR="007F7828" w:rsidRPr="007F7828">
        <w:t xml:space="preserve"> </w:t>
      </w:r>
      <w:r w:rsidR="007F7828">
        <w:t xml:space="preserve">(Bartholomew, 2006; </w:t>
      </w:r>
      <w:proofErr w:type="spellStart"/>
      <w:r w:rsidR="007F7828">
        <w:t>Shildrick</w:t>
      </w:r>
      <w:proofErr w:type="spellEnd"/>
      <w:r w:rsidR="007F7828">
        <w:t xml:space="preserve"> </w:t>
      </w:r>
      <w:r w:rsidR="007F7828">
        <w:rPr>
          <w:i/>
        </w:rPr>
        <w:t>et al.</w:t>
      </w:r>
      <w:r w:rsidR="007F7828">
        <w:t>, 2013;</w:t>
      </w:r>
      <w:r w:rsidR="007F7828">
        <w:rPr>
          <w:i/>
        </w:rPr>
        <w:t xml:space="preserve"> </w:t>
      </w:r>
      <w:r w:rsidR="00DC48F4">
        <w:t>Dunn, 2014</w:t>
      </w:r>
      <w:r w:rsidR="007F7828">
        <w:t>)</w:t>
      </w:r>
      <w:r>
        <w:t>, could explain why administrator opinions often strongly cohere around central themes (see</w:t>
      </w:r>
      <w:r w:rsidR="007F7828">
        <w:t xml:space="preserve"> e.g. Goldberg, 2001</w:t>
      </w:r>
      <w:r w:rsidR="00DC48F4">
        <w:t>; Dunn, 2014</w:t>
      </w:r>
      <w:r>
        <w:t xml:space="preserve">). In such cases, a group consensus might be expected, </w:t>
      </w:r>
      <w:r w:rsidR="007B4D23">
        <w:t>with or without</w:t>
      </w:r>
      <w:r>
        <w:t xml:space="preserve"> external influences. For example, in the present research, most staff strongly articulated that they were on the ‘frontline of welfare reform’ – a common term used by politicians, media and academics. As one, ‘Cormac’, put it: </w:t>
      </w:r>
    </w:p>
    <w:p w:rsidR="0076118A" w:rsidRDefault="0076118A" w:rsidP="0076118A">
      <w:pPr>
        <w:spacing w:after="0" w:line="240" w:lineRule="auto"/>
        <w:ind w:left="1134"/>
        <w:jc w:val="both"/>
        <w:rPr>
          <w:rFonts w:eastAsia="Calibri"/>
        </w:rPr>
      </w:pPr>
      <w:r w:rsidRPr="00462927">
        <w:rPr>
          <w:rFonts w:eastAsia="Calibri"/>
        </w:rPr>
        <w:t xml:space="preserve">We’ve got an incredibly difficult ask </w:t>
      </w:r>
      <w:proofErr w:type="gramStart"/>
      <w:r w:rsidRPr="00462927">
        <w:rPr>
          <w:rFonts w:eastAsia="Calibri"/>
        </w:rPr>
        <w:t>put</w:t>
      </w:r>
      <w:proofErr w:type="gramEnd"/>
      <w:r w:rsidRPr="00462927">
        <w:rPr>
          <w:rFonts w:eastAsia="Calibri"/>
        </w:rPr>
        <w:t xml:space="preserve"> on us here. We’re the frontline in coping with, </w:t>
      </w:r>
      <w:proofErr w:type="spellStart"/>
      <w:r w:rsidRPr="00462927">
        <w:rPr>
          <w:rFonts w:eastAsia="Calibri"/>
        </w:rPr>
        <w:t>er</w:t>
      </w:r>
      <w:proofErr w:type="spellEnd"/>
      <w:r w:rsidRPr="00462927">
        <w:rPr>
          <w:rFonts w:eastAsia="Calibri"/>
        </w:rPr>
        <w:t>… what we’re coping with is sometimes third or fourth generation unemployment. You must know that with all your research. Who picks up the pieces? When does that get dealt with? Who intervenes because you’ve got whole families living like that, when your dad and your grandad never bothered to get up and go to work, then what kind of environment are you getting your values from?</w:t>
      </w:r>
      <w:r>
        <w:rPr>
          <w:rFonts w:eastAsia="Calibri"/>
        </w:rPr>
        <w:t xml:space="preserve"> </w:t>
      </w:r>
    </w:p>
    <w:p w:rsidR="0076118A" w:rsidRDefault="0076118A" w:rsidP="0076118A">
      <w:pPr>
        <w:spacing w:line="360" w:lineRule="auto"/>
        <w:jc w:val="both"/>
      </w:pPr>
    </w:p>
    <w:p w:rsidR="007B4D23" w:rsidRDefault="0076118A" w:rsidP="0076118A">
      <w:pPr>
        <w:spacing w:after="0" w:line="360" w:lineRule="auto"/>
        <w:jc w:val="both"/>
        <w:rPr>
          <w:rFonts w:eastAsia="Calibri"/>
        </w:rPr>
      </w:pPr>
      <w:r>
        <w:rPr>
          <w:rFonts w:eastAsia="Calibri"/>
        </w:rPr>
        <w:t xml:space="preserve">Similarly, </w:t>
      </w:r>
      <w:r w:rsidR="003D1D8D">
        <w:rPr>
          <w:rFonts w:eastAsia="Calibri"/>
        </w:rPr>
        <w:t>m</w:t>
      </w:r>
      <w:r w:rsidR="00A621A0">
        <w:rPr>
          <w:rFonts w:eastAsia="Calibri"/>
        </w:rPr>
        <w:t xml:space="preserve">ost staff (21 out of 23) </w:t>
      </w:r>
      <w:r w:rsidR="00E93703">
        <w:rPr>
          <w:rFonts w:eastAsia="Calibri"/>
        </w:rPr>
        <w:t>strongly articulated</w:t>
      </w:r>
      <w:r w:rsidRPr="004F7622">
        <w:rPr>
          <w:rFonts w:eastAsia="Calibri"/>
        </w:rPr>
        <w:t xml:space="preserve"> the idea that a c</w:t>
      </w:r>
      <w:r>
        <w:rPr>
          <w:rFonts w:eastAsia="Calibri"/>
        </w:rPr>
        <w:t xml:space="preserve">ulture of ‘welfare dependency’ </w:t>
      </w:r>
      <w:r w:rsidRPr="004F7622">
        <w:rPr>
          <w:rFonts w:eastAsia="Calibri"/>
        </w:rPr>
        <w:t>blighted the UK</w:t>
      </w:r>
      <w:r>
        <w:rPr>
          <w:rFonts w:eastAsia="Calibri"/>
        </w:rPr>
        <w:t>,</w:t>
      </w:r>
      <w:r w:rsidRPr="00EA713C">
        <w:rPr>
          <w:rFonts w:eastAsia="Calibri"/>
        </w:rPr>
        <w:t xml:space="preserve"> </w:t>
      </w:r>
      <w:r>
        <w:rPr>
          <w:rFonts w:eastAsia="Calibri"/>
        </w:rPr>
        <w:t xml:space="preserve">and that this was </w:t>
      </w:r>
      <w:r w:rsidRPr="004F7622">
        <w:rPr>
          <w:rFonts w:eastAsia="Calibri"/>
        </w:rPr>
        <w:t>precipitated by an overly generous benefits system</w:t>
      </w:r>
      <w:r>
        <w:rPr>
          <w:rFonts w:eastAsia="Calibri"/>
        </w:rPr>
        <w:t xml:space="preserve">. </w:t>
      </w:r>
    </w:p>
    <w:p w:rsidR="0076118A" w:rsidRPr="004F7622" w:rsidRDefault="0076118A" w:rsidP="007B4D23">
      <w:pPr>
        <w:spacing w:after="0" w:line="360" w:lineRule="auto"/>
        <w:ind w:firstLine="720"/>
        <w:jc w:val="both"/>
        <w:rPr>
          <w:rFonts w:eastAsia="Calibri"/>
        </w:rPr>
      </w:pPr>
      <w:r>
        <w:rPr>
          <w:rFonts w:eastAsia="Calibri"/>
        </w:rPr>
        <w:t>R</w:t>
      </w:r>
      <w:r>
        <w:t xml:space="preserve">eflecting another key media and political claim, all staff </w:t>
      </w:r>
      <w:r w:rsidR="00933136">
        <w:t xml:space="preserve">also </w:t>
      </w:r>
      <w:r>
        <w:t>argued that there were at least some, if not many,</w:t>
      </w:r>
      <w:r w:rsidRPr="00311438">
        <w:t xml:space="preserve"> </w:t>
      </w:r>
      <w:r>
        <w:t>‘</w:t>
      </w:r>
      <w:r w:rsidR="00DC48F4">
        <w:t>skivers</w:t>
      </w:r>
      <w:r>
        <w:t>’</w:t>
      </w:r>
      <w:r w:rsidRPr="00311438">
        <w:t xml:space="preserve"> </w:t>
      </w:r>
      <w:r>
        <w:t xml:space="preserve">on the programme. </w:t>
      </w:r>
      <w:r w:rsidRPr="004F7622">
        <w:rPr>
          <w:rFonts w:eastAsia="Calibri"/>
        </w:rPr>
        <w:t>As</w:t>
      </w:r>
      <w:r>
        <w:rPr>
          <w:rFonts w:eastAsia="Calibri"/>
        </w:rPr>
        <w:t xml:space="preserve"> ‘Trisha’</w:t>
      </w:r>
      <w:r w:rsidRPr="004F7622">
        <w:rPr>
          <w:rFonts w:eastAsia="Calibri"/>
        </w:rPr>
        <w:t xml:space="preserve"> put it: </w:t>
      </w:r>
    </w:p>
    <w:p w:rsidR="0076118A" w:rsidRPr="004F7622" w:rsidRDefault="0076118A" w:rsidP="0076118A">
      <w:pPr>
        <w:spacing w:after="0" w:line="360" w:lineRule="auto"/>
        <w:jc w:val="both"/>
        <w:rPr>
          <w:rFonts w:eastAsia="Calibri"/>
        </w:rPr>
      </w:pPr>
    </w:p>
    <w:p w:rsidR="0076118A" w:rsidRPr="00EA713C" w:rsidRDefault="0076118A" w:rsidP="0076118A">
      <w:pPr>
        <w:spacing w:after="0" w:line="240" w:lineRule="auto"/>
        <w:ind w:left="1854"/>
        <w:jc w:val="both"/>
        <w:rPr>
          <w:rFonts w:eastAsia="Calibri"/>
        </w:rPr>
      </w:pPr>
      <w:r w:rsidRPr="00EA713C">
        <w:rPr>
          <w:rFonts w:eastAsia="Calibri"/>
        </w:rPr>
        <w:t xml:space="preserve">I think we’ve really dug ourselves into a ditch with the welfare system by paying people to do nothing. I think we’ve encouraged a whole generation </w:t>
      </w:r>
      <w:r w:rsidRPr="00EA713C">
        <w:rPr>
          <w:rFonts w:eastAsia="Calibri"/>
        </w:rPr>
        <w:lastRenderedPageBreak/>
        <w:t xml:space="preserve">of people to think just going on the dole is a real option. It’s so ingrained now as a culture, it’s an uphill battle to change it. </w:t>
      </w:r>
    </w:p>
    <w:p w:rsidR="0076118A" w:rsidRDefault="0076118A" w:rsidP="0076118A">
      <w:pPr>
        <w:spacing w:line="360" w:lineRule="auto"/>
        <w:jc w:val="both"/>
      </w:pPr>
    </w:p>
    <w:p w:rsidR="0076118A" w:rsidRDefault="0076118A" w:rsidP="0076118A">
      <w:pPr>
        <w:spacing w:after="0" w:line="360" w:lineRule="auto"/>
        <w:contextualSpacing/>
        <w:jc w:val="both"/>
      </w:pPr>
      <w:r>
        <w:t>Coding such data is relatively easy in bot</w:t>
      </w:r>
      <w:r w:rsidR="00E93703">
        <w:t>h the elite conceptual download</w:t>
      </w:r>
      <w:r>
        <w:t xml:space="preserve"> and the unp</w:t>
      </w:r>
      <w:r w:rsidR="00E93703">
        <w:t xml:space="preserve">roblematic frontline reportage </w:t>
      </w:r>
      <w:r>
        <w:t xml:space="preserve">models. In the latter case, it is taken for </w:t>
      </w:r>
      <w:r w:rsidR="003B52A7">
        <w:t>granted as fact (</w:t>
      </w:r>
      <w:r w:rsidR="003B52A7" w:rsidRPr="00E93703">
        <w:rPr>
          <w:i/>
        </w:rPr>
        <w:t>c.f.</w:t>
      </w:r>
      <w:r w:rsidR="003B52A7">
        <w:t xml:space="preserve"> Dunn, 2014</w:t>
      </w:r>
      <w:r>
        <w:t xml:space="preserve">). In the former, staff views are checked against factual data, such as statistics (e.g. </w:t>
      </w:r>
      <w:proofErr w:type="spellStart"/>
      <w:r>
        <w:t>Shildrick</w:t>
      </w:r>
      <w:proofErr w:type="spellEnd"/>
      <w:r>
        <w:t xml:space="preserve">, </w:t>
      </w:r>
      <w:r w:rsidR="008B2A08">
        <w:t>2013</w:t>
      </w:r>
      <w:r>
        <w:t>), or else</w:t>
      </w:r>
      <w:r w:rsidR="007B4D23">
        <w:t>,</w:t>
      </w:r>
      <w:r>
        <w:t xml:space="preserve"> </w:t>
      </w:r>
      <w:r w:rsidR="00DC48F4">
        <w:t>seemingly</w:t>
      </w:r>
      <w:r w:rsidR="007B4D23">
        <w:t>,</w:t>
      </w:r>
      <w:r w:rsidR="00DC48F4">
        <w:t xml:space="preserve"> </w:t>
      </w:r>
      <w:r>
        <w:t xml:space="preserve">sifted to discover where they match ‘neoliberal’ ideology (e.g. Schram </w:t>
      </w:r>
      <w:r>
        <w:rPr>
          <w:i/>
        </w:rPr>
        <w:t>et al.</w:t>
      </w:r>
      <w:r w:rsidR="008B2A08">
        <w:t>, 2010</w:t>
      </w:r>
      <w:r>
        <w:t>). Comparing interview data to neoliberal ideology is a particularly useful methodological approach in that it solves the problem of how to interpret and contextualise interview data when the research lacks</w:t>
      </w:r>
      <w:r w:rsidR="00E93703">
        <w:t xml:space="preserve"> a</w:t>
      </w:r>
      <w:r>
        <w:t xml:space="preserve"> </w:t>
      </w:r>
      <w:r w:rsidR="00E93703">
        <w:t>broader</w:t>
      </w:r>
      <w:r>
        <w:t xml:space="preserve"> </w:t>
      </w:r>
      <w:r w:rsidR="00E93703">
        <w:t>ethnographic</w:t>
      </w:r>
      <w:r>
        <w:t xml:space="preserve"> </w:t>
      </w:r>
      <w:r w:rsidR="00E93703">
        <w:t>setting</w:t>
      </w:r>
      <w:r w:rsidR="00DC48F4">
        <w:t xml:space="preserve"> (see Brady, 2011)</w:t>
      </w:r>
      <w:r>
        <w:t xml:space="preserve">. Comparison to neoliberal ideology </w:t>
      </w:r>
      <w:r w:rsidRPr="002B4F4E">
        <w:rPr>
          <w:i/>
        </w:rPr>
        <w:t>becomes</w:t>
      </w:r>
      <w:r>
        <w:t xml:space="preserve"> the context, and this approach can be circularly justified by reference to the Foucauldian model </w:t>
      </w:r>
      <w:r w:rsidR="00933136">
        <w:t xml:space="preserve">of neoliberal governmentality </w:t>
      </w:r>
      <w:r>
        <w:t xml:space="preserve">that the data </w:t>
      </w:r>
      <w:r w:rsidRPr="00E854F2">
        <w:rPr>
          <w:i/>
        </w:rPr>
        <w:t>might</w:t>
      </w:r>
      <w:r>
        <w:t xml:space="preserve"> be being carefully</w:t>
      </w:r>
      <w:r w:rsidR="00E854F2">
        <w:t xml:space="preserve"> selected to fit. While this might</w:t>
      </w:r>
      <w:r>
        <w:t xml:space="preserve"> be justified in documentary analysis (e.g. </w:t>
      </w:r>
      <w:r w:rsidR="003B52A7">
        <w:t>Boland, 2016</w:t>
      </w:r>
      <w:r w:rsidR="00933136">
        <w:t>), the present</w:t>
      </w:r>
      <w:r>
        <w:t xml:space="preserve"> research found significantly more texture, contradiction and variation in administrator views, and</w:t>
      </w:r>
      <w:r w:rsidRPr="00090E42">
        <w:t xml:space="preserve"> </w:t>
      </w:r>
      <w:r>
        <w:t>even often in a single respondent’s comments. Two examples will help</w:t>
      </w:r>
      <w:r w:rsidR="00933136">
        <w:t xml:space="preserve"> to unpack this complexity: the </w:t>
      </w:r>
      <w:r>
        <w:t xml:space="preserve">key ‘neoliberal’ claims of widespread </w:t>
      </w:r>
      <w:r w:rsidR="00E854F2">
        <w:t>‘</w:t>
      </w:r>
      <w:proofErr w:type="spellStart"/>
      <w:r>
        <w:t>workshyness</w:t>
      </w:r>
      <w:proofErr w:type="spellEnd"/>
      <w:r w:rsidR="00E854F2">
        <w:t>’</w:t>
      </w:r>
      <w:r>
        <w:t xml:space="preserve"> and </w:t>
      </w:r>
      <w:r w:rsidR="00E854F2">
        <w:t xml:space="preserve">of </w:t>
      </w:r>
      <w:r>
        <w:t>‘intergenerational worklessness’.</w:t>
      </w:r>
    </w:p>
    <w:p w:rsidR="0076118A" w:rsidRPr="002B4F4E" w:rsidRDefault="0076118A" w:rsidP="0076118A">
      <w:pPr>
        <w:spacing w:after="0" w:line="360" w:lineRule="auto"/>
        <w:ind w:firstLine="720"/>
        <w:contextualSpacing/>
        <w:jc w:val="both"/>
        <w:rPr>
          <w:rFonts w:eastAsia="Calibri"/>
        </w:rPr>
      </w:pPr>
      <w:r>
        <w:t xml:space="preserve">The issue of putative </w:t>
      </w:r>
      <w:proofErr w:type="spellStart"/>
      <w:r>
        <w:t>workshyness</w:t>
      </w:r>
      <w:proofErr w:type="spellEnd"/>
      <w:r>
        <w:t xml:space="preserve"> was far more complex than staff internalising neoliberal </w:t>
      </w:r>
      <w:proofErr w:type="spellStart"/>
      <w:r>
        <w:t>pathologisations</w:t>
      </w:r>
      <w:proofErr w:type="spellEnd"/>
      <w:r>
        <w:t xml:space="preserve"> of all benefits claimants as ‘skivers’.</w:t>
      </w:r>
      <w:r w:rsidR="005A084D">
        <w:t xml:space="preserve"> N</w:t>
      </w:r>
      <w:r>
        <w:t xml:space="preserve">umerous WP </w:t>
      </w:r>
      <w:r w:rsidRPr="00525C38">
        <w:rPr>
          <w:i/>
        </w:rPr>
        <w:t>participants</w:t>
      </w:r>
      <w:r w:rsidR="00E854F2">
        <w:t>, for example,</w:t>
      </w:r>
      <w:r>
        <w:t xml:space="preserve"> thought that there were many people on-programme who were lazy and workshy. </w:t>
      </w:r>
      <w:r w:rsidR="00E854F2">
        <w:t xml:space="preserve">Still, </w:t>
      </w:r>
      <w:r w:rsidR="00933136">
        <w:t>‘</w:t>
      </w:r>
      <w:r w:rsidR="00E854F2">
        <w:t>s</w:t>
      </w:r>
      <w:r>
        <w:rPr>
          <w:rFonts w:eastAsia="Calibri"/>
        </w:rPr>
        <w:t>kiver’ – and that word in particular - was a nuanced category of meaning for staff. As</w:t>
      </w:r>
      <w:r>
        <w:t xml:space="preserve"> ‘Holly’ put it</w:t>
      </w:r>
      <w:r w:rsidRPr="002B4F4E">
        <w:rPr>
          <w:rFonts w:eastAsia="Calibri"/>
        </w:rPr>
        <w:t xml:space="preserve">: </w:t>
      </w:r>
    </w:p>
    <w:p w:rsidR="0076118A" w:rsidRPr="002B4F4E" w:rsidRDefault="0076118A" w:rsidP="0076118A">
      <w:pPr>
        <w:spacing w:after="0" w:line="360" w:lineRule="auto"/>
        <w:ind w:firstLine="720"/>
        <w:jc w:val="both"/>
        <w:rPr>
          <w:rFonts w:eastAsia="Calibri"/>
        </w:rPr>
      </w:pPr>
    </w:p>
    <w:p w:rsidR="0076118A" w:rsidRDefault="0076118A" w:rsidP="0076118A">
      <w:pPr>
        <w:spacing w:after="100" w:afterAutospacing="1" w:line="240" w:lineRule="auto"/>
        <w:ind w:left="1134"/>
        <w:jc w:val="both"/>
        <w:rPr>
          <w:rFonts w:eastAsia="Calibri"/>
          <w:bCs/>
        </w:rPr>
      </w:pPr>
      <w:r w:rsidRPr="002B4F4E">
        <w:rPr>
          <w:rFonts w:eastAsia="Calibri"/>
        </w:rPr>
        <w:t xml:space="preserve">Some </w:t>
      </w:r>
      <w:r>
        <w:rPr>
          <w:rFonts w:eastAsia="Calibri"/>
        </w:rPr>
        <w:t xml:space="preserve">[participants] </w:t>
      </w:r>
      <w:r w:rsidRPr="002B4F4E">
        <w:rPr>
          <w:rFonts w:eastAsia="Calibri"/>
        </w:rPr>
        <w:t xml:space="preserve">could skive for England. Look, there’s all sorts. It’s common sense, isn’t it? […]. If you want to show people that there are people here who obviously shouldn’t be here, well yeah, there are, but there are people who really should be here. They should have been here years ago. </w:t>
      </w:r>
    </w:p>
    <w:p w:rsidR="0076118A" w:rsidRDefault="0076118A" w:rsidP="0076118A">
      <w:pPr>
        <w:spacing w:after="0" w:line="360" w:lineRule="auto"/>
        <w:contextualSpacing/>
        <w:jc w:val="both"/>
        <w:rPr>
          <w:rFonts w:eastAsia="Calibri"/>
          <w:bCs/>
        </w:rPr>
      </w:pPr>
    </w:p>
    <w:p w:rsidR="0076118A" w:rsidRDefault="005A084D" w:rsidP="0076118A">
      <w:pPr>
        <w:spacing w:after="0" w:line="360" w:lineRule="auto"/>
        <w:contextualSpacing/>
        <w:jc w:val="both"/>
        <w:rPr>
          <w:rFonts w:eastAsia="Calibri"/>
          <w:bCs/>
        </w:rPr>
      </w:pPr>
      <w:r>
        <w:rPr>
          <w:rFonts w:eastAsia="Calibri"/>
          <w:bCs/>
        </w:rPr>
        <w:t>B</w:t>
      </w:r>
      <w:r w:rsidR="0076118A" w:rsidRPr="00525C38">
        <w:rPr>
          <w:rFonts w:eastAsia="Calibri"/>
          <w:bCs/>
        </w:rPr>
        <w:t xml:space="preserve">eing described as a skiver within the staff’s group discourse </w:t>
      </w:r>
      <w:r w:rsidR="0076118A">
        <w:rPr>
          <w:rFonts w:eastAsia="Calibri"/>
          <w:bCs/>
        </w:rPr>
        <w:t>was generally associated with not</w:t>
      </w:r>
      <w:r w:rsidR="0076118A" w:rsidRPr="00525C38">
        <w:rPr>
          <w:rFonts w:eastAsia="Calibri"/>
          <w:bCs/>
        </w:rPr>
        <w:t xml:space="preserve"> applying for enough </w:t>
      </w:r>
      <w:r w:rsidR="00E854F2">
        <w:rPr>
          <w:rFonts w:eastAsia="Calibri"/>
          <w:bCs/>
        </w:rPr>
        <w:t>jobs. ‘Enough’</w:t>
      </w:r>
      <w:r w:rsidR="0076118A">
        <w:rPr>
          <w:rFonts w:eastAsia="Calibri"/>
          <w:bCs/>
        </w:rPr>
        <w:t xml:space="preserve"> was</w:t>
      </w:r>
      <w:r w:rsidR="0076118A" w:rsidRPr="00525C38">
        <w:rPr>
          <w:rFonts w:eastAsia="Calibri"/>
          <w:bCs/>
        </w:rPr>
        <w:t xml:space="preserve"> a variable figure</w:t>
      </w:r>
      <w:r w:rsidR="00E854F2">
        <w:rPr>
          <w:rFonts w:eastAsia="Calibri"/>
          <w:bCs/>
        </w:rPr>
        <w:t>,</w:t>
      </w:r>
      <w:r w:rsidR="0076118A">
        <w:rPr>
          <w:rFonts w:eastAsia="Calibri"/>
          <w:bCs/>
        </w:rPr>
        <w:t xml:space="preserve"> </w:t>
      </w:r>
      <w:r w:rsidR="007B4D23">
        <w:rPr>
          <w:rFonts w:eastAsia="Calibri"/>
          <w:bCs/>
        </w:rPr>
        <w:t xml:space="preserve">however, </w:t>
      </w:r>
      <w:r w:rsidR="0076118A">
        <w:rPr>
          <w:rFonts w:eastAsia="Calibri"/>
          <w:bCs/>
        </w:rPr>
        <w:t>dependent</w:t>
      </w:r>
      <w:r w:rsidR="0076118A" w:rsidRPr="00525C38">
        <w:rPr>
          <w:rFonts w:eastAsia="Calibri"/>
          <w:bCs/>
        </w:rPr>
        <w:t xml:space="preserve"> on a caseworker’s discretion</w:t>
      </w:r>
      <w:r w:rsidR="007B4D23">
        <w:rPr>
          <w:rFonts w:eastAsia="Calibri"/>
          <w:bCs/>
        </w:rPr>
        <w:t xml:space="preserve"> (</w:t>
      </w:r>
      <w:r w:rsidR="007B4D23">
        <w:rPr>
          <w:rFonts w:eastAsia="Calibri"/>
          <w:bCs/>
          <w:i/>
        </w:rPr>
        <w:t xml:space="preserve">c.f. </w:t>
      </w:r>
      <w:r w:rsidR="00B3423E">
        <w:rPr>
          <w:rFonts w:eastAsia="Calibri"/>
          <w:bCs/>
        </w:rPr>
        <w:t>Fletcher, 2011)</w:t>
      </w:r>
      <w:r w:rsidR="00E854F2">
        <w:rPr>
          <w:rFonts w:eastAsia="Calibri"/>
          <w:bCs/>
        </w:rPr>
        <w:t>, but usually meaning</w:t>
      </w:r>
      <w:r w:rsidR="0076118A">
        <w:rPr>
          <w:rFonts w:eastAsia="Calibri"/>
          <w:bCs/>
        </w:rPr>
        <w:t xml:space="preserve"> 5-10 applications per week. </w:t>
      </w:r>
      <w:r w:rsidR="0076118A" w:rsidRPr="00525C38">
        <w:rPr>
          <w:rFonts w:eastAsia="Calibri"/>
          <w:bCs/>
        </w:rPr>
        <w:t>In addition to inadequate job-seeking, primary</w:t>
      </w:r>
      <w:r w:rsidR="0076118A">
        <w:rPr>
          <w:rFonts w:eastAsia="Calibri"/>
          <w:bCs/>
        </w:rPr>
        <w:t xml:space="preserve"> evidence</w:t>
      </w:r>
      <w:r w:rsidR="0076118A" w:rsidRPr="00525C38">
        <w:rPr>
          <w:rFonts w:eastAsia="Calibri"/>
          <w:bCs/>
        </w:rPr>
        <w:t xml:space="preserve"> for ‘skiving’ was established from a combination of a partici</w:t>
      </w:r>
      <w:r w:rsidR="0076118A">
        <w:rPr>
          <w:rFonts w:eastAsia="Calibri"/>
          <w:bCs/>
        </w:rPr>
        <w:t>pant’s length of time on benefits,</w:t>
      </w:r>
      <w:r w:rsidR="0076118A" w:rsidRPr="00525C38">
        <w:rPr>
          <w:rFonts w:eastAsia="Calibri"/>
          <w:bCs/>
        </w:rPr>
        <w:t xml:space="preserve"> </w:t>
      </w:r>
      <w:r>
        <w:rPr>
          <w:rFonts w:eastAsia="Calibri"/>
          <w:bCs/>
        </w:rPr>
        <w:t xml:space="preserve">a related </w:t>
      </w:r>
      <w:r w:rsidR="0076118A" w:rsidRPr="00525C38">
        <w:rPr>
          <w:rFonts w:eastAsia="Calibri"/>
          <w:bCs/>
        </w:rPr>
        <w:t>belief that the past welfare system had been too passive, and</w:t>
      </w:r>
      <w:r w:rsidR="0076118A">
        <w:rPr>
          <w:rFonts w:eastAsia="Calibri"/>
          <w:bCs/>
        </w:rPr>
        <w:t>, significantly,</w:t>
      </w:r>
      <w:r w:rsidR="0076118A" w:rsidRPr="00525C38">
        <w:rPr>
          <w:rFonts w:eastAsia="Calibri"/>
          <w:bCs/>
        </w:rPr>
        <w:t xml:space="preserve"> participants’</w:t>
      </w:r>
      <w:r w:rsidR="00B3423E">
        <w:rPr>
          <w:rFonts w:eastAsia="Calibri"/>
          <w:bCs/>
        </w:rPr>
        <w:t xml:space="preserve"> alleged</w:t>
      </w:r>
      <w:r w:rsidR="0076118A" w:rsidRPr="00525C38">
        <w:rPr>
          <w:rFonts w:eastAsia="Calibri"/>
          <w:bCs/>
        </w:rPr>
        <w:t xml:space="preserve"> ‘attitude’ in review </w:t>
      </w:r>
      <w:r w:rsidR="0076118A" w:rsidRPr="00525C38">
        <w:rPr>
          <w:rFonts w:eastAsia="Calibri"/>
          <w:bCs/>
        </w:rPr>
        <w:lastRenderedPageBreak/>
        <w:t>meetings. As ‘Trisha’ put it of the latter: “Some of them just aren’t real… you know the attitude… like, aggressive, like saying we can’t tell them what to do and we can’t take their money off them. We can.”</w:t>
      </w:r>
      <w:r w:rsidR="0076118A">
        <w:rPr>
          <w:rFonts w:eastAsia="Calibri"/>
          <w:bCs/>
        </w:rPr>
        <w:t xml:space="preserve"> </w:t>
      </w:r>
    </w:p>
    <w:p w:rsidR="0076118A" w:rsidRPr="00021137" w:rsidRDefault="0076118A" w:rsidP="0076118A">
      <w:pPr>
        <w:spacing w:after="0" w:line="360" w:lineRule="auto"/>
        <w:ind w:firstLine="720"/>
        <w:contextualSpacing/>
        <w:jc w:val="both"/>
        <w:rPr>
          <w:rFonts w:eastAsia="Calibri"/>
        </w:rPr>
      </w:pPr>
      <w:r w:rsidRPr="00021137">
        <w:rPr>
          <w:rFonts w:eastAsia="Calibri"/>
        </w:rPr>
        <w:t>‘Intergenerational</w:t>
      </w:r>
      <w:r w:rsidR="00E854F2">
        <w:rPr>
          <w:rFonts w:eastAsia="Calibri"/>
        </w:rPr>
        <w:t xml:space="preserve"> unemployment’ was cited by six</w:t>
      </w:r>
      <w:r w:rsidRPr="00021137">
        <w:rPr>
          <w:rFonts w:eastAsia="Calibri"/>
        </w:rPr>
        <w:t xml:space="preserve"> staff as being responsible for a small but noticeable minority of the participant base. According to ‘Trisha’, for example: “A certain culture set in [in the past] and people think, well… why work? And then they see that their dads and grandads, well they don’t go out and work either. So why should they.” (‘Dad’s and grandads’ were mentioned</w:t>
      </w:r>
      <w:r>
        <w:rPr>
          <w:rFonts w:eastAsia="Calibri"/>
        </w:rPr>
        <w:t xml:space="preserve"> a handful of times,</w:t>
      </w:r>
      <w:r w:rsidRPr="00021137">
        <w:rPr>
          <w:rFonts w:eastAsia="Calibri"/>
        </w:rPr>
        <w:t xml:space="preserve"> but never mothers or grandmothers in this context.)</w:t>
      </w:r>
      <w:r>
        <w:rPr>
          <w:rFonts w:eastAsia="Calibri"/>
        </w:rPr>
        <w:t xml:space="preserve"> A</w:t>
      </w:r>
      <w:r w:rsidRPr="00021137">
        <w:rPr>
          <w:rFonts w:eastAsia="Calibri"/>
          <w:bCs/>
        </w:rPr>
        <w:t>ll staff recognised that a range of other</w:t>
      </w:r>
      <w:r>
        <w:rPr>
          <w:rFonts w:eastAsia="Calibri"/>
          <w:bCs/>
        </w:rPr>
        <w:t xml:space="preserve"> factors</w:t>
      </w:r>
      <w:r w:rsidRPr="00021137">
        <w:rPr>
          <w:rFonts w:eastAsia="Calibri"/>
          <w:bCs/>
        </w:rPr>
        <w:t xml:space="preserve"> mitigated against the employment of certain categories, particularly ESA claimants. As ‘</w:t>
      </w:r>
      <w:proofErr w:type="spellStart"/>
      <w:r w:rsidRPr="00021137">
        <w:rPr>
          <w:rFonts w:eastAsia="Calibri"/>
          <w:bCs/>
        </w:rPr>
        <w:t>Xandra</w:t>
      </w:r>
      <w:proofErr w:type="spellEnd"/>
      <w:r w:rsidRPr="00021137">
        <w:rPr>
          <w:rFonts w:eastAsia="Calibri"/>
          <w:bCs/>
        </w:rPr>
        <w:t xml:space="preserve">’ put it: </w:t>
      </w:r>
      <w:r>
        <w:rPr>
          <w:rFonts w:eastAsia="Calibri"/>
          <w:bCs/>
        </w:rPr>
        <w:t>“</w:t>
      </w:r>
      <w:r w:rsidRPr="00021137">
        <w:rPr>
          <w:rFonts w:eastAsia="Calibri"/>
        </w:rPr>
        <w:t>There are people who really are in health trouble, you know, serious back problems, knees that don’t work, diseases, right through to pe</w:t>
      </w:r>
      <w:r>
        <w:rPr>
          <w:rFonts w:eastAsia="Calibri"/>
        </w:rPr>
        <w:t xml:space="preserve">ople with mental health issues.” </w:t>
      </w:r>
      <w:r w:rsidRPr="00021137">
        <w:rPr>
          <w:rFonts w:eastAsia="Calibri"/>
        </w:rPr>
        <w:t>A poor jobs market for older people was similarly recognised by all staff as, to some degree, a key ‘employment barrier’</w:t>
      </w:r>
      <w:r>
        <w:rPr>
          <w:rFonts w:eastAsia="Calibri"/>
        </w:rPr>
        <w:t>, with one noting that</w:t>
      </w:r>
      <w:r w:rsidRPr="00021137">
        <w:rPr>
          <w:rFonts w:eastAsia="Calibri"/>
        </w:rPr>
        <w:t>:</w:t>
      </w:r>
    </w:p>
    <w:p w:rsidR="0076118A" w:rsidRPr="00021137" w:rsidRDefault="0076118A" w:rsidP="0076118A">
      <w:pPr>
        <w:spacing w:after="0" w:line="360" w:lineRule="auto"/>
        <w:jc w:val="both"/>
        <w:rPr>
          <w:rFonts w:eastAsia="Calibri"/>
        </w:rPr>
      </w:pPr>
    </w:p>
    <w:p w:rsidR="0076118A" w:rsidRPr="00021137" w:rsidRDefault="0076118A" w:rsidP="0076118A">
      <w:pPr>
        <w:spacing w:after="0" w:line="240" w:lineRule="auto"/>
        <w:ind w:left="1134"/>
        <w:jc w:val="both"/>
        <w:rPr>
          <w:rFonts w:eastAsia="Calibri"/>
        </w:rPr>
      </w:pPr>
      <w:r w:rsidRPr="00021137">
        <w:rPr>
          <w:rFonts w:eastAsia="Calibri"/>
        </w:rPr>
        <w:t>[T]hey [management] think that you can get a bunch of ex-</w:t>
      </w:r>
      <w:proofErr w:type="spellStart"/>
      <w:r w:rsidRPr="00021137">
        <w:rPr>
          <w:rFonts w:eastAsia="Calibri"/>
        </w:rPr>
        <w:t>brickies</w:t>
      </w:r>
      <w:proofErr w:type="spellEnd"/>
      <w:r w:rsidRPr="00021137">
        <w:rPr>
          <w:rFonts w:eastAsia="Calibri"/>
        </w:rPr>
        <w:t xml:space="preserve"> or long-term unemployed on a basic computer course and </w:t>
      </w:r>
      <w:proofErr w:type="gramStart"/>
      <w:r w:rsidRPr="00021137">
        <w:rPr>
          <w:rFonts w:eastAsia="Calibri"/>
        </w:rPr>
        <w:t>somehow</w:t>
      </w:r>
      <w:proofErr w:type="gramEnd"/>
      <w:r w:rsidRPr="00021137">
        <w:rPr>
          <w:rFonts w:eastAsia="Calibri"/>
        </w:rPr>
        <w:t xml:space="preserve"> they’re going to be transformed into wonderful, work-ready individuals. Never going to happen. </w:t>
      </w:r>
      <w:r>
        <w:rPr>
          <w:rFonts w:eastAsia="Calibri"/>
        </w:rPr>
        <w:t xml:space="preserve">(Charles). </w:t>
      </w:r>
    </w:p>
    <w:p w:rsidR="0076118A" w:rsidRPr="00021137" w:rsidRDefault="0076118A" w:rsidP="0076118A">
      <w:pPr>
        <w:spacing w:after="0" w:line="240" w:lineRule="auto"/>
        <w:ind w:left="1134"/>
        <w:jc w:val="both"/>
        <w:rPr>
          <w:rFonts w:eastAsia="Calibri"/>
        </w:rPr>
      </w:pPr>
    </w:p>
    <w:p w:rsidR="0076118A" w:rsidRPr="00021137" w:rsidRDefault="0076118A" w:rsidP="0076118A">
      <w:pPr>
        <w:spacing w:after="0" w:line="360" w:lineRule="auto"/>
        <w:jc w:val="both"/>
        <w:rPr>
          <w:rFonts w:eastAsia="Calibri"/>
        </w:rPr>
      </w:pPr>
    </w:p>
    <w:p w:rsidR="0076118A" w:rsidRPr="00021137" w:rsidRDefault="0076118A" w:rsidP="0076118A">
      <w:pPr>
        <w:spacing w:after="0" w:line="360" w:lineRule="auto"/>
        <w:jc w:val="both"/>
        <w:rPr>
          <w:rFonts w:eastAsia="Calibri"/>
        </w:rPr>
      </w:pPr>
      <w:r w:rsidRPr="00021137">
        <w:rPr>
          <w:rFonts w:eastAsia="Calibri"/>
        </w:rPr>
        <w:t>Reflecting the way in which the same staff members sometimes articulated contradictory opinions, ‘Trisha’, a broad supporter of the WP, noted that:</w:t>
      </w:r>
    </w:p>
    <w:p w:rsidR="0076118A" w:rsidRPr="00021137" w:rsidRDefault="0076118A" w:rsidP="0076118A">
      <w:pPr>
        <w:spacing w:after="0" w:line="360" w:lineRule="auto"/>
        <w:jc w:val="both"/>
        <w:rPr>
          <w:rFonts w:eastAsia="Calibri"/>
        </w:rPr>
      </w:pPr>
    </w:p>
    <w:p w:rsidR="0076118A" w:rsidRPr="00021137" w:rsidRDefault="0076118A" w:rsidP="0076118A">
      <w:pPr>
        <w:spacing w:after="0" w:line="240" w:lineRule="auto"/>
        <w:ind w:left="1134"/>
        <w:jc w:val="both"/>
        <w:rPr>
          <w:rFonts w:eastAsia="Calibri"/>
        </w:rPr>
      </w:pPr>
      <w:r w:rsidRPr="00021137">
        <w:rPr>
          <w:rFonts w:eastAsia="Calibri"/>
        </w:rPr>
        <w:t>I don’t know what the government is doing with this [the WP]. It’s a cruel programme. […] No one wants duffers [old people]. But it’s not a moral economic policy to just force the old folks into pointless schemes.</w:t>
      </w:r>
    </w:p>
    <w:p w:rsidR="0076118A" w:rsidRPr="00021137" w:rsidRDefault="0076118A" w:rsidP="0076118A">
      <w:pPr>
        <w:spacing w:after="0" w:line="240" w:lineRule="auto"/>
        <w:ind w:left="1134"/>
        <w:jc w:val="both"/>
        <w:rPr>
          <w:rFonts w:eastAsia="Calibri"/>
        </w:rPr>
      </w:pPr>
    </w:p>
    <w:p w:rsidR="0076118A" w:rsidRDefault="0076118A" w:rsidP="0076118A">
      <w:pPr>
        <w:spacing w:after="0" w:line="360" w:lineRule="auto"/>
        <w:contextualSpacing/>
        <w:jc w:val="both"/>
        <w:rPr>
          <w:rFonts w:eastAsia="Calibri"/>
        </w:rPr>
      </w:pPr>
    </w:p>
    <w:p w:rsidR="001468BB" w:rsidRPr="00021137" w:rsidRDefault="001468BB" w:rsidP="0076118A">
      <w:pPr>
        <w:spacing w:after="0" w:line="360" w:lineRule="auto"/>
        <w:contextualSpacing/>
        <w:jc w:val="both"/>
        <w:rPr>
          <w:rFonts w:eastAsia="Calibri"/>
        </w:rPr>
      </w:pPr>
      <w:r>
        <w:rPr>
          <w:rFonts w:eastAsia="Calibri"/>
          <w:bCs/>
        </w:rPr>
        <w:t xml:space="preserve">Similarly, and in harmony with the findings of Grant (2013), all ‘caseworkers’ </w:t>
      </w:r>
      <w:r w:rsidR="005A084D">
        <w:rPr>
          <w:rFonts w:eastAsia="Calibri"/>
          <w:bCs/>
        </w:rPr>
        <w:t xml:space="preserve">partially </w:t>
      </w:r>
      <w:r>
        <w:rPr>
          <w:rFonts w:eastAsia="Calibri"/>
          <w:bCs/>
        </w:rPr>
        <w:t>distanced themselves from s</w:t>
      </w:r>
      <w:r w:rsidR="00E854F2">
        <w:rPr>
          <w:rFonts w:eastAsia="Calibri"/>
          <w:bCs/>
        </w:rPr>
        <w:t>anctioning by arguing that sanctions</w:t>
      </w:r>
      <w:r>
        <w:rPr>
          <w:rFonts w:eastAsia="Calibri"/>
          <w:bCs/>
        </w:rPr>
        <w:t xml:space="preserve"> </w:t>
      </w:r>
      <w:r w:rsidR="005A084D" w:rsidRPr="001468BB">
        <w:rPr>
          <w:rFonts w:eastAsia="Calibri"/>
          <w:bCs/>
        </w:rPr>
        <w:t>were</w:t>
      </w:r>
      <w:r w:rsidR="005A084D">
        <w:rPr>
          <w:rFonts w:eastAsia="Calibri"/>
          <w:bCs/>
        </w:rPr>
        <w:t xml:space="preserve"> </w:t>
      </w:r>
      <w:r>
        <w:rPr>
          <w:rFonts w:eastAsia="Calibri"/>
          <w:bCs/>
        </w:rPr>
        <w:t xml:space="preserve">mostly </w:t>
      </w:r>
      <w:r w:rsidRPr="001468BB">
        <w:rPr>
          <w:rFonts w:eastAsia="Calibri"/>
          <w:bCs/>
        </w:rPr>
        <w:t xml:space="preserve">automated (for example </w:t>
      </w:r>
      <w:r>
        <w:rPr>
          <w:rFonts w:eastAsia="Calibri"/>
          <w:bCs/>
        </w:rPr>
        <w:t xml:space="preserve">for being fifteen minutes late), while </w:t>
      </w:r>
      <w:r w:rsidRPr="001468BB">
        <w:rPr>
          <w:rFonts w:eastAsia="Calibri"/>
          <w:bCs/>
          <w:i/>
        </w:rPr>
        <w:t>also</w:t>
      </w:r>
      <w:r w:rsidR="005A084D">
        <w:rPr>
          <w:rFonts w:eastAsia="Calibri"/>
          <w:bCs/>
        </w:rPr>
        <w:t xml:space="preserve"> arguing, on separate occasions,</w:t>
      </w:r>
      <w:r>
        <w:rPr>
          <w:rFonts w:eastAsia="Calibri"/>
          <w:bCs/>
        </w:rPr>
        <w:t xml:space="preserve"> that they</w:t>
      </w:r>
      <w:r w:rsidR="00E854F2">
        <w:rPr>
          <w:rFonts w:eastAsia="Calibri"/>
          <w:bCs/>
        </w:rPr>
        <w:t xml:space="preserve"> themselves</w:t>
      </w:r>
      <w:r>
        <w:rPr>
          <w:rFonts w:eastAsia="Calibri"/>
          <w:bCs/>
        </w:rPr>
        <w:t xml:space="preserve"> exerted significant discretion in </w:t>
      </w:r>
      <w:r w:rsidRPr="005A084D">
        <w:rPr>
          <w:rFonts w:eastAsia="Calibri"/>
          <w:bCs/>
          <w:i/>
        </w:rPr>
        <w:t>not</w:t>
      </w:r>
      <w:r>
        <w:rPr>
          <w:rFonts w:eastAsia="Calibri"/>
          <w:bCs/>
        </w:rPr>
        <w:t xml:space="preserve"> sanctioning </w:t>
      </w:r>
      <w:r w:rsidR="00E854F2">
        <w:rPr>
          <w:rFonts w:eastAsia="Calibri"/>
          <w:bCs/>
        </w:rPr>
        <w:t>‘</w:t>
      </w:r>
      <w:r>
        <w:rPr>
          <w:rFonts w:eastAsia="Calibri"/>
          <w:bCs/>
        </w:rPr>
        <w:t>vulnerable</w:t>
      </w:r>
      <w:r w:rsidR="00E854F2">
        <w:rPr>
          <w:rFonts w:eastAsia="Calibri"/>
          <w:bCs/>
        </w:rPr>
        <w:t>’ participants. While this</w:t>
      </w:r>
      <w:r>
        <w:rPr>
          <w:rFonts w:eastAsia="Calibri"/>
          <w:bCs/>
        </w:rPr>
        <w:t xml:space="preserve"> reality broadly supports ‘street level bureaucracy’ </w:t>
      </w:r>
      <w:bookmarkStart w:id="0" w:name="_GoBack"/>
      <w:r>
        <w:rPr>
          <w:rFonts w:eastAsia="Calibri"/>
          <w:bCs/>
        </w:rPr>
        <w:t>theory</w:t>
      </w:r>
      <w:bookmarkEnd w:id="0"/>
      <w:r w:rsidR="00B3423E" w:rsidRPr="00B3423E">
        <w:rPr>
          <w:rFonts w:eastAsia="Calibri"/>
          <w:bCs/>
          <w:i/>
        </w:rPr>
        <w:t xml:space="preserve"> </w:t>
      </w:r>
      <w:r w:rsidR="00B3423E">
        <w:rPr>
          <w:rFonts w:eastAsia="Calibri"/>
          <w:bCs/>
        </w:rPr>
        <w:t>(</w:t>
      </w:r>
      <w:r w:rsidR="00B3423E">
        <w:rPr>
          <w:rFonts w:eastAsia="Calibri"/>
          <w:bCs/>
          <w:i/>
        </w:rPr>
        <w:t xml:space="preserve">c.f. </w:t>
      </w:r>
      <w:r w:rsidR="00B3423E">
        <w:rPr>
          <w:rFonts w:eastAsia="Calibri"/>
          <w:bCs/>
        </w:rPr>
        <w:t>Fletcher, 2011)</w:t>
      </w:r>
      <w:r>
        <w:rPr>
          <w:rFonts w:eastAsia="Calibri"/>
          <w:bCs/>
        </w:rPr>
        <w:t xml:space="preserve">, the interview data are clearly messy, and arguably </w:t>
      </w:r>
      <w:r w:rsidR="00E854F2">
        <w:rPr>
          <w:rFonts w:eastAsia="Calibri"/>
          <w:bCs/>
        </w:rPr>
        <w:t>less solid empirical reportage</w:t>
      </w:r>
      <w:r w:rsidR="00B3423E">
        <w:rPr>
          <w:rFonts w:eastAsia="Calibri"/>
          <w:bCs/>
        </w:rPr>
        <w:t>, and possibly more</w:t>
      </w:r>
      <w:r w:rsidR="00E854F2">
        <w:rPr>
          <w:rFonts w:eastAsia="Calibri"/>
          <w:bCs/>
        </w:rPr>
        <w:t xml:space="preserve"> a reflection of</w:t>
      </w:r>
      <w:r>
        <w:rPr>
          <w:rFonts w:eastAsia="Calibri"/>
          <w:bCs/>
        </w:rPr>
        <w:t xml:space="preserve"> psychological self-e</w:t>
      </w:r>
      <w:r w:rsidR="00E854F2">
        <w:rPr>
          <w:rFonts w:eastAsia="Calibri"/>
          <w:bCs/>
        </w:rPr>
        <w:t>valuation and distancing-from-blame behaviours</w:t>
      </w:r>
      <w:r w:rsidR="00B3423E">
        <w:rPr>
          <w:rFonts w:eastAsia="Calibri"/>
          <w:bCs/>
        </w:rPr>
        <w:t xml:space="preserve">. </w:t>
      </w:r>
    </w:p>
    <w:p w:rsidR="0076118A" w:rsidRPr="00C406B1" w:rsidRDefault="0076118A" w:rsidP="001468BB">
      <w:pPr>
        <w:spacing w:after="0" w:line="360" w:lineRule="auto"/>
        <w:ind w:firstLine="720"/>
        <w:jc w:val="both"/>
        <w:rPr>
          <w:rFonts w:eastAsia="Calibri"/>
        </w:rPr>
      </w:pPr>
      <w:r>
        <w:rPr>
          <w:rFonts w:eastAsia="Calibri"/>
        </w:rPr>
        <w:lastRenderedPageBreak/>
        <w:t xml:space="preserve">There was recognition across virtually all staff that structural unemployment was real. However, most staff articulated that this was often </w:t>
      </w:r>
      <w:r w:rsidRPr="00C406B1">
        <w:rPr>
          <w:rFonts w:eastAsia="Calibri"/>
        </w:rPr>
        <w:t>aggravated by a claimant</w:t>
      </w:r>
      <w:r>
        <w:rPr>
          <w:rFonts w:eastAsia="Calibri"/>
        </w:rPr>
        <w:t>’s behaviour</w:t>
      </w:r>
      <w:r w:rsidRPr="00C406B1">
        <w:rPr>
          <w:rFonts w:eastAsia="Calibri"/>
        </w:rPr>
        <w:t>. As one ‘complex families’ adviser stated of her caseload:</w:t>
      </w:r>
    </w:p>
    <w:p w:rsidR="0076118A" w:rsidRPr="00C406B1" w:rsidRDefault="0076118A" w:rsidP="0076118A">
      <w:pPr>
        <w:spacing w:after="0" w:line="360" w:lineRule="auto"/>
        <w:jc w:val="both"/>
        <w:rPr>
          <w:rFonts w:eastAsia="Calibri"/>
        </w:rPr>
      </w:pPr>
    </w:p>
    <w:p w:rsidR="0076118A" w:rsidRPr="00C406B1" w:rsidRDefault="0076118A" w:rsidP="0076118A">
      <w:pPr>
        <w:spacing w:after="120" w:line="240" w:lineRule="auto"/>
        <w:ind w:left="1134"/>
        <w:jc w:val="both"/>
        <w:rPr>
          <w:rFonts w:eastAsia="Calibri"/>
        </w:rPr>
      </w:pPr>
      <w:r w:rsidRPr="00C406B1">
        <w:rPr>
          <w:rFonts w:eastAsia="Calibri"/>
        </w:rPr>
        <w:t xml:space="preserve">If I was to describe an average customer I’d say older male, white, debt and alcohol problems, depression. What I’m seeing, it’s like I know it. I’ve been seeing it since I was a kid back where I live. If you’ve got whole industries disappearing and even the men who’ve worked all their lives find it </w:t>
      </w:r>
      <w:proofErr w:type="gramStart"/>
      <w:r w:rsidRPr="00C406B1">
        <w:rPr>
          <w:rFonts w:eastAsia="Calibri"/>
        </w:rPr>
        <w:t>really hard</w:t>
      </w:r>
      <w:proofErr w:type="gramEnd"/>
      <w:r w:rsidRPr="00C406B1">
        <w:rPr>
          <w:rFonts w:eastAsia="Calibri"/>
        </w:rPr>
        <w:t xml:space="preserve"> to get into work.</w:t>
      </w:r>
    </w:p>
    <w:p w:rsidR="0076118A" w:rsidRPr="00C406B1" w:rsidRDefault="0076118A" w:rsidP="0076118A">
      <w:pPr>
        <w:spacing w:after="0" w:line="360" w:lineRule="auto"/>
        <w:ind w:firstLine="720"/>
        <w:jc w:val="both"/>
        <w:rPr>
          <w:rFonts w:eastAsia="Calibri"/>
          <w:bCs/>
        </w:rPr>
      </w:pPr>
    </w:p>
    <w:p w:rsidR="0076118A" w:rsidRDefault="005A084D" w:rsidP="0076118A">
      <w:pPr>
        <w:spacing w:after="0" w:line="360" w:lineRule="auto"/>
        <w:jc w:val="both"/>
        <w:rPr>
          <w:rFonts w:eastAsia="Calibri"/>
        </w:rPr>
      </w:pPr>
      <w:r>
        <w:rPr>
          <w:rFonts w:eastAsia="Calibri"/>
          <w:bCs/>
        </w:rPr>
        <w:t xml:space="preserve">Poor mental health </w:t>
      </w:r>
      <w:r w:rsidR="0076118A" w:rsidRPr="00C406B1">
        <w:rPr>
          <w:rFonts w:eastAsia="Calibri"/>
          <w:bCs/>
        </w:rPr>
        <w:t xml:space="preserve">and low self-esteem were </w:t>
      </w:r>
      <w:r w:rsidR="00E854F2" w:rsidRPr="00C406B1">
        <w:rPr>
          <w:rFonts w:eastAsia="Calibri"/>
          <w:bCs/>
        </w:rPr>
        <w:t>likewise</w:t>
      </w:r>
      <w:r w:rsidR="0076118A" w:rsidRPr="00C406B1">
        <w:rPr>
          <w:rFonts w:eastAsia="Calibri"/>
          <w:bCs/>
        </w:rPr>
        <w:t xml:space="preserve"> regularly cited as key ‘employment barriers’, often linked to being unemployed itself. </w:t>
      </w:r>
    </w:p>
    <w:p w:rsidR="0076118A" w:rsidRPr="00525C38" w:rsidRDefault="0076118A" w:rsidP="0076118A">
      <w:pPr>
        <w:spacing w:after="0" w:line="360" w:lineRule="auto"/>
        <w:ind w:firstLine="720"/>
        <w:contextualSpacing/>
        <w:jc w:val="both"/>
        <w:rPr>
          <w:rFonts w:eastAsia="Calibri"/>
          <w:bCs/>
        </w:rPr>
      </w:pPr>
      <w:r>
        <w:rPr>
          <w:rFonts w:eastAsia="Calibri"/>
        </w:rPr>
        <w:t>Fieldwork als</w:t>
      </w:r>
      <w:r w:rsidR="005A084D">
        <w:rPr>
          <w:rFonts w:eastAsia="Calibri"/>
        </w:rPr>
        <w:t xml:space="preserve">o highlighted that staff did not </w:t>
      </w:r>
      <w:r>
        <w:rPr>
          <w:rFonts w:eastAsia="Calibri"/>
        </w:rPr>
        <w:t>s</w:t>
      </w:r>
      <w:r w:rsidR="00E854F2">
        <w:rPr>
          <w:rFonts w:eastAsia="Calibri"/>
        </w:rPr>
        <w:t>imply ‘hold’ views, ‘neoliberal’</w:t>
      </w:r>
      <w:r>
        <w:rPr>
          <w:rFonts w:eastAsia="Calibri"/>
        </w:rPr>
        <w:t xml:space="preserve"> or otherwise; they held many views with real emotionality</w:t>
      </w:r>
      <w:r w:rsidR="00B3423E">
        <w:rPr>
          <w:rFonts w:eastAsia="Calibri"/>
        </w:rPr>
        <w:t xml:space="preserve"> (</w:t>
      </w:r>
      <w:r w:rsidR="00B3423E">
        <w:rPr>
          <w:rFonts w:eastAsia="Calibri"/>
          <w:i/>
        </w:rPr>
        <w:t xml:space="preserve">c.f. </w:t>
      </w:r>
      <w:r w:rsidR="00B3423E">
        <w:rPr>
          <w:rFonts w:eastAsia="Calibri"/>
        </w:rPr>
        <w:t>Quaid, 2002)</w:t>
      </w:r>
      <w:r>
        <w:rPr>
          <w:rFonts w:eastAsia="Calibri"/>
        </w:rPr>
        <w:t xml:space="preserve">. The most commonly articulated </w:t>
      </w:r>
      <w:r w:rsidR="00E854F2">
        <w:rPr>
          <w:rFonts w:eastAsia="Calibri"/>
        </w:rPr>
        <w:t>view</w:t>
      </w:r>
      <w:r>
        <w:rPr>
          <w:rFonts w:eastAsia="Calibri"/>
        </w:rPr>
        <w:t xml:space="preserve"> in</w:t>
      </w:r>
      <w:r w:rsidR="00E854F2">
        <w:rPr>
          <w:rFonts w:eastAsia="Calibri"/>
        </w:rPr>
        <w:t xml:space="preserve"> this regard was that many</w:t>
      </w:r>
      <w:r>
        <w:rPr>
          <w:rFonts w:eastAsia="Calibri"/>
        </w:rPr>
        <w:t xml:space="preserve"> </w:t>
      </w:r>
      <w:r w:rsidRPr="00525C38">
        <w:rPr>
          <w:rFonts w:eastAsia="Calibri"/>
          <w:bCs/>
        </w:rPr>
        <w:t>participants, in so many words, ‘take the piss’</w:t>
      </w:r>
      <w:r w:rsidR="00E854F2">
        <w:rPr>
          <w:rFonts w:eastAsia="Calibri"/>
          <w:bCs/>
        </w:rPr>
        <w:t xml:space="preserve"> (a common </w:t>
      </w:r>
      <w:r w:rsidR="00B3423E">
        <w:rPr>
          <w:rFonts w:eastAsia="Calibri"/>
          <w:bCs/>
        </w:rPr>
        <w:t xml:space="preserve">staff </w:t>
      </w:r>
      <w:r w:rsidR="00E854F2">
        <w:rPr>
          <w:rFonts w:eastAsia="Calibri"/>
          <w:bCs/>
        </w:rPr>
        <w:t>phrase in the centres</w:t>
      </w:r>
      <w:r w:rsidR="005A084D">
        <w:rPr>
          <w:rFonts w:eastAsia="Calibri"/>
          <w:bCs/>
        </w:rPr>
        <w:t>)</w:t>
      </w:r>
      <w:r w:rsidRPr="00525C38">
        <w:rPr>
          <w:rFonts w:eastAsia="Calibri"/>
          <w:bCs/>
        </w:rPr>
        <w:t>:</w:t>
      </w:r>
    </w:p>
    <w:p w:rsidR="0076118A" w:rsidRPr="00525C38" w:rsidRDefault="0076118A" w:rsidP="0076118A">
      <w:pPr>
        <w:spacing w:after="0" w:line="360" w:lineRule="auto"/>
        <w:ind w:firstLine="720"/>
        <w:contextualSpacing/>
        <w:jc w:val="both"/>
        <w:rPr>
          <w:rFonts w:eastAsia="Calibri"/>
          <w:bCs/>
        </w:rPr>
      </w:pPr>
      <w:r w:rsidRPr="00525C38">
        <w:rPr>
          <w:rFonts w:eastAsia="Calibri"/>
          <w:bCs/>
        </w:rPr>
        <w:t xml:space="preserve"> </w:t>
      </w:r>
    </w:p>
    <w:p w:rsidR="0076118A" w:rsidRPr="00525C38" w:rsidRDefault="0076118A" w:rsidP="0076118A">
      <w:pPr>
        <w:spacing w:after="0" w:line="240" w:lineRule="auto"/>
        <w:ind w:left="1134"/>
        <w:jc w:val="both"/>
        <w:rPr>
          <w:rFonts w:eastAsia="Calibri"/>
        </w:rPr>
      </w:pPr>
      <w:r w:rsidRPr="00525C38">
        <w:rPr>
          <w:rFonts w:eastAsia="Calibri"/>
        </w:rPr>
        <w:t xml:space="preserve">It’s taking the piss </w:t>
      </w:r>
      <w:proofErr w:type="gramStart"/>
      <w:r w:rsidRPr="00525C38">
        <w:rPr>
          <w:rFonts w:eastAsia="Calibri"/>
        </w:rPr>
        <w:t>at the mom</w:t>
      </w:r>
      <w:r w:rsidR="00E854F2">
        <w:rPr>
          <w:rFonts w:eastAsia="Calibri"/>
        </w:rPr>
        <w:t>ent</w:t>
      </w:r>
      <w:proofErr w:type="gramEnd"/>
      <w:r w:rsidR="00E854F2">
        <w:rPr>
          <w:rFonts w:eastAsia="Calibri"/>
        </w:rPr>
        <w:t>, with the benefits system. L</w:t>
      </w:r>
      <w:r w:rsidRPr="00525C38">
        <w:rPr>
          <w:rFonts w:eastAsia="Calibri"/>
        </w:rPr>
        <w:t xml:space="preserve">ike it pays everything. People just living on benefits doing nothing at all. Staying in bed. I don’t agree with it. </w:t>
      </w:r>
      <w:r>
        <w:rPr>
          <w:rFonts w:eastAsia="Calibri"/>
        </w:rPr>
        <w:t>(‘</w:t>
      </w:r>
      <w:proofErr w:type="spellStart"/>
      <w:r>
        <w:rPr>
          <w:rFonts w:eastAsia="Calibri"/>
        </w:rPr>
        <w:t>Xandra</w:t>
      </w:r>
      <w:proofErr w:type="spellEnd"/>
      <w:r>
        <w:rPr>
          <w:rFonts w:eastAsia="Calibri"/>
        </w:rPr>
        <w:t>’).</w:t>
      </w:r>
    </w:p>
    <w:p w:rsidR="0076118A" w:rsidRPr="00525C38" w:rsidRDefault="0076118A" w:rsidP="0076118A">
      <w:pPr>
        <w:spacing w:after="0" w:line="360" w:lineRule="auto"/>
        <w:ind w:firstLine="720"/>
        <w:contextualSpacing/>
        <w:jc w:val="both"/>
        <w:rPr>
          <w:rFonts w:eastAsia="Calibri"/>
          <w:bCs/>
        </w:rPr>
      </w:pPr>
    </w:p>
    <w:p w:rsidR="0076118A" w:rsidRDefault="0076118A" w:rsidP="0076118A">
      <w:pPr>
        <w:spacing w:after="0" w:line="360" w:lineRule="auto"/>
        <w:contextualSpacing/>
        <w:jc w:val="both"/>
        <w:rPr>
          <w:rFonts w:eastAsia="Calibri"/>
          <w:bCs/>
        </w:rPr>
      </w:pPr>
      <w:r>
        <w:rPr>
          <w:rFonts w:eastAsia="Calibri"/>
          <w:bCs/>
        </w:rPr>
        <w:t xml:space="preserve">While many people might share such views, even those who are not welfare administrators, this sentiment had a strongly personal element to it in this </w:t>
      </w:r>
      <w:r w:rsidR="005A084D">
        <w:rPr>
          <w:rFonts w:eastAsia="Calibri"/>
          <w:bCs/>
        </w:rPr>
        <w:t>research</w:t>
      </w:r>
      <w:r>
        <w:rPr>
          <w:rFonts w:eastAsia="Calibri"/>
          <w:bCs/>
        </w:rPr>
        <w:t>. As ‘Jacqui’ put it</w:t>
      </w:r>
      <w:r w:rsidRPr="00525C38">
        <w:rPr>
          <w:rFonts w:eastAsia="Calibri"/>
          <w:bCs/>
        </w:rPr>
        <w:t>: “they spend so much time</w:t>
      </w:r>
      <w:r w:rsidR="00E854F2">
        <w:rPr>
          <w:rFonts w:eastAsia="Calibri"/>
          <w:bCs/>
        </w:rPr>
        <w:t xml:space="preserve"> on the welfare system. T</w:t>
      </w:r>
      <w:r w:rsidRPr="00525C38">
        <w:rPr>
          <w:rFonts w:eastAsia="Calibri"/>
          <w:bCs/>
        </w:rPr>
        <w:t>hey know how to play it. And they know how</w:t>
      </w:r>
      <w:r w:rsidR="005A084D">
        <w:rPr>
          <w:rFonts w:eastAsia="Calibri"/>
          <w:bCs/>
        </w:rPr>
        <w:t xml:space="preserve"> to push your buttons”</w:t>
      </w:r>
      <w:r w:rsidRPr="00525C38">
        <w:rPr>
          <w:rFonts w:eastAsia="Calibri"/>
          <w:bCs/>
        </w:rPr>
        <w:t xml:space="preserve">. </w:t>
      </w:r>
      <w:r>
        <w:rPr>
          <w:rFonts w:eastAsia="Calibri"/>
          <w:bCs/>
        </w:rPr>
        <w:t xml:space="preserve">This provides a conceptual </w:t>
      </w:r>
      <w:r w:rsidR="00B3423E">
        <w:rPr>
          <w:rFonts w:eastAsia="Calibri"/>
          <w:bCs/>
        </w:rPr>
        <w:t>window on</w:t>
      </w:r>
      <w:r>
        <w:rPr>
          <w:rFonts w:eastAsia="Calibri"/>
          <w:bCs/>
        </w:rPr>
        <w:t xml:space="preserve">to an arguably more robust model for assessing the origins of administrator opinions: a materialist field ethnographic approach. </w:t>
      </w:r>
    </w:p>
    <w:p w:rsidR="0076118A" w:rsidRPr="000821D3" w:rsidRDefault="0076118A" w:rsidP="0076118A">
      <w:pPr>
        <w:spacing w:after="0" w:line="360" w:lineRule="auto"/>
        <w:contextualSpacing/>
        <w:jc w:val="both"/>
        <w:rPr>
          <w:rFonts w:eastAsia="Calibri"/>
          <w:bCs/>
        </w:rPr>
      </w:pPr>
      <w:r>
        <w:rPr>
          <w:rFonts w:eastAsia="Calibri"/>
          <w:bCs/>
        </w:rPr>
        <w:tab/>
        <w:t xml:space="preserve">Staff were not on any ‘frontline’; an arguably over-the-top, militaristic metaphor that replicates administrator self-perceptions more than it reflects reality. </w:t>
      </w:r>
      <w:r w:rsidRPr="00C406B1">
        <w:rPr>
          <w:rFonts w:eastAsia="Calibri"/>
          <w:bCs/>
        </w:rPr>
        <w:t xml:space="preserve">Most </w:t>
      </w:r>
      <w:r w:rsidR="00E854F2">
        <w:rPr>
          <w:rFonts w:eastAsia="Calibri"/>
          <w:bCs/>
        </w:rPr>
        <w:t>centre WP participants</w:t>
      </w:r>
      <w:r w:rsidRPr="00C406B1">
        <w:rPr>
          <w:rFonts w:eastAsia="Calibri"/>
          <w:bCs/>
        </w:rPr>
        <w:t xml:space="preserve"> were unremarkable, save for being long-term unemployed (one year or more), mostly male (around 70%), and mostly former manual or skilled trade workers. </w:t>
      </w:r>
      <w:r>
        <w:rPr>
          <w:rFonts w:eastAsia="Calibri"/>
          <w:bCs/>
        </w:rPr>
        <w:t xml:space="preserve">However, staff </w:t>
      </w:r>
      <w:r w:rsidRPr="00E854F2">
        <w:rPr>
          <w:rFonts w:eastAsia="Calibri"/>
          <w:bCs/>
          <w:i/>
        </w:rPr>
        <w:t>were</w:t>
      </w:r>
      <w:r>
        <w:rPr>
          <w:rFonts w:eastAsia="Calibri"/>
          <w:bCs/>
        </w:rPr>
        <w:t xml:space="preserve"> </w:t>
      </w:r>
      <w:r w:rsidR="00DE79F6">
        <w:rPr>
          <w:rFonts w:eastAsia="Calibri"/>
          <w:bCs/>
        </w:rPr>
        <w:t xml:space="preserve">a </w:t>
      </w:r>
      <w:r>
        <w:rPr>
          <w:rFonts w:eastAsia="Calibri"/>
          <w:bCs/>
        </w:rPr>
        <w:t>group who regularly met another</w:t>
      </w:r>
      <w:r w:rsidR="00DE79F6">
        <w:rPr>
          <w:rFonts w:eastAsia="Calibri"/>
          <w:bCs/>
        </w:rPr>
        <w:t xml:space="preserve"> </w:t>
      </w:r>
      <w:r>
        <w:rPr>
          <w:rFonts w:eastAsia="Calibri"/>
          <w:bCs/>
        </w:rPr>
        <w:t>group. This interaction took place within</w:t>
      </w:r>
      <w:r w:rsidR="005A084D">
        <w:rPr>
          <w:rFonts w:eastAsia="Calibri"/>
          <w:bCs/>
        </w:rPr>
        <w:t xml:space="preserve"> two key contexts. Firstly,</w:t>
      </w:r>
      <w:r>
        <w:rPr>
          <w:rFonts w:eastAsia="Calibri"/>
          <w:bCs/>
        </w:rPr>
        <w:t xml:space="preserve"> staff spent </w:t>
      </w:r>
      <w:r w:rsidR="005A084D">
        <w:rPr>
          <w:rFonts w:eastAsia="Calibri"/>
          <w:bCs/>
        </w:rPr>
        <w:t>all day together. Secondly,</w:t>
      </w:r>
      <w:r>
        <w:rPr>
          <w:rFonts w:eastAsia="Calibri"/>
          <w:bCs/>
        </w:rPr>
        <w:t xml:space="preserve"> the cent</w:t>
      </w:r>
      <w:r w:rsidR="002301ED">
        <w:rPr>
          <w:rFonts w:eastAsia="Calibri"/>
          <w:bCs/>
        </w:rPr>
        <w:t>res were run, as one senior p</w:t>
      </w:r>
      <w:r>
        <w:rPr>
          <w:rFonts w:eastAsia="Calibri"/>
          <w:bCs/>
        </w:rPr>
        <w:t xml:space="preserve">rime manager stated, on a minimal budget. </w:t>
      </w:r>
      <w:r w:rsidRPr="00EC18B6">
        <w:rPr>
          <w:rFonts w:eastAsia="Calibri"/>
          <w:bCs/>
        </w:rPr>
        <w:t>Fulltime customer advisers had caseloads of between 120-180 people.</w:t>
      </w:r>
      <w:r>
        <w:rPr>
          <w:rFonts w:eastAsia="Calibri"/>
          <w:bCs/>
        </w:rPr>
        <w:t xml:space="preserve"> Each ‘participant’ attended the</w:t>
      </w:r>
      <w:r w:rsidR="005A084D">
        <w:rPr>
          <w:rFonts w:eastAsia="Calibri"/>
          <w:bCs/>
        </w:rPr>
        <w:t xml:space="preserve"> centre, on average, only once per</w:t>
      </w:r>
      <w:r>
        <w:rPr>
          <w:rFonts w:eastAsia="Calibri"/>
          <w:bCs/>
        </w:rPr>
        <w:t xml:space="preserve"> month</w:t>
      </w:r>
      <w:r w:rsidR="00DE79F6">
        <w:rPr>
          <w:rFonts w:eastAsia="Calibri"/>
          <w:bCs/>
        </w:rPr>
        <w:t xml:space="preserve"> for a 15-30-minute interview. </w:t>
      </w:r>
      <w:r w:rsidRPr="00EC18B6">
        <w:rPr>
          <w:rFonts w:eastAsia="Calibri"/>
          <w:bCs/>
        </w:rPr>
        <w:t xml:space="preserve">It is important to emphasise that staff were not JCP employees or </w:t>
      </w:r>
      <w:proofErr w:type="gramStart"/>
      <w:r w:rsidRPr="00EC18B6">
        <w:rPr>
          <w:rFonts w:eastAsia="Calibri"/>
          <w:bCs/>
        </w:rPr>
        <w:t>public sector</w:t>
      </w:r>
      <w:proofErr w:type="gramEnd"/>
      <w:r w:rsidRPr="00EC18B6">
        <w:rPr>
          <w:rFonts w:eastAsia="Calibri"/>
          <w:bCs/>
        </w:rPr>
        <w:t xml:space="preserve"> workers;</w:t>
      </w:r>
      <w:r w:rsidR="005A084D">
        <w:rPr>
          <w:rFonts w:eastAsia="Calibri"/>
          <w:bCs/>
        </w:rPr>
        <w:t xml:space="preserve"> they were privately hired</w:t>
      </w:r>
      <w:r w:rsidR="00DE79F6">
        <w:rPr>
          <w:rFonts w:eastAsia="Calibri"/>
          <w:bCs/>
        </w:rPr>
        <w:t>,</w:t>
      </w:r>
      <w:r w:rsidR="005A084D">
        <w:rPr>
          <w:rFonts w:eastAsia="Calibri"/>
          <w:bCs/>
        </w:rPr>
        <w:t xml:space="preserve"> and</w:t>
      </w:r>
      <w:r>
        <w:rPr>
          <w:rFonts w:eastAsia="Calibri"/>
          <w:bCs/>
        </w:rPr>
        <w:t xml:space="preserve"> working in a target-</w:t>
      </w:r>
      <w:r w:rsidR="005A084D">
        <w:rPr>
          <w:rFonts w:eastAsia="Calibri"/>
          <w:bCs/>
        </w:rPr>
        <w:t>driven role (</w:t>
      </w:r>
      <w:r w:rsidR="005A084D" w:rsidRPr="00DE79F6">
        <w:rPr>
          <w:rFonts w:eastAsia="Calibri"/>
          <w:bCs/>
          <w:i/>
        </w:rPr>
        <w:t>c.f.</w:t>
      </w:r>
      <w:r w:rsidR="005A084D">
        <w:rPr>
          <w:rFonts w:eastAsia="Calibri"/>
          <w:bCs/>
        </w:rPr>
        <w:t xml:space="preserve"> Grant, 2013). </w:t>
      </w:r>
      <w:r>
        <w:rPr>
          <w:rFonts w:eastAsia="Calibri"/>
          <w:bCs/>
        </w:rPr>
        <w:t>ESA advisers</w:t>
      </w:r>
      <w:r w:rsidRPr="00DE0B12">
        <w:rPr>
          <w:rFonts w:eastAsia="Calibri"/>
          <w:bCs/>
        </w:rPr>
        <w:t xml:space="preserve"> </w:t>
      </w:r>
      <w:r w:rsidR="005A084D">
        <w:rPr>
          <w:rFonts w:eastAsia="Calibri"/>
          <w:bCs/>
        </w:rPr>
        <w:t xml:space="preserve">were </w:t>
      </w:r>
      <w:r w:rsidR="00DE79F6">
        <w:rPr>
          <w:rFonts w:eastAsia="Calibri"/>
          <w:bCs/>
        </w:rPr>
        <w:t>expected to place two</w:t>
      </w:r>
      <w:r w:rsidRPr="00DE0B12">
        <w:rPr>
          <w:rFonts w:eastAsia="Calibri"/>
          <w:bCs/>
        </w:rPr>
        <w:t xml:space="preserve"> participants per mon</w:t>
      </w:r>
      <w:r w:rsidR="00DE79F6">
        <w:rPr>
          <w:rFonts w:eastAsia="Calibri"/>
          <w:bCs/>
        </w:rPr>
        <w:t xml:space="preserve">th into </w:t>
      </w:r>
      <w:r w:rsidR="00DE79F6">
        <w:rPr>
          <w:rFonts w:eastAsia="Calibri"/>
          <w:bCs/>
        </w:rPr>
        <w:lastRenderedPageBreak/>
        <w:t>work, and JSA advisers six</w:t>
      </w:r>
      <w:r w:rsidRPr="00DE0B12">
        <w:rPr>
          <w:rFonts w:eastAsia="Calibri"/>
          <w:bCs/>
        </w:rPr>
        <w:t>.</w:t>
      </w:r>
      <w:r>
        <w:rPr>
          <w:rFonts w:eastAsia="Calibri"/>
          <w:bCs/>
        </w:rPr>
        <w:t xml:space="preserve"> This was </w:t>
      </w:r>
      <w:r w:rsidR="00DE79F6">
        <w:rPr>
          <w:rFonts w:eastAsia="Calibri"/>
          <w:bCs/>
        </w:rPr>
        <w:t>high-pressure</w:t>
      </w:r>
      <w:r>
        <w:rPr>
          <w:rFonts w:eastAsia="Calibri"/>
          <w:bCs/>
        </w:rPr>
        <w:t xml:space="preserve"> work. </w:t>
      </w:r>
      <w:r w:rsidRPr="00EC18B6">
        <w:rPr>
          <w:rFonts w:eastAsia="Calibri"/>
          <w:bCs/>
        </w:rPr>
        <w:t>As ‘Jacqui’ put it: “I don’t think anyone could work in this industry long-term now. The stress is too high. The targeting is too high compared to the customer base and the job market.” Several staff described, in so many words, the treatment by management of</w:t>
      </w:r>
      <w:r w:rsidR="005A084D">
        <w:rPr>
          <w:rFonts w:eastAsia="Calibri"/>
          <w:bCs/>
        </w:rPr>
        <w:t xml:space="preserve"> those who failed to achieve their</w:t>
      </w:r>
      <w:r w:rsidRPr="00EC18B6">
        <w:rPr>
          <w:rFonts w:eastAsia="Calibri"/>
          <w:bCs/>
        </w:rPr>
        <w:t xml:space="preserve"> targets as outright bullying.</w:t>
      </w:r>
      <w:r>
        <w:rPr>
          <w:rFonts w:eastAsia="Calibri"/>
          <w:bCs/>
        </w:rPr>
        <w:t xml:space="preserve"> </w:t>
      </w:r>
      <w:r w:rsidRPr="00DE0B12">
        <w:rPr>
          <w:rFonts w:eastAsia="Calibri"/>
          <w:bCs/>
        </w:rPr>
        <w:t xml:space="preserve">Moreover, </w:t>
      </w:r>
      <w:r>
        <w:rPr>
          <w:rFonts w:eastAsia="Calibri"/>
          <w:bCs/>
        </w:rPr>
        <w:t xml:space="preserve">new additions to </w:t>
      </w:r>
      <w:r w:rsidRPr="00DE0B12">
        <w:rPr>
          <w:rFonts w:eastAsia="Calibri"/>
          <w:bCs/>
        </w:rPr>
        <w:t xml:space="preserve">the caseloads were gradually falling due to most </w:t>
      </w:r>
      <w:r>
        <w:rPr>
          <w:rFonts w:eastAsia="Calibri"/>
          <w:bCs/>
        </w:rPr>
        <w:t xml:space="preserve">eligible </w:t>
      </w:r>
      <w:r w:rsidRPr="00DE0B12">
        <w:rPr>
          <w:rFonts w:eastAsia="Calibri"/>
          <w:bCs/>
        </w:rPr>
        <w:t xml:space="preserve">long-term unemployed </w:t>
      </w:r>
      <w:r w:rsidR="00DE79F6">
        <w:rPr>
          <w:rFonts w:eastAsia="Calibri"/>
          <w:bCs/>
        </w:rPr>
        <w:t xml:space="preserve">people </w:t>
      </w:r>
      <w:r w:rsidRPr="00DE0B12">
        <w:rPr>
          <w:rFonts w:eastAsia="Calibri"/>
          <w:bCs/>
        </w:rPr>
        <w:t xml:space="preserve">already being on the programme. According to staff, this meant an increasing ratio of unemployable to employable </w:t>
      </w:r>
      <w:r>
        <w:rPr>
          <w:rFonts w:eastAsia="Calibri"/>
          <w:bCs/>
        </w:rPr>
        <w:t>participants</w:t>
      </w:r>
      <w:r w:rsidRPr="00DE0B12">
        <w:rPr>
          <w:rFonts w:eastAsia="Calibri"/>
          <w:bCs/>
        </w:rPr>
        <w:t xml:space="preserve"> </w:t>
      </w:r>
      <w:r w:rsidR="005A084D">
        <w:rPr>
          <w:rFonts w:eastAsia="Calibri"/>
          <w:bCs/>
        </w:rPr>
        <w:t>in their caseloads; ‘e</w:t>
      </w:r>
      <w:r w:rsidRPr="00DE0B12">
        <w:rPr>
          <w:rFonts w:eastAsia="Calibri"/>
          <w:bCs/>
        </w:rPr>
        <w:t>mployable’</w:t>
      </w:r>
      <w:r>
        <w:rPr>
          <w:rFonts w:eastAsia="Calibri"/>
          <w:bCs/>
        </w:rPr>
        <w:t xml:space="preserve"> </w:t>
      </w:r>
      <w:r w:rsidRPr="00DE0B12">
        <w:rPr>
          <w:rFonts w:eastAsia="Calibri"/>
          <w:bCs/>
        </w:rPr>
        <w:t xml:space="preserve">meaning that they were highly likely to find </w:t>
      </w:r>
      <w:r>
        <w:rPr>
          <w:rFonts w:eastAsia="Calibri"/>
          <w:bCs/>
        </w:rPr>
        <w:t>work on their own. Given this managerial pressure (</w:t>
      </w:r>
      <w:r w:rsidRPr="00DE79F6">
        <w:rPr>
          <w:rFonts w:eastAsia="Calibri"/>
          <w:bCs/>
          <w:i/>
        </w:rPr>
        <w:t>c.f.</w:t>
      </w:r>
      <w:r>
        <w:rPr>
          <w:rFonts w:eastAsia="Calibri"/>
          <w:bCs/>
        </w:rPr>
        <w:t xml:space="preserve"> Grant, 2013), it is understandable that staff might come to feel, and articulate, negative feelings towards ‘customers’ who they felt could be doing much more to get back into work. </w:t>
      </w:r>
      <w:r w:rsidR="00A27A07">
        <w:rPr>
          <w:rFonts w:eastAsia="Calibri"/>
          <w:bCs/>
        </w:rPr>
        <w:t xml:space="preserve">Personal interest, in other words, might be a more plausible cause of emotionally held views than </w:t>
      </w:r>
      <w:r w:rsidR="00DE79F6">
        <w:rPr>
          <w:rFonts w:eastAsia="Calibri"/>
          <w:bCs/>
        </w:rPr>
        <w:t>‘diffuse governmentalities’</w:t>
      </w:r>
      <w:r w:rsidR="00A27A07">
        <w:rPr>
          <w:rFonts w:eastAsia="Calibri"/>
          <w:bCs/>
        </w:rPr>
        <w:t xml:space="preserve">. This could </w:t>
      </w:r>
      <w:r w:rsidR="00DE79F6">
        <w:rPr>
          <w:rFonts w:eastAsia="Calibri"/>
          <w:bCs/>
        </w:rPr>
        <w:t xml:space="preserve">also </w:t>
      </w:r>
      <w:r w:rsidR="00A27A07">
        <w:rPr>
          <w:rFonts w:eastAsia="Calibri"/>
          <w:bCs/>
        </w:rPr>
        <w:t>partially problematise conclusions such as Dunn’s (2014) claim</w:t>
      </w:r>
      <w:r w:rsidR="00A27A07" w:rsidRPr="00A27A07">
        <w:rPr>
          <w:rFonts w:eastAsia="Calibri"/>
          <w:bCs/>
        </w:rPr>
        <w:t xml:space="preserve"> </w:t>
      </w:r>
      <w:r w:rsidR="00A27A07">
        <w:rPr>
          <w:rFonts w:eastAsia="Calibri"/>
          <w:bCs/>
        </w:rPr>
        <w:t xml:space="preserve">that WP attendees were too ‘choosy’ in refusing employment, which is based on administrator </w:t>
      </w:r>
      <w:r w:rsidR="008F56AE">
        <w:rPr>
          <w:rFonts w:eastAsia="Calibri"/>
          <w:bCs/>
        </w:rPr>
        <w:t xml:space="preserve">testimony, </w:t>
      </w:r>
      <w:proofErr w:type="gramStart"/>
      <w:r w:rsidR="008F56AE">
        <w:rPr>
          <w:rFonts w:eastAsia="Calibri"/>
          <w:bCs/>
        </w:rPr>
        <w:t xml:space="preserve">and </w:t>
      </w:r>
      <w:r w:rsidR="00B3423E">
        <w:rPr>
          <w:rFonts w:eastAsia="Calibri"/>
          <w:bCs/>
        </w:rPr>
        <w:t>also</w:t>
      </w:r>
      <w:proofErr w:type="gramEnd"/>
      <w:r w:rsidR="00B3423E">
        <w:rPr>
          <w:rFonts w:eastAsia="Calibri"/>
          <w:bCs/>
        </w:rPr>
        <w:t xml:space="preserve"> </w:t>
      </w:r>
      <w:r w:rsidR="008F56AE">
        <w:rPr>
          <w:rFonts w:eastAsia="Calibri"/>
          <w:bCs/>
        </w:rPr>
        <w:t>Perkins’ (2016) claim that some welfare claimants have a scientifically detectable, partially genetically encoded, ‘disagreeable personality’. A great deal depends on who does the ‘detecting’</w:t>
      </w:r>
      <w:r w:rsidR="000821D3">
        <w:rPr>
          <w:rFonts w:eastAsia="Calibri"/>
          <w:bCs/>
        </w:rPr>
        <w:t xml:space="preserve">, and what might be influencing </w:t>
      </w:r>
      <w:r w:rsidR="000821D3" w:rsidRPr="001216F2">
        <w:rPr>
          <w:rFonts w:eastAsia="Calibri"/>
          <w:bCs/>
        </w:rPr>
        <w:t>their</w:t>
      </w:r>
      <w:r w:rsidR="000821D3">
        <w:rPr>
          <w:rFonts w:eastAsia="Calibri"/>
          <w:bCs/>
          <w:i/>
        </w:rPr>
        <w:t xml:space="preserve"> </w:t>
      </w:r>
      <w:r w:rsidR="001216F2">
        <w:rPr>
          <w:rFonts w:eastAsia="Calibri"/>
          <w:bCs/>
        </w:rPr>
        <w:t>perceptions</w:t>
      </w:r>
      <w:r w:rsidR="00B3423E">
        <w:rPr>
          <w:rFonts w:eastAsia="Calibri"/>
          <w:bCs/>
        </w:rPr>
        <w:t xml:space="preserve"> and emotions</w:t>
      </w:r>
      <w:r w:rsidR="000821D3">
        <w:rPr>
          <w:rFonts w:eastAsia="Calibri"/>
          <w:bCs/>
        </w:rPr>
        <w:t xml:space="preserve">. </w:t>
      </w:r>
    </w:p>
    <w:p w:rsidR="0076118A" w:rsidRPr="00340B51" w:rsidRDefault="0076118A" w:rsidP="0076118A">
      <w:pPr>
        <w:spacing w:after="0" w:line="360" w:lineRule="auto"/>
        <w:ind w:firstLine="720"/>
        <w:jc w:val="both"/>
        <w:rPr>
          <w:rFonts w:eastAsia="Calibri"/>
        </w:rPr>
      </w:pPr>
      <w:r>
        <w:rPr>
          <w:rFonts w:eastAsia="Calibri"/>
          <w:bCs/>
        </w:rPr>
        <w:t xml:space="preserve">However, this is </w:t>
      </w:r>
      <w:r w:rsidR="000821D3">
        <w:rPr>
          <w:rFonts w:eastAsia="Calibri"/>
          <w:bCs/>
        </w:rPr>
        <w:t xml:space="preserve">still </w:t>
      </w:r>
      <w:r>
        <w:rPr>
          <w:rFonts w:eastAsia="Calibri"/>
          <w:bCs/>
        </w:rPr>
        <w:t xml:space="preserve">not </w:t>
      </w:r>
      <w:r w:rsidR="000821D3">
        <w:rPr>
          <w:rFonts w:eastAsia="Calibri"/>
          <w:bCs/>
        </w:rPr>
        <w:t>sufficient</w:t>
      </w:r>
      <w:r>
        <w:rPr>
          <w:rFonts w:eastAsia="Calibri"/>
          <w:bCs/>
        </w:rPr>
        <w:t xml:space="preserve"> to explain why </w:t>
      </w:r>
      <w:r w:rsidR="001216F2">
        <w:rPr>
          <w:rFonts w:eastAsia="Calibri"/>
          <w:bCs/>
        </w:rPr>
        <w:t xml:space="preserve">most </w:t>
      </w:r>
      <w:r>
        <w:rPr>
          <w:rFonts w:eastAsia="Calibri"/>
          <w:bCs/>
        </w:rPr>
        <w:t xml:space="preserve">staff strongly supported notions of a widespread, benefit-dependent underclass. </w:t>
      </w:r>
      <w:r w:rsidR="000821D3">
        <w:rPr>
          <w:rFonts w:eastAsia="Calibri"/>
        </w:rPr>
        <w:t>A key insight here</w:t>
      </w:r>
      <w:r>
        <w:rPr>
          <w:rFonts w:eastAsia="Calibri"/>
        </w:rPr>
        <w:t xml:space="preserve"> is that staff were not one-dimensional in their understanding of this concept. B</w:t>
      </w:r>
      <w:r w:rsidR="000821D3">
        <w:rPr>
          <w:rFonts w:eastAsia="Calibri"/>
        </w:rPr>
        <w:t>elief in a</w:t>
      </w:r>
      <w:r w:rsidRPr="00340B51">
        <w:rPr>
          <w:rFonts w:eastAsia="Calibri"/>
        </w:rPr>
        <w:t xml:space="preserve"> dependency culture did not imply any </w:t>
      </w:r>
      <w:r w:rsidRPr="00340B51">
        <w:rPr>
          <w:rFonts w:eastAsia="Calibri"/>
          <w:i/>
        </w:rPr>
        <w:t xml:space="preserve">de facto </w:t>
      </w:r>
      <w:r w:rsidRPr="00340B51">
        <w:rPr>
          <w:rFonts w:eastAsia="Calibri"/>
        </w:rPr>
        <w:t>staff belief that every claimant was idle or anti-social. Rather, the ‘dependency culture’ was generally conceived of as the overall ‘customer base’</w:t>
      </w:r>
      <w:r w:rsidR="001216F2">
        <w:rPr>
          <w:rFonts w:eastAsia="Calibri"/>
        </w:rPr>
        <w:t>,</w:t>
      </w:r>
      <w:r w:rsidRPr="00340B51">
        <w:rPr>
          <w:rFonts w:eastAsia="Calibri"/>
        </w:rPr>
        <w:t xml:space="preserve"> which was ‘dysfunctional’ </w:t>
      </w:r>
      <w:proofErr w:type="gramStart"/>
      <w:r w:rsidRPr="00340B51">
        <w:rPr>
          <w:rFonts w:eastAsia="Calibri"/>
        </w:rPr>
        <w:t xml:space="preserve">by definition </w:t>
      </w:r>
      <w:r w:rsidRPr="00340B51">
        <w:rPr>
          <w:rFonts w:eastAsia="Calibri"/>
          <w:i/>
        </w:rPr>
        <w:t>because</w:t>
      </w:r>
      <w:proofErr w:type="gramEnd"/>
      <w:r w:rsidRPr="00340B51">
        <w:rPr>
          <w:rFonts w:eastAsia="Calibri"/>
        </w:rPr>
        <w:t xml:space="preserve"> its members were on the WP, but by no means as necessarily </w:t>
      </w:r>
      <w:r w:rsidRPr="00340B51">
        <w:rPr>
          <w:rFonts w:eastAsia="Calibri"/>
          <w:i/>
        </w:rPr>
        <w:t>idle</w:t>
      </w:r>
      <w:r w:rsidRPr="00340B51">
        <w:rPr>
          <w:rFonts w:eastAsia="Calibri"/>
        </w:rPr>
        <w:t xml:space="preserve"> by definition:</w:t>
      </w:r>
    </w:p>
    <w:p w:rsidR="0076118A" w:rsidRPr="00340B51" w:rsidRDefault="0076118A" w:rsidP="0076118A">
      <w:pPr>
        <w:spacing w:after="0" w:line="360" w:lineRule="auto"/>
        <w:jc w:val="both"/>
        <w:rPr>
          <w:rFonts w:eastAsia="Calibri"/>
        </w:rPr>
      </w:pPr>
    </w:p>
    <w:p w:rsidR="0076118A" w:rsidRPr="00340B51" w:rsidRDefault="0076118A" w:rsidP="0076118A">
      <w:pPr>
        <w:spacing w:after="0" w:line="240" w:lineRule="auto"/>
        <w:ind w:left="1134"/>
        <w:jc w:val="both"/>
        <w:rPr>
          <w:rFonts w:eastAsia="Calibri"/>
        </w:rPr>
      </w:pPr>
      <w:r w:rsidRPr="00340B51">
        <w:rPr>
          <w:rFonts w:eastAsia="Calibri"/>
        </w:rPr>
        <w:t xml:space="preserve">I mean, basically, it’s dysfunctional individuals, isn’t it? It’s not just not having a job. That’s the situation but there’s reasons why a lot of them are unemployed and some of the reasons are like… I think wow, how have they managed to get this far without someone holding their hand? But </w:t>
      </w:r>
      <w:proofErr w:type="gramStart"/>
      <w:r w:rsidRPr="00340B51">
        <w:rPr>
          <w:rFonts w:eastAsia="Calibri"/>
        </w:rPr>
        <w:t>of course</w:t>
      </w:r>
      <w:proofErr w:type="gramEnd"/>
      <w:r w:rsidRPr="00340B51">
        <w:rPr>
          <w:rFonts w:eastAsia="Calibri"/>
        </w:rPr>
        <w:t xml:space="preserve"> that’s exactly why they’ve ended up here, isn’t it? (‘Jacqui’)</w:t>
      </w:r>
    </w:p>
    <w:p w:rsidR="0076118A" w:rsidRDefault="0076118A" w:rsidP="0076118A">
      <w:pPr>
        <w:spacing w:after="0" w:line="360" w:lineRule="auto"/>
        <w:contextualSpacing/>
        <w:jc w:val="both"/>
        <w:rPr>
          <w:rFonts w:eastAsia="Calibri"/>
          <w:bCs/>
        </w:rPr>
      </w:pPr>
    </w:p>
    <w:p w:rsidR="0076118A" w:rsidRDefault="000821D3" w:rsidP="001216F2">
      <w:pPr>
        <w:pStyle w:val="ListParagraph1"/>
        <w:spacing w:after="0" w:line="360" w:lineRule="auto"/>
        <w:ind w:left="0" w:firstLine="720"/>
        <w:jc w:val="both"/>
        <w:rPr>
          <w:rFonts w:eastAsia="Calibri"/>
          <w:bCs/>
        </w:rPr>
      </w:pPr>
      <w:r>
        <w:rPr>
          <w:rFonts w:eastAsia="Calibri"/>
          <w:bCs/>
        </w:rPr>
        <w:t>Another</w:t>
      </w:r>
      <w:r w:rsidR="0076118A">
        <w:rPr>
          <w:rFonts w:eastAsia="Calibri"/>
          <w:bCs/>
        </w:rPr>
        <w:t xml:space="preserve"> important </w:t>
      </w:r>
      <w:r>
        <w:rPr>
          <w:rFonts w:eastAsia="Calibri"/>
          <w:bCs/>
        </w:rPr>
        <w:t>factor</w:t>
      </w:r>
      <w:r w:rsidR="0076118A">
        <w:rPr>
          <w:rFonts w:eastAsia="Calibri"/>
          <w:bCs/>
        </w:rPr>
        <w:t xml:space="preserve"> may be the rate and type of interactive flow between staff and participants (</w:t>
      </w:r>
      <w:r w:rsidR="0076118A" w:rsidRPr="000821D3">
        <w:rPr>
          <w:rFonts w:eastAsia="Calibri"/>
          <w:bCs/>
          <w:i/>
        </w:rPr>
        <w:t>c.f.</w:t>
      </w:r>
      <w:r w:rsidR="0076118A">
        <w:rPr>
          <w:rFonts w:eastAsia="Calibri"/>
          <w:bCs/>
        </w:rPr>
        <w:t xml:space="preserve"> Newton, </w:t>
      </w:r>
      <w:r w:rsidR="0076118A" w:rsidRPr="000821D3">
        <w:rPr>
          <w:rFonts w:eastAsia="Calibri"/>
          <w:bCs/>
          <w:i/>
        </w:rPr>
        <w:t>et al</w:t>
      </w:r>
      <w:r>
        <w:rPr>
          <w:rFonts w:eastAsia="Calibri"/>
          <w:bCs/>
          <w:i/>
        </w:rPr>
        <w:t>.</w:t>
      </w:r>
      <w:r w:rsidR="0076118A">
        <w:rPr>
          <w:rFonts w:eastAsia="Calibri"/>
          <w:bCs/>
        </w:rPr>
        <w:t>, 2012). While individual participants were rarely in</w:t>
      </w:r>
      <w:r w:rsidR="003D1D8D">
        <w:rPr>
          <w:rFonts w:eastAsia="Calibri"/>
          <w:bCs/>
        </w:rPr>
        <w:t xml:space="preserve"> a</w:t>
      </w:r>
      <w:r w:rsidR="0076118A">
        <w:rPr>
          <w:rFonts w:eastAsia="Calibri"/>
          <w:bCs/>
        </w:rPr>
        <w:t xml:space="preserve"> centre, the flow of participants into the centres was relentless for each </w:t>
      </w:r>
      <w:r w:rsidR="001216F2">
        <w:rPr>
          <w:rFonts w:eastAsia="Calibri"/>
          <w:bCs/>
        </w:rPr>
        <w:t>caseworker</w:t>
      </w:r>
      <w:r w:rsidR="0076118A">
        <w:rPr>
          <w:rFonts w:eastAsia="Calibri"/>
          <w:bCs/>
        </w:rPr>
        <w:t>. Many participants had genuine problems with health, po</w:t>
      </w:r>
      <w:r>
        <w:rPr>
          <w:rFonts w:eastAsia="Calibri"/>
          <w:bCs/>
        </w:rPr>
        <w:t>verty, feeling down or debt, while</w:t>
      </w:r>
      <w:r w:rsidR="0076118A">
        <w:rPr>
          <w:rFonts w:eastAsia="Calibri"/>
          <w:bCs/>
        </w:rPr>
        <w:t xml:space="preserve"> a minority had mental </w:t>
      </w:r>
      <w:r w:rsidR="0076118A">
        <w:rPr>
          <w:rFonts w:eastAsia="Calibri"/>
          <w:bCs/>
        </w:rPr>
        <w:lastRenderedPageBreak/>
        <w:t>health or addic</w:t>
      </w:r>
      <w:r w:rsidR="001216F2">
        <w:rPr>
          <w:rFonts w:eastAsia="Calibri"/>
          <w:bCs/>
        </w:rPr>
        <w:t>tion problems. Participants became ‘them’ to staff;</w:t>
      </w:r>
      <w:r w:rsidR="0076118A">
        <w:rPr>
          <w:rFonts w:eastAsia="Calibri"/>
          <w:bCs/>
        </w:rPr>
        <w:t xml:space="preserve"> </w:t>
      </w:r>
      <w:r w:rsidR="00B3423E">
        <w:rPr>
          <w:rFonts w:eastAsia="Calibri"/>
          <w:bCs/>
        </w:rPr>
        <w:t>a largely homogenous</w:t>
      </w:r>
      <w:r w:rsidR="0076118A">
        <w:rPr>
          <w:rFonts w:eastAsia="Calibri"/>
          <w:bCs/>
        </w:rPr>
        <w:t xml:space="preserve"> group entity, with </w:t>
      </w:r>
      <w:r w:rsidR="00B3423E">
        <w:rPr>
          <w:rFonts w:eastAsia="Calibri"/>
          <w:bCs/>
        </w:rPr>
        <w:t xml:space="preserve">some </w:t>
      </w:r>
      <w:r w:rsidR="0076118A">
        <w:rPr>
          <w:rFonts w:eastAsia="Calibri"/>
          <w:bCs/>
        </w:rPr>
        <w:t>individuals coming to represent the whole</w:t>
      </w:r>
      <w:r w:rsidR="00913C4D">
        <w:rPr>
          <w:rFonts w:eastAsia="Calibri"/>
          <w:bCs/>
        </w:rPr>
        <w:t xml:space="preserve">; and conversely, one or two ‘exceptional’ individuals who represented ‘gumption’ and self-efficacy, who were </w:t>
      </w:r>
      <w:proofErr w:type="gramStart"/>
      <w:r w:rsidR="00913C4D">
        <w:rPr>
          <w:rFonts w:eastAsia="Calibri"/>
          <w:bCs/>
        </w:rPr>
        <w:t>rare by definition</w:t>
      </w:r>
      <w:proofErr w:type="gramEnd"/>
      <w:r w:rsidR="0076118A">
        <w:rPr>
          <w:rFonts w:eastAsia="Calibri"/>
          <w:bCs/>
        </w:rPr>
        <w:t xml:space="preserve">. </w:t>
      </w:r>
      <w:r w:rsidR="0076118A" w:rsidRPr="00340B51">
        <w:rPr>
          <w:rFonts w:eastAsia="Calibri"/>
          <w:bCs/>
        </w:rPr>
        <w:t xml:space="preserve">Moments of group-belief reinforcement </w:t>
      </w:r>
      <w:r w:rsidR="001216F2">
        <w:rPr>
          <w:rFonts w:eastAsia="Calibri"/>
          <w:bCs/>
        </w:rPr>
        <w:t xml:space="preserve">in this regard </w:t>
      </w:r>
      <w:r w:rsidR="0076118A" w:rsidRPr="00340B51">
        <w:rPr>
          <w:rFonts w:eastAsia="Calibri"/>
          <w:bCs/>
        </w:rPr>
        <w:t>were observed regularly, usually following a ‘review’ interview with a particular</w:t>
      </w:r>
      <w:r w:rsidR="00913C4D">
        <w:rPr>
          <w:rFonts w:eastAsia="Calibri"/>
          <w:bCs/>
        </w:rPr>
        <w:t>ly ‘negative’</w:t>
      </w:r>
      <w:r w:rsidR="0076118A" w:rsidRPr="00340B51">
        <w:rPr>
          <w:rFonts w:eastAsia="Calibri"/>
          <w:bCs/>
        </w:rPr>
        <w:t xml:space="preserve"> </w:t>
      </w:r>
      <w:r w:rsidR="00913C4D">
        <w:rPr>
          <w:rFonts w:eastAsia="Calibri"/>
          <w:bCs/>
        </w:rPr>
        <w:t xml:space="preserve">(a staff keyword) </w:t>
      </w:r>
      <w:r w:rsidR="0076118A" w:rsidRPr="00340B51">
        <w:rPr>
          <w:rFonts w:eastAsia="Calibri"/>
          <w:bCs/>
        </w:rPr>
        <w:t>WP participant</w:t>
      </w:r>
      <w:r w:rsidR="001216F2">
        <w:rPr>
          <w:rFonts w:eastAsia="Calibri"/>
          <w:bCs/>
        </w:rPr>
        <w:t xml:space="preserve">. </w:t>
      </w:r>
      <w:r w:rsidR="0076118A" w:rsidRPr="00340B51">
        <w:rPr>
          <w:rFonts w:eastAsia="Calibri"/>
          <w:bCs/>
        </w:rPr>
        <w:t>In such cases</w:t>
      </w:r>
      <w:r w:rsidR="0076118A">
        <w:rPr>
          <w:rFonts w:eastAsia="Calibri"/>
          <w:bCs/>
        </w:rPr>
        <w:t>,</w:t>
      </w:r>
      <w:r w:rsidR="0076118A" w:rsidRPr="00340B51">
        <w:rPr>
          <w:rFonts w:eastAsia="Calibri"/>
          <w:bCs/>
        </w:rPr>
        <w:t xml:space="preserve"> a staff member would discuss a participant’s alleged idleness, intransige</w:t>
      </w:r>
      <w:r w:rsidR="001216F2">
        <w:rPr>
          <w:rFonts w:eastAsia="Calibri"/>
          <w:bCs/>
        </w:rPr>
        <w:t>nce or ‘bad attitude’</w:t>
      </w:r>
      <w:r w:rsidR="0076118A" w:rsidRPr="00340B51">
        <w:rPr>
          <w:rFonts w:eastAsia="Calibri"/>
          <w:bCs/>
        </w:rPr>
        <w:t xml:space="preserve"> using words that pluralised individuals into broader generalisations</w:t>
      </w:r>
      <w:r w:rsidR="0076118A">
        <w:rPr>
          <w:rFonts w:eastAsia="Calibri"/>
          <w:bCs/>
        </w:rPr>
        <w:t xml:space="preserve">, such </w:t>
      </w:r>
      <w:r w:rsidR="00913C4D">
        <w:rPr>
          <w:rFonts w:eastAsia="Calibri"/>
          <w:bCs/>
        </w:rPr>
        <w:t>as</w:t>
      </w:r>
      <w:r w:rsidR="0076118A" w:rsidRPr="00340B51">
        <w:rPr>
          <w:rFonts w:eastAsia="Calibri"/>
          <w:bCs/>
        </w:rPr>
        <w:t xml:space="preserve"> “typical skiver” or “More of the usual excuses”. </w:t>
      </w:r>
    </w:p>
    <w:p w:rsidR="0076118A" w:rsidRPr="00352DBF" w:rsidRDefault="000821D3" w:rsidP="0076118A">
      <w:pPr>
        <w:pStyle w:val="ListParagraph"/>
        <w:spacing w:after="0" w:line="360" w:lineRule="auto"/>
        <w:ind w:left="0" w:firstLine="720"/>
        <w:jc w:val="both"/>
        <w:rPr>
          <w:rFonts w:eastAsia="Calibri"/>
          <w:bCs/>
        </w:rPr>
      </w:pPr>
      <w:r>
        <w:rPr>
          <w:rFonts w:eastAsia="Calibri"/>
          <w:bCs/>
        </w:rPr>
        <w:t xml:space="preserve">A second key issue might </w:t>
      </w:r>
      <w:r w:rsidR="00913C4D">
        <w:rPr>
          <w:rFonts w:eastAsia="Calibri"/>
          <w:bCs/>
        </w:rPr>
        <w:t>have been</w:t>
      </w:r>
      <w:r>
        <w:rPr>
          <w:rFonts w:eastAsia="Calibri"/>
          <w:bCs/>
        </w:rPr>
        <w:t xml:space="preserve"> the </w:t>
      </w:r>
      <w:r w:rsidR="0076118A">
        <w:rPr>
          <w:rFonts w:eastAsia="Calibri"/>
          <w:bCs/>
        </w:rPr>
        <w:t xml:space="preserve">inability of staff to provide any real help. Most caseworker interviews were ‘chats’ about the participants’ lives, problems, health etc. In the </w:t>
      </w:r>
      <w:proofErr w:type="gramStart"/>
      <w:r w:rsidR="0076118A">
        <w:rPr>
          <w:rFonts w:eastAsia="Calibri"/>
          <w:bCs/>
        </w:rPr>
        <w:t>vast majority</w:t>
      </w:r>
      <w:proofErr w:type="gramEnd"/>
      <w:r w:rsidR="0076118A">
        <w:rPr>
          <w:rFonts w:eastAsia="Calibri"/>
          <w:bCs/>
        </w:rPr>
        <w:t xml:space="preserve"> of cases, beyond CV writing and basic skills training (e.g. setting up an email or</w:t>
      </w:r>
      <w:r w:rsidR="001216F2">
        <w:rPr>
          <w:rFonts w:eastAsia="Calibri"/>
          <w:bCs/>
        </w:rPr>
        <w:t xml:space="preserve"> advice on</w:t>
      </w:r>
      <w:r w:rsidR="0076118A">
        <w:rPr>
          <w:rFonts w:eastAsia="Calibri"/>
          <w:bCs/>
        </w:rPr>
        <w:t xml:space="preserve"> interview techniques) staff could do nothing to help their caseloads (</w:t>
      </w:r>
      <w:r w:rsidR="0076118A" w:rsidRPr="000821D3">
        <w:rPr>
          <w:rFonts w:eastAsia="Calibri"/>
          <w:bCs/>
          <w:i/>
        </w:rPr>
        <w:t>c.f.</w:t>
      </w:r>
      <w:r w:rsidR="0076118A">
        <w:rPr>
          <w:rFonts w:eastAsia="Calibri"/>
          <w:bCs/>
        </w:rPr>
        <w:t xml:space="preserve"> </w:t>
      </w:r>
      <w:r w:rsidR="0076118A" w:rsidRPr="00061DD4">
        <w:rPr>
          <w:rFonts w:eastAsia="Calibri"/>
          <w:bCs/>
        </w:rPr>
        <w:t>Fuertes and Lindsay</w:t>
      </w:r>
      <w:r w:rsidR="0076118A">
        <w:rPr>
          <w:rFonts w:eastAsia="Calibri"/>
          <w:bCs/>
        </w:rPr>
        <w:t xml:space="preserve">, </w:t>
      </w:r>
      <w:r w:rsidR="0076118A" w:rsidRPr="00061DD4">
        <w:rPr>
          <w:rFonts w:eastAsia="Calibri"/>
          <w:bCs/>
        </w:rPr>
        <w:t>2015</w:t>
      </w:r>
      <w:r w:rsidR="0076118A">
        <w:rPr>
          <w:rFonts w:eastAsia="Calibri"/>
          <w:bCs/>
        </w:rPr>
        <w:t xml:space="preserve">). Staff knew this, and articulated it. </w:t>
      </w:r>
      <w:r w:rsidR="0076118A" w:rsidRPr="00352DBF">
        <w:rPr>
          <w:rFonts w:eastAsia="Calibri"/>
          <w:bCs/>
        </w:rPr>
        <w:t>E</w:t>
      </w:r>
      <w:r w:rsidR="0076118A">
        <w:rPr>
          <w:rFonts w:eastAsia="Calibri"/>
          <w:bCs/>
        </w:rPr>
        <w:t>ven for staff</w:t>
      </w:r>
      <w:r w:rsidR="0076118A" w:rsidRPr="00352DBF">
        <w:rPr>
          <w:rFonts w:eastAsia="Calibri"/>
          <w:bCs/>
        </w:rPr>
        <w:t xml:space="preserve"> who did reach their targets, these were so small compared to the size of the customer base that </w:t>
      </w:r>
      <w:r w:rsidR="0076118A" w:rsidRPr="000331CE">
        <w:rPr>
          <w:rFonts w:eastAsia="Calibri"/>
          <w:bCs/>
        </w:rPr>
        <w:t>any</w:t>
      </w:r>
      <w:r w:rsidR="0076118A" w:rsidRPr="00352DBF">
        <w:rPr>
          <w:rFonts w:eastAsia="Calibri"/>
          <w:bCs/>
        </w:rPr>
        <w:t xml:space="preserve"> sense of realistically altering long-term unemployment in the local areas was palpably</w:t>
      </w:r>
      <w:r w:rsidR="0076118A">
        <w:rPr>
          <w:rFonts w:eastAsia="Calibri"/>
          <w:bCs/>
        </w:rPr>
        <w:t xml:space="preserve"> absent from office</w:t>
      </w:r>
      <w:r w:rsidR="0076118A" w:rsidRPr="00352DBF">
        <w:rPr>
          <w:rFonts w:eastAsia="Calibri"/>
          <w:bCs/>
        </w:rPr>
        <w:t xml:space="preserve"> discussions. As one noted: “you’re getting it dented, you know, but that’s it.”</w:t>
      </w:r>
      <w:r w:rsidR="0076118A">
        <w:rPr>
          <w:rFonts w:eastAsia="Calibri"/>
          <w:bCs/>
        </w:rPr>
        <w:t xml:space="preserve"> It was useful for staff to view their ‘customers’ as part of a pathological underclass; it </w:t>
      </w:r>
      <w:r>
        <w:rPr>
          <w:rFonts w:eastAsia="Calibri"/>
          <w:bCs/>
        </w:rPr>
        <w:t xml:space="preserve">gave meaning to their own role </w:t>
      </w:r>
      <w:r w:rsidR="0076118A">
        <w:rPr>
          <w:rFonts w:eastAsia="Calibri"/>
          <w:bCs/>
        </w:rPr>
        <w:t xml:space="preserve">and made their failure as </w:t>
      </w:r>
      <w:r w:rsidR="001216F2">
        <w:rPr>
          <w:rFonts w:eastAsia="Calibri"/>
          <w:bCs/>
        </w:rPr>
        <w:t xml:space="preserve">‘job coaches’ seem inevitable. </w:t>
      </w:r>
      <w:r w:rsidR="00913C4D">
        <w:rPr>
          <w:rFonts w:eastAsia="Calibri"/>
          <w:bCs/>
        </w:rPr>
        <w:t>T</w:t>
      </w:r>
      <w:r w:rsidR="0076118A">
        <w:rPr>
          <w:rFonts w:eastAsia="Calibri"/>
          <w:bCs/>
        </w:rPr>
        <w:t xml:space="preserve">he defining feature of a </w:t>
      </w:r>
      <w:r w:rsidR="0076118A" w:rsidRPr="00352DBF">
        <w:rPr>
          <w:rFonts w:eastAsia="Calibri"/>
          <w:bCs/>
        </w:rPr>
        <w:t>pathological under</w:t>
      </w:r>
      <w:r w:rsidR="0076118A">
        <w:rPr>
          <w:rFonts w:eastAsia="Calibri"/>
          <w:bCs/>
        </w:rPr>
        <w:t>class</w:t>
      </w:r>
      <w:r w:rsidR="0076118A" w:rsidRPr="00352DBF">
        <w:rPr>
          <w:rFonts w:eastAsia="Calibri"/>
          <w:bCs/>
        </w:rPr>
        <w:t xml:space="preserve">, at least as a theoretical entity, is that it </w:t>
      </w:r>
      <w:r w:rsidR="0076118A" w:rsidRPr="00352DBF">
        <w:rPr>
          <w:rFonts w:eastAsia="Calibri"/>
          <w:bCs/>
          <w:i/>
        </w:rPr>
        <w:t xml:space="preserve">is </w:t>
      </w:r>
      <w:r w:rsidR="001216F2">
        <w:rPr>
          <w:rFonts w:eastAsia="Calibri"/>
          <w:bCs/>
        </w:rPr>
        <w:t xml:space="preserve">pathological: i.e. </w:t>
      </w:r>
      <w:r w:rsidR="0076118A" w:rsidRPr="00352DBF">
        <w:rPr>
          <w:rFonts w:eastAsia="Calibri"/>
          <w:bCs/>
        </w:rPr>
        <w:t>intransigent and chronic. As ‘Cormac’ put it: “If I went around to all the providers around here I can guarantee you I’ll see the same faces I saw te</w:t>
      </w:r>
      <w:r w:rsidR="001216F2">
        <w:rPr>
          <w:rFonts w:eastAsia="Calibri"/>
          <w:bCs/>
        </w:rPr>
        <w:t>n years ago, or over the years.</w:t>
      </w:r>
      <w:r w:rsidR="0076118A" w:rsidRPr="00352DBF">
        <w:rPr>
          <w:rFonts w:eastAsia="Calibri"/>
          <w:bCs/>
        </w:rPr>
        <w:t xml:space="preserve"> It’s just the nature of the beast,” adding on another </w:t>
      </w:r>
      <w:r w:rsidR="001216F2" w:rsidRPr="00352DBF">
        <w:rPr>
          <w:rFonts w:eastAsia="Calibri"/>
          <w:bCs/>
        </w:rPr>
        <w:t>day</w:t>
      </w:r>
      <w:r w:rsidR="001216F2">
        <w:rPr>
          <w:rFonts w:eastAsia="Calibri"/>
          <w:bCs/>
        </w:rPr>
        <w:t>:</w:t>
      </w:r>
      <w:r w:rsidR="0076118A" w:rsidRPr="00352DBF">
        <w:rPr>
          <w:rFonts w:eastAsia="Calibri"/>
          <w:bCs/>
        </w:rPr>
        <w:t xml:space="preserve"> “</w:t>
      </w:r>
      <w:r w:rsidR="0076118A" w:rsidRPr="00352DBF">
        <w:rPr>
          <w:rFonts w:eastAsia="Calibri"/>
        </w:rPr>
        <w:t>realistically speaking maybe there is no answer for this generation of claimants. It’s their way of life. But I think it’s important to send the message to the next generation that this isn’t an acceptable way of life for anyone.”</w:t>
      </w:r>
      <w:r w:rsidR="0076118A">
        <w:rPr>
          <w:rFonts w:eastAsia="Calibri"/>
        </w:rPr>
        <w:t xml:space="preserve"> B</w:t>
      </w:r>
      <w:r w:rsidR="0076118A" w:rsidRPr="00352DBF">
        <w:rPr>
          <w:rFonts w:eastAsia="Calibri"/>
        </w:rPr>
        <w:t>elief in a pathological underclass ma</w:t>
      </w:r>
      <w:r w:rsidR="0076118A">
        <w:rPr>
          <w:rFonts w:eastAsia="Calibri"/>
        </w:rPr>
        <w:t>de</w:t>
      </w:r>
      <w:r w:rsidR="0076118A" w:rsidRPr="00352DBF">
        <w:rPr>
          <w:rFonts w:eastAsia="Calibri"/>
        </w:rPr>
        <w:t xml:space="preserve"> poor employment outcomes seem inevitable, and more importantly, to be the fault of the participants and </w:t>
      </w:r>
      <w:r w:rsidR="0076118A" w:rsidRPr="00352DBF">
        <w:rPr>
          <w:rFonts w:eastAsia="Calibri"/>
          <w:i/>
        </w:rPr>
        <w:t>not</w:t>
      </w:r>
      <w:r w:rsidR="0076118A" w:rsidRPr="00352DBF">
        <w:rPr>
          <w:rFonts w:eastAsia="Calibri"/>
        </w:rPr>
        <w:t xml:space="preserve"> the staff. </w:t>
      </w:r>
      <w:r w:rsidR="0076118A">
        <w:rPr>
          <w:rFonts w:eastAsia="Calibri"/>
        </w:rPr>
        <w:t>Moreover, gi</w:t>
      </w:r>
      <w:r w:rsidR="001216F2">
        <w:rPr>
          <w:rFonts w:eastAsia="Calibri"/>
        </w:rPr>
        <w:t>ven that staff could only offer basic</w:t>
      </w:r>
      <w:r w:rsidR="0076118A">
        <w:rPr>
          <w:rFonts w:eastAsia="Calibri"/>
        </w:rPr>
        <w:t xml:space="preserve"> social support and signposting advice, it transformed this ‘soft outcome’ work into a positive</w:t>
      </w:r>
      <w:r>
        <w:rPr>
          <w:rFonts w:eastAsia="Calibri"/>
        </w:rPr>
        <w:t xml:space="preserve"> occupation</w:t>
      </w:r>
      <w:r w:rsidR="0076118A">
        <w:rPr>
          <w:rFonts w:eastAsia="Calibri"/>
        </w:rPr>
        <w:t xml:space="preserve">, despite it having little effect on employment outcomes. </w:t>
      </w:r>
      <w:r w:rsidR="0076118A" w:rsidRPr="00352DBF">
        <w:rPr>
          <w:rFonts w:eastAsia="Calibri"/>
        </w:rPr>
        <w:t xml:space="preserve">This perception had </w:t>
      </w:r>
      <w:proofErr w:type="gramStart"/>
      <w:r w:rsidR="0076118A" w:rsidRPr="00352DBF">
        <w:rPr>
          <w:rFonts w:eastAsia="Calibri"/>
        </w:rPr>
        <w:t>particular value</w:t>
      </w:r>
      <w:proofErr w:type="gramEnd"/>
      <w:r w:rsidR="0076118A" w:rsidRPr="00352DBF">
        <w:rPr>
          <w:rFonts w:eastAsia="Calibri"/>
        </w:rPr>
        <w:t xml:space="preserve"> i</w:t>
      </w:r>
      <w:r w:rsidR="0076118A">
        <w:rPr>
          <w:rFonts w:eastAsia="Calibri"/>
        </w:rPr>
        <w:t xml:space="preserve">n a </w:t>
      </w:r>
      <w:r w:rsidR="0076118A" w:rsidRPr="00352DBF">
        <w:rPr>
          <w:rFonts w:eastAsia="Calibri"/>
          <w:bCs/>
        </w:rPr>
        <w:t>stressful, managerialist and counter-productively target-driven</w:t>
      </w:r>
      <w:r w:rsidR="0076118A">
        <w:rPr>
          <w:rFonts w:eastAsia="Calibri"/>
          <w:bCs/>
        </w:rPr>
        <w:t xml:space="preserve"> environment (</w:t>
      </w:r>
      <w:r w:rsidR="0076118A" w:rsidRPr="000821D3">
        <w:rPr>
          <w:rFonts w:eastAsia="Calibri"/>
          <w:bCs/>
          <w:i/>
        </w:rPr>
        <w:t>c.f.</w:t>
      </w:r>
      <w:r w:rsidR="0076118A">
        <w:rPr>
          <w:rFonts w:eastAsia="Calibri"/>
          <w:bCs/>
        </w:rPr>
        <w:t xml:space="preserve"> Grant, 2013</w:t>
      </w:r>
      <w:r w:rsidR="001216F2">
        <w:rPr>
          <w:rFonts w:eastAsia="Calibri"/>
          <w:bCs/>
        </w:rPr>
        <w:t xml:space="preserve">; </w:t>
      </w:r>
      <w:r w:rsidR="001216F2" w:rsidRPr="001216F2">
        <w:rPr>
          <w:rFonts w:eastAsia="Calibri"/>
          <w:bCs/>
        </w:rPr>
        <w:t>Fuertes and Lindsay, 2015</w:t>
      </w:r>
      <w:r w:rsidR="0076118A">
        <w:rPr>
          <w:rFonts w:eastAsia="Calibri"/>
          <w:bCs/>
        </w:rPr>
        <w:t>). As</w:t>
      </w:r>
      <w:r w:rsidR="0076118A" w:rsidRPr="00352DBF">
        <w:rPr>
          <w:rFonts w:eastAsia="Calibri"/>
          <w:bCs/>
        </w:rPr>
        <w:t xml:space="preserve"> ‘</w:t>
      </w:r>
      <w:r w:rsidR="0076118A">
        <w:rPr>
          <w:rFonts w:eastAsia="Calibri"/>
          <w:bCs/>
        </w:rPr>
        <w:t>Pauline’ explained</w:t>
      </w:r>
      <w:r w:rsidR="0076118A" w:rsidRPr="00352DBF">
        <w:rPr>
          <w:rFonts w:eastAsia="Calibri"/>
          <w:bCs/>
        </w:rPr>
        <w:t>:</w:t>
      </w:r>
    </w:p>
    <w:p w:rsidR="0076118A" w:rsidRPr="00352DBF" w:rsidRDefault="0076118A" w:rsidP="0076118A">
      <w:pPr>
        <w:spacing w:after="0" w:line="360" w:lineRule="auto"/>
        <w:contextualSpacing/>
        <w:jc w:val="both"/>
        <w:rPr>
          <w:rFonts w:eastAsia="Calibri"/>
          <w:bCs/>
        </w:rPr>
      </w:pPr>
    </w:p>
    <w:p w:rsidR="0076118A" w:rsidRPr="00352DBF" w:rsidRDefault="0076118A" w:rsidP="0076118A">
      <w:pPr>
        <w:spacing w:after="0" w:line="240" w:lineRule="auto"/>
        <w:ind w:left="720"/>
        <w:contextualSpacing/>
        <w:jc w:val="both"/>
        <w:rPr>
          <w:rFonts w:eastAsia="Calibri"/>
          <w:bCs/>
        </w:rPr>
      </w:pPr>
      <w:r w:rsidRPr="00352DBF">
        <w:rPr>
          <w:rFonts w:eastAsia="Calibri"/>
          <w:bCs/>
        </w:rPr>
        <w:t xml:space="preserve">They [management] just want hard outcomes, jobs, but you’ve seen, you can’t do it. Like Philip, what can you do? He comes in, he’s got mental health problems. Half the year he’s homeless. I can’t just put him into a job even if there was one for him. </w:t>
      </w:r>
    </w:p>
    <w:p w:rsidR="0076118A" w:rsidRPr="00525C38" w:rsidRDefault="0076118A" w:rsidP="0076118A">
      <w:pPr>
        <w:spacing w:after="0" w:line="360" w:lineRule="auto"/>
        <w:ind w:firstLine="720"/>
        <w:contextualSpacing/>
        <w:jc w:val="both"/>
        <w:rPr>
          <w:rFonts w:eastAsia="Calibri"/>
          <w:bCs/>
        </w:rPr>
      </w:pPr>
    </w:p>
    <w:p w:rsidR="0076118A" w:rsidRDefault="0076118A" w:rsidP="000821D3">
      <w:pPr>
        <w:spacing w:line="360" w:lineRule="auto"/>
        <w:jc w:val="both"/>
      </w:pPr>
      <w:r>
        <w:lastRenderedPageBreak/>
        <w:tab/>
        <w:t xml:space="preserve">The </w:t>
      </w:r>
      <w:r w:rsidRPr="00680592">
        <w:rPr>
          <w:rFonts w:eastAsia="Calibri"/>
          <w:bCs/>
        </w:rPr>
        <w:t xml:space="preserve">WP itself was </w:t>
      </w:r>
      <w:r>
        <w:rPr>
          <w:rFonts w:eastAsia="Calibri"/>
          <w:bCs/>
        </w:rPr>
        <w:t>also broadly decried by staff as financially and</w:t>
      </w:r>
      <w:r w:rsidRPr="00680592">
        <w:rPr>
          <w:rFonts w:eastAsia="Calibri"/>
          <w:bCs/>
        </w:rPr>
        <w:t xml:space="preserve"> organisationally incapable of tackling long-term worklessness. Lack of funding for better participant training and job creation were the primary complaints. As ‘Anna’ put it: “</w:t>
      </w:r>
      <w:r w:rsidRPr="00680592">
        <w:rPr>
          <w:rFonts w:eastAsia="Calibri"/>
        </w:rPr>
        <w:t xml:space="preserve">I don’t think it’s [WP] ideal by any means. And I think intervention is only one part of the puzzle. There’s got to be opportunities and money available to get people into training to fill them.” The deflection of blame (not necessarily illegitimately) for minimal service outcomes onto the programme and/or the government, whilst simultaneously emphasising their own hard work </w:t>
      </w:r>
      <w:r w:rsidRPr="00680592">
        <w:rPr>
          <w:rFonts w:eastAsia="Calibri"/>
          <w:i/>
        </w:rPr>
        <w:t>despite</w:t>
      </w:r>
      <w:r w:rsidRPr="00680592">
        <w:rPr>
          <w:rFonts w:eastAsia="Calibri"/>
        </w:rPr>
        <w:t xml:space="preserve"> such lacks </w:t>
      </w:r>
      <w:r w:rsidRPr="00680592">
        <w:rPr>
          <w:rFonts w:eastAsia="Calibri"/>
          <w:i/>
        </w:rPr>
        <w:t>and</w:t>
      </w:r>
      <w:r w:rsidRPr="00680592">
        <w:rPr>
          <w:rFonts w:eastAsia="Calibri"/>
        </w:rPr>
        <w:t xml:space="preserve"> participant dysfunctions, was a noticeable element of the staff’s perspective</w:t>
      </w:r>
      <w:r w:rsidR="00941E97">
        <w:rPr>
          <w:rFonts w:eastAsia="Calibri"/>
        </w:rPr>
        <w:t xml:space="preserve"> (</w:t>
      </w:r>
      <w:r w:rsidR="00941E97">
        <w:rPr>
          <w:rFonts w:eastAsia="Calibri"/>
          <w:i/>
        </w:rPr>
        <w:t xml:space="preserve">c.f. </w:t>
      </w:r>
      <w:r w:rsidR="00941E97">
        <w:rPr>
          <w:rFonts w:eastAsia="Calibri"/>
        </w:rPr>
        <w:t xml:space="preserve">Rees </w:t>
      </w:r>
      <w:r w:rsidR="00941E97">
        <w:rPr>
          <w:rFonts w:eastAsia="Calibri"/>
          <w:i/>
        </w:rPr>
        <w:t>et al</w:t>
      </w:r>
      <w:r w:rsidR="00941E97">
        <w:rPr>
          <w:rFonts w:eastAsia="Calibri"/>
        </w:rPr>
        <w:t>., 2014)</w:t>
      </w:r>
      <w:r>
        <w:rPr>
          <w:rFonts w:eastAsia="Calibri"/>
        </w:rPr>
        <w:t>.</w:t>
      </w:r>
    </w:p>
    <w:p w:rsidR="0076118A" w:rsidRPr="00C406B1" w:rsidRDefault="0076118A" w:rsidP="0076118A">
      <w:pPr>
        <w:spacing w:after="0" w:line="360" w:lineRule="auto"/>
        <w:jc w:val="both"/>
        <w:rPr>
          <w:rFonts w:eastAsia="Calibri"/>
        </w:rPr>
      </w:pPr>
      <w:r w:rsidRPr="00C406B1">
        <w:rPr>
          <w:rFonts w:eastAsia="Calibri"/>
        </w:rPr>
        <w:tab/>
        <w:t>The final, and perhaps most sig</w:t>
      </w:r>
      <w:r>
        <w:rPr>
          <w:rFonts w:eastAsia="Calibri"/>
        </w:rPr>
        <w:t>nificant, indicator that</w:t>
      </w:r>
      <w:r w:rsidR="00941E97">
        <w:rPr>
          <w:rFonts w:eastAsia="Calibri"/>
        </w:rPr>
        <w:t xml:space="preserve"> day-to-day realities, plus</w:t>
      </w:r>
      <w:r w:rsidR="000821D3">
        <w:rPr>
          <w:rFonts w:eastAsia="Calibri"/>
        </w:rPr>
        <w:t xml:space="preserve"> administrator</w:t>
      </w:r>
      <w:r>
        <w:rPr>
          <w:rFonts w:eastAsia="Calibri"/>
        </w:rPr>
        <w:t xml:space="preserve"> role</w:t>
      </w:r>
      <w:r w:rsidR="000821D3">
        <w:rPr>
          <w:rFonts w:eastAsia="Calibri"/>
        </w:rPr>
        <w:t>s</w:t>
      </w:r>
      <w:r>
        <w:rPr>
          <w:rFonts w:eastAsia="Calibri"/>
        </w:rPr>
        <w:t xml:space="preserve"> and psy</w:t>
      </w:r>
      <w:r w:rsidR="000821D3">
        <w:rPr>
          <w:rFonts w:eastAsia="Calibri"/>
        </w:rPr>
        <w:t xml:space="preserve">chological immersion within these, influenced </w:t>
      </w:r>
      <w:r w:rsidR="00913C4D">
        <w:rPr>
          <w:rFonts w:eastAsia="Calibri"/>
        </w:rPr>
        <w:t xml:space="preserve">strongly </w:t>
      </w:r>
      <w:r w:rsidR="000821D3">
        <w:rPr>
          <w:rFonts w:eastAsia="Calibri"/>
        </w:rPr>
        <w:t>staff opinion formation, was</w:t>
      </w:r>
      <w:r w:rsidR="00941E97">
        <w:rPr>
          <w:rFonts w:eastAsia="Calibri"/>
        </w:rPr>
        <w:t xml:space="preserve"> the notion</w:t>
      </w:r>
      <w:r>
        <w:rPr>
          <w:rFonts w:eastAsia="Calibri"/>
        </w:rPr>
        <w:t xml:space="preserve"> </w:t>
      </w:r>
      <w:r w:rsidRPr="00C406B1">
        <w:rPr>
          <w:rFonts w:eastAsia="Calibri"/>
        </w:rPr>
        <w:t>of ‘complexity’. Phrases such as ‘complex problems’, ‘complex issues’ and ‘it’s complex’ occurred regularly, both in interviews and in general office conversations. As one staff member noted:</w:t>
      </w:r>
    </w:p>
    <w:p w:rsidR="0076118A" w:rsidRPr="00C406B1" w:rsidRDefault="0076118A" w:rsidP="0076118A">
      <w:pPr>
        <w:spacing w:after="0" w:line="360" w:lineRule="auto"/>
        <w:jc w:val="both"/>
        <w:rPr>
          <w:rFonts w:eastAsia="Calibri"/>
        </w:rPr>
      </w:pPr>
    </w:p>
    <w:p w:rsidR="0076118A" w:rsidRPr="00C406B1" w:rsidRDefault="0076118A" w:rsidP="0076118A">
      <w:pPr>
        <w:spacing w:after="0" w:line="240" w:lineRule="auto"/>
        <w:ind w:left="1134"/>
        <w:jc w:val="both"/>
        <w:rPr>
          <w:rFonts w:eastAsia="Calibri"/>
        </w:rPr>
      </w:pPr>
      <w:r w:rsidRPr="00C406B1">
        <w:rPr>
          <w:rFonts w:eastAsia="Calibri"/>
        </w:rPr>
        <w:t xml:space="preserve">But when you’ve got people falling through the net, you get… it’s a complex problem, yeah? They end up falling through every hole in the net. </w:t>
      </w:r>
      <w:proofErr w:type="gramStart"/>
      <w:r w:rsidRPr="00C406B1">
        <w:rPr>
          <w:rFonts w:eastAsia="Calibri"/>
        </w:rPr>
        <w:t>So</w:t>
      </w:r>
      <w:proofErr w:type="gramEnd"/>
      <w:r w:rsidRPr="00C406B1">
        <w:rPr>
          <w:rFonts w:eastAsia="Calibri"/>
        </w:rPr>
        <w:t xml:space="preserve"> you’ve got no work, but your relationship with your wife and kids is a train wreck. You’re in debt, you drink, you fight, you wake up in a cell, your health collapses. I mean that is one whole category of customer… very complex but no one goes long-term unemployed without that bringing with it a lot of other problems. </w:t>
      </w:r>
    </w:p>
    <w:p w:rsidR="0076118A" w:rsidRPr="00C406B1" w:rsidRDefault="0076118A" w:rsidP="0076118A">
      <w:pPr>
        <w:spacing w:after="0" w:line="360" w:lineRule="auto"/>
        <w:jc w:val="both"/>
        <w:rPr>
          <w:rFonts w:eastAsia="Calibri"/>
        </w:rPr>
      </w:pPr>
    </w:p>
    <w:p w:rsidR="0076118A" w:rsidRPr="00C406B1" w:rsidRDefault="0076118A" w:rsidP="0076118A">
      <w:pPr>
        <w:spacing w:after="0" w:line="360" w:lineRule="auto"/>
        <w:jc w:val="both"/>
        <w:rPr>
          <w:rFonts w:eastAsia="Calibri"/>
          <w:bCs/>
        </w:rPr>
      </w:pPr>
      <w:r w:rsidRPr="00C406B1">
        <w:rPr>
          <w:rFonts w:eastAsia="Calibri"/>
          <w:bCs/>
        </w:rPr>
        <w:t>‘Complexity’ is, potentially, a powerful ideological tool permitting the genuinely interconnected nature of numerous social problems to be unfairly ‘evened out’, making each element seem of equal importance. The causal power of structural factors in prompting wide-scale long</w:t>
      </w:r>
      <w:r>
        <w:rPr>
          <w:rFonts w:eastAsia="Calibri"/>
          <w:bCs/>
        </w:rPr>
        <w:t>-term unemployment</w:t>
      </w:r>
      <w:r w:rsidRPr="00C406B1">
        <w:rPr>
          <w:rFonts w:eastAsia="Calibri"/>
          <w:bCs/>
        </w:rPr>
        <w:t xml:space="preserve"> can be downplayed by this means, or even erased</w:t>
      </w:r>
      <w:r w:rsidR="00913C4D">
        <w:rPr>
          <w:rFonts w:eastAsia="Calibri"/>
          <w:bCs/>
        </w:rPr>
        <w:t>, as t</w:t>
      </w:r>
      <w:r w:rsidR="000821D3">
        <w:rPr>
          <w:rFonts w:eastAsia="Calibri"/>
          <w:bCs/>
        </w:rPr>
        <w:t>he arrow of causality spins to all points simultaneously</w:t>
      </w:r>
      <w:r w:rsidRPr="00C406B1">
        <w:rPr>
          <w:rFonts w:eastAsia="Calibri"/>
          <w:bCs/>
        </w:rPr>
        <w:t xml:space="preserve">. </w:t>
      </w:r>
      <w:r w:rsidR="000821D3">
        <w:rPr>
          <w:rFonts w:eastAsia="Calibri"/>
          <w:bCs/>
        </w:rPr>
        <w:t>That might serve ‘elite’ interests, but far m</w:t>
      </w:r>
      <w:r w:rsidRPr="00C406B1">
        <w:rPr>
          <w:rFonts w:eastAsia="Calibri"/>
          <w:bCs/>
        </w:rPr>
        <w:t>ore significantly</w:t>
      </w:r>
      <w:r w:rsidR="000821D3">
        <w:rPr>
          <w:rFonts w:eastAsia="Calibri"/>
          <w:bCs/>
        </w:rPr>
        <w:t xml:space="preserve"> </w:t>
      </w:r>
      <w:r w:rsidR="000821D3">
        <w:rPr>
          <w:rFonts w:eastAsia="Calibri"/>
          <w:bCs/>
          <w:i/>
        </w:rPr>
        <w:t>to administrators</w:t>
      </w:r>
      <w:r w:rsidRPr="00C406B1">
        <w:rPr>
          <w:rFonts w:eastAsia="Calibri"/>
          <w:bCs/>
        </w:rPr>
        <w:t xml:space="preserve">, </w:t>
      </w:r>
      <w:r w:rsidR="000821D3">
        <w:rPr>
          <w:rFonts w:eastAsia="Calibri"/>
          <w:bCs/>
        </w:rPr>
        <w:t xml:space="preserve">by the same means </w:t>
      </w:r>
      <w:r w:rsidRPr="00C406B1">
        <w:rPr>
          <w:rFonts w:eastAsia="Calibri"/>
          <w:bCs/>
        </w:rPr>
        <w:t>all facto</w:t>
      </w:r>
      <w:r w:rsidR="00941E97">
        <w:rPr>
          <w:rFonts w:eastAsia="Calibri"/>
          <w:bCs/>
        </w:rPr>
        <w:t>rs</w:t>
      </w:r>
      <w:r w:rsidR="00913C4D">
        <w:rPr>
          <w:rFonts w:eastAsia="Calibri"/>
          <w:bCs/>
        </w:rPr>
        <w:t>, structural and personal, can</w:t>
      </w:r>
      <w:r w:rsidRPr="00C406B1">
        <w:rPr>
          <w:rFonts w:eastAsia="Calibri"/>
          <w:bCs/>
        </w:rPr>
        <w:t xml:space="preserve"> be equally discursively ‘w</w:t>
      </w:r>
      <w:r w:rsidR="000821D3">
        <w:rPr>
          <w:rFonts w:eastAsia="Calibri"/>
          <w:bCs/>
        </w:rPr>
        <w:t>eighted’ i</w:t>
      </w:r>
      <w:r w:rsidR="00913C4D">
        <w:rPr>
          <w:rFonts w:eastAsia="Calibri"/>
          <w:bCs/>
        </w:rPr>
        <w:t xml:space="preserve">n terms of importance. This might make </w:t>
      </w:r>
      <w:r w:rsidRPr="00C406B1">
        <w:rPr>
          <w:rFonts w:eastAsia="Calibri"/>
          <w:bCs/>
        </w:rPr>
        <w:t>a minor ‘intervention’ into a single person’s ‘</w:t>
      </w:r>
      <w:r w:rsidR="00641E74">
        <w:rPr>
          <w:rFonts w:eastAsia="Calibri"/>
          <w:bCs/>
        </w:rPr>
        <w:t xml:space="preserve">dysfunctional’ lifestyle appear, and </w:t>
      </w:r>
      <w:proofErr w:type="gramStart"/>
      <w:r w:rsidR="00641E74">
        <w:rPr>
          <w:rFonts w:eastAsia="Calibri"/>
          <w:bCs/>
        </w:rPr>
        <w:t>actually emotionally</w:t>
      </w:r>
      <w:proofErr w:type="gramEnd"/>
      <w:r w:rsidR="00641E74">
        <w:rPr>
          <w:rFonts w:eastAsia="Calibri"/>
          <w:bCs/>
        </w:rPr>
        <w:t xml:space="preserve"> </w:t>
      </w:r>
      <w:r w:rsidR="00641E74">
        <w:rPr>
          <w:rFonts w:eastAsia="Calibri"/>
          <w:bCs/>
          <w:i/>
        </w:rPr>
        <w:t>feel</w:t>
      </w:r>
      <w:r w:rsidR="00641E74">
        <w:rPr>
          <w:rFonts w:eastAsia="Calibri"/>
          <w:bCs/>
        </w:rPr>
        <w:t xml:space="preserve">, </w:t>
      </w:r>
      <w:r w:rsidRPr="00C406B1">
        <w:rPr>
          <w:rFonts w:eastAsia="Calibri"/>
          <w:bCs/>
        </w:rPr>
        <w:t xml:space="preserve">as palliatively significant as addressing real, mass structural defects. </w:t>
      </w:r>
      <w:r w:rsidR="00913C4D">
        <w:rPr>
          <w:rFonts w:eastAsia="Calibri"/>
          <w:bCs/>
        </w:rPr>
        <w:t xml:space="preserve">There was strong interview evidence that staff felt this. </w:t>
      </w:r>
      <w:r w:rsidRPr="00C406B1">
        <w:rPr>
          <w:rFonts w:eastAsia="Calibri"/>
          <w:bCs/>
        </w:rPr>
        <w:t>As ‘Annemarie’ Put it:</w:t>
      </w:r>
    </w:p>
    <w:p w:rsidR="0076118A" w:rsidRPr="00C406B1" w:rsidRDefault="0076118A" w:rsidP="0076118A">
      <w:pPr>
        <w:spacing w:after="0" w:line="360" w:lineRule="auto"/>
        <w:jc w:val="both"/>
        <w:rPr>
          <w:rFonts w:eastAsia="Calibri"/>
          <w:bCs/>
        </w:rPr>
      </w:pPr>
    </w:p>
    <w:p w:rsidR="0076118A" w:rsidRPr="00C406B1" w:rsidRDefault="0076118A" w:rsidP="00641E74">
      <w:pPr>
        <w:spacing w:after="0" w:line="240" w:lineRule="auto"/>
        <w:ind w:left="1134"/>
        <w:jc w:val="both"/>
        <w:rPr>
          <w:rFonts w:eastAsia="Calibri"/>
          <w:bCs/>
        </w:rPr>
      </w:pPr>
      <w:r w:rsidRPr="00C406B1">
        <w:rPr>
          <w:rFonts w:eastAsia="Calibri"/>
          <w:bCs/>
        </w:rPr>
        <w:t xml:space="preserve">If there’s one thing I take away from here it’s that you can’t judge it on the statistics. Soft outcomes [i.e. personal help not leading to employment] are a vital part of the work we do and often the most rewarding part because a job role could just be for </w:t>
      </w:r>
      <w:r w:rsidRPr="00C406B1">
        <w:rPr>
          <w:rFonts w:eastAsia="Calibri"/>
          <w:bCs/>
        </w:rPr>
        <w:lastRenderedPageBreak/>
        <w:t xml:space="preserve">a few weeks but if you help someone overcome a major life-barrier, you’ve made a significant intervention in their life. </w:t>
      </w:r>
    </w:p>
    <w:p w:rsidR="0076118A" w:rsidRDefault="0076118A" w:rsidP="0076118A">
      <w:pPr>
        <w:spacing w:after="0" w:line="360" w:lineRule="auto"/>
        <w:ind w:firstLine="720"/>
        <w:contextualSpacing/>
        <w:jc w:val="both"/>
        <w:rPr>
          <w:rFonts w:eastAsia="Calibri"/>
          <w:bCs/>
        </w:rPr>
      </w:pPr>
    </w:p>
    <w:p w:rsidR="00913C4D" w:rsidRDefault="0076118A" w:rsidP="003902DF">
      <w:pPr>
        <w:spacing w:after="0" w:line="360" w:lineRule="auto"/>
        <w:ind w:firstLine="720"/>
        <w:contextualSpacing/>
        <w:jc w:val="both"/>
        <w:rPr>
          <w:rFonts w:eastAsia="Calibri"/>
          <w:bCs/>
          <w:szCs w:val="22"/>
        </w:rPr>
      </w:pPr>
      <w:r>
        <w:rPr>
          <w:rFonts w:eastAsia="Calibri"/>
          <w:bCs/>
        </w:rPr>
        <w:t xml:space="preserve">‘Complexity’ was also regularly linked to the idea of participants’ problems being ‘long-term’. </w:t>
      </w:r>
      <w:r w:rsidRPr="00C406B1">
        <w:rPr>
          <w:rFonts w:eastAsia="Calibri"/>
          <w:bCs/>
        </w:rPr>
        <w:t>Staff could ‘signpost’ participants to debt counsellors, doctors, or treatment cl</w:t>
      </w:r>
      <w:r>
        <w:rPr>
          <w:rFonts w:eastAsia="Calibri"/>
          <w:bCs/>
        </w:rPr>
        <w:t>inics, or they could engage in what many of them saw as ‘</w:t>
      </w:r>
      <w:r w:rsidRPr="00C406B1">
        <w:rPr>
          <w:rFonts w:eastAsia="Calibri"/>
          <w:bCs/>
        </w:rPr>
        <w:t xml:space="preserve">morale </w:t>
      </w:r>
      <w:r w:rsidR="004F6D2D">
        <w:rPr>
          <w:rFonts w:eastAsia="Calibri"/>
          <w:bCs/>
        </w:rPr>
        <w:t>raising’ chats, or ‘tough love’;</w:t>
      </w:r>
      <w:r w:rsidRPr="00C406B1">
        <w:rPr>
          <w:rFonts w:eastAsia="Calibri"/>
          <w:bCs/>
        </w:rPr>
        <w:t xml:space="preserve"> all things that </w:t>
      </w:r>
      <w:r w:rsidRPr="00C406B1">
        <w:rPr>
          <w:rFonts w:eastAsia="Calibri"/>
          <w:bCs/>
          <w:i/>
        </w:rPr>
        <w:t>might</w:t>
      </w:r>
      <w:r w:rsidRPr="00C406B1">
        <w:rPr>
          <w:rFonts w:eastAsia="Calibri"/>
          <w:bCs/>
        </w:rPr>
        <w:t>, in theory, ‘help towards’ (a vague concept, as one ‘customer’ noted) gaining employment, but only as a ‘long-term goal’. By this means, a poor WP outcome rate, and an employment role that staff fully accepted barely dinted the real problem of mass long-term unemployment, were transformed into an apparently hugely positive ‘social service’</w:t>
      </w:r>
      <w:r w:rsidR="00913C4D">
        <w:rPr>
          <w:rFonts w:eastAsia="Calibri"/>
          <w:bCs/>
        </w:rPr>
        <w:t xml:space="preserve"> (</w:t>
      </w:r>
      <w:r w:rsidR="00913C4D">
        <w:rPr>
          <w:rFonts w:eastAsia="Calibri"/>
          <w:bCs/>
          <w:i/>
        </w:rPr>
        <w:t xml:space="preserve">c.f. </w:t>
      </w:r>
      <w:r w:rsidR="00913C4D">
        <w:rPr>
          <w:rFonts w:eastAsia="Calibri"/>
          <w:bCs/>
        </w:rPr>
        <w:t>Fletcher, 2014)</w:t>
      </w:r>
      <w:r w:rsidRPr="00C406B1">
        <w:rPr>
          <w:rFonts w:eastAsia="Calibri"/>
          <w:bCs/>
        </w:rPr>
        <w:t xml:space="preserve">. </w:t>
      </w:r>
      <w:r w:rsidRPr="0076118A">
        <w:rPr>
          <w:rFonts w:eastAsia="Calibri"/>
          <w:bCs/>
          <w:szCs w:val="22"/>
        </w:rPr>
        <w:t>This self-perception of role did not match the target-driven, managerialist approach expected by the government or local managers</w:t>
      </w:r>
      <w:r w:rsidR="00913C4D">
        <w:rPr>
          <w:rFonts w:eastAsia="Calibri"/>
          <w:bCs/>
          <w:szCs w:val="22"/>
        </w:rPr>
        <w:t xml:space="preserve">. </w:t>
      </w:r>
    </w:p>
    <w:p w:rsidR="003902DF" w:rsidRPr="0076118A" w:rsidRDefault="00913C4D" w:rsidP="003902DF">
      <w:pPr>
        <w:spacing w:after="0" w:line="360" w:lineRule="auto"/>
        <w:ind w:firstLine="720"/>
        <w:contextualSpacing/>
        <w:jc w:val="both"/>
        <w:rPr>
          <w:rFonts w:eastAsia="Calibri"/>
          <w:bCs/>
          <w:szCs w:val="22"/>
        </w:rPr>
      </w:pPr>
      <w:r>
        <w:rPr>
          <w:rFonts w:eastAsia="Calibri"/>
          <w:bCs/>
          <w:szCs w:val="22"/>
        </w:rPr>
        <w:t>Finally</w:t>
      </w:r>
      <w:r w:rsidR="00641E74">
        <w:rPr>
          <w:rFonts w:eastAsia="Calibri"/>
          <w:bCs/>
          <w:szCs w:val="22"/>
        </w:rPr>
        <w:t xml:space="preserve">, managerialism </w:t>
      </w:r>
      <w:r w:rsidR="0076118A" w:rsidRPr="0076118A">
        <w:rPr>
          <w:rFonts w:eastAsia="Calibri"/>
          <w:bCs/>
          <w:szCs w:val="22"/>
        </w:rPr>
        <w:t xml:space="preserve">had </w:t>
      </w:r>
      <w:r w:rsidR="00941E97">
        <w:rPr>
          <w:rFonts w:eastAsia="Calibri"/>
          <w:bCs/>
          <w:szCs w:val="22"/>
        </w:rPr>
        <w:t>itself</w:t>
      </w:r>
      <w:r w:rsidR="0076118A">
        <w:rPr>
          <w:rFonts w:eastAsia="Calibri"/>
          <w:bCs/>
          <w:szCs w:val="22"/>
        </w:rPr>
        <w:t xml:space="preserve"> </w:t>
      </w:r>
      <w:r w:rsidR="0076118A" w:rsidRPr="0076118A">
        <w:rPr>
          <w:rFonts w:eastAsia="Calibri"/>
          <w:bCs/>
          <w:szCs w:val="22"/>
        </w:rPr>
        <w:t xml:space="preserve">become absorbed into the staff </w:t>
      </w:r>
      <w:r w:rsidR="0076118A">
        <w:rPr>
          <w:rFonts w:eastAsia="Calibri"/>
          <w:bCs/>
          <w:szCs w:val="22"/>
        </w:rPr>
        <w:t>views,</w:t>
      </w:r>
      <w:r w:rsidR="0076118A" w:rsidRPr="0076118A">
        <w:rPr>
          <w:rFonts w:eastAsia="Calibri"/>
          <w:bCs/>
          <w:szCs w:val="22"/>
        </w:rPr>
        <w:t xml:space="preserve"> as one more complex ‘barrier’ to achieving what really mattered, i.e. doing at least </w:t>
      </w:r>
      <w:r w:rsidR="0076118A" w:rsidRPr="0076118A">
        <w:rPr>
          <w:rFonts w:eastAsia="Calibri"/>
          <w:bCs/>
          <w:i/>
          <w:szCs w:val="22"/>
        </w:rPr>
        <w:t xml:space="preserve">something </w:t>
      </w:r>
      <w:r w:rsidR="0076118A" w:rsidRPr="0076118A">
        <w:rPr>
          <w:rFonts w:eastAsia="Calibri"/>
          <w:bCs/>
          <w:szCs w:val="22"/>
        </w:rPr>
        <w:t xml:space="preserve">to fight back against the tide of long-term, complex problem-bearing members of the underclass swamping ‘the system’, by </w:t>
      </w:r>
      <w:r w:rsidR="00941E97">
        <w:rPr>
          <w:rFonts w:eastAsia="Calibri"/>
          <w:bCs/>
          <w:szCs w:val="22"/>
        </w:rPr>
        <w:t>‘</w:t>
      </w:r>
      <w:r w:rsidR="0076118A" w:rsidRPr="0076118A">
        <w:rPr>
          <w:rFonts w:eastAsia="Calibri"/>
          <w:bCs/>
          <w:szCs w:val="22"/>
        </w:rPr>
        <w:t>intervening</w:t>
      </w:r>
      <w:r w:rsidR="00941E97">
        <w:rPr>
          <w:rFonts w:eastAsia="Calibri"/>
          <w:bCs/>
          <w:szCs w:val="22"/>
        </w:rPr>
        <w:t>’</w:t>
      </w:r>
      <w:r w:rsidR="0076118A" w:rsidRPr="0076118A">
        <w:rPr>
          <w:rFonts w:eastAsia="Calibri"/>
          <w:bCs/>
          <w:szCs w:val="22"/>
        </w:rPr>
        <w:t xml:space="preserve"> in ‘their’ attitudes</w:t>
      </w:r>
      <w:r w:rsidR="0076118A" w:rsidRPr="0076118A">
        <w:rPr>
          <w:rFonts w:eastAsia="Calibri"/>
          <w:bCs/>
          <w:i/>
          <w:szCs w:val="22"/>
        </w:rPr>
        <w:t xml:space="preserve"> </w:t>
      </w:r>
      <w:r w:rsidR="0076118A" w:rsidRPr="0076118A">
        <w:rPr>
          <w:rFonts w:eastAsia="Calibri"/>
          <w:bCs/>
          <w:szCs w:val="22"/>
        </w:rPr>
        <w:t>and lifestyles.</w:t>
      </w:r>
      <w:r w:rsidR="004F6D2D">
        <w:rPr>
          <w:rFonts w:eastAsia="Calibri"/>
          <w:bCs/>
          <w:szCs w:val="22"/>
        </w:rPr>
        <w:t xml:space="preserve"> </w:t>
      </w:r>
      <w:r w:rsidR="003902DF" w:rsidRPr="0076118A">
        <w:rPr>
          <w:rFonts w:eastAsia="Calibri"/>
          <w:bCs/>
          <w:szCs w:val="22"/>
        </w:rPr>
        <w:t xml:space="preserve">As one </w:t>
      </w:r>
      <w:r w:rsidR="003902DF">
        <w:rPr>
          <w:rFonts w:eastAsia="Calibri"/>
          <w:bCs/>
          <w:szCs w:val="22"/>
        </w:rPr>
        <w:t xml:space="preserve">staff member </w:t>
      </w:r>
      <w:r w:rsidR="003902DF" w:rsidRPr="0076118A">
        <w:rPr>
          <w:rFonts w:eastAsia="Calibri"/>
          <w:bCs/>
          <w:szCs w:val="22"/>
        </w:rPr>
        <w:t>put it, explaining how they had sanctioned someone for ‘non-compliance’:</w:t>
      </w:r>
    </w:p>
    <w:p w:rsidR="003902DF" w:rsidRPr="0076118A" w:rsidRDefault="003902DF" w:rsidP="003902DF">
      <w:pPr>
        <w:spacing w:after="0" w:line="360" w:lineRule="auto"/>
        <w:ind w:firstLine="720"/>
        <w:contextualSpacing/>
        <w:jc w:val="both"/>
        <w:rPr>
          <w:rFonts w:eastAsia="Calibri"/>
          <w:bCs/>
          <w:szCs w:val="22"/>
        </w:rPr>
      </w:pPr>
    </w:p>
    <w:p w:rsidR="003902DF" w:rsidRDefault="003902DF" w:rsidP="003902DF">
      <w:pPr>
        <w:spacing w:after="0" w:line="240" w:lineRule="auto"/>
        <w:ind w:left="720"/>
        <w:contextualSpacing/>
        <w:jc w:val="both"/>
        <w:rPr>
          <w:rFonts w:eastAsia="Calibri"/>
          <w:bCs/>
          <w:szCs w:val="22"/>
        </w:rPr>
      </w:pPr>
      <w:r w:rsidRPr="0076118A">
        <w:rPr>
          <w:rFonts w:eastAsia="Calibri"/>
          <w:bCs/>
          <w:szCs w:val="22"/>
        </w:rPr>
        <w:t>To cut a long story short they ended up going under financially, rent wasn’t paid and they were out, homeless. That all comes f</w:t>
      </w:r>
      <w:r w:rsidR="00941E97">
        <w:rPr>
          <w:rFonts w:eastAsia="Calibri"/>
          <w:bCs/>
          <w:szCs w:val="22"/>
        </w:rPr>
        <w:t>rom a sanction. B</w:t>
      </w:r>
      <w:r w:rsidRPr="0076118A">
        <w:rPr>
          <w:rFonts w:eastAsia="Calibri"/>
          <w:bCs/>
          <w:szCs w:val="22"/>
        </w:rPr>
        <w:t>ut you see that on the news, you don’t see that I then worked with that customer to find them a new home. And then you st</w:t>
      </w:r>
      <w:r w:rsidR="00941E97">
        <w:rPr>
          <w:rFonts w:eastAsia="Calibri"/>
          <w:bCs/>
          <w:szCs w:val="22"/>
        </w:rPr>
        <w:t>art re-building. It’s a shock. B</w:t>
      </w:r>
      <w:r w:rsidRPr="0076118A">
        <w:rPr>
          <w:rFonts w:eastAsia="Calibri"/>
          <w:bCs/>
          <w:szCs w:val="22"/>
        </w:rPr>
        <w:t>ut from that you re-build, start building up your relationship with them and start getting them to take their responsibilities for themselves seriously. If you didn’t have sanctions, what else could you do?</w:t>
      </w:r>
    </w:p>
    <w:p w:rsidR="00641E74" w:rsidRDefault="00641E74" w:rsidP="003902DF">
      <w:pPr>
        <w:spacing w:after="0" w:line="240" w:lineRule="auto"/>
        <w:ind w:left="720"/>
        <w:contextualSpacing/>
        <w:jc w:val="both"/>
        <w:rPr>
          <w:rFonts w:eastAsia="Calibri"/>
          <w:bCs/>
          <w:szCs w:val="22"/>
        </w:rPr>
      </w:pPr>
    </w:p>
    <w:p w:rsidR="003902DF" w:rsidRDefault="00641E74" w:rsidP="00941E97">
      <w:pPr>
        <w:spacing w:after="0" w:line="360" w:lineRule="auto"/>
        <w:contextualSpacing/>
        <w:jc w:val="both"/>
        <w:rPr>
          <w:rFonts w:eastAsia="Calibri"/>
          <w:bCs/>
          <w:szCs w:val="22"/>
        </w:rPr>
      </w:pPr>
      <w:r>
        <w:rPr>
          <w:rFonts w:eastAsia="Calibri"/>
          <w:bCs/>
          <w:szCs w:val="22"/>
        </w:rPr>
        <w:t xml:space="preserve">This ‘customer’ did not a gain employment from the WP; but her </w:t>
      </w:r>
      <w:r w:rsidR="00941E97">
        <w:rPr>
          <w:rFonts w:eastAsia="Calibri"/>
          <w:bCs/>
          <w:szCs w:val="22"/>
        </w:rPr>
        <w:t>caseworker</w:t>
      </w:r>
      <w:r>
        <w:rPr>
          <w:rFonts w:eastAsia="Calibri"/>
          <w:bCs/>
          <w:szCs w:val="22"/>
        </w:rPr>
        <w:t xml:space="preserve"> was </w:t>
      </w:r>
      <w:r w:rsidR="00913C4D">
        <w:rPr>
          <w:rFonts w:eastAsia="Calibri"/>
          <w:bCs/>
          <w:szCs w:val="22"/>
        </w:rPr>
        <w:t>clearly</w:t>
      </w:r>
      <w:r w:rsidR="00941E97">
        <w:rPr>
          <w:rFonts w:eastAsia="Calibri"/>
          <w:bCs/>
          <w:szCs w:val="22"/>
        </w:rPr>
        <w:t xml:space="preserve"> proud of this ‘soft outcome’ intervention.</w:t>
      </w:r>
    </w:p>
    <w:p w:rsidR="003902DF" w:rsidRDefault="003902DF" w:rsidP="0076118A">
      <w:pPr>
        <w:spacing w:after="0" w:line="360" w:lineRule="auto"/>
        <w:ind w:firstLine="720"/>
        <w:contextualSpacing/>
        <w:jc w:val="both"/>
        <w:rPr>
          <w:rFonts w:eastAsia="Calibri"/>
          <w:bCs/>
          <w:szCs w:val="22"/>
        </w:rPr>
      </w:pPr>
    </w:p>
    <w:p w:rsidR="003902DF" w:rsidRPr="00941E97" w:rsidRDefault="003902DF" w:rsidP="00941E97">
      <w:pPr>
        <w:pStyle w:val="ListParagraph"/>
        <w:numPr>
          <w:ilvl w:val="0"/>
          <w:numId w:val="4"/>
        </w:numPr>
        <w:spacing w:after="0" w:line="360" w:lineRule="auto"/>
        <w:jc w:val="both"/>
        <w:rPr>
          <w:rFonts w:eastAsia="Calibri"/>
          <w:bCs/>
          <w:i/>
          <w:szCs w:val="22"/>
        </w:rPr>
      </w:pPr>
      <w:r w:rsidRPr="00941E97">
        <w:rPr>
          <w:rFonts w:eastAsia="Calibri"/>
          <w:bCs/>
          <w:i/>
          <w:szCs w:val="22"/>
        </w:rPr>
        <w:t>Conclusion</w:t>
      </w:r>
    </w:p>
    <w:p w:rsidR="00D4339A" w:rsidRDefault="003808BC" w:rsidP="006608C6">
      <w:pPr>
        <w:spacing w:after="0" w:line="360" w:lineRule="auto"/>
        <w:ind w:firstLine="720"/>
        <w:contextualSpacing/>
        <w:jc w:val="both"/>
        <w:rPr>
          <w:rFonts w:cstheme="minorBidi"/>
          <w:bCs/>
          <w:szCs w:val="22"/>
        </w:rPr>
      </w:pPr>
      <w:r>
        <w:rPr>
          <w:rFonts w:eastAsia="Calibri"/>
          <w:bCs/>
          <w:szCs w:val="22"/>
        </w:rPr>
        <w:t xml:space="preserve">Welfare administrator views form vitally important components of much welfare-to-work research. Recent debates, particularly Marston versus Dunn, </w:t>
      </w:r>
      <w:r w:rsidR="004F6D2D">
        <w:rPr>
          <w:rFonts w:eastAsia="Calibri"/>
          <w:bCs/>
          <w:szCs w:val="22"/>
        </w:rPr>
        <w:t xml:space="preserve">and contentions, such as that between </w:t>
      </w:r>
      <w:r w:rsidR="00426A43">
        <w:rPr>
          <w:rFonts w:eastAsia="Calibri"/>
          <w:bCs/>
          <w:szCs w:val="22"/>
        </w:rPr>
        <w:t xml:space="preserve">the </w:t>
      </w:r>
      <w:r w:rsidR="004F6D2D" w:rsidRPr="00941E97">
        <w:rPr>
          <w:rFonts w:eastAsia="Calibri"/>
          <w:bCs/>
          <w:i/>
          <w:szCs w:val="22"/>
        </w:rPr>
        <w:t>Centre for Social Justice</w:t>
      </w:r>
      <w:r w:rsidR="004F6D2D">
        <w:rPr>
          <w:rFonts w:eastAsia="Calibri"/>
          <w:bCs/>
          <w:szCs w:val="22"/>
        </w:rPr>
        <w:t xml:space="preserve"> and the </w:t>
      </w:r>
      <w:r w:rsidR="004F6D2D" w:rsidRPr="00941E97">
        <w:rPr>
          <w:rFonts w:eastAsia="Calibri"/>
          <w:bCs/>
          <w:i/>
          <w:szCs w:val="22"/>
        </w:rPr>
        <w:t>Joseph Rowntree foundation</w:t>
      </w:r>
      <w:r w:rsidR="004F6D2D">
        <w:rPr>
          <w:rFonts w:eastAsia="Calibri"/>
          <w:bCs/>
          <w:szCs w:val="22"/>
        </w:rPr>
        <w:t xml:space="preserve"> regarding ‘intergenerational workles</w:t>
      </w:r>
      <w:r w:rsidR="003D1D8D">
        <w:rPr>
          <w:rFonts w:eastAsia="Calibri"/>
          <w:bCs/>
          <w:szCs w:val="22"/>
        </w:rPr>
        <w:t>s</w:t>
      </w:r>
      <w:r w:rsidR="004F6D2D">
        <w:rPr>
          <w:rFonts w:eastAsia="Calibri"/>
          <w:bCs/>
          <w:szCs w:val="22"/>
        </w:rPr>
        <w:t xml:space="preserve">ness’, </w:t>
      </w:r>
      <w:r>
        <w:rPr>
          <w:rFonts w:eastAsia="Calibri"/>
          <w:bCs/>
          <w:szCs w:val="22"/>
        </w:rPr>
        <w:t>have highlighted the need to problematize the</w:t>
      </w:r>
      <w:r w:rsidR="004F6D2D">
        <w:rPr>
          <w:rFonts w:eastAsia="Calibri"/>
          <w:bCs/>
          <w:szCs w:val="22"/>
        </w:rPr>
        <w:t>se views with reference to empirical field</w:t>
      </w:r>
      <w:r>
        <w:rPr>
          <w:rFonts w:eastAsia="Calibri"/>
          <w:bCs/>
          <w:szCs w:val="22"/>
        </w:rPr>
        <w:t xml:space="preserve"> contexts</w:t>
      </w:r>
      <w:r w:rsidR="00941E97">
        <w:rPr>
          <w:rFonts w:eastAsia="Calibri"/>
          <w:bCs/>
          <w:szCs w:val="22"/>
        </w:rPr>
        <w:t xml:space="preserve"> (</w:t>
      </w:r>
      <w:r w:rsidR="00913C4D">
        <w:rPr>
          <w:rFonts w:eastAsia="Calibri"/>
          <w:bCs/>
          <w:szCs w:val="22"/>
        </w:rPr>
        <w:t xml:space="preserve">see </w:t>
      </w:r>
      <w:r w:rsidR="00941E97">
        <w:rPr>
          <w:rFonts w:eastAsia="Calibri"/>
          <w:bCs/>
          <w:szCs w:val="22"/>
        </w:rPr>
        <w:t>Marston, 2013; Brady</w:t>
      </w:r>
      <w:r w:rsidR="001675B2">
        <w:rPr>
          <w:rFonts w:eastAsia="Calibri"/>
          <w:bCs/>
          <w:szCs w:val="22"/>
        </w:rPr>
        <w:t>, 2011)</w:t>
      </w:r>
      <w:r>
        <w:rPr>
          <w:rFonts w:eastAsia="Calibri"/>
          <w:bCs/>
          <w:szCs w:val="22"/>
        </w:rPr>
        <w:t xml:space="preserve">. Without ethnographic fieldwork, </w:t>
      </w:r>
      <w:r w:rsidR="004F6D2D">
        <w:rPr>
          <w:rFonts w:eastAsia="Calibri"/>
          <w:bCs/>
          <w:szCs w:val="22"/>
        </w:rPr>
        <w:t xml:space="preserve">welfare-to-work </w:t>
      </w:r>
      <w:r>
        <w:rPr>
          <w:rFonts w:eastAsia="Calibri"/>
          <w:bCs/>
          <w:szCs w:val="22"/>
        </w:rPr>
        <w:t xml:space="preserve">interview data contextualisation has tended to fall, broadly speaking, somewhere between acceptance as ‘frontline reportage’, and a Foucauldian governmentality/elite conceptual download model. Exploring data drawn from both interviews </w:t>
      </w:r>
      <w:r>
        <w:rPr>
          <w:rFonts w:eastAsia="Calibri"/>
          <w:bCs/>
          <w:szCs w:val="22"/>
        </w:rPr>
        <w:lastRenderedPageBreak/>
        <w:t xml:space="preserve">and fieldwork, this study explored </w:t>
      </w:r>
      <w:r w:rsidR="00426A43">
        <w:rPr>
          <w:rFonts w:eastAsia="Calibri"/>
          <w:bCs/>
          <w:szCs w:val="22"/>
        </w:rPr>
        <w:t>a third option: that th</w:t>
      </w:r>
      <w:r>
        <w:rPr>
          <w:rFonts w:eastAsia="Calibri"/>
          <w:bCs/>
          <w:szCs w:val="22"/>
        </w:rPr>
        <w:t xml:space="preserve">e day-to-day realities of welfare-to-work staff </w:t>
      </w:r>
      <w:r w:rsidR="003B52A7">
        <w:rPr>
          <w:rFonts w:eastAsia="Calibri"/>
          <w:bCs/>
          <w:szCs w:val="22"/>
        </w:rPr>
        <w:t>might</w:t>
      </w:r>
      <w:r>
        <w:rPr>
          <w:rFonts w:eastAsia="Calibri"/>
          <w:bCs/>
          <w:szCs w:val="22"/>
        </w:rPr>
        <w:t xml:space="preserve"> </w:t>
      </w:r>
      <w:r w:rsidR="003B52A7">
        <w:rPr>
          <w:rFonts w:eastAsia="Calibri"/>
          <w:bCs/>
          <w:szCs w:val="22"/>
        </w:rPr>
        <w:t xml:space="preserve">plausibly </w:t>
      </w:r>
      <w:r>
        <w:rPr>
          <w:rFonts w:eastAsia="Calibri"/>
          <w:bCs/>
          <w:szCs w:val="22"/>
        </w:rPr>
        <w:t xml:space="preserve">be shown to </w:t>
      </w:r>
      <w:r w:rsidR="004F6D2D">
        <w:rPr>
          <w:rFonts w:eastAsia="Calibri"/>
          <w:bCs/>
          <w:szCs w:val="22"/>
        </w:rPr>
        <w:t>provide both a strong -</w:t>
      </w:r>
      <w:r w:rsidR="003B52A7">
        <w:rPr>
          <w:rFonts w:eastAsia="Calibri"/>
          <w:bCs/>
          <w:szCs w:val="22"/>
        </w:rPr>
        <w:t xml:space="preserve"> </w:t>
      </w:r>
      <w:proofErr w:type="gramStart"/>
      <w:r w:rsidR="003B52A7">
        <w:rPr>
          <w:rFonts w:eastAsia="Calibri"/>
          <w:bCs/>
          <w:szCs w:val="22"/>
        </w:rPr>
        <w:t xml:space="preserve">and </w:t>
      </w:r>
      <w:r w:rsidR="00D10FE7">
        <w:rPr>
          <w:rFonts w:eastAsia="Calibri"/>
          <w:bCs/>
          <w:szCs w:val="22"/>
        </w:rPr>
        <w:t>also</w:t>
      </w:r>
      <w:proofErr w:type="gramEnd"/>
      <w:r w:rsidR="00D10FE7">
        <w:rPr>
          <w:rFonts w:eastAsia="Calibri"/>
          <w:bCs/>
          <w:szCs w:val="22"/>
        </w:rPr>
        <w:t xml:space="preserve"> </w:t>
      </w:r>
      <w:r w:rsidR="004F6D2D">
        <w:rPr>
          <w:rFonts w:eastAsia="Calibri"/>
          <w:bCs/>
          <w:szCs w:val="22"/>
        </w:rPr>
        <w:t>a strongly skewing -</w:t>
      </w:r>
      <w:r w:rsidR="003B52A7">
        <w:rPr>
          <w:rFonts w:eastAsia="Calibri"/>
          <w:bCs/>
          <w:szCs w:val="22"/>
        </w:rPr>
        <w:t xml:space="preserve"> </w:t>
      </w:r>
      <w:r>
        <w:rPr>
          <w:rFonts w:eastAsia="Calibri"/>
          <w:bCs/>
          <w:szCs w:val="22"/>
        </w:rPr>
        <w:t xml:space="preserve">influence </w:t>
      </w:r>
      <w:r w:rsidR="003B52A7">
        <w:rPr>
          <w:rFonts w:eastAsia="Calibri"/>
          <w:bCs/>
          <w:szCs w:val="22"/>
        </w:rPr>
        <w:t xml:space="preserve">on </w:t>
      </w:r>
      <w:r>
        <w:rPr>
          <w:rFonts w:eastAsia="Calibri"/>
          <w:bCs/>
          <w:szCs w:val="22"/>
        </w:rPr>
        <w:t xml:space="preserve">their views. </w:t>
      </w:r>
      <w:r w:rsidR="00426A43">
        <w:rPr>
          <w:rFonts w:eastAsia="Calibri"/>
          <w:bCs/>
          <w:szCs w:val="22"/>
        </w:rPr>
        <w:t xml:space="preserve">This includes </w:t>
      </w:r>
      <w:r w:rsidR="00214815">
        <w:rPr>
          <w:rFonts w:eastAsia="Calibri"/>
          <w:bCs/>
          <w:szCs w:val="22"/>
        </w:rPr>
        <w:t>reflections</w:t>
      </w:r>
      <w:r w:rsidR="004F6D2D">
        <w:rPr>
          <w:rFonts w:eastAsia="Calibri"/>
          <w:bCs/>
          <w:szCs w:val="22"/>
        </w:rPr>
        <w:t xml:space="preserve"> on </w:t>
      </w:r>
      <w:r w:rsidR="00426A43">
        <w:rPr>
          <w:rFonts w:eastAsia="Calibri"/>
          <w:bCs/>
          <w:szCs w:val="22"/>
        </w:rPr>
        <w:t xml:space="preserve">their own </w:t>
      </w:r>
      <w:r w:rsidR="004F6D2D">
        <w:rPr>
          <w:rFonts w:eastAsia="Calibri"/>
          <w:bCs/>
          <w:szCs w:val="22"/>
        </w:rPr>
        <w:t>day-to-day activities</w:t>
      </w:r>
      <w:r w:rsidR="00214815">
        <w:rPr>
          <w:rFonts w:eastAsia="Calibri"/>
          <w:bCs/>
          <w:szCs w:val="22"/>
        </w:rPr>
        <w:t>, such as</w:t>
      </w:r>
      <w:r w:rsidR="00426A43">
        <w:rPr>
          <w:rFonts w:eastAsia="Calibri"/>
          <w:bCs/>
          <w:szCs w:val="22"/>
        </w:rPr>
        <w:t xml:space="preserve"> </w:t>
      </w:r>
      <w:r w:rsidR="00913C4D">
        <w:rPr>
          <w:rFonts w:eastAsia="Calibri"/>
          <w:bCs/>
          <w:szCs w:val="22"/>
        </w:rPr>
        <w:t xml:space="preserve">‘discretion’, </w:t>
      </w:r>
      <w:r w:rsidR="00426A43">
        <w:rPr>
          <w:rFonts w:eastAsia="Calibri"/>
          <w:bCs/>
          <w:szCs w:val="22"/>
        </w:rPr>
        <w:t>sanctioning and providing ‘help and support’</w:t>
      </w:r>
      <w:r w:rsidR="004F6D2D">
        <w:rPr>
          <w:rFonts w:eastAsia="Calibri"/>
          <w:bCs/>
          <w:szCs w:val="22"/>
        </w:rPr>
        <w:t xml:space="preserve">. </w:t>
      </w:r>
      <w:r>
        <w:rPr>
          <w:rFonts w:eastAsia="Calibri"/>
          <w:bCs/>
          <w:szCs w:val="22"/>
        </w:rPr>
        <w:t>A pressurised, low-budget and t</w:t>
      </w:r>
      <w:r w:rsidR="00D10FE7">
        <w:rPr>
          <w:rFonts w:eastAsia="Calibri"/>
          <w:bCs/>
          <w:szCs w:val="22"/>
        </w:rPr>
        <w:t>arget-driven environment,</w:t>
      </w:r>
      <w:r>
        <w:rPr>
          <w:rFonts w:eastAsia="Calibri"/>
          <w:bCs/>
          <w:szCs w:val="22"/>
        </w:rPr>
        <w:t xml:space="preserve"> sharing the s</w:t>
      </w:r>
      <w:r w:rsidR="003B52A7">
        <w:rPr>
          <w:rFonts w:eastAsia="Calibri"/>
          <w:bCs/>
          <w:szCs w:val="22"/>
        </w:rPr>
        <w:t xml:space="preserve">ame working </w:t>
      </w:r>
      <w:r w:rsidR="00D10FE7">
        <w:rPr>
          <w:rFonts w:eastAsia="Calibri"/>
          <w:bCs/>
          <w:szCs w:val="22"/>
        </w:rPr>
        <w:t xml:space="preserve">space, </w:t>
      </w:r>
      <w:r w:rsidR="00426A43">
        <w:rPr>
          <w:rFonts w:eastAsia="Calibri"/>
          <w:bCs/>
          <w:szCs w:val="22"/>
        </w:rPr>
        <w:t xml:space="preserve">plus </w:t>
      </w:r>
      <w:r>
        <w:rPr>
          <w:rFonts w:eastAsia="Calibri"/>
          <w:bCs/>
          <w:szCs w:val="22"/>
        </w:rPr>
        <w:t>a constant stream of problem-bearing, demoralised ‘customers</w:t>
      </w:r>
      <w:r w:rsidR="00214815">
        <w:rPr>
          <w:rFonts w:eastAsia="Calibri"/>
          <w:bCs/>
          <w:szCs w:val="22"/>
        </w:rPr>
        <w:t>’</w:t>
      </w:r>
      <w:r w:rsidR="00D10FE7">
        <w:rPr>
          <w:rFonts w:eastAsia="Calibri"/>
          <w:bCs/>
          <w:szCs w:val="22"/>
        </w:rPr>
        <w:t>,</w:t>
      </w:r>
      <w:r w:rsidR="001675B2">
        <w:rPr>
          <w:rFonts w:eastAsia="Calibri"/>
          <w:bCs/>
          <w:szCs w:val="22"/>
        </w:rPr>
        <w:t xml:space="preserve"> and</w:t>
      </w:r>
      <w:r>
        <w:rPr>
          <w:rFonts w:eastAsia="Calibri"/>
          <w:bCs/>
          <w:szCs w:val="22"/>
        </w:rPr>
        <w:t xml:space="preserve"> a need to give meaning to an otherwise largely pointless employment role</w:t>
      </w:r>
      <w:r w:rsidR="003B52A7">
        <w:rPr>
          <w:rFonts w:eastAsia="Calibri"/>
          <w:bCs/>
          <w:szCs w:val="22"/>
        </w:rPr>
        <w:t>,</w:t>
      </w:r>
      <w:r>
        <w:rPr>
          <w:rFonts w:eastAsia="Calibri"/>
          <w:bCs/>
          <w:szCs w:val="22"/>
        </w:rPr>
        <w:t xml:space="preserve"> each contri</w:t>
      </w:r>
      <w:r w:rsidR="00426A43">
        <w:rPr>
          <w:rFonts w:eastAsia="Calibri"/>
          <w:bCs/>
          <w:szCs w:val="22"/>
        </w:rPr>
        <w:t xml:space="preserve">buted to the construction of </w:t>
      </w:r>
      <w:proofErr w:type="gramStart"/>
      <w:r w:rsidR="00426A43">
        <w:rPr>
          <w:rFonts w:eastAsia="Calibri"/>
          <w:bCs/>
          <w:szCs w:val="22"/>
        </w:rPr>
        <w:t>the majority of</w:t>
      </w:r>
      <w:proofErr w:type="gramEnd"/>
      <w:r w:rsidR="001675B2">
        <w:rPr>
          <w:rFonts w:eastAsia="Calibri"/>
          <w:bCs/>
          <w:szCs w:val="22"/>
        </w:rPr>
        <w:t xml:space="preserve"> WP participants as a singular</w:t>
      </w:r>
      <w:r>
        <w:rPr>
          <w:rFonts w:eastAsia="Calibri"/>
          <w:bCs/>
          <w:szCs w:val="22"/>
        </w:rPr>
        <w:t xml:space="preserve"> underclass cohort. </w:t>
      </w:r>
      <w:r w:rsidR="00A27C4A">
        <w:rPr>
          <w:rFonts w:eastAsia="Calibri"/>
          <w:bCs/>
          <w:szCs w:val="22"/>
        </w:rPr>
        <w:t>The alleged chronic and</w:t>
      </w:r>
      <w:r w:rsidR="003B52A7">
        <w:rPr>
          <w:rFonts w:eastAsia="Calibri"/>
          <w:bCs/>
          <w:szCs w:val="22"/>
        </w:rPr>
        <w:t xml:space="preserve"> intransigently pathological </w:t>
      </w:r>
      <w:r w:rsidR="00A27C4A">
        <w:rPr>
          <w:rFonts w:eastAsia="Calibri"/>
          <w:bCs/>
          <w:szCs w:val="22"/>
        </w:rPr>
        <w:t>n</w:t>
      </w:r>
      <w:r w:rsidR="003B52A7">
        <w:rPr>
          <w:rFonts w:eastAsia="Calibri"/>
          <w:bCs/>
          <w:szCs w:val="22"/>
        </w:rPr>
        <w:t xml:space="preserve">ature of this </w:t>
      </w:r>
      <w:r w:rsidR="001675B2">
        <w:rPr>
          <w:rFonts w:eastAsia="Calibri"/>
          <w:bCs/>
          <w:szCs w:val="22"/>
        </w:rPr>
        <w:t>group</w:t>
      </w:r>
      <w:r w:rsidR="003B52A7">
        <w:rPr>
          <w:rFonts w:eastAsia="Calibri"/>
          <w:bCs/>
          <w:szCs w:val="22"/>
        </w:rPr>
        <w:t xml:space="preserve"> </w:t>
      </w:r>
      <w:r w:rsidR="00A27C4A">
        <w:rPr>
          <w:rFonts w:eastAsia="Calibri"/>
          <w:bCs/>
          <w:szCs w:val="22"/>
        </w:rPr>
        <w:t xml:space="preserve">excused </w:t>
      </w:r>
      <w:r w:rsidR="001675B2">
        <w:rPr>
          <w:rFonts w:eastAsia="Calibri"/>
          <w:bCs/>
          <w:szCs w:val="22"/>
        </w:rPr>
        <w:t xml:space="preserve">and explained away </w:t>
      </w:r>
      <w:r w:rsidR="00A27C4A">
        <w:rPr>
          <w:rFonts w:eastAsia="Calibri"/>
          <w:bCs/>
          <w:szCs w:val="22"/>
        </w:rPr>
        <w:t>staff failures to provide anything beyond the</w:t>
      </w:r>
      <w:r w:rsidR="00EF150E">
        <w:rPr>
          <w:rFonts w:eastAsia="Calibri"/>
          <w:bCs/>
          <w:szCs w:val="22"/>
        </w:rPr>
        <w:t xml:space="preserve"> most rudimentary forms of help. </w:t>
      </w:r>
      <w:r w:rsidR="00D10FE7">
        <w:rPr>
          <w:rFonts w:eastAsia="Calibri"/>
          <w:bCs/>
          <w:szCs w:val="22"/>
        </w:rPr>
        <w:t>Moreover, w</w:t>
      </w:r>
      <w:r w:rsidR="00EF150E">
        <w:rPr>
          <w:rFonts w:eastAsia="Calibri"/>
          <w:bCs/>
          <w:szCs w:val="22"/>
        </w:rPr>
        <w:t xml:space="preserve">hile staff recognised the existence of structural causes for unemployment, the ideology of a ‘complex’ socio-economic pathology ‘weighted’ structural and personal factors equally. This perception used key ‘neoliberal’ terms, </w:t>
      </w:r>
      <w:r w:rsidR="005173AB">
        <w:rPr>
          <w:rFonts w:eastAsia="Calibri"/>
          <w:bCs/>
          <w:szCs w:val="22"/>
        </w:rPr>
        <w:t>i.e. ‘workles</w:t>
      </w:r>
      <w:r w:rsidR="003D1D8D">
        <w:rPr>
          <w:rFonts w:eastAsia="Calibri"/>
          <w:bCs/>
          <w:szCs w:val="22"/>
        </w:rPr>
        <w:t>s</w:t>
      </w:r>
      <w:r w:rsidR="005173AB">
        <w:rPr>
          <w:rFonts w:eastAsia="Calibri"/>
          <w:bCs/>
          <w:szCs w:val="22"/>
        </w:rPr>
        <w:t xml:space="preserve">ness’ and ‘welfare reform’, </w:t>
      </w:r>
      <w:r w:rsidR="00EF150E">
        <w:rPr>
          <w:rFonts w:eastAsia="Calibri"/>
          <w:bCs/>
          <w:szCs w:val="22"/>
        </w:rPr>
        <w:t xml:space="preserve">and it drew on real people with real problems for its empirical basis. However, it also radically inflated staff </w:t>
      </w:r>
      <w:r w:rsidR="00913C4D">
        <w:rPr>
          <w:rFonts w:eastAsia="Calibri"/>
          <w:bCs/>
          <w:szCs w:val="22"/>
        </w:rPr>
        <w:t>self-</w:t>
      </w:r>
      <w:r w:rsidR="00EF150E">
        <w:rPr>
          <w:rFonts w:eastAsia="Calibri"/>
          <w:bCs/>
          <w:szCs w:val="22"/>
        </w:rPr>
        <w:t>perceptions of their</w:t>
      </w:r>
      <w:r w:rsidR="00A27C4A">
        <w:rPr>
          <w:rFonts w:eastAsia="Calibri"/>
          <w:bCs/>
          <w:szCs w:val="22"/>
        </w:rPr>
        <w:t xml:space="preserve"> roles as ‘frontline’ social medics providing vital, if doomed-to-fail, ‘help and support’</w:t>
      </w:r>
      <w:r w:rsidR="00EF150E">
        <w:rPr>
          <w:rFonts w:eastAsia="Calibri"/>
          <w:bCs/>
          <w:szCs w:val="22"/>
        </w:rPr>
        <w:t>. Non-employment related ‘soft outcomes’, often meaning just having a chat</w:t>
      </w:r>
      <w:r w:rsidR="001675B2">
        <w:rPr>
          <w:rFonts w:eastAsia="Calibri"/>
          <w:bCs/>
          <w:szCs w:val="22"/>
        </w:rPr>
        <w:t xml:space="preserve"> and signposting</w:t>
      </w:r>
      <w:r w:rsidR="00EF150E">
        <w:rPr>
          <w:rFonts w:eastAsia="Calibri"/>
          <w:bCs/>
          <w:szCs w:val="22"/>
        </w:rPr>
        <w:t xml:space="preserve">, became </w:t>
      </w:r>
      <w:r w:rsidR="001675B2">
        <w:rPr>
          <w:rFonts w:eastAsia="Calibri"/>
          <w:bCs/>
          <w:szCs w:val="22"/>
        </w:rPr>
        <w:t>transformed into positive, meaningful</w:t>
      </w:r>
      <w:r w:rsidR="00EF150E">
        <w:rPr>
          <w:rFonts w:eastAsia="Calibri"/>
          <w:bCs/>
          <w:szCs w:val="22"/>
        </w:rPr>
        <w:t xml:space="preserve"> interventions</w:t>
      </w:r>
      <w:r w:rsidR="00913C4D">
        <w:rPr>
          <w:rFonts w:eastAsia="Calibri"/>
          <w:bCs/>
          <w:szCs w:val="22"/>
        </w:rPr>
        <w:t xml:space="preserve">, which required, by definition, a strong belief in the existence of a pathological, welfare-dependent underclass. </w:t>
      </w:r>
      <w:r w:rsidR="005173AB">
        <w:rPr>
          <w:rFonts w:eastAsia="Calibri"/>
          <w:bCs/>
          <w:szCs w:val="22"/>
        </w:rPr>
        <w:t xml:space="preserve"> </w:t>
      </w:r>
    </w:p>
    <w:p w:rsidR="00211FA5" w:rsidRDefault="00211FA5" w:rsidP="006608C6">
      <w:pPr>
        <w:spacing w:after="0" w:line="360" w:lineRule="auto"/>
        <w:jc w:val="both"/>
        <w:rPr>
          <w:rFonts w:cstheme="minorBidi"/>
          <w:bCs/>
          <w:szCs w:val="22"/>
        </w:rPr>
      </w:pPr>
    </w:p>
    <w:p w:rsidR="00211FA5" w:rsidRDefault="00211FA5" w:rsidP="006608C6">
      <w:pPr>
        <w:spacing w:after="0" w:line="360" w:lineRule="auto"/>
        <w:jc w:val="both"/>
        <w:rPr>
          <w:rFonts w:cstheme="minorBidi"/>
          <w:bCs/>
          <w:szCs w:val="22"/>
        </w:rPr>
      </w:pPr>
    </w:p>
    <w:p w:rsidR="00211FA5" w:rsidRPr="00630545" w:rsidRDefault="00630545" w:rsidP="006608C6">
      <w:pPr>
        <w:spacing w:after="0" w:line="360" w:lineRule="auto"/>
        <w:jc w:val="both"/>
        <w:rPr>
          <w:rFonts w:cstheme="minorBidi"/>
          <w:bCs/>
          <w:i/>
          <w:szCs w:val="22"/>
        </w:rPr>
      </w:pPr>
      <w:r>
        <w:rPr>
          <w:rFonts w:cstheme="minorBidi"/>
          <w:bCs/>
          <w:i/>
          <w:szCs w:val="22"/>
        </w:rPr>
        <w:t>Bibliography</w:t>
      </w:r>
    </w:p>
    <w:p w:rsidR="00A60B23" w:rsidRDefault="00A60B23" w:rsidP="00A60B23">
      <w:pPr>
        <w:jc w:val="both"/>
        <w:rPr>
          <w:rFonts w:cstheme="minorBidi"/>
          <w:bCs/>
          <w:szCs w:val="22"/>
        </w:rPr>
      </w:pPr>
      <w:r>
        <w:rPr>
          <w:rFonts w:cstheme="minorBidi"/>
          <w:bCs/>
          <w:szCs w:val="22"/>
        </w:rPr>
        <w:t>Bartholomew, J.</w:t>
      </w:r>
      <w:r w:rsidRPr="00A60B23">
        <w:rPr>
          <w:rFonts w:cstheme="minorBidi"/>
          <w:bCs/>
          <w:szCs w:val="22"/>
        </w:rPr>
        <w:t xml:space="preserve"> (2006). </w:t>
      </w:r>
      <w:r w:rsidRPr="00A60B23">
        <w:rPr>
          <w:rFonts w:cstheme="minorBidi"/>
          <w:bCs/>
          <w:i/>
          <w:szCs w:val="22"/>
        </w:rPr>
        <w:t xml:space="preserve">The Welfare State </w:t>
      </w:r>
      <w:r>
        <w:rPr>
          <w:rFonts w:cstheme="minorBidi"/>
          <w:bCs/>
          <w:i/>
          <w:szCs w:val="22"/>
        </w:rPr>
        <w:t>W</w:t>
      </w:r>
      <w:r w:rsidRPr="00A60B23">
        <w:rPr>
          <w:rFonts w:cstheme="minorBidi"/>
          <w:bCs/>
          <w:i/>
          <w:szCs w:val="22"/>
        </w:rPr>
        <w:t>e’re In</w:t>
      </w:r>
      <w:r w:rsidRPr="00A60B23">
        <w:rPr>
          <w:rFonts w:cstheme="minorBidi"/>
          <w:bCs/>
          <w:szCs w:val="22"/>
        </w:rPr>
        <w:t xml:space="preserve">. London: Politico’s Publishing. </w:t>
      </w:r>
    </w:p>
    <w:p w:rsidR="00C10234" w:rsidRPr="00A60B23" w:rsidRDefault="00C10234" w:rsidP="00A60B23">
      <w:pPr>
        <w:jc w:val="both"/>
        <w:rPr>
          <w:rFonts w:cstheme="minorBidi"/>
          <w:bCs/>
          <w:szCs w:val="22"/>
        </w:rPr>
      </w:pPr>
      <w:r>
        <w:rPr>
          <w:rFonts w:cstheme="minorBidi"/>
          <w:bCs/>
          <w:szCs w:val="22"/>
        </w:rPr>
        <w:t>Berger, P.</w:t>
      </w:r>
      <w:r w:rsidRPr="00C10234">
        <w:rPr>
          <w:rFonts w:cstheme="minorBidi"/>
          <w:bCs/>
          <w:szCs w:val="22"/>
        </w:rPr>
        <w:t xml:space="preserve"> (1963). </w:t>
      </w:r>
      <w:r w:rsidRPr="00C10234">
        <w:rPr>
          <w:rFonts w:cstheme="minorBidi"/>
          <w:bCs/>
          <w:i/>
          <w:iCs/>
          <w:szCs w:val="22"/>
        </w:rPr>
        <w:t>Invitation to Sociology</w:t>
      </w:r>
      <w:r w:rsidRPr="00C10234">
        <w:rPr>
          <w:rFonts w:cstheme="minorBidi"/>
          <w:bCs/>
          <w:szCs w:val="22"/>
        </w:rPr>
        <w:t>. Harmondsworth: Pelican Books Ltd.</w:t>
      </w:r>
    </w:p>
    <w:p w:rsidR="00A05873" w:rsidRDefault="00A05873" w:rsidP="006608C6">
      <w:pPr>
        <w:jc w:val="both"/>
        <w:rPr>
          <w:bCs/>
        </w:rPr>
      </w:pPr>
      <w:r w:rsidRPr="00AB5E69">
        <w:rPr>
          <w:bCs/>
        </w:rPr>
        <w:t>B</w:t>
      </w:r>
      <w:r w:rsidR="00A60B23">
        <w:rPr>
          <w:bCs/>
        </w:rPr>
        <w:t>oland, T.</w:t>
      </w:r>
      <w:r w:rsidRPr="00AB5E69">
        <w:rPr>
          <w:bCs/>
        </w:rPr>
        <w:t xml:space="preserve"> (2016) Seeking a role: disciplining jobseekers as actors in the labour market. </w:t>
      </w:r>
      <w:r w:rsidRPr="00AB5E69">
        <w:rPr>
          <w:bCs/>
          <w:i/>
        </w:rPr>
        <w:t>Work, Employment and Society</w:t>
      </w:r>
      <w:r w:rsidRPr="00AB5E69">
        <w:rPr>
          <w:bCs/>
        </w:rPr>
        <w:t>. 30(2): 334–351.</w:t>
      </w:r>
    </w:p>
    <w:p w:rsidR="00C572FF" w:rsidRDefault="00C572FF" w:rsidP="006608C6">
      <w:pPr>
        <w:jc w:val="both"/>
        <w:rPr>
          <w:bCs/>
        </w:rPr>
      </w:pPr>
      <w:r w:rsidRPr="00C572FF">
        <w:rPr>
          <w:bCs/>
        </w:rPr>
        <w:t xml:space="preserve">Brady, M. (2011) Researching governmentalities through ethnography: the case of Australian welfare reforms and programs for single parents. </w:t>
      </w:r>
      <w:r w:rsidRPr="00C572FF">
        <w:rPr>
          <w:bCs/>
          <w:i/>
        </w:rPr>
        <w:t>Critical Policy Studies</w:t>
      </w:r>
      <w:r w:rsidRPr="00C572FF">
        <w:rPr>
          <w:bCs/>
        </w:rPr>
        <w:t>, 5(3): 264-282.</w:t>
      </w:r>
    </w:p>
    <w:p w:rsidR="00C572FF" w:rsidRPr="00AB5E69" w:rsidRDefault="00C572FF" w:rsidP="006608C6">
      <w:pPr>
        <w:jc w:val="both"/>
        <w:rPr>
          <w:bCs/>
        </w:rPr>
      </w:pPr>
      <w:proofErr w:type="spellStart"/>
      <w:r w:rsidRPr="00C572FF">
        <w:rPr>
          <w:bCs/>
        </w:rPr>
        <w:t>Bryner</w:t>
      </w:r>
      <w:proofErr w:type="spellEnd"/>
      <w:r w:rsidRPr="00C572FF">
        <w:rPr>
          <w:bCs/>
        </w:rPr>
        <w:t xml:space="preserve">, G. (1998) </w:t>
      </w:r>
      <w:r w:rsidRPr="00C572FF">
        <w:rPr>
          <w:bCs/>
          <w:i/>
          <w:iCs/>
        </w:rPr>
        <w:t>The Great American Welfare Reform Debate: Politics and Public Morality</w:t>
      </w:r>
      <w:r w:rsidRPr="00C572FF">
        <w:rPr>
          <w:bCs/>
        </w:rPr>
        <w:t>. London: W. W. Norton and Company.</w:t>
      </w:r>
    </w:p>
    <w:p w:rsidR="00A05873" w:rsidRPr="00AB5E69" w:rsidRDefault="00A05873" w:rsidP="006608C6">
      <w:pPr>
        <w:jc w:val="both"/>
        <w:rPr>
          <w:bCs/>
          <w:iCs/>
        </w:rPr>
      </w:pPr>
      <w:r w:rsidRPr="00AB5E69">
        <w:rPr>
          <w:bCs/>
          <w:iCs/>
        </w:rPr>
        <w:t xml:space="preserve">Centre for Economic and Social Inclusion </w:t>
      </w:r>
    </w:p>
    <w:p w:rsidR="00A05873" w:rsidRPr="00AB5E69" w:rsidRDefault="00A05873" w:rsidP="006608C6">
      <w:pPr>
        <w:numPr>
          <w:ilvl w:val="0"/>
          <w:numId w:val="3"/>
        </w:numPr>
        <w:jc w:val="both"/>
        <w:rPr>
          <w:bCs/>
          <w:iCs/>
        </w:rPr>
      </w:pPr>
      <w:r w:rsidRPr="00AB5E69">
        <w:rPr>
          <w:bCs/>
          <w:iCs/>
        </w:rPr>
        <w:t xml:space="preserve">(2012) </w:t>
      </w:r>
      <w:r w:rsidRPr="00AB5E69">
        <w:rPr>
          <w:bCs/>
          <w:i/>
          <w:iCs/>
        </w:rPr>
        <w:t xml:space="preserve">Work Programme Performance Statistics </w:t>
      </w:r>
      <w:r w:rsidRPr="00AB5E69">
        <w:rPr>
          <w:bCs/>
          <w:iCs/>
        </w:rPr>
        <w:t xml:space="preserve">URL: </w:t>
      </w:r>
      <w:hyperlink r:id="rId8" w:history="1">
        <w:r w:rsidRPr="00AB5E69">
          <w:rPr>
            <w:rStyle w:val="Hyperlink"/>
            <w:bCs/>
            <w:iCs/>
          </w:rPr>
          <w:t>http://stats.cesi.org.uk/website_documents/initial_WP_Performance_InclusionComment.pdf Accessed 20/3/12</w:t>
        </w:r>
      </w:hyperlink>
    </w:p>
    <w:p w:rsidR="00A05873" w:rsidRPr="00AB5E69" w:rsidRDefault="00A05873" w:rsidP="006608C6">
      <w:pPr>
        <w:numPr>
          <w:ilvl w:val="0"/>
          <w:numId w:val="3"/>
        </w:numPr>
        <w:jc w:val="both"/>
        <w:rPr>
          <w:bCs/>
          <w:iCs/>
        </w:rPr>
      </w:pPr>
      <w:r w:rsidRPr="00AB5E69">
        <w:rPr>
          <w:bCs/>
          <w:iCs/>
        </w:rPr>
        <w:lastRenderedPageBreak/>
        <w:t xml:space="preserve">(2013a) </w:t>
      </w:r>
      <w:r w:rsidRPr="00AB5E69">
        <w:rPr>
          <w:bCs/>
          <w:i/>
          <w:iCs/>
        </w:rPr>
        <w:t>Policy Guides: Work Programme.</w:t>
      </w:r>
      <w:r w:rsidRPr="00AB5E69">
        <w:rPr>
          <w:bCs/>
          <w:iCs/>
        </w:rPr>
        <w:t xml:space="preserve"> URL: </w:t>
      </w:r>
      <w:hyperlink r:id="rId9" w:history="1">
        <w:r w:rsidRPr="00AB5E69">
          <w:rPr>
            <w:rStyle w:val="Hyperlink"/>
            <w:bCs/>
            <w:iCs/>
          </w:rPr>
          <w:t>http://cesi.org.uk/keypolicy/work-programme Accessed 22/3/15</w:t>
        </w:r>
      </w:hyperlink>
      <w:r w:rsidRPr="00AB5E69">
        <w:rPr>
          <w:bCs/>
          <w:iCs/>
        </w:rPr>
        <w:t>.</w:t>
      </w:r>
    </w:p>
    <w:p w:rsidR="00A05873" w:rsidRPr="00AB5E69" w:rsidRDefault="00A05873" w:rsidP="006608C6">
      <w:pPr>
        <w:numPr>
          <w:ilvl w:val="0"/>
          <w:numId w:val="3"/>
        </w:numPr>
        <w:jc w:val="both"/>
        <w:rPr>
          <w:bCs/>
          <w:iCs/>
        </w:rPr>
      </w:pPr>
      <w:r w:rsidRPr="00AB5E69">
        <w:rPr>
          <w:bCs/>
          <w:iCs/>
        </w:rPr>
        <w:t xml:space="preserve">(2013b) </w:t>
      </w:r>
      <w:r w:rsidRPr="00AB5E69">
        <w:rPr>
          <w:bCs/>
          <w:i/>
          <w:iCs/>
        </w:rPr>
        <w:t xml:space="preserve">Government Work Experience Schemes: What Are the Differences? </w:t>
      </w:r>
      <w:r w:rsidRPr="00AB5E69">
        <w:rPr>
          <w:bCs/>
          <w:iCs/>
        </w:rPr>
        <w:t xml:space="preserve">URL: </w:t>
      </w:r>
      <w:hyperlink r:id="rId10" w:history="1">
        <w:r w:rsidRPr="00AB5E69">
          <w:rPr>
            <w:rStyle w:val="Hyperlink"/>
            <w:bCs/>
            <w:iCs/>
          </w:rPr>
          <w:t>https://www2.learningandwork.org.uk/keypolicy/government-work-experience-schemes-what-are-differences Accessed 31/7/16</w:t>
        </w:r>
      </w:hyperlink>
    </w:p>
    <w:p w:rsidR="00A05873" w:rsidRPr="00AB5E69" w:rsidRDefault="00A05873" w:rsidP="006608C6">
      <w:pPr>
        <w:numPr>
          <w:ilvl w:val="0"/>
          <w:numId w:val="3"/>
        </w:numPr>
        <w:jc w:val="both"/>
        <w:rPr>
          <w:bCs/>
          <w:iCs/>
        </w:rPr>
      </w:pPr>
      <w:r w:rsidRPr="00AB5E69">
        <w:rPr>
          <w:bCs/>
          <w:iCs/>
        </w:rPr>
        <w:t xml:space="preserve">(2014) </w:t>
      </w:r>
      <w:r w:rsidRPr="00AB5E69">
        <w:rPr>
          <w:bCs/>
          <w:i/>
          <w:iCs/>
        </w:rPr>
        <w:t>DWP Work Programme: how is it performing?</w:t>
      </w:r>
      <w:r w:rsidRPr="00AB5E69">
        <w:rPr>
          <w:bCs/>
          <w:iCs/>
        </w:rPr>
        <w:t xml:space="preserve"> URL: </w:t>
      </w:r>
      <w:hyperlink r:id="rId11" w:history="1">
        <w:r w:rsidRPr="00AB5E69">
          <w:rPr>
            <w:rStyle w:val="Hyperlink"/>
            <w:bCs/>
            <w:iCs/>
          </w:rPr>
          <w:t>http://cesi.org.uk/sites/default/files/response_downloads/WP_stats_briefing_SEPT14_MASTER.pdf</w:t>
        </w:r>
      </w:hyperlink>
      <w:r w:rsidRPr="00AB5E69">
        <w:rPr>
          <w:bCs/>
          <w:iCs/>
        </w:rPr>
        <w:t xml:space="preserve"> Accessed 27/10/15.</w:t>
      </w:r>
    </w:p>
    <w:p w:rsidR="00A05873" w:rsidRPr="00AB5E69" w:rsidRDefault="00C613B8" w:rsidP="006608C6">
      <w:pPr>
        <w:jc w:val="both"/>
      </w:pPr>
      <w:r>
        <w:t>Danaher, G.;</w:t>
      </w:r>
      <w:r w:rsidR="00211FA5">
        <w:t xml:space="preserve"> We</w:t>
      </w:r>
      <w:r>
        <w:t>bb, J.;</w:t>
      </w:r>
      <w:r w:rsidR="00211FA5">
        <w:t xml:space="preserve"> Schirato, T.</w:t>
      </w:r>
      <w:r w:rsidR="00A05873" w:rsidRPr="00AB5E69">
        <w:t xml:space="preserve"> (2000) </w:t>
      </w:r>
      <w:r w:rsidR="00A05873" w:rsidRPr="00AB5E69">
        <w:rPr>
          <w:i/>
          <w:iCs/>
        </w:rPr>
        <w:t>Understanding Foucault</w:t>
      </w:r>
      <w:r w:rsidR="00A05873" w:rsidRPr="00AB5E69">
        <w:t>. London: Sage Publications, Inc.</w:t>
      </w:r>
    </w:p>
    <w:p w:rsidR="00A05873" w:rsidRPr="00AB5E69" w:rsidRDefault="00211FA5" w:rsidP="006608C6">
      <w:pPr>
        <w:jc w:val="both"/>
        <w:rPr>
          <w:bCs/>
        </w:rPr>
      </w:pPr>
      <w:r>
        <w:rPr>
          <w:bCs/>
        </w:rPr>
        <w:t>Davies, C.</w:t>
      </w:r>
      <w:r w:rsidR="00A05873" w:rsidRPr="00AB5E69">
        <w:rPr>
          <w:bCs/>
        </w:rPr>
        <w:t xml:space="preserve"> (1999) </w:t>
      </w:r>
      <w:r w:rsidR="00A05873" w:rsidRPr="00AB5E69">
        <w:rPr>
          <w:bCs/>
          <w:i/>
        </w:rPr>
        <w:t>Reflexive Ethnography: A Guide to Researching Selves and Others</w:t>
      </w:r>
      <w:r w:rsidR="00A05873" w:rsidRPr="00AB5E69">
        <w:rPr>
          <w:bCs/>
        </w:rPr>
        <w:t>. London: Routledge.</w:t>
      </w:r>
    </w:p>
    <w:p w:rsidR="00A05873" w:rsidRDefault="00A05873" w:rsidP="006608C6">
      <w:pPr>
        <w:jc w:val="both"/>
        <w:rPr>
          <w:bCs/>
        </w:rPr>
      </w:pPr>
      <w:r w:rsidRPr="00AB5E69">
        <w:rPr>
          <w:bCs/>
        </w:rPr>
        <w:t xml:space="preserve">Department for Work and Pensions </w:t>
      </w:r>
    </w:p>
    <w:p w:rsidR="00A05873" w:rsidRPr="00AB5E69" w:rsidRDefault="00A05873" w:rsidP="006608C6">
      <w:pPr>
        <w:pStyle w:val="ListParagraph"/>
        <w:numPr>
          <w:ilvl w:val="0"/>
          <w:numId w:val="3"/>
        </w:numPr>
        <w:jc w:val="both"/>
        <w:rPr>
          <w:bCs/>
        </w:rPr>
      </w:pPr>
      <w:r>
        <w:rPr>
          <w:bCs/>
        </w:rPr>
        <w:t xml:space="preserve"> (2012)</w:t>
      </w:r>
      <w:r w:rsidRPr="00AB5E69">
        <w:rPr>
          <w:bCs/>
        </w:rPr>
        <w:t xml:space="preserve"> </w:t>
      </w:r>
      <w:r w:rsidRPr="00AB5E69">
        <w:rPr>
          <w:bCs/>
          <w:i/>
        </w:rPr>
        <w:t>Employment Programme Support Official Statistics</w:t>
      </w:r>
      <w:r w:rsidRPr="00AB5E69">
        <w:rPr>
          <w:bCs/>
        </w:rPr>
        <w:t xml:space="preserve">. URL: </w:t>
      </w:r>
      <w:hyperlink r:id="rId12" w:history="1">
        <w:r w:rsidRPr="00AB5E69">
          <w:rPr>
            <w:rStyle w:val="Hyperlink"/>
            <w:bCs/>
          </w:rPr>
          <w:t>https://www.gov.uk/government/uploads/system/uploads/attachment_data/file/206860/Employment_Programme_Support_Official_Statistics_information.pdf</w:t>
        </w:r>
      </w:hyperlink>
      <w:r w:rsidRPr="00AB5E69">
        <w:rPr>
          <w:bCs/>
        </w:rPr>
        <w:t xml:space="preserve"> Accessed 25/10/25.</w:t>
      </w:r>
    </w:p>
    <w:p w:rsidR="00A05873" w:rsidRDefault="00A05873" w:rsidP="006608C6">
      <w:pPr>
        <w:pStyle w:val="ListParagraph"/>
        <w:numPr>
          <w:ilvl w:val="0"/>
          <w:numId w:val="3"/>
        </w:numPr>
        <w:jc w:val="both"/>
        <w:rPr>
          <w:bCs/>
        </w:rPr>
      </w:pPr>
      <w:r>
        <w:rPr>
          <w:bCs/>
        </w:rPr>
        <w:t>(2013a)</w:t>
      </w:r>
      <w:r w:rsidRPr="00AB5E69">
        <w:rPr>
          <w:bCs/>
        </w:rPr>
        <w:t xml:space="preserve"> </w:t>
      </w:r>
      <w:r w:rsidRPr="00AB5E69">
        <w:rPr>
          <w:bCs/>
          <w:i/>
        </w:rPr>
        <w:t>Work Programme: Minimum Service Delivery</w:t>
      </w:r>
      <w:r w:rsidRPr="00AB5E69">
        <w:rPr>
          <w:bCs/>
        </w:rPr>
        <w:t xml:space="preserve">. URL: </w:t>
      </w:r>
      <w:hyperlink r:id="rId13" w:history="1">
        <w:r w:rsidRPr="00AB5E69">
          <w:rPr>
            <w:rStyle w:val="Hyperlink"/>
            <w:bCs/>
          </w:rPr>
          <w:t>https://www.gov.uk/government/uploads/system/uploads/attachment_data/file/401645/provider-minimum-service-delivery.pdf</w:t>
        </w:r>
      </w:hyperlink>
      <w:r w:rsidRPr="00AB5E69">
        <w:rPr>
          <w:bCs/>
        </w:rPr>
        <w:t xml:space="preserve"> Accessed 25/10/15.</w:t>
      </w:r>
    </w:p>
    <w:p w:rsidR="00A05873" w:rsidRPr="00AB5E69" w:rsidRDefault="00A05873" w:rsidP="006608C6">
      <w:pPr>
        <w:pStyle w:val="ListParagraph"/>
        <w:numPr>
          <w:ilvl w:val="0"/>
          <w:numId w:val="3"/>
        </w:numPr>
        <w:jc w:val="both"/>
        <w:rPr>
          <w:bCs/>
        </w:rPr>
      </w:pPr>
      <w:r>
        <w:rPr>
          <w:bCs/>
        </w:rPr>
        <w:t>(2013b</w:t>
      </w:r>
      <w:r w:rsidRPr="00AB5E69">
        <w:rPr>
          <w:bCs/>
        </w:rPr>
        <w:t xml:space="preserve">). </w:t>
      </w:r>
      <w:r w:rsidRPr="00AB5E69">
        <w:rPr>
          <w:bCs/>
          <w:i/>
        </w:rPr>
        <w:t>Work Programme – Programme Costs to 31 March 2013</w:t>
      </w:r>
      <w:r w:rsidRPr="00AB5E69">
        <w:rPr>
          <w:bCs/>
        </w:rPr>
        <w:t xml:space="preserve">. URL: </w:t>
      </w:r>
      <w:hyperlink r:id="rId14" w:history="1">
        <w:r w:rsidRPr="00AB5E69">
          <w:rPr>
            <w:rStyle w:val="Hyperlink"/>
            <w:bCs/>
          </w:rPr>
          <w:t>https://www.gov.uk/government/uploads/system/uploads/attachment_data/file/209260/wp-costs-to-31-march-2013.pdf</w:t>
        </w:r>
      </w:hyperlink>
      <w:r w:rsidRPr="00AB5E69">
        <w:rPr>
          <w:bCs/>
        </w:rPr>
        <w:t xml:space="preserve"> Accessed 25/10/15.</w:t>
      </w:r>
    </w:p>
    <w:p w:rsidR="00A05873" w:rsidRDefault="00A05873" w:rsidP="006608C6">
      <w:pPr>
        <w:pStyle w:val="ListParagraph"/>
        <w:numPr>
          <w:ilvl w:val="0"/>
          <w:numId w:val="3"/>
        </w:numPr>
        <w:jc w:val="both"/>
        <w:rPr>
          <w:bCs/>
        </w:rPr>
      </w:pPr>
      <w:r>
        <w:rPr>
          <w:bCs/>
        </w:rPr>
        <w:t xml:space="preserve">(2014a) </w:t>
      </w:r>
      <w:r w:rsidRPr="00AB5E69">
        <w:rPr>
          <w:bCs/>
          <w:i/>
        </w:rPr>
        <w:t>Work Programme Provider Guidance: Chapter 3b</w:t>
      </w:r>
      <w:r w:rsidRPr="00AB5E69">
        <w:rPr>
          <w:bCs/>
        </w:rPr>
        <w:t xml:space="preserve">. URL: </w:t>
      </w:r>
      <w:hyperlink r:id="rId15" w:history="1">
        <w:r w:rsidRPr="00AD2AE6">
          <w:rPr>
            <w:rStyle w:val="Hyperlink"/>
            <w:bCs/>
          </w:rPr>
          <w:t>https://www.gov.uk/government/uploads/system/uploads/attachment_data/file/264164/wp-pg-chapter-3b.pdf Accessed 25/20/25</w:t>
        </w:r>
      </w:hyperlink>
    </w:p>
    <w:p w:rsidR="00A05873" w:rsidRDefault="00A05873" w:rsidP="006608C6">
      <w:pPr>
        <w:pStyle w:val="ListParagraph"/>
        <w:numPr>
          <w:ilvl w:val="0"/>
          <w:numId w:val="3"/>
        </w:numPr>
        <w:jc w:val="both"/>
        <w:rPr>
          <w:bCs/>
        </w:rPr>
      </w:pPr>
      <w:r>
        <w:rPr>
          <w:bCs/>
        </w:rPr>
        <w:t>(2014b</w:t>
      </w:r>
      <w:r w:rsidRPr="00AB5E69">
        <w:rPr>
          <w:bCs/>
        </w:rPr>
        <w:t xml:space="preserve">). </w:t>
      </w:r>
      <w:r w:rsidRPr="00AB5E69">
        <w:rPr>
          <w:bCs/>
          <w:i/>
        </w:rPr>
        <w:t>Work Programme – Programme Costs to 31st March 2014</w:t>
      </w:r>
      <w:r w:rsidRPr="00AB5E69">
        <w:rPr>
          <w:bCs/>
        </w:rPr>
        <w:t xml:space="preserve">. URL: </w:t>
      </w:r>
      <w:hyperlink r:id="rId16" w:history="1">
        <w:r w:rsidR="002446C0" w:rsidRPr="008336E2">
          <w:rPr>
            <w:rStyle w:val="Hyperlink"/>
            <w:bCs/>
          </w:rPr>
          <w:t>https://www.gov.uk/government/uploads/system/uploads/attachment_data/file/325995/Work_Programme_Costs_v7_2014-07-01.pdf Accessed 27/10/15</w:t>
        </w:r>
      </w:hyperlink>
      <w:r w:rsidRPr="00AB5E69">
        <w:rPr>
          <w:bCs/>
        </w:rPr>
        <w:t>.</w:t>
      </w:r>
    </w:p>
    <w:p w:rsidR="002446C0" w:rsidRPr="002446C0" w:rsidRDefault="002446C0" w:rsidP="006608C6">
      <w:pPr>
        <w:pStyle w:val="ListParagraph"/>
        <w:numPr>
          <w:ilvl w:val="0"/>
          <w:numId w:val="3"/>
        </w:numPr>
        <w:jc w:val="both"/>
        <w:rPr>
          <w:bCs/>
        </w:rPr>
      </w:pPr>
      <w:r>
        <w:rPr>
          <w:bCs/>
        </w:rPr>
        <w:t xml:space="preserve">(2014c) </w:t>
      </w:r>
      <w:r w:rsidRPr="002446C0">
        <w:rPr>
          <w:bCs/>
          <w:i/>
        </w:rPr>
        <w:t>Work Programme Official Statistics to June 2014</w:t>
      </w:r>
      <w:r w:rsidRPr="002446C0">
        <w:rPr>
          <w:bCs/>
        </w:rPr>
        <w:t xml:space="preserve">. URL: </w:t>
      </w:r>
      <w:hyperlink r:id="rId17" w:history="1">
        <w:r w:rsidRPr="002446C0">
          <w:rPr>
            <w:rStyle w:val="Hyperlink"/>
            <w:bCs/>
          </w:rPr>
          <w:t>https://www.gov.uk/government/uploads/system/uploads/attachment_data/file/355896/Work_Programme_Statistical_Release_Sep14_Final.pdf</w:t>
        </w:r>
      </w:hyperlink>
      <w:r w:rsidRPr="002446C0">
        <w:rPr>
          <w:bCs/>
        </w:rPr>
        <w:t xml:space="preserve"> Accessed 25/10/15.</w:t>
      </w:r>
    </w:p>
    <w:p w:rsidR="00A05873" w:rsidRPr="00AB5E69" w:rsidRDefault="002446C0" w:rsidP="006608C6">
      <w:pPr>
        <w:pStyle w:val="ListParagraph"/>
        <w:numPr>
          <w:ilvl w:val="0"/>
          <w:numId w:val="3"/>
        </w:numPr>
        <w:jc w:val="both"/>
        <w:rPr>
          <w:bCs/>
        </w:rPr>
      </w:pPr>
      <w:r>
        <w:rPr>
          <w:bCs/>
        </w:rPr>
        <w:t>(2014d</w:t>
      </w:r>
      <w:r w:rsidR="00A05873">
        <w:rPr>
          <w:bCs/>
        </w:rPr>
        <w:t xml:space="preserve">) </w:t>
      </w:r>
      <w:r w:rsidR="00A05873" w:rsidRPr="002446C0">
        <w:rPr>
          <w:bCs/>
          <w:i/>
        </w:rPr>
        <w:t>Freedom of Information request 2014-4134.</w:t>
      </w:r>
      <w:r w:rsidR="00A05873" w:rsidRPr="00AB5E69">
        <w:rPr>
          <w:bCs/>
        </w:rPr>
        <w:t xml:space="preserve"> URL: </w:t>
      </w:r>
      <w:hyperlink r:id="rId18" w:history="1">
        <w:r w:rsidR="00A05873" w:rsidRPr="00AD2AE6">
          <w:rPr>
            <w:rStyle w:val="Hyperlink"/>
            <w:bCs/>
          </w:rPr>
          <w:t>https://www.gov.uk/government/uploads/system/uploads/attachment_data/file/382713/foi-2014-4134.pdf</w:t>
        </w:r>
      </w:hyperlink>
      <w:r w:rsidR="00A05873">
        <w:rPr>
          <w:bCs/>
        </w:rPr>
        <w:t xml:space="preserve"> </w:t>
      </w:r>
      <w:r w:rsidR="00A05873" w:rsidRPr="00AB5E69">
        <w:rPr>
          <w:bCs/>
        </w:rPr>
        <w:t>Accessed 25/10/15.</w:t>
      </w:r>
    </w:p>
    <w:p w:rsidR="00A05873" w:rsidRDefault="00A05873" w:rsidP="006608C6">
      <w:pPr>
        <w:pStyle w:val="ListParagraph"/>
        <w:numPr>
          <w:ilvl w:val="0"/>
          <w:numId w:val="3"/>
        </w:numPr>
        <w:jc w:val="both"/>
        <w:rPr>
          <w:bCs/>
        </w:rPr>
      </w:pPr>
      <w:r w:rsidRPr="00AB5E69">
        <w:rPr>
          <w:bCs/>
        </w:rPr>
        <w:t>(2015) S</w:t>
      </w:r>
      <w:r w:rsidRPr="00AB5E69">
        <w:rPr>
          <w:bCs/>
          <w:i/>
        </w:rPr>
        <w:t>ettlement at the Spending Review 2015</w:t>
      </w:r>
      <w:r w:rsidRPr="00AB5E69">
        <w:rPr>
          <w:bCs/>
        </w:rPr>
        <w:t>. URL:</w:t>
      </w:r>
      <w:r w:rsidRPr="00AB5E69">
        <w:t xml:space="preserve"> </w:t>
      </w:r>
      <w:hyperlink r:id="rId19" w:history="1">
        <w:r w:rsidRPr="00AB5E69">
          <w:rPr>
            <w:rStyle w:val="Hyperlink"/>
            <w:bCs/>
          </w:rPr>
          <w:t>https://www.gov.uk/government/news/department-for-work-and-pensions-settlement-at-the-spending-review</w:t>
        </w:r>
      </w:hyperlink>
      <w:r w:rsidRPr="00AB5E69">
        <w:rPr>
          <w:bCs/>
        </w:rPr>
        <w:t xml:space="preserve"> Accessed 31/7/16</w:t>
      </w:r>
      <w:r w:rsidRPr="00AB5E69">
        <w:rPr>
          <w:bCs/>
        </w:rPr>
        <w:tab/>
      </w:r>
    </w:p>
    <w:p w:rsidR="00C572FF" w:rsidRPr="00C572FF" w:rsidRDefault="00C572FF" w:rsidP="00C572FF">
      <w:pPr>
        <w:jc w:val="both"/>
        <w:rPr>
          <w:bCs/>
        </w:rPr>
      </w:pPr>
      <w:r w:rsidRPr="00630545">
        <w:rPr>
          <w:bCs/>
        </w:rPr>
        <w:t xml:space="preserve">Dubois, V. (2009) Towards a critical policy ethnography: lessons from fieldwork on welfare control in France. </w:t>
      </w:r>
      <w:r w:rsidRPr="00630545">
        <w:rPr>
          <w:bCs/>
          <w:i/>
        </w:rPr>
        <w:t>Critical Policy Studies</w:t>
      </w:r>
      <w:r w:rsidRPr="00630545">
        <w:rPr>
          <w:bCs/>
        </w:rPr>
        <w:t>, 3(2): 221-239.</w:t>
      </w:r>
    </w:p>
    <w:p w:rsidR="00AA4F47" w:rsidRDefault="00AA4F47" w:rsidP="006608C6">
      <w:pPr>
        <w:jc w:val="both"/>
        <w:rPr>
          <w:bCs/>
        </w:rPr>
      </w:pPr>
      <w:r w:rsidRPr="00AA4F47">
        <w:rPr>
          <w:bCs/>
        </w:rPr>
        <w:t>Dunn, A. (2014) Rethinking Unemployment and the Work Ethic: Beyond the ‘Quasi-</w:t>
      </w:r>
      <w:proofErr w:type="spellStart"/>
      <w:r w:rsidRPr="00AA4F47">
        <w:rPr>
          <w:bCs/>
        </w:rPr>
        <w:t>Titmuss</w:t>
      </w:r>
      <w:proofErr w:type="spellEnd"/>
      <w:r w:rsidRPr="00AA4F47">
        <w:rPr>
          <w:bCs/>
        </w:rPr>
        <w:t xml:space="preserve">’ Paradigm. </w:t>
      </w:r>
      <w:r w:rsidRPr="00AA4F47">
        <w:rPr>
          <w:bCs/>
          <w:i/>
        </w:rPr>
        <w:t>Journal of Social Policy</w:t>
      </w:r>
      <w:r w:rsidRPr="00AA4F47">
        <w:rPr>
          <w:bCs/>
        </w:rPr>
        <w:t>, 44(3): 641-643.</w:t>
      </w:r>
    </w:p>
    <w:p w:rsidR="00A05873" w:rsidRDefault="00211FA5" w:rsidP="006608C6">
      <w:pPr>
        <w:jc w:val="both"/>
        <w:rPr>
          <w:bCs/>
        </w:rPr>
      </w:pPr>
      <w:r>
        <w:rPr>
          <w:bCs/>
        </w:rPr>
        <w:lastRenderedPageBreak/>
        <w:t xml:space="preserve">Fletcher, </w:t>
      </w:r>
      <w:r w:rsidR="00C572FF">
        <w:rPr>
          <w:bCs/>
        </w:rPr>
        <w:t xml:space="preserve">D. </w:t>
      </w:r>
      <w:r w:rsidR="00A05873" w:rsidRPr="00AB5E69">
        <w:rPr>
          <w:bCs/>
        </w:rPr>
        <w:t xml:space="preserve">(2011) Welfare Reform, Jobcentre Plus and the Street-Level Bureaucracy: Towards Inconsistent and Discriminatory Welfare for Severely Disadvantaged Groups? </w:t>
      </w:r>
      <w:r w:rsidR="00A05873" w:rsidRPr="00AB5E69">
        <w:rPr>
          <w:bCs/>
          <w:i/>
        </w:rPr>
        <w:t>Social Policy and Society</w:t>
      </w:r>
      <w:r w:rsidR="0029714E">
        <w:rPr>
          <w:bCs/>
        </w:rPr>
        <w:t>, 10(</w:t>
      </w:r>
      <w:r w:rsidR="00A05873" w:rsidRPr="00AB5E69">
        <w:rPr>
          <w:bCs/>
        </w:rPr>
        <w:t>4</w:t>
      </w:r>
      <w:r w:rsidR="0029714E">
        <w:rPr>
          <w:bCs/>
        </w:rPr>
        <w:t>)</w:t>
      </w:r>
      <w:r w:rsidR="00A05873" w:rsidRPr="00AB5E69">
        <w:rPr>
          <w:bCs/>
        </w:rPr>
        <w:t xml:space="preserve">: 445-458. </w:t>
      </w:r>
    </w:p>
    <w:p w:rsidR="00F34C8C" w:rsidRDefault="00F34C8C" w:rsidP="006608C6">
      <w:pPr>
        <w:jc w:val="both"/>
        <w:rPr>
          <w:bCs/>
        </w:rPr>
      </w:pPr>
      <w:r>
        <w:rPr>
          <w:bCs/>
        </w:rPr>
        <w:t xml:space="preserve">Goldberg, C (2001). </w:t>
      </w:r>
      <w:r w:rsidRPr="00F34C8C">
        <w:rPr>
          <w:bCs/>
        </w:rPr>
        <w:t>Welfare Recipients or Workers? Contesting the W</w:t>
      </w:r>
      <w:r>
        <w:rPr>
          <w:bCs/>
        </w:rPr>
        <w:t>orkfare State in New York City.</w:t>
      </w:r>
      <w:r w:rsidRPr="00F34C8C">
        <w:rPr>
          <w:bCs/>
        </w:rPr>
        <w:t xml:space="preserve"> </w:t>
      </w:r>
      <w:r w:rsidRPr="00F34C8C">
        <w:rPr>
          <w:bCs/>
          <w:i/>
          <w:iCs/>
        </w:rPr>
        <w:t>Sociological Theory</w:t>
      </w:r>
      <w:r>
        <w:rPr>
          <w:bCs/>
          <w:iCs/>
        </w:rPr>
        <w:t>, (</w:t>
      </w:r>
      <w:r>
        <w:rPr>
          <w:bCs/>
        </w:rPr>
        <w:t xml:space="preserve">19)2: </w:t>
      </w:r>
      <w:r w:rsidRPr="00F34C8C">
        <w:rPr>
          <w:bCs/>
        </w:rPr>
        <w:t>187-218.</w:t>
      </w:r>
    </w:p>
    <w:p w:rsidR="00C572FF" w:rsidRDefault="00C572FF" w:rsidP="006608C6">
      <w:pPr>
        <w:jc w:val="both"/>
        <w:rPr>
          <w:bCs/>
        </w:rPr>
      </w:pPr>
      <w:r w:rsidRPr="00C572FF">
        <w:rPr>
          <w:bCs/>
        </w:rPr>
        <w:t xml:space="preserve">Grant, A. (2013) Welfare reform, increased conditionality and discretion: Jobcentre Plus advisers’ experiences of targets and sanctions. </w:t>
      </w:r>
      <w:r w:rsidRPr="00C572FF">
        <w:rPr>
          <w:bCs/>
          <w:i/>
        </w:rPr>
        <w:t>Journal of Poverty and Social Justice</w:t>
      </w:r>
      <w:r w:rsidRPr="00C572FF">
        <w:rPr>
          <w:bCs/>
        </w:rPr>
        <w:t>, 21(2): 165–76.</w:t>
      </w:r>
    </w:p>
    <w:p w:rsidR="007B320E" w:rsidRDefault="00C572FF" w:rsidP="007B320E">
      <w:pPr>
        <w:spacing w:line="240" w:lineRule="auto"/>
        <w:ind w:left="720" w:hanging="720"/>
        <w:jc w:val="both"/>
        <w:rPr>
          <w:bCs/>
        </w:rPr>
      </w:pPr>
      <w:r w:rsidRPr="00C572FF">
        <w:rPr>
          <w:bCs/>
        </w:rPr>
        <w:t xml:space="preserve">Handler, J. (1995). </w:t>
      </w:r>
      <w:r w:rsidRPr="00C572FF">
        <w:rPr>
          <w:bCs/>
          <w:i/>
        </w:rPr>
        <w:t>The Poverty of Welfare Reform</w:t>
      </w:r>
      <w:r w:rsidRPr="00C572FF">
        <w:rPr>
          <w:bCs/>
        </w:rPr>
        <w:t>. New Haven: Yale University Press.</w:t>
      </w:r>
      <w:r w:rsidR="007B320E" w:rsidRPr="007B320E">
        <w:rPr>
          <w:bCs/>
        </w:rPr>
        <w:t xml:space="preserve"> </w:t>
      </w:r>
    </w:p>
    <w:p w:rsidR="00C572FF" w:rsidRPr="00C572FF" w:rsidRDefault="007B320E" w:rsidP="007B320E">
      <w:pPr>
        <w:spacing w:line="240" w:lineRule="auto"/>
        <w:ind w:left="720" w:hanging="720"/>
        <w:jc w:val="both"/>
        <w:rPr>
          <w:bCs/>
        </w:rPr>
      </w:pPr>
      <w:r w:rsidRPr="00B5441F">
        <w:rPr>
          <w:bCs/>
        </w:rPr>
        <w:t xml:space="preserve">House of Commons Library (2016) </w:t>
      </w:r>
      <w:r w:rsidRPr="00641790">
        <w:rPr>
          <w:bCs/>
          <w:i/>
        </w:rPr>
        <w:t>Work Programme: Background and Statistics.</w:t>
      </w:r>
    </w:p>
    <w:p w:rsidR="00C572FF" w:rsidRDefault="00C572FF" w:rsidP="006608C6">
      <w:pPr>
        <w:jc w:val="both"/>
        <w:rPr>
          <w:bCs/>
        </w:rPr>
      </w:pPr>
      <w:r w:rsidRPr="00C572FF">
        <w:rPr>
          <w:bCs/>
        </w:rPr>
        <w:t>Jones, C.</w:t>
      </w:r>
      <w:r>
        <w:rPr>
          <w:bCs/>
        </w:rPr>
        <w:t>;</w:t>
      </w:r>
      <w:r w:rsidRPr="00C572FF">
        <w:rPr>
          <w:bCs/>
        </w:rPr>
        <w:t xml:space="preserve"> Novak, T. (1999) </w:t>
      </w:r>
      <w:r w:rsidRPr="00C572FF">
        <w:rPr>
          <w:bCs/>
          <w:i/>
        </w:rPr>
        <w:t>Poverty, Welfare and the Disciplinary State</w:t>
      </w:r>
      <w:r w:rsidRPr="00C572FF">
        <w:rPr>
          <w:bCs/>
        </w:rPr>
        <w:t xml:space="preserve">. London: </w:t>
      </w:r>
      <w:proofErr w:type="spellStart"/>
      <w:r w:rsidRPr="00C572FF">
        <w:rPr>
          <w:bCs/>
        </w:rPr>
        <w:t>Routeledge</w:t>
      </w:r>
      <w:proofErr w:type="spellEnd"/>
      <w:r w:rsidRPr="00C572FF">
        <w:rPr>
          <w:bCs/>
        </w:rPr>
        <w:t>.</w:t>
      </w:r>
    </w:p>
    <w:p w:rsidR="00534792" w:rsidRPr="00534792" w:rsidRDefault="00534792" w:rsidP="006608C6">
      <w:pPr>
        <w:jc w:val="both"/>
        <w:rPr>
          <w:bCs/>
        </w:rPr>
      </w:pPr>
      <w:r>
        <w:rPr>
          <w:bCs/>
        </w:rPr>
        <w:t xml:space="preserve">Joseph Rowntree Foundation (2012) </w:t>
      </w:r>
      <w:r w:rsidRPr="00534792">
        <w:rPr>
          <w:bCs/>
          <w:i/>
        </w:rPr>
        <w:t>Are 'cultures of worklessness' passed down the generations?</w:t>
      </w:r>
      <w:r>
        <w:rPr>
          <w:bCs/>
          <w:i/>
        </w:rPr>
        <w:t xml:space="preserve"> </w:t>
      </w:r>
      <w:r>
        <w:rPr>
          <w:bCs/>
        </w:rPr>
        <w:t xml:space="preserve">URL: </w:t>
      </w:r>
      <w:hyperlink r:id="rId20" w:history="1">
        <w:r w:rsidRPr="00FC4B93">
          <w:rPr>
            <w:rStyle w:val="Hyperlink"/>
            <w:bCs/>
          </w:rPr>
          <w:t>https://www.jrf.org.uk/report/are-cultures-worklessness-passed-down-generations</w:t>
        </w:r>
      </w:hyperlink>
      <w:r>
        <w:rPr>
          <w:bCs/>
        </w:rPr>
        <w:t xml:space="preserve"> Accessed 5/6/17.</w:t>
      </w:r>
    </w:p>
    <w:p w:rsidR="00641790" w:rsidRDefault="00641790" w:rsidP="006608C6">
      <w:pPr>
        <w:jc w:val="both"/>
      </w:pPr>
      <w:r>
        <w:t xml:space="preserve">Marston, G. (2013) </w:t>
      </w:r>
      <w:r w:rsidRPr="00641790">
        <w:rPr>
          <w:i/>
        </w:rPr>
        <w:t>On ‘Activation Workers' Perceptions’: A Reply to Dunn</w:t>
      </w:r>
      <w:r w:rsidR="0029714E">
        <w:t>. Journal of Social Policy, 42(4): 819-</w:t>
      </w:r>
      <w:r>
        <w:t>827</w:t>
      </w:r>
      <w:r w:rsidR="0029714E">
        <w:t xml:space="preserve">. </w:t>
      </w:r>
    </w:p>
    <w:p w:rsidR="00A05873" w:rsidRPr="00AB5E69" w:rsidRDefault="00211FA5" w:rsidP="006608C6">
      <w:pPr>
        <w:jc w:val="both"/>
        <w:rPr>
          <w:bCs/>
        </w:rPr>
      </w:pPr>
      <w:r>
        <w:rPr>
          <w:bCs/>
        </w:rPr>
        <w:t>M</w:t>
      </w:r>
      <w:r w:rsidR="00DC5AB6">
        <w:rPr>
          <w:bCs/>
        </w:rPr>
        <w:t>a</w:t>
      </w:r>
      <w:r>
        <w:rPr>
          <w:bCs/>
        </w:rPr>
        <w:t>cDonald, C.</w:t>
      </w:r>
      <w:r w:rsidR="00C613B8">
        <w:rPr>
          <w:bCs/>
        </w:rPr>
        <w:t>;</w:t>
      </w:r>
      <w:r>
        <w:rPr>
          <w:bCs/>
        </w:rPr>
        <w:t xml:space="preserve"> Marston, G.</w:t>
      </w:r>
      <w:r w:rsidR="00A05873" w:rsidRPr="00AB5E69">
        <w:rPr>
          <w:bCs/>
        </w:rPr>
        <w:t xml:space="preserve"> 2005. Workfare as welfare: governing unemployment in the advanced liberal state. </w:t>
      </w:r>
      <w:r w:rsidR="00A05873" w:rsidRPr="00AB5E69">
        <w:rPr>
          <w:bCs/>
          <w:i/>
        </w:rPr>
        <w:t>Critical Social Policy</w:t>
      </w:r>
      <w:r w:rsidR="0029714E">
        <w:rPr>
          <w:bCs/>
        </w:rPr>
        <w:t>, 25(</w:t>
      </w:r>
      <w:r w:rsidR="00A05873" w:rsidRPr="00AB5E69">
        <w:rPr>
          <w:bCs/>
        </w:rPr>
        <w:t>3</w:t>
      </w:r>
      <w:r w:rsidR="0029714E">
        <w:rPr>
          <w:bCs/>
        </w:rPr>
        <w:t>)</w:t>
      </w:r>
      <w:r w:rsidR="00A05873" w:rsidRPr="00AB5E69">
        <w:rPr>
          <w:bCs/>
        </w:rPr>
        <w:t xml:space="preserve">: 374-401. </w:t>
      </w:r>
    </w:p>
    <w:p w:rsidR="00A05873" w:rsidRDefault="00C572FF" w:rsidP="006608C6">
      <w:pPr>
        <w:jc w:val="both"/>
      </w:pPr>
      <w:r>
        <w:t>Mead, L.</w:t>
      </w:r>
      <w:r w:rsidR="00A05873" w:rsidRPr="00AB5E69">
        <w:t xml:space="preserve"> (1986) </w:t>
      </w:r>
      <w:r w:rsidR="00A05873" w:rsidRPr="00AB5E69">
        <w:rPr>
          <w:i/>
          <w:iCs/>
        </w:rPr>
        <w:t>Beyond Entitlement</w:t>
      </w:r>
      <w:r w:rsidR="00A05873" w:rsidRPr="00AB5E69">
        <w:t>. London: Collier Macmillan Publishers.</w:t>
      </w:r>
    </w:p>
    <w:p w:rsidR="00DC5AB6" w:rsidRPr="00AB5E69" w:rsidRDefault="00C572FF" w:rsidP="00DC5AB6">
      <w:pPr>
        <w:jc w:val="both"/>
      </w:pPr>
      <w:r>
        <w:t>Moynihan, D.</w:t>
      </w:r>
      <w:r w:rsidR="00DC5AB6">
        <w:t xml:space="preserve"> (1965) </w:t>
      </w:r>
      <w:r w:rsidR="00DC5AB6" w:rsidRPr="007B320E">
        <w:rPr>
          <w:i/>
        </w:rPr>
        <w:t>The Negro Family: The Case for National Action</w:t>
      </w:r>
      <w:r w:rsidR="00DC5AB6">
        <w:t xml:space="preserve">. Blackpast.org: </w:t>
      </w:r>
      <w:hyperlink r:id="rId21" w:history="1">
        <w:r w:rsidR="00DC5AB6" w:rsidRPr="00C545DF">
          <w:rPr>
            <w:rStyle w:val="Hyperlink"/>
          </w:rPr>
          <w:t>http://www.blackpast.org/?q=primary/moynihan-report-1965</w:t>
        </w:r>
      </w:hyperlink>
      <w:r w:rsidR="00DC5AB6">
        <w:t xml:space="preserve"> Accessed 4/12/12</w:t>
      </w:r>
    </w:p>
    <w:p w:rsidR="00A05873" w:rsidRPr="00AB5E69" w:rsidRDefault="00A05873" w:rsidP="006608C6">
      <w:pPr>
        <w:jc w:val="both"/>
        <w:rPr>
          <w:bCs/>
          <w:iCs/>
        </w:rPr>
      </w:pPr>
      <w:r w:rsidRPr="00AB5E69">
        <w:rPr>
          <w:bCs/>
          <w:iCs/>
        </w:rPr>
        <w:t xml:space="preserve">National Audit Office (2012) </w:t>
      </w:r>
      <w:r w:rsidRPr="00AB5E69">
        <w:rPr>
          <w:bCs/>
          <w:i/>
          <w:iCs/>
        </w:rPr>
        <w:t>The Introduction of the Work Programme</w:t>
      </w:r>
      <w:r w:rsidRPr="00AB5E69">
        <w:rPr>
          <w:bCs/>
          <w:iCs/>
        </w:rPr>
        <w:t xml:space="preserve">. </w:t>
      </w:r>
    </w:p>
    <w:p w:rsidR="00A05873" w:rsidRPr="00AB5E69" w:rsidRDefault="00C613B8" w:rsidP="006608C6">
      <w:pPr>
        <w:jc w:val="both"/>
        <w:rPr>
          <w:bCs/>
          <w:iCs/>
        </w:rPr>
      </w:pPr>
      <w:r>
        <w:rPr>
          <w:bCs/>
          <w:iCs/>
        </w:rPr>
        <w:t>Newton, B.;</w:t>
      </w:r>
      <w:r w:rsidR="00211FA5">
        <w:rPr>
          <w:bCs/>
          <w:iCs/>
        </w:rPr>
        <w:t xml:space="preserve"> </w:t>
      </w:r>
      <w:proofErr w:type="spellStart"/>
      <w:r>
        <w:rPr>
          <w:bCs/>
          <w:iCs/>
        </w:rPr>
        <w:t>Meager</w:t>
      </w:r>
      <w:proofErr w:type="spellEnd"/>
      <w:r>
        <w:rPr>
          <w:bCs/>
          <w:iCs/>
        </w:rPr>
        <w:t>, N.; Bertram, C</w:t>
      </w:r>
      <w:r w:rsidR="00DC5AB6">
        <w:rPr>
          <w:bCs/>
          <w:iCs/>
        </w:rPr>
        <w:t xml:space="preserve">.; </w:t>
      </w:r>
      <w:r w:rsidR="00DC5AB6">
        <w:rPr>
          <w:bCs/>
          <w:i/>
          <w:iCs/>
        </w:rPr>
        <w:t>et al</w:t>
      </w:r>
      <w:r w:rsidR="00DC5AB6">
        <w:rPr>
          <w:bCs/>
          <w:iCs/>
        </w:rPr>
        <w:t>.</w:t>
      </w:r>
      <w:r w:rsidR="00A05873" w:rsidRPr="00AB5E69">
        <w:rPr>
          <w:bCs/>
          <w:iCs/>
        </w:rPr>
        <w:t xml:space="preserve"> (2012). </w:t>
      </w:r>
      <w:r w:rsidR="00A05873" w:rsidRPr="00AB5E69">
        <w:rPr>
          <w:bCs/>
          <w:i/>
          <w:iCs/>
        </w:rPr>
        <w:t>Work Programme Evaluation: Findings from the First Phase of Qualitative Research on Programme Delivery</w:t>
      </w:r>
      <w:r w:rsidR="00A05873" w:rsidRPr="00AB5E69">
        <w:rPr>
          <w:bCs/>
          <w:iCs/>
        </w:rPr>
        <w:t xml:space="preserve">. Department for Work and Pensions. </w:t>
      </w:r>
    </w:p>
    <w:p w:rsidR="00A05873" w:rsidRDefault="00DC5AB6" w:rsidP="006608C6">
      <w:pPr>
        <w:jc w:val="both"/>
        <w:rPr>
          <w:bCs/>
        </w:rPr>
      </w:pPr>
      <w:r>
        <w:rPr>
          <w:bCs/>
        </w:rPr>
        <w:t>Peck, J</w:t>
      </w:r>
      <w:r w:rsidR="00C572FF">
        <w:rPr>
          <w:bCs/>
        </w:rPr>
        <w:t>.</w:t>
      </w:r>
      <w:r w:rsidR="00A05873" w:rsidRPr="00AB5E69">
        <w:rPr>
          <w:bCs/>
        </w:rPr>
        <w:t xml:space="preserve"> (2001) </w:t>
      </w:r>
      <w:r w:rsidR="00A05873" w:rsidRPr="00AB5E69">
        <w:rPr>
          <w:bCs/>
          <w:i/>
          <w:iCs/>
        </w:rPr>
        <w:t>Workfare States</w:t>
      </w:r>
      <w:r w:rsidR="00A05873" w:rsidRPr="00AB5E69">
        <w:rPr>
          <w:bCs/>
        </w:rPr>
        <w:t>. New York: The Guildford Press.</w:t>
      </w:r>
    </w:p>
    <w:p w:rsidR="00C4670E" w:rsidRPr="00C4670E" w:rsidRDefault="00C4670E" w:rsidP="006608C6">
      <w:pPr>
        <w:jc w:val="both"/>
        <w:rPr>
          <w:bCs/>
        </w:rPr>
      </w:pPr>
      <w:r>
        <w:rPr>
          <w:bCs/>
        </w:rPr>
        <w:t xml:space="preserve">Perkins, A. (2016) </w:t>
      </w:r>
      <w:r>
        <w:rPr>
          <w:bCs/>
          <w:i/>
        </w:rPr>
        <w:t>The Welfare Trait: How State Benefits Affect Personality</w:t>
      </w:r>
      <w:r>
        <w:rPr>
          <w:bCs/>
        </w:rPr>
        <w:t xml:space="preserve">. </w:t>
      </w:r>
      <w:r w:rsidR="008B2A08">
        <w:rPr>
          <w:bCs/>
        </w:rPr>
        <w:t xml:space="preserve">London: Palgrave MacMillan. </w:t>
      </w:r>
    </w:p>
    <w:p w:rsidR="007B320E" w:rsidRDefault="00C572FF" w:rsidP="007B320E">
      <w:pPr>
        <w:jc w:val="both"/>
        <w:rPr>
          <w:bCs/>
        </w:rPr>
      </w:pPr>
      <w:proofErr w:type="spellStart"/>
      <w:r>
        <w:rPr>
          <w:bCs/>
        </w:rPr>
        <w:t>Piven</w:t>
      </w:r>
      <w:proofErr w:type="spellEnd"/>
      <w:r>
        <w:rPr>
          <w:bCs/>
        </w:rPr>
        <w:t>, F.F. and Cloward, R. (1971)</w:t>
      </w:r>
      <w:r w:rsidRPr="00DC5AB6">
        <w:rPr>
          <w:bCs/>
        </w:rPr>
        <w:t xml:space="preserve"> </w:t>
      </w:r>
      <w:r w:rsidRPr="00DC5AB6">
        <w:rPr>
          <w:bCs/>
          <w:i/>
        </w:rPr>
        <w:t>Regulating the Poor: The Functions of Public Welfare</w:t>
      </w:r>
      <w:r w:rsidRPr="00DC5AB6">
        <w:rPr>
          <w:bCs/>
        </w:rPr>
        <w:t>. London: Tavistock Publications Limited.</w:t>
      </w:r>
      <w:r w:rsidR="007B320E" w:rsidRPr="007B320E">
        <w:rPr>
          <w:bCs/>
        </w:rPr>
        <w:t xml:space="preserve"> </w:t>
      </w:r>
    </w:p>
    <w:p w:rsidR="00C572FF" w:rsidRDefault="007B320E" w:rsidP="00C572FF">
      <w:pPr>
        <w:jc w:val="both"/>
        <w:rPr>
          <w:bCs/>
        </w:rPr>
      </w:pPr>
      <w:r>
        <w:rPr>
          <w:bCs/>
        </w:rPr>
        <w:t>Quaid, M.</w:t>
      </w:r>
      <w:r w:rsidRPr="00C572FF">
        <w:rPr>
          <w:bCs/>
        </w:rPr>
        <w:t xml:space="preserve"> (2002) </w:t>
      </w:r>
      <w:r w:rsidRPr="00C572FF">
        <w:rPr>
          <w:bCs/>
          <w:i/>
          <w:iCs/>
        </w:rPr>
        <w:t>Workfare: Why Good Social Policy Turns Bad</w:t>
      </w:r>
      <w:r w:rsidRPr="00C572FF">
        <w:rPr>
          <w:bCs/>
        </w:rPr>
        <w:t>. Toronto: University of Toronto Press Incorporated.</w:t>
      </w:r>
    </w:p>
    <w:p w:rsidR="00C572FF" w:rsidRPr="00211FA5" w:rsidRDefault="00C572FF" w:rsidP="00C572FF">
      <w:pPr>
        <w:jc w:val="both"/>
        <w:rPr>
          <w:bCs/>
        </w:rPr>
      </w:pPr>
      <w:r w:rsidRPr="00211FA5">
        <w:rPr>
          <w:bCs/>
        </w:rPr>
        <w:t xml:space="preserve">Rees, J.; Whitworth, A.; Carter, E. (2014) Support for All in the UK Work Programme? Differential Payments, Same Old Problem. </w:t>
      </w:r>
      <w:r w:rsidRPr="00211FA5">
        <w:rPr>
          <w:bCs/>
          <w:i/>
        </w:rPr>
        <w:t>Social Policy &amp; Administration</w:t>
      </w:r>
      <w:r w:rsidRPr="00211FA5">
        <w:rPr>
          <w:bCs/>
        </w:rPr>
        <w:t>, 48(2): 221–239.</w:t>
      </w:r>
    </w:p>
    <w:p w:rsidR="00A05873" w:rsidRPr="00AB5E69" w:rsidRDefault="00A05873" w:rsidP="006608C6">
      <w:pPr>
        <w:jc w:val="both"/>
        <w:rPr>
          <w:bCs/>
        </w:rPr>
      </w:pPr>
      <w:r w:rsidRPr="00AB5E69">
        <w:rPr>
          <w:bCs/>
        </w:rPr>
        <w:t>Robert</w:t>
      </w:r>
      <w:r w:rsidR="00211FA5">
        <w:rPr>
          <w:bCs/>
        </w:rPr>
        <w:t xml:space="preserve">son, D., </w:t>
      </w:r>
      <w:proofErr w:type="spellStart"/>
      <w:r w:rsidR="00211FA5">
        <w:rPr>
          <w:bCs/>
        </w:rPr>
        <w:t>Dearling</w:t>
      </w:r>
      <w:proofErr w:type="spellEnd"/>
      <w:r w:rsidR="00211FA5">
        <w:rPr>
          <w:bCs/>
        </w:rPr>
        <w:t>, A.</w:t>
      </w:r>
      <w:r w:rsidRPr="00AB5E69">
        <w:rPr>
          <w:bCs/>
        </w:rPr>
        <w:t xml:space="preserve"> (2004) </w:t>
      </w:r>
      <w:r w:rsidRPr="00AB5E69">
        <w:rPr>
          <w:bCs/>
          <w:i/>
        </w:rPr>
        <w:t>The Practical Guide to Social Welfare Research</w:t>
      </w:r>
      <w:r w:rsidRPr="00AB5E69">
        <w:rPr>
          <w:bCs/>
        </w:rPr>
        <w:t xml:space="preserve">. Lyme Regis: Russell House. </w:t>
      </w:r>
    </w:p>
    <w:p w:rsidR="00A05873" w:rsidRPr="00AB5E69" w:rsidRDefault="008B2A08" w:rsidP="006608C6">
      <w:pPr>
        <w:jc w:val="both"/>
        <w:rPr>
          <w:bCs/>
        </w:rPr>
      </w:pPr>
      <w:r>
        <w:rPr>
          <w:bCs/>
        </w:rPr>
        <w:lastRenderedPageBreak/>
        <w:t>Schram, S.</w:t>
      </w:r>
      <w:r w:rsidR="00C613B8">
        <w:rPr>
          <w:bCs/>
        </w:rPr>
        <w:t xml:space="preserve">; </w:t>
      </w:r>
      <w:proofErr w:type="spellStart"/>
      <w:r w:rsidR="00C613B8">
        <w:rPr>
          <w:bCs/>
        </w:rPr>
        <w:t>Soss</w:t>
      </w:r>
      <w:proofErr w:type="spellEnd"/>
      <w:r w:rsidR="00C613B8">
        <w:rPr>
          <w:bCs/>
        </w:rPr>
        <w:t>, J.;</w:t>
      </w:r>
      <w:r w:rsidR="00211FA5">
        <w:rPr>
          <w:bCs/>
        </w:rPr>
        <w:t xml:space="preserve"> Houser, L.</w:t>
      </w:r>
      <w:r w:rsidR="00A05873" w:rsidRPr="00AB5E69">
        <w:rPr>
          <w:bCs/>
        </w:rPr>
        <w:t xml:space="preserve"> (2010) The third level of US welfare reform: governmentality under neoliberal states: Reading </w:t>
      </w:r>
      <w:proofErr w:type="spellStart"/>
      <w:r w:rsidR="00A05873" w:rsidRPr="00AB5E69">
        <w:rPr>
          <w:bCs/>
        </w:rPr>
        <w:t>Loic</w:t>
      </w:r>
      <w:proofErr w:type="spellEnd"/>
      <w:r w:rsidR="00A05873" w:rsidRPr="00AB5E69">
        <w:rPr>
          <w:bCs/>
        </w:rPr>
        <w:t xml:space="preserve"> Wacquant and Prisons of Poverty. </w:t>
      </w:r>
      <w:r w:rsidR="00A05873" w:rsidRPr="00AB5E69">
        <w:rPr>
          <w:bCs/>
          <w:i/>
        </w:rPr>
        <w:t xml:space="preserve">Citizenship Studies. </w:t>
      </w:r>
      <w:r w:rsidR="0029714E">
        <w:rPr>
          <w:bCs/>
        </w:rPr>
        <w:t>14(</w:t>
      </w:r>
      <w:r w:rsidR="00A05873" w:rsidRPr="00AB5E69">
        <w:rPr>
          <w:bCs/>
        </w:rPr>
        <w:t>6</w:t>
      </w:r>
      <w:r w:rsidR="0029714E">
        <w:rPr>
          <w:bCs/>
        </w:rPr>
        <w:t>)</w:t>
      </w:r>
      <w:r w:rsidR="00A05873" w:rsidRPr="00AB5E69">
        <w:rPr>
          <w:bCs/>
        </w:rPr>
        <w:t>: 89-96.</w:t>
      </w:r>
    </w:p>
    <w:p w:rsidR="00A05873" w:rsidRPr="00AB5E69" w:rsidRDefault="00AA4F47" w:rsidP="006608C6">
      <w:pPr>
        <w:jc w:val="both"/>
        <w:rPr>
          <w:bCs/>
        </w:rPr>
      </w:pPr>
      <w:proofErr w:type="spellStart"/>
      <w:r>
        <w:rPr>
          <w:bCs/>
        </w:rPr>
        <w:t>Shildrick</w:t>
      </w:r>
      <w:proofErr w:type="spellEnd"/>
      <w:r>
        <w:rPr>
          <w:bCs/>
        </w:rPr>
        <w:t xml:space="preserve">, </w:t>
      </w:r>
      <w:r w:rsidR="00211FA5">
        <w:rPr>
          <w:bCs/>
        </w:rPr>
        <w:t>T.;</w:t>
      </w:r>
      <w:r>
        <w:rPr>
          <w:bCs/>
        </w:rPr>
        <w:t xml:space="preserve"> </w:t>
      </w:r>
      <w:proofErr w:type="spellStart"/>
      <w:r>
        <w:rPr>
          <w:bCs/>
        </w:rPr>
        <w:t>Garthwaite</w:t>
      </w:r>
      <w:proofErr w:type="spellEnd"/>
      <w:r>
        <w:rPr>
          <w:bCs/>
        </w:rPr>
        <w:t>, K</w:t>
      </w:r>
      <w:r w:rsidR="00211FA5">
        <w:rPr>
          <w:bCs/>
        </w:rPr>
        <w:t>.;</w:t>
      </w:r>
      <w:r>
        <w:rPr>
          <w:bCs/>
        </w:rPr>
        <w:t xml:space="preserve"> Webster,</w:t>
      </w:r>
      <w:r w:rsidR="00A05873" w:rsidRPr="00AB5E69">
        <w:rPr>
          <w:bCs/>
        </w:rPr>
        <w:t xml:space="preserve"> </w:t>
      </w:r>
      <w:r w:rsidR="00C613B8">
        <w:rPr>
          <w:bCs/>
        </w:rPr>
        <w:t xml:space="preserve">C; </w:t>
      </w:r>
      <w:r w:rsidR="00A05873" w:rsidRPr="00AB5E69">
        <w:rPr>
          <w:bCs/>
        </w:rPr>
        <w:t>MacDonald</w:t>
      </w:r>
      <w:r w:rsidR="00C613B8">
        <w:rPr>
          <w:bCs/>
        </w:rPr>
        <w:t>, R</w:t>
      </w:r>
      <w:r>
        <w:rPr>
          <w:bCs/>
        </w:rPr>
        <w:t>.</w:t>
      </w:r>
      <w:r w:rsidR="00A05873" w:rsidRPr="00AB5E69">
        <w:rPr>
          <w:bCs/>
        </w:rPr>
        <w:t xml:space="preserve"> 2013 </w:t>
      </w:r>
      <w:r w:rsidR="00A05873" w:rsidRPr="00AB5E69">
        <w:rPr>
          <w:bCs/>
          <w:i/>
        </w:rPr>
        <w:t>Poverty and insecurity: life in low-pay, no-pay Britain</w:t>
      </w:r>
      <w:r w:rsidR="00A05873" w:rsidRPr="00AB5E69">
        <w:rPr>
          <w:bCs/>
        </w:rPr>
        <w:t>. Bristol: Policy Press.</w:t>
      </w:r>
    </w:p>
    <w:p w:rsidR="00A05873" w:rsidRPr="00AB5E69" w:rsidRDefault="00C572FF" w:rsidP="006608C6">
      <w:pPr>
        <w:jc w:val="both"/>
        <w:rPr>
          <w:bCs/>
        </w:rPr>
      </w:pPr>
      <w:proofErr w:type="spellStart"/>
      <w:r>
        <w:rPr>
          <w:bCs/>
        </w:rPr>
        <w:t>Spicker</w:t>
      </w:r>
      <w:proofErr w:type="spellEnd"/>
      <w:r>
        <w:rPr>
          <w:bCs/>
        </w:rPr>
        <w:t>, P.</w:t>
      </w:r>
      <w:r w:rsidRPr="00DC5AB6">
        <w:rPr>
          <w:bCs/>
        </w:rPr>
        <w:t xml:space="preserve"> (1984) </w:t>
      </w:r>
      <w:r w:rsidRPr="00DC5AB6">
        <w:rPr>
          <w:bCs/>
          <w:i/>
          <w:iCs/>
        </w:rPr>
        <w:t>Stigma and Social Welfare</w:t>
      </w:r>
      <w:r w:rsidRPr="00DC5AB6">
        <w:rPr>
          <w:bCs/>
        </w:rPr>
        <w:t xml:space="preserve">. London: St. Martin’s </w:t>
      </w:r>
      <w:proofErr w:type="spellStart"/>
      <w:r w:rsidRPr="00DC5AB6">
        <w:rPr>
          <w:bCs/>
        </w:rPr>
        <w:t>Press.</w:t>
      </w:r>
      <w:r w:rsidR="00A05873" w:rsidRPr="00AB5E69">
        <w:rPr>
          <w:bCs/>
        </w:rPr>
        <w:t>Spradley</w:t>
      </w:r>
      <w:proofErr w:type="spellEnd"/>
      <w:r w:rsidR="00A05873" w:rsidRPr="00AB5E69">
        <w:rPr>
          <w:bCs/>
        </w:rPr>
        <w:t xml:space="preserve">, James P (1979) </w:t>
      </w:r>
      <w:r w:rsidR="00A05873" w:rsidRPr="00AB5E69">
        <w:rPr>
          <w:bCs/>
          <w:i/>
        </w:rPr>
        <w:t>The Ethnographic Interview</w:t>
      </w:r>
      <w:r w:rsidR="00A05873" w:rsidRPr="00AB5E69">
        <w:rPr>
          <w:bCs/>
        </w:rPr>
        <w:t>. Belmont, CA: Wadsworth Books.</w:t>
      </w:r>
    </w:p>
    <w:p w:rsidR="00A05873" w:rsidRPr="00AB5E69" w:rsidRDefault="00C572FF" w:rsidP="006608C6">
      <w:pPr>
        <w:jc w:val="both"/>
        <w:rPr>
          <w:bCs/>
        </w:rPr>
      </w:pPr>
      <w:r>
        <w:rPr>
          <w:bCs/>
        </w:rPr>
        <w:t>Thomas, J.</w:t>
      </w:r>
      <w:r w:rsidR="00A05873" w:rsidRPr="00AB5E69">
        <w:rPr>
          <w:bCs/>
        </w:rPr>
        <w:t xml:space="preserve"> (1993) </w:t>
      </w:r>
      <w:r w:rsidR="00A05873" w:rsidRPr="00AB5E69">
        <w:rPr>
          <w:bCs/>
          <w:i/>
        </w:rPr>
        <w:t>Doing Critical Ethnography</w:t>
      </w:r>
      <w:r w:rsidR="00A05873" w:rsidRPr="00AB5E69">
        <w:rPr>
          <w:bCs/>
        </w:rPr>
        <w:t xml:space="preserve">. London: Sage Publications, Inc. </w:t>
      </w:r>
    </w:p>
    <w:p w:rsidR="00C572FF" w:rsidRDefault="00C572FF" w:rsidP="00C572FF">
      <w:pPr>
        <w:jc w:val="both"/>
        <w:rPr>
          <w:bCs/>
        </w:rPr>
      </w:pPr>
      <w:r>
        <w:rPr>
          <w:bCs/>
        </w:rPr>
        <w:t xml:space="preserve">Wacquant, L. (2010) </w:t>
      </w:r>
      <w:r w:rsidRPr="00DC5AB6">
        <w:rPr>
          <w:bCs/>
        </w:rPr>
        <w:t xml:space="preserve">Crafting the Neoliberal State: Workfare, </w:t>
      </w:r>
      <w:proofErr w:type="spellStart"/>
      <w:r w:rsidRPr="00DC5AB6">
        <w:rPr>
          <w:bCs/>
        </w:rPr>
        <w:t>Pri</w:t>
      </w:r>
      <w:r>
        <w:rPr>
          <w:bCs/>
        </w:rPr>
        <w:t>sonfare</w:t>
      </w:r>
      <w:proofErr w:type="spellEnd"/>
      <w:r>
        <w:rPr>
          <w:bCs/>
        </w:rPr>
        <w:t>, and Social Insecurity.</w:t>
      </w:r>
      <w:r w:rsidRPr="00DC5AB6">
        <w:rPr>
          <w:bCs/>
        </w:rPr>
        <w:t xml:space="preserve"> </w:t>
      </w:r>
      <w:r w:rsidRPr="00DC5AB6">
        <w:rPr>
          <w:bCs/>
          <w:i/>
        </w:rPr>
        <w:t>Sociological Forum</w:t>
      </w:r>
      <w:r>
        <w:rPr>
          <w:bCs/>
        </w:rPr>
        <w:t>, 25(2): 197-220.</w:t>
      </w:r>
    </w:p>
    <w:p w:rsidR="00C572FF" w:rsidRPr="00C572FF" w:rsidRDefault="00C572FF" w:rsidP="00C572FF">
      <w:pPr>
        <w:jc w:val="both"/>
        <w:rPr>
          <w:bCs/>
        </w:rPr>
      </w:pPr>
      <w:proofErr w:type="spellStart"/>
      <w:r>
        <w:rPr>
          <w:bCs/>
        </w:rPr>
        <w:t>Westergaard</w:t>
      </w:r>
      <w:proofErr w:type="spellEnd"/>
      <w:r>
        <w:rPr>
          <w:bCs/>
        </w:rPr>
        <w:t>, J</w:t>
      </w:r>
      <w:r w:rsidRPr="00C572FF">
        <w:rPr>
          <w:bCs/>
        </w:rPr>
        <w:t xml:space="preserve">. (1995). </w:t>
      </w:r>
      <w:r w:rsidRPr="00C572FF">
        <w:rPr>
          <w:bCs/>
          <w:i/>
          <w:iCs/>
        </w:rPr>
        <w:t>Who Gets What? The Hardening of Class Inequality in the Late Twentieth Century</w:t>
      </w:r>
      <w:r w:rsidRPr="00C572FF">
        <w:rPr>
          <w:bCs/>
        </w:rPr>
        <w:t>. Cambridge: Polity Press.</w:t>
      </w:r>
    </w:p>
    <w:p w:rsidR="00C572FF" w:rsidRPr="00C572FF" w:rsidRDefault="00C572FF" w:rsidP="00C572FF">
      <w:pPr>
        <w:jc w:val="both"/>
        <w:rPr>
          <w:bCs/>
        </w:rPr>
      </w:pPr>
    </w:p>
    <w:p w:rsidR="00C572FF" w:rsidRPr="00C572FF" w:rsidRDefault="00C572FF" w:rsidP="00C572FF">
      <w:pPr>
        <w:jc w:val="both"/>
        <w:rPr>
          <w:bCs/>
        </w:rPr>
      </w:pPr>
    </w:p>
    <w:p w:rsidR="00C572FF" w:rsidRDefault="00C572FF" w:rsidP="00DC5AB6">
      <w:pPr>
        <w:jc w:val="both"/>
        <w:rPr>
          <w:bCs/>
        </w:rPr>
      </w:pPr>
    </w:p>
    <w:p w:rsidR="00DC5AB6" w:rsidRPr="00DC5AB6" w:rsidRDefault="00DC5AB6" w:rsidP="00DC5AB6">
      <w:pPr>
        <w:jc w:val="both"/>
        <w:rPr>
          <w:bCs/>
        </w:rPr>
      </w:pPr>
    </w:p>
    <w:p w:rsidR="00DC5AB6" w:rsidRPr="00630545" w:rsidRDefault="00DC5AB6" w:rsidP="006608C6">
      <w:pPr>
        <w:jc w:val="both"/>
        <w:rPr>
          <w:bCs/>
        </w:rPr>
      </w:pPr>
    </w:p>
    <w:p w:rsidR="00A05873" w:rsidRDefault="00A05873" w:rsidP="006608C6">
      <w:pPr>
        <w:jc w:val="both"/>
      </w:pPr>
    </w:p>
    <w:p w:rsidR="007D4283" w:rsidRDefault="007D4283" w:rsidP="006608C6">
      <w:pPr>
        <w:spacing w:after="0" w:line="360" w:lineRule="auto"/>
        <w:jc w:val="both"/>
        <w:rPr>
          <w:rFonts w:cstheme="minorBidi"/>
          <w:bCs/>
          <w:szCs w:val="22"/>
        </w:rPr>
      </w:pPr>
    </w:p>
    <w:sectPr w:rsidR="007D42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4C2" w:rsidRDefault="004B04C2" w:rsidP="00370FF6">
      <w:pPr>
        <w:spacing w:after="0" w:line="240" w:lineRule="auto"/>
      </w:pPr>
      <w:r>
        <w:separator/>
      </w:r>
    </w:p>
  </w:endnote>
  <w:endnote w:type="continuationSeparator" w:id="0">
    <w:p w:rsidR="004B04C2" w:rsidRDefault="004B04C2" w:rsidP="00370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4C2" w:rsidRDefault="004B04C2" w:rsidP="00370FF6">
      <w:pPr>
        <w:spacing w:after="0" w:line="240" w:lineRule="auto"/>
      </w:pPr>
      <w:r>
        <w:separator/>
      </w:r>
    </w:p>
  </w:footnote>
  <w:footnote w:type="continuationSeparator" w:id="0">
    <w:p w:rsidR="004B04C2" w:rsidRDefault="004B04C2" w:rsidP="00370FF6">
      <w:pPr>
        <w:spacing w:after="0" w:line="240" w:lineRule="auto"/>
      </w:pPr>
      <w:r>
        <w:continuationSeparator/>
      </w:r>
    </w:p>
  </w:footnote>
  <w:footnote w:id="1">
    <w:p w:rsidR="003D1D8D" w:rsidRDefault="003D1D8D">
      <w:pPr>
        <w:pStyle w:val="FootnoteText"/>
      </w:pPr>
      <w:r>
        <w:rPr>
          <w:rStyle w:val="FootnoteReference"/>
        </w:rPr>
        <w:footnoteRef/>
      </w:r>
      <w:r>
        <w:t xml:space="preserve"> </w:t>
      </w:r>
      <w:proofErr w:type="spellStart"/>
      <w:r>
        <w:t>Igneus</w:t>
      </w:r>
      <w:proofErr w:type="spellEnd"/>
      <w:r>
        <w:t xml:space="preserve"> is a real company. </w:t>
      </w:r>
      <w:proofErr w:type="spellStart"/>
      <w:r>
        <w:t>Igneus</w:t>
      </w:r>
      <w:proofErr w:type="spellEnd"/>
      <w:r>
        <w:t xml:space="preserve"> was not involved in this research. The presented information is publicly available.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B6B8A"/>
    <w:multiLevelType w:val="hybridMultilevel"/>
    <w:tmpl w:val="9A8A4634"/>
    <w:lvl w:ilvl="0" w:tplc="C75E0296">
      <w:start w:val="201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8751C7"/>
    <w:multiLevelType w:val="hybridMultilevel"/>
    <w:tmpl w:val="CA500E3C"/>
    <w:lvl w:ilvl="0" w:tplc="854046E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786073"/>
    <w:multiLevelType w:val="hybridMultilevel"/>
    <w:tmpl w:val="31BEC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F3584C"/>
    <w:multiLevelType w:val="hybridMultilevel"/>
    <w:tmpl w:val="371C95EC"/>
    <w:lvl w:ilvl="0" w:tplc="E9920C9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FF6"/>
    <w:rsid w:val="0000350C"/>
    <w:rsid w:val="00011CC9"/>
    <w:rsid w:val="000210BE"/>
    <w:rsid w:val="000275C6"/>
    <w:rsid w:val="00054D4B"/>
    <w:rsid w:val="00062DC1"/>
    <w:rsid w:val="00064752"/>
    <w:rsid w:val="000657A3"/>
    <w:rsid w:val="00065857"/>
    <w:rsid w:val="00075D05"/>
    <w:rsid w:val="00077754"/>
    <w:rsid w:val="000821D3"/>
    <w:rsid w:val="00083891"/>
    <w:rsid w:val="00096EBA"/>
    <w:rsid w:val="000B6F3E"/>
    <w:rsid w:val="000C723D"/>
    <w:rsid w:val="000F3139"/>
    <w:rsid w:val="000F6891"/>
    <w:rsid w:val="00100A52"/>
    <w:rsid w:val="00105867"/>
    <w:rsid w:val="00107C91"/>
    <w:rsid w:val="001216F2"/>
    <w:rsid w:val="00134B1C"/>
    <w:rsid w:val="001468BB"/>
    <w:rsid w:val="0014797E"/>
    <w:rsid w:val="0015072F"/>
    <w:rsid w:val="00152790"/>
    <w:rsid w:val="00164046"/>
    <w:rsid w:val="001675B2"/>
    <w:rsid w:val="00172798"/>
    <w:rsid w:val="00191DB3"/>
    <w:rsid w:val="001D1316"/>
    <w:rsid w:val="001E2BDD"/>
    <w:rsid w:val="001F3CDF"/>
    <w:rsid w:val="002014D6"/>
    <w:rsid w:val="0020297A"/>
    <w:rsid w:val="00211FA5"/>
    <w:rsid w:val="00213680"/>
    <w:rsid w:val="00214815"/>
    <w:rsid w:val="002235C8"/>
    <w:rsid w:val="002248C6"/>
    <w:rsid w:val="002301ED"/>
    <w:rsid w:val="0023481C"/>
    <w:rsid w:val="002446C0"/>
    <w:rsid w:val="00257E13"/>
    <w:rsid w:val="00272EE0"/>
    <w:rsid w:val="002730D9"/>
    <w:rsid w:val="002739DD"/>
    <w:rsid w:val="00296455"/>
    <w:rsid w:val="0029714E"/>
    <w:rsid w:val="002A26BF"/>
    <w:rsid w:val="002B15E7"/>
    <w:rsid w:val="002B5A93"/>
    <w:rsid w:val="002C6B6B"/>
    <w:rsid w:val="002D01D9"/>
    <w:rsid w:val="002E75C6"/>
    <w:rsid w:val="002F2C2A"/>
    <w:rsid w:val="00300C0B"/>
    <w:rsid w:val="003214A7"/>
    <w:rsid w:val="00337D50"/>
    <w:rsid w:val="00342919"/>
    <w:rsid w:val="00350767"/>
    <w:rsid w:val="00370FF6"/>
    <w:rsid w:val="003808BC"/>
    <w:rsid w:val="003902DF"/>
    <w:rsid w:val="003A2286"/>
    <w:rsid w:val="003B52A7"/>
    <w:rsid w:val="003B71F5"/>
    <w:rsid w:val="003C449F"/>
    <w:rsid w:val="003D1D8D"/>
    <w:rsid w:val="003D7ACB"/>
    <w:rsid w:val="003E67A6"/>
    <w:rsid w:val="003F1A54"/>
    <w:rsid w:val="003F3915"/>
    <w:rsid w:val="003F731E"/>
    <w:rsid w:val="00407747"/>
    <w:rsid w:val="004239C2"/>
    <w:rsid w:val="00426A43"/>
    <w:rsid w:val="004346F1"/>
    <w:rsid w:val="004347CE"/>
    <w:rsid w:val="00450947"/>
    <w:rsid w:val="00482F3C"/>
    <w:rsid w:val="00484F34"/>
    <w:rsid w:val="00496E68"/>
    <w:rsid w:val="004B04C2"/>
    <w:rsid w:val="004B72EF"/>
    <w:rsid w:val="004C7E5F"/>
    <w:rsid w:val="004D0D1D"/>
    <w:rsid w:val="004D4CD1"/>
    <w:rsid w:val="004D538A"/>
    <w:rsid w:val="004D7569"/>
    <w:rsid w:val="004F6D2D"/>
    <w:rsid w:val="005173AB"/>
    <w:rsid w:val="00534792"/>
    <w:rsid w:val="00545624"/>
    <w:rsid w:val="005777A8"/>
    <w:rsid w:val="005806A0"/>
    <w:rsid w:val="00580D8F"/>
    <w:rsid w:val="00584866"/>
    <w:rsid w:val="00587F8C"/>
    <w:rsid w:val="005975EB"/>
    <w:rsid w:val="005A084D"/>
    <w:rsid w:val="005B1839"/>
    <w:rsid w:val="005D12F8"/>
    <w:rsid w:val="005D43AD"/>
    <w:rsid w:val="005D594F"/>
    <w:rsid w:val="005E08C1"/>
    <w:rsid w:val="006021E1"/>
    <w:rsid w:val="0060220F"/>
    <w:rsid w:val="00607C2C"/>
    <w:rsid w:val="00607FC7"/>
    <w:rsid w:val="0061125E"/>
    <w:rsid w:val="00613F0E"/>
    <w:rsid w:val="00630545"/>
    <w:rsid w:val="00640A67"/>
    <w:rsid w:val="00641790"/>
    <w:rsid w:val="00641883"/>
    <w:rsid w:val="00641E74"/>
    <w:rsid w:val="00647C0B"/>
    <w:rsid w:val="006606C5"/>
    <w:rsid w:val="006608C6"/>
    <w:rsid w:val="006833E8"/>
    <w:rsid w:val="00690037"/>
    <w:rsid w:val="006931A4"/>
    <w:rsid w:val="006A6502"/>
    <w:rsid w:val="006B67C6"/>
    <w:rsid w:val="006C49C2"/>
    <w:rsid w:val="006C7F7E"/>
    <w:rsid w:val="006D279A"/>
    <w:rsid w:val="006D2CA1"/>
    <w:rsid w:val="006E05CF"/>
    <w:rsid w:val="006F0F82"/>
    <w:rsid w:val="006F3554"/>
    <w:rsid w:val="00705C20"/>
    <w:rsid w:val="00713A9D"/>
    <w:rsid w:val="00722D00"/>
    <w:rsid w:val="00723307"/>
    <w:rsid w:val="00730740"/>
    <w:rsid w:val="00754EEC"/>
    <w:rsid w:val="00755B22"/>
    <w:rsid w:val="0076118A"/>
    <w:rsid w:val="0077389E"/>
    <w:rsid w:val="00792A0B"/>
    <w:rsid w:val="007A7B16"/>
    <w:rsid w:val="007B0E37"/>
    <w:rsid w:val="007B2B84"/>
    <w:rsid w:val="007B320E"/>
    <w:rsid w:val="007B3303"/>
    <w:rsid w:val="007B3CBD"/>
    <w:rsid w:val="007B4D23"/>
    <w:rsid w:val="007B76D5"/>
    <w:rsid w:val="007C25B8"/>
    <w:rsid w:val="007D0E28"/>
    <w:rsid w:val="007D3800"/>
    <w:rsid w:val="007D4283"/>
    <w:rsid w:val="007E0E54"/>
    <w:rsid w:val="007E6F8E"/>
    <w:rsid w:val="007F7828"/>
    <w:rsid w:val="00822AAA"/>
    <w:rsid w:val="008330C1"/>
    <w:rsid w:val="008364A5"/>
    <w:rsid w:val="00847C2C"/>
    <w:rsid w:val="00856534"/>
    <w:rsid w:val="008725BB"/>
    <w:rsid w:val="0087611F"/>
    <w:rsid w:val="00887E55"/>
    <w:rsid w:val="008953C4"/>
    <w:rsid w:val="00895BCD"/>
    <w:rsid w:val="008973AD"/>
    <w:rsid w:val="008A7842"/>
    <w:rsid w:val="008B2A08"/>
    <w:rsid w:val="008E65C7"/>
    <w:rsid w:val="008E780B"/>
    <w:rsid w:val="008F56AE"/>
    <w:rsid w:val="008F5B71"/>
    <w:rsid w:val="00913C4D"/>
    <w:rsid w:val="009158EC"/>
    <w:rsid w:val="009176D8"/>
    <w:rsid w:val="00920FA5"/>
    <w:rsid w:val="00924681"/>
    <w:rsid w:val="00925C3B"/>
    <w:rsid w:val="00933136"/>
    <w:rsid w:val="00941E97"/>
    <w:rsid w:val="009454AF"/>
    <w:rsid w:val="009575D9"/>
    <w:rsid w:val="0097404E"/>
    <w:rsid w:val="00974F8E"/>
    <w:rsid w:val="00981A8F"/>
    <w:rsid w:val="00982833"/>
    <w:rsid w:val="00993568"/>
    <w:rsid w:val="009948DE"/>
    <w:rsid w:val="00996D2B"/>
    <w:rsid w:val="009A7BB8"/>
    <w:rsid w:val="009B7ADC"/>
    <w:rsid w:val="009C403B"/>
    <w:rsid w:val="009D4AC8"/>
    <w:rsid w:val="009E0A68"/>
    <w:rsid w:val="009F3434"/>
    <w:rsid w:val="00A05873"/>
    <w:rsid w:val="00A07084"/>
    <w:rsid w:val="00A073DF"/>
    <w:rsid w:val="00A12E82"/>
    <w:rsid w:val="00A27A07"/>
    <w:rsid w:val="00A27C4A"/>
    <w:rsid w:val="00A34983"/>
    <w:rsid w:val="00A36E6F"/>
    <w:rsid w:val="00A507E9"/>
    <w:rsid w:val="00A60B23"/>
    <w:rsid w:val="00A6124F"/>
    <w:rsid w:val="00A621A0"/>
    <w:rsid w:val="00A63EF6"/>
    <w:rsid w:val="00A712EF"/>
    <w:rsid w:val="00A83E56"/>
    <w:rsid w:val="00A93EE8"/>
    <w:rsid w:val="00A96359"/>
    <w:rsid w:val="00AA4F47"/>
    <w:rsid w:val="00AA6089"/>
    <w:rsid w:val="00AD7E53"/>
    <w:rsid w:val="00B3423E"/>
    <w:rsid w:val="00B516F7"/>
    <w:rsid w:val="00B6250E"/>
    <w:rsid w:val="00B7018A"/>
    <w:rsid w:val="00B70ECD"/>
    <w:rsid w:val="00B749C7"/>
    <w:rsid w:val="00B74CF2"/>
    <w:rsid w:val="00B86113"/>
    <w:rsid w:val="00B868E2"/>
    <w:rsid w:val="00BA5B0C"/>
    <w:rsid w:val="00BB62D2"/>
    <w:rsid w:val="00BC60A5"/>
    <w:rsid w:val="00BF009B"/>
    <w:rsid w:val="00BF3A2E"/>
    <w:rsid w:val="00C05114"/>
    <w:rsid w:val="00C10234"/>
    <w:rsid w:val="00C339C9"/>
    <w:rsid w:val="00C44545"/>
    <w:rsid w:val="00C46472"/>
    <w:rsid w:val="00C4670E"/>
    <w:rsid w:val="00C50CC5"/>
    <w:rsid w:val="00C5586C"/>
    <w:rsid w:val="00C572FF"/>
    <w:rsid w:val="00C613B8"/>
    <w:rsid w:val="00C63F96"/>
    <w:rsid w:val="00C71B45"/>
    <w:rsid w:val="00C753A4"/>
    <w:rsid w:val="00C7603E"/>
    <w:rsid w:val="00C76A92"/>
    <w:rsid w:val="00C91706"/>
    <w:rsid w:val="00C9324A"/>
    <w:rsid w:val="00CA43E0"/>
    <w:rsid w:val="00CB187D"/>
    <w:rsid w:val="00CC03C3"/>
    <w:rsid w:val="00D10FE7"/>
    <w:rsid w:val="00D12478"/>
    <w:rsid w:val="00D4339A"/>
    <w:rsid w:val="00D57F7B"/>
    <w:rsid w:val="00D741C0"/>
    <w:rsid w:val="00D8493D"/>
    <w:rsid w:val="00D87B00"/>
    <w:rsid w:val="00DA6741"/>
    <w:rsid w:val="00DB0754"/>
    <w:rsid w:val="00DC48F4"/>
    <w:rsid w:val="00DC5AB6"/>
    <w:rsid w:val="00DD3146"/>
    <w:rsid w:val="00DE79F6"/>
    <w:rsid w:val="00DF56E6"/>
    <w:rsid w:val="00DF5721"/>
    <w:rsid w:val="00DF67D7"/>
    <w:rsid w:val="00E20BF2"/>
    <w:rsid w:val="00E20C33"/>
    <w:rsid w:val="00E5582D"/>
    <w:rsid w:val="00E766C3"/>
    <w:rsid w:val="00E811B3"/>
    <w:rsid w:val="00E8274A"/>
    <w:rsid w:val="00E8469A"/>
    <w:rsid w:val="00E854F2"/>
    <w:rsid w:val="00E86141"/>
    <w:rsid w:val="00E93703"/>
    <w:rsid w:val="00E968EF"/>
    <w:rsid w:val="00EA6E65"/>
    <w:rsid w:val="00EC6783"/>
    <w:rsid w:val="00ED63A7"/>
    <w:rsid w:val="00EE0AB5"/>
    <w:rsid w:val="00EF150E"/>
    <w:rsid w:val="00F23A19"/>
    <w:rsid w:val="00F23F70"/>
    <w:rsid w:val="00F34C8C"/>
    <w:rsid w:val="00F42223"/>
    <w:rsid w:val="00F4498D"/>
    <w:rsid w:val="00F46FBF"/>
    <w:rsid w:val="00F51E89"/>
    <w:rsid w:val="00F5256E"/>
    <w:rsid w:val="00F539C1"/>
    <w:rsid w:val="00F56CDB"/>
    <w:rsid w:val="00F62BA0"/>
    <w:rsid w:val="00F96301"/>
    <w:rsid w:val="00FA2E88"/>
    <w:rsid w:val="00FB1FE6"/>
    <w:rsid w:val="00FC078F"/>
    <w:rsid w:val="00FC5949"/>
    <w:rsid w:val="00FD05A2"/>
    <w:rsid w:val="00FD2191"/>
    <w:rsid w:val="00FD5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7F990"/>
  <w15:chartTrackingRefBased/>
  <w15:docId w15:val="{F4D5928A-3968-4BE8-9152-EAB89B6A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0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70F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FF6"/>
    <w:rPr>
      <w:sz w:val="20"/>
      <w:szCs w:val="20"/>
    </w:rPr>
  </w:style>
  <w:style w:type="character" w:styleId="FootnoteReference">
    <w:name w:val="footnote reference"/>
    <w:basedOn w:val="DefaultParagraphFont"/>
    <w:uiPriority w:val="99"/>
    <w:semiHidden/>
    <w:unhideWhenUsed/>
    <w:rsid w:val="00370FF6"/>
    <w:rPr>
      <w:vertAlign w:val="superscript"/>
    </w:rPr>
  </w:style>
  <w:style w:type="character" w:styleId="Hyperlink">
    <w:name w:val="Hyperlink"/>
    <w:basedOn w:val="DefaultParagraphFont"/>
    <w:unhideWhenUsed/>
    <w:rsid w:val="00370FF6"/>
    <w:rPr>
      <w:color w:val="0563C1" w:themeColor="hyperlink"/>
      <w:u w:val="single"/>
    </w:rPr>
  </w:style>
  <w:style w:type="paragraph" w:styleId="ListParagraph">
    <w:name w:val="List Paragraph"/>
    <w:basedOn w:val="Normal"/>
    <w:uiPriority w:val="34"/>
    <w:qFormat/>
    <w:rsid w:val="00496E68"/>
    <w:pPr>
      <w:ind w:left="720"/>
      <w:contextualSpacing/>
    </w:pPr>
  </w:style>
  <w:style w:type="paragraph" w:customStyle="1" w:styleId="ListParagraph1">
    <w:name w:val="List Paragraph1"/>
    <w:basedOn w:val="Normal"/>
    <w:next w:val="ListParagraph"/>
    <w:uiPriority w:val="34"/>
    <w:qFormat/>
    <w:rsid w:val="00761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s.cesi.org.uk/website_documents/initial_WP_Performance_InclusionComment.pdf%20Accessed%2020/3/12" TargetMode="External"/><Relationship Id="rId13" Type="http://schemas.openxmlformats.org/officeDocument/2006/relationships/hyperlink" Target="https://www.gov.uk/government/uploads/system/uploads/attachment_data/file/401645/provider-minimum-service-delivery.pdf" TargetMode="External"/><Relationship Id="rId18" Type="http://schemas.openxmlformats.org/officeDocument/2006/relationships/hyperlink" Target="https://www.gov.uk/government/uploads/system/uploads/attachment_data/file/382713/foi-2014-4134.pdf" TargetMode="External"/><Relationship Id="rId3" Type="http://schemas.openxmlformats.org/officeDocument/2006/relationships/styles" Target="styles.xml"/><Relationship Id="rId21" Type="http://schemas.openxmlformats.org/officeDocument/2006/relationships/hyperlink" Target="http://www.blackpast.org/?q=primary/moynihan-report-1965" TargetMode="External"/><Relationship Id="rId7" Type="http://schemas.openxmlformats.org/officeDocument/2006/relationships/endnotes" Target="endnotes.xml"/><Relationship Id="rId12" Type="http://schemas.openxmlformats.org/officeDocument/2006/relationships/hyperlink" Target="https://www.gov.uk/government/uploads/system/uploads/attachment_data/file/206860/Employment_Programme_Support_Official_Statistics_information.pdf" TargetMode="External"/><Relationship Id="rId17" Type="http://schemas.openxmlformats.org/officeDocument/2006/relationships/hyperlink" Target="https://www.gov.uk/government/uploads/system/uploads/attachment_data/file/355896/Work_Programme_Statistical_Release_Sep14_Final.pdf"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325995/Work_Programme_Costs_v7_2014-07-01.pdf%20Accessed%2027/10/15" TargetMode="External"/><Relationship Id="rId20" Type="http://schemas.openxmlformats.org/officeDocument/2006/relationships/hyperlink" Target="https://www.jrf.org.uk/report/are-cultures-worklessness-passed-down-gener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si.org.uk/sites/default/files/response_downloads/WP_stats_briefing_SEPT14_MASTER.pdf"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264164/wp-pg-chapter-3b.pdf%20Accessed%2025/20/25" TargetMode="External"/><Relationship Id="rId23" Type="http://schemas.openxmlformats.org/officeDocument/2006/relationships/theme" Target="theme/theme1.xml"/><Relationship Id="rId10" Type="http://schemas.openxmlformats.org/officeDocument/2006/relationships/hyperlink" Target="https://www2.learningandwork.org.uk/keypolicy/government-work-experience-schemes-what-are-differences%20Accessed%2031/7/16" TargetMode="External"/><Relationship Id="rId19" Type="http://schemas.openxmlformats.org/officeDocument/2006/relationships/hyperlink" Target="https://www.gov.uk/government/news/department-for-work-and-pensions-settlement-at-the-spending-review" TargetMode="External"/><Relationship Id="rId4" Type="http://schemas.openxmlformats.org/officeDocument/2006/relationships/settings" Target="settings.xml"/><Relationship Id="rId9" Type="http://schemas.openxmlformats.org/officeDocument/2006/relationships/hyperlink" Target="http://cesi.org.uk/keypolicy/work-programme%20Accessed%2022/3/15" TargetMode="External"/><Relationship Id="rId14" Type="http://schemas.openxmlformats.org/officeDocument/2006/relationships/hyperlink" Target="https://www.gov.uk/government/uploads/system/uploads/attachment_data/file/209260/wp-costs-to-31-march-2013.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36246-1AE2-4FB8-AA83-AD169067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8637</Words>
  <Characters>49235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Jordan</dc:creator>
  <cp:keywords/>
  <dc:description/>
  <cp:lastModifiedBy>jordanj</cp:lastModifiedBy>
  <cp:revision>2</cp:revision>
  <dcterms:created xsi:type="dcterms:W3CDTF">2017-08-16T12:01:00Z</dcterms:created>
  <dcterms:modified xsi:type="dcterms:W3CDTF">2017-08-16T12:01:00Z</dcterms:modified>
</cp:coreProperties>
</file>