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B4D31" w14:textId="77777777" w:rsidR="009807D3" w:rsidRPr="009807D3" w:rsidRDefault="009807D3" w:rsidP="009807D3">
      <w:pPr>
        <w:spacing w:after="0" w:line="23" w:lineRule="atLeast"/>
        <w:rPr>
          <w:rFonts w:ascii="Times New Roman" w:hAnsi="Times New Roman" w:cs="Times New Roman"/>
          <w:b/>
          <w:sz w:val="24"/>
          <w:szCs w:val="24"/>
        </w:rPr>
      </w:pPr>
      <w:bookmarkStart w:id="0" w:name="_GoBack"/>
      <w:bookmarkEnd w:id="0"/>
      <w:r w:rsidRPr="009807D3">
        <w:rPr>
          <w:rFonts w:ascii="Times New Roman" w:hAnsi="Times New Roman" w:cs="Times New Roman"/>
          <w:b/>
          <w:sz w:val="24"/>
          <w:szCs w:val="24"/>
        </w:rPr>
        <w:t>A modest defence of disability simulation within an arts access context.</w:t>
      </w:r>
    </w:p>
    <w:p w14:paraId="61CD2C23" w14:textId="77777777" w:rsidR="009807D3" w:rsidRPr="00623558" w:rsidRDefault="009807D3" w:rsidP="009807D3">
      <w:pPr>
        <w:spacing w:after="0" w:line="23" w:lineRule="atLeast"/>
        <w:rPr>
          <w:rFonts w:ascii="Times New Roman" w:hAnsi="Times New Roman" w:cs="Times New Roman"/>
        </w:rPr>
      </w:pPr>
    </w:p>
    <w:p w14:paraId="172324AB" w14:textId="77777777" w:rsidR="009807D3" w:rsidRDefault="009807D3" w:rsidP="00623558">
      <w:pPr>
        <w:spacing w:after="0" w:line="23" w:lineRule="atLeast"/>
        <w:rPr>
          <w:rFonts w:ascii="Times New Roman" w:hAnsi="Times New Roman" w:cs="Times New Roman"/>
          <w:b/>
          <w:sz w:val="28"/>
          <w:szCs w:val="28"/>
        </w:rPr>
      </w:pPr>
    </w:p>
    <w:p w14:paraId="3A426174" w14:textId="77777777" w:rsidR="009807D3" w:rsidRDefault="009807D3" w:rsidP="00623558">
      <w:pPr>
        <w:spacing w:after="0" w:line="23" w:lineRule="atLeast"/>
        <w:rPr>
          <w:rFonts w:ascii="Times New Roman" w:hAnsi="Times New Roman" w:cs="Times New Roman"/>
          <w:b/>
          <w:sz w:val="24"/>
          <w:szCs w:val="24"/>
        </w:rPr>
      </w:pPr>
      <w:r w:rsidRPr="009807D3">
        <w:rPr>
          <w:rFonts w:ascii="Times New Roman" w:hAnsi="Times New Roman" w:cs="Times New Roman"/>
          <w:b/>
          <w:sz w:val="24"/>
          <w:szCs w:val="24"/>
        </w:rPr>
        <w:t>Abstract</w:t>
      </w:r>
    </w:p>
    <w:p w14:paraId="1FA174DC" w14:textId="77777777" w:rsidR="009807D3" w:rsidRPr="009807D3" w:rsidRDefault="009807D3" w:rsidP="005F02F2">
      <w:pPr>
        <w:spacing w:after="0" w:line="23" w:lineRule="atLeast"/>
        <w:jc w:val="both"/>
        <w:rPr>
          <w:rFonts w:ascii="Times New Roman" w:hAnsi="Times New Roman" w:cs="Times New Roman"/>
          <w:sz w:val="24"/>
          <w:szCs w:val="24"/>
        </w:rPr>
      </w:pPr>
      <w:r w:rsidRPr="009807D3">
        <w:rPr>
          <w:rFonts w:ascii="Times New Roman" w:hAnsi="Times New Roman" w:cs="Times New Roman"/>
          <w:sz w:val="24"/>
          <w:szCs w:val="24"/>
        </w:rPr>
        <w:t>This paper</w:t>
      </w:r>
      <w:r w:rsidR="004C1D6A">
        <w:rPr>
          <w:rFonts w:ascii="Times New Roman" w:hAnsi="Times New Roman" w:cs="Times New Roman"/>
          <w:sz w:val="24"/>
          <w:szCs w:val="24"/>
        </w:rPr>
        <w:t xml:space="preserve"> presents the argument</w:t>
      </w:r>
      <w:r>
        <w:rPr>
          <w:rFonts w:ascii="Times New Roman" w:hAnsi="Times New Roman" w:cs="Times New Roman"/>
          <w:sz w:val="24"/>
          <w:szCs w:val="24"/>
        </w:rPr>
        <w:t xml:space="preserve"> that gallery visitors with visual impairment should be allowed to author the aesthetic experiences afforded to them within such environments, rather than having these experiences authored </w:t>
      </w:r>
      <w:r w:rsidR="004C1D6A">
        <w:rPr>
          <w:rFonts w:ascii="Times New Roman" w:hAnsi="Times New Roman" w:cs="Times New Roman"/>
          <w:sz w:val="24"/>
          <w:szCs w:val="24"/>
        </w:rPr>
        <w:t xml:space="preserve">on their behalf </w:t>
      </w:r>
      <w:r>
        <w:rPr>
          <w:rFonts w:ascii="Times New Roman" w:hAnsi="Times New Roman" w:cs="Times New Roman"/>
          <w:sz w:val="24"/>
          <w:szCs w:val="24"/>
        </w:rPr>
        <w:t xml:space="preserve">by fully sighted members of </w:t>
      </w:r>
      <w:r w:rsidR="00311AF1">
        <w:rPr>
          <w:rFonts w:ascii="Times New Roman" w:hAnsi="Times New Roman" w:cs="Times New Roman"/>
          <w:sz w:val="24"/>
          <w:szCs w:val="24"/>
        </w:rPr>
        <w:t xml:space="preserve">gallery </w:t>
      </w:r>
      <w:r>
        <w:rPr>
          <w:rFonts w:ascii="Times New Roman" w:hAnsi="Times New Roman" w:cs="Times New Roman"/>
          <w:sz w:val="24"/>
          <w:szCs w:val="24"/>
        </w:rPr>
        <w:t xml:space="preserve">access teams. </w:t>
      </w:r>
      <w:r w:rsidR="00311AF1">
        <w:rPr>
          <w:rFonts w:ascii="Times New Roman" w:hAnsi="Times New Roman" w:cs="Times New Roman"/>
          <w:sz w:val="24"/>
          <w:szCs w:val="24"/>
        </w:rPr>
        <w:t>Sight-Sim™, a piece of simulation software, is brought into service as a means of illustrating this distinction</w:t>
      </w:r>
      <w:r w:rsidR="00C078A4">
        <w:rPr>
          <w:rFonts w:ascii="Times New Roman" w:hAnsi="Times New Roman" w:cs="Times New Roman"/>
          <w:sz w:val="24"/>
          <w:szCs w:val="24"/>
        </w:rPr>
        <w:t xml:space="preserve"> and the feasib</w:t>
      </w:r>
      <w:r w:rsidR="004C1D6A">
        <w:rPr>
          <w:rFonts w:ascii="Times New Roman" w:hAnsi="Times New Roman" w:cs="Times New Roman"/>
          <w:sz w:val="24"/>
          <w:szCs w:val="24"/>
        </w:rPr>
        <w:t xml:space="preserve">ility of its </w:t>
      </w:r>
      <w:r w:rsidR="00C078A4">
        <w:rPr>
          <w:rFonts w:ascii="Times New Roman" w:hAnsi="Times New Roman" w:cs="Times New Roman"/>
          <w:sz w:val="24"/>
          <w:szCs w:val="24"/>
        </w:rPr>
        <w:t xml:space="preserve">practical </w:t>
      </w:r>
      <w:r w:rsidR="004C1D6A">
        <w:rPr>
          <w:rFonts w:ascii="Times New Roman" w:hAnsi="Times New Roman" w:cs="Times New Roman"/>
          <w:sz w:val="24"/>
          <w:szCs w:val="24"/>
        </w:rPr>
        <w:t>implementation</w:t>
      </w:r>
      <w:r w:rsidR="00311AF1">
        <w:rPr>
          <w:rFonts w:ascii="Times New Roman" w:hAnsi="Times New Roman" w:cs="Times New Roman"/>
          <w:sz w:val="24"/>
          <w:szCs w:val="24"/>
        </w:rPr>
        <w:t xml:space="preserve">. Unlike many of the existing endorsements of disability simulation, the tentative defence outlined here is not premised on the </w:t>
      </w:r>
      <w:r w:rsidR="00C078A4">
        <w:rPr>
          <w:rFonts w:ascii="Times New Roman" w:hAnsi="Times New Roman" w:cs="Times New Roman"/>
          <w:sz w:val="24"/>
          <w:szCs w:val="24"/>
        </w:rPr>
        <w:t xml:space="preserve">naively </w:t>
      </w:r>
      <w:r w:rsidR="00311AF1">
        <w:rPr>
          <w:rFonts w:ascii="Times New Roman" w:hAnsi="Times New Roman" w:cs="Times New Roman"/>
          <w:sz w:val="24"/>
          <w:szCs w:val="24"/>
        </w:rPr>
        <w:t>assumed capac</w:t>
      </w:r>
      <w:r w:rsidR="00A91F59">
        <w:rPr>
          <w:rFonts w:ascii="Times New Roman" w:hAnsi="Times New Roman" w:cs="Times New Roman"/>
          <w:sz w:val="24"/>
          <w:szCs w:val="24"/>
        </w:rPr>
        <w:t>ity of simulation for awareness-</w:t>
      </w:r>
      <w:r w:rsidR="00311AF1">
        <w:rPr>
          <w:rFonts w:ascii="Times New Roman" w:hAnsi="Times New Roman" w:cs="Times New Roman"/>
          <w:sz w:val="24"/>
          <w:szCs w:val="24"/>
        </w:rPr>
        <w:t xml:space="preserve">raising or the cultivation of empathy. </w:t>
      </w:r>
      <w:r w:rsidR="00A77BB6">
        <w:rPr>
          <w:rFonts w:ascii="Times New Roman" w:hAnsi="Times New Roman" w:cs="Times New Roman"/>
          <w:sz w:val="24"/>
          <w:szCs w:val="24"/>
        </w:rPr>
        <w:t>Rather, the defence is volunteered in full awareness of the imposs</w:t>
      </w:r>
      <w:r w:rsidR="00C078A4">
        <w:rPr>
          <w:rFonts w:ascii="Times New Roman" w:hAnsi="Times New Roman" w:cs="Times New Roman"/>
          <w:sz w:val="24"/>
          <w:szCs w:val="24"/>
        </w:rPr>
        <w:t>ibility of simulating the experience of disability</w:t>
      </w:r>
      <w:r w:rsidR="00A77BB6">
        <w:rPr>
          <w:rFonts w:ascii="Times New Roman" w:hAnsi="Times New Roman" w:cs="Times New Roman"/>
          <w:sz w:val="24"/>
          <w:szCs w:val="24"/>
        </w:rPr>
        <w:t>. After the modest objectives of the form of visual impairment simulation illustrated here are outlined, its success in heightening the engagement levels of gallery visitors with visual impairments in works of visual art is evidenced. A number of distinct but interrelated</w:t>
      </w:r>
      <w:r w:rsidR="005F02F2">
        <w:rPr>
          <w:rFonts w:ascii="Times New Roman" w:hAnsi="Times New Roman" w:cs="Times New Roman"/>
          <w:sz w:val="24"/>
          <w:szCs w:val="24"/>
        </w:rPr>
        <w:t xml:space="preserve"> b</w:t>
      </w:r>
      <w:r w:rsidR="0062223E">
        <w:rPr>
          <w:rFonts w:ascii="Times New Roman" w:hAnsi="Times New Roman" w:cs="Times New Roman"/>
          <w:sz w:val="24"/>
          <w:szCs w:val="24"/>
        </w:rPr>
        <w:t>enefits of simulation, neglected by previous advocates</w:t>
      </w:r>
      <w:r w:rsidR="00C078A4">
        <w:rPr>
          <w:rFonts w:ascii="Times New Roman" w:hAnsi="Times New Roman" w:cs="Times New Roman"/>
          <w:sz w:val="24"/>
          <w:szCs w:val="24"/>
        </w:rPr>
        <w:t xml:space="preserve"> of simulation</w:t>
      </w:r>
      <w:r w:rsidR="00A77BB6">
        <w:rPr>
          <w:rFonts w:ascii="Times New Roman" w:hAnsi="Times New Roman" w:cs="Times New Roman"/>
          <w:sz w:val="24"/>
          <w:szCs w:val="24"/>
        </w:rPr>
        <w:t>, are then identified. These benefits include: the perception of increased activity levels</w:t>
      </w:r>
      <w:r w:rsidR="0062223E">
        <w:rPr>
          <w:rFonts w:ascii="Times New Roman" w:hAnsi="Times New Roman" w:cs="Times New Roman"/>
          <w:sz w:val="24"/>
          <w:szCs w:val="24"/>
        </w:rPr>
        <w:t xml:space="preserve"> in the process of art access</w:t>
      </w:r>
      <w:r w:rsidR="00A77BB6">
        <w:rPr>
          <w:rFonts w:ascii="Times New Roman" w:hAnsi="Times New Roman" w:cs="Times New Roman"/>
          <w:sz w:val="24"/>
          <w:szCs w:val="24"/>
        </w:rPr>
        <w:t xml:space="preserve"> by individuals with visual impairment; </w:t>
      </w:r>
      <w:r w:rsidR="005F02F2">
        <w:rPr>
          <w:rFonts w:ascii="Times New Roman" w:hAnsi="Times New Roman" w:cs="Times New Roman"/>
          <w:sz w:val="24"/>
          <w:szCs w:val="24"/>
        </w:rPr>
        <w:t xml:space="preserve">an affirmative and emancipatory reconsideration of constructivist approaches to gallery education within an art access context; </w:t>
      </w:r>
      <w:r w:rsidR="00A77BB6">
        <w:rPr>
          <w:rFonts w:ascii="Times New Roman" w:hAnsi="Times New Roman" w:cs="Times New Roman"/>
          <w:sz w:val="24"/>
          <w:szCs w:val="24"/>
        </w:rPr>
        <w:t>the “de-ghosting” of</w:t>
      </w:r>
      <w:r w:rsidR="005F02F2">
        <w:rPr>
          <w:rFonts w:ascii="Times New Roman" w:hAnsi="Times New Roman" w:cs="Times New Roman"/>
          <w:sz w:val="24"/>
          <w:szCs w:val="24"/>
        </w:rPr>
        <w:t xml:space="preserve"> the aesthetic experiences generally afforded to gallery visitors with visual impairment; a rescinding of the privilege traditionally afforded to fully-sighted docents within art access initiatives; and a </w:t>
      </w:r>
      <w:r w:rsidR="004C1D6A">
        <w:rPr>
          <w:rFonts w:ascii="Times New Roman" w:hAnsi="Times New Roman" w:cs="Times New Roman"/>
          <w:sz w:val="24"/>
          <w:szCs w:val="24"/>
        </w:rPr>
        <w:t xml:space="preserve">democratic </w:t>
      </w:r>
      <w:r w:rsidR="005F02F2">
        <w:rPr>
          <w:rFonts w:ascii="Times New Roman" w:hAnsi="Times New Roman" w:cs="Times New Roman"/>
          <w:sz w:val="24"/>
          <w:szCs w:val="24"/>
        </w:rPr>
        <w:t xml:space="preserve">reconceptualising of the process of the cultivation of aesthetic literacies. </w:t>
      </w:r>
    </w:p>
    <w:p w14:paraId="100CEDF9" w14:textId="77777777" w:rsidR="00E140EB" w:rsidRDefault="00E140EB" w:rsidP="00623558">
      <w:pPr>
        <w:spacing w:after="0" w:line="23" w:lineRule="atLeast"/>
        <w:rPr>
          <w:rFonts w:ascii="Times New Roman" w:hAnsi="Times New Roman" w:cs="Times New Roman"/>
          <w:b/>
          <w:sz w:val="28"/>
          <w:szCs w:val="28"/>
        </w:rPr>
      </w:pPr>
    </w:p>
    <w:p w14:paraId="5B1218F6" w14:textId="77777777" w:rsidR="00527CF7" w:rsidRPr="00DD44EF" w:rsidRDefault="00527CF7" w:rsidP="00623558">
      <w:pPr>
        <w:spacing w:after="0" w:line="23" w:lineRule="atLeast"/>
        <w:rPr>
          <w:rFonts w:ascii="Times New Roman" w:hAnsi="Times New Roman" w:cs="Times New Roman"/>
          <w:b/>
          <w:sz w:val="28"/>
          <w:szCs w:val="28"/>
        </w:rPr>
      </w:pPr>
      <w:r w:rsidRPr="00DD44EF">
        <w:rPr>
          <w:rFonts w:ascii="Times New Roman" w:hAnsi="Times New Roman" w:cs="Times New Roman"/>
          <w:b/>
          <w:sz w:val="28"/>
          <w:szCs w:val="28"/>
        </w:rPr>
        <w:t>A modest defence of disability simulation within an arts access context.</w:t>
      </w:r>
    </w:p>
    <w:p w14:paraId="60547559" w14:textId="77777777" w:rsidR="009F6A83" w:rsidRPr="00623558" w:rsidRDefault="009F6A83" w:rsidP="00623558">
      <w:pPr>
        <w:spacing w:after="0" w:line="23" w:lineRule="atLeast"/>
        <w:rPr>
          <w:rFonts w:ascii="Times New Roman" w:hAnsi="Times New Roman" w:cs="Times New Roman"/>
        </w:rPr>
      </w:pPr>
    </w:p>
    <w:p w14:paraId="2326CB53" w14:textId="77777777" w:rsidR="006D3F42" w:rsidRPr="006D3F42" w:rsidRDefault="006D3F42" w:rsidP="00623558">
      <w:pPr>
        <w:widowControl w:val="0"/>
        <w:autoSpaceDE w:val="0"/>
        <w:autoSpaceDN w:val="0"/>
        <w:adjustRightInd w:val="0"/>
        <w:spacing w:after="0" w:line="23" w:lineRule="atLeast"/>
        <w:jc w:val="both"/>
        <w:rPr>
          <w:rFonts w:ascii="Times New Roman" w:hAnsi="Times New Roman" w:cs="Times New Roman"/>
          <w:b/>
          <w:sz w:val="24"/>
          <w:szCs w:val="24"/>
        </w:rPr>
      </w:pPr>
      <w:r w:rsidRPr="006D3F42">
        <w:rPr>
          <w:rFonts w:ascii="Times New Roman" w:hAnsi="Times New Roman" w:cs="Times New Roman"/>
          <w:b/>
          <w:sz w:val="24"/>
          <w:szCs w:val="24"/>
        </w:rPr>
        <w:t>Introduction</w:t>
      </w:r>
    </w:p>
    <w:p w14:paraId="2252E986" w14:textId="77777777" w:rsidR="001479AB" w:rsidRPr="00DD44EF" w:rsidRDefault="0059208E" w:rsidP="00623558">
      <w:pPr>
        <w:widowControl w:val="0"/>
        <w:autoSpaceDE w:val="0"/>
        <w:autoSpaceDN w:val="0"/>
        <w:adjustRightInd w:val="0"/>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Theoretical conjecture about the value and feasibility of a definitive severing</w:t>
      </w:r>
      <w:r w:rsidR="00B7416B" w:rsidRPr="00DD44EF">
        <w:rPr>
          <w:rFonts w:ascii="Times New Roman" w:hAnsi="Times New Roman" w:cs="Times New Roman"/>
          <w:sz w:val="24"/>
          <w:szCs w:val="24"/>
        </w:rPr>
        <w:t xml:space="preserve"> of forms of appreciation deemed to be a</w:t>
      </w:r>
      <w:r w:rsidR="00AC591E" w:rsidRPr="00DD44EF">
        <w:rPr>
          <w:rFonts w:ascii="Times New Roman" w:hAnsi="Times New Roman" w:cs="Times New Roman"/>
          <w:sz w:val="24"/>
          <w:szCs w:val="24"/>
        </w:rPr>
        <w:t>esthetic from those to be diagnostically catalogued</w:t>
      </w:r>
      <w:r w:rsidR="00B7416B" w:rsidRPr="00DD44EF">
        <w:rPr>
          <w:rFonts w:ascii="Times New Roman" w:hAnsi="Times New Roman" w:cs="Times New Roman"/>
          <w:sz w:val="24"/>
          <w:szCs w:val="24"/>
        </w:rPr>
        <w:t xml:space="preserve"> as non-aesthetic</w:t>
      </w:r>
      <w:r w:rsidRPr="00DD44EF">
        <w:rPr>
          <w:rFonts w:ascii="Times New Roman" w:hAnsi="Times New Roman" w:cs="Times New Roman"/>
          <w:sz w:val="24"/>
          <w:szCs w:val="24"/>
        </w:rPr>
        <w:t xml:space="preserve"> has</w:t>
      </w:r>
      <w:r w:rsidR="00B7416B" w:rsidRPr="00DD44EF">
        <w:rPr>
          <w:rFonts w:ascii="Times New Roman" w:hAnsi="Times New Roman" w:cs="Times New Roman"/>
          <w:sz w:val="24"/>
          <w:szCs w:val="24"/>
        </w:rPr>
        <w:t xml:space="preserve"> been richly contested</w:t>
      </w:r>
      <w:r w:rsidRPr="00DD44EF">
        <w:rPr>
          <w:rFonts w:ascii="Times New Roman" w:hAnsi="Times New Roman" w:cs="Times New Roman"/>
          <w:sz w:val="24"/>
          <w:szCs w:val="24"/>
        </w:rPr>
        <w:t xml:space="preserve"> throughout the </w:t>
      </w:r>
      <w:r w:rsidR="00AC591E" w:rsidRPr="00DD44EF">
        <w:rPr>
          <w:rFonts w:ascii="Times New Roman" w:hAnsi="Times New Roman" w:cs="Times New Roman"/>
          <w:sz w:val="24"/>
          <w:szCs w:val="24"/>
        </w:rPr>
        <w:t>history of analytical philosophy</w:t>
      </w:r>
      <w:r w:rsidR="00B7416B" w:rsidRPr="00DD44EF">
        <w:rPr>
          <w:rFonts w:ascii="Times New Roman" w:hAnsi="Times New Roman" w:cs="Times New Roman"/>
          <w:sz w:val="24"/>
          <w:szCs w:val="24"/>
        </w:rPr>
        <w:t>. Attempts to delineate these boundaries tend to be structured</w:t>
      </w:r>
      <w:r w:rsidR="002744EF" w:rsidRPr="00DD44EF">
        <w:rPr>
          <w:rFonts w:ascii="Times New Roman" w:hAnsi="Times New Roman" w:cs="Times New Roman"/>
          <w:sz w:val="24"/>
          <w:szCs w:val="24"/>
        </w:rPr>
        <w:t xml:space="preserve"> either, on one side of the debate,</w:t>
      </w:r>
      <w:r w:rsidR="00B7416B" w:rsidRPr="00DD44EF">
        <w:rPr>
          <w:rFonts w:ascii="Times New Roman" w:hAnsi="Times New Roman" w:cs="Times New Roman"/>
          <w:sz w:val="24"/>
          <w:szCs w:val="24"/>
        </w:rPr>
        <w:t xml:space="preserve"> around the</w:t>
      </w:r>
      <w:r w:rsidR="002744EF" w:rsidRPr="00DD44EF">
        <w:rPr>
          <w:rFonts w:ascii="Times New Roman" w:hAnsi="Times New Roman" w:cs="Times New Roman"/>
          <w:sz w:val="24"/>
          <w:szCs w:val="24"/>
        </w:rPr>
        <w:t xml:space="preserve"> nature of the object of the experience under review or, on the other, around the nature of the relationship between the perceiver and the object or enviro</w:t>
      </w:r>
      <w:r w:rsidR="00A91F59">
        <w:rPr>
          <w:rFonts w:ascii="Times New Roman" w:hAnsi="Times New Roman" w:cs="Times New Roman"/>
          <w:sz w:val="24"/>
          <w:szCs w:val="24"/>
        </w:rPr>
        <w:t>nment perceived</w:t>
      </w:r>
      <w:r w:rsidR="00B7416B" w:rsidRPr="00DD44EF">
        <w:rPr>
          <w:rFonts w:ascii="Times New Roman" w:hAnsi="Times New Roman" w:cs="Times New Roman"/>
          <w:sz w:val="24"/>
          <w:szCs w:val="24"/>
        </w:rPr>
        <w:t xml:space="preserve">. </w:t>
      </w:r>
      <w:r w:rsidR="001479AB" w:rsidRPr="00DD44EF">
        <w:rPr>
          <w:rFonts w:ascii="Times New Roman" w:hAnsi="Times New Roman" w:cs="Times New Roman"/>
          <w:sz w:val="24"/>
          <w:szCs w:val="24"/>
        </w:rPr>
        <w:t>Kingsley Price</w:t>
      </w:r>
      <w:r w:rsidR="00A91F59">
        <w:rPr>
          <w:rFonts w:ascii="Times New Roman" w:hAnsi="Times New Roman" w:cs="Times New Roman"/>
          <w:b/>
          <w:sz w:val="24"/>
          <w:szCs w:val="24"/>
        </w:rPr>
        <w:t>,</w:t>
      </w:r>
      <w:r w:rsidR="002744EF" w:rsidRPr="00DD44EF">
        <w:rPr>
          <w:rFonts w:ascii="Times New Roman" w:hAnsi="Times New Roman" w:cs="Times New Roman"/>
          <w:sz w:val="24"/>
          <w:szCs w:val="24"/>
        </w:rPr>
        <w:t xml:space="preserve"> a pivotal figure in the generation of this debate</w:t>
      </w:r>
      <w:r w:rsidR="00A91F59">
        <w:rPr>
          <w:rFonts w:ascii="Times New Roman" w:hAnsi="Times New Roman" w:cs="Times New Roman"/>
          <w:sz w:val="24"/>
          <w:szCs w:val="24"/>
        </w:rPr>
        <w:t xml:space="preserve">, </w:t>
      </w:r>
      <w:r w:rsidR="002744EF" w:rsidRPr="00DD44EF">
        <w:rPr>
          <w:rFonts w:ascii="Times New Roman" w:hAnsi="Times New Roman" w:cs="Times New Roman"/>
          <w:sz w:val="24"/>
          <w:szCs w:val="24"/>
        </w:rPr>
        <w:t>famously contended</w:t>
      </w:r>
      <w:r w:rsidR="00480245">
        <w:rPr>
          <w:rFonts w:ascii="Times New Roman" w:hAnsi="Times New Roman" w:cs="Times New Roman"/>
          <w:sz w:val="24"/>
          <w:szCs w:val="24"/>
        </w:rPr>
        <w:t xml:space="preserve"> that the issue that </w:t>
      </w:r>
      <w:r w:rsidR="001479AB" w:rsidRPr="00DD44EF">
        <w:rPr>
          <w:rFonts w:ascii="Times New Roman" w:hAnsi="Times New Roman" w:cs="Times New Roman"/>
          <w:sz w:val="24"/>
          <w:szCs w:val="24"/>
        </w:rPr>
        <w:t xml:space="preserve">effects the most decisive bearing on the question of whether or not a certain experience is aesthetic, is the question of whether or not the </w:t>
      </w:r>
      <w:r w:rsidR="00A91F59" w:rsidRPr="00A91F59">
        <w:rPr>
          <w:rFonts w:ascii="Times New Roman" w:hAnsi="Times New Roman" w:cs="Times New Roman"/>
          <w:sz w:val="24"/>
          <w:szCs w:val="24"/>
        </w:rPr>
        <w:t>element</w:t>
      </w:r>
      <w:r w:rsidR="00A91F59">
        <w:rPr>
          <w:rFonts w:ascii="Times New Roman" w:hAnsi="Times New Roman" w:cs="Times New Roman"/>
          <w:sz w:val="24"/>
          <w:szCs w:val="24"/>
        </w:rPr>
        <w:t xml:space="preserve"> stimulating</w:t>
      </w:r>
      <w:r w:rsidR="001479AB" w:rsidRPr="00DD44EF">
        <w:rPr>
          <w:rFonts w:ascii="Times New Roman" w:hAnsi="Times New Roman" w:cs="Times New Roman"/>
          <w:sz w:val="24"/>
          <w:szCs w:val="24"/>
        </w:rPr>
        <w:t xml:space="preserve"> the experience can be classified as an aesthetic object</w:t>
      </w:r>
      <w:r w:rsidR="002744EF" w:rsidRPr="00DD44EF">
        <w:rPr>
          <w:rFonts w:ascii="Times New Roman" w:hAnsi="Times New Roman" w:cs="Times New Roman"/>
          <w:sz w:val="24"/>
          <w:szCs w:val="24"/>
        </w:rPr>
        <w:t xml:space="preserve"> (Pri</w:t>
      </w:r>
      <w:r w:rsidR="00D14547" w:rsidRPr="00DD44EF">
        <w:rPr>
          <w:rFonts w:ascii="Times New Roman" w:hAnsi="Times New Roman" w:cs="Times New Roman"/>
          <w:sz w:val="24"/>
          <w:szCs w:val="24"/>
        </w:rPr>
        <w:t>ce</w:t>
      </w:r>
      <w:r w:rsidR="002744EF" w:rsidRPr="00DD44EF">
        <w:rPr>
          <w:rFonts w:ascii="Times New Roman" w:hAnsi="Times New Roman" w:cs="Times New Roman"/>
          <w:sz w:val="24"/>
          <w:szCs w:val="24"/>
        </w:rPr>
        <w:t xml:space="preserve"> 1979).</w:t>
      </w:r>
      <w:r w:rsidR="00980AC0" w:rsidRPr="00DD44EF">
        <w:rPr>
          <w:rFonts w:ascii="Times New Roman" w:hAnsi="Times New Roman" w:cs="Times New Roman"/>
          <w:sz w:val="24"/>
          <w:szCs w:val="24"/>
        </w:rPr>
        <w:t xml:space="preserve"> </w:t>
      </w:r>
      <w:r w:rsidR="00433638" w:rsidRPr="00DD44EF">
        <w:rPr>
          <w:rFonts w:ascii="Times New Roman" w:hAnsi="Times New Roman" w:cs="Times New Roman"/>
          <w:sz w:val="24"/>
          <w:szCs w:val="24"/>
        </w:rPr>
        <w:t xml:space="preserve">The current exploration of the engagement levels of individuals with visual impairment in works of visual art is directly informed by one of the several rejoinders to Price’s assertion – that of Michael Mitias (1982). </w:t>
      </w:r>
      <w:r w:rsidR="001479AB" w:rsidRPr="00DD44EF">
        <w:rPr>
          <w:rFonts w:ascii="Times New Roman" w:hAnsi="Times New Roman" w:cs="Times New Roman"/>
          <w:sz w:val="24"/>
          <w:szCs w:val="24"/>
        </w:rPr>
        <w:t>Concentrating on the experience of engaging with a work of art, Mitias refers to the individual who perceives an artwork as ‘an I’. ‘This I,’ he contends,</w:t>
      </w:r>
    </w:p>
    <w:p w14:paraId="61D58043" w14:textId="77777777" w:rsidR="001479AB" w:rsidRPr="00DD44EF" w:rsidRDefault="001479AB" w:rsidP="00623558">
      <w:pPr>
        <w:widowControl w:val="0"/>
        <w:autoSpaceDE w:val="0"/>
        <w:autoSpaceDN w:val="0"/>
        <w:adjustRightInd w:val="0"/>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 xml:space="preserve"> </w:t>
      </w:r>
    </w:p>
    <w:p w14:paraId="56A66839" w14:textId="77777777" w:rsidR="001479AB" w:rsidRPr="00DD44EF" w:rsidRDefault="001479AB" w:rsidP="00623558">
      <w:pPr>
        <w:widowControl w:val="0"/>
        <w:autoSpaceDE w:val="0"/>
        <w:autoSpaceDN w:val="0"/>
        <w:adjustRightInd w:val="0"/>
        <w:spacing w:after="0" w:line="23" w:lineRule="atLeast"/>
        <w:ind w:left="284" w:right="284"/>
        <w:jc w:val="both"/>
        <w:rPr>
          <w:rFonts w:ascii="Times New Roman" w:hAnsi="Times New Roman" w:cs="Times New Roman"/>
          <w:sz w:val="24"/>
          <w:szCs w:val="24"/>
        </w:rPr>
      </w:pPr>
      <w:r w:rsidRPr="00DD44EF">
        <w:rPr>
          <w:rFonts w:ascii="Times New Roman" w:hAnsi="Times New Roman" w:cs="Times New Roman"/>
          <w:sz w:val="24"/>
          <w:szCs w:val="24"/>
        </w:rPr>
        <w:t>…is not a fleeting event, but an enduring reality. It is the author of its experience; it is the unity of its experiences. It is also the agent which structures the experience. During the experience I remain the subject which authors the experience and also the medium within which the object becomes a living, meaningful reality in the experience (</w:t>
      </w:r>
      <w:r w:rsidR="00D14547" w:rsidRPr="00DD44EF">
        <w:rPr>
          <w:rFonts w:ascii="Times New Roman" w:hAnsi="Times New Roman" w:cs="Times New Roman"/>
          <w:sz w:val="24"/>
          <w:szCs w:val="24"/>
        </w:rPr>
        <w:t>Mitias 1982:</w:t>
      </w:r>
      <w:r w:rsidR="00433638" w:rsidRPr="00DD44EF">
        <w:rPr>
          <w:rFonts w:ascii="Times New Roman" w:hAnsi="Times New Roman" w:cs="Times New Roman"/>
          <w:sz w:val="24"/>
          <w:szCs w:val="24"/>
        </w:rPr>
        <w:t xml:space="preserve"> </w:t>
      </w:r>
      <w:r w:rsidRPr="00DD44EF">
        <w:rPr>
          <w:rFonts w:ascii="Times New Roman" w:hAnsi="Times New Roman" w:cs="Times New Roman"/>
          <w:sz w:val="24"/>
          <w:szCs w:val="24"/>
        </w:rPr>
        <w:t>159).</w:t>
      </w:r>
    </w:p>
    <w:p w14:paraId="48F94366" w14:textId="77777777" w:rsidR="001479AB" w:rsidRPr="00DD44EF" w:rsidRDefault="001479AB" w:rsidP="00623558">
      <w:pPr>
        <w:widowControl w:val="0"/>
        <w:autoSpaceDE w:val="0"/>
        <w:autoSpaceDN w:val="0"/>
        <w:adjustRightInd w:val="0"/>
        <w:spacing w:after="0" w:line="23" w:lineRule="atLeast"/>
        <w:jc w:val="both"/>
        <w:rPr>
          <w:rFonts w:ascii="Times New Roman" w:hAnsi="Times New Roman" w:cs="Times New Roman"/>
          <w:sz w:val="24"/>
          <w:szCs w:val="24"/>
        </w:rPr>
      </w:pPr>
    </w:p>
    <w:p w14:paraId="1D9B8117" w14:textId="17479B08" w:rsidR="001479AB" w:rsidRPr="00DD44EF" w:rsidRDefault="001479AB" w:rsidP="00623558">
      <w:pPr>
        <w:widowControl w:val="0"/>
        <w:autoSpaceDE w:val="0"/>
        <w:autoSpaceDN w:val="0"/>
        <w:adjustRightInd w:val="0"/>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 xml:space="preserve">The thrust of Mitias’ line of argument is particularly persuasive when reflected on in relation to the </w:t>
      </w:r>
      <w:r w:rsidR="00433638" w:rsidRPr="00DD44EF">
        <w:rPr>
          <w:rFonts w:ascii="Times New Roman" w:hAnsi="Times New Roman" w:cs="Times New Roman"/>
          <w:sz w:val="24"/>
          <w:szCs w:val="24"/>
        </w:rPr>
        <w:t xml:space="preserve">nature of the </w:t>
      </w:r>
      <w:r w:rsidRPr="00DD44EF">
        <w:rPr>
          <w:rFonts w:ascii="Times New Roman" w:hAnsi="Times New Roman" w:cs="Times New Roman"/>
          <w:sz w:val="24"/>
          <w:szCs w:val="24"/>
        </w:rPr>
        <w:t>experiences afforded to gallery visitors with visual impairment. In such cases, the authority responsible for the ‘structuring’ and ‘authoring’ of the experience generated by the works of art on display does not appear to lie exclusively within the agency of the individual having the experience</w:t>
      </w:r>
      <w:r w:rsidRPr="00F27C0F">
        <w:rPr>
          <w:rFonts w:ascii="Times New Roman" w:hAnsi="Times New Roman" w:cs="Times New Roman"/>
          <w:sz w:val="24"/>
          <w:szCs w:val="24"/>
        </w:rPr>
        <w:t>. In the verbal mediation of paintings within art access initiatives, what is described does not correspond directly to the perceptual experiences of the beholder</w:t>
      </w:r>
      <w:r w:rsidR="002E38DC" w:rsidRPr="00F27C0F">
        <w:rPr>
          <w:rFonts w:ascii="Times New Roman" w:hAnsi="Times New Roman" w:cs="Times New Roman"/>
          <w:sz w:val="24"/>
          <w:szCs w:val="24"/>
        </w:rPr>
        <w:t>, and is often at considerable variance from this experience. This would appear to be</w:t>
      </w:r>
      <w:r w:rsidRPr="00F27C0F">
        <w:rPr>
          <w:rFonts w:ascii="Times New Roman" w:hAnsi="Times New Roman" w:cs="Times New Roman"/>
          <w:sz w:val="24"/>
          <w:szCs w:val="24"/>
        </w:rPr>
        <w:t xml:space="preserve"> in direct conflict with Mitias’ directive regarding the imperative that one should ‘author’ on</w:t>
      </w:r>
      <w:r w:rsidR="000D5F3D">
        <w:rPr>
          <w:rFonts w:ascii="Times New Roman" w:hAnsi="Times New Roman" w:cs="Times New Roman"/>
          <w:sz w:val="24"/>
          <w:szCs w:val="24"/>
        </w:rPr>
        <w:t xml:space="preserve">e’s own aesthetic experiences. </w:t>
      </w:r>
      <w:r w:rsidRPr="00F27C0F">
        <w:rPr>
          <w:rFonts w:ascii="Times New Roman" w:hAnsi="Times New Roman" w:cs="Times New Roman"/>
          <w:sz w:val="24"/>
          <w:szCs w:val="24"/>
        </w:rPr>
        <w:t>This aspect of access provision is presented here as the ‘ghost-authoring’ of aesthetic experience.</w:t>
      </w:r>
      <w:r w:rsidRPr="00DD44EF">
        <w:rPr>
          <w:rFonts w:ascii="Times New Roman" w:hAnsi="Times New Roman" w:cs="Times New Roman"/>
          <w:sz w:val="24"/>
          <w:szCs w:val="24"/>
        </w:rPr>
        <w:t xml:space="preserve"> What follows is a series of reflections on the impact of such surrogate structuring of </w:t>
      </w:r>
      <w:r w:rsidR="00A91F59">
        <w:rPr>
          <w:rFonts w:ascii="Times New Roman" w:hAnsi="Times New Roman" w:cs="Times New Roman"/>
          <w:sz w:val="24"/>
          <w:szCs w:val="24"/>
        </w:rPr>
        <w:t xml:space="preserve">the </w:t>
      </w:r>
      <w:r w:rsidRPr="00DD44EF">
        <w:rPr>
          <w:rFonts w:ascii="Times New Roman" w:hAnsi="Times New Roman" w:cs="Times New Roman"/>
          <w:sz w:val="24"/>
          <w:szCs w:val="24"/>
        </w:rPr>
        <w:t>aesthetic experience</w:t>
      </w:r>
      <w:r w:rsidR="00A91F59">
        <w:rPr>
          <w:rFonts w:ascii="Times New Roman" w:hAnsi="Times New Roman" w:cs="Times New Roman"/>
          <w:sz w:val="24"/>
          <w:szCs w:val="24"/>
        </w:rPr>
        <w:t>s of one person on the perceptions of another.</w:t>
      </w:r>
      <w:r w:rsidRPr="00DD44EF">
        <w:rPr>
          <w:rFonts w:ascii="Times New Roman" w:hAnsi="Times New Roman" w:cs="Times New Roman"/>
          <w:sz w:val="24"/>
          <w:szCs w:val="24"/>
        </w:rPr>
        <w:t xml:space="preserve"> These reflecti</w:t>
      </w:r>
      <w:r w:rsidR="00A91F59">
        <w:rPr>
          <w:rFonts w:ascii="Times New Roman" w:hAnsi="Times New Roman" w:cs="Times New Roman"/>
          <w:sz w:val="24"/>
          <w:szCs w:val="24"/>
        </w:rPr>
        <w:t>ons are informed by one component of an empirical study</w:t>
      </w:r>
      <w:r w:rsidR="00910929">
        <w:rPr>
          <w:rFonts w:ascii="Times New Roman" w:hAnsi="Times New Roman" w:cs="Times New Roman"/>
          <w:sz w:val="24"/>
          <w:szCs w:val="24"/>
        </w:rPr>
        <w:t xml:space="preserve"> conducted in four</w:t>
      </w:r>
      <w:r w:rsidRPr="00DD44EF">
        <w:rPr>
          <w:rFonts w:ascii="Times New Roman" w:hAnsi="Times New Roman" w:cs="Times New Roman"/>
          <w:sz w:val="24"/>
          <w:szCs w:val="24"/>
        </w:rPr>
        <w:t xml:space="preserve"> galleries across Scotland, the objective of which was to ascert</w:t>
      </w:r>
      <w:r w:rsidR="00A91F59">
        <w:rPr>
          <w:rFonts w:ascii="Times New Roman" w:hAnsi="Times New Roman" w:cs="Times New Roman"/>
          <w:sz w:val="24"/>
          <w:szCs w:val="24"/>
        </w:rPr>
        <w:t>ain the difference made to art</w:t>
      </w:r>
      <w:r w:rsidRPr="00DD44EF">
        <w:rPr>
          <w:rFonts w:ascii="Times New Roman" w:hAnsi="Times New Roman" w:cs="Times New Roman"/>
          <w:sz w:val="24"/>
          <w:szCs w:val="24"/>
        </w:rPr>
        <w:t xml:space="preserve"> engagement levels when access provision was structured around the perceptions of the gallery visitors with visual impairment, rather than those of fully sighted guides.</w:t>
      </w:r>
    </w:p>
    <w:p w14:paraId="71B40B72" w14:textId="77777777" w:rsidR="001479AB" w:rsidRPr="00DD44EF" w:rsidRDefault="001479AB" w:rsidP="00623558">
      <w:pPr>
        <w:widowControl w:val="0"/>
        <w:autoSpaceDE w:val="0"/>
        <w:autoSpaceDN w:val="0"/>
        <w:adjustRightInd w:val="0"/>
        <w:spacing w:after="0" w:line="23" w:lineRule="atLeast"/>
        <w:jc w:val="both"/>
        <w:rPr>
          <w:rFonts w:ascii="Times New Roman" w:hAnsi="Times New Roman" w:cs="Times New Roman"/>
          <w:sz w:val="24"/>
          <w:szCs w:val="24"/>
        </w:rPr>
      </w:pPr>
    </w:p>
    <w:p w14:paraId="2328082E" w14:textId="77777777" w:rsidR="00C04E44" w:rsidRDefault="00D66B6B" w:rsidP="0062355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The </w:t>
      </w:r>
      <w:r w:rsidR="001479AB" w:rsidRPr="00DD44EF">
        <w:rPr>
          <w:rFonts w:ascii="Times New Roman" w:hAnsi="Times New Roman" w:cs="Times New Roman"/>
          <w:sz w:val="24"/>
          <w:szCs w:val="24"/>
        </w:rPr>
        <w:t>form of simulation</w:t>
      </w:r>
      <w:r>
        <w:rPr>
          <w:rFonts w:ascii="Times New Roman" w:hAnsi="Times New Roman" w:cs="Times New Roman"/>
          <w:sz w:val="24"/>
          <w:szCs w:val="24"/>
        </w:rPr>
        <w:t xml:space="preserve"> underpinning the arguments developed here </w:t>
      </w:r>
      <w:r w:rsidR="001479AB" w:rsidRPr="00DD44EF">
        <w:rPr>
          <w:rFonts w:ascii="Times New Roman" w:hAnsi="Times New Roman" w:cs="Times New Roman"/>
          <w:sz w:val="24"/>
          <w:szCs w:val="24"/>
        </w:rPr>
        <w:t>needs to be carefully demarcated and qualified within the context of the primary tenets of a rich history of criticisms of disability simulation, many</w:t>
      </w:r>
      <w:r>
        <w:rPr>
          <w:rFonts w:ascii="Times New Roman" w:hAnsi="Times New Roman" w:cs="Times New Roman"/>
          <w:sz w:val="24"/>
          <w:szCs w:val="24"/>
        </w:rPr>
        <w:t xml:space="preserve"> of which are not contested in what follows</w:t>
      </w:r>
      <w:r w:rsidR="001479AB" w:rsidRPr="00DD44EF">
        <w:rPr>
          <w:rFonts w:ascii="Times New Roman" w:hAnsi="Times New Roman" w:cs="Times New Roman"/>
          <w:sz w:val="24"/>
          <w:szCs w:val="24"/>
        </w:rPr>
        <w:t xml:space="preserve">. </w:t>
      </w:r>
      <w:r>
        <w:rPr>
          <w:rFonts w:ascii="Times New Roman" w:hAnsi="Times New Roman" w:cs="Times New Roman"/>
          <w:sz w:val="24"/>
          <w:szCs w:val="24"/>
        </w:rPr>
        <w:t>It is worth mentioning, in this regard, that w</w:t>
      </w:r>
      <w:r w:rsidR="0040471D" w:rsidRPr="00DD44EF">
        <w:rPr>
          <w:rFonts w:ascii="Times New Roman" w:hAnsi="Times New Roman" w:cs="Times New Roman"/>
          <w:sz w:val="24"/>
          <w:szCs w:val="24"/>
        </w:rPr>
        <w:t xml:space="preserve">hen the opportunity to undertake the research presented here initially presented itself, my </w:t>
      </w:r>
      <w:r w:rsidR="0009170C" w:rsidRPr="00DD44EF">
        <w:rPr>
          <w:rFonts w:ascii="Times New Roman" w:hAnsi="Times New Roman" w:cs="Times New Roman"/>
          <w:sz w:val="24"/>
          <w:szCs w:val="24"/>
        </w:rPr>
        <w:t xml:space="preserve">intuitive </w:t>
      </w:r>
      <w:r w:rsidR="0040471D" w:rsidRPr="00DD44EF">
        <w:rPr>
          <w:rFonts w:ascii="Times New Roman" w:hAnsi="Times New Roman" w:cs="Times New Roman"/>
          <w:sz w:val="24"/>
          <w:szCs w:val="24"/>
        </w:rPr>
        <w:t>dissuasion</w:t>
      </w:r>
      <w:r w:rsidR="0009170C" w:rsidRPr="00DD44EF">
        <w:rPr>
          <w:rFonts w:ascii="Times New Roman" w:hAnsi="Times New Roman" w:cs="Times New Roman"/>
          <w:sz w:val="24"/>
          <w:szCs w:val="24"/>
        </w:rPr>
        <w:t xml:space="preserve"> was informed by my familiarity with many compelling </w:t>
      </w:r>
      <w:r>
        <w:rPr>
          <w:rFonts w:ascii="Times New Roman" w:hAnsi="Times New Roman" w:cs="Times New Roman"/>
          <w:sz w:val="24"/>
          <w:szCs w:val="24"/>
        </w:rPr>
        <w:t xml:space="preserve">lines of </w:t>
      </w:r>
      <w:r w:rsidR="0009170C" w:rsidRPr="00DD44EF">
        <w:rPr>
          <w:rFonts w:ascii="Times New Roman" w:hAnsi="Times New Roman" w:cs="Times New Roman"/>
          <w:sz w:val="24"/>
          <w:szCs w:val="24"/>
        </w:rPr>
        <w:t>criticism</w:t>
      </w:r>
      <w:r>
        <w:rPr>
          <w:rFonts w:ascii="Times New Roman" w:hAnsi="Times New Roman" w:cs="Times New Roman"/>
          <w:sz w:val="24"/>
          <w:szCs w:val="24"/>
        </w:rPr>
        <w:t xml:space="preserve">. </w:t>
      </w:r>
      <w:r w:rsidR="0009170C" w:rsidRPr="00DD44EF">
        <w:rPr>
          <w:rFonts w:ascii="Times New Roman" w:hAnsi="Times New Roman" w:cs="Times New Roman"/>
          <w:sz w:val="24"/>
          <w:szCs w:val="24"/>
        </w:rPr>
        <w:t xml:space="preserve">The lapse in my career-long reticence towards such activity </w:t>
      </w:r>
      <w:r w:rsidR="001B1711" w:rsidRPr="00DD44EF">
        <w:rPr>
          <w:rFonts w:ascii="Times New Roman" w:hAnsi="Times New Roman" w:cs="Times New Roman"/>
          <w:sz w:val="24"/>
          <w:szCs w:val="24"/>
        </w:rPr>
        <w:t>was not prompted by a change of heart in relation to the alleged functions of awareness-raising, attitudinal improvement, the cultivation of empathy, or any of the ‘benefits’ traditionally associated with disability simulation.</w:t>
      </w:r>
      <w:r w:rsidR="00465452" w:rsidRPr="00DD44EF">
        <w:rPr>
          <w:rFonts w:ascii="Times New Roman" w:hAnsi="Times New Roman" w:cs="Times New Roman"/>
          <w:sz w:val="24"/>
          <w:szCs w:val="24"/>
        </w:rPr>
        <w:t xml:space="preserve"> </w:t>
      </w:r>
      <w:r w:rsidR="006C52C0">
        <w:rPr>
          <w:rFonts w:ascii="Times New Roman" w:hAnsi="Times New Roman" w:cs="Times New Roman"/>
          <w:sz w:val="24"/>
          <w:szCs w:val="24"/>
        </w:rPr>
        <w:t xml:space="preserve">The persuasiveness of existing criticisms of these </w:t>
      </w:r>
      <w:r w:rsidR="00465452" w:rsidRPr="00DD44EF">
        <w:rPr>
          <w:rFonts w:ascii="Times New Roman" w:hAnsi="Times New Roman" w:cs="Times New Roman"/>
          <w:sz w:val="24"/>
          <w:szCs w:val="24"/>
        </w:rPr>
        <w:t>customarily cited validations</w:t>
      </w:r>
      <w:r w:rsidR="006C52C0">
        <w:rPr>
          <w:rFonts w:ascii="Times New Roman" w:hAnsi="Times New Roman" w:cs="Times New Roman"/>
          <w:sz w:val="24"/>
          <w:szCs w:val="24"/>
        </w:rPr>
        <w:t xml:space="preserve"> of simulation is such that</w:t>
      </w:r>
      <w:r w:rsidR="006C52C0" w:rsidRPr="006C52C0">
        <w:rPr>
          <w:rFonts w:ascii="Times New Roman" w:hAnsi="Times New Roman" w:cs="Times New Roman"/>
          <w:sz w:val="24"/>
          <w:szCs w:val="24"/>
        </w:rPr>
        <w:t xml:space="preserve"> </w:t>
      </w:r>
      <w:r w:rsidR="006C52C0">
        <w:rPr>
          <w:rFonts w:ascii="Times New Roman" w:hAnsi="Times New Roman" w:cs="Times New Roman"/>
          <w:sz w:val="24"/>
          <w:szCs w:val="24"/>
        </w:rPr>
        <w:t>i</w:t>
      </w:r>
      <w:r w:rsidR="006C52C0" w:rsidRPr="00DD44EF">
        <w:rPr>
          <w:rFonts w:ascii="Times New Roman" w:hAnsi="Times New Roman" w:cs="Times New Roman"/>
          <w:sz w:val="24"/>
          <w:szCs w:val="24"/>
        </w:rPr>
        <w:t>n</w:t>
      </w:r>
      <w:r w:rsidR="006C52C0">
        <w:rPr>
          <w:rFonts w:ascii="Times New Roman" w:hAnsi="Times New Roman" w:cs="Times New Roman"/>
          <w:sz w:val="24"/>
          <w:szCs w:val="24"/>
        </w:rPr>
        <w:t xml:space="preserve"> the development of this</w:t>
      </w:r>
      <w:r w:rsidR="006C52C0" w:rsidRPr="00DD44EF">
        <w:rPr>
          <w:rFonts w:ascii="Times New Roman" w:hAnsi="Times New Roman" w:cs="Times New Roman"/>
          <w:sz w:val="24"/>
          <w:szCs w:val="24"/>
        </w:rPr>
        <w:t xml:space="preserve"> very</w:t>
      </w:r>
      <w:r w:rsidR="006C52C0">
        <w:rPr>
          <w:rFonts w:ascii="Times New Roman" w:hAnsi="Times New Roman" w:cs="Times New Roman"/>
          <w:sz w:val="24"/>
          <w:szCs w:val="24"/>
        </w:rPr>
        <w:t xml:space="preserve"> qualified defence of such an undertaking a wide berth of these modes of endorsement</w:t>
      </w:r>
      <w:r w:rsidR="00465452" w:rsidRPr="00DD44EF">
        <w:rPr>
          <w:rFonts w:ascii="Times New Roman" w:hAnsi="Times New Roman" w:cs="Times New Roman"/>
          <w:sz w:val="24"/>
          <w:szCs w:val="24"/>
        </w:rPr>
        <w:t xml:space="preserve"> is determinedly steered. </w:t>
      </w:r>
      <w:r w:rsidR="006C52C0">
        <w:rPr>
          <w:rFonts w:ascii="Times New Roman" w:hAnsi="Times New Roman" w:cs="Times New Roman"/>
          <w:sz w:val="24"/>
          <w:szCs w:val="24"/>
        </w:rPr>
        <w:t>The alternative line of argument</w:t>
      </w:r>
      <w:r w:rsidR="006A3968" w:rsidRPr="00DD44EF">
        <w:rPr>
          <w:rFonts w:ascii="Times New Roman" w:hAnsi="Times New Roman" w:cs="Times New Roman"/>
          <w:sz w:val="24"/>
          <w:szCs w:val="24"/>
        </w:rPr>
        <w:t xml:space="preserve"> plotted here has been prompted by a conviction that whatever potential might inhere in disability simulation has historically been tapped and advocate</w:t>
      </w:r>
      <w:r w:rsidR="006C52C0">
        <w:rPr>
          <w:rFonts w:ascii="Times New Roman" w:hAnsi="Times New Roman" w:cs="Times New Roman"/>
          <w:sz w:val="24"/>
          <w:szCs w:val="24"/>
        </w:rPr>
        <w:t xml:space="preserve">d in a series of misguided ways, with the result that potentially meaningful benefits have remained unconsidered. As will become clear, the potential benefits considered here relate to </w:t>
      </w:r>
      <w:r w:rsidR="00C04E44">
        <w:rPr>
          <w:rFonts w:ascii="Times New Roman" w:hAnsi="Times New Roman" w:cs="Times New Roman"/>
          <w:sz w:val="24"/>
          <w:szCs w:val="24"/>
        </w:rPr>
        <w:t>such factors as perceived activity levels, the addressing of prevalent assumptions, the tenets of constructivism within a museum context, and the process of cultivating aesthetic literacies.</w:t>
      </w:r>
    </w:p>
    <w:p w14:paraId="51CE989D" w14:textId="77777777" w:rsidR="00E06207" w:rsidRPr="00DD44EF" w:rsidRDefault="00E06207" w:rsidP="00BC491F">
      <w:pPr>
        <w:spacing w:after="0" w:line="23" w:lineRule="atLeast"/>
        <w:jc w:val="right"/>
        <w:rPr>
          <w:rFonts w:ascii="Times New Roman" w:hAnsi="Times New Roman" w:cs="Times New Roman"/>
          <w:b/>
          <w:sz w:val="24"/>
          <w:szCs w:val="24"/>
        </w:rPr>
      </w:pPr>
    </w:p>
    <w:p w14:paraId="7DC198F2" w14:textId="77777777" w:rsidR="001479AB" w:rsidRPr="00DD44EF" w:rsidRDefault="001479AB" w:rsidP="00623558">
      <w:pPr>
        <w:spacing w:after="0" w:line="23" w:lineRule="atLeast"/>
        <w:rPr>
          <w:rFonts w:ascii="Times New Roman" w:hAnsi="Times New Roman" w:cs="Times New Roman"/>
          <w:b/>
          <w:sz w:val="24"/>
          <w:szCs w:val="24"/>
        </w:rPr>
      </w:pPr>
      <w:r w:rsidRPr="00DD44EF">
        <w:rPr>
          <w:rFonts w:ascii="Times New Roman" w:hAnsi="Times New Roman" w:cs="Times New Roman"/>
          <w:b/>
          <w:sz w:val="24"/>
          <w:szCs w:val="24"/>
        </w:rPr>
        <w:t>Disability Simulation</w:t>
      </w:r>
    </w:p>
    <w:p w14:paraId="07157AEC" w14:textId="77777777" w:rsidR="001479AB" w:rsidRPr="00DD44EF" w:rsidRDefault="001479AB"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 xml:space="preserve">The perceived potential for the application of disability simulation within pedagogical contexts was identified in the face of observations by a number of researchers (see, for example, </w:t>
      </w:r>
      <w:r w:rsidR="00D14547" w:rsidRPr="00DD44EF">
        <w:rPr>
          <w:rFonts w:ascii="Times New Roman" w:hAnsi="Times New Roman" w:cs="Times New Roman"/>
          <w:sz w:val="24"/>
          <w:szCs w:val="24"/>
        </w:rPr>
        <w:t>Burgstahler</w:t>
      </w:r>
      <w:r w:rsidRPr="00DD44EF">
        <w:rPr>
          <w:rFonts w:ascii="Times New Roman" w:hAnsi="Times New Roman" w:cs="Times New Roman"/>
          <w:sz w:val="24"/>
          <w:szCs w:val="24"/>
        </w:rPr>
        <w:t xml:space="preserve"> 2002; </w:t>
      </w:r>
      <w:r w:rsidR="000D5F3D">
        <w:rPr>
          <w:rFonts w:ascii="Times New Roman" w:hAnsi="Times New Roman" w:cs="Times New Roman"/>
          <w:sz w:val="24"/>
          <w:szCs w:val="24"/>
        </w:rPr>
        <w:t>Leyser et al.</w:t>
      </w:r>
      <w:r w:rsidR="003233A2" w:rsidRPr="00DD44EF">
        <w:rPr>
          <w:rFonts w:ascii="Times New Roman" w:hAnsi="Times New Roman" w:cs="Times New Roman"/>
          <w:sz w:val="24"/>
          <w:szCs w:val="24"/>
        </w:rPr>
        <w:t xml:space="preserve"> 1998</w:t>
      </w:r>
      <w:r w:rsidR="003233A2">
        <w:rPr>
          <w:rFonts w:ascii="Times New Roman" w:hAnsi="Times New Roman" w:cs="Times New Roman"/>
          <w:sz w:val="24"/>
          <w:szCs w:val="24"/>
        </w:rPr>
        <w:t>;</w:t>
      </w:r>
      <w:r w:rsidRPr="00DD44EF">
        <w:rPr>
          <w:rFonts w:ascii="Times New Roman" w:hAnsi="Times New Roman" w:cs="Times New Roman"/>
          <w:sz w:val="24"/>
          <w:szCs w:val="24"/>
        </w:rPr>
        <w:t>Thompson, Bethea &amp; Turner</w:t>
      </w:r>
      <w:r w:rsidR="002059A0" w:rsidRPr="00DD44EF">
        <w:rPr>
          <w:rFonts w:ascii="Times New Roman" w:hAnsi="Times New Roman" w:cs="Times New Roman"/>
          <w:sz w:val="24"/>
          <w:szCs w:val="24"/>
        </w:rPr>
        <w:t xml:space="preserve"> 1997</w:t>
      </w:r>
      <w:r w:rsidRPr="00DD44EF">
        <w:rPr>
          <w:rFonts w:ascii="Times New Roman" w:hAnsi="Times New Roman" w:cs="Times New Roman"/>
          <w:sz w:val="24"/>
          <w:szCs w:val="24"/>
        </w:rPr>
        <w:t>) of a disturbi</w:t>
      </w:r>
      <w:r w:rsidR="00C04E44">
        <w:rPr>
          <w:rFonts w:ascii="Times New Roman" w:hAnsi="Times New Roman" w:cs="Times New Roman"/>
          <w:sz w:val="24"/>
          <w:szCs w:val="24"/>
        </w:rPr>
        <w:t xml:space="preserve">ng discrepancy whereby </w:t>
      </w:r>
      <w:r w:rsidRPr="00DD44EF">
        <w:rPr>
          <w:rFonts w:ascii="Times New Roman" w:hAnsi="Times New Roman" w:cs="Times New Roman"/>
          <w:sz w:val="24"/>
          <w:szCs w:val="24"/>
        </w:rPr>
        <w:t xml:space="preserve">the numbers of disabled students in mainstream educational settings was increasing, </w:t>
      </w:r>
      <w:r w:rsidR="00C04E44">
        <w:rPr>
          <w:rFonts w:ascii="Times New Roman" w:hAnsi="Times New Roman" w:cs="Times New Roman"/>
          <w:sz w:val="24"/>
          <w:szCs w:val="24"/>
        </w:rPr>
        <w:t xml:space="preserve">while </w:t>
      </w:r>
      <w:r w:rsidRPr="00DD44EF">
        <w:rPr>
          <w:rFonts w:ascii="Times New Roman" w:hAnsi="Times New Roman" w:cs="Times New Roman"/>
          <w:sz w:val="24"/>
          <w:szCs w:val="24"/>
        </w:rPr>
        <w:t>the knowledge levels among educators and administrators about how to accommoda</w:t>
      </w:r>
      <w:r w:rsidR="009B0074" w:rsidRPr="00DD44EF">
        <w:rPr>
          <w:rFonts w:ascii="Times New Roman" w:hAnsi="Times New Roman" w:cs="Times New Roman"/>
          <w:sz w:val="24"/>
          <w:szCs w:val="24"/>
        </w:rPr>
        <w:t>te the needs of these students wa</w:t>
      </w:r>
      <w:r w:rsidRPr="00DD44EF">
        <w:rPr>
          <w:rFonts w:ascii="Times New Roman" w:hAnsi="Times New Roman" w:cs="Times New Roman"/>
          <w:sz w:val="24"/>
          <w:szCs w:val="24"/>
        </w:rPr>
        <w:t xml:space="preserve">s not undergoing a corresponding increase. </w:t>
      </w:r>
      <w:r w:rsidR="00C04E44">
        <w:rPr>
          <w:rFonts w:ascii="Times New Roman" w:hAnsi="Times New Roman" w:cs="Times New Roman"/>
          <w:sz w:val="24"/>
          <w:szCs w:val="24"/>
        </w:rPr>
        <w:t>In response, simulation started to be</w:t>
      </w:r>
      <w:r w:rsidRPr="00DD44EF">
        <w:rPr>
          <w:rFonts w:ascii="Times New Roman" w:hAnsi="Times New Roman" w:cs="Times New Roman"/>
          <w:sz w:val="24"/>
          <w:szCs w:val="24"/>
        </w:rPr>
        <w:t xml:space="preserve"> regularly brought into service as a teaching tool within many disability-awareness initiatives. In general, these simulation activities endeavour to generate selected components of reality in order to encourage participants to develop skills, further their knowledge and </w:t>
      </w:r>
      <w:r w:rsidRPr="00DD44EF">
        <w:rPr>
          <w:rFonts w:ascii="Times New Roman" w:hAnsi="Times New Roman" w:cs="Times New Roman"/>
          <w:sz w:val="24"/>
          <w:szCs w:val="24"/>
        </w:rPr>
        <w:lastRenderedPageBreak/>
        <w:t>appreciation of, and develop more informed attitudes about that reality. Simulations have been found to be engaging approaches to awareness-raising (</w:t>
      </w:r>
      <w:r w:rsidR="002059A0" w:rsidRPr="00DD44EF">
        <w:rPr>
          <w:rFonts w:ascii="Times New Roman" w:hAnsi="Times New Roman" w:cs="Times New Roman"/>
          <w:sz w:val="24"/>
          <w:szCs w:val="24"/>
        </w:rPr>
        <w:t>Hunter &amp; Clark 1977; Randel et al.</w:t>
      </w:r>
      <w:r w:rsidRPr="00DD44EF">
        <w:rPr>
          <w:rFonts w:ascii="Times New Roman" w:hAnsi="Times New Roman" w:cs="Times New Roman"/>
          <w:sz w:val="24"/>
          <w:szCs w:val="24"/>
        </w:rPr>
        <w:t xml:space="preserve"> 1992), and to have a capacity for prompting attitudinal change, and effecting increases in empathy and self-awareness (</w:t>
      </w:r>
      <w:r w:rsidR="002059A0" w:rsidRPr="00DD44EF">
        <w:rPr>
          <w:rFonts w:ascii="Times New Roman" w:hAnsi="Times New Roman" w:cs="Times New Roman"/>
          <w:sz w:val="24"/>
          <w:szCs w:val="24"/>
        </w:rPr>
        <w:t>Brendemeier &amp; Greenblat</w:t>
      </w:r>
      <w:r w:rsidRPr="00DD44EF">
        <w:rPr>
          <w:rFonts w:ascii="Times New Roman" w:hAnsi="Times New Roman" w:cs="Times New Roman"/>
          <w:sz w:val="24"/>
          <w:szCs w:val="24"/>
        </w:rPr>
        <w:t xml:space="preserve"> 1981</w:t>
      </w:r>
      <w:r w:rsidR="00B46D4B">
        <w:rPr>
          <w:rFonts w:ascii="Times New Roman" w:hAnsi="Times New Roman" w:cs="Times New Roman"/>
          <w:sz w:val="24"/>
          <w:szCs w:val="24"/>
        </w:rPr>
        <w:t>; Hyman 1978; Patterson 1980</w:t>
      </w:r>
      <w:r w:rsidR="00CE6C03" w:rsidRPr="00DD44EF">
        <w:rPr>
          <w:rFonts w:ascii="Times New Roman" w:hAnsi="Times New Roman" w:cs="Times New Roman"/>
          <w:sz w:val="24"/>
          <w:szCs w:val="24"/>
        </w:rPr>
        <w:t>).</w:t>
      </w:r>
      <w:r w:rsidR="00B46D4B">
        <w:rPr>
          <w:rFonts w:ascii="Times New Roman" w:hAnsi="Times New Roman" w:cs="Times New Roman"/>
          <w:sz w:val="24"/>
          <w:szCs w:val="24"/>
        </w:rPr>
        <w:t xml:space="preserve"> </w:t>
      </w:r>
      <w:r w:rsidR="009B0074" w:rsidRPr="00DD44EF">
        <w:rPr>
          <w:rFonts w:ascii="Times New Roman" w:hAnsi="Times New Roman" w:cs="Times New Roman"/>
          <w:sz w:val="24"/>
          <w:szCs w:val="24"/>
        </w:rPr>
        <w:t xml:space="preserve">The alleged benefits of simulation </w:t>
      </w:r>
      <w:r w:rsidR="00C04E44">
        <w:rPr>
          <w:rFonts w:ascii="Times New Roman" w:hAnsi="Times New Roman" w:cs="Times New Roman"/>
          <w:sz w:val="24"/>
          <w:szCs w:val="24"/>
        </w:rPr>
        <w:t xml:space="preserve">have been compared </w:t>
      </w:r>
      <w:r w:rsidR="00B46D4B">
        <w:rPr>
          <w:rFonts w:ascii="Times New Roman" w:hAnsi="Times New Roman" w:cs="Times New Roman"/>
          <w:sz w:val="24"/>
          <w:szCs w:val="24"/>
        </w:rPr>
        <w:t>favourably</w:t>
      </w:r>
      <w:r w:rsidR="00C04E44">
        <w:rPr>
          <w:rFonts w:ascii="Times New Roman" w:hAnsi="Times New Roman" w:cs="Times New Roman"/>
          <w:sz w:val="24"/>
          <w:szCs w:val="24"/>
        </w:rPr>
        <w:t xml:space="preserve"> with states of awareness arrived at through more</w:t>
      </w:r>
      <w:r w:rsidR="009B0074" w:rsidRPr="00DD44EF">
        <w:rPr>
          <w:rFonts w:ascii="Times New Roman" w:hAnsi="Times New Roman" w:cs="Times New Roman"/>
          <w:sz w:val="24"/>
          <w:szCs w:val="24"/>
        </w:rPr>
        <w:t xml:space="preserve"> passive exercises such as reading a </w:t>
      </w:r>
      <w:r w:rsidR="00C04E44">
        <w:rPr>
          <w:rFonts w:ascii="Times New Roman" w:hAnsi="Times New Roman" w:cs="Times New Roman"/>
          <w:sz w:val="24"/>
          <w:szCs w:val="24"/>
        </w:rPr>
        <w:t>book or watching a documentary</w:t>
      </w:r>
      <w:r w:rsidR="009B0074" w:rsidRPr="00DD44EF">
        <w:rPr>
          <w:rFonts w:ascii="Times New Roman" w:hAnsi="Times New Roman" w:cs="Times New Roman"/>
          <w:sz w:val="24"/>
          <w:szCs w:val="24"/>
        </w:rPr>
        <w:t xml:space="preserve"> (</w:t>
      </w:r>
      <w:r w:rsidR="002F4814" w:rsidRPr="00DD44EF">
        <w:rPr>
          <w:rFonts w:ascii="Times New Roman" w:hAnsi="Times New Roman" w:cs="Times New Roman"/>
          <w:sz w:val="24"/>
          <w:szCs w:val="24"/>
        </w:rPr>
        <w:t>Herbert 2000;</w:t>
      </w:r>
      <w:r w:rsidR="002F4814" w:rsidRPr="002F4814">
        <w:rPr>
          <w:rFonts w:ascii="Times New Roman" w:hAnsi="Times New Roman" w:cs="Times New Roman"/>
          <w:sz w:val="24"/>
          <w:szCs w:val="24"/>
          <w:lang w:val="en-US"/>
        </w:rPr>
        <w:t xml:space="preserve"> </w:t>
      </w:r>
      <w:r w:rsidR="002F4814">
        <w:rPr>
          <w:rFonts w:ascii="Times New Roman" w:hAnsi="Times New Roman" w:cs="Times New Roman"/>
          <w:sz w:val="24"/>
          <w:szCs w:val="24"/>
        </w:rPr>
        <w:t>Patterson 1980</w:t>
      </w:r>
      <w:r w:rsidR="009B0074" w:rsidRPr="00DD44EF">
        <w:rPr>
          <w:rFonts w:ascii="Times New Roman" w:hAnsi="Times New Roman" w:cs="Times New Roman"/>
          <w:sz w:val="24"/>
          <w:szCs w:val="24"/>
        </w:rPr>
        <w:t>).</w:t>
      </w:r>
      <w:r w:rsidR="00B46D4B">
        <w:rPr>
          <w:rFonts w:ascii="Times New Roman" w:hAnsi="Times New Roman" w:cs="Times New Roman"/>
          <w:sz w:val="24"/>
          <w:szCs w:val="24"/>
        </w:rPr>
        <w:t xml:space="preserve"> </w:t>
      </w:r>
      <w:r w:rsidRPr="00DD44EF">
        <w:rPr>
          <w:rFonts w:ascii="Times New Roman" w:hAnsi="Times New Roman" w:cs="Times New Roman"/>
          <w:sz w:val="24"/>
          <w:szCs w:val="24"/>
        </w:rPr>
        <w:t>Although these earlier writers on the subject of disability simulation have outlined its potential benefits, two general categories of response to these initiatives emerge upon an initial trawl through a more contemporary body of literature on the subject: those writers who intuitively think that disability simulation is a promising way forward, but whose subsequent research discounts this potential, and writers who are intuitively sceptical and whos</w:t>
      </w:r>
      <w:r w:rsidR="00C04E44">
        <w:rPr>
          <w:rFonts w:ascii="Times New Roman" w:hAnsi="Times New Roman" w:cs="Times New Roman"/>
          <w:sz w:val="24"/>
          <w:szCs w:val="24"/>
        </w:rPr>
        <w:t>e research</w:t>
      </w:r>
      <w:r w:rsidR="00B46D4B">
        <w:rPr>
          <w:rFonts w:ascii="Times New Roman" w:hAnsi="Times New Roman" w:cs="Times New Roman"/>
          <w:sz w:val="24"/>
          <w:szCs w:val="24"/>
        </w:rPr>
        <w:t xml:space="preserve"> into simulation validates their instinctive</w:t>
      </w:r>
      <w:r w:rsidR="00C04E44">
        <w:rPr>
          <w:rFonts w:ascii="Times New Roman" w:hAnsi="Times New Roman" w:cs="Times New Roman"/>
          <w:sz w:val="24"/>
          <w:szCs w:val="24"/>
        </w:rPr>
        <w:t xml:space="preserve"> misgivings</w:t>
      </w:r>
      <w:r w:rsidRPr="00DD44EF">
        <w:rPr>
          <w:rFonts w:ascii="Times New Roman" w:hAnsi="Times New Roman" w:cs="Times New Roman"/>
          <w:sz w:val="24"/>
          <w:szCs w:val="24"/>
        </w:rPr>
        <w:t xml:space="preserve">. </w:t>
      </w:r>
    </w:p>
    <w:p w14:paraId="5E195EB7" w14:textId="77777777" w:rsidR="001479AB" w:rsidRPr="00DD44EF" w:rsidRDefault="001479AB" w:rsidP="00623558">
      <w:pPr>
        <w:spacing w:after="0" w:line="23" w:lineRule="atLeast"/>
        <w:rPr>
          <w:rFonts w:ascii="Times New Roman" w:hAnsi="Times New Roman" w:cs="Times New Roman"/>
          <w:sz w:val="24"/>
          <w:szCs w:val="24"/>
        </w:rPr>
      </w:pPr>
    </w:p>
    <w:p w14:paraId="0E53680D" w14:textId="77777777" w:rsidR="001479AB" w:rsidRPr="00DD44EF" w:rsidRDefault="001479AB" w:rsidP="00623558">
      <w:pPr>
        <w:spacing w:after="0" w:line="23" w:lineRule="atLeast"/>
        <w:rPr>
          <w:rFonts w:ascii="Times New Roman" w:hAnsi="Times New Roman" w:cs="Times New Roman"/>
          <w:b/>
          <w:sz w:val="24"/>
          <w:szCs w:val="24"/>
        </w:rPr>
      </w:pPr>
      <w:r w:rsidRPr="00DD44EF">
        <w:rPr>
          <w:rFonts w:ascii="Times New Roman" w:hAnsi="Times New Roman" w:cs="Times New Roman"/>
          <w:b/>
          <w:sz w:val="24"/>
          <w:szCs w:val="24"/>
        </w:rPr>
        <w:t xml:space="preserve">Criticisms of Simulation </w:t>
      </w:r>
    </w:p>
    <w:p w14:paraId="30CB7ED5" w14:textId="77777777" w:rsidR="001479AB" w:rsidRPr="00DD44EF" w:rsidRDefault="00B46D4B" w:rsidP="0062355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Considering that s</w:t>
      </w:r>
      <w:r w:rsidR="001479AB" w:rsidRPr="00DD44EF">
        <w:rPr>
          <w:rFonts w:ascii="Times New Roman" w:hAnsi="Times New Roman" w:cs="Times New Roman"/>
          <w:sz w:val="24"/>
          <w:szCs w:val="24"/>
        </w:rPr>
        <w:t>i</w:t>
      </w:r>
      <w:r>
        <w:rPr>
          <w:rFonts w:ascii="Times New Roman" w:hAnsi="Times New Roman" w:cs="Times New Roman"/>
          <w:sz w:val="24"/>
          <w:szCs w:val="24"/>
        </w:rPr>
        <w:t>mulations of disability have traditionally assumed</w:t>
      </w:r>
      <w:r w:rsidR="001479AB" w:rsidRPr="00DD44EF">
        <w:rPr>
          <w:rFonts w:ascii="Times New Roman" w:hAnsi="Times New Roman" w:cs="Times New Roman"/>
          <w:sz w:val="24"/>
          <w:szCs w:val="24"/>
        </w:rPr>
        <w:t xml:space="preserve"> forms as crude as requiring fully able-bodied individuals to use a wheelchair for a brief period of time, the insertion of balls of cotton wool in the ears of a fully-hearing individual to duplicate hearing impairment, or the wearing of spectacles which have been light-filtered or smeared with Vaseline to simulate different manifestations of vision</w:t>
      </w:r>
      <w:r>
        <w:rPr>
          <w:rFonts w:ascii="Times New Roman" w:hAnsi="Times New Roman" w:cs="Times New Roman"/>
          <w:sz w:val="24"/>
          <w:szCs w:val="24"/>
        </w:rPr>
        <w:t xml:space="preserve">, the level of criticism targeted at such initiatives is hardly surprising. </w:t>
      </w:r>
      <w:r w:rsidR="001479AB" w:rsidRPr="00DD44EF">
        <w:rPr>
          <w:rFonts w:ascii="Times New Roman" w:hAnsi="Times New Roman" w:cs="Times New Roman"/>
          <w:sz w:val="24"/>
          <w:szCs w:val="24"/>
        </w:rPr>
        <w:t xml:space="preserve">Despite the </w:t>
      </w:r>
      <w:r>
        <w:rPr>
          <w:rFonts w:ascii="Times New Roman" w:hAnsi="Times New Roman" w:cs="Times New Roman"/>
          <w:sz w:val="24"/>
          <w:szCs w:val="24"/>
        </w:rPr>
        <w:t>alleged benefits alluded to above</w:t>
      </w:r>
      <w:r w:rsidR="001479AB" w:rsidRPr="00DD44EF">
        <w:rPr>
          <w:rFonts w:ascii="Times New Roman" w:hAnsi="Times New Roman" w:cs="Times New Roman"/>
          <w:sz w:val="24"/>
          <w:szCs w:val="24"/>
        </w:rPr>
        <w:t>, many critics (</w:t>
      </w:r>
      <w:r w:rsidR="00EE726C" w:rsidRPr="00DD44EF">
        <w:rPr>
          <w:rFonts w:ascii="Times New Roman" w:hAnsi="Times New Roman" w:cs="Times New Roman"/>
          <w:sz w:val="24"/>
          <w:szCs w:val="24"/>
        </w:rPr>
        <w:t xml:space="preserve">French 1992; </w:t>
      </w:r>
      <w:r w:rsidR="002F4814" w:rsidRPr="00DD44EF">
        <w:rPr>
          <w:rFonts w:ascii="Times New Roman" w:hAnsi="Times New Roman" w:cs="Times New Roman"/>
          <w:sz w:val="24"/>
          <w:szCs w:val="24"/>
        </w:rPr>
        <w:t xml:space="preserve">Glazzard 1979; </w:t>
      </w:r>
      <w:r w:rsidR="000B0C91" w:rsidRPr="00DD44EF">
        <w:rPr>
          <w:rFonts w:ascii="Times New Roman" w:hAnsi="Times New Roman" w:cs="Times New Roman"/>
          <w:sz w:val="24"/>
          <w:szCs w:val="24"/>
        </w:rPr>
        <w:t xml:space="preserve">Grayson &amp; Marini 1996; </w:t>
      </w:r>
      <w:r w:rsidR="00EE726C" w:rsidRPr="00DD44EF">
        <w:rPr>
          <w:rFonts w:ascii="Times New Roman" w:hAnsi="Times New Roman" w:cs="Times New Roman"/>
          <w:sz w:val="24"/>
          <w:szCs w:val="24"/>
        </w:rPr>
        <w:t>Herbert 2000;</w:t>
      </w:r>
      <w:r w:rsidR="000B0C91" w:rsidRPr="000B0C91">
        <w:rPr>
          <w:rFonts w:ascii="Times New Roman" w:hAnsi="Times New Roman" w:cs="Times New Roman"/>
          <w:sz w:val="24"/>
          <w:szCs w:val="24"/>
        </w:rPr>
        <w:t xml:space="preserve"> </w:t>
      </w:r>
      <w:r w:rsidR="000B0C91" w:rsidRPr="00DD44EF">
        <w:rPr>
          <w:rFonts w:ascii="Times New Roman" w:hAnsi="Times New Roman" w:cs="Times New Roman"/>
          <w:sz w:val="24"/>
          <w:szCs w:val="24"/>
        </w:rPr>
        <w:t>Kiger 1992;</w:t>
      </w:r>
      <w:r w:rsidR="00EE726C" w:rsidRPr="00DD44EF">
        <w:rPr>
          <w:rFonts w:ascii="Times New Roman" w:hAnsi="Times New Roman" w:cs="Times New Roman"/>
          <w:sz w:val="24"/>
          <w:szCs w:val="24"/>
        </w:rPr>
        <w:t xml:space="preserve"> </w:t>
      </w:r>
      <w:r w:rsidR="000B0C91" w:rsidRPr="000B0C91">
        <w:rPr>
          <w:rFonts w:ascii="Times New Roman" w:hAnsi="Times New Roman" w:cs="Times New Roman"/>
          <w:sz w:val="24"/>
          <w:szCs w:val="24"/>
        </w:rPr>
        <w:t>Kosciulek &amp;</w:t>
      </w:r>
      <w:r w:rsidR="000B0C91" w:rsidRPr="00DD44EF">
        <w:rPr>
          <w:rFonts w:ascii="Times New Roman" w:hAnsi="Times New Roman" w:cs="Times New Roman"/>
          <w:sz w:val="24"/>
          <w:szCs w:val="24"/>
        </w:rPr>
        <w:t xml:space="preserve"> Symanski 1993; Orlansky 1979;</w:t>
      </w:r>
      <w:r w:rsidR="000B0C91" w:rsidRPr="000B0C91">
        <w:rPr>
          <w:rFonts w:ascii="Times New Roman" w:hAnsi="Times New Roman" w:cs="Times New Roman"/>
          <w:sz w:val="24"/>
          <w:szCs w:val="24"/>
        </w:rPr>
        <w:t xml:space="preserve"> </w:t>
      </w:r>
      <w:r w:rsidR="000B0C91" w:rsidRPr="00DD44EF">
        <w:rPr>
          <w:rFonts w:ascii="Times New Roman" w:hAnsi="Times New Roman" w:cs="Times New Roman"/>
          <w:sz w:val="24"/>
          <w:szCs w:val="24"/>
        </w:rPr>
        <w:t>Wilson &amp; Acorn 1969;</w:t>
      </w:r>
      <w:r w:rsidR="000B0C91" w:rsidRPr="000B0C91">
        <w:rPr>
          <w:rFonts w:ascii="Times New Roman" w:hAnsi="Times New Roman" w:cs="Times New Roman"/>
          <w:sz w:val="24"/>
          <w:szCs w:val="24"/>
          <w:lang w:val="en-US"/>
        </w:rPr>
        <w:t xml:space="preserve"> </w:t>
      </w:r>
      <w:r w:rsidR="000B0C91">
        <w:rPr>
          <w:rFonts w:ascii="Times New Roman" w:hAnsi="Times New Roman" w:cs="Times New Roman"/>
          <w:sz w:val="24"/>
          <w:szCs w:val="24"/>
        </w:rPr>
        <w:t>Wurst &amp; Wolford 1994</w:t>
      </w:r>
      <w:r w:rsidR="001479AB" w:rsidRPr="00DD44EF">
        <w:rPr>
          <w:rFonts w:ascii="Times New Roman" w:hAnsi="Times New Roman" w:cs="Times New Roman"/>
          <w:sz w:val="24"/>
          <w:szCs w:val="24"/>
        </w:rPr>
        <w:t>) have expressed serious misgivings about the efficacy, ethics, and general value of the well-intentioned</w:t>
      </w:r>
      <w:r>
        <w:rPr>
          <w:rFonts w:ascii="Times New Roman" w:hAnsi="Times New Roman" w:cs="Times New Roman"/>
          <w:sz w:val="24"/>
          <w:szCs w:val="24"/>
        </w:rPr>
        <w:t xml:space="preserve"> but ultimately misleading</w:t>
      </w:r>
      <w:r w:rsidR="001479AB" w:rsidRPr="00DD44EF">
        <w:rPr>
          <w:rFonts w:ascii="Times New Roman" w:hAnsi="Times New Roman" w:cs="Times New Roman"/>
          <w:sz w:val="24"/>
          <w:szCs w:val="24"/>
        </w:rPr>
        <w:t xml:space="preserve"> enterprise. </w:t>
      </w:r>
    </w:p>
    <w:p w14:paraId="09CD8F7E" w14:textId="77777777" w:rsidR="001479AB" w:rsidRPr="00DD44EF" w:rsidRDefault="001479AB" w:rsidP="00623558">
      <w:pPr>
        <w:spacing w:after="0" w:line="23" w:lineRule="atLeast"/>
        <w:jc w:val="both"/>
        <w:rPr>
          <w:rFonts w:ascii="Times New Roman" w:hAnsi="Times New Roman" w:cs="Times New Roman"/>
          <w:sz w:val="24"/>
          <w:szCs w:val="24"/>
        </w:rPr>
      </w:pPr>
    </w:p>
    <w:p w14:paraId="2E068DA5" w14:textId="77777777" w:rsidR="001479AB" w:rsidRPr="006D3F42" w:rsidRDefault="001479AB" w:rsidP="00623558">
      <w:pPr>
        <w:spacing w:after="0" w:line="23" w:lineRule="atLeast"/>
        <w:jc w:val="both"/>
        <w:rPr>
          <w:rFonts w:ascii="Times New Roman" w:hAnsi="Times New Roman" w:cs="Times New Roman"/>
          <w:b/>
          <w:i/>
          <w:sz w:val="24"/>
          <w:szCs w:val="24"/>
        </w:rPr>
      </w:pPr>
      <w:r w:rsidRPr="006D3F42">
        <w:rPr>
          <w:rFonts w:ascii="Times New Roman" w:hAnsi="Times New Roman" w:cs="Times New Roman"/>
          <w:b/>
          <w:i/>
          <w:sz w:val="24"/>
          <w:szCs w:val="24"/>
        </w:rPr>
        <w:t>Models of Disability: charges of</w:t>
      </w:r>
      <w:r w:rsidR="005F08AC" w:rsidRPr="006D3F42">
        <w:rPr>
          <w:rFonts w:ascii="Times New Roman" w:hAnsi="Times New Roman" w:cs="Times New Roman"/>
          <w:b/>
          <w:i/>
          <w:sz w:val="24"/>
          <w:szCs w:val="24"/>
        </w:rPr>
        <w:t xml:space="preserve"> individualisation and medicalis</w:t>
      </w:r>
      <w:r w:rsidRPr="006D3F42">
        <w:rPr>
          <w:rFonts w:ascii="Times New Roman" w:hAnsi="Times New Roman" w:cs="Times New Roman"/>
          <w:b/>
          <w:i/>
          <w:sz w:val="24"/>
          <w:szCs w:val="24"/>
        </w:rPr>
        <w:t>ation</w:t>
      </w:r>
    </w:p>
    <w:p w14:paraId="4C74C79C" w14:textId="77777777" w:rsidR="00623558" w:rsidRPr="00DD44EF" w:rsidRDefault="00B46D4B" w:rsidP="0062355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Arguably the least controvertible</w:t>
      </w:r>
      <w:r w:rsidR="001479AB" w:rsidRPr="00DD44EF">
        <w:rPr>
          <w:rFonts w:ascii="Times New Roman" w:hAnsi="Times New Roman" w:cs="Times New Roman"/>
          <w:sz w:val="24"/>
          <w:szCs w:val="24"/>
        </w:rPr>
        <w:t xml:space="preserve"> criticism levelled</w:t>
      </w:r>
      <w:r w:rsidR="004A0D23">
        <w:rPr>
          <w:rFonts w:ascii="Times New Roman" w:hAnsi="Times New Roman" w:cs="Times New Roman"/>
          <w:sz w:val="24"/>
          <w:szCs w:val="24"/>
        </w:rPr>
        <w:t xml:space="preserve"> against disability simulation </w:t>
      </w:r>
      <w:r w:rsidR="001479AB" w:rsidRPr="00DD44EF">
        <w:rPr>
          <w:rFonts w:ascii="Times New Roman" w:hAnsi="Times New Roman" w:cs="Times New Roman"/>
          <w:sz w:val="24"/>
          <w:szCs w:val="24"/>
        </w:rPr>
        <w:t>is that it jars with established paradigms of critical disability studies (</w:t>
      </w:r>
      <w:r w:rsidR="006962CB" w:rsidRPr="00DD44EF">
        <w:rPr>
          <w:rFonts w:ascii="Times New Roman" w:hAnsi="Times New Roman" w:cs="Times New Roman"/>
          <w:sz w:val="24"/>
          <w:szCs w:val="24"/>
        </w:rPr>
        <w:t xml:space="preserve">Burgstahler &amp; Doe 2004; </w:t>
      </w:r>
      <w:r w:rsidR="00EE726C" w:rsidRPr="00DD44EF">
        <w:rPr>
          <w:rFonts w:ascii="Times New Roman" w:hAnsi="Times New Roman" w:cs="Times New Roman"/>
          <w:sz w:val="24"/>
          <w:szCs w:val="24"/>
        </w:rPr>
        <w:t>French 1992; Scullion</w:t>
      </w:r>
      <w:r w:rsidR="001479AB" w:rsidRPr="00DD44EF">
        <w:rPr>
          <w:rFonts w:ascii="Times New Roman" w:hAnsi="Times New Roman" w:cs="Times New Roman"/>
          <w:sz w:val="24"/>
          <w:szCs w:val="24"/>
        </w:rPr>
        <w:t xml:space="preserve"> 1996). When addressing issues and experiences of disability, the focus traditionally placed by professionals working within the domains of medicine, social work, education and rehabilitation has been on an individual’s functional limitations and on the devel</w:t>
      </w:r>
      <w:r w:rsidR="004A0D23">
        <w:rPr>
          <w:rFonts w:ascii="Times New Roman" w:hAnsi="Times New Roman" w:cs="Times New Roman"/>
          <w:sz w:val="24"/>
          <w:szCs w:val="24"/>
        </w:rPr>
        <w:t>opment of person</w:t>
      </w:r>
      <w:r w:rsidR="001479AB" w:rsidRPr="00DD44EF">
        <w:rPr>
          <w:rFonts w:ascii="Times New Roman" w:hAnsi="Times New Roman" w:cs="Times New Roman"/>
          <w:sz w:val="24"/>
          <w:szCs w:val="24"/>
        </w:rPr>
        <w:t xml:space="preserve">-specific accommodations. This perspective </w:t>
      </w:r>
      <w:r w:rsidR="004A0D23">
        <w:rPr>
          <w:rFonts w:ascii="Times New Roman" w:hAnsi="Times New Roman" w:cs="Times New Roman"/>
          <w:sz w:val="24"/>
          <w:szCs w:val="24"/>
        </w:rPr>
        <w:t>is interpreted as manifesting</w:t>
      </w:r>
      <w:r w:rsidR="001479AB" w:rsidRPr="00DD44EF">
        <w:rPr>
          <w:rFonts w:ascii="Times New Roman" w:hAnsi="Times New Roman" w:cs="Times New Roman"/>
          <w:sz w:val="24"/>
          <w:szCs w:val="24"/>
        </w:rPr>
        <w:t xml:space="preserve"> itself in a perceived correlation between </w:t>
      </w:r>
      <w:r w:rsidR="004A0D23">
        <w:rPr>
          <w:rFonts w:ascii="Times New Roman" w:hAnsi="Times New Roman" w:cs="Times New Roman"/>
          <w:sz w:val="24"/>
          <w:szCs w:val="24"/>
        </w:rPr>
        <w:t xml:space="preserve">disability and </w:t>
      </w:r>
      <w:r w:rsidR="001479AB" w:rsidRPr="00DD44EF">
        <w:rPr>
          <w:rFonts w:ascii="Times New Roman" w:hAnsi="Times New Roman" w:cs="Times New Roman"/>
          <w:sz w:val="24"/>
          <w:szCs w:val="24"/>
        </w:rPr>
        <w:t>person</w:t>
      </w:r>
      <w:r w:rsidR="004A0D23">
        <w:rPr>
          <w:rFonts w:ascii="Times New Roman" w:hAnsi="Times New Roman" w:cs="Times New Roman"/>
          <w:sz w:val="24"/>
          <w:szCs w:val="24"/>
        </w:rPr>
        <w:t>al ‘inadequacy’</w:t>
      </w:r>
      <w:r w:rsidR="001479AB" w:rsidRPr="00DD44EF">
        <w:rPr>
          <w:rFonts w:ascii="Times New Roman" w:hAnsi="Times New Roman" w:cs="Times New Roman"/>
          <w:sz w:val="24"/>
          <w:szCs w:val="24"/>
        </w:rPr>
        <w:t>, and in f</w:t>
      </w:r>
      <w:r w:rsidR="004A0D23">
        <w:rPr>
          <w:rFonts w:ascii="Times New Roman" w:hAnsi="Times New Roman" w:cs="Times New Roman"/>
          <w:sz w:val="24"/>
          <w:szCs w:val="24"/>
        </w:rPr>
        <w:t>orms of intervention that work</w:t>
      </w:r>
      <w:r w:rsidR="001479AB" w:rsidRPr="00DD44EF">
        <w:rPr>
          <w:rFonts w:ascii="Times New Roman" w:hAnsi="Times New Roman" w:cs="Times New Roman"/>
          <w:sz w:val="24"/>
          <w:szCs w:val="24"/>
        </w:rPr>
        <w:t xml:space="preserve"> towards cure or rehabilitation of the individual, rather than addressing debilitating environmental features. Increasingly, disadvantages associated with disability are perceived as being a consequence of disabling attitudes, widespread discrimination and poorly designed forms of communication and environmental features (See, for example, </w:t>
      </w:r>
      <w:r w:rsidR="006962CB" w:rsidRPr="00DD44EF">
        <w:rPr>
          <w:rFonts w:ascii="Times New Roman" w:hAnsi="Times New Roman" w:cs="Times New Roman"/>
          <w:sz w:val="24"/>
          <w:szCs w:val="24"/>
        </w:rPr>
        <w:t>Jones 1996;</w:t>
      </w:r>
      <w:r w:rsidR="006962CB">
        <w:rPr>
          <w:rFonts w:ascii="Times New Roman" w:hAnsi="Times New Roman" w:cs="Times New Roman"/>
          <w:sz w:val="24"/>
          <w:szCs w:val="24"/>
        </w:rPr>
        <w:t xml:space="preserve"> </w:t>
      </w:r>
      <w:r w:rsidR="00EE726C" w:rsidRPr="00DD44EF">
        <w:rPr>
          <w:rFonts w:ascii="Times New Roman" w:hAnsi="Times New Roman" w:cs="Times New Roman"/>
          <w:sz w:val="24"/>
          <w:szCs w:val="24"/>
        </w:rPr>
        <w:t>Oliver &amp; Barnes 1998; Swain &amp; Lawrence 1994</w:t>
      </w:r>
      <w:r w:rsidR="001479AB" w:rsidRPr="00DD44EF">
        <w:rPr>
          <w:rFonts w:ascii="Times New Roman" w:hAnsi="Times New Roman" w:cs="Times New Roman"/>
          <w:sz w:val="24"/>
          <w:szCs w:val="24"/>
        </w:rPr>
        <w:t xml:space="preserve">). Disability simulation is often criticised for being aligned with the former approach to disability. Its underpinning rationale is widely perceived as endorsing a </w:t>
      </w:r>
      <w:r w:rsidR="001479AB" w:rsidRPr="00AC0FF7">
        <w:rPr>
          <w:rFonts w:ascii="Times New Roman" w:hAnsi="Times New Roman" w:cs="Times New Roman"/>
          <w:sz w:val="24"/>
          <w:szCs w:val="24"/>
        </w:rPr>
        <w:t>synonomy</w:t>
      </w:r>
      <w:r w:rsidR="001479AB" w:rsidRPr="00DD44EF">
        <w:rPr>
          <w:rFonts w:ascii="Times New Roman" w:hAnsi="Times New Roman" w:cs="Times New Roman"/>
          <w:sz w:val="24"/>
          <w:szCs w:val="24"/>
        </w:rPr>
        <w:t xml:space="preserve"> of disability and functional lim</w:t>
      </w:r>
      <w:r w:rsidR="005F08AC" w:rsidRPr="00DD44EF">
        <w:rPr>
          <w:rFonts w:ascii="Times New Roman" w:hAnsi="Times New Roman" w:cs="Times New Roman"/>
          <w:sz w:val="24"/>
          <w:szCs w:val="24"/>
        </w:rPr>
        <w:t>itation, tallying with medicalis</w:t>
      </w:r>
      <w:r w:rsidR="001479AB" w:rsidRPr="00DD44EF">
        <w:rPr>
          <w:rFonts w:ascii="Times New Roman" w:hAnsi="Times New Roman" w:cs="Times New Roman"/>
          <w:sz w:val="24"/>
          <w:szCs w:val="24"/>
        </w:rPr>
        <w:t>ed and individualised approaches to disability without factoring social considerations or potential environmental accommodations into its approach (</w:t>
      </w:r>
      <w:r w:rsidR="00EE726C" w:rsidRPr="00DD44EF">
        <w:rPr>
          <w:rFonts w:ascii="Times New Roman" w:hAnsi="Times New Roman" w:cs="Times New Roman"/>
          <w:sz w:val="24"/>
          <w:szCs w:val="24"/>
        </w:rPr>
        <w:t>Burgstahler &amp; Doe</w:t>
      </w:r>
      <w:r w:rsidR="006E1CCF" w:rsidRPr="00DD44EF">
        <w:rPr>
          <w:rFonts w:ascii="Times New Roman" w:hAnsi="Times New Roman" w:cs="Times New Roman"/>
          <w:sz w:val="24"/>
          <w:szCs w:val="24"/>
        </w:rPr>
        <w:t xml:space="preserve"> 2004</w:t>
      </w:r>
      <w:r w:rsidR="00EE726C" w:rsidRPr="00DD44EF">
        <w:rPr>
          <w:rFonts w:ascii="Times New Roman" w:hAnsi="Times New Roman" w:cs="Times New Roman"/>
          <w:sz w:val="24"/>
          <w:szCs w:val="24"/>
        </w:rPr>
        <w:t>; French</w:t>
      </w:r>
      <w:r w:rsidR="001479AB" w:rsidRPr="00DD44EF">
        <w:rPr>
          <w:rFonts w:ascii="Times New Roman" w:hAnsi="Times New Roman" w:cs="Times New Roman"/>
          <w:sz w:val="24"/>
          <w:szCs w:val="24"/>
        </w:rPr>
        <w:t xml:space="preserve"> 1992). </w:t>
      </w:r>
    </w:p>
    <w:p w14:paraId="371A8F41" w14:textId="77777777" w:rsidR="001479AB" w:rsidRPr="00DD44EF" w:rsidRDefault="001479AB" w:rsidP="00623558">
      <w:pPr>
        <w:spacing w:after="0" w:line="23" w:lineRule="atLeast"/>
        <w:jc w:val="both"/>
        <w:rPr>
          <w:rFonts w:ascii="Times New Roman" w:hAnsi="Times New Roman" w:cs="Times New Roman"/>
          <w:b/>
          <w:sz w:val="24"/>
          <w:szCs w:val="24"/>
        </w:rPr>
      </w:pPr>
    </w:p>
    <w:p w14:paraId="10F67374" w14:textId="77777777" w:rsidR="001479AB" w:rsidRPr="006D3F42" w:rsidRDefault="001479AB" w:rsidP="00623558">
      <w:pPr>
        <w:spacing w:after="0" w:line="23" w:lineRule="atLeast"/>
        <w:jc w:val="both"/>
        <w:rPr>
          <w:rFonts w:ascii="Times New Roman" w:hAnsi="Times New Roman" w:cs="Times New Roman"/>
          <w:b/>
          <w:i/>
          <w:sz w:val="24"/>
          <w:szCs w:val="24"/>
        </w:rPr>
      </w:pPr>
      <w:r w:rsidRPr="006D3F42">
        <w:rPr>
          <w:rFonts w:ascii="Times New Roman" w:hAnsi="Times New Roman" w:cs="Times New Roman"/>
          <w:b/>
          <w:i/>
          <w:sz w:val="24"/>
          <w:szCs w:val="24"/>
        </w:rPr>
        <w:t>Methodological criticisms: scant evidence of attitudinal change</w:t>
      </w:r>
    </w:p>
    <w:p w14:paraId="59B7DD84" w14:textId="77777777" w:rsidR="001479AB" w:rsidRPr="00DD44EF" w:rsidRDefault="000716F4"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Clark et al</w:t>
      </w:r>
      <w:r w:rsidR="008C3F2C" w:rsidRPr="008C3F2C">
        <w:rPr>
          <w:rFonts w:ascii="Times New Roman" w:hAnsi="Times New Roman" w:cs="Times New Roman"/>
          <w:sz w:val="24"/>
          <w:szCs w:val="24"/>
          <w:lang w:val="en-US"/>
        </w:rPr>
        <w:t>.</w:t>
      </w:r>
      <w:r w:rsidRPr="00DD44EF">
        <w:rPr>
          <w:rFonts w:ascii="Times New Roman" w:hAnsi="Times New Roman" w:cs="Times New Roman"/>
          <w:sz w:val="24"/>
          <w:szCs w:val="24"/>
        </w:rPr>
        <w:t xml:space="preserve"> (1979) and Orlansky (1979) present anecdotal endorsements of </w:t>
      </w:r>
      <w:r>
        <w:rPr>
          <w:rFonts w:ascii="Times New Roman" w:hAnsi="Times New Roman" w:cs="Times New Roman"/>
          <w:sz w:val="24"/>
          <w:szCs w:val="24"/>
        </w:rPr>
        <w:t xml:space="preserve">the capacity of </w:t>
      </w:r>
      <w:r w:rsidRPr="00DD44EF">
        <w:rPr>
          <w:rFonts w:ascii="Times New Roman" w:hAnsi="Times New Roman" w:cs="Times New Roman"/>
          <w:sz w:val="24"/>
          <w:szCs w:val="24"/>
        </w:rPr>
        <w:t>disability simulation</w:t>
      </w:r>
      <w:r>
        <w:rPr>
          <w:rFonts w:ascii="Times New Roman" w:hAnsi="Times New Roman" w:cs="Times New Roman"/>
          <w:sz w:val="24"/>
          <w:szCs w:val="24"/>
        </w:rPr>
        <w:t xml:space="preserve"> to effect attitudinal change. M</w:t>
      </w:r>
      <w:r w:rsidRPr="00DD44EF">
        <w:rPr>
          <w:rFonts w:ascii="Times New Roman" w:hAnsi="Times New Roman" w:cs="Times New Roman"/>
          <w:sz w:val="24"/>
          <w:szCs w:val="24"/>
        </w:rPr>
        <w:t xml:space="preserve">ore experimental studies </w:t>
      </w:r>
      <w:r w:rsidRPr="00DD44EF">
        <w:rPr>
          <w:rFonts w:ascii="Times New Roman" w:hAnsi="Times New Roman" w:cs="Times New Roman"/>
          <w:sz w:val="24"/>
          <w:szCs w:val="24"/>
        </w:rPr>
        <w:lastRenderedPageBreak/>
        <w:t>undertaken by researchers such as Chard (1997), Thatcher &amp; Robinson (1990) and Wiener (1986)</w:t>
      </w:r>
      <w:r>
        <w:rPr>
          <w:rFonts w:ascii="Times New Roman" w:hAnsi="Times New Roman" w:cs="Times New Roman"/>
          <w:sz w:val="24"/>
          <w:szCs w:val="24"/>
        </w:rPr>
        <w:t xml:space="preserve"> have also resulted in similar</w:t>
      </w:r>
      <w:r w:rsidRPr="00DD44EF">
        <w:rPr>
          <w:rFonts w:ascii="Times New Roman" w:hAnsi="Times New Roman" w:cs="Times New Roman"/>
          <w:sz w:val="24"/>
          <w:szCs w:val="24"/>
        </w:rPr>
        <w:t xml:space="preserve"> endorsements.</w:t>
      </w:r>
      <w:r>
        <w:rPr>
          <w:rFonts w:ascii="Times New Roman" w:hAnsi="Times New Roman" w:cs="Times New Roman"/>
          <w:sz w:val="24"/>
          <w:szCs w:val="24"/>
        </w:rPr>
        <w:t xml:space="preserve"> </w:t>
      </w:r>
      <w:r w:rsidR="009B0074" w:rsidRPr="00DD44EF">
        <w:rPr>
          <w:rFonts w:ascii="Times New Roman" w:hAnsi="Times New Roman" w:cs="Times New Roman"/>
          <w:sz w:val="24"/>
          <w:szCs w:val="24"/>
        </w:rPr>
        <w:t>Claims relating to the capacity for att</w:t>
      </w:r>
      <w:r>
        <w:rPr>
          <w:rFonts w:ascii="Times New Roman" w:hAnsi="Times New Roman" w:cs="Times New Roman"/>
          <w:sz w:val="24"/>
          <w:szCs w:val="24"/>
        </w:rPr>
        <w:t>itudinal change tend to be</w:t>
      </w:r>
      <w:r w:rsidR="009B0074" w:rsidRPr="00DD44EF">
        <w:rPr>
          <w:rFonts w:ascii="Times New Roman" w:hAnsi="Times New Roman" w:cs="Times New Roman"/>
          <w:sz w:val="24"/>
          <w:szCs w:val="24"/>
        </w:rPr>
        <w:t xml:space="preserve"> heatedly disputed </w:t>
      </w:r>
      <w:r>
        <w:rPr>
          <w:rFonts w:ascii="Times New Roman" w:hAnsi="Times New Roman" w:cs="Times New Roman"/>
          <w:sz w:val="24"/>
          <w:szCs w:val="24"/>
        </w:rPr>
        <w:t xml:space="preserve">in the literature, however. </w:t>
      </w:r>
      <w:r w:rsidR="009B0074" w:rsidRPr="00DD44EF">
        <w:rPr>
          <w:rFonts w:ascii="Times New Roman" w:hAnsi="Times New Roman" w:cs="Times New Roman"/>
          <w:sz w:val="24"/>
          <w:szCs w:val="24"/>
        </w:rPr>
        <w:t xml:space="preserve">Critics tend to focus on what Burgstahler and Doe (2004) term the ‘unintended learning’ that is widely deemed to be an inevitable </w:t>
      </w:r>
      <w:r w:rsidR="004A0D23">
        <w:rPr>
          <w:rFonts w:ascii="Times New Roman" w:hAnsi="Times New Roman" w:cs="Times New Roman"/>
          <w:sz w:val="24"/>
          <w:szCs w:val="24"/>
        </w:rPr>
        <w:t>der</w:t>
      </w:r>
      <w:r w:rsidR="004A0D23" w:rsidRPr="00DD44EF">
        <w:rPr>
          <w:rFonts w:ascii="Times New Roman" w:hAnsi="Times New Roman" w:cs="Times New Roman"/>
          <w:sz w:val="24"/>
          <w:szCs w:val="24"/>
        </w:rPr>
        <w:t>ivative</w:t>
      </w:r>
      <w:r w:rsidR="009B0074" w:rsidRPr="00DD44EF">
        <w:rPr>
          <w:rFonts w:ascii="Times New Roman" w:hAnsi="Times New Roman" w:cs="Times New Roman"/>
          <w:sz w:val="24"/>
          <w:szCs w:val="24"/>
        </w:rPr>
        <w:t xml:space="preserve"> of simulation. </w:t>
      </w:r>
      <w:r w:rsidR="001479AB" w:rsidRPr="00DD44EF">
        <w:rPr>
          <w:rFonts w:ascii="Times New Roman" w:hAnsi="Times New Roman" w:cs="Times New Roman"/>
          <w:sz w:val="24"/>
          <w:szCs w:val="24"/>
        </w:rPr>
        <w:t>Such criticism often targets a lack of convincing empirical data. Herbert (2000) and Kosciulek &amp; Szymansk</w:t>
      </w:r>
      <w:r>
        <w:rPr>
          <w:rFonts w:ascii="Times New Roman" w:hAnsi="Times New Roman" w:cs="Times New Roman"/>
          <w:sz w:val="24"/>
          <w:szCs w:val="24"/>
        </w:rPr>
        <w:t>i (1993), for example, highlight</w:t>
      </w:r>
      <w:r w:rsidR="001479AB" w:rsidRPr="00DD44EF">
        <w:rPr>
          <w:rFonts w:ascii="Times New Roman" w:hAnsi="Times New Roman" w:cs="Times New Roman"/>
          <w:sz w:val="24"/>
          <w:szCs w:val="24"/>
        </w:rPr>
        <w:t xml:space="preserve"> </w:t>
      </w:r>
      <w:r>
        <w:rPr>
          <w:rFonts w:ascii="Times New Roman" w:hAnsi="Times New Roman" w:cs="Times New Roman"/>
          <w:sz w:val="24"/>
          <w:szCs w:val="24"/>
        </w:rPr>
        <w:t>the lack of compelling</w:t>
      </w:r>
      <w:r w:rsidR="001479AB" w:rsidRPr="00DD44EF">
        <w:rPr>
          <w:rFonts w:ascii="Times New Roman" w:hAnsi="Times New Roman" w:cs="Times New Roman"/>
          <w:sz w:val="24"/>
          <w:szCs w:val="24"/>
        </w:rPr>
        <w:t xml:space="preserve"> evidence available to advocates of disability simulation when presenting their respective cases for the generation of attitudinal change</w:t>
      </w:r>
      <w:r>
        <w:rPr>
          <w:rFonts w:ascii="Times New Roman" w:hAnsi="Times New Roman" w:cs="Times New Roman"/>
          <w:sz w:val="24"/>
          <w:szCs w:val="24"/>
        </w:rPr>
        <w:t>.</w:t>
      </w:r>
      <w:r w:rsidR="001479AB" w:rsidRPr="00DD44EF">
        <w:rPr>
          <w:rFonts w:ascii="Times New Roman" w:hAnsi="Times New Roman" w:cs="Times New Roman"/>
          <w:sz w:val="24"/>
          <w:szCs w:val="24"/>
        </w:rPr>
        <w:t xml:space="preserve"> Herbert (2000) observes that these affirmations of the potential for simulation to cultivate favourable attitudes towards disability are invariably compromised by methodological shortcomings, with perceived effectiveness often being contingent upon user enjoyment and predicated on a critical neglect of the practical effectiveness of the approach to simulation in question (see also </w:t>
      </w:r>
      <w:r w:rsidR="00EE726C" w:rsidRPr="00DD44EF">
        <w:rPr>
          <w:rFonts w:ascii="Times New Roman" w:hAnsi="Times New Roman" w:cs="Times New Roman"/>
          <w:sz w:val="24"/>
          <w:szCs w:val="24"/>
        </w:rPr>
        <w:t>Kiger</w:t>
      </w:r>
      <w:r w:rsidR="001479AB" w:rsidRPr="00DD44EF">
        <w:rPr>
          <w:rFonts w:ascii="Times New Roman" w:hAnsi="Times New Roman" w:cs="Times New Roman"/>
          <w:sz w:val="24"/>
          <w:szCs w:val="24"/>
        </w:rPr>
        <w:t xml:space="preserve"> 1992). No attitudinal changes whatsoever were identified, for example, by Wilson &amp; Acorn (1969) when they undertook simulation of blindness, deafness or mobility-related disability with college students. </w:t>
      </w:r>
    </w:p>
    <w:p w14:paraId="7DB9E984" w14:textId="77777777" w:rsidR="001479AB" w:rsidRPr="00DD44EF" w:rsidRDefault="001479AB" w:rsidP="00623558">
      <w:pPr>
        <w:spacing w:after="0" w:line="23" w:lineRule="atLeast"/>
        <w:jc w:val="both"/>
        <w:rPr>
          <w:rFonts w:ascii="Times New Roman" w:hAnsi="Times New Roman" w:cs="Times New Roman"/>
          <w:sz w:val="24"/>
          <w:szCs w:val="24"/>
        </w:rPr>
      </w:pPr>
    </w:p>
    <w:p w14:paraId="6040619D" w14:textId="77777777" w:rsidR="001479AB" w:rsidRPr="00DD44EF" w:rsidRDefault="001479AB"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The new insights into disability prompted by these exercises tended to take negative forms, such as an enhanced sense of self-gratification, or the experience of frustration at the sudden subjection to a heightened dependence on others. While Leo and G</w:t>
      </w:r>
      <w:r w:rsidR="004926D8" w:rsidRPr="00DD44EF">
        <w:rPr>
          <w:rFonts w:ascii="Times New Roman" w:hAnsi="Times New Roman" w:cs="Times New Roman"/>
          <w:sz w:val="24"/>
          <w:szCs w:val="24"/>
        </w:rPr>
        <w:t>o</w:t>
      </w:r>
      <w:r w:rsidRPr="00DD44EF">
        <w:rPr>
          <w:rFonts w:ascii="Times New Roman" w:hAnsi="Times New Roman" w:cs="Times New Roman"/>
          <w:sz w:val="24"/>
          <w:szCs w:val="24"/>
        </w:rPr>
        <w:t>odwin’s (2013) critical review of the meanings attributed by undergraduate students to disability simulation generated some ostensively affirmative themes (‘I see things differently now’), the responses were generally circumspect and somewhat less than positive, with several participants expressing various forms of unease at subjection to the process. Similarly, although Glazzard’s investigation of disa</w:t>
      </w:r>
      <w:r w:rsidR="000716F4">
        <w:rPr>
          <w:rFonts w:ascii="Times New Roman" w:hAnsi="Times New Roman" w:cs="Times New Roman"/>
          <w:sz w:val="24"/>
          <w:szCs w:val="24"/>
        </w:rPr>
        <w:t>bility simulation (1979) foun</w:t>
      </w:r>
      <w:r w:rsidRPr="00DD44EF">
        <w:rPr>
          <w:rFonts w:ascii="Times New Roman" w:hAnsi="Times New Roman" w:cs="Times New Roman"/>
          <w:sz w:val="24"/>
          <w:szCs w:val="24"/>
        </w:rPr>
        <w:t xml:space="preserve">d a general self-reported increase in understanding of disability among non-disabled </w:t>
      </w:r>
      <w:r w:rsidR="000716F4">
        <w:rPr>
          <w:rFonts w:ascii="Times New Roman" w:hAnsi="Times New Roman" w:cs="Times New Roman"/>
          <w:sz w:val="24"/>
          <w:szCs w:val="24"/>
        </w:rPr>
        <w:t>participants, these varieties of understanding</w:t>
      </w:r>
      <w:r w:rsidRPr="00DD44EF">
        <w:rPr>
          <w:rFonts w:ascii="Times New Roman" w:hAnsi="Times New Roman" w:cs="Times New Roman"/>
          <w:sz w:val="24"/>
          <w:szCs w:val="24"/>
        </w:rPr>
        <w:t xml:space="preserve"> assumed invariably negative forms, manifesting in such sentiments as frustration, perceived isolation, humiliation, anxiety and disquiet. Participants in research undertaken by Pfeiffer (1989) found the experience of disability simulation to be primarily ‘demeaning’. </w:t>
      </w:r>
    </w:p>
    <w:p w14:paraId="20EDBD32" w14:textId="77777777" w:rsidR="001479AB" w:rsidRPr="00DD44EF" w:rsidRDefault="001479AB" w:rsidP="00623558">
      <w:pPr>
        <w:spacing w:after="0" w:line="23" w:lineRule="atLeast"/>
        <w:jc w:val="both"/>
        <w:rPr>
          <w:rFonts w:ascii="Times New Roman" w:hAnsi="Times New Roman" w:cs="Times New Roman"/>
          <w:sz w:val="24"/>
          <w:szCs w:val="24"/>
        </w:rPr>
      </w:pPr>
    </w:p>
    <w:p w14:paraId="5B7FF5FD" w14:textId="77777777" w:rsidR="001479AB" w:rsidRPr="006D3F42" w:rsidRDefault="001479AB" w:rsidP="00561D4D">
      <w:pPr>
        <w:spacing w:after="120"/>
        <w:jc w:val="both"/>
        <w:rPr>
          <w:rFonts w:ascii="Times New Roman" w:hAnsi="Times New Roman" w:cs="Times New Roman"/>
          <w:b/>
          <w:i/>
          <w:sz w:val="24"/>
          <w:szCs w:val="24"/>
        </w:rPr>
      </w:pPr>
      <w:r w:rsidRPr="006D3F42">
        <w:rPr>
          <w:rFonts w:ascii="Times New Roman" w:hAnsi="Times New Roman" w:cs="Times New Roman"/>
          <w:b/>
          <w:i/>
          <w:sz w:val="24"/>
          <w:szCs w:val="24"/>
        </w:rPr>
        <w:t>Gratification-inducing: Self versus other</w:t>
      </w:r>
    </w:p>
    <w:p w14:paraId="570CC80C" w14:textId="77777777" w:rsidR="001479AB" w:rsidRPr="00DD44EF" w:rsidRDefault="001479AB"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Among the most commonly encountered participant responses to the process of simulation in Leo and G</w:t>
      </w:r>
      <w:r w:rsidR="004926D8" w:rsidRPr="00DD44EF">
        <w:rPr>
          <w:rFonts w:ascii="Times New Roman" w:hAnsi="Times New Roman" w:cs="Times New Roman"/>
          <w:sz w:val="24"/>
          <w:szCs w:val="24"/>
        </w:rPr>
        <w:t>o</w:t>
      </w:r>
      <w:r w:rsidRPr="00DD44EF">
        <w:rPr>
          <w:rFonts w:ascii="Times New Roman" w:hAnsi="Times New Roman" w:cs="Times New Roman"/>
          <w:sz w:val="24"/>
          <w:szCs w:val="24"/>
        </w:rPr>
        <w:t>odwin’s (2013) study was ‘thank goodness I don’t have a disability’. Similarly, Wurst and Wolford’s (1994) subjects’ experience of disability simulation prompted them to reflect on how fortunate they felt to be non-disabled. Herbert (2000) highlights the importance of bringing to the attention of those undergoing simulation exercises a range of what he terms ‘self-versus other-imposed’ barriers (p. 7) as part of a meaningful exploration of attitudes towards disability. Elsewhere in his paper, Herbert refers to this as the tendency of non-disabled individuals to ‘apply a comparative framework when evaluating the capabilities of persons with disabilities’ (p. 10). Drawing on Wright’s (1980) insights, Herbert observes that ‘it is often the case that people without disabilities use their life experience in determining what social, personal and vocational roles are available for persons with disabilities (</w:t>
      </w:r>
      <w:r w:rsidRPr="00EC062B">
        <w:rPr>
          <w:rFonts w:ascii="Times New Roman" w:hAnsi="Times New Roman" w:cs="Times New Roman"/>
          <w:i/>
          <w:sz w:val="24"/>
          <w:szCs w:val="24"/>
        </w:rPr>
        <w:t>ibid</w:t>
      </w:r>
      <w:r w:rsidRPr="00DD44EF">
        <w:rPr>
          <w:rFonts w:ascii="Times New Roman" w:hAnsi="Times New Roman" w:cs="Times New Roman"/>
          <w:sz w:val="24"/>
          <w:szCs w:val="24"/>
        </w:rPr>
        <w:t xml:space="preserve">). Similar misgivings inform Sally French’s (1992) criticisms of temporary disablement as a means of awareness-raising. While conceding that such exercises may play some role in helping non-disabled individuals to empathise with the onset of an impairment, French argues that simulation does little to convey the </w:t>
      </w:r>
      <w:r w:rsidRPr="00DD44EF">
        <w:rPr>
          <w:rFonts w:ascii="Times New Roman" w:hAnsi="Times New Roman" w:cs="Times New Roman"/>
          <w:sz w:val="24"/>
          <w:szCs w:val="24"/>
        </w:rPr>
        <w:lastRenderedPageBreak/>
        <w:t>experiences of people with long-term impairments. ‘It is quite obvious,’ French contends,</w:t>
      </w:r>
    </w:p>
    <w:p w14:paraId="206345BC" w14:textId="77777777" w:rsidR="001479AB" w:rsidRPr="00DD44EF" w:rsidRDefault="001479AB" w:rsidP="00623558">
      <w:pPr>
        <w:spacing w:after="0" w:line="23" w:lineRule="atLeast"/>
        <w:jc w:val="both"/>
        <w:rPr>
          <w:rFonts w:ascii="Times New Roman" w:hAnsi="Times New Roman" w:cs="Times New Roman"/>
          <w:sz w:val="24"/>
          <w:szCs w:val="24"/>
        </w:rPr>
      </w:pPr>
    </w:p>
    <w:p w14:paraId="1B76FAD1" w14:textId="77777777" w:rsidR="001479AB" w:rsidRPr="00DD44EF" w:rsidRDefault="001479AB" w:rsidP="00623558">
      <w:pPr>
        <w:spacing w:after="0" w:line="23" w:lineRule="atLeast"/>
        <w:ind w:left="284" w:right="284"/>
        <w:jc w:val="both"/>
        <w:rPr>
          <w:rFonts w:ascii="Times New Roman" w:hAnsi="Times New Roman" w:cs="Times New Roman"/>
          <w:sz w:val="24"/>
          <w:szCs w:val="24"/>
        </w:rPr>
      </w:pPr>
      <w:r w:rsidRPr="00DD44EF">
        <w:rPr>
          <w:rFonts w:ascii="Times New Roman" w:hAnsi="Times New Roman" w:cs="Times New Roman"/>
          <w:sz w:val="24"/>
          <w:szCs w:val="24"/>
        </w:rPr>
        <w:t>… that if a person is suddenly deprived of his or her hearing, sight, or ability to walk or use his or her hands, difficulties will be experienced and fear and frustration may be felt, but this is not the situation disabled people are in because they have had time to develop coping strategies or unusual dexterity or strength in other areas of their bodies, and are therefore likely to be far more calm and able than the able-bodied persons’ experience would suggest, which is not to minimise the difficulties they do experience. (260)</w:t>
      </w:r>
    </w:p>
    <w:p w14:paraId="3E80DC46" w14:textId="77777777" w:rsidR="001479AB" w:rsidRPr="00DD44EF" w:rsidRDefault="001479AB" w:rsidP="00623558">
      <w:pPr>
        <w:spacing w:after="0" w:line="23" w:lineRule="atLeast"/>
        <w:jc w:val="both"/>
        <w:rPr>
          <w:rFonts w:ascii="Times New Roman" w:hAnsi="Times New Roman" w:cs="Times New Roman"/>
          <w:sz w:val="24"/>
          <w:szCs w:val="24"/>
        </w:rPr>
      </w:pPr>
    </w:p>
    <w:p w14:paraId="708F33AE" w14:textId="77777777" w:rsidR="001479AB" w:rsidRPr="00DD44EF" w:rsidRDefault="001479AB"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 xml:space="preserve">In this aspect of her criticism, French goes further than Richardson (1990), who, reacting to a simulation activity undertaken by student nurses who were required to confine themselves to a wheelchair for a single day, observes that it accomplishes little more than to ‘make a single scratch on the surface of the experience of real people who have a permanent handicap’. French’s argument, delivered with considerable conviction, is that not only is simulation superficial, it can be dangerously counter-productive. Even those </w:t>
      </w:r>
      <w:r w:rsidR="00EC062B">
        <w:rPr>
          <w:rFonts w:ascii="Times New Roman" w:hAnsi="Times New Roman" w:cs="Times New Roman"/>
          <w:sz w:val="24"/>
          <w:szCs w:val="24"/>
        </w:rPr>
        <w:t xml:space="preserve">authors </w:t>
      </w:r>
      <w:r w:rsidRPr="00DD44EF">
        <w:rPr>
          <w:rFonts w:ascii="Times New Roman" w:hAnsi="Times New Roman" w:cs="Times New Roman"/>
          <w:sz w:val="24"/>
          <w:szCs w:val="24"/>
        </w:rPr>
        <w:t xml:space="preserve">who are relatively optimistic about the potential of simulation tend to append their qualified endorsements with the caveat that the targeted forms of understanding are unlikely to be cultivated to any meaningful degree by brief and isolated applications of simulation. Many studies of simulation (see for example, </w:t>
      </w:r>
      <w:r w:rsidR="0086398D" w:rsidRPr="00DD44EF">
        <w:rPr>
          <w:rFonts w:ascii="Times New Roman" w:hAnsi="Times New Roman" w:cs="Times New Roman"/>
          <w:sz w:val="24"/>
          <w:szCs w:val="24"/>
        </w:rPr>
        <w:t>Marini et al</w:t>
      </w:r>
      <w:r w:rsidR="00B729C8" w:rsidRPr="00B729C8">
        <w:rPr>
          <w:rFonts w:ascii="Times New Roman" w:hAnsi="Times New Roman" w:cs="Times New Roman"/>
          <w:sz w:val="24"/>
          <w:szCs w:val="24"/>
          <w:lang w:val="en-US"/>
        </w:rPr>
        <w:t>.</w:t>
      </w:r>
      <w:r w:rsidR="0086398D" w:rsidRPr="00DD44EF">
        <w:rPr>
          <w:rFonts w:ascii="Times New Roman" w:hAnsi="Times New Roman" w:cs="Times New Roman"/>
          <w:sz w:val="24"/>
          <w:szCs w:val="24"/>
        </w:rPr>
        <w:t xml:space="preserve"> 1995; Tate et al</w:t>
      </w:r>
      <w:r w:rsidR="00B729C8" w:rsidRPr="00B729C8">
        <w:rPr>
          <w:rFonts w:ascii="Times New Roman" w:hAnsi="Times New Roman" w:cs="Times New Roman"/>
          <w:sz w:val="24"/>
          <w:szCs w:val="24"/>
          <w:lang w:val="en-US"/>
        </w:rPr>
        <w:t>.</w:t>
      </w:r>
      <w:r w:rsidRPr="00DD44EF">
        <w:rPr>
          <w:rFonts w:ascii="Times New Roman" w:hAnsi="Times New Roman" w:cs="Times New Roman"/>
          <w:sz w:val="24"/>
          <w:szCs w:val="24"/>
        </w:rPr>
        <w:t xml:space="preserve"> 1990) are therefore informed by the perceived need for a longitudinal approach which takes account of the tendency for people with acquired impairment to adjust over time and to go on to develop rewarding and enjoyable lives.  </w:t>
      </w:r>
    </w:p>
    <w:p w14:paraId="40BE9AA3" w14:textId="77777777" w:rsidR="006D3F42" w:rsidRDefault="006D3F42" w:rsidP="00623558">
      <w:pPr>
        <w:spacing w:after="0" w:line="23" w:lineRule="atLeast"/>
        <w:jc w:val="both"/>
        <w:rPr>
          <w:rFonts w:ascii="Times New Roman" w:hAnsi="Times New Roman" w:cs="Times New Roman"/>
          <w:b/>
          <w:sz w:val="24"/>
          <w:szCs w:val="24"/>
        </w:rPr>
      </w:pPr>
    </w:p>
    <w:p w14:paraId="6B3F45F0" w14:textId="77777777" w:rsidR="001479AB" w:rsidRPr="006D3F42" w:rsidRDefault="001479AB" w:rsidP="00B729C8">
      <w:pPr>
        <w:spacing w:after="120"/>
        <w:jc w:val="both"/>
        <w:rPr>
          <w:rFonts w:ascii="Times New Roman" w:hAnsi="Times New Roman" w:cs="Times New Roman"/>
          <w:b/>
          <w:i/>
          <w:sz w:val="24"/>
          <w:szCs w:val="24"/>
        </w:rPr>
      </w:pPr>
      <w:r w:rsidRPr="006D3F42">
        <w:rPr>
          <w:rFonts w:ascii="Times New Roman" w:hAnsi="Times New Roman" w:cs="Times New Roman"/>
          <w:b/>
          <w:i/>
          <w:sz w:val="24"/>
          <w:szCs w:val="24"/>
        </w:rPr>
        <w:t>Related criticisms</w:t>
      </w:r>
    </w:p>
    <w:p w14:paraId="756B0983" w14:textId="6912CDB9" w:rsidR="00986DAD" w:rsidRPr="00DD44EF" w:rsidRDefault="001479AB"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The criticisms all</w:t>
      </w:r>
      <w:r w:rsidR="00EC062B">
        <w:rPr>
          <w:rFonts w:ascii="Times New Roman" w:hAnsi="Times New Roman" w:cs="Times New Roman"/>
          <w:sz w:val="24"/>
          <w:szCs w:val="24"/>
        </w:rPr>
        <w:t xml:space="preserve">uded to here essentially </w:t>
      </w:r>
      <w:r w:rsidRPr="00DD44EF">
        <w:rPr>
          <w:rFonts w:ascii="Times New Roman" w:hAnsi="Times New Roman" w:cs="Times New Roman"/>
          <w:sz w:val="24"/>
          <w:szCs w:val="24"/>
        </w:rPr>
        <w:t xml:space="preserve">combine to produce a convincing argument that it is impossible to simulate disability. This very observation is </w:t>
      </w:r>
      <w:r w:rsidR="00B729C8">
        <w:rPr>
          <w:rFonts w:ascii="Times New Roman" w:hAnsi="Times New Roman" w:cs="Times New Roman"/>
          <w:sz w:val="24"/>
          <w:szCs w:val="24"/>
        </w:rPr>
        <w:t xml:space="preserve">volunteered by </w:t>
      </w:r>
      <w:r w:rsidR="00B729C8" w:rsidRPr="00B729C8">
        <w:rPr>
          <w:rFonts w:ascii="Times New Roman" w:hAnsi="Times New Roman" w:cs="Times New Roman"/>
          <w:sz w:val="24"/>
          <w:szCs w:val="24"/>
        </w:rPr>
        <w:t>French (1992:</w:t>
      </w:r>
      <w:r w:rsidRPr="00B729C8">
        <w:rPr>
          <w:rFonts w:ascii="Times New Roman" w:hAnsi="Times New Roman" w:cs="Times New Roman"/>
          <w:sz w:val="24"/>
          <w:szCs w:val="24"/>
        </w:rPr>
        <w:t xml:space="preserve"> 262).</w:t>
      </w:r>
      <w:r w:rsidRPr="00DD44EF">
        <w:rPr>
          <w:rFonts w:ascii="Times New Roman" w:hAnsi="Times New Roman" w:cs="Times New Roman"/>
          <w:sz w:val="24"/>
          <w:szCs w:val="24"/>
        </w:rPr>
        <w:t xml:space="preserve"> The inadvertent reinforcement of stereotypes has been identified by several critics as an inevitable consequence of disability simulation endeavours. Wright (19</w:t>
      </w:r>
      <w:r w:rsidR="00EC062B">
        <w:rPr>
          <w:rFonts w:ascii="Times New Roman" w:hAnsi="Times New Roman" w:cs="Times New Roman"/>
          <w:sz w:val="24"/>
          <w:szCs w:val="24"/>
        </w:rPr>
        <w:t>78</w:t>
      </w:r>
      <w:r w:rsidRPr="00DD44EF">
        <w:rPr>
          <w:rFonts w:ascii="Times New Roman" w:hAnsi="Times New Roman" w:cs="Times New Roman"/>
          <w:sz w:val="24"/>
          <w:szCs w:val="24"/>
        </w:rPr>
        <w:t>), for example, notes a tendency, stemming from the type of ‘temporary disablement’ alluded to above, whereby feelings of helplessness and perceived inferiority generated by participation in simulation exercises, are imaginatively posited onto the perceived lived experiences of disabled individuals. Simulation exercises are the subject of Vic Finkelstein’s ire when he refers to ‘ignorant able-bodied service-providers who inculcate narrow medical and paramedical stereotypes into the minds of future generations (</w:t>
      </w:r>
      <w:r w:rsidR="0086398D" w:rsidRPr="00DD44EF">
        <w:rPr>
          <w:rFonts w:ascii="Times New Roman" w:hAnsi="Times New Roman" w:cs="Times New Roman"/>
          <w:sz w:val="24"/>
          <w:szCs w:val="24"/>
        </w:rPr>
        <w:t>Finkelstein</w:t>
      </w:r>
      <w:r w:rsidR="00B729C8" w:rsidRPr="00B729C8">
        <w:rPr>
          <w:rFonts w:ascii="Times New Roman" w:hAnsi="Times New Roman" w:cs="Times New Roman"/>
          <w:sz w:val="24"/>
          <w:szCs w:val="24"/>
          <w:lang w:val="en-US"/>
        </w:rPr>
        <w:t>,</w:t>
      </w:r>
      <w:r w:rsidR="002640ED">
        <w:rPr>
          <w:rFonts w:ascii="Times New Roman" w:hAnsi="Times New Roman" w:cs="Times New Roman"/>
          <w:sz w:val="24"/>
          <w:szCs w:val="24"/>
        </w:rPr>
        <w:t xml:space="preserve"> 199</w:t>
      </w:r>
      <w:r w:rsidR="0086398D" w:rsidRPr="00DD44EF">
        <w:rPr>
          <w:rFonts w:ascii="Times New Roman" w:hAnsi="Times New Roman" w:cs="Times New Roman"/>
          <w:sz w:val="24"/>
          <w:szCs w:val="24"/>
        </w:rPr>
        <w:t>:</w:t>
      </w:r>
      <w:r w:rsidRPr="00DD44EF">
        <w:rPr>
          <w:rFonts w:ascii="Times New Roman" w:hAnsi="Times New Roman" w:cs="Times New Roman"/>
          <w:sz w:val="24"/>
          <w:szCs w:val="24"/>
        </w:rPr>
        <w:t>5). Finally, as disability simulations tend to be i</w:t>
      </w:r>
      <w:r w:rsidR="00EC062B">
        <w:rPr>
          <w:rFonts w:ascii="Times New Roman" w:hAnsi="Times New Roman" w:cs="Times New Roman"/>
          <w:sz w:val="24"/>
          <w:szCs w:val="24"/>
        </w:rPr>
        <w:t>mpairment-specific, the degree of</w:t>
      </w:r>
      <w:r w:rsidRPr="00DD44EF">
        <w:rPr>
          <w:rFonts w:ascii="Times New Roman" w:hAnsi="Times New Roman" w:cs="Times New Roman"/>
          <w:sz w:val="24"/>
          <w:szCs w:val="24"/>
        </w:rPr>
        <w:t xml:space="preserve"> individualisation</w:t>
      </w:r>
      <w:r w:rsidR="00EC062B">
        <w:rPr>
          <w:rFonts w:ascii="Times New Roman" w:hAnsi="Times New Roman" w:cs="Times New Roman"/>
          <w:sz w:val="24"/>
          <w:szCs w:val="24"/>
        </w:rPr>
        <w:t xml:space="preserve"> inherent in such undertakings</w:t>
      </w:r>
      <w:r w:rsidRPr="00DD44EF">
        <w:rPr>
          <w:rFonts w:ascii="Times New Roman" w:hAnsi="Times New Roman" w:cs="Times New Roman"/>
          <w:sz w:val="24"/>
          <w:szCs w:val="24"/>
        </w:rPr>
        <w:t xml:space="preserve"> </w:t>
      </w:r>
      <w:r w:rsidR="00EC062B">
        <w:rPr>
          <w:rFonts w:ascii="Times New Roman" w:hAnsi="Times New Roman" w:cs="Times New Roman"/>
          <w:sz w:val="24"/>
          <w:szCs w:val="24"/>
        </w:rPr>
        <w:t xml:space="preserve">has been criticised for being </w:t>
      </w:r>
      <w:r w:rsidR="00910929">
        <w:rPr>
          <w:rFonts w:ascii="Times New Roman" w:hAnsi="Times New Roman" w:cs="Times New Roman"/>
          <w:sz w:val="24"/>
          <w:szCs w:val="24"/>
        </w:rPr>
        <w:t>u</w:t>
      </w:r>
      <w:r w:rsidR="00EC062B">
        <w:rPr>
          <w:rFonts w:ascii="Times New Roman" w:hAnsi="Times New Roman" w:cs="Times New Roman"/>
          <w:sz w:val="24"/>
          <w:szCs w:val="24"/>
        </w:rPr>
        <w:t>n</w:t>
      </w:r>
      <w:r w:rsidRPr="00DD44EF">
        <w:rPr>
          <w:rFonts w:ascii="Times New Roman" w:hAnsi="Times New Roman" w:cs="Times New Roman"/>
          <w:sz w:val="24"/>
          <w:szCs w:val="24"/>
        </w:rPr>
        <w:t>conducive to the implementation of universal design (</w:t>
      </w:r>
      <w:r w:rsidR="0086398D" w:rsidRPr="00DD44EF">
        <w:rPr>
          <w:rFonts w:ascii="Times New Roman" w:hAnsi="Times New Roman" w:cs="Times New Roman"/>
          <w:sz w:val="24"/>
          <w:szCs w:val="24"/>
        </w:rPr>
        <w:t>Reynolds</w:t>
      </w:r>
      <w:r w:rsidRPr="00DD44EF">
        <w:rPr>
          <w:rFonts w:ascii="Times New Roman" w:hAnsi="Times New Roman" w:cs="Times New Roman"/>
          <w:sz w:val="24"/>
          <w:szCs w:val="24"/>
        </w:rPr>
        <w:t xml:space="preserve"> 1991).</w:t>
      </w:r>
    </w:p>
    <w:p w14:paraId="2658D436" w14:textId="77777777" w:rsidR="00986DAD" w:rsidRPr="00DD44EF" w:rsidRDefault="00986DAD" w:rsidP="00623558">
      <w:pPr>
        <w:spacing w:after="0" w:line="23" w:lineRule="atLeast"/>
        <w:jc w:val="both"/>
        <w:rPr>
          <w:rFonts w:ascii="Times New Roman" w:hAnsi="Times New Roman" w:cs="Times New Roman"/>
          <w:sz w:val="24"/>
          <w:szCs w:val="24"/>
        </w:rPr>
      </w:pPr>
    </w:p>
    <w:p w14:paraId="38D1EB91" w14:textId="77777777" w:rsidR="001479AB" w:rsidRPr="00DD44EF" w:rsidRDefault="00D52360" w:rsidP="00623558">
      <w:pPr>
        <w:spacing w:after="0" w:line="23" w:lineRule="atLeast"/>
        <w:jc w:val="both"/>
        <w:rPr>
          <w:rFonts w:ascii="Times New Roman" w:hAnsi="Times New Roman" w:cs="Times New Roman"/>
          <w:sz w:val="24"/>
          <w:szCs w:val="24"/>
        </w:rPr>
      </w:pPr>
      <w:r w:rsidRPr="000F3467">
        <w:rPr>
          <w:rFonts w:ascii="Times New Roman" w:hAnsi="Times New Roman" w:cs="Times New Roman"/>
          <w:sz w:val="24"/>
          <w:szCs w:val="24"/>
        </w:rPr>
        <w:t>The study briefly ou</w:t>
      </w:r>
      <w:r w:rsidR="00863C26" w:rsidRPr="000F3467">
        <w:rPr>
          <w:rFonts w:ascii="Times New Roman" w:hAnsi="Times New Roman" w:cs="Times New Roman"/>
          <w:sz w:val="24"/>
          <w:szCs w:val="24"/>
        </w:rPr>
        <w:t>tlined below, which investigates</w:t>
      </w:r>
      <w:r w:rsidRPr="000F3467">
        <w:rPr>
          <w:rFonts w:ascii="Times New Roman" w:hAnsi="Times New Roman" w:cs="Times New Roman"/>
          <w:sz w:val="24"/>
          <w:szCs w:val="24"/>
        </w:rPr>
        <w:t xml:space="preserve"> the potential of visual impairment simulation as an art access tool, was undertaken in full awareness of these compelling lines of criticism.</w:t>
      </w:r>
      <w:r w:rsidRPr="00DD44EF">
        <w:rPr>
          <w:rFonts w:ascii="Times New Roman" w:hAnsi="Times New Roman" w:cs="Times New Roman"/>
          <w:sz w:val="24"/>
          <w:szCs w:val="24"/>
        </w:rPr>
        <w:t xml:space="preserve"> As I subscribed unreservedly to the majori</w:t>
      </w:r>
      <w:r w:rsidR="00863C26" w:rsidRPr="00DD44EF">
        <w:rPr>
          <w:rFonts w:ascii="Times New Roman" w:hAnsi="Times New Roman" w:cs="Times New Roman"/>
          <w:sz w:val="24"/>
          <w:szCs w:val="24"/>
        </w:rPr>
        <w:t>ty of these denunciatory decrees</w:t>
      </w:r>
      <w:r w:rsidRPr="00DD44EF">
        <w:rPr>
          <w:rFonts w:ascii="Times New Roman" w:hAnsi="Times New Roman" w:cs="Times New Roman"/>
          <w:sz w:val="24"/>
          <w:szCs w:val="24"/>
        </w:rPr>
        <w:t xml:space="preserve">, the </w:t>
      </w:r>
      <w:r w:rsidR="00863C26" w:rsidRPr="00DD44EF">
        <w:rPr>
          <w:rFonts w:ascii="Times New Roman" w:hAnsi="Times New Roman" w:cs="Times New Roman"/>
          <w:sz w:val="24"/>
          <w:szCs w:val="24"/>
        </w:rPr>
        <w:t xml:space="preserve">preliminary stages of the project were </w:t>
      </w:r>
      <w:r w:rsidR="00BC0881">
        <w:rPr>
          <w:rFonts w:ascii="Times New Roman" w:hAnsi="Times New Roman" w:cs="Times New Roman"/>
          <w:sz w:val="24"/>
          <w:szCs w:val="24"/>
        </w:rPr>
        <w:t xml:space="preserve">admittedly </w:t>
      </w:r>
      <w:r w:rsidR="00863C26" w:rsidRPr="00DD44EF">
        <w:rPr>
          <w:rFonts w:ascii="Times New Roman" w:hAnsi="Times New Roman" w:cs="Times New Roman"/>
          <w:sz w:val="24"/>
          <w:szCs w:val="24"/>
        </w:rPr>
        <w:t xml:space="preserve">undertaken with a not inconsiderable element of the </w:t>
      </w:r>
      <w:r w:rsidR="00BC0881">
        <w:rPr>
          <w:rFonts w:ascii="Times New Roman" w:hAnsi="Times New Roman" w:cs="Times New Roman"/>
          <w:sz w:val="24"/>
          <w:szCs w:val="24"/>
        </w:rPr>
        <w:t xml:space="preserve">type of </w:t>
      </w:r>
      <w:r w:rsidR="00863C26" w:rsidRPr="00DD44EF">
        <w:rPr>
          <w:rFonts w:ascii="Times New Roman" w:hAnsi="Times New Roman" w:cs="Times New Roman"/>
          <w:sz w:val="24"/>
          <w:szCs w:val="24"/>
        </w:rPr>
        <w:t xml:space="preserve">bad grace that </w:t>
      </w:r>
      <w:r w:rsidR="00BC0881">
        <w:rPr>
          <w:rFonts w:ascii="Times New Roman" w:hAnsi="Times New Roman" w:cs="Times New Roman"/>
          <w:sz w:val="24"/>
          <w:szCs w:val="24"/>
        </w:rPr>
        <w:t>I imagine might characterise</w:t>
      </w:r>
      <w:r w:rsidR="00863C26" w:rsidRPr="00DD44EF">
        <w:rPr>
          <w:rFonts w:ascii="Times New Roman" w:hAnsi="Times New Roman" w:cs="Times New Roman"/>
          <w:sz w:val="24"/>
          <w:szCs w:val="24"/>
        </w:rPr>
        <w:t xml:space="preserve"> the reticent mind-set of a </w:t>
      </w:r>
      <w:r w:rsidR="00BC0881">
        <w:rPr>
          <w:rFonts w:ascii="Times New Roman" w:hAnsi="Times New Roman" w:cs="Times New Roman"/>
          <w:sz w:val="24"/>
          <w:szCs w:val="24"/>
        </w:rPr>
        <w:t>debutant felon</w:t>
      </w:r>
      <w:r w:rsidR="00863C26" w:rsidRPr="00DD44EF">
        <w:rPr>
          <w:rFonts w:ascii="Times New Roman" w:hAnsi="Times New Roman" w:cs="Times New Roman"/>
          <w:sz w:val="24"/>
          <w:szCs w:val="24"/>
        </w:rPr>
        <w:t xml:space="preserve">. As the research progressed, however, this sense of </w:t>
      </w:r>
      <w:r w:rsidR="00986DAD" w:rsidRPr="00DD44EF">
        <w:rPr>
          <w:rFonts w:ascii="Times New Roman" w:hAnsi="Times New Roman" w:cs="Times New Roman"/>
          <w:sz w:val="24"/>
          <w:szCs w:val="24"/>
        </w:rPr>
        <w:t>culpability</w:t>
      </w:r>
      <w:r w:rsidR="00863C26" w:rsidRPr="00DD44EF">
        <w:rPr>
          <w:rFonts w:ascii="Times New Roman" w:hAnsi="Times New Roman" w:cs="Times New Roman"/>
          <w:sz w:val="24"/>
          <w:szCs w:val="24"/>
        </w:rPr>
        <w:t xml:space="preserve"> was displaced by the suggestion that I was unearthing a value of </w:t>
      </w:r>
      <w:r w:rsidR="00863C26" w:rsidRPr="00DD44EF">
        <w:rPr>
          <w:rFonts w:ascii="Times New Roman" w:hAnsi="Times New Roman" w:cs="Times New Roman"/>
          <w:sz w:val="24"/>
          <w:szCs w:val="24"/>
        </w:rPr>
        <w:lastRenderedPageBreak/>
        <w:t xml:space="preserve">simulation that had not been previously identified and so lay beyond </w:t>
      </w:r>
      <w:r w:rsidR="00986DAD" w:rsidRPr="00DD44EF">
        <w:rPr>
          <w:rFonts w:ascii="Times New Roman" w:hAnsi="Times New Roman" w:cs="Times New Roman"/>
          <w:sz w:val="24"/>
          <w:szCs w:val="24"/>
        </w:rPr>
        <w:t>the range of the chorus of admonishment detailed above</w:t>
      </w:r>
      <w:r w:rsidR="00863C26" w:rsidRPr="00DD44EF">
        <w:rPr>
          <w:rFonts w:ascii="Times New Roman" w:hAnsi="Times New Roman" w:cs="Times New Roman"/>
          <w:sz w:val="24"/>
          <w:szCs w:val="24"/>
        </w:rPr>
        <w:t>.</w:t>
      </w:r>
      <w:r w:rsidR="00986DAD" w:rsidRPr="00DD44EF">
        <w:rPr>
          <w:rFonts w:ascii="Times New Roman" w:hAnsi="Times New Roman" w:cs="Times New Roman"/>
          <w:sz w:val="24"/>
          <w:szCs w:val="24"/>
        </w:rPr>
        <w:t xml:space="preserve"> </w:t>
      </w:r>
    </w:p>
    <w:p w14:paraId="6846EC3F" w14:textId="77777777" w:rsidR="00986DAD" w:rsidRPr="00DD44EF" w:rsidRDefault="00986DAD" w:rsidP="00623558">
      <w:pPr>
        <w:spacing w:after="0" w:line="23" w:lineRule="atLeast"/>
        <w:jc w:val="both"/>
        <w:rPr>
          <w:rFonts w:ascii="Times New Roman" w:hAnsi="Times New Roman" w:cs="Times New Roman"/>
          <w:b/>
          <w:sz w:val="24"/>
          <w:szCs w:val="24"/>
        </w:rPr>
      </w:pPr>
    </w:p>
    <w:p w14:paraId="03E20D2C" w14:textId="77777777" w:rsidR="00933C05" w:rsidRPr="00DD44EF" w:rsidRDefault="00933C05" w:rsidP="00507585">
      <w:pPr>
        <w:spacing w:after="120"/>
        <w:jc w:val="both"/>
        <w:rPr>
          <w:rFonts w:ascii="Times New Roman" w:hAnsi="Times New Roman" w:cs="Times New Roman"/>
          <w:b/>
          <w:sz w:val="24"/>
          <w:szCs w:val="24"/>
        </w:rPr>
      </w:pPr>
      <w:r w:rsidRPr="00DD44EF">
        <w:rPr>
          <w:rFonts w:ascii="Times New Roman" w:hAnsi="Times New Roman" w:cs="Times New Roman"/>
          <w:b/>
          <w:sz w:val="24"/>
          <w:szCs w:val="24"/>
        </w:rPr>
        <w:t xml:space="preserve">Sight-Sim™ </w:t>
      </w:r>
    </w:p>
    <w:p w14:paraId="12201420" w14:textId="77777777" w:rsidR="00E5009F" w:rsidRPr="00DD44EF" w:rsidRDefault="00933C05" w:rsidP="00623558">
      <w:pPr>
        <w:spacing w:after="0" w:line="23" w:lineRule="atLeast"/>
        <w:jc w:val="both"/>
        <w:rPr>
          <w:rFonts w:ascii="Times New Roman" w:hAnsi="Times New Roman" w:cs="Times New Roman"/>
          <w:color w:val="000000" w:themeColor="text1"/>
          <w:sz w:val="24"/>
          <w:szCs w:val="24"/>
        </w:rPr>
      </w:pPr>
      <w:r w:rsidRPr="00DD44EF">
        <w:rPr>
          <w:rFonts w:ascii="Times New Roman" w:hAnsi="Times New Roman" w:cs="Times New Roman"/>
          <w:sz w:val="24"/>
          <w:szCs w:val="24"/>
        </w:rPr>
        <w:t>Scientists and clinicians from the Royal Hospital for Sick Children in Glasgow and the University of Glasgow have developed Sight-Sim™, a</w:t>
      </w:r>
      <w:r w:rsidR="0093584C" w:rsidRPr="00DD44EF">
        <w:rPr>
          <w:rFonts w:ascii="Times New Roman" w:hAnsi="Times New Roman" w:cs="Times New Roman"/>
          <w:sz w:val="24"/>
          <w:szCs w:val="24"/>
        </w:rPr>
        <w:t xml:space="preserve"> piece of software which filter</w:t>
      </w:r>
      <w:r w:rsidRPr="00DD44EF">
        <w:rPr>
          <w:rFonts w:ascii="Times New Roman" w:hAnsi="Times New Roman" w:cs="Times New Roman"/>
          <w:sz w:val="24"/>
          <w:szCs w:val="24"/>
        </w:rPr>
        <w:t>s imag</w:t>
      </w:r>
      <w:r w:rsidR="0093584C" w:rsidRPr="00DD44EF">
        <w:rPr>
          <w:rFonts w:ascii="Times New Roman" w:hAnsi="Times New Roman" w:cs="Times New Roman"/>
          <w:sz w:val="24"/>
          <w:szCs w:val="24"/>
        </w:rPr>
        <w:t>es through</w:t>
      </w:r>
      <w:r w:rsidRPr="00DD44EF">
        <w:rPr>
          <w:rFonts w:ascii="Times New Roman" w:hAnsi="Times New Roman" w:cs="Times New Roman"/>
          <w:sz w:val="24"/>
          <w:szCs w:val="24"/>
        </w:rPr>
        <w:t xml:space="preserve"> the degree</w:t>
      </w:r>
      <w:r w:rsidR="0093584C" w:rsidRPr="00DD44EF">
        <w:rPr>
          <w:rFonts w:ascii="Times New Roman" w:hAnsi="Times New Roman" w:cs="Times New Roman"/>
          <w:sz w:val="24"/>
          <w:szCs w:val="24"/>
        </w:rPr>
        <w:t>s</w:t>
      </w:r>
      <w:r w:rsidRPr="00DD44EF">
        <w:rPr>
          <w:rFonts w:ascii="Times New Roman" w:hAnsi="Times New Roman" w:cs="Times New Roman"/>
          <w:sz w:val="24"/>
          <w:szCs w:val="24"/>
        </w:rPr>
        <w:t xml:space="preserve"> of visual acuity and contrast sensitivity</w:t>
      </w:r>
      <w:r w:rsidR="0093584C" w:rsidRPr="00DD44EF">
        <w:rPr>
          <w:rFonts w:ascii="Times New Roman" w:hAnsi="Times New Roman" w:cs="Times New Roman"/>
          <w:sz w:val="24"/>
          <w:szCs w:val="24"/>
        </w:rPr>
        <w:t xml:space="preserve"> of</w:t>
      </w:r>
      <w:r w:rsidRPr="00DD44EF">
        <w:rPr>
          <w:rFonts w:ascii="Times New Roman" w:hAnsi="Times New Roman" w:cs="Times New Roman"/>
          <w:sz w:val="24"/>
          <w:szCs w:val="24"/>
        </w:rPr>
        <w:t xml:space="preserve"> individual</w:t>
      </w:r>
      <w:r w:rsidR="0093584C" w:rsidRPr="00DD44EF">
        <w:rPr>
          <w:rFonts w:ascii="Times New Roman" w:hAnsi="Times New Roman" w:cs="Times New Roman"/>
          <w:sz w:val="24"/>
          <w:szCs w:val="24"/>
        </w:rPr>
        <w:t>s with visual impairment</w:t>
      </w:r>
      <w:r w:rsidR="00507585">
        <w:rPr>
          <w:rStyle w:val="EndnoteReference"/>
          <w:rFonts w:ascii="Times New Roman" w:hAnsi="Times New Roman" w:cs="Times New Roman"/>
          <w:sz w:val="24"/>
          <w:szCs w:val="24"/>
        </w:rPr>
        <w:endnoteReference w:id="1"/>
      </w:r>
      <w:r w:rsidRPr="00DD44EF">
        <w:rPr>
          <w:rFonts w:ascii="Times New Roman" w:hAnsi="Times New Roman" w:cs="Times New Roman"/>
          <w:sz w:val="24"/>
          <w:szCs w:val="24"/>
        </w:rPr>
        <w:t>. The intended function of the technology is to grant parents of children with visual impairments greater experiential knowledge of how different environments are perceived by their child. For example, a parent can take a photograph of his/her child’s bedroom and then use Sight-Sim™ to filter the image through a reading of their child’s visual acuity and contrast sensitivity. This generates a new image of the room as it is perceived by the child. The parent is then in a better position to know how the room might be adapted to make it easier for the child to navigate the space (for example, changing the colour scheme, re-arranging the furniture</w:t>
      </w:r>
      <w:r w:rsidR="009A3A20" w:rsidRPr="00DD44EF">
        <w:rPr>
          <w:rFonts w:ascii="Times New Roman" w:hAnsi="Times New Roman" w:cs="Times New Roman"/>
          <w:sz w:val="24"/>
          <w:szCs w:val="24"/>
        </w:rPr>
        <w:t>)</w:t>
      </w:r>
      <w:r w:rsidRPr="00DD44EF">
        <w:rPr>
          <w:rFonts w:ascii="Times New Roman" w:hAnsi="Times New Roman" w:cs="Times New Roman"/>
          <w:sz w:val="24"/>
          <w:szCs w:val="24"/>
        </w:rPr>
        <w:t xml:space="preserve">. This process can then be repeated with a photograph of the adapted environment in order to determine how effective the adaptations have been. </w:t>
      </w:r>
      <w:r w:rsidR="003B2102" w:rsidRPr="00DD44EF">
        <w:rPr>
          <w:rFonts w:ascii="Times New Roman" w:hAnsi="Times New Roman" w:cs="Times New Roman"/>
          <w:sz w:val="24"/>
          <w:szCs w:val="24"/>
        </w:rPr>
        <w:t>The largely enthusiastic feedback generated at workshops where this intended application of the software was trialled prompted consideration of other environments and contexts within which Sight-Sim™ might be usefully applied.</w:t>
      </w:r>
      <w:r w:rsidR="009C4FE3" w:rsidRPr="00DD44EF">
        <w:rPr>
          <w:rFonts w:ascii="Times New Roman" w:hAnsi="Times New Roman" w:cs="Times New Roman"/>
          <w:b/>
          <w:sz w:val="24"/>
          <w:szCs w:val="24"/>
        </w:rPr>
        <w:t xml:space="preserve"> </w:t>
      </w:r>
      <w:r w:rsidR="009C4FE3" w:rsidRPr="00DD44EF">
        <w:rPr>
          <w:rFonts w:ascii="Times New Roman" w:hAnsi="Times New Roman" w:cs="Times New Roman"/>
          <w:sz w:val="24"/>
          <w:szCs w:val="24"/>
        </w:rPr>
        <w:t xml:space="preserve">The </w:t>
      </w:r>
      <w:r w:rsidR="00BC0881">
        <w:rPr>
          <w:rFonts w:ascii="Times New Roman" w:hAnsi="Times New Roman" w:cs="Times New Roman"/>
          <w:sz w:val="24"/>
          <w:szCs w:val="24"/>
        </w:rPr>
        <w:t>application of</w:t>
      </w:r>
      <w:r w:rsidRPr="00DD44EF">
        <w:rPr>
          <w:rFonts w:ascii="Times New Roman" w:hAnsi="Times New Roman" w:cs="Times New Roman"/>
          <w:sz w:val="24"/>
          <w:szCs w:val="24"/>
        </w:rPr>
        <w:t xml:space="preserve"> this approa</w:t>
      </w:r>
      <w:r w:rsidR="009C4FE3" w:rsidRPr="00DD44EF">
        <w:rPr>
          <w:rFonts w:ascii="Times New Roman" w:hAnsi="Times New Roman" w:cs="Times New Roman"/>
          <w:sz w:val="24"/>
          <w:szCs w:val="24"/>
        </w:rPr>
        <w:t>ch within a gallery e</w:t>
      </w:r>
      <w:r w:rsidR="00BC0881">
        <w:rPr>
          <w:rFonts w:ascii="Times New Roman" w:hAnsi="Times New Roman" w:cs="Times New Roman"/>
          <w:sz w:val="24"/>
          <w:szCs w:val="24"/>
        </w:rPr>
        <w:t>nvironment facilitated</w:t>
      </w:r>
      <w:r w:rsidR="009C4FE3" w:rsidRPr="00DD44EF">
        <w:rPr>
          <w:rFonts w:ascii="Times New Roman" w:hAnsi="Times New Roman" w:cs="Times New Roman"/>
          <w:sz w:val="24"/>
          <w:szCs w:val="24"/>
        </w:rPr>
        <w:t xml:space="preserve"> an </w:t>
      </w:r>
      <w:r w:rsidR="00E5009F" w:rsidRPr="00DD44EF">
        <w:rPr>
          <w:rFonts w:ascii="Times New Roman" w:hAnsi="Times New Roman" w:cs="Times New Roman"/>
          <w:sz w:val="24"/>
          <w:szCs w:val="24"/>
        </w:rPr>
        <w:t>assessment of the difference made to engagement</w:t>
      </w:r>
      <w:r w:rsidR="00BC0881">
        <w:rPr>
          <w:rFonts w:ascii="Times New Roman" w:hAnsi="Times New Roman" w:cs="Times New Roman"/>
          <w:sz w:val="24"/>
          <w:szCs w:val="24"/>
        </w:rPr>
        <w:t xml:space="preserve"> levels when access provision is structured around</w:t>
      </w:r>
      <w:r w:rsidR="00E5009F" w:rsidRPr="00DD44EF">
        <w:rPr>
          <w:rFonts w:ascii="Times New Roman" w:hAnsi="Times New Roman" w:cs="Times New Roman"/>
          <w:sz w:val="24"/>
          <w:szCs w:val="24"/>
        </w:rPr>
        <w:t xml:space="preserve"> images as perceived by individuals with visual impairment, rather than</w:t>
      </w:r>
      <w:r w:rsidR="00BC0881">
        <w:rPr>
          <w:rFonts w:ascii="Times New Roman" w:hAnsi="Times New Roman" w:cs="Times New Roman"/>
          <w:sz w:val="24"/>
          <w:szCs w:val="24"/>
        </w:rPr>
        <w:t>, as is usually the case,</w:t>
      </w:r>
      <w:r w:rsidR="00E5009F" w:rsidRPr="00DD44EF">
        <w:rPr>
          <w:rFonts w:ascii="Times New Roman" w:hAnsi="Times New Roman" w:cs="Times New Roman"/>
          <w:sz w:val="24"/>
          <w:szCs w:val="24"/>
        </w:rPr>
        <w:t xml:space="preserve"> by their fully sighted guides.</w:t>
      </w:r>
      <w:r w:rsidR="00FE6998" w:rsidRPr="00DD44EF">
        <w:rPr>
          <w:rFonts w:ascii="Times New Roman" w:hAnsi="Times New Roman" w:cs="Times New Roman"/>
          <w:sz w:val="24"/>
          <w:szCs w:val="24"/>
        </w:rPr>
        <w:t xml:space="preserve"> </w:t>
      </w:r>
    </w:p>
    <w:p w14:paraId="73B0B982" w14:textId="77777777" w:rsidR="00C84F23" w:rsidRPr="00DD44EF" w:rsidRDefault="00C84F23" w:rsidP="00623558">
      <w:pPr>
        <w:spacing w:after="0" w:line="23" w:lineRule="atLeast"/>
        <w:jc w:val="both"/>
        <w:rPr>
          <w:rFonts w:ascii="Times New Roman" w:hAnsi="Times New Roman" w:cs="Times New Roman"/>
          <w:b/>
          <w:sz w:val="24"/>
          <w:szCs w:val="24"/>
        </w:rPr>
      </w:pPr>
    </w:p>
    <w:p w14:paraId="5DC99EAB" w14:textId="77777777" w:rsidR="00E5009F" w:rsidRPr="00DD44EF" w:rsidRDefault="00E5009F" w:rsidP="0047540E">
      <w:pPr>
        <w:spacing w:after="120"/>
        <w:jc w:val="both"/>
        <w:rPr>
          <w:rFonts w:ascii="Times New Roman" w:hAnsi="Times New Roman" w:cs="Times New Roman"/>
          <w:b/>
          <w:sz w:val="24"/>
          <w:szCs w:val="24"/>
        </w:rPr>
      </w:pPr>
      <w:r w:rsidRPr="00DD44EF">
        <w:rPr>
          <w:rFonts w:ascii="Times New Roman" w:hAnsi="Times New Roman" w:cs="Times New Roman"/>
          <w:b/>
          <w:sz w:val="24"/>
          <w:szCs w:val="24"/>
        </w:rPr>
        <w:t>Methodology</w:t>
      </w:r>
    </w:p>
    <w:p w14:paraId="1AD8FC6F" w14:textId="1753AFD4" w:rsidR="00530FCF" w:rsidRPr="00DD44EF" w:rsidRDefault="0008160E"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 xml:space="preserve">The research </w:t>
      </w:r>
      <w:r w:rsidRPr="00EE6B5B">
        <w:rPr>
          <w:rFonts w:ascii="Times New Roman" w:hAnsi="Times New Roman" w:cs="Times New Roman"/>
          <w:sz w:val="24"/>
          <w:szCs w:val="24"/>
        </w:rPr>
        <w:t>was undertaken collaboratively by individuals with visual impairment,</w:t>
      </w:r>
      <w:r w:rsidRPr="00DD44EF">
        <w:rPr>
          <w:rFonts w:ascii="Times New Roman" w:hAnsi="Times New Roman" w:cs="Times New Roman"/>
          <w:sz w:val="24"/>
          <w:szCs w:val="24"/>
        </w:rPr>
        <w:t xml:space="preserve"> Visual I</w:t>
      </w:r>
      <w:r w:rsidR="00BC0881">
        <w:rPr>
          <w:rFonts w:ascii="Times New Roman" w:hAnsi="Times New Roman" w:cs="Times New Roman"/>
          <w:sz w:val="24"/>
          <w:szCs w:val="24"/>
        </w:rPr>
        <w:t>mpairment Scotland</w:t>
      </w:r>
      <w:r w:rsidRPr="00DD44EF">
        <w:rPr>
          <w:rFonts w:ascii="Times New Roman" w:hAnsi="Times New Roman" w:cs="Times New Roman"/>
          <w:sz w:val="24"/>
          <w:szCs w:val="24"/>
        </w:rPr>
        <w:t xml:space="preserve">, FLIP: Disability Equality in the Arts, and access teams from four art galleries in Scotland. </w:t>
      </w:r>
      <w:r w:rsidR="00530FCF" w:rsidRPr="00DD44EF">
        <w:rPr>
          <w:rFonts w:ascii="Times New Roman" w:hAnsi="Times New Roman" w:cs="Times New Roman"/>
          <w:sz w:val="24"/>
          <w:szCs w:val="24"/>
        </w:rPr>
        <w:t>When recruiting co-researchers with visual impairment, a decision was</w:t>
      </w:r>
      <w:r w:rsidR="00F55C8F" w:rsidRPr="00DD44EF">
        <w:rPr>
          <w:rFonts w:ascii="Times New Roman" w:hAnsi="Times New Roman" w:cs="Times New Roman"/>
          <w:sz w:val="24"/>
          <w:szCs w:val="24"/>
        </w:rPr>
        <w:t xml:space="preserve"> made to target those</w:t>
      </w:r>
      <w:r w:rsidR="00530FCF" w:rsidRPr="00DD44EF">
        <w:rPr>
          <w:rFonts w:ascii="Times New Roman" w:hAnsi="Times New Roman" w:cs="Times New Roman"/>
          <w:sz w:val="24"/>
          <w:szCs w:val="24"/>
        </w:rPr>
        <w:t xml:space="preserve"> with a pre-existing interest in visual art. This decision was prompted by a disinclination to subject individuals with visual impairment to </w:t>
      </w:r>
      <w:r w:rsidR="00530FCF" w:rsidRPr="00740F66">
        <w:rPr>
          <w:rFonts w:ascii="Times New Roman" w:hAnsi="Times New Roman" w:cs="Times New Roman"/>
          <w:sz w:val="24"/>
          <w:szCs w:val="24"/>
        </w:rPr>
        <w:t xml:space="preserve">the </w:t>
      </w:r>
      <w:r w:rsidR="00530FCF" w:rsidRPr="001F0473">
        <w:rPr>
          <w:rFonts w:ascii="Times New Roman" w:hAnsi="Times New Roman" w:cs="Times New Roman"/>
          <w:sz w:val="24"/>
          <w:szCs w:val="24"/>
        </w:rPr>
        <w:t>ocularcentric environment</w:t>
      </w:r>
      <w:r w:rsidR="00530FCF" w:rsidRPr="00DD44EF">
        <w:rPr>
          <w:rFonts w:ascii="Times New Roman" w:hAnsi="Times New Roman" w:cs="Times New Roman"/>
          <w:sz w:val="24"/>
          <w:szCs w:val="24"/>
        </w:rPr>
        <w:t xml:space="preserve"> of art galleries unless they had an expressed interest in painting. </w:t>
      </w:r>
      <w:r w:rsidR="00A70BF2">
        <w:rPr>
          <w:rFonts w:ascii="Times New Roman" w:hAnsi="Times New Roman" w:cs="Times New Roman"/>
          <w:sz w:val="24"/>
          <w:szCs w:val="24"/>
        </w:rPr>
        <w:t>A total of 40</w:t>
      </w:r>
      <w:r w:rsidR="00530FCF" w:rsidRPr="00EE6B5B">
        <w:rPr>
          <w:rFonts w:ascii="Times New Roman" w:hAnsi="Times New Roman" w:cs="Times New Roman"/>
          <w:sz w:val="24"/>
          <w:szCs w:val="24"/>
        </w:rPr>
        <w:t xml:space="preserve"> co-researchers with visual impairment were recruited (26 female, 14 male).</w:t>
      </w:r>
      <w:r w:rsidR="00530FCF" w:rsidRPr="00DD44EF">
        <w:rPr>
          <w:rFonts w:ascii="Times New Roman" w:hAnsi="Times New Roman" w:cs="Times New Roman"/>
          <w:sz w:val="24"/>
          <w:szCs w:val="24"/>
        </w:rPr>
        <w:t xml:space="preserve"> These individuals played an active part in refining the design of the project. Because they expressed discomfort at the prospect of revealing their age, this data was not solicited. All participants, however, were over 18 years old.</w:t>
      </w:r>
    </w:p>
    <w:p w14:paraId="115900E6" w14:textId="77777777" w:rsidR="00530FCF" w:rsidRPr="00DD44EF" w:rsidRDefault="00530FCF" w:rsidP="00623558">
      <w:pPr>
        <w:spacing w:after="0" w:line="23" w:lineRule="atLeast"/>
        <w:jc w:val="both"/>
        <w:rPr>
          <w:rFonts w:ascii="Times New Roman" w:hAnsi="Times New Roman" w:cs="Times New Roman"/>
          <w:sz w:val="24"/>
          <w:szCs w:val="24"/>
        </w:rPr>
      </w:pPr>
    </w:p>
    <w:p w14:paraId="1E84317A" w14:textId="115B54EB" w:rsidR="00270DF9" w:rsidRPr="00DD44EF" w:rsidRDefault="00F55C8F"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Verbal descriptions of a selection of the</w:t>
      </w:r>
      <w:r w:rsidR="00C84F23" w:rsidRPr="00DD44EF">
        <w:rPr>
          <w:rFonts w:ascii="Times New Roman" w:hAnsi="Times New Roman" w:cs="Times New Roman"/>
          <w:sz w:val="24"/>
          <w:szCs w:val="24"/>
        </w:rPr>
        <w:t xml:space="preserve"> paintings on display in </w:t>
      </w:r>
      <w:r w:rsidR="0066715F">
        <w:rPr>
          <w:rFonts w:ascii="Times New Roman" w:hAnsi="Times New Roman" w:cs="Times New Roman"/>
          <w:sz w:val="24"/>
          <w:szCs w:val="24"/>
        </w:rPr>
        <w:t xml:space="preserve">the four </w:t>
      </w:r>
      <w:r w:rsidR="00C84F23" w:rsidRPr="00DD44EF">
        <w:rPr>
          <w:rFonts w:ascii="Times New Roman" w:hAnsi="Times New Roman" w:cs="Times New Roman"/>
          <w:sz w:val="24"/>
          <w:szCs w:val="24"/>
        </w:rPr>
        <w:t>participating galleries</w:t>
      </w:r>
      <w:r w:rsidRPr="00DD44EF">
        <w:rPr>
          <w:rFonts w:ascii="Times New Roman" w:hAnsi="Times New Roman" w:cs="Times New Roman"/>
          <w:sz w:val="24"/>
          <w:szCs w:val="24"/>
        </w:rPr>
        <w:t xml:space="preserve"> were prepared. </w:t>
      </w:r>
      <w:r w:rsidR="00462CA4">
        <w:rPr>
          <w:rFonts w:ascii="Times New Roman" w:hAnsi="Times New Roman" w:cs="Times New Roman"/>
          <w:sz w:val="24"/>
          <w:szCs w:val="24"/>
        </w:rPr>
        <w:t xml:space="preserve">As part of a preliminary literature review, the principal investigator compiled an extensive list of aesthetic engagement by subjecting a wide array of critical sources on the theme to thematic analysis. At this point, it was deemed necessary to involve individuals with visual impairment in the process of refining the selection of criteria that would be used in attempts to capture and document their levels of aesthetic engagement in access initiatives with and without the application of Sight-Sim™ technology. </w:t>
      </w:r>
      <w:r w:rsidRPr="00DD44EF">
        <w:rPr>
          <w:rFonts w:ascii="Times New Roman" w:hAnsi="Times New Roman" w:cs="Times New Roman"/>
          <w:sz w:val="24"/>
          <w:szCs w:val="24"/>
        </w:rPr>
        <w:t xml:space="preserve">At a steering group meeting, at which a representative sample of the co-researchers with visual impairment was present, </w:t>
      </w:r>
      <w:r w:rsidRPr="003E7249">
        <w:rPr>
          <w:rFonts w:ascii="Times New Roman" w:hAnsi="Times New Roman" w:cs="Times New Roman"/>
          <w:sz w:val="24"/>
          <w:szCs w:val="24"/>
        </w:rPr>
        <w:t>agreement was reached on the ten indicators of aesthetic engagement that had most pertinence to their museum and gallery experiences.</w:t>
      </w:r>
      <w:r w:rsidRPr="00DD44EF">
        <w:rPr>
          <w:rFonts w:ascii="Times New Roman" w:hAnsi="Times New Roman" w:cs="Times New Roman"/>
          <w:sz w:val="24"/>
          <w:szCs w:val="24"/>
        </w:rPr>
        <w:t xml:space="preserve"> A corresponding questionnaire was then devised</w:t>
      </w:r>
      <w:r w:rsidR="000C5FE7" w:rsidRPr="00DD44EF">
        <w:rPr>
          <w:rFonts w:ascii="Times New Roman" w:hAnsi="Times New Roman" w:cs="Times New Roman"/>
          <w:sz w:val="24"/>
          <w:szCs w:val="24"/>
        </w:rPr>
        <w:t xml:space="preserve"> </w:t>
      </w:r>
      <w:r w:rsidR="00E0549C" w:rsidRPr="00E0549C">
        <w:rPr>
          <w:rFonts w:ascii="Times New Roman" w:hAnsi="Times New Roman" w:cs="Times New Roman"/>
          <w:sz w:val="24"/>
          <w:szCs w:val="24"/>
          <w:lang w:val="en-US"/>
        </w:rPr>
        <w:t>(</w:t>
      </w:r>
      <w:r w:rsidR="00E0549C">
        <w:rPr>
          <w:rFonts w:ascii="Times New Roman" w:hAnsi="Times New Roman" w:cs="Times New Roman"/>
          <w:sz w:val="24"/>
          <w:szCs w:val="24"/>
          <w:lang w:val="en-US"/>
        </w:rPr>
        <w:t xml:space="preserve">see Table 1 </w:t>
      </w:r>
      <w:r w:rsidR="000C5FE7" w:rsidRPr="00880CE9">
        <w:rPr>
          <w:rFonts w:ascii="Times New Roman" w:hAnsi="Times New Roman" w:cs="Times New Roman"/>
          <w:sz w:val="24"/>
          <w:szCs w:val="24"/>
        </w:rPr>
        <w:t>below)</w:t>
      </w:r>
      <w:r w:rsidR="00A70BF2">
        <w:rPr>
          <w:rFonts w:ascii="Times New Roman" w:hAnsi="Times New Roman" w:cs="Times New Roman"/>
          <w:sz w:val="24"/>
          <w:szCs w:val="24"/>
        </w:rPr>
        <w:t xml:space="preserve"> in order to yield responses from the forty co-investigators with visual impairment in relation to</w:t>
      </w:r>
      <w:r w:rsidRPr="00DD44EF">
        <w:rPr>
          <w:rFonts w:ascii="Times New Roman" w:hAnsi="Times New Roman" w:cs="Times New Roman"/>
          <w:sz w:val="24"/>
          <w:szCs w:val="24"/>
        </w:rPr>
        <w:t xml:space="preserve"> </w:t>
      </w:r>
      <w:r w:rsidRPr="00EE6B5B">
        <w:rPr>
          <w:rFonts w:ascii="Times New Roman" w:hAnsi="Times New Roman" w:cs="Times New Roman"/>
          <w:sz w:val="24"/>
          <w:szCs w:val="24"/>
        </w:rPr>
        <w:t>the degree to which these indicators were present when</w:t>
      </w:r>
      <w:r w:rsidR="000C5FE7" w:rsidRPr="00EE6B5B">
        <w:rPr>
          <w:rFonts w:ascii="Times New Roman" w:hAnsi="Times New Roman" w:cs="Times New Roman"/>
          <w:sz w:val="24"/>
          <w:szCs w:val="24"/>
        </w:rPr>
        <w:t xml:space="preserve"> access </w:t>
      </w:r>
      <w:r w:rsidR="000C5FE7" w:rsidRPr="00EE6B5B">
        <w:rPr>
          <w:rFonts w:ascii="Times New Roman" w:hAnsi="Times New Roman" w:cs="Times New Roman"/>
          <w:sz w:val="24"/>
          <w:szCs w:val="24"/>
        </w:rPr>
        <w:lastRenderedPageBreak/>
        <w:t>to particular paintings was structured around the perceptions of</w:t>
      </w:r>
      <w:r w:rsidRPr="00EE6B5B">
        <w:rPr>
          <w:rFonts w:ascii="Times New Roman" w:hAnsi="Times New Roman" w:cs="Times New Roman"/>
          <w:sz w:val="24"/>
          <w:szCs w:val="24"/>
        </w:rPr>
        <w:t xml:space="preserve"> individuals with visual impairment</w:t>
      </w:r>
      <w:r w:rsidR="000C5FE7" w:rsidRPr="00EE6B5B">
        <w:rPr>
          <w:rFonts w:ascii="Times New Roman" w:hAnsi="Times New Roman" w:cs="Times New Roman"/>
          <w:sz w:val="24"/>
          <w:szCs w:val="24"/>
        </w:rPr>
        <w:t>, and around the perceptions of fully sighted researchers or members of gallery access staff.</w:t>
      </w:r>
      <w:r w:rsidRPr="00DD44EF">
        <w:rPr>
          <w:rFonts w:ascii="Times New Roman" w:hAnsi="Times New Roman" w:cs="Times New Roman"/>
          <w:sz w:val="24"/>
          <w:szCs w:val="24"/>
        </w:rPr>
        <w:t xml:space="preserve"> </w:t>
      </w:r>
      <w:r w:rsidR="00270DF9" w:rsidRPr="00DD44EF">
        <w:rPr>
          <w:rFonts w:ascii="Times New Roman" w:hAnsi="Times New Roman" w:cs="Times New Roman"/>
          <w:sz w:val="24"/>
          <w:szCs w:val="24"/>
        </w:rPr>
        <w:t xml:space="preserve">Before the workshops began in earnest, orientation sessions were facilitated in each of the </w:t>
      </w:r>
      <w:r w:rsidR="00462CA4">
        <w:rPr>
          <w:rFonts w:ascii="Times New Roman" w:hAnsi="Times New Roman" w:cs="Times New Roman"/>
          <w:sz w:val="24"/>
          <w:szCs w:val="24"/>
        </w:rPr>
        <w:t xml:space="preserve">four </w:t>
      </w:r>
      <w:r w:rsidR="00270DF9" w:rsidRPr="00DD44EF">
        <w:rPr>
          <w:rFonts w:ascii="Times New Roman" w:hAnsi="Times New Roman" w:cs="Times New Roman"/>
          <w:sz w:val="24"/>
          <w:szCs w:val="24"/>
        </w:rPr>
        <w:t>galleries in which the research was to take place. The objective of these sessions, described in more detail below, was primarily to clarify the very specific and limited purposes to which simulation was being applied within the project.</w:t>
      </w:r>
    </w:p>
    <w:p w14:paraId="506AD875" w14:textId="77777777" w:rsidR="00270DF9" w:rsidRPr="00DD44EF" w:rsidRDefault="00270DF9" w:rsidP="00623558">
      <w:pPr>
        <w:spacing w:after="0" w:line="23" w:lineRule="atLeast"/>
        <w:jc w:val="both"/>
        <w:rPr>
          <w:rFonts w:ascii="Times New Roman" w:hAnsi="Times New Roman" w:cs="Times New Roman"/>
          <w:sz w:val="24"/>
          <w:szCs w:val="24"/>
        </w:rPr>
      </w:pPr>
    </w:p>
    <w:p w14:paraId="2DFED0C1" w14:textId="78E6C7B2" w:rsidR="00C84F23" w:rsidRPr="00DD44EF" w:rsidRDefault="00A51446"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During the workshops,</w:t>
      </w:r>
      <w:r w:rsidR="00267731">
        <w:rPr>
          <w:rFonts w:ascii="Times New Roman" w:hAnsi="Times New Roman" w:cs="Times New Roman"/>
          <w:sz w:val="24"/>
          <w:szCs w:val="24"/>
        </w:rPr>
        <w:t xml:space="preserve"> a number of pairs of</w:t>
      </w:r>
      <w:r w:rsidR="00C84F23" w:rsidRPr="00DD44EF">
        <w:rPr>
          <w:rFonts w:ascii="Times New Roman" w:hAnsi="Times New Roman" w:cs="Times New Roman"/>
          <w:sz w:val="24"/>
          <w:szCs w:val="24"/>
        </w:rPr>
        <w:t xml:space="preserve"> images were </w:t>
      </w:r>
      <w:r w:rsidR="00270DF9" w:rsidRPr="00DD44EF">
        <w:rPr>
          <w:rFonts w:ascii="Times New Roman" w:hAnsi="Times New Roman" w:cs="Times New Roman"/>
          <w:sz w:val="24"/>
          <w:szCs w:val="24"/>
        </w:rPr>
        <w:t>considered with each co-researcher</w:t>
      </w:r>
      <w:r w:rsidR="00C84F23" w:rsidRPr="00DD44EF">
        <w:rPr>
          <w:rFonts w:ascii="Times New Roman" w:hAnsi="Times New Roman" w:cs="Times New Roman"/>
          <w:sz w:val="24"/>
          <w:szCs w:val="24"/>
        </w:rPr>
        <w:t xml:space="preserve"> with visual impairment</w:t>
      </w:r>
      <w:r w:rsidR="00267731">
        <w:rPr>
          <w:rFonts w:ascii="Times New Roman" w:hAnsi="Times New Roman" w:cs="Times New Roman"/>
          <w:sz w:val="24"/>
          <w:szCs w:val="24"/>
        </w:rPr>
        <w:t xml:space="preserve">. </w:t>
      </w:r>
      <w:r w:rsidR="00267731" w:rsidRPr="0064075C">
        <w:rPr>
          <w:rFonts w:ascii="Times New Roman" w:hAnsi="Times New Roman" w:cs="Times New Roman"/>
          <w:sz w:val="24"/>
          <w:szCs w:val="24"/>
        </w:rPr>
        <w:t>Each pair consisted of</w:t>
      </w:r>
      <w:r w:rsidR="00C84F23" w:rsidRPr="0064075C">
        <w:rPr>
          <w:rFonts w:ascii="Times New Roman" w:hAnsi="Times New Roman" w:cs="Times New Roman"/>
          <w:sz w:val="24"/>
          <w:szCs w:val="24"/>
        </w:rPr>
        <w:t>: 1) an image in its original form 2) an image, painted in a similar style, after it had been filtered through the visual acuity and contrast</w:t>
      </w:r>
      <w:r w:rsidR="00F55C8F" w:rsidRPr="0064075C">
        <w:rPr>
          <w:rFonts w:ascii="Times New Roman" w:hAnsi="Times New Roman" w:cs="Times New Roman"/>
          <w:sz w:val="24"/>
          <w:szCs w:val="24"/>
        </w:rPr>
        <w:t xml:space="preserve"> sensitivity of the participant</w:t>
      </w:r>
      <w:r w:rsidR="00C84F23" w:rsidRPr="0064075C">
        <w:rPr>
          <w:rFonts w:ascii="Times New Roman" w:hAnsi="Times New Roman" w:cs="Times New Roman"/>
          <w:sz w:val="24"/>
          <w:szCs w:val="24"/>
        </w:rPr>
        <w:t xml:space="preserve">. </w:t>
      </w:r>
      <w:r w:rsidR="00270DF9" w:rsidRPr="00EE6B5B">
        <w:rPr>
          <w:rFonts w:ascii="Times New Roman" w:hAnsi="Times New Roman" w:cs="Times New Roman"/>
          <w:sz w:val="24"/>
          <w:szCs w:val="24"/>
        </w:rPr>
        <w:t>Engagement levels in the same image before and after the simulation process was not</w:t>
      </w:r>
      <w:r w:rsidRPr="00EE6B5B">
        <w:rPr>
          <w:rFonts w:ascii="Times New Roman" w:hAnsi="Times New Roman" w:cs="Times New Roman"/>
          <w:sz w:val="24"/>
          <w:szCs w:val="24"/>
        </w:rPr>
        <w:t xml:space="preserve"> evaluated as consensus among the</w:t>
      </w:r>
      <w:r w:rsidR="00270DF9" w:rsidRPr="00EE6B5B">
        <w:rPr>
          <w:rFonts w:ascii="Times New Roman" w:hAnsi="Times New Roman" w:cs="Times New Roman"/>
          <w:sz w:val="24"/>
          <w:szCs w:val="24"/>
        </w:rPr>
        <w:t xml:space="preserve"> group </w:t>
      </w:r>
      <w:r w:rsidRPr="00EE6B5B">
        <w:rPr>
          <w:rFonts w:ascii="Times New Roman" w:hAnsi="Times New Roman" w:cs="Times New Roman"/>
          <w:sz w:val="24"/>
          <w:szCs w:val="24"/>
        </w:rPr>
        <w:t xml:space="preserve">was </w:t>
      </w:r>
      <w:r w:rsidR="00270DF9" w:rsidRPr="00EE6B5B">
        <w:rPr>
          <w:rFonts w:ascii="Times New Roman" w:hAnsi="Times New Roman" w:cs="Times New Roman"/>
          <w:sz w:val="24"/>
          <w:szCs w:val="24"/>
        </w:rPr>
        <w:t>that initial engagement in a painting would influence subsequent engagement in it, however much the form of the painting had been modified in the course of the simulation process.</w:t>
      </w:r>
      <w:r w:rsidR="00270DF9" w:rsidRPr="00DD44EF">
        <w:rPr>
          <w:rFonts w:ascii="Times New Roman" w:hAnsi="Times New Roman" w:cs="Times New Roman"/>
          <w:sz w:val="24"/>
          <w:szCs w:val="24"/>
        </w:rPr>
        <w:t xml:space="preserve"> </w:t>
      </w:r>
      <w:r w:rsidR="00C84F23" w:rsidRPr="00DD44EF">
        <w:rPr>
          <w:rFonts w:ascii="Times New Roman" w:hAnsi="Times New Roman" w:cs="Times New Roman"/>
          <w:sz w:val="24"/>
          <w:szCs w:val="24"/>
        </w:rPr>
        <w:t>Th</w:t>
      </w:r>
      <w:r w:rsidRPr="00DD44EF">
        <w:rPr>
          <w:rFonts w:ascii="Times New Roman" w:hAnsi="Times New Roman" w:cs="Times New Roman"/>
          <w:sz w:val="24"/>
          <w:szCs w:val="24"/>
        </w:rPr>
        <w:t>e means by which engagement in</w:t>
      </w:r>
      <w:r w:rsidR="00C84F23" w:rsidRPr="00DD44EF">
        <w:rPr>
          <w:rFonts w:ascii="Times New Roman" w:hAnsi="Times New Roman" w:cs="Times New Roman"/>
          <w:sz w:val="24"/>
          <w:szCs w:val="24"/>
        </w:rPr>
        <w:t xml:space="preserve"> the paintings under rev</w:t>
      </w:r>
      <w:r w:rsidRPr="00DD44EF">
        <w:rPr>
          <w:rFonts w:ascii="Times New Roman" w:hAnsi="Times New Roman" w:cs="Times New Roman"/>
          <w:sz w:val="24"/>
          <w:szCs w:val="24"/>
        </w:rPr>
        <w:t>iew was facilitated</w:t>
      </w:r>
      <w:r w:rsidR="00C84F23" w:rsidRPr="00DD44EF">
        <w:rPr>
          <w:rFonts w:ascii="Times New Roman" w:hAnsi="Times New Roman" w:cs="Times New Roman"/>
          <w:sz w:val="24"/>
          <w:szCs w:val="24"/>
        </w:rPr>
        <w:t xml:space="preserve"> differed significantly for each of the images within each pair. In the case of the unfiltered image, a pre-prepared description of the image as perceived by the fully sighted access facilitator was relayed to an individual with visual impairment. Although they were invited to interrupt the description with questio</w:t>
      </w:r>
      <w:r w:rsidRPr="00DD44EF">
        <w:rPr>
          <w:rFonts w:ascii="Times New Roman" w:hAnsi="Times New Roman" w:cs="Times New Roman"/>
          <w:sz w:val="24"/>
          <w:szCs w:val="24"/>
        </w:rPr>
        <w:t>ns or observations, individuals</w:t>
      </w:r>
      <w:r w:rsidR="00C84F23" w:rsidRPr="00DD44EF">
        <w:rPr>
          <w:rFonts w:ascii="Times New Roman" w:hAnsi="Times New Roman" w:cs="Times New Roman"/>
          <w:sz w:val="24"/>
          <w:szCs w:val="24"/>
        </w:rPr>
        <w:t xml:space="preserve"> with visual impairment remained largely silent during this transmission as they concentrated on the information that was being relayed to them. In the case of the</w:t>
      </w:r>
      <w:r w:rsidRPr="00DD44EF">
        <w:rPr>
          <w:rFonts w:ascii="Times New Roman" w:hAnsi="Times New Roman" w:cs="Times New Roman"/>
          <w:sz w:val="24"/>
          <w:szCs w:val="24"/>
        </w:rPr>
        <w:t xml:space="preserve"> filtered image, the process tended to be</w:t>
      </w:r>
      <w:r w:rsidR="00C84F23" w:rsidRPr="00DD44EF">
        <w:rPr>
          <w:rFonts w:ascii="Times New Roman" w:hAnsi="Times New Roman" w:cs="Times New Roman"/>
          <w:sz w:val="24"/>
          <w:szCs w:val="24"/>
        </w:rPr>
        <w:t xml:space="preserve"> </w:t>
      </w:r>
      <w:r w:rsidRPr="00DD44EF">
        <w:rPr>
          <w:rFonts w:ascii="Times New Roman" w:hAnsi="Times New Roman" w:cs="Times New Roman"/>
          <w:sz w:val="24"/>
          <w:szCs w:val="24"/>
        </w:rPr>
        <w:t>far more dialogical. The individual</w:t>
      </w:r>
      <w:r w:rsidR="00C84F23" w:rsidRPr="00DD44EF">
        <w:rPr>
          <w:rFonts w:ascii="Times New Roman" w:hAnsi="Times New Roman" w:cs="Times New Roman"/>
          <w:sz w:val="24"/>
          <w:szCs w:val="24"/>
        </w:rPr>
        <w:t xml:space="preserve"> with visual impairment was asked to look at the image in its original form, while the researcher/access professional looked at the degraded image. These exchanges were not heavily structured in advance, but tended to take the form of the participant with visual impairment informing the researcher/access professional about what he/she perceived, while the researcher/access professional observed the degraded image, asked questions, and commented on ways in which the description provided by the visitor with visual impairment tallied with the image at which he/she was looking. The researcher/access professional then relayed what he/she perceived when looking at the image in its ori</w:t>
      </w:r>
      <w:r w:rsidRPr="00DD44EF">
        <w:rPr>
          <w:rFonts w:ascii="Times New Roman" w:hAnsi="Times New Roman" w:cs="Times New Roman"/>
          <w:sz w:val="24"/>
          <w:szCs w:val="24"/>
        </w:rPr>
        <w:t xml:space="preserve">ginal form, </w:t>
      </w:r>
      <w:r w:rsidR="00C84F23" w:rsidRPr="00DD44EF">
        <w:rPr>
          <w:rFonts w:ascii="Times New Roman" w:hAnsi="Times New Roman" w:cs="Times New Roman"/>
          <w:sz w:val="24"/>
          <w:szCs w:val="24"/>
        </w:rPr>
        <w:t>and a composite appreciation of the painting would emerge as part of an experiential exchange</w:t>
      </w:r>
      <w:r w:rsidR="0086398D" w:rsidRPr="00DD44EF">
        <w:rPr>
          <w:rFonts w:ascii="Times New Roman" w:hAnsi="Times New Roman" w:cs="Times New Roman"/>
          <w:sz w:val="24"/>
          <w:szCs w:val="24"/>
        </w:rPr>
        <w:t>,</w:t>
      </w:r>
      <w:r w:rsidR="00C84F23" w:rsidRPr="00DD44EF">
        <w:rPr>
          <w:rFonts w:ascii="Times New Roman" w:hAnsi="Times New Roman" w:cs="Times New Roman"/>
          <w:sz w:val="24"/>
          <w:szCs w:val="24"/>
        </w:rPr>
        <w:t xml:space="preserve"> which proved equally engaging</w:t>
      </w:r>
      <w:r w:rsidRPr="00DD44EF">
        <w:rPr>
          <w:rFonts w:ascii="Times New Roman" w:hAnsi="Times New Roman" w:cs="Times New Roman"/>
          <w:sz w:val="24"/>
          <w:szCs w:val="24"/>
        </w:rPr>
        <w:t xml:space="preserve"> and informative</w:t>
      </w:r>
      <w:r w:rsidR="00C84F23" w:rsidRPr="00DD44EF">
        <w:rPr>
          <w:rFonts w:ascii="Times New Roman" w:hAnsi="Times New Roman" w:cs="Times New Roman"/>
          <w:sz w:val="24"/>
          <w:szCs w:val="24"/>
        </w:rPr>
        <w:t xml:space="preserve"> for both parties.</w:t>
      </w:r>
    </w:p>
    <w:p w14:paraId="239B4432" w14:textId="77777777" w:rsidR="0086398D" w:rsidRPr="00DD44EF" w:rsidRDefault="0086398D" w:rsidP="00623558">
      <w:pPr>
        <w:spacing w:after="0" w:line="23" w:lineRule="atLeast"/>
        <w:jc w:val="both"/>
        <w:rPr>
          <w:rFonts w:ascii="Times New Roman" w:hAnsi="Times New Roman" w:cs="Times New Roman"/>
          <w:b/>
          <w:sz w:val="24"/>
          <w:szCs w:val="24"/>
        </w:rPr>
      </w:pPr>
    </w:p>
    <w:p w14:paraId="169401F7" w14:textId="77777777" w:rsidR="00E5009F" w:rsidRPr="00DD44EF" w:rsidRDefault="00A51446" w:rsidP="00465512">
      <w:pPr>
        <w:spacing w:after="120"/>
        <w:jc w:val="both"/>
        <w:rPr>
          <w:rFonts w:ascii="Times New Roman" w:hAnsi="Times New Roman" w:cs="Times New Roman"/>
          <w:b/>
          <w:sz w:val="24"/>
          <w:szCs w:val="24"/>
        </w:rPr>
      </w:pPr>
      <w:r w:rsidRPr="00DD44EF">
        <w:rPr>
          <w:rFonts w:ascii="Times New Roman" w:hAnsi="Times New Roman" w:cs="Times New Roman"/>
          <w:b/>
          <w:sz w:val="24"/>
          <w:szCs w:val="24"/>
        </w:rPr>
        <w:t>Initial briefing on the</w:t>
      </w:r>
      <w:r w:rsidR="009166D0" w:rsidRPr="00DD44EF">
        <w:rPr>
          <w:rFonts w:ascii="Times New Roman" w:hAnsi="Times New Roman" w:cs="Times New Roman"/>
          <w:b/>
          <w:sz w:val="24"/>
          <w:szCs w:val="24"/>
        </w:rPr>
        <w:t xml:space="preserve"> limitations of disability simulation</w:t>
      </w:r>
    </w:p>
    <w:p w14:paraId="471C255D" w14:textId="77777777" w:rsidR="00E5009F" w:rsidRPr="00DD44EF" w:rsidRDefault="00CB13B4"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In orde</w:t>
      </w:r>
      <w:r w:rsidR="008A642B" w:rsidRPr="00DD44EF">
        <w:rPr>
          <w:rFonts w:ascii="Times New Roman" w:hAnsi="Times New Roman" w:cs="Times New Roman"/>
          <w:sz w:val="24"/>
          <w:szCs w:val="24"/>
        </w:rPr>
        <w:t>r to avoid aligning our undertaking</w:t>
      </w:r>
      <w:r w:rsidRPr="00DD44EF">
        <w:rPr>
          <w:rFonts w:ascii="Times New Roman" w:hAnsi="Times New Roman" w:cs="Times New Roman"/>
          <w:sz w:val="24"/>
          <w:szCs w:val="24"/>
        </w:rPr>
        <w:t xml:space="preserve"> with the claims of traditional apologists for disability simulation, each of our workshops was prefaced by an orientation briefing for all participants (gallery visitors with visual impairments and fully sighted access staff). These briefings drew attention to the</w:t>
      </w:r>
      <w:r w:rsidR="00354401" w:rsidRPr="00DD44EF">
        <w:rPr>
          <w:rFonts w:ascii="Times New Roman" w:hAnsi="Times New Roman" w:cs="Times New Roman"/>
          <w:sz w:val="24"/>
          <w:szCs w:val="24"/>
        </w:rPr>
        <w:t xml:space="preserve"> considerable and varied</w:t>
      </w:r>
      <w:r w:rsidRPr="00DD44EF">
        <w:rPr>
          <w:rFonts w:ascii="Times New Roman" w:hAnsi="Times New Roman" w:cs="Times New Roman"/>
          <w:sz w:val="24"/>
          <w:szCs w:val="24"/>
        </w:rPr>
        <w:t xml:space="preserve"> limitations of simulation, and clearly outlined the modest and very specific objectives of the research project.</w:t>
      </w:r>
      <w:r w:rsidR="00354401" w:rsidRPr="00DD44EF">
        <w:rPr>
          <w:rFonts w:ascii="Times New Roman" w:hAnsi="Times New Roman" w:cs="Times New Roman"/>
          <w:sz w:val="24"/>
          <w:szCs w:val="24"/>
        </w:rPr>
        <w:t xml:space="preserve"> This step was in keeping with the recommendations of</w:t>
      </w:r>
      <w:r w:rsidR="00F449C4" w:rsidRPr="00DD44EF">
        <w:rPr>
          <w:rFonts w:ascii="Times New Roman" w:hAnsi="Times New Roman" w:cs="Times New Roman"/>
          <w:sz w:val="24"/>
          <w:szCs w:val="24"/>
        </w:rPr>
        <w:t xml:space="preserve"> number of authors (see, for example, </w:t>
      </w:r>
      <w:r w:rsidR="00EE726C" w:rsidRPr="00DD44EF">
        <w:rPr>
          <w:rFonts w:ascii="Times New Roman" w:hAnsi="Times New Roman" w:cs="Times New Roman"/>
          <w:sz w:val="24"/>
          <w:szCs w:val="24"/>
        </w:rPr>
        <w:t>Chard 1997; Grayson &amp; Marini</w:t>
      </w:r>
      <w:r w:rsidR="00F449C4" w:rsidRPr="00DD44EF">
        <w:rPr>
          <w:rFonts w:ascii="Times New Roman" w:hAnsi="Times New Roman" w:cs="Times New Roman"/>
          <w:sz w:val="24"/>
          <w:szCs w:val="24"/>
        </w:rPr>
        <w:t xml:space="preserve"> 19</w:t>
      </w:r>
      <w:r w:rsidR="00EE726C" w:rsidRPr="00DD44EF">
        <w:rPr>
          <w:rFonts w:ascii="Times New Roman" w:hAnsi="Times New Roman" w:cs="Times New Roman"/>
          <w:sz w:val="24"/>
          <w:szCs w:val="24"/>
        </w:rPr>
        <w:t xml:space="preserve">96; </w:t>
      </w:r>
      <w:r w:rsidR="00465512" w:rsidRPr="00DD44EF">
        <w:rPr>
          <w:rFonts w:ascii="Times New Roman" w:hAnsi="Times New Roman" w:cs="Times New Roman"/>
          <w:sz w:val="24"/>
          <w:szCs w:val="24"/>
        </w:rPr>
        <w:t xml:space="preserve">Herbert 2000; </w:t>
      </w:r>
      <w:r w:rsidR="00EE726C" w:rsidRPr="00DD44EF">
        <w:rPr>
          <w:rFonts w:ascii="Times New Roman" w:hAnsi="Times New Roman" w:cs="Times New Roman"/>
          <w:sz w:val="24"/>
          <w:szCs w:val="24"/>
        </w:rPr>
        <w:t>Wright</w:t>
      </w:r>
      <w:r w:rsidR="00F449C4" w:rsidRPr="00DD44EF">
        <w:rPr>
          <w:rFonts w:ascii="Times New Roman" w:hAnsi="Times New Roman" w:cs="Times New Roman"/>
          <w:sz w:val="24"/>
          <w:szCs w:val="24"/>
        </w:rPr>
        <w:t xml:space="preserve"> 1980)</w:t>
      </w:r>
      <w:r w:rsidR="00354401" w:rsidRPr="00DD44EF">
        <w:rPr>
          <w:rFonts w:ascii="Times New Roman" w:hAnsi="Times New Roman" w:cs="Times New Roman"/>
          <w:sz w:val="24"/>
          <w:szCs w:val="24"/>
        </w:rPr>
        <w:t>, who</w:t>
      </w:r>
      <w:r w:rsidR="00F449C4" w:rsidRPr="00DD44EF">
        <w:rPr>
          <w:rFonts w:ascii="Times New Roman" w:hAnsi="Times New Roman" w:cs="Times New Roman"/>
          <w:sz w:val="24"/>
          <w:szCs w:val="24"/>
        </w:rPr>
        <w:t xml:space="preserve"> have advocated the importance of orienting learners to the experience of simulation by facilitating critical consideration of the objectives underpinning its application. </w:t>
      </w:r>
      <w:r w:rsidR="008A642B" w:rsidRPr="00DD44EF">
        <w:rPr>
          <w:rFonts w:ascii="Times New Roman" w:hAnsi="Times New Roman" w:cs="Times New Roman"/>
          <w:sz w:val="24"/>
          <w:szCs w:val="24"/>
        </w:rPr>
        <w:t>At these initial briefings, we explicitly distanced our research from the merits historically attributed to disability simulation.</w:t>
      </w:r>
    </w:p>
    <w:p w14:paraId="1DD24950" w14:textId="77777777" w:rsidR="00E8037A" w:rsidRPr="00DD44EF" w:rsidRDefault="00E8037A" w:rsidP="00623558">
      <w:pPr>
        <w:spacing w:after="0" w:line="23" w:lineRule="atLeast"/>
        <w:jc w:val="both"/>
        <w:rPr>
          <w:rFonts w:ascii="Times New Roman" w:hAnsi="Times New Roman" w:cs="Times New Roman"/>
          <w:sz w:val="24"/>
          <w:szCs w:val="24"/>
        </w:rPr>
      </w:pPr>
    </w:p>
    <w:p w14:paraId="27534473" w14:textId="77777777" w:rsidR="00874BCD" w:rsidRPr="006D3F42" w:rsidRDefault="00874BCD" w:rsidP="0032489C">
      <w:pPr>
        <w:spacing w:after="120" w:line="23" w:lineRule="atLeast"/>
        <w:jc w:val="both"/>
        <w:rPr>
          <w:rFonts w:ascii="Times New Roman" w:hAnsi="Times New Roman" w:cs="Times New Roman"/>
          <w:b/>
          <w:i/>
          <w:sz w:val="24"/>
          <w:szCs w:val="24"/>
        </w:rPr>
      </w:pPr>
      <w:r w:rsidRPr="006D3F42">
        <w:rPr>
          <w:rFonts w:ascii="Times New Roman" w:hAnsi="Times New Roman" w:cs="Times New Roman"/>
          <w:b/>
          <w:i/>
          <w:sz w:val="24"/>
          <w:szCs w:val="24"/>
        </w:rPr>
        <w:t>Attitudinal change</w:t>
      </w:r>
    </w:p>
    <w:p w14:paraId="4075C712" w14:textId="77777777" w:rsidR="00922611" w:rsidRPr="00DD44EF" w:rsidRDefault="00E8037A"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lastRenderedPageBreak/>
        <w:t xml:space="preserve">As outlined above, for example, a very significant component of existing criticism of disability simulation relates to its widespread failure to fulfil its avowed aim of facilitating an enhancement of attitudes towards disability among non-disabled individuals. </w:t>
      </w:r>
      <w:r w:rsidR="00AF07CA" w:rsidRPr="00DD44EF">
        <w:rPr>
          <w:rFonts w:ascii="Times New Roman" w:hAnsi="Times New Roman" w:cs="Times New Roman"/>
          <w:sz w:val="24"/>
          <w:szCs w:val="24"/>
        </w:rPr>
        <w:t>In advance of the wor</w:t>
      </w:r>
      <w:r w:rsidR="00267731">
        <w:rPr>
          <w:rFonts w:ascii="Times New Roman" w:hAnsi="Times New Roman" w:cs="Times New Roman"/>
          <w:sz w:val="24"/>
          <w:szCs w:val="24"/>
        </w:rPr>
        <w:t>kshops, it was made clear to all</w:t>
      </w:r>
      <w:r w:rsidR="00AF07CA" w:rsidRPr="00DD44EF">
        <w:rPr>
          <w:rFonts w:ascii="Times New Roman" w:hAnsi="Times New Roman" w:cs="Times New Roman"/>
          <w:sz w:val="24"/>
          <w:szCs w:val="24"/>
        </w:rPr>
        <w:t xml:space="preserve"> participants that a</w:t>
      </w:r>
      <w:r w:rsidRPr="00DD44EF">
        <w:rPr>
          <w:rFonts w:ascii="Times New Roman" w:hAnsi="Times New Roman" w:cs="Times New Roman"/>
          <w:sz w:val="24"/>
          <w:szCs w:val="24"/>
        </w:rPr>
        <w:t>ttitudinal enhan</w:t>
      </w:r>
      <w:r w:rsidR="00AF07CA" w:rsidRPr="00DD44EF">
        <w:rPr>
          <w:rFonts w:ascii="Times New Roman" w:hAnsi="Times New Roman" w:cs="Times New Roman"/>
          <w:sz w:val="24"/>
          <w:szCs w:val="24"/>
        </w:rPr>
        <w:t>cement was not an objective of our</w:t>
      </w:r>
      <w:r w:rsidRPr="00DD44EF">
        <w:rPr>
          <w:rFonts w:ascii="Times New Roman" w:hAnsi="Times New Roman" w:cs="Times New Roman"/>
          <w:sz w:val="24"/>
          <w:szCs w:val="24"/>
        </w:rPr>
        <w:t xml:space="preserve"> </w:t>
      </w:r>
      <w:r w:rsidR="00AF07CA" w:rsidRPr="00DD44EF">
        <w:rPr>
          <w:rFonts w:ascii="Times New Roman" w:hAnsi="Times New Roman" w:cs="Times New Roman"/>
          <w:sz w:val="24"/>
          <w:szCs w:val="24"/>
        </w:rPr>
        <w:t xml:space="preserve">particular </w:t>
      </w:r>
      <w:r w:rsidRPr="00DD44EF">
        <w:rPr>
          <w:rFonts w:ascii="Times New Roman" w:hAnsi="Times New Roman" w:cs="Times New Roman"/>
          <w:sz w:val="24"/>
          <w:szCs w:val="24"/>
        </w:rPr>
        <w:t>application of</w:t>
      </w:r>
      <w:r w:rsidR="00AF07CA" w:rsidRPr="00DD44EF">
        <w:rPr>
          <w:rFonts w:ascii="Times New Roman" w:hAnsi="Times New Roman" w:cs="Times New Roman"/>
          <w:sz w:val="24"/>
          <w:szCs w:val="24"/>
        </w:rPr>
        <w:t xml:space="preserve"> simulation</w:t>
      </w:r>
      <w:r w:rsidRPr="00DD44EF">
        <w:rPr>
          <w:rFonts w:ascii="Times New Roman" w:hAnsi="Times New Roman" w:cs="Times New Roman"/>
          <w:sz w:val="24"/>
          <w:szCs w:val="24"/>
        </w:rPr>
        <w:t>. The fully sighted people involved in the simulation sessions were gallery access professionals. Although levels of knowledge about visual impairment appeared to vary among this group, t</w:t>
      </w:r>
      <w:r w:rsidR="00874BCD" w:rsidRPr="00DD44EF">
        <w:rPr>
          <w:rFonts w:ascii="Times New Roman" w:hAnsi="Times New Roman" w:cs="Times New Roman"/>
          <w:sz w:val="24"/>
          <w:szCs w:val="24"/>
        </w:rPr>
        <w:t>hey shared a resolve to facilitate meaningful and enjoyable experiences for the</w:t>
      </w:r>
      <w:r w:rsidRPr="00DD44EF">
        <w:rPr>
          <w:rFonts w:ascii="Times New Roman" w:hAnsi="Times New Roman" w:cs="Times New Roman"/>
          <w:sz w:val="24"/>
          <w:szCs w:val="24"/>
        </w:rPr>
        <w:t xml:space="preserve"> individuals with visual impairment who frequented their institutions. </w:t>
      </w:r>
      <w:r w:rsidR="00354401" w:rsidRPr="00DD44EF">
        <w:rPr>
          <w:rFonts w:ascii="Times New Roman" w:hAnsi="Times New Roman" w:cs="Times New Roman"/>
          <w:sz w:val="24"/>
          <w:szCs w:val="24"/>
        </w:rPr>
        <w:t xml:space="preserve">Although the attitudes of these staff members towards people with visual impairment was not </w:t>
      </w:r>
      <w:r w:rsidR="00874BCD" w:rsidRPr="00DD44EF">
        <w:rPr>
          <w:rFonts w:ascii="Times New Roman" w:hAnsi="Times New Roman" w:cs="Times New Roman"/>
          <w:sz w:val="24"/>
          <w:szCs w:val="24"/>
        </w:rPr>
        <w:t>formally evaluated</w:t>
      </w:r>
      <w:r w:rsidR="00354401" w:rsidRPr="00DD44EF">
        <w:rPr>
          <w:rFonts w:ascii="Times New Roman" w:hAnsi="Times New Roman" w:cs="Times New Roman"/>
          <w:sz w:val="24"/>
          <w:szCs w:val="24"/>
        </w:rPr>
        <w:t xml:space="preserve">, nothing about their contribution to the project betrayed a disposition towards impairment that was anything but positive. </w:t>
      </w:r>
      <w:r w:rsidR="00922611" w:rsidRPr="00DD44EF">
        <w:rPr>
          <w:rFonts w:ascii="Times New Roman" w:hAnsi="Times New Roman" w:cs="Times New Roman"/>
          <w:sz w:val="24"/>
          <w:szCs w:val="24"/>
        </w:rPr>
        <w:t>In any case, attitudinal change was not an objective of the project and so criticisms of this failing of disability simulation are deemed to have little bearing on the research described here.</w:t>
      </w:r>
    </w:p>
    <w:p w14:paraId="0162C879" w14:textId="77777777" w:rsidR="00E8037A" w:rsidRPr="00DD44EF" w:rsidRDefault="00E8037A" w:rsidP="00623558">
      <w:pPr>
        <w:spacing w:after="0" w:line="23" w:lineRule="atLeast"/>
        <w:jc w:val="both"/>
        <w:rPr>
          <w:rFonts w:ascii="Times New Roman" w:hAnsi="Times New Roman" w:cs="Times New Roman"/>
          <w:b/>
          <w:sz w:val="24"/>
          <w:szCs w:val="24"/>
        </w:rPr>
      </w:pPr>
    </w:p>
    <w:p w14:paraId="45B16FA5" w14:textId="77777777" w:rsidR="00922611" w:rsidRPr="006D3F42" w:rsidRDefault="00874BCD" w:rsidP="000A05E3">
      <w:pPr>
        <w:spacing w:after="120"/>
        <w:jc w:val="both"/>
        <w:rPr>
          <w:rFonts w:ascii="Times New Roman" w:hAnsi="Times New Roman" w:cs="Times New Roman"/>
          <w:b/>
          <w:i/>
          <w:sz w:val="24"/>
          <w:szCs w:val="24"/>
        </w:rPr>
      </w:pPr>
      <w:r w:rsidRPr="006D3F42">
        <w:rPr>
          <w:rFonts w:ascii="Times New Roman" w:hAnsi="Times New Roman" w:cs="Times New Roman"/>
          <w:b/>
          <w:i/>
          <w:sz w:val="24"/>
          <w:szCs w:val="24"/>
        </w:rPr>
        <w:t>Simulation in isolation</w:t>
      </w:r>
    </w:p>
    <w:p w14:paraId="4314F4CB" w14:textId="77777777" w:rsidR="00874BCD" w:rsidRPr="00DD44EF" w:rsidRDefault="0086398D" w:rsidP="00623558">
      <w:pPr>
        <w:spacing w:after="0" w:line="23" w:lineRule="atLeast"/>
        <w:jc w:val="both"/>
        <w:rPr>
          <w:rFonts w:ascii="Times New Roman" w:hAnsi="Times New Roman" w:cs="Times New Roman"/>
          <w:b/>
          <w:sz w:val="24"/>
          <w:szCs w:val="24"/>
        </w:rPr>
      </w:pPr>
      <w:r w:rsidRPr="00DD44EF">
        <w:rPr>
          <w:rFonts w:ascii="Times New Roman" w:hAnsi="Times New Roman" w:cs="Times New Roman"/>
          <w:sz w:val="24"/>
          <w:szCs w:val="24"/>
        </w:rPr>
        <w:t xml:space="preserve">Herbert </w:t>
      </w:r>
      <w:r w:rsidR="00E8037A" w:rsidRPr="00DD44EF">
        <w:rPr>
          <w:rFonts w:ascii="Times New Roman" w:hAnsi="Times New Roman" w:cs="Times New Roman"/>
          <w:sz w:val="24"/>
          <w:szCs w:val="24"/>
        </w:rPr>
        <w:t>outlines a number of issues that need to be considered in the course of deciding whether or not disability simulation might be usefully undertaken. Foremost amongst Herbert’s recommendation</w:t>
      </w:r>
      <w:r w:rsidR="00922611" w:rsidRPr="00DD44EF">
        <w:rPr>
          <w:rFonts w:ascii="Times New Roman" w:hAnsi="Times New Roman" w:cs="Times New Roman"/>
          <w:sz w:val="24"/>
          <w:szCs w:val="24"/>
        </w:rPr>
        <w:t>s</w:t>
      </w:r>
      <w:r w:rsidR="00E8037A" w:rsidRPr="00DD44EF">
        <w:rPr>
          <w:rFonts w:ascii="Times New Roman" w:hAnsi="Times New Roman" w:cs="Times New Roman"/>
          <w:sz w:val="24"/>
          <w:szCs w:val="24"/>
        </w:rPr>
        <w:t xml:space="preserve"> is the supplementation of simulation exercises with other means of </w:t>
      </w:r>
      <w:r w:rsidRPr="00DD44EF">
        <w:rPr>
          <w:rFonts w:ascii="Times New Roman" w:hAnsi="Times New Roman" w:cs="Times New Roman"/>
          <w:sz w:val="24"/>
          <w:szCs w:val="24"/>
        </w:rPr>
        <w:t>promoting positive attitudes (Herbert</w:t>
      </w:r>
      <w:r w:rsidR="00507585" w:rsidRPr="00507585">
        <w:rPr>
          <w:rFonts w:ascii="Times New Roman" w:hAnsi="Times New Roman" w:cs="Times New Roman"/>
          <w:sz w:val="24"/>
          <w:szCs w:val="24"/>
          <w:lang w:val="en-US"/>
        </w:rPr>
        <w:t>,</w:t>
      </w:r>
      <w:r w:rsidRPr="00DD44EF">
        <w:rPr>
          <w:rFonts w:ascii="Times New Roman" w:hAnsi="Times New Roman" w:cs="Times New Roman"/>
          <w:sz w:val="24"/>
          <w:szCs w:val="24"/>
        </w:rPr>
        <w:t xml:space="preserve"> 2000: </w:t>
      </w:r>
      <w:r w:rsidR="00E8037A" w:rsidRPr="00DD44EF">
        <w:rPr>
          <w:rFonts w:ascii="Times New Roman" w:hAnsi="Times New Roman" w:cs="Times New Roman"/>
          <w:sz w:val="24"/>
          <w:szCs w:val="24"/>
        </w:rPr>
        <w:t>6). This recommendation is informed by the findings of numerous studies (see, for example, Pernice &amp; Lys 1996; Pfeiffer 1989; Schwartzwald 1981; Wurst &amp; Wolford 1994) indicating that the effectiveness of disability simulation is optimized when simulation is not used in exclusion from othe</w:t>
      </w:r>
      <w:r w:rsidR="00354401" w:rsidRPr="00DD44EF">
        <w:rPr>
          <w:rFonts w:ascii="Times New Roman" w:hAnsi="Times New Roman" w:cs="Times New Roman"/>
          <w:sz w:val="24"/>
          <w:szCs w:val="24"/>
        </w:rPr>
        <w:t>r means of disability awareness-</w:t>
      </w:r>
      <w:r w:rsidR="00E8037A" w:rsidRPr="00DD44EF">
        <w:rPr>
          <w:rFonts w:ascii="Times New Roman" w:hAnsi="Times New Roman" w:cs="Times New Roman"/>
          <w:sz w:val="24"/>
          <w:szCs w:val="24"/>
        </w:rPr>
        <w:t xml:space="preserve">raising. </w:t>
      </w:r>
      <w:r w:rsidR="00AF07CA" w:rsidRPr="00DD44EF">
        <w:rPr>
          <w:rFonts w:ascii="Times New Roman" w:hAnsi="Times New Roman" w:cs="Times New Roman"/>
          <w:sz w:val="24"/>
          <w:szCs w:val="24"/>
        </w:rPr>
        <w:t>This was explained to all participants during the orientation sessions, and in our case</w:t>
      </w:r>
      <w:r w:rsidR="00E8037A" w:rsidRPr="00DD44EF">
        <w:rPr>
          <w:rFonts w:ascii="Times New Roman" w:hAnsi="Times New Roman" w:cs="Times New Roman"/>
          <w:sz w:val="24"/>
          <w:szCs w:val="24"/>
        </w:rPr>
        <w:t>, the facilitation of discussion sessions joi</w:t>
      </w:r>
      <w:r w:rsidR="00922611" w:rsidRPr="00DD44EF">
        <w:rPr>
          <w:rFonts w:ascii="Times New Roman" w:hAnsi="Times New Roman" w:cs="Times New Roman"/>
          <w:sz w:val="24"/>
          <w:szCs w:val="24"/>
        </w:rPr>
        <w:t xml:space="preserve">ntly-led by co-researchers </w:t>
      </w:r>
      <w:r w:rsidR="00E8037A" w:rsidRPr="00DD44EF">
        <w:rPr>
          <w:rFonts w:ascii="Times New Roman" w:hAnsi="Times New Roman" w:cs="Times New Roman"/>
          <w:sz w:val="24"/>
          <w:szCs w:val="24"/>
        </w:rPr>
        <w:t>with</w:t>
      </w:r>
      <w:r w:rsidR="00922611" w:rsidRPr="00DD44EF">
        <w:rPr>
          <w:rFonts w:ascii="Times New Roman" w:hAnsi="Times New Roman" w:cs="Times New Roman"/>
          <w:sz w:val="24"/>
          <w:szCs w:val="24"/>
        </w:rPr>
        <w:t xml:space="preserve"> and without</w:t>
      </w:r>
      <w:r w:rsidR="00E8037A" w:rsidRPr="00DD44EF">
        <w:rPr>
          <w:rFonts w:ascii="Times New Roman" w:hAnsi="Times New Roman" w:cs="Times New Roman"/>
          <w:sz w:val="24"/>
          <w:szCs w:val="24"/>
        </w:rPr>
        <w:t xml:space="preserve"> visual impairment prevented an over-reliance on isolated forms of simulation. </w:t>
      </w:r>
      <w:r w:rsidR="00922611" w:rsidRPr="00DD44EF">
        <w:rPr>
          <w:rFonts w:ascii="Times New Roman" w:hAnsi="Times New Roman" w:cs="Times New Roman"/>
          <w:sz w:val="24"/>
          <w:szCs w:val="24"/>
        </w:rPr>
        <w:t>Furthermore, the s</w:t>
      </w:r>
      <w:r w:rsidR="00874BCD" w:rsidRPr="00DD44EF">
        <w:rPr>
          <w:rFonts w:ascii="Times New Roman" w:hAnsi="Times New Roman" w:cs="Times New Roman"/>
          <w:sz w:val="24"/>
          <w:szCs w:val="24"/>
        </w:rPr>
        <w:t xml:space="preserve">essions </w:t>
      </w:r>
      <w:r w:rsidR="00922611" w:rsidRPr="00DD44EF">
        <w:rPr>
          <w:rFonts w:ascii="Times New Roman" w:hAnsi="Times New Roman" w:cs="Times New Roman"/>
          <w:sz w:val="24"/>
          <w:szCs w:val="24"/>
        </w:rPr>
        <w:t xml:space="preserve">described here represent only one component of a much wider study, which included comparative studies of such phenomena as </w:t>
      </w:r>
      <w:r w:rsidR="00874BCD" w:rsidRPr="00DD44EF">
        <w:rPr>
          <w:rFonts w:ascii="Times New Roman" w:hAnsi="Times New Roman" w:cs="Times New Roman"/>
          <w:sz w:val="24"/>
          <w:szCs w:val="24"/>
        </w:rPr>
        <w:t>sensory vividness, aesthetic testimony, and aesthetic preference</w:t>
      </w:r>
      <w:r w:rsidR="00922611" w:rsidRPr="00DD44EF">
        <w:rPr>
          <w:rFonts w:ascii="Times New Roman" w:hAnsi="Times New Roman" w:cs="Times New Roman"/>
          <w:sz w:val="24"/>
          <w:szCs w:val="24"/>
        </w:rPr>
        <w:t xml:space="preserve"> among fully sighted individuals and individuals with visual impairment</w:t>
      </w:r>
      <w:r w:rsidR="00874BCD" w:rsidRPr="00DD44EF">
        <w:rPr>
          <w:rFonts w:ascii="Times New Roman" w:hAnsi="Times New Roman" w:cs="Times New Roman"/>
          <w:sz w:val="24"/>
          <w:szCs w:val="24"/>
        </w:rPr>
        <w:t xml:space="preserve">. </w:t>
      </w:r>
      <w:r w:rsidR="00E8037A" w:rsidRPr="00DD44EF">
        <w:rPr>
          <w:rFonts w:ascii="Times New Roman" w:hAnsi="Times New Roman" w:cs="Times New Roman"/>
          <w:sz w:val="24"/>
          <w:szCs w:val="24"/>
        </w:rPr>
        <w:t xml:space="preserve">This </w:t>
      </w:r>
      <w:r w:rsidR="00874BCD" w:rsidRPr="00DD44EF">
        <w:rPr>
          <w:rFonts w:ascii="Times New Roman" w:hAnsi="Times New Roman" w:cs="Times New Roman"/>
          <w:sz w:val="24"/>
          <w:szCs w:val="24"/>
        </w:rPr>
        <w:t xml:space="preserve">multi-faceted approach to art engagement </w:t>
      </w:r>
      <w:r w:rsidR="00E8037A" w:rsidRPr="00DD44EF">
        <w:rPr>
          <w:rFonts w:ascii="Times New Roman" w:hAnsi="Times New Roman" w:cs="Times New Roman"/>
          <w:sz w:val="24"/>
          <w:szCs w:val="24"/>
        </w:rPr>
        <w:t xml:space="preserve">subjected the members of the gallery access teams who participated in the sessions with a perspective on visual impairment that was more comprehensive than could be achieved by simulation alone. </w:t>
      </w:r>
    </w:p>
    <w:p w14:paraId="15FFEB9C" w14:textId="77777777" w:rsidR="00874BCD" w:rsidRPr="00DD44EF" w:rsidRDefault="00874BCD" w:rsidP="00623558">
      <w:pPr>
        <w:spacing w:after="0" w:line="23" w:lineRule="atLeast"/>
        <w:jc w:val="both"/>
        <w:rPr>
          <w:rFonts w:ascii="Times New Roman" w:hAnsi="Times New Roman" w:cs="Times New Roman"/>
          <w:sz w:val="24"/>
          <w:szCs w:val="24"/>
        </w:rPr>
      </w:pPr>
    </w:p>
    <w:p w14:paraId="15FE8DAD" w14:textId="77777777" w:rsidR="00874BCD" w:rsidRPr="00DD44EF" w:rsidRDefault="00874BCD" w:rsidP="000B1077">
      <w:pPr>
        <w:spacing w:after="120"/>
        <w:jc w:val="both"/>
        <w:rPr>
          <w:rFonts w:ascii="Times New Roman" w:hAnsi="Times New Roman" w:cs="Times New Roman"/>
          <w:b/>
          <w:sz w:val="24"/>
          <w:szCs w:val="24"/>
        </w:rPr>
      </w:pPr>
      <w:r w:rsidRPr="006D3F42">
        <w:rPr>
          <w:rFonts w:ascii="Times New Roman" w:hAnsi="Times New Roman" w:cs="Times New Roman"/>
          <w:b/>
          <w:i/>
          <w:sz w:val="24"/>
          <w:szCs w:val="24"/>
        </w:rPr>
        <w:t>Experiential exchan</w:t>
      </w:r>
      <w:r w:rsidRPr="00DD44EF">
        <w:rPr>
          <w:rFonts w:ascii="Times New Roman" w:hAnsi="Times New Roman" w:cs="Times New Roman"/>
          <w:b/>
          <w:sz w:val="24"/>
          <w:szCs w:val="24"/>
        </w:rPr>
        <w:t>ge</w:t>
      </w:r>
    </w:p>
    <w:p w14:paraId="618DDCB2" w14:textId="5F5407BF" w:rsidR="00E8037A" w:rsidRPr="00DD44EF" w:rsidRDefault="00E8037A" w:rsidP="00623558">
      <w:pPr>
        <w:spacing w:after="0" w:line="23" w:lineRule="atLeast"/>
        <w:jc w:val="both"/>
        <w:rPr>
          <w:rFonts w:ascii="Times New Roman" w:hAnsi="Times New Roman" w:cs="Times New Roman"/>
          <w:b/>
          <w:sz w:val="24"/>
          <w:szCs w:val="24"/>
        </w:rPr>
      </w:pPr>
      <w:r w:rsidRPr="00DD44EF">
        <w:rPr>
          <w:rFonts w:ascii="Times New Roman" w:hAnsi="Times New Roman" w:cs="Times New Roman"/>
          <w:sz w:val="24"/>
          <w:szCs w:val="24"/>
        </w:rPr>
        <w:t xml:space="preserve">Donaldson (1980) suggests that for interpersonal contact between </w:t>
      </w:r>
      <w:r w:rsidR="00F45528" w:rsidRPr="00A474BD">
        <w:rPr>
          <w:rFonts w:ascii="Times New Roman" w:hAnsi="Times New Roman" w:cs="Times New Roman"/>
          <w:sz w:val="24"/>
          <w:szCs w:val="24"/>
        </w:rPr>
        <w:t>disabled and non-disabled individuals</w:t>
      </w:r>
      <w:r w:rsidRPr="00DD44EF">
        <w:rPr>
          <w:rFonts w:ascii="Times New Roman" w:hAnsi="Times New Roman" w:cs="Times New Roman"/>
          <w:sz w:val="24"/>
          <w:szCs w:val="24"/>
        </w:rPr>
        <w:t xml:space="preserve"> to be effective, these encounters must take place within the context of equal status relationships. In our case the sessions were pitched as an informational exchange, where fully sighted museum and gallery staff and visitors with visual impairment would learn from one another about the ways in which they received and responded to the impact of works of visual art. In the course of this pr</w:t>
      </w:r>
      <w:r w:rsidR="00B35690" w:rsidRPr="00DD44EF">
        <w:rPr>
          <w:rFonts w:ascii="Times New Roman" w:hAnsi="Times New Roman" w:cs="Times New Roman"/>
          <w:sz w:val="24"/>
          <w:szCs w:val="24"/>
        </w:rPr>
        <w:t>ocess, it became clear that participants with and without visual impairment were equally valuable sources of expertise within the facilitated experiential exchange.</w:t>
      </w:r>
      <w:r w:rsidRPr="00DD44EF">
        <w:rPr>
          <w:rFonts w:ascii="Times New Roman" w:hAnsi="Times New Roman" w:cs="Times New Roman"/>
          <w:sz w:val="24"/>
          <w:szCs w:val="24"/>
        </w:rPr>
        <w:t xml:space="preserve"> </w:t>
      </w:r>
      <w:r w:rsidR="00986B50">
        <w:rPr>
          <w:rFonts w:ascii="Times New Roman" w:hAnsi="Times New Roman" w:cs="Times New Roman"/>
          <w:sz w:val="24"/>
          <w:szCs w:val="24"/>
        </w:rPr>
        <w:t xml:space="preserve">This reciprocal and non-hierarchical transfer of experience </w:t>
      </w:r>
      <w:r w:rsidR="00B35690" w:rsidRPr="00DD44EF">
        <w:rPr>
          <w:rFonts w:ascii="Times New Roman" w:hAnsi="Times New Roman" w:cs="Times New Roman"/>
          <w:sz w:val="24"/>
          <w:szCs w:val="24"/>
        </w:rPr>
        <w:t>s</w:t>
      </w:r>
      <w:r w:rsidR="00986B50">
        <w:rPr>
          <w:rFonts w:ascii="Times New Roman" w:hAnsi="Times New Roman" w:cs="Times New Roman"/>
          <w:sz w:val="24"/>
          <w:szCs w:val="24"/>
        </w:rPr>
        <w:t>erved as</w:t>
      </w:r>
      <w:r w:rsidR="00B35690" w:rsidRPr="00DD44EF">
        <w:rPr>
          <w:rFonts w:ascii="Times New Roman" w:hAnsi="Times New Roman" w:cs="Times New Roman"/>
          <w:sz w:val="24"/>
          <w:szCs w:val="24"/>
        </w:rPr>
        <w:t xml:space="preserve"> a means of eliminating the obvious potential for the emergence of the forms of power imbalances that may have otherwise arisen within the visually charged environment of an art gallery</w:t>
      </w:r>
      <w:r w:rsidR="007162D9" w:rsidRPr="00DD44EF">
        <w:rPr>
          <w:rFonts w:ascii="Times New Roman" w:hAnsi="Times New Roman" w:cs="Times New Roman"/>
          <w:sz w:val="24"/>
          <w:szCs w:val="24"/>
        </w:rPr>
        <w:t xml:space="preserve">. </w:t>
      </w:r>
    </w:p>
    <w:p w14:paraId="1A587102" w14:textId="77777777" w:rsidR="00E93DB8" w:rsidRPr="00DD44EF" w:rsidRDefault="00E93DB8" w:rsidP="00623558">
      <w:pPr>
        <w:spacing w:after="0" w:line="23" w:lineRule="atLeast"/>
        <w:jc w:val="both"/>
        <w:rPr>
          <w:rFonts w:ascii="Times New Roman" w:hAnsi="Times New Roman" w:cs="Times New Roman"/>
          <w:b/>
          <w:sz w:val="24"/>
          <w:szCs w:val="24"/>
        </w:rPr>
      </w:pPr>
    </w:p>
    <w:p w14:paraId="4DF4131F" w14:textId="77777777" w:rsidR="00E93DB8" w:rsidRPr="00DD44EF" w:rsidRDefault="00AF07CA" w:rsidP="00F57850">
      <w:pPr>
        <w:spacing w:after="120"/>
        <w:jc w:val="both"/>
        <w:rPr>
          <w:rFonts w:ascii="Times New Roman" w:hAnsi="Times New Roman" w:cs="Times New Roman"/>
          <w:b/>
          <w:sz w:val="24"/>
          <w:szCs w:val="24"/>
        </w:rPr>
      </w:pPr>
      <w:r w:rsidRPr="006D3F42">
        <w:rPr>
          <w:rFonts w:ascii="Times New Roman" w:hAnsi="Times New Roman" w:cs="Times New Roman"/>
          <w:b/>
          <w:i/>
          <w:sz w:val="24"/>
          <w:szCs w:val="24"/>
        </w:rPr>
        <w:t>Individualized approaches to art engagement</w:t>
      </w:r>
    </w:p>
    <w:p w14:paraId="278E6B59" w14:textId="77777777" w:rsidR="00F14851" w:rsidRDefault="00E93DB8"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lastRenderedPageBreak/>
        <w:t xml:space="preserve">The concerns outlined above in relation to the medicalization and individualization of disability inherent in simulation exercises would appear to have the most obvious bearing on </w:t>
      </w:r>
      <w:r w:rsidR="00C0436A">
        <w:rPr>
          <w:rFonts w:ascii="Times New Roman" w:hAnsi="Times New Roman" w:cs="Times New Roman"/>
          <w:sz w:val="24"/>
          <w:szCs w:val="24"/>
        </w:rPr>
        <w:t xml:space="preserve">an approach that entailed filtering digital images through the levels of visual acuity and contrast sensitivity of individual gallery visitors. </w:t>
      </w:r>
      <w:r w:rsidR="00F14851">
        <w:rPr>
          <w:rFonts w:ascii="Times New Roman" w:hAnsi="Times New Roman" w:cs="Times New Roman"/>
          <w:sz w:val="24"/>
          <w:szCs w:val="24"/>
        </w:rPr>
        <w:t>Two aspects of our approach are worth mentioning in this regard.</w:t>
      </w:r>
    </w:p>
    <w:p w14:paraId="1DB8FC11" w14:textId="77777777" w:rsidR="00C0436A" w:rsidRDefault="00C0436A" w:rsidP="00C0436A">
      <w:pPr>
        <w:spacing w:after="0" w:line="23" w:lineRule="atLeast"/>
        <w:jc w:val="both"/>
        <w:rPr>
          <w:rFonts w:ascii="Times New Roman" w:hAnsi="Times New Roman" w:cs="Times New Roman"/>
          <w:sz w:val="24"/>
          <w:szCs w:val="24"/>
        </w:rPr>
      </w:pPr>
    </w:p>
    <w:p w14:paraId="5CAADDA2" w14:textId="77777777" w:rsidR="00C0436A" w:rsidRPr="00DD44EF" w:rsidRDefault="00F14851" w:rsidP="0062355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Firstly, it was made clear at all</w:t>
      </w:r>
      <w:r w:rsidR="00C0436A" w:rsidRPr="00DD44EF">
        <w:rPr>
          <w:rFonts w:ascii="Times New Roman" w:hAnsi="Times New Roman" w:cs="Times New Roman"/>
          <w:sz w:val="24"/>
          <w:szCs w:val="24"/>
        </w:rPr>
        <w:t xml:space="preserve"> introductory sessions that our application of simulation was not in any way informed by the suggestion that disability can somehow be reduced to</w:t>
      </w:r>
      <w:r>
        <w:rPr>
          <w:rFonts w:ascii="Times New Roman" w:hAnsi="Times New Roman" w:cs="Times New Roman"/>
          <w:sz w:val="24"/>
          <w:szCs w:val="24"/>
        </w:rPr>
        <w:t xml:space="preserve"> a series of medical readings, </w:t>
      </w:r>
      <w:r w:rsidR="00C0436A" w:rsidRPr="00DD44EF">
        <w:rPr>
          <w:rFonts w:ascii="Times New Roman" w:hAnsi="Times New Roman" w:cs="Times New Roman"/>
          <w:sz w:val="24"/>
          <w:szCs w:val="24"/>
        </w:rPr>
        <w:t>or that i</w:t>
      </w:r>
      <w:r>
        <w:rPr>
          <w:rFonts w:ascii="Times New Roman" w:hAnsi="Times New Roman" w:cs="Times New Roman"/>
          <w:sz w:val="24"/>
          <w:szCs w:val="24"/>
        </w:rPr>
        <w:t>s not primarily manifest in</w:t>
      </w:r>
      <w:r w:rsidR="00C0436A" w:rsidRPr="00DD44EF">
        <w:rPr>
          <w:rFonts w:ascii="Times New Roman" w:hAnsi="Times New Roman" w:cs="Times New Roman"/>
          <w:sz w:val="24"/>
          <w:szCs w:val="24"/>
        </w:rPr>
        <w:t xml:space="preserve"> the prevalence of debilitating social arrangements. </w:t>
      </w:r>
      <w:r>
        <w:rPr>
          <w:rFonts w:ascii="Times New Roman" w:hAnsi="Times New Roman" w:cs="Times New Roman"/>
          <w:sz w:val="24"/>
          <w:szCs w:val="24"/>
        </w:rPr>
        <w:t xml:space="preserve">To generate discussion, participants were introduced to the social and medical models of disability, and to a number of arguments about the shortcomings of the binary attitudes often engendered by the distinction between them. </w:t>
      </w:r>
      <w:r w:rsidRPr="00F14851">
        <w:rPr>
          <w:rFonts w:ascii="Times New Roman" w:hAnsi="Times New Roman" w:cs="Times New Roman"/>
          <w:sz w:val="24"/>
          <w:szCs w:val="24"/>
        </w:rPr>
        <w:t>Vehmas &amp; Mäkelä</w:t>
      </w:r>
      <w:r>
        <w:rPr>
          <w:rFonts w:ascii="Times New Roman" w:hAnsi="Times New Roman" w:cs="Times New Roman"/>
          <w:sz w:val="24"/>
          <w:szCs w:val="24"/>
        </w:rPr>
        <w:t>’s account</w:t>
      </w:r>
      <w:r w:rsidRPr="00F14851">
        <w:rPr>
          <w:rFonts w:ascii="Times New Roman" w:hAnsi="Times New Roman" w:cs="Times New Roman"/>
          <w:sz w:val="24"/>
          <w:szCs w:val="24"/>
        </w:rPr>
        <w:t xml:space="preserve"> of a ‘realist ontology of disability’ (2008)</w:t>
      </w:r>
      <w:r>
        <w:rPr>
          <w:rFonts w:ascii="Times New Roman" w:hAnsi="Times New Roman" w:cs="Times New Roman"/>
          <w:sz w:val="24"/>
          <w:szCs w:val="24"/>
        </w:rPr>
        <w:t xml:space="preserve">, for example, was introduced as a means of encouraging </w:t>
      </w:r>
      <w:r w:rsidR="00F1565A">
        <w:rPr>
          <w:rFonts w:ascii="Times New Roman" w:hAnsi="Times New Roman" w:cs="Times New Roman"/>
          <w:sz w:val="24"/>
          <w:szCs w:val="24"/>
        </w:rPr>
        <w:t xml:space="preserve">visually impaired participants consider whether aspects of their experience of visual impairment might be said to pre-exist social or institutional construction. The visually charged art galleries proved to be fruitful environments within which to discuss whether impairment is dependent for its existence on such </w:t>
      </w:r>
      <w:r w:rsidR="00C97EC9">
        <w:rPr>
          <w:rFonts w:ascii="Times New Roman" w:hAnsi="Times New Roman" w:cs="Times New Roman"/>
          <w:sz w:val="24"/>
          <w:szCs w:val="24"/>
        </w:rPr>
        <w:t>institutions. W</w:t>
      </w:r>
      <w:r w:rsidR="00C0436A" w:rsidRPr="00DD44EF">
        <w:rPr>
          <w:rFonts w:ascii="Times New Roman" w:hAnsi="Times New Roman" w:cs="Times New Roman"/>
          <w:sz w:val="24"/>
          <w:szCs w:val="24"/>
        </w:rPr>
        <w:t>hile the</w:t>
      </w:r>
      <w:r w:rsidR="00C97EC9">
        <w:rPr>
          <w:rFonts w:ascii="Times New Roman" w:hAnsi="Times New Roman" w:cs="Times New Roman"/>
          <w:sz w:val="24"/>
          <w:szCs w:val="24"/>
        </w:rPr>
        <w:t>se discussions did not yield consensus, they proved successful in placing visual impairment and the various limitations inherently attendant on attempts to simulate its lived experience in numerous forms of context.</w:t>
      </w:r>
      <w:r w:rsidR="00C0436A" w:rsidRPr="00DD44EF">
        <w:rPr>
          <w:rFonts w:ascii="Times New Roman" w:hAnsi="Times New Roman" w:cs="Times New Roman"/>
          <w:sz w:val="24"/>
          <w:szCs w:val="24"/>
        </w:rPr>
        <w:t xml:space="preserve"> </w:t>
      </w:r>
      <w:r w:rsidR="00C97EC9">
        <w:rPr>
          <w:rFonts w:ascii="Times New Roman" w:hAnsi="Times New Roman" w:cs="Times New Roman"/>
          <w:sz w:val="24"/>
          <w:szCs w:val="24"/>
        </w:rPr>
        <w:t>The role of medical expertise in</w:t>
      </w:r>
      <w:r w:rsidR="00C0436A" w:rsidRPr="00DD44EF">
        <w:rPr>
          <w:rFonts w:ascii="Times New Roman" w:hAnsi="Times New Roman" w:cs="Times New Roman"/>
          <w:sz w:val="24"/>
          <w:szCs w:val="24"/>
        </w:rPr>
        <w:t xml:space="preserve"> the development of technology that </w:t>
      </w:r>
      <w:r w:rsidR="00C97EC9">
        <w:rPr>
          <w:rFonts w:ascii="Times New Roman" w:hAnsi="Times New Roman" w:cs="Times New Roman"/>
          <w:sz w:val="24"/>
          <w:szCs w:val="24"/>
        </w:rPr>
        <w:t>facilitated the experiential exchanges around which the project was structured</w:t>
      </w:r>
      <w:r w:rsidR="00C0436A" w:rsidRPr="00DD44EF">
        <w:rPr>
          <w:rFonts w:ascii="Times New Roman" w:hAnsi="Times New Roman" w:cs="Times New Roman"/>
          <w:sz w:val="24"/>
          <w:szCs w:val="24"/>
        </w:rPr>
        <w:t xml:space="preserve"> generally found favour with the individuals with visual impairment who were involved in the project.</w:t>
      </w:r>
    </w:p>
    <w:p w14:paraId="2205784E" w14:textId="77777777" w:rsidR="0002664D" w:rsidRPr="00DD44EF" w:rsidRDefault="0002664D" w:rsidP="00623558">
      <w:pPr>
        <w:spacing w:after="0" w:line="23" w:lineRule="atLeast"/>
        <w:jc w:val="both"/>
        <w:rPr>
          <w:rFonts w:ascii="Times New Roman" w:hAnsi="Times New Roman" w:cs="Times New Roman"/>
          <w:sz w:val="24"/>
          <w:szCs w:val="24"/>
        </w:rPr>
      </w:pPr>
    </w:p>
    <w:p w14:paraId="46E503C1" w14:textId="77777777" w:rsidR="001B417F" w:rsidRPr="00DD44EF" w:rsidRDefault="00C97EC9" w:rsidP="0062355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Secondly</w:t>
      </w:r>
      <w:r w:rsidR="007162D9" w:rsidRPr="00DD44EF">
        <w:rPr>
          <w:rFonts w:ascii="Times New Roman" w:hAnsi="Times New Roman" w:cs="Times New Roman"/>
          <w:sz w:val="24"/>
          <w:szCs w:val="24"/>
        </w:rPr>
        <w:t xml:space="preserve">, </w:t>
      </w:r>
      <w:r>
        <w:rPr>
          <w:rFonts w:ascii="Times New Roman" w:hAnsi="Times New Roman" w:cs="Times New Roman"/>
          <w:sz w:val="24"/>
          <w:szCs w:val="24"/>
        </w:rPr>
        <w:t xml:space="preserve">the individualised approach to art access employed in the project was primarily justified to participants in relation to the fact that </w:t>
      </w:r>
      <w:r w:rsidR="00E93DB8" w:rsidRPr="00DD44EF">
        <w:rPr>
          <w:rFonts w:ascii="Times New Roman" w:hAnsi="Times New Roman" w:cs="Times New Roman"/>
          <w:sz w:val="24"/>
          <w:szCs w:val="24"/>
        </w:rPr>
        <w:t xml:space="preserve">since the inception of art access for people with visual impairment, these initiatives have been criticised for being predicated on the inaccurate and distinctly unhelpful assumption that all gallery visitors with visual impairment see nothing at all (see </w:t>
      </w:r>
      <w:r w:rsidR="00DD44EF" w:rsidRPr="00DD44EF">
        <w:rPr>
          <w:rFonts w:ascii="Times New Roman" w:hAnsi="Times New Roman" w:cs="Times New Roman"/>
          <w:sz w:val="24"/>
          <w:szCs w:val="24"/>
        </w:rPr>
        <w:t>Kenny 1983; Steiner</w:t>
      </w:r>
      <w:r w:rsidR="00E93DB8" w:rsidRPr="00DD44EF">
        <w:rPr>
          <w:rFonts w:ascii="Times New Roman" w:hAnsi="Times New Roman" w:cs="Times New Roman"/>
          <w:sz w:val="24"/>
          <w:szCs w:val="24"/>
        </w:rPr>
        <w:t xml:space="preserve"> 1983). This is partly because gallery professionals do not typically have a very detailed or comprehensive understanding of the practical impact of visual impairment. In the absence of such understanding, they have little choice but to proceed according to the general assumption that people with visual impairment see little or nothing. The use of simulation software affords gallery professionals an understanding that could traditionally be relayed only in terms of a series of ophthalmological measurements that would be impenetrable to most people outside the medical profession. The suggestion here is not that visual impairment is in any way reducible to such measurements, but merely that the </w:t>
      </w:r>
      <w:r w:rsidR="0002664D" w:rsidRPr="00DD44EF">
        <w:rPr>
          <w:rFonts w:ascii="Times New Roman" w:hAnsi="Times New Roman" w:cs="Times New Roman"/>
          <w:sz w:val="24"/>
          <w:szCs w:val="24"/>
        </w:rPr>
        <w:t xml:space="preserve">partial experiential </w:t>
      </w:r>
      <w:r w:rsidR="00E93DB8" w:rsidRPr="00DD44EF">
        <w:rPr>
          <w:rFonts w:ascii="Times New Roman" w:hAnsi="Times New Roman" w:cs="Times New Roman"/>
          <w:sz w:val="24"/>
          <w:szCs w:val="24"/>
        </w:rPr>
        <w:t>understa</w:t>
      </w:r>
      <w:r w:rsidR="0002664D" w:rsidRPr="00DD44EF">
        <w:rPr>
          <w:rFonts w:ascii="Times New Roman" w:hAnsi="Times New Roman" w:cs="Times New Roman"/>
          <w:sz w:val="24"/>
          <w:szCs w:val="24"/>
        </w:rPr>
        <w:t>nding afforded by simulation affords opportunities for art access sessions to become a reciprocal experiential exchange, rather than the one-directional and authoritative transmission of knowledge</w:t>
      </w:r>
      <w:r w:rsidR="00E93DB8" w:rsidRPr="00DD44EF">
        <w:rPr>
          <w:rFonts w:ascii="Times New Roman" w:hAnsi="Times New Roman" w:cs="Times New Roman"/>
          <w:sz w:val="24"/>
          <w:szCs w:val="24"/>
        </w:rPr>
        <w:t>.</w:t>
      </w:r>
      <w:r w:rsidR="007162D9" w:rsidRPr="00DD44EF">
        <w:rPr>
          <w:rFonts w:ascii="Times New Roman" w:hAnsi="Times New Roman" w:cs="Times New Roman"/>
          <w:sz w:val="24"/>
          <w:szCs w:val="24"/>
        </w:rPr>
        <w:t xml:space="preserve"> It was also suggested during the orientation briefings tha</w:t>
      </w:r>
      <w:r w:rsidR="0086398D" w:rsidRPr="00DD44EF">
        <w:rPr>
          <w:rFonts w:ascii="Times New Roman" w:hAnsi="Times New Roman" w:cs="Times New Roman"/>
          <w:sz w:val="24"/>
          <w:szCs w:val="24"/>
        </w:rPr>
        <w:t>t the individualized approach applie</w:t>
      </w:r>
      <w:r w:rsidR="007162D9" w:rsidRPr="00DD44EF">
        <w:rPr>
          <w:rFonts w:ascii="Times New Roman" w:hAnsi="Times New Roman" w:cs="Times New Roman"/>
          <w:sz w:val="24"/>
          <w:szCs w:val="24"/>
        </w:rPr>
        <w:t>d to the simulation of images might also be in keeping with the inherently subjective nature of art appreciation.</w:t>
      </w:r>
    </w:p>
    <w:p w14:paraId="5ACDDE86" w14:textId="77777777" w:rsidR="00273A33" w:rsidRPr="00DD44EF" w:rsidRDefault="00273A33" w:rsidP="00623558">
      <w:pPr>
        <w:spacing w:after="0" w:line="23" w:lineRule="atLeast"/>
        <w:jc w:val="both"/>
        <w:rPr>
          <w:rFonts w:ascii="Times New Roman" w:hAnsi="Times New Roman" w:cs="Times New Roman"/>
          <w:sz w:val="24"/>
          <w:szCs w:val="24"/>
        </w:rPr>
      </w:pPr>
    </w:p>
    <w:p w14:paraId="26DEAB99" w14:textId="77777777" w:rsidR="00200C3F" w:rsidRPr="00DD44EF" w:rsidRDefault="00200C3F" w:rsidP="00D76DF7">
      <w:pPr>
        <w:spacing w:after="120"/>
        <w:jc w:val="both"/>
        <w:rPr>
          <w:rFonts w:ascii="Times New Roman" w:hAnsi="Times New Roman" w:cs="Times New Roman"/>
          <w:sz w:val="24"/>
          <w:szCs w:val="24"/>
        </w:rPr>
      </w:pPr>
      <w:r w:rsidRPr="006D3F42">
        <w:rPr>
          <w:rFonts w:ascii="Times New Roman" w:hAnsi="Times New Roman" w:cs="Times New Roman"/>
          <w:b/>
          <w:i/>
          <w:sz w:val="24"/>
          <w:szCs w:val="24"/>
        </w:rPr>
        <w:t>The impossibility of disability simulation</w:t>
      </w:r>
    </w:p>
    <w:p w14:paraId="4769DC28" w14:textId="77777777" w:rsidR="00CB13B4" w:rsidRPr="00DD44EF" w:rsidRDefault="00650775" w:rsidP="00623558">
      <w:pPr>
        <w:spacing w:after="0" w:line="23" w:lineRule="atLeast"/>
        <w:jc w:val="both"/>
        <w:rPr>
          <w:rFonts w:ascii="Times New Roman" w:hAnsi="Times New Roman" w:cs="Times New Roman"/>
          <w:b/>
          <w:sz w:val="24"/>
          <w:szCs w:val="24"/>
        </w:rPr>
      </w:pPr>
      <w:r w:rsidRPr="00DD44EF">
        <w:rPr>
          <w:rFonts w:ascii="Times New Roman" w:hAnsi="Times New Roman" w:cs="Times New Roman"/>
          <w:sz w:val="24"/>
          <w:szCs w:val="24"/>
        </w:rPr>
        <w:t xml:space="preserve">Finally, at the orientation session, it was made clear to all participants that our activities were being </w:t>
      </w:r>
      <w:r w:rsidR="00200C3F" w:rsidRPr="00DD44EF">
        <w:rPr>
          <w:rFonts w:ascii="Times New Roman" w:hAnsi="Times New Roman" w:cs="Times New Roman"/>
          <w:sz w:val="24"/>
          <w:szCs w:val="24"/>
        </w:rPr>
        <w:t xml:space="preserve">developed and delivered within an unreserved agreement with French’s (1992) observation that disability simulation is impossible. Clearly, the idea that a </w:t>
      </w:r>
      <w:r w:rsidR="00275AF8" w:rsidRPr="00DD44EF">
        <w:rPr>
          <w:rFonts w:ascii="Times New Roman" w:hAnsi="Times New Roman" w:cs="Times New Roman"/>
          <w:sz w:val="24"/>
          <w:szCs w:val="24"/>
        </w:rPr>
        <w:t>fully sighted</w:t>
      </w:r>
      <w:r w:rsidR="00200C3F" w:rsidRPr="00DD44EF">
        <w:rPr>
          <w:rFonts w:ascii="Times New Roman" w:hAnsi="Times New Roman" w:cs="Times New Roman"/>
          <w:sz w:val="24"/>
          <w:szCs w:val="24"/>
        </w:rPr>
        <w:t xml:space="preserve"> person might be able to ‘step into’ a </w:t>
      </w:r>
      <w:r w:rsidR="00275AF8" w:rsidRPr="00DD44EF">
        <w:rPr>
          <w:rFonts w:ascii="Times New Roman" w:hAnsi="Times New Roman" w:cs="Times New Roman"/>
          <w:sz w:val="24"/>
          <w:szCs w:val="24"/>
        </w:rPr>
        <w:t xml:space="preserve">state of </w:t>
      </w:r>
      <w:r w:rsidR="00200C3F" w:rsidRPr="00DD44EF">
        <w:rPr>
          <w:rFonts w:ascii="Times New Roman" w:hAnsi="Times New Roman" w:cs="Times New Roman"/>
          <w:sz w:val="24"/>
          <w:szCs w:val="24"/>
        </w:rPr>
        <w:t xml:space="preserve">thorough familiarity with </w:t>
      </w:r>
      <w:r w:rsidR="00200C3F" w:rsidRPr="00DD44EF">
        <w:rPr>
          <w:rFonts w:ascii="Times New Roman" w:hAnsi="Times New Roman" w:cs="Times New Roman"/>
          <w:sz w:val="24"/>
          <w:szCs w:val="24"/>
        </w:rPr>
        <w:lastRenderedPageBreak/>
        <w:t xml:space="preserve">phenomenological aspects of the lived experience of </w:t>
      </w:r>
      <w:r w:rsidR="00275AF8" w:rsidRPr="00DD44EF">
        <w:rPr>
          <w:rFonts w:ascii="Times New Roman" w:hAnsi="Times New Roman" w:cs="Times New Roman"/>
          <w:sz w:val="24"/>
          <w:szCs w:val="24"/>
        </w:rPr>
        <w:t xml:space="preserve">visual impairment </w:t>
      </w:r>
      <w:r w:rsidR="00200C3F" w:rsidRPr="00DD44EF">
        <w:rPr>
          <w:rFonts w:ascii="Times New Roman" w:hAnsi="Times New Roman" w:cs="Times New Roman"/>
          <w:sz w:val="24"/>
          <w:szCs w:val="24"/>
        </w:rPr>
        <w:t>after</w:t>
      </w:r>
      <w:r w:rsidR="00275AF8" w:rsidRPr="00DD44EF">
        <w:rPr>
          <w:rFonts w:ascii="Times New Roman" w:hAnsi="Times New Roman" w:cs="Times New Roman"/>
          <w:sz w:val="24"/>
          <w:szCs w:val="24"/>
        </w:rPr>
        <w:t xml:space="preserve"> an extremely brief and isolated spell of</w:t>
      </w:r>
      <w:r w:rsidR="00200C3F" w:rsidRPr="00DD44EF">
        <w:rPr>
          <w:rFonts w:ascii="Times New Roman" w:hAnsi="Times New Roman" w:cs="Times New Roman"/>
          <w:sz w:val="24"/>
          <w:szCs w:val="24"/>
        </w:rPr>
        <w:t xml:space="preserve"> deliberately</w:t>
      </w:r>
      <w:r w:rsidR="00275AF8" w:rsidRPr="00DD44EF">
        <w:rPr>
          <w:rFonts w:ascii="Times New Roman" w:hAnsi="Times New Roman" w:cs="Times New Roman"/>
          <w:sz w:val="24"/>
          <w:szCs w:val="24"/>
        </w:rPr>
        <w:t xml:space="preserve"> and selectively</w:t>
      </w:r>
      <w:r w:rsidR="00200C3F" w:rsidRPr="00DD44EF">
        <w:rPr>
          <w:rFonts w:ascii="Times New Roman" w:hAnsi="Times New Roman" w:cs="Times New Roman"/>
          <w:sz w:val="24"/>
          <w:szCs w:val="24"/>
        </w:rPr>
        <w:t xml:space="preserve"> impeded vision is absurd. It was made clear to participants that the simulation of how paintings were perceived by gallery visito</w:t>
      </w:r>
      <w:r w:rsidR="00275AF8" w:rsidRPr="00DD44EF">
        <w:rPr>
          <w:rFonts w:ascii="Times New Roman" w:hAnsi="Times New Roman" w:cs="Times New Roman"/>
          <w:sz w:val="24"/>
          <w:szCs w:val="24"/>
        </w:rPr>
        <w:t>rs with visual impairments merely represented an attempt to</w:t>
      </w:r>
      <w:r w:rsidR="00200C3F" w:rsidRPr="00DD44EF">
        <w:rPr>
          <w:rFonts w:ascii="Times New Roman" w:hAnsi="Times New Roman" w:cs="Times New Roman"/>
          <w:sz w:val="24"/>
          <w:szCs w:val="24"/>
        </w:rPr>
        <w:t xml:space="preserve"> bring fully sighted members of gallery access staff somewhat closer to understanding what individuals with varying levels of visual acuity and contrast sensitivity perceive when standing a specified distance from a series of pre-selected paintings</w:t>
      </w:r>
      <w:r w:rsidR="00275AF8" w:rsidRPr="00DD44EF">
        <w:rPr>
          <w:rFonts w:ascii="Times New Roman" w:hAnsi="Times New Roman" w:cs="Times New Roman"/>
          <w:sz w:val="24"/>
          <w:szCs w:val="24"/>
        </w:rPr>
        <w:t>. With these very modest objectives in mind, all participants in the project – visually impaired and fully sighted alike – proceeded to investigate whether this particular application of simulation software might enhance gallery experiences by facilitating more meaningful forms of experiential exchange t</w:t>
      </w:r>
      <w:r w:rsidR="0052230D" w:rsidRPr="00DD44EF">
        <w:rPr>
          <w:rFonts w:ascii="Times New Roman" w:hAnsi="Times New Roman" w:cs="Times New Roman"/>
          <w:sz w:val="24"/>
          <w:szCs w:val="24"/>
        </w:rPr>
        <w:t>han would otherwise be possible</w:t>
      </w:r>
      <w:r w:rsidR="00200C3F" w:rsidRPr="00DD44EF">
        <w:rPr>
          <w:rFonts w:ascii="Times New Roman" w:hAnsi="Times New Roman" w:cs="Times New Roman"/>
          <w:sz w:val="24"/>
          <w:szCs w:val="24"/>
        </w:rPr>
        <w:t>.</w:t>
      </w:r>
    </w:p>
    <w:p w14:paraId="432FC0A0" w14:textId="77777777" w:rsidR="00200C3F" w:rsidRPr="00DD44EF" w:rsidRDefault="00200C3F" w:rsidP="00623558">
      <w:pPr>
        <w:spacing w:after="0" w:line="23" w:lineRule="atLeast"/>
        <w:rPr>
          <w:rFonts w:ascii="Times New Roman" w:hAnsi="Times New Roman" w:cs="Times New Roman"/>
          <w:b/>
          <w:sz w:val="24"/>
          <w:szCs w:val="24"/>
        </w:rPr>
      </w:pPr>
    </w:p>
    <w:p w14:paraId="19FD88A7" w14:textId="77777777" w:rsidR="00F449C4" w:rsidRPr="00DD44EF" w:rsidRDefault="00F449C4" w:rsidP="00623558">
      <w:pPr>
        <w:spacing w:after="0" w:line="23" w:lineRule="atLeast"/>
        <w:rPr>
          <w:rFonts w:ascii="Times New Roman" w:hAnsi="Times New Roman" w:cs="Times New Roman"/>
          <w:b/>
          <w:sz w:val="24"/>
          <w:szCs w:val="24"/>
        </w:rPr>
      </w:pPr>
      <w:r w:rsidRPr="00DD44EF">
        <w:rPr>
          <w:rFonts w:ascii="Times New Roman" w:hAnsi="Times New Roman" w:cs="Times New Roman"/>
          <w:b/>
          <w:sz w:val="24"/>
          <w:szCs w:val="24"/>
        </w:rPr>
        <w:t>Findings</w:t>
      </w:r>
    </w:p>
    <w:p w14:paraId="2E702FEF" w14:textId="79AB5B20" w:rsidR="00C84F23" w:rsidRPr="00DD44EF" w:rsidRDefault="00F45528" w:rsidP="00623558">
      <w:pPr>
        <w:spacing w:after="0" w:line="23" w:lineRule="atLeast"/>
        <w:jc w:val="both"/>
        <w:rPr>
          <w:rFonts w:ascii="Times New Roman" w:hAnsi="Times New Roman" w:cs="Times New Roman"/>
          <w:sz w:val="24"/>
          <w:szCs w:val="24"/>
        </w:rPr>
      </w:pPr>
      <w:r w:rsidRPr="008D7597">
        <w:rPr>
          <w:rFonts w:ascii="Times New Roman" w:hAnsi="Times New Roman" w:cs="Times New Roman"/>
          <w:sz w:val="24"/>
          <w:szCs w:val="24"/>
        </w:rPr>
        <w:t>The indicators of aesthetic experience selected for comparative purposes are listed below</w:t>
      </w:r>
      <w:r w:rsidR="00971083">
        <w:rPr>
          <w:rFonts w:ascii="Times New Roman" w:hAnsi="Times New Roman" w:cs="Times New Roman"/>
          <w:sz w:val="24"/>
          <w:szCs w:val="24"/>
        </w:rPr>
        <w:t xml:space="preserve"> </w:t>
      </w:r>
      <w:r w:rsidR="008D7597">
        <w:rPr>
          <w:rFonts w:ascii="Times New Roman" w:hAnsi="Times New Roman" w:cs="Times New Roman"/>
          <w:sz w:val="24"/>
          <w:szCs w:val="24"/>
        </w:rPr>
        <w:t>(see Table 1)</w:t>
      </w:r>
      <w:r w:rsidRPr="008D7597">
        <w:rPr>
          <w:rFonts w:ascii="Times New Roman" w:hAnsi="Times New Roman" w:cs="Times New Roman"/>
          <w:sz w:val="24"/>
          <w:szCs w:val="24"/>
        </w:rPr>
        <w:t>, together with quantified accounts of the impact of simulation on each indicator:</w:t>
      </w:r>
    </w:p>
    <w:p w14:paraId="20EB9F52" w14:textId="77777777" w:rsidR="00C84F23" w:rsidRDefault="00C84F23" w:rsidP="00623558">
      <w:pPr>
        <w:widowControl w:val="0"/>
        <w:autoSpaceDE w:val="0"/>
        <w:autoSpaceDN w:val="0"/>
        <w:adjustRightInd w:val="0"/>
        <w:spacing w:after="0" w:line="23" w:lineRule="atLeast"/>
        <w:jc w:val="both"/>
        <w:rPr>
          <w:rFonts w:ascii="Times New Roman" w:eastAsia="Calibri" w:hAnsi="Times New Roman" w:cs="Times New Roman"/>
          <w:b/>
          <w:sz w:val="24"/>
          <w:szCs w:val="24"/>
        </w:rPr>
      </w:pPr>
    </w:p>
    <w:p w14:paraId="0A4BC8CF" w14:textId="2E51039D" w:rsidR="00880CE9" w:rsidRPr="00462CA4" w:rsidRDefault="00880CE9" w:rsidP="00623558">
      <w:pPr>
        <w:widowControl w:val="0"/>
        <w:autoSpaceDE w:val="0"/>
        <w:autoSpaceDN w:val="0"/>
        <w:adjustRightInd w:val="0"/>
        <w:spacing w:after="0" w:line="23" w:lineRule="atLeast"/>
        <w:jc w:val="both"/>
        <w:rPr>
          <w:rFonts w:ascii="Times New Roman" w:eastAsia="Calibri" w:hAnsi="Times New Roman" w:cs="Times New Roman"/>
          <w:b/>
          <w:sz w:val="20"/>
          <w:szCs w:val="20"/>
        </w:rPr>
      </w:pPr>
      <w:r w:rsidRPr="00462CA4">
        <w:rPr>
          <w:rFonts w:ascii="Times New Roman" w:eastAsia="Calibri" w:hAnsi="Times New Roman" w:cs="Times New Roman"/>
          <w:b/>
          <w:sz w:val="20"/>
          <w:szCs w:val="20"/>
        </w:rPr>
        <w:t>Table 1:</w:t>
      </w:r>
      <w:r w:rsidR="00462CA4" w:rsidRPr="00462CA4">
        <w:rPr>
          <w:rFonts w:ascii="Times New Roman" w:eastAsia="Calibri" w:hAnsi="Times New Roman" w:cs="Times New Roman"/>
          <w:b/>
          <w:sz w:val="20"/>
          <w:szCs w:val="20"/>
        </w:rPr>
        <w:t xml:space="preserve"> </w:t>
      </w:r>
      <w:r w:rsidR="00462CA4">
        <w:rPr>
          <w:rFonts w:ascii="Times New Roman" w:eastAsia="Calibri" w:hAnsi="Times New Roman" w:cs="Times New Roman"/>
          <w:b/>
          <w:sz w:val="20"/>
          <w:szCs w:val="20"/>
        </w:rPr>
        <w:t xml:space="preserve">    </w:t>
      </w:r>
      <w:r w:rsidR="00462CA4" w:rsidRPr="00462CA4">
        <w:rPr>
          <w:rFonts w:ascii="Times New Roman" w:eastAsia="Calibri" w:hAnsi="Times New Roman" w:cs="Times New Roman"/>
          <w:b/>
          <w:sz w:val="20"/>
          <w:szCs w:val="20"/>
        </w:rPr>
        <w:t xml:space="preserve">Indicators of aesthetic engagement with and without the application of Sight-Sim™ </w:t>
      </w:r>
    </w:p>
    <w:tbl>
      <w:tblPr>
        <w:tblStyle w:val="TableGrid"/>
        <w:tblW w:w="0" w:type="auto"/>
        <w:tblLayout w:type="fixed"/>
        <w:tblLook w:val="04A0" w:firstRow="1" w:lastRow="0" w:firstColumn="1" w:lastColumn="0" w:noHBand="0" w:noVBand="1"/>
      </w:tblPr>
      <w:tblGrid>
        <w:gridCol w:w="2660"/>
        <w:gridCol w:w="1559"/>
        <w:gridCol w:w="1701"/>
        <w:gridCol w:w="1421"/>
        <w:gridCol w:w="1422"/>
      </w:tblGrid>
      <w:tr w:rsidR="00C84F23" w:rsidRPr="00DD44EF" w14:paraId="1C01A07F" w14:textId="77777777" w:rsidTr="00C84F23">
        <w:tc>
          <w:tcPr>
            <w:tcW w:w="2660" w:type="dxa"/>
            <w:vAlign w:val="center"/>
          </w:tcPr>
          <w:p w14:paraId="186373A2"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b/>
                <w:sz w:val="24"/>
                <w:szCs w:val="24"/>
              </w:rPr>
            </w:pPr>
            <w:r w:rsidRPr="00DD44EF">
              <w:rPr>
                <w:rFonts w:ascii="Times New Roman" w:hAnsi="Times New Roman" w:cs="Times New Roman"/>
                <w:b/>
                <w:sz w:val="24"/>
                <w:szCs w:val="24"/>
              </w:rPr>
              <w:t>Component of Aesthetic Engagement</w:t>
            </w:r>
          </w:p>
        </w:tc>
        <w:tc>
          <w:tcPr>
            <w:tcW w:w="1559" w:type="dxa"/>
            <w:vAlign w:val="center"/>
          </w:tcPr>
          <w:p w14:paraId="3A57DDCD"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b/>
                <w:sz w:val="24"/>
                <w:szCs w:val="24"/>
              </w:rPr>
            </w:pPr>
            <w:r w:rsidRPr="00DD44EF">
              <w:rPr>
                <w:rFonts w:ascii="Times New Roman" w:hAnsi="Times New Roman" w:cs="Times New Roman"/>
                <w:b/>
                <w:sz w:val="24"/>
                <w:szCs w:val="24"/>
              </w:rPr>
              <w:t>More engaged when Sight-Sim™ was used</w:t>
            </w:r>
          </w:p>
        </w:tc>
        <w:tc>
          <w:tcPr>
            <w:tcW w:w="1701" w:type="dxa"/>
            <w:vAlign w:val="center"/>
          </w:tcPr>
          <w:p w14:paraId="57E4D40B"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b/>
                <w:sz w:val="24"/>
                <w:szCs w:val="24"/>
              </w:rPr>
            </w:pPr>
            <w:r w:rsidRPr="00DD44EF">
              <w:rPr>
                <w:rFonts w:ascii="Times New Roman" w:hAnsi="Times New Roman" w:cs="Times New Roman"/>
                <w:b/>
                <w:sz w:val="24"/>
                <w:szCs w:val="24"/>
              </w:rPr>
              <w:t>Less engaged when Sight-Sim™ was used</w:t>
            </w:r>
          </w:p>
        </w:tc>
        <w:tc>
          <w:tcPr>
            <w:tcW w:w="1421" w:type="dxa"/>
            <w:vAlign w:val="center"/>
          </w:tcPr>
          <w:p w14:paraId="00A78A48"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b/>
                <w:sz w:val="24"/>
                <w:szCs w:val="24"/>
              </w:rPr>
            </w:pPr>
            <w:r w:rsidRPr="00DD44EF">
              <w:rPr>
                <w:rFonts w:ascii="Times New Roman" w:hAnsi="Times New Roman" w:cs="Times New Roman"/>
                <w:b/>
                <w:sz w:val="24"/>
                <w:szCs w:val="24"/>
              </w:rPr>
              <w:t>No difference when Sight-Sim™ was used</w:t>
            </w:r>
          </w:p>
        </w:tc>
        <w:tc>
          <w:tcPr>
            <w:tcW w:w="1422" w:type="dxa"/>
            <w:vAlign w:val="center"/>
          </w:tcPr>
          <w:p w14:paraId="3670AF4B"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b/>
                <w:sz w:val="24"/>
                <w:szCs w:val="24"/>
              </w:rPr>
            </w:pPr>
            <w:r w:rsidRPr="00DD44EF">
              <w:rPr>
                <w:rFonts w:ascii="Times New Roman" w:hAnsi="Times New Roman" w:cs="Times New Roman"/>
                <w:b/>
                <w:sz w:val="24"/>
                <w:szCs w:val="24"/>
              </w:rPr>
              <w:t>Overall difference per indicator</w:t>
            </w:r>
          </w:p>
        </w:tc>
      </w:tr>
      <w:tr w:rsidR="00C84F23" w:rsidRPr="00DD44EF" w14:paraId="625A6D4F" w14:textId="77777777" w:rsidTr="00C84F23">
        <w:tc>
          <w:tcPr>
            <w:tcW w:w="2660" w:type="dxa"/>
            <w:vAlign w:val="center"/>
          </w:tcPr>
          <w:p w14:paraId="0576FBB0"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General Engagement</w:t>
            </w:r>
          </w:p>
        </w:tc>
        <w:tc>
          <w:tcPr>
            <w:tcW w:w="1559" w:type="dxa"/>
            <w:vAlign w:val="center"/>
          </w:tcPr>
          <w:p w14:paraId="40A2305B"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42%</w:t>
            </w:r>
          </w:p>
        </w:tc>
        <w:tc>
          <w:tcPr>
            <w:tcW w:w="1701" w:type="dxa"/>
            <w:vAlign w:val="center"/>
          </w:tcPr>
          <w:p w14:paraId="2925ED59"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34%</w:t>
            </w:r>
          </w:p>
        </w:tc>
        <w:tc>
          <w:tcPr>
            <w:tcW w:w="1421" w:type="dxa"/>
            <w:vAlign w:val="center"/>
          </w:tcPr>
          <w:p w14:paraId="2F0F4474"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24%</w:t>
            </w:r>
          </w:p>
        </w:tc>
        <w:tc>
          <w:tcPr>
            <w:tcW w:w="1422" w:type="dxa"/>
            <w:vAlign w:val="center"/>
          </w:tcPr>
          <w:p w14:paraId="77C1D6CD"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+ 8%</w:t>
            </w:r>
          </w:p>
        </w:tc>
      </w:tr>
      <w:tr w:rsidR="00C84F23" w:rsidRPr="00DD44EF" w14:paraId="30E74B8A" w14:textId="77777777" w:rsidTr="00C84F23">
        <w:tc>
          <w:tcPr>
            <w:tcW w:w="2660" w:type="dxa"/>
            <w:vAlign w:val="center"/>
          </w:tcPr>
          <w:p w14:paraId="42204CD6"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Level of Enjoyment</w:t>
            </w:r>
          </w:p>
        </w:tc>
        <w:tc>
          <w:tcPr>
            <w:tcW w:w="1559" w:type="dxa"/>
            <w:vAlign w:val="center"/>
          </w:tcPr>
          <w:p w14:paraId="6C307F1D"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48%</w:t>
            </w:r>
          </w:p>
        </w:tc>
        <w:tc>
          <w:tcPr>
            <w:tcW w:w="1701" w:type="dxa"/>
            <w:vAlign w:val="center"/>
          </w:tcPr>
          <w:p w14:paraId="1B895F6B"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35%</w:t>
            </w:r>
          </w:p>
        </w:tc>
        <w:tc>
          <w:tcPr>
            <w:tcW w:w="1421" w:type="dxa"/>
            <w:vAlign w:val="center"/>
          </w:tcPr>
          <w:p w14:paraId="001E444C"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17%</w:t>
            </w:r>
          </w:p>
        </w:tc>
        <w:tc>
          <w:tcPr>
            <w:tcW w:w="1422" w:type="dxa"/>
            <w:vAlign w:val="center"/>
          </w:tcPr>
          <w:p w14:paraId="242EC278"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+ 13%</w:t>
            </w:r>
          </w:p>
        </w:tc>
      </w:tr>
      <w:tr w:rsidR="00C84F23" w:rsidRPr="00DD44EF" w14:paraId="681A2017" w14:textId="77777777" w:rsidTr="00C84F23">
        <w:tc>
          <w:tcPr>
            <w:tcW w:w="2660" w:type="dxa"/>
            <w:vAlign w:val="center"/>
          </w:tcPr>
          <w:p w14:paraId="3449BC1C"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Capacity for Perception of Detail</w:t>
            </w:r>
          </w:p>
        </w:tc>
        <w:tc>
          <w:tcPr>
            <w:tcW w:w="1559" w:type="dxa"/>
            <w:vAlign w:val="center"/>
          </w:tcPr>
          <w:p w14:paraId="0BC242E2"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48%</w:t>
            </w:r>
          </w:p>
        </w:tc>
        <w:tc>
          <w:tcPr>
            <w:tcW w:w="1701" w:type="dxa"/>
            <w:vAlign w:val="center"/>
          </w:tcPr>
          <w:p w14:paraId="368CA13C"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21%</w:t>
            </w:r>
          </w:p>
        </w:tc>
        <w:tc>
          <w:tcPr>
            <w:tcW w:w="1421" w:type="dxa"/>
            <w:vAlign w:val="center"/>
          </w:tcPr>
          <w:p w14:paraId="4C123910"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31%</w:t>
            </w:r>
          </w:p>
        </w:tc>
        <w:tc>
          <w:tcPr>
            <w:tcW w:w="1422" w:type="dxa"/>
            <w:vAlign w:val="center"/>
          </w:tcPr>
          <w:p w14:paraId="7223F27A"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+ 27%</w:t>
            </w:r>
          </w:p>
        </w:tc>
      </w:tr>
      <w:tr w:rsidR="00C84F23" w:rsidRPr="00DD44EF" w14:paraId="29827451" w14:textId="77777777" w:rsidTr="00C84F23">
        <w:tc>
          <w:tcPr>
            <w:tcW w:w="2660" w:type="dxa"/>
            <w:vAlign w:val="center"/>
          </w:tcPr>
          <w:p w14:paraId="4D4DF03D"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Capacity for Perception of Artistic Skill</w:t>
            </w:r>
          </w:p>
        </w:tc>
        <w:tc>
          <w:tcPr>
            <w:tcW w:w="1559" w:type="dxa"/>
            <w:vAlign w:val="center"/>
          </w:tcPr>
          <w:p w14:paraId="420644DA"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48%</w:t>
            </w:r>
          </w:p>
        </w:tc>
        <w:tc>
          <w:tcPr>
            <w:tcW w:w="1701" w:type="dxa"/>
            <w:vAlign w:val="center"/>
          </w:tcPr>
          <w:p w14:paraId="058C403B"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38%</w:t>
            </w:r>
          </w:p>
        </w:tc>
        <w:tc>
          <w:tcPr>
            <w:tcW w:w="1421" w:type="dxa"/>
            <w:vAlign w:val="center"/>
          </w:tcPr>
          <w:p w14:paraId="7088D386"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14%</w:t>
            </w:r>
          </w:p>
        </w:tc>
        <w:tc>
          <w:tcPr>
            <w:tcW w:w="1422" w:type="dxa"/>
            <w:vAlign w:val="center"/>
          </w:tcPr>
          <w:p w14:paraId="4C27AF72"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+ 10%</w:t>
            </w:r>
          </w:p>
        </w:tc>
      </w:tr>
      <w:tr w:rsidR="00C84F23" w:rsidRPr="00DD44EF" w14:paraId="4E17F3DD" w14:textId="77777777" w:rsidTr="00C84F23">
        <w:tc>
          <w:tcPr>
            <w:tcW w:w="2660" w:type="dxa"/>
            <w:vAlign w:val="center"/>
          </w:tcPr>
          <w:p w14:paraId="0CB52158"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Levels of Emotional Investment</w:t>
            </w:r>
          </w:p>
        </w:tc>
        <w:tc>
          <w:tcPr>
            <w:tcW w:w="1559" w:type="dxa"/>
            <w:vAlign w:val="center"/>
          </w:tcPr>
          <w:p w14:paraId="1BCCDF40"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52%</w:t>
            </w:r>
          </w:p>
        </w:tc>
        <w:tc>
          <w:tcPr>
            <w:tcW w:w="1701" w:type="dxa"/>
            <w:vAlign w:val="center"/>
          </w:tcPr>
          <w:p w14:paraId="1D9D4928"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31%</w:t>
            </w:r>
          </w:p>
        </w:tc>
        <w:tc>
          <w:tcPr>
            <w:tcW w:w="1421" w:type="dxa"/>
            <w:vAlign w:val="center"/>
          </w:tcPr>
          <w:p w14:paraId="360C5222"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17%</w:t>
            </w:r>
          </w:p>
        </w:tc>
        <w:tc>
          <w:tcPr>
            <w:tcW w:w="1422" w:type="dxa"/>
            <w:vAlign w:val="center"/>
          </w:tcPr>
          <w:p w14:paraId="11B7AA96"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+ 21%</w:t>
            </w:r>
          </w:p>
        </w:tc>
      </w:tr>
      <w:tr w:rsidR="00C84F23" w:rsidRPr="00DD44EF" w14:paraId="0B31FF80" w14:textId="77777777" w:rsidTr="00C84F23">
        <w:tc>
          <w:tcPr>
            <w:tcW w:w="2660" w:type="dxa"/>
            <w:vAlign w:val="center"/>
          </w:tcPr>
          <w:p w14:paraId="07F3480B"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Extent to which the Emotion was Identified as relating to the Image (rather than to the description)</w:t>
            </w:r>
          </w:p>
        </w:tc>
        <w:tc>
          <w:tcPr>
            <w:tcW w:w="1559" w:type="dxa"/>
            <w:vAlign w:val="center"/>
          </w:tcPr>
          <w:p w14:paraId="1B1F90E9"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54%</w:t>
            </w:r>
          </w:p>
        </w:tc>
        <w:tc>
          <w:tcPr>
            <w:tcW w:w="1701" w:type="dxa"/>
            <w:vAlign w:val="center"/>
          </w:tcPr>
          <w:p w14:paraId="2506F5FD"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19%</w:t>
            </w:r>
          </w:p>
        </w:tc>
        <w:tc>
          <w:tcPr>
            <w:tcW w:w="1421" w:type="dxa"/>
            <w:vAlign w:val="center"/>
          </w:tcPr>
          <w:p w14:paraId="1717BF5B"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27%</w:t>
            </w:r>
          </w:p>
        </w:tc>
        <w:tc>
          <w:tcPr>
            <w:tcW w:w="1422" w:type="dxa"/>
            <w:vAlign w:val="center"/>
          </w:tcPr>
          <w:p w14:paraId="0514D4BD"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+ 35%</w:t>
            </w:r>
          </w:p>
        </w:tc>
      </w:tr>
      <w:tr w:rsidR="00C84F23" w:rsidRPr="00DD44EF" w14:paraId="4E9EDFBB" w14:textId="77777777" w:rsidTr="00C84F23">
        <w:tc>
          <w:tcPr>
            <w:tcW w:w="2660" w:type="dxa"/>
            <w:vAlign w:val="center"/>
          </w:tcPr>
          <w:p w14:paraId="182384C1"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Capacity for Appreciation of Expressiveness</w:t>
            </w:r>
          </w:p>
        </w:tc>
        <w:tc>
          <w:tcPr>
            <w:tcW w:w="1559" w:type="dxa"/>
            <w:vAlign w:val="center"/>
          </w:tcPr>
          <w:p w14:paraId="25A89CE2"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59%</w:t>
            </w:r>
          </w:p>
        </w:tc>
        <w:tc>
          <w:tcPr>
            <w:tcW w:w="1701" w:type="dxa"/>
            <w:vAlign w:val="center"/>
          </w:tcPr>
          <w:p w14:paraId="5097497D"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20.5%</w:t>
            </w:r>
          </w:p>
        </w:tc>
        <w:tc>
          <w:tcPr>
            <w:tcW w:w="1421" w:type="dxa"/>
            <w:vAlign w:val="center"/>
          </w:tcPr>
          <w:p w14:paraId="56EB33E0"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20.5%</w:t>
            </w:r>
          </w:p>
        </w:tc>
        <w:tc>
          <w:tcPr>
            <w:tcW w:w="1422" w:type="dxa"/>
            <w:vAlign w:val="center"/>
          </w:tcPr>
          <w:p w14:paraId="1831EEB2"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+ 38.5%</w:t>
            </w:r>
          </w:p>
        </w:tc>
      </w:tr>
      <w:tr w:rsidR="00C84F23" w:rsidRPr="00DD44EF" w14:paraId="62674588" w14:textId="77777777" w:rsidTr="00C84F23">
        <w:tc>
          <w:tcPr>
            <w:tcW w:w="2660" w:type="dxa"/>
            <w:vAlign w:val="center"/>
          </w:tcPr>
          <w:p w14:paraId="3FF9E432"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Capacity for Appreciating the Originality of the Painting</w:t>
            </w:r>
          </w:p>
        </w:tc>
        <w:tc>
          <w:tcPr>
            <w:tcW w:w="1559" w:type="dxa"/>
            <w:vAlign w:val="center"/>
          </w:tcPr>
          <w:p w14:paraId="70B43524"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50%</w:t>
            </w:r>
          </w:p>
        </w:tc>
        <w:tc>
          <w:tcPr>
            <w:tcW w:w="1701" w:type="dxa"/>
            <w:vAlign w:val="center"/>
          </w:tcPr>
          <w:p w14:paraId="4C67A442"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28.5%</w:t>
            </w:r>
          </w:p>
        </w:tc>
        <w:tc>
          <w:tcPr>
            <w:tcW w:w="1421" w:type="dxa"/>
            <w:vAlign w:val="center"/>
          </w:tcPr>
          <w:p w14:paraId="3F154D52"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21.5%</w:t>
            </w:r>
          </w:p>
        </w:tc>
        <w:tc>
          <w:tcPr>
            <w:tcW w:w="1422" w:type="dxa"/>
            <w:vAlign w:val="center"/>
          </w:tcPr>
          <w:p w14:paraId="2F44185C"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+ 21.5%</w:t>
            </w:r>
          </w:p>
        </w:tc>
      </w:tr>
      <w:tr w:rsidR="00C84F23" w:rsidRPr="00DD44EF" w14:paraId="225EB500" w14:textId="77777777" w:rsidTr="00C84F23">
        <w:tc>
          <w:tcPr>
            <w:tcW w:w="2660" w:type="dxa"/>
            <w:vAlign w:val="center"/>
          </w:tcPr>
          <w:p w14:paraId="2EE35084"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General Impact</w:t>
            </w:r>
          </w:p>
        </w:tc>
        <w:tc>
          <w:tcPr>
            <w:tcW w:w="1559" w:type="dxa"/>
            <w:vAlign w:val="center"/>
          </w:tcPr>
          <w:p w14:paraId="6194B72F"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59%</w:t>
            </w:r>
          </w:p>
        </w:tc>
        <w:tc>
          <w:tcPr>
            <w:tcW w:w="1701" w:type="dxa"/>
            <w:vAlign w:val="center"/>
          </w:tcPr>
          <w:p w14:paraId="2144811C"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15%</w:t>
            </w:r>
          </w:p>
        </w:tc>
        <w:tc>
          <w:tcPr>
            <w:tcW w:w="1421" w:type="dxa"/>
            <w:vAlign w:val="center"/>
          </w:tcPr>
          <w:p w14:paraId="5C19CC63"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26%</w:t>
            </w:r>
          </w:p>
        </w:tc>
        <w:tc>
          <w:tcPr>
            <w:tcW w:w="1422" w:type="dxa"/>
            <w:vAlign w:val="center"/>
          </w:tcPr>
          <w:p w14:paraId="64C2DB2A"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+ 44%</w:t>
            </w:r>
          </w:p>
        </w:tc>
      </w:tr>
      <w:tr w:rsidR="00C84F23" w:rsidRPr="00DD44EF" w14:paraId="3B5CF08B" w14:textId="77777777" w:rsidTr="00C84F23">
        <w:trPr>
          <w:trHeight w:val="480"/>
        </w:trPr>
        <w:tc>
          <w:tcPr>
            <w:tcW w:w="2660" w:type="dxa"/>
            <w:vAlign w:val="center"/>
          </w:tcPr>
          <w:p w14:paraId="26527334"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Impact as a Unified Whole</w:t>
            </w:r>
          </w:p>
        </w:tc>
        <w:tc>
          <w:tcPr>
            <w:tcW w:w="1559" w:type="dxa"/>
            <w:vAlign w:val="center"/>
          </w:tcPr>
          <w:p w14:paraId="441A6031"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68%</w:t>
            </w:r>
          </w:p>
        </w:tc>
        <w:tc>
          <w:tcPr>
            <w:tcW w:w="1701" w:type="dxa"/>
            <w:vAlign w:val="center"/>
          </w:tcPr>
          <w:p w14:paraId="42E90A86"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18%</w:t>
            </w:r>
          </w:p>
        </w:tc>
        <w:tc>
          <w:tcPr>
            <w:tcW w:w="1421" w:type="dxa"/>
            <w:vAlign w:val="center"/>
          </w:tcPr>
          <w:p w14:paraId="01457E8A"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14%</w:t>
            </w:r>
          </w:p>
        </w:tc>
        <w:tc>
          <w:tcPr>
            <w:tcW w:w="1422" w:type="dxa"/>
            <w:vAlign w:val="center"/>
          </w:tcPr>
          <w:p w14:paraId="62142F06"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sz w:val="24"/>
                <w:szCs w:val="24"/>
              </w:rPr>
            </w:pPr>
            <w:r w:rsidRPr="00DD44EF">
              <w:rPr>
                <w:rFonts w:ascii="Times New Roman" w:hAnsi="Times New Roman" w:cs="Times New Roman"/>
                <w:sz w:val="24"/>
                <w:szCs w:val="24"/>
              </w:rPr>
              <w:t>+ 50%</w:t>
            </w:r>
          </w:p>
        </w:tc>
      </w:tr>
      <w:tr w:rsidR="00C84F23" w:rsidRPr="00DD44EF" w14:paraId="774AFF2F" w14:textId="77777777" w:rsidTr="007A4203">
        <w:trPr>
          <w:trHeight w:val="480"/>
        </w:trPr>
        <w:tc>
          <w:tcPr>
            <w:tcW w:w="7341" w:type="dxa"/>
            <w:gridSpan w:val="4"/>
            <w:vAlign w:val="center"/>
          </w:tcPr>
          <w:p w14:paraId="7784D0FF"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b/>
                <w:sz w:val="24"/>
                <w:szCs w:val="24"/>
              </w:rPr>
            </w:pPr>
            <w:r w:rsidRPr="00DD44EF">
              <w:rPr>
                <w:rFonts w:ascii="Times New Roman" w:hAnsi="Times New Roman" w:cs="Times New Roman"/>
                <w:b/>
                <w:sz w:val="24"/>
                <w:szCs w:val="24"/>
              </w:rPr>
              <w:t>Percentage of participants whose perceived levels of activity in the art engagement process increased when access was structured around their perception</w:t>
            </w:r>
          </w:p>
        </w:tc>
        <w:tc>
          <w:tcPr>
            <w:tcW w:w="1422" w:type="dxa"/>
          </w:tcPr>
          <w:p w14:paraId="3D52B1EF" w14:textId="77777777" w:rsidR="00980048" w:rsidRPr="00DD44EF" w:rsidRDefault="00980048" w:rsidP="00623558">
            <w:pPr>
              <w:widowControl w:val="0"/>
              <w:autoSpaceDE w:val="0"/>
              <w:autoSpaceDN w:val="0"/>
              <w:adjustRightInd w:val="0"/>
              <w:spacing w:after="0" w:line="23" w:lineRule="atLeast"/>
              <w:jc w:val="center"/>
              <w:rPr>
                <w:rFonts w:ascii="Times New Roman" w:hAnsi="Times New Roman" w:cs="Times New Roman"/>
                <w:b/>
                <w:sz w:val="24"/>
                <w:szCs w:val="24"/>
              </w:rPr>
            </w:pPr>
          </w:p>
          <w:p w14:paraId="2880FBDC" w14:textId="77777777" w:rsidR="00C84F23" w:rsidRPr="00DD44EF" w:rsidRDefault="00C84F23" w:rsidP="00623558">
            <w:pPr>
              <w:widowControl w:val="0"/>
              <w:autoSpaceDE w:val="0"/>
              <w:autoSpaceDN w:val="0"/>
              <w:adjustRightInd w:val="0"/>
              <w:spacing w:after="0" w:line="23" w:lineRule="atLeast"/>
              <w:jc w:val="center"/>
              <w:rPr>
                <w:rFonts w:ascii="Times New Roman" w:hAnsi="Times New Roman" w:cs="Times New Roman"/>
                <w:b/>
                <w:sz w:val="24"/>
                <w:szCs w:val="24"/>
              </w:rPr>
            </w:pPr>
            <w:r w:rsidRPr="00DD44EF">
              <w:rPr>
                <w:rFonts w:ascii="Times New Roman" w:hAnsi="Times New Roman" w:cs="Times New Roman"/>
                <w:b/>
                <w:sz w:val="24"/>
                <w:szCs w:val="24"/>
              </w:rPr>
              <w:t>72%</w:t>
            </w:r>
          </w:p>
        </w:tc>
      </w:tr>
    </w:tbl>
    <w:p w14:paraId="132CAD3B" w14:textId="77777777" w:rsidR="00C84F23" w:rsidRPr="00DD44EF" w:rsidRDefault="00C84F23" w:rsidP="00623558">
      <w:pPr>
        <w:widowControl w:val="0"/>
        <w:autoSpaceDE w:val="0"/>
        <w:autoSpaceDN w:val="0"/>
        <w:adjustRightInd w:val="0"/>
        <w:spacing w:after="0" w:line="23" w:lineRule="atLeast"/>
        <w:jc w:val="both"/>
        <w:rPr>
          <w:rFonts w:ascii="Times New Roman" w:hAnsi="Times New Roman" w:cs="Times New Roman"/>
          <w:sz w:val="24"/>
          <w:szCs w:val="24"/>
        </w:rPr>
      </w:pPr>
    </w:p>
    <w:p w14:paraId="33FE6D5A" w14:textId="77777777" w:rsidR="00C84F23" w:rsidRPr="00DD44EF" w:rsidRDefault="00C84F23" w:rsidP="00623558">
      <w:pPr>
        <w:widowControl w:val="0"/>
        <w:autoSpaceDE w:val="0"/>
        <w:autoSpaceDN w:val="0"/>
        <w:adjustRightInd w:val="0"/>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 xml:space="preserve">In each of the 10 sub-categories of aesthetic engagement studied, participants experienced an overall increase in engagement when access was structured around what they perceived rather than what was perceived by their fully sighted access facilitator. The greatest increase was 50% (perception of the impact of the image as a unified whole), while the smallest increase was 8% (level of enjoyment). </w:t>
      </w:r>
      <w:r w:rsidR="00980048" w:rsidRPr="00DD44EF">
        <w:rPr>
          <w:rFonts w:ascii="Times New Roman" w:hAnsi="Times New Roman" w:cs="Times New Roman"/>
          <w:sz w:val="24"/>
          <w:szCs w:val="24"/>
        </w:rPr>
        <w:t xml:space="preserve">The average increase among all indicators of aesthetic engagement was 26.8%. </w:t>
      </w:r>
      <w:r w:rsidRPr="00DD44EF">
        <w:rPr>
          <w:rFonts w:ascii="Times New Roman" w:hAnsi="Times New Roman" w:cs="Times New Roman"/>
          <w:sz w:val="24"/>
          <w:szCs w:val="24"/>
        </w:rPr>
        <w:t xml:space="preserve">The </w:t>
      </w:r>
      <w:r w:rsidR="00980048" w:rsidRPr="00DD44EF">
        <w:rPr>
          <w:rFonts w:ascii="Times New Roman" w:hAnsi="Times New Roman" w:cs="Times New Roman"/>
          <w:sz w:val="24"/>
          <w:szCs w:val="24"/>
        </w:rPr>
        <w:t>number</w:t>
      </w:r>
      <w:r w:rsidRPr="00DD44EF">
        <w:rPr>
          <w:rFonts w:ascii="Times New Roman" w:hAnsi="Times New Roman" w:cs="Times New Roman"/>
          <w:sz w:val="24"/>
          <w:szCs w:val="24"/>
        </w:rPr>
        <w:t xml:space="preserve"> of participants who exp</w:t>
      </w:r>
      <w:r w:rsidR="00980048" w:rsidRPr="00DD44EF">
        <w:rPr>
          <w:rFonts w:ascii="Times New Roman" w:hAnsi="Times New Roman" w:cs="Times New Roman"/>
          <w:sz w:val="24"/>
          <w:szCs w:val="24"/>
        </w:rPr>
        <w:t>erienced an overall increase in engagement levels with the use of Sight-Sim™ exceeded the number of those who experienced a decrease in engagement levels by</w:t>
      </w:r>
      <w:r w:rsidRPr="00DD44EF">
        <w:rPr>
          <w:rFonts w:ascii="Times New Roman" w:hAnsi="Times New Roman" w:cs="Times New Roman"/>
          <w:sz w:val="24"/>
          <w:szCs w:val="24"/>
        </w:rPr>
        <w:t xml:space="preserve"> 34.7%. The average size of increase was also marginally greater than the average decrease (3.194/10 versus 3.0495/10). Participants were also asked about shifts in their perceived activity levels when access provision was structured around their perception rather than that of their fully sighted access facilitator. 72% of participants attested to a perceived rise in activity levels. 94.5% of this group regarded the increased activity levels as a positive development.</w:t>
      </w:r>
    </w:p>
    <w:p w14:paraId="42B5E305" w14:textId="77777777" w:rsidR="00F449C4" w:rsidRPr="00DD44EF" w:rsidRDefault="00F449C4" w:rsidP="00623558">
      <w:pPr>
        <w:spacing w:after="0" w:line="23" w:lineRule="atLeast"/>
        <w:rPr>
          <w:rFonts w:ascii="Times New Roman" w:hAnsi="Times New Roman" w:cs="Times New Roman"/>
          <w:sz w:val="24"/>
          <w:szCs w:val="24"/>
        </w:rPr>
      </w:pPr>
    </w:p>
    <w:p w14:paraId="56D3220A" w14:textId="77777777" w:rsidR="000B3D6E" w:rsidRDefault="007F3503">
      <w:pPr>
        <w:spacing w:after="120"/>
        <w:rPr>
          <w:rFonts w:ascii="Times New Roman" w:hAnsi="Times New Roman" w:cs="Times New Roman"/>
          <w:b/>
          <w:sz w:val="24"/>
          <w:szCs w:val="24"/>
        </w:rPr>
      </w:pPr>
      <w:r w:rsidRPr="00122075">
        <w:rPr>
          <w:rFonts w:ascii="Times New Roman" w:hAnsi="Times New Roman" w:cs="Times New Roman"/>
          <w:b/>
          <w:sz w:val="24"/>
          <w:szCs w:val="24"/>
        </w:rPr>
        <w:t>Comments on Findings</w:t>
      </w:r>
    </w:p>
    <w:p w14:paraId="7CCDB0B2" w14:textId="40B7EEAA" w:rsidR="00B11AE4" w:rsidRPr="00DD44EF" w:rsidRDefault="00F449C4"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The opportunity afforded by the software to address assumptions that have traditionall</w:t>
      </w:r>
      <w:r w:rsidR="00B11AE4" w:rsidRPr="00DD44EF">
        <w:rPr>
          <w:rFonts w:ascii="Times New Roman" w:hAnsi="Times New Roman" w:cs="Times New Roman"/>
          <w:sz w:val="24"/>
          <w:szCs w:val="24"/>
        </w:rPr>
        <w:t>y been made about what</w:t>
      </w:r>
      <w:r w:rsidRPr="00DD44EF">
        <w:rPr>
          <w:rFonts w:ascii="Times New Roman" w:hAnsi="Times New Roman" w:cs="Times New Roman"/>
          <w:sz w:val="24"/>
          <w:szCs w:val="24"/>
        </w:rPr>
        <w:t xml:space="preserve"> gallery visitors with visual impairment</w:t>
      </w:r>
      <w:r w:rsidR="00B11AE4" w:rsidRPr="00DD44EF">
        <w:rPr>
          <w:rFonts w:ascii="Times New Roman" w:hAnsi="Times New Roman" w:cs="Times New Roman"/>
          <w:sz w:val="24"/>
          <w:szCs w:val="24"/>
        </w:rPr>
        <w:t xml:space="preserve"> see when standing in front of paintings is one of the more directly identifiable benefits to have been derived from this trial of disability simulation within a gallery context</w:t>
      </w:r>
      <w:r w:rsidRPr="00DD44EF">
        <w:rPr>
          <w:rFonts w:ascii="Times New Roman" w:hAnsi="Times New Roman" w:cs="Times New Roman"/>
          <w:sz w:val="24"/>
          <w:szCs w:val="24"/>
        </w:rPr>
        <w:t>.</w:t>
      </w:r>
      <w:r w:rsidR="00B11AE4" w:rsidRPr="00DD44EF">
        <w:rPr>
          <w:rFonts w:ascii="Times New Roman" w:hAnsi="Times New Roman" w:cs="Times New Roman"/>
          <w:sz w:val="24"/>
          <w:szCs w:val="24"/>
        </w:rPr>
        <w:t xml:space="preserve"> The capacity of the verbal descriptions </w:t>
      </w:r>
      <w:r w:rsidR="00077B6E">
        <w:rPr>
          <w:rFonts w:ascii="Times New Roman" w:hAnsi="Times New Roman" w:cs="Times New Roman"/>
          <w:sz w:val="24"/>
          <w:szCs w:val="24"/>
        </w:rPr>
        <w:t xml:space="preserve">to do justice to the impact of which art is capable </w:t>
      </w:r>
      <w:r w:rsidR="00B11AE4" w:rsidRPr="00DD44EF">
        <w:rPr>
          <w:rFonts w:ascii="Times New Roman" w:hAnsi="Times New Roman" w:cs="Times New Roman"/>
          <w:sz w:val="24"/>
          <w:szCs w:val="24"/>
        </w:rPr>
        <w:t xml:space="preserve">is a contested issue, and one that I have </w:t>
      </w:r>
      <w:r w:rsidR="008D766C">
        <w:rPr>
          <w:rFonts w:ascii="Times New Roman" w:hAnsi="Times New Roman" w:cs="Times New Roman"/>
          <w:sz w:val="24"/>
          <w:szCs w:val="24"/>
        </w:rPr>
        <w:t>written about elsewhere (Feeney</w:t>
      </w:r>
      <w:r w:rsidR="00B11AE4" w:rsidRPr="00DD44EF">
        <w:rPr>
          <w:rFonts w:ascii="Times New Roman" w:hAnsi="Times New Roman" w:cs="Times New Roman"/>
          <w:sz w:val="24"/>
          <w:szCs w:val="24"/>
        </w:rPr>
        <w:t xml:space="preserve"> 2007). The issue is too complex to attempt to resolve here, but it would seem likely that the potential for words to facilitate meaningful aesthetic experiences in such a context is impeded in cases where the words have a very tenuous relation to what visitors with visual impairment actually perceive. Having, </w:t>
      </w:r>
      <w:r w:rsidR="00F81245" w:rsidRPr="00DD44EF">
        <w:rPr>
          <w:rFonts w:ascii="Times New Roman" w:hAnsi="Times New Roman" w:cs="Times New Roman"/>
          <w:sz w:val="24"/>
          <w:szCs w:val="24"/>
        </w:rPr>
        <w:t xml:space="preserve">initially </w:t>
      </w:r>
      <w:r w:rsidR="00B11AE4" w:rsidRPr="00DD44EF">
        <w:rPr>
          <w:rFonts w:ascii="Times New Roman" w:hAnsi="Times New Roman" w:cs="Times New Roman"/>
          <w:sz w:val="24"/>
          <w:szCs w:val="24"/>
        </w:rPr>
        <w:t xml:space="preserve">against my better judgment, trialled an innovative approach to disability simulation, I would argue that the particular approach described here can be of significant value within an art access </w:t>
      </w:r>
      <w:r w:rsidR="00077B6E">
        <w:rPr>
          <w:rFonts w:ascii="Times New Roman" w:hAnsi="Times New Roman" w:cs="Times New Roman"/>
          <w:sz w:val="24"/>
          <w:szCs w:val="24"/>
        </w:rPr>
        <w:t>context. This value has very little</w:t>
      </w:r>
      <w:r w:rsidR="00B11AE4" w:rsidRPr="00DD44EF">
        <w:rPr>
          <w:rFonts w:ascii="Times New Roman" w:hAnsi="Times New Roman" w:cs="Times New Roman"/>
          <w:sz w:val="24"/>
          <w:szCs w:val="24"/>
        </w:rPr>
        <w:t xml:space="preserve"> to do with the apologias for simulation that one finds in the litera</w:t>
      </w:r>
      <w:r w:rsidR="00077B6E">
        <w:rPr>
          <w:rFonts w:ascii="Times New Roman" w:hAnsi="Times New Roman" w:cs="Times New Roman"/>
          <w:sz w:val="24"/>
          <w:szCs w:val="24"/>
        </w:rPr>
        <w:t>ture. T</w:t>
      </w:r>
      <w:r w:rsidR="00B11AE4" w:rsidRPr="00DD44EF">
        <w:rPr>
          <w:rFonts w:ascii="Times New Roman" w:hAnsi="Times New Roman" w:cs="Times New Roman"/>
          <w:sz w:val="24"/>
          <w:szCs w:val="24"/>
        </w:rPr>
        <w:t xml:space="preserve">he </w:t>
      </w:r>
      <w:r w:rsidR="00077B6E">
        <w:rPr>
          <w:rFonts w:ascii="Times New Roman" w:hAnsi="Times New Roman" w:cs="Times New Roman"/>
          <w:sz w:val="24"/>
          <w:szCs w:val="24"/>
        </w:rPr>
        <w:t>value derived from the particular application of simulation</w:t>
      </w:r>
      <w:r w:rsidR="007F348F" w:rsidRPr="00DD44EF">
        <w:rPr>
          <w:rFonts w:ascii="Times New Roman" w:hAnsi="Times New Roman" w:cs="Times New Roman"/>
          <w:sz w:val="24"/>
          <w:szCs w:val="24"/>
        </w:rPr>
        <w:t xml:space="preserve"> </w:t>
      </w:r>
      <w:r w:rsidR="00B11AE4" w:rsidRPr="00DD44EF">
        <w:rPr>
          <w:rFonts w:ascii="Times New Roman" w:hAnsi="Times New Roman" w:cs="Times New Roman"/>
          <w:sz w:val="24"/>
          <w:szCs w:val="24"/>
        </w:rPr>
        <w:t>described here</w:t>
      </w:r>
      <w:r w:rsidR="00077B6E">
        <w:rPr>
          <w:rFonts w:ascii="Times New Roman" w:hAnsi="Times New Roman" w:cs="Times New Roman"/>
          <w:sz w:val="24"/>
          <w:szCs w:val="24"/>
        </w:rPr>
        <w:t xml:space="preserve"> can be outlin</w:t>
      </w:r>
      <w:r w:rsidR="007F348F" w:rsidRPr="00DD44EF">
        <w:rPr>
          <w:rFonts w:ascii="Times New Roman" w:hAnsi="Times New Roman" w:cs="Times New Roman"/>
          <w:sz w:val="24"/>
          <w:szCs w:val="24"/>
        </w:rPr>
        <w:t xml:space="preserve">ed in relation to </w:t>
      </w:r>
      <w:r w:rsidR="007F3503" w:rsidRPr="00122075">
        <w:rPr>
          <w:rFonts w:ascii="Times New Roman" w:hAnsi="Times New Roman" w:cs="Times New Roman"/>
          <w:sz w:val="24"/>
          <w:szCs w:val="24"/>
        </w:rPr>
        <w:t>four distinct but interrelated factors.</w:t>
      </w:r>
    </w:p>
    <w:p w14:paraId="7A009F69" w14:textId="77777777" w:rsidR="00B11AE4" w:rsidRPr="00DD44EF" w:rsidRDefault="00B11AE4" w:rsidP="00623558">
      <w:pPr>
        <w:spacing w:after="0" w:line="23" w:lineRule="atLeast"/>
        <w:jc w:val="both"/>
        <w:rPr>
          <w:rFonts w:ascii="Times New Roman" w:hAnsi="Times New Roman" w:cs="Times New Roman"/>
          <w:sz w:val="24"/>
          <w:szCs w:val="24"/>
        </w:rPr>
      </w:pPr>
    </w:p>
    <w:p w14:paraId="04F07E01" w14:textId="77777777" w:rsidR="0016461A" w:rsidRPr="006D3F42" w:rsidRDefault="007F348F" w:rsidP="001526DA">
      <w:pPr>
        <w:spacing w:after="120"/>
        <w:jc w:val="both"/>
        <w:rPr>
          <w:rFonts w:ascii="Times New Roman" w:hAnsi="Times New Roman" w:cs="Times New Roman"/>
          <w:b/>
          <w:i/>
          <w:sz w:val="24"/>
          <w:szCs w:val="24"/>
        </w:rPr>
      </w:pPr>
      <w:r w:rsidRPr="006D3F42">
        <w:rPr>
          <w:rFonts w:ascii="Times New Roman" w:hAnsi="Times New Roman" w:cs="Times New Roman"/>
          <w:b/>
          <w:i/>
          <w:sz w:val="24"/>
          <w:szCs w:val="24"/>
        </w:rPr>
        <w:t xml:space="preserve">The experiential buttressing of constructivist rhetoric </w:t>
      </w:r>
      <w:r w:rsidR="00E06207" w:rsidRPr="006D3F42">
        <w:rPr>
          <w:rFonts w:ascii="Times New Roman" w:hAnsi="Times New Roman" w:cs="Times New Roman"/>
          <w:b/>
          <w:i/>
          <w:sz w:val="24"/>
          <w:szCs w:val="24"/>
        </w:rPr>
        <w:t>within an art access context</w:t>
      </w:r>
    </w:p>
    <w:p w14:paraId="191E8D69" w14:textId="77777777" w:rsidR="00EB3211" w:rsidRPr="00DD44EF" w:rsidRDefault="0016461A" w:rsidP="00DD44EF">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In recent decades museums and galleries have departed from the traditional paradigm of the transmission of speci</w:t>
      </w:r>
      <w:r w:rsidR="00077B6E">
        <w:rPr>
          <w:rFonts w:ascii="Times New Roman" w:hAnsi="Times New Roman" w:cs="Times New Roman"/>
          <w:sz w:val="24"/>
          <w:szCs w:val="24"/>
        </w:rPr>
        <w:t>alist knowledge and expertise and embraced</w:t>
      </w:r>
      <w:r w:rsidRPr="00DD44EF">
        <w:rPr>
          <w:rFonts w:ascii="Times New Roman" w:hAnsi="Times New Roman" w:cs="Times New Roman"/>
          <w:sz w:val="24"/>
          <w:szCs w:val="24"/>
        </w:rPr>
        <w:t xml:space="preserve"> approaches designed to foregro</w:t>
      </w:r>
      <w:r w:rsidR="00F81245" w:rsidRPr="00DD44EF">
        <w:rPr>
          <w:rFonts w:ascii="Times New Roman" w:hAnsi="Times New Roman" w:cs="Times New Roman"/>
          <w:sz w:val="24"/>
          <w:szCs w:val="24"/>
        </w:rPr>
        <w:t>und the experience of the visitor</w:t>
      </w:r>
      <w:r w:rsidRPr="00DD44EF">
        <w:rPr>
          <w:rFonts w:ascii="Times New Roman" w:hAnsi="Times New Roman" w:cs="Times New Roman"/>
          <w:sz w:val="24"/>
          <w:szCs w:val="24"/>
        </w:rPr>
        <w:t xml:space="preserve"> (Deeth 2012). </w:t>
      </w:r>
      <w:r w:rsidR="00077B6E">
        <w:rPr>
          <w:rFonts w:ascii="Times New Roman" w:hAnsi="Times New Roman" w:cs="Times New Roman"/>
          <w:sz w:val="24"/>
          <w:szCs w:val="24"/>
        </w:rPr>
        <w:t>T</w:t>
      </w:r>
      <w:r w:rsidR="00201230" w:rsidRPr="00DD44EF">
        <w:rPr>
          <w:rFonts w:ascii="Times New Roman" w:hAnsi="Times New Roman" w:cs="Times New Roman"/>
          <w:sz w:val="24"/>
          <w:szCs w:val="24"/>
        </w:rPr>
        <w:t>he role of the gallery visitor in the construction of knowledge and meaning within that environment was a central tenet</w:t>
      </w:r>
      <w:r w:rsidR="00077B6E">
        <w:rPr>
          <w:rFonts w:ascii="Times New Roman" w:hAnsi="Times New Roman" w:cs="Times New Roman"/>
          <w:sz w:val="24"/>
          <w:szCs w:val="24"/>
        </w:rPr>
        <w:t>, for example,</w:t>
      </w:r>
      <w:r w:rsidR="00201230" w:rsidRPr="00DD44EF">
        <w:rPr>
          <w:rFonts w:ascii="Times New Roman" w:hAnsi="Times New Roman" w:cs="Times New Roman"/>
          <w:sz w:val="24"/>
          <w:szCs w:val="24"/>
        </w:rPr>
        <w:t xml:space="preserve"> of </w:t>
      </w:r>
      <w:r w:rsidR="00201230" w:rsidRPr="00077B6E">
        <w:rPr>
          <w:rFonts w:ascii="Times New Roman" w:hAnsi="Times New Roman" w:cs="Times New Roman"/>
          <w:i/>
          <w:sz w:val="24"/>
          <w:szCs w:val="24"/>
        </w:rPr>
        <w:t xml:space="preserve">Lifelong Museum Learning: </w:t>
      </w:r>
      <w:r w:rsidRPr="00077B6E">
        <w:rPr>
          <w:rFonts w:ascii="Times New Roman" w:hAnsi="Times New Roman" w:cs="Times New Roman"/>
          <w:i/>
          <w:sz w:val="24"/>
          <w:szCs w:val="24"/>
        </w:rPr>
        <w:t>A European Handbook</w:t>
      </w:r>
      <w:r w:rsidRPr="00DD44EF">
        <w:rPr>
          <w:rFonts w:ascii="Times New Roman" w:hAnsi="Times New Roman" w:cs="Times New Roman"/>
          <w:sz w:val="24"/>
          <w:szCs w:val="24"/>
        </w:rPr>
        <w:t xml:space="preserve"> (</w:t>
      </w:r>
      <w:r w:rsidR="00E47FC6" w:rsidRPr="00DD44EF">
        <w:rPr>
          <w:rFonts w:ascii="Times New Roman" w:hAnsi="Times New Roman" w:cs="Times New Roman"/>
          <w:sz w:val="24"/>
          <w:szCs w:val="24"/>
        </w:rPr>
        <w:t>Gibb</w:t>
      </w:r>
      <w:r w:rsidRPr="00DD44EF">
        <w:rPr>
          <w:rFonts w:ascii="Times New Roman" w:hAnsi="Times New Roman" w:cs="Times New Roman"/>
          <w:sz w:val="24"/>
          <w:szCs w:val="24"/>
        </w:rPr>
        <w:t>s et al. 2007), a product of the Socrates Grundtvig Programme, a European Union initiative that has had a significant bearing on the nature of subsequent access and widening participation initiatives within the museum and gallery domain. Aligned with the principles of constructivist pedagogy, the approaches endorsed within these guidelines validate the role of the learner in the processes of knowledge construction and the identification of meaning in the course of engagement with environments and subject matter. Within the museum and gallery domain, constructivi</w:t>
      </w:r>
      <w:r w:rsidR="00FE326B" w:rsidRPr="00DD44EF">
        <w:rPr>
          <w:rFonts w:ascii="Times New Roman" w:hAnsi="Times New Roman" w:cs="Times New Roman"/>
          <w:sz w:val="24"/>
          <w:szCs w:val="24"/>
        </w:rPr>
        <w:t>sm has been advocated most influential</w:t>
      </w:r>
      <w:r w:rsidRPr="00DD44EF">
        <w:rPr>
          <w:rFonts w:ascii="Times New Roman" w:hAnsi="Times New Roman" w:cs="Times New Roman"/>
          <w:sz w:val="24"/>
          <w:szCs w:val="24"/>
        </w:rPr>
        <w:t>ly by George Hein (</w:t>
      </w:r>
      <w:r w:rsidR="005E7E2B" w:rsidRPr="00DD44EF">
        <w:rPr>
          <w:rFonts w:ascii="Times New Roman" w:hAnsi="Times New Roman" w:cs="Times New Roman"/>
          <w:sz w:val="24"/>
          <w:szCs w:val="24"/>
        </w:rPr>
        <w:t>1991, 1995, 1998, 2004</w:t>
      </w:r>
      <w:r w:rsidRPr="00DD44EF">
        <w:rPr>
          <w:rFonts w:ascii="Times New Roman" w:hAnsi="Times New Roman" w:cs="Times New Roman"/>
          <w:sz w:val="24"/>
          <w:szCs w:val="24"/>
        </w:rPr>
        <w:t xml:space="preserve">). </w:t>
      </w:r>
      <w:r w:rsidR="00A42E17" w:rsidRPr="00DD44EF">
        <w:rPr>
          <w:rFonts w:ascii="Times New Roman" w:hAnsi="Times New Roman" w:cs="Times New Roman"/>
          <w:sz w:val="24"/>
          <w:szCs w:val="24"/>
        </w:rPr>
        <w:t>Hein accounts for the rationale underpinning constructivism in terms of the freedom if affords to gallery visito</w:t>
      </w:r>
      <w:r w:rsidR="00E5001A">
        <w:rPr>
          <w:rFonts w:ascii="Times New Roman" w:hAnsi="Times New Roman" w:cs="Times New Roman"/>
          <w:sz w:val="24"/>
          <w:szCs w:val="24"/>
        </w:rPr>
        <w:t xml:space="preserve">rs (or learners in general) to “make meaning,” and “construct concepts” </w:t>
      </w:r>
      <w:r w:rsidR="00E5001A">
        <w:rPr>
          <w:rFonts w:ascii="Times New Roman" w:hAnsi="Times New Roman" w:cs="Times New Roman"/>
          <w:sz w:val="24"/>
          <w:szCs w:val="24"/>
        </w:rPr>
        <w:lastRenderedPageBreak/>
        <w:t>by “</w:t>
      </w:r>
      <w:r w:rsidR="00A42E17" w:rsidRPr="00DD44EF">
        <w:rPr>
          <w:rFonts w:ascii="Times New Roman" w:hAnsi="Times New Roman" w:cs="Times New Roman"/>
          <w:sz w:val="24"/>
          <w:szCs w:val="24"/>
        </w:rPr>
        <w:t>convert[ing] sensory input (what we see, hear, feel, and so on) into meaning</w:t>
      </w:r>
      <w:r w:rsidR="00E5001A">
        <w:rPr>
          <w:rFonts w:ascii="Times New Roman" w:hAnsi="Times New Roman" w:cs="Times New Roman"/>
          <w:sz w:val="24"/>
          <w:szCs w:val="24"/>
        </w:rPr>
        <w:t>”</w:t>
      </w:r>
      <w:r w:rsidR="00A42E17" w:rsidRPr="00DD44EF">
        <w:rPr>
          <w:rFonts w:ascii="Times New Roman" w:hAnsi="Times New Roman" w:cs="Times New Roman"/>
          <w:sz w:val="24"/>
          <w:szCs w:val="24"/>
        </w:rPr>
        <w:t xml:space="preserve"> </w:t>
      </w:r>
      <w:r w:rsidR="005E7E2B" w:rsidRPr="00DD44EF">
        <w:rPr>
          <w:rFonts w:ascii="Times New Roman" w:hAnsi="Times New Roman" w:cs="Times New Roman"/>
          <w:sz w:val="24"/>
          <w:szCs w:val="24"/>
        </w:rPr>
        <w:t>(Hein 2004: n.p</w:t>
      </w:r>
      <w:r w:rsidR="00A42E17" w:rsidRPr="00DD44EF">
        <w:rPr>
          <w:rFonts w:ascii="Times New Roman" w:hAnsi="Times New Roman" w:cs="Times New Roman"/>
          <w:sz w:val="24"/>
          <w:szCs w:val="24"/>
        </w:rPr>
        <w:t xml:space="preserve">). </w:t>
      </w:r>
      <w:r w:rsidR="00E06207" w:rsidRPr="00DD44EF">
        <w:rPr>
          <w:rFonts w:ascii="Times New Roman" w:hAnsi="Times New Roman" w:cs="Times New Roman"/>
          <w:sz w:val="24"/>
          <w:szCs w:val="24"/>
        </w:rPr>
        <w:t>Hein’s prefacing of this emphasis on meaning making with the avowal that learning is an ‘active process’ (</w:t>
      </w:r>
      <w:r w:rsidR="00E06207" w:rsidRPr="00DD44EF">
        <w:rPr>
          <w:rFonts w:ascii="Times New Roman" w:hAnsi="Times New Roman" w:cs="Times New Roman"/>
          <w:i/>
          <w:sz w:val="24"/>
          <w:szCs w:val="24"/>
        </w:rPr>
        <w:t>ibid</w:t>
      </w:r>
      <w:r w:rsidR="00E06207" w:rsidRPr="00DD44EF">
        <w:rPr>
          <w:rFonts w:ascii="Times New Roman" w:hAnsi="Times New Roman" w:cs="Times New Roman"/>
          <w:sz w:val="24"/>
          <w:szCs w:val="24"/>
        </w:rPr>
        <w:t>) reaffirms the significance of the fact that almost three quarters of the individuals with visual impairment who partook in simulation-based access activities</w:t>
      </w:r>
      <w:r w:rsidR="00F81245" w:rsidRPr="00DD44EF">
        <w:rPr>
          <w:rFonts w:ascii="Times New Roman" w:hAnsi="Times New Roman" w:cs="Times New Roman"/>
          <w:sz w:val="24"/>
          <w:szCs w:val="24"/>
        </w:rPr>
        <w:t xml:space="preserve"> briefly outlined above</w:t>
      </w:r>
      <w:r w:rsidR="00E06207" w:rsidRPr="00DD44EF">
        <w:rPr>
          <w:rFonts w:ascii="Times New Roman" w:hAnsi="Times New Roman" w:cs="Times New Roman"/>
          <w:sz w:val="24"/>
          <w:szCs w:val="24"/>
        </w:rPr>
        <w:t xml:space="preserve"> reported to have felt more actively involved in the process of art engagement, and that almost all of these regarded this as a positive development. </w:t>
      </w:r>
    </w:p>
    <w:p w14:paraId="4423AC97" w14:textId="77777777" w:rsidR="00EB3211" w:rsidRPr="00DD44EF" w:rsidRDefault="00EB3211" w:rsidP="00623558">
      <w:pPr>
        <w:spacing w:after="0" w:line="23" w:lineRule="atLeast"/>
        <w:jc w:val="both"/>
        <w:rPr>
          <w:rFonts w:ascii="Times New Roman" w:hAnsi="Times New Roman" w:cs="Times New Roman"/>
          <w:sz w:val="24"/>
          <w:szCs w:val="24"/>
        </w:rPr>
      </w:pPr>
    </w:p>
    <w:p w14:paraId="27A10695" w14:textId="77777777" w:rsidR="00C84F23" w:rsidRPr="00DD44EF" w:rsidRDefault="00E06207"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The move away from traditional notions of art education that involved the transmission of knowledge, and the cultivation of ‘good’ taste</w:t>
      </w:r>
      <w:r w:rsidR="00344A2D" w:rsidRPr="00DD44EF">
        <w:rPr>
          <w:rFonts w:ascii="Times New Roman" w:hAnsi="Times New Roman" w:cs="Times New Roman"/>
          <w:sz w:val="24"/>
          <w:szCs w:val="24"/>
        </w:rPr>
        <w:t xml:space="preserve"> by an art expert is reflected in Hein’s further caveat that the meaning that is made within constructivist pedagogy, and the interp</w:t>
      </w:r>
      <w:r w:rsidR="00E5001A">
        <w:rPr>
          <w:rFonts w:ascii="Times New Roman" w:hAnsi="Times New Roman" w:cs="Times New Roman"/>
          <w:sz w:val="24"/>
          <w:szCs w:val="24"/>
        </w:rPr>
        <w:t>retations of experience that it generates</w:t>
      </w:r>
      <w:r w:rsidR="00344A2D" w:rsidRPr="00DD44EF">
        <w:rPr>
          <w:rFonts w:ascii="Times New Roman" w:hAnsi="Times New Roman" w:cs="Times New Roman"/>
          <w:sz w:val="24"/>
          <w:szCs w:val="24"/>
        </w:rPr>
        <w:t xml:space="preserve">, are valid even in </w:t>
      </w:r>
      <w:r w:rsidR="007F3503" w:rsidRPr="00122075">
        <w:rPr>
          <w:rFonts w:ascii="Times New Roman" w:hAnsi="Times New Roman" w:cs="Times New Roman"/>
          <w:sz w:val="24"/>
          <w:szCs w:val="24"/>
        </w:rPr>
        <w:t>cases where they are at direct odds with the prevailing thrust of professional consensus.</w:t>
      </w:r>
      <w:r w:rsidRPr="00DD44EF">
        <w:rPr>
          <w:rFonts w:ascii="Times New Roman" w:hAnsi="Times New Roman" w:cs="Times New Roman"/>
          <w:sz w:val="24"/>
          <w:szCs w:val="24"/>
        </w:rPr>
        <w:t xml:space="preserve"> </w:t>
      </w:r>
      <w:r w:rsidR="00344A2D" w:rsidRPr="00DD44EF">
        <w:rPr>
          <w:rFonts w:ascii="Times New Roman" w:hAnsi="Times New Roman" w:cs="Times New Roman"/>
          <w:sz w:val="24"/>
          <w:szCs w:val="24"/>
        </w:rPr>
        <w:t>Although contemporary art access initiati</w:t>
      </w:r>
      <w:r w:rsidR="00EB3211" w:rsidRPr="00DD44EF">
        <w:rPr>
          <w:rFonts w:ascii="Times New Roman" w:hAnsi="Times New Roman" w:cs="Times New Roman"/>
          <w:sz w:val="24"/>
          <w:szCs w:val="24"/>
        </w:rPr>
        <w:t>ves are generally conceived of as conforming to the principles of constructivism</w:t>
      </w:r>
      <w:r w:rsidR="00344A2D" w:rsidRPr="00DD44EF">
        <w:rPr>
          <w:rFonts w:ascii="Times New Roman" w:hAnsi="Times New Roman" w:cs="Times New Roman"/>
          <w:sz w:val="24"/>
          <w:szCs w:val="24"/>
        </w:rPr>
        <w:t xml:space="preserve">, the very fact that knowledge is imparted </w:t>
      </w:r>
      <w:r w:rsidR="00EB3211" w:rsidRPr="00DD44EF">
        <w:rPr>
          <w:rFonts w:ascii="Times New Roman" w:hAnsi="Times New Roman" w:cs="Times New Roman"/>
          <w:sz w:val="24"/>
          <w:szCs w:val="24"/>
        </w:rPr>
        <w:t xml:space="preserve">to gallery visitors with visual impairment </w:t>
      </w:r>
      <w:r w:rsidR="00344A2D" w:rsidRPr="00DD44EF">
        <w:rPr>
          <w:rFonts w:ascii="Times New Roman" w:hAnsi="Times New Roman" w:cs="Times New Roman"/>
          <w:sz w:val="24"/>
          <w:szCs w:val="24"/>
        </w:rPr>
        <w:t xml:space="preserve">on the terms of a fully sighted guide </w:t>
      </w:r>
      <w:r w:rsidR="00E5001A">
        <w:rPr>
          <w:rFonts w:ascii="Times New Roman" w:hAnsi="Times New Roman" w:cs="Times New Roman"/>
          <w:sz w:val="24"/>
          <w:szCs w:val="24"/>
        </w:rPr>
        <w:t xml:space="preserve">would appear to </w:t>
      </w:r>
      <w:r w:rsidR="00344A2D" w:rsidRPr="00DD44EF">
        <w:rPr>
          <w:rFonts w:ascii="Times New Roman" w:hAnsi="Times New Roman" w:cs="Times New Roman"/>
          <w:sz w:val="24"/>
          <w:szCs w:val="24"/>
        </w:rPr>
        <w:t>implicitly privilege</w:t>
      </w:r>
      <w:r w:rsidR="00EB3211" w:rsidRPr="00DD44EF">
        <w:rPr>
          <w:rFonts w:ascii="Times New Roman" w:hAnsi="Times New Roman" w:cs="Times New Roman"/>
          <w:sz w:val="24"/>
          <w:szCs w:val="24"/>
        </w:rPr>
        <w:t xml:space="preserve"> the diktats of received consensus</w:t>
      </w:r>
      <w:r w:rsidR="00344A2D" w:rsidRPr="00DD44EF">
        <w:rPr>
          <w:rFonts w:ascii="Times New Roman" w:hAnsi="Times New Roman" w:cs="Times New Roman"/>
          <w:sz w:val="24"/>
          <w:szCs w:val="24"/>
        </w:rPr>
        <w:t xml:space="preserve">, and </w:t>
      </w:r>
      <w:r w:rsidR="00E5001A">
        <w:rPr>
          <w:rFonts w:ascii="Times New Roman" w:hAnsi="Times New Roman" w:cs="Times New Roman"/>
          <w:sz w:val="24"/>
          <w:szCs w:val="24"/>
        </w:rPr>
        <w:t>to assume</w:t>
      </w:r>
      <w:r w:rsidR="00344A2D" w:rsidRPr="00DD44EF">
        <w:rPr>
          <w:rFonts w:ascii="Times New Roman" w:hAnsi="Times New Roman" w:cs="Times New Roman"/>
          <w:sz w:val="24"/>
          <w:szCs w:val="24"/>
        </w:rPr>
        <w:t xml:space="preserve"> a sovereignty of fully sighted perspectives. </w:t>
      </w:r>
      <w:r w:rsidR="0016461A" w:rsidRPr="00DD44EF">
        <w:rPr>
          <w:rFonts w:ascii="Times New Roman" w:hAnsi="Times New Roman" w:cs="Times New Roman"/>
          <w:sz w:val="24"/>
          <w:szCs w:val="24"/>
        </w:rPr>
        <w:t xml:space="preserve">Of the several principles underpinning Hein’s approach to art engagement, </w:t>
      </w:r>
      <w:r w:rsidR="00EB3211" w:rsidRPr="00DD44EF">
        <w:rPr>
          <w:rFonts w:ascii="Times New Roman" w:hAnsi="Times New Roman" w:cs="Times New Roman"/>
          <w:sz w:val="24"/>
          <w:szCs w:val="24"/>
        </w:rPr>
        <w:t xml:space="preserve">his </w:t>
      </w:r>
      <w:r w:rsidR="0016461A" w:rsidRPr="00DD44EF">
        <w:rPr>
          <w:rFonts w:ascii="Times New Roman" w:hAnsi="Times New Roman" w:cs="Times New Roman"/>
          <w:sz w:val="24"/>
          <w:szCs w:val="24"/>
        </w:rPr>
        <w:t>acknowledgment of the validity of multiple learning modalities</w:t>
      </w:r>
      <w:r w:rsidR="00EB3211" w:rsidRPr="00DD44EF">
        <w:rPr>
          <w:rFonts w:ascii="Times New Roman" w:hAnsi="Times New Roman" w:cs="Times New Roman"/>
          <w:sz w:val="24"/>
          <w:szCs w:val="24"/>
        </w:rPr>
        <w:t xml:space="preserve"> might be enlarged upon in light of the findings of the current research. </w:t>
      </w:r>
      <w:r w:rsidR="00FE3EC3" w:rsidRPr="00DD44EF">
        <w:rPr>
          <w:rFonts w:ascii="Times New Roman" w:hAnsi="Times New Roman" w:cs="Times New Roman"/>
          <w:sz w:val="24"/>
          <w:szCs w:val="24"/>
        </w:rPr>
        <w:t>The use of simulation within this project illustrated the largely neglected significance of intramodal gradations</w:t>
      </w:r>
      <w:r w:rsidR="00EB3211" w:rsidRPr="00DD44EF">
        <w:rPr>
          <w:rFonts w:ascii="Times New Roman" w:hAnsi="Times New Roman" w:cs="Times New Roman"/>
          <w:sz w:val="24"/>
          <w:szCs w:val="24"/>
        </w:rPr>
        <w:t xml:space="preserve"> in relation to art appreciation</w:t>
      </w:r>
      <w:r w:rsidR="00FE3EC3" w:rsidRPr="00DD44EF">
        <w:rPr>
          <w:rFonts w:ascii="Times New Roman" w:hAnsi="Times New Roman" w:cs="Times New Roman"/>
          <w:sz w:val="24"/>
          <w:szCs w:val="24"/>
        </w:rPr>
        <w:t xml:space="preserve">. </w:t>
      </w:r>
      <w:r w:rsidR="00EB3211" w:rsidRPr="00DD44EF">
        <w:rPr>
          <w:rFonts w:ascii="Times New Roman" w:hAnsi="Times New Roman" w:cs="Times New Roman"/>
          <w:sz w:val="24"/>
          <w:szCs w:val="24"/>
        </w:rPr>
        <w:t>I</w:t>
      </w:r>
      <w:r w:rsidR="00201230" w:rsidRPr="00DD44EF">
        <w:rPr>
          <w:rFonts w:ascii="Times New Roman" w:hAnsi="Times New Roman" w:cs="Times New Roman"/>
          <w:sz w:val="24"/>
          <w:szCs w:val="24"/>
        </w:rPr>
        <w:t>n the case of the provision of access to visual art for gallery visitors with visual impairments, the</w:t>
      </w:r>
      <w:r w:rsidR="00EB3211" w:rsidRPr="00DD44EF">
        <w:rPr>
          <w:rFonts w:ascii="Times New Roman" w:hAnsi="Times New Roman" w:cs="Times New Roman"/>
          <w:sz w:val="24"/>
          <w:szCs w:val="24"/>
        </w:rPr>
        <w:t xml:space="preserve"> privileging of the</w:t>
      </w:r>
      <w:r w:rsidR="00201230" w:rsidRPr="00DD44EF">
        <w:rPr>
          <w:rFonts w:ascii="Times New Roman" w:hAnsi="Times New Roman" w:cs="Times New Roman"/>
          <w:sz w:val="24"/>
          <w:szCs w:val="24"/>
        </w:rPr>
        <w:t xml:space="preserve"> </w:t>
      </w:r>
      <w:r w:rsidR="00E5001A">
        <w:rPr>
          <w:rFonts w:ascii="Times New Roman" w:hAnsi="Times New Roman" w:cs="Times New Roman"/>
          <w:sz w:val="24"/>
          <w:szCs w:val="24"/>
        </w:rPr>
        <w:t xml:space="preserve">perceptions </w:t>
      </w:r>
      <w:r w:rsidR="00201230" w:rsidRPr="00DD44EF">
        <w:rPr>
          <w:rFonts w:ascii="Times New Roman" w:hAnsi="Times New Roman" w:cs="Times New Roman"/>
          <w:sz w:val="24"/>
          <w:szCs w:val="24"/>
        </w:rPr>
        <w:t xml:space="preserve">of </w:t>
      </w:r>
      <w:r w:rsidR="00E5001A">
        <w:rPr>
          <w:rFonts w:ascii="Times New Roman" w:hAnsi="Times New Roman" w:cs="Times New Roman"/>
          <w:sz w:val="24"/>
          <w:szCs w:val="24"/>
        </w:rPr>
        <w:t>the fully sighted guide</w:t>
      </w:r>
      <w:r w:rsidR="00201230" w:rsidRPr="00DD44EF">
        <w:rPr>
          <w:rFonts w:ascii="Times New Roman" w:hAnsi="Times New Roman" w:cs="Times New Roman"/>
          <w:sz w:val="24"/>
          <w:szCs w:val="24"/>
        </w:rPr>
        <w:t xml:space="preserve">, </w:t>
      </w:r>
      <w:r w:rsidR="00EB3211" w:rsidRPr="00DD44EF">
        <w:rPr>
          <w:rFonts w:ascii="Times New Roman" w:hAnsi="Times New Roman" w:cs="Times New Roman"/>
          <w:sz w:val="24"/>
          <w:szCs w:val="24"/>
        </w:rPr>
        <w:t xml:space="preserve">compounded by the ill-informed assumption that all individuals with visual impairment see nothing, </w:t>
      </w:r>
      <w:r w:rsidR="00595438" w:rsidRPr="00DD44EF">
        <w:rPr>
          <w:rFonts w:ascii="Times New Roman" w:hAnsi="Times New Roman" w:cs="Times New Roman"/>
          <w:sz w:val="24"/>
          <w:szCs w:val="24"/>
        </w:rPr>
        <w:t xml:space="preserve">amounts to a discounting of the very experiences that are purportedly being attended to. </w:t>
      </w:r>
    </w:p>
    <w:p w14:paraId="678640EB" w14:textId="77777777" w:rsidR="00595438" w:rsidRPr="00DD44EF" w:rsidRDefault="00595438" w:rsidP="00623558">
      <w:pPr>
        <w:widowControl w:val="0"/>
        <w:autoSpaceDE w:val="0"/>
        <w:autoSpaceDN w:val="0"/>
        <w:adjustRightInd w:val="0"/>
        <w:spacing w:after="0" w:line="23" w:lineRule="atLeast"/>
        <w:jc w:val="both"/>
        <w:rPr>
          <w:rFonts w:ascii="Times New Roman" w:hAnsi="Times New Roman" w:cs="Times New Roman"/>
          <w:sz w:val="24"/>
          <w:szCs w:val="24"/>
        </w:rPr>
      </w:pPr>
    </w:p>
    <w:p w14:paraId="24755974" w14:textId="77777777" w:rsidR="007F348F" w:rsidRPr="00B13F38" w:rsidRDefault="00611EF7" w:rsidP="00623558">
      <w:pPr>
        <w:widowControl w:val="0"/>
        <w:autoSpaceDE w:val="0"/>
        <w:autoSpaceDN w:val="0"/>
        <w:adjustRightInd w:val="0"/>
        <w:spacing w:after="0" w:line="23" w:lineRule="atLeast"/>
        <w:jc w:val="both"/>
        <w:rPr>
          <w:rFonts w:ascii="Times New Roman" w:hAnsi="Times New Roman" w:cs="Times New Roman"/>
          <w:color w:val="FF6600"/>
          <w:sz w:val="24"/>
          <w:szCs w:val="24"/>
        </w:rPr>
      </w:pPr>
      <w:r w:rsidRPr="00DD44EF">
        <w:rPr>
          <w:rFonts w:ascii="Times New Roman" w:hAnsi="Times New Roman" w:cs="Times New Roman"/>
          <w:sz w:val="24"/>
          <w:szCs w:val="24"/>
        </w:rPr>
        <w:t>According to Hein, there is ‘no other kind’ of learning but the construction of meaning. Accepting this entails acknowledging that ‘there is no knowledge independent of the meaning attributed to experience (co</w:t>
      </w:r>
      <w:r w:rsidR="00C4001E" w:rsidRPr="00DD44EF">
        <w:rPr>
          <w:rFonts w:ascii="Times New Roman" w:hAnsi="Times New Roman" w:cs="Times New Roman"/>
          <w:sz w:val="24"/>
          <w:szCs w:val="24"/>
        </w:rPr>
        <w:t>nstructed) by the learner’ (Hein 1991: n.p.</w:t>
      </w:r>
      <w:r w:rsidRPr="00DD44EF">
        <w:rPr>
          <w:rFonts w:ascii="Times New Roman" w:hAnsi="Times New Roman" w:cs="Times New Roman"/>
          <w:sz w:val="24"/>
          <w:szCs w:val="24"/>
        </w:rPr>
        <w:t>). However, the nature of this attribution would appear to be questionable in cases where the foundation of the construction</w:t>
      </w:r>
      <w:r w:rsidR="00E5001A">
        <w:rPr>
          <w:rFonts w:ascii="Times New Roman" w:hAnsi="Times New Roman" w:cs="Times New Roman"/>
          <w:sz w:val="24"/>
          <w:szCs w:val="24"/>
        </w:rPr>
        <w:t xml:space="preserve"> in question</w:t>
      </w:r>
      <w:r w:rsidRPr="00DD44EF">
        <w:rPr>
          <w:rFonts w:ascii="Times New Roman" w:hAnsi="Times New Roman" w:cs="Times New Roman"/>
          <w:sz w:val="24"/>
          <w:szCs w:val="24"/>
        </w:rPr>
        <w:t xml:space="preserve"> is the experience of a fully sighted member of gallery staff, rather than </w:t>
      </w:r>
      <w:r w:rsidR="00E5001A">
        <w:rPr>
          <w:rFonts w:ascii="Times New Roman" w:hAnsi="Times New Roman" w:cs="Times New Roman"/>
          <w:sz w:val="24"/>
          <w:szCs w:val="24"/>
        </w:rPr>
        <w:t xml:space="preserve">that of </w:t>
      </w:r>
      <w:r w:rsidRPr="00DD44EF">
        <w:rPr>
          <w:rFonts w:ascii="Times New Roman" w:hAnsi="Times New Roman" w:cs="Times New Roman"/>
          <w:sz w:val="24"/>
          <w:szCs w:val="24"/>
        </w:rPr>
        <w:t>the galler</w:t>
      </w:r>
      <w:r w:rsidR="00E5001A">
        <w:rPr>
          <w:rFonts w:ascii="Times New Roman" w:hAnsi="Times New Roman" w:cs="Times New Roman"/>
          <w:sz w:val="24"/>
          <w:szCs w:val="24"/>
        </w:rPr>
        <w:t>y visitor whose experience</w:t>
      </w:r>
      <w:r w:rsidR="00B13F38">
        <w:rPr>
          <w:rFonts w:ascii="Times New Roman" w:hAnsi="Times New Roman" w:cs="Times New Roman"/>
          <w:sz w:val="24"/>
          <w:szCs w:val="24"/>
        </w:rPr>
        <w:t xml:space="preserve"> is surely central</w:t>
      </w:r>
      <w:r w:rsidRPr="00DD44EF">
        <w:rPr>
          <w:rFonts w:ascii="Times New Roman" w:hAnsi="Times New Roman" w:cs="Times New Roman"/>
          <w:sz w:val="24"/>
          <w:szCs w:val="24"/>
        </w:rPr>
        <w:t>.  If learning, as Hein goes on to suggest, is a personal construction of meaning out o</w:t>
      </w:r>
      <w:r w:rsidR="00595438" w:rsidRPr="00DD44EF">
        <w:rPr>
          <w:rFonts w:ascii="Times New Roman" w:hAnsi="Times New Roman" w:cs="Times New Roman"/>
          <w:sz w:val="24"/>
          <w:szCs w:val="24"/>
        </w:rPr>
        <w:t>f an array of sensations (</w:t>
      </w:r>
      <w:r w:rsidR="00595438" w:rsidRPr="00DD44EF">
        <w:rPr>
          <w:rFonts w:ascii="Times New Roman" w:hAnsi="Times New Roman" w:cs="Times New Roman"/>
          <w:i/>
          <w:sz w:val="24"/>
          <w:szCs w:val="24"/>
        </w:rPr>
        <w:t>ibid</w:t>
      </w:r>
      <w:r w:rsidR="00C4001E" w:rsidRPr="00DD44EF">
        <w:rPr>
          <w:rFonts w:ascii="Times New Roman" w:hAnsi="Times New Roman" w:cs="Times New Roman"/>
          <w:sz w:val="24"/>
          <w:szCs w:val="24"/>
        </w:rPr>
        <w:t>.</w:t>
      </w:r>
      <w:r w:rsidRPr="00DD44EF">
        <w:rPr>
          <w:rFonts w:ascii="Times New Roman" w:hAnsi="Times New Roman" w:cs="Times New Roman"/>
          <w:sz w:val="24"/>
          <w:szCs w:val="24"/>
        </w:rPr>
        <w:t xml:space="preserve">), surely the sensations in question should be one’s own. Otherwise, it becomes difficult to conceive of how the constructed meaning might have any form of direct bearing on personal engagement with the objects or environments in question. </w:t>
      </w:r>
    </w:p>
    <w:p w14:paraId="44F58810" w14:textId="77777777" w:rsidR="00623558" w:rsidRPr="00DD44EF" w:rsidRDefault="00623558" w:rsidP="00623558">
      <w:pPr>
        <w:widowControl w:val="0"/>
        <w:autoSpaceDE w:val="0"/>
        <w:autoSpaceDN w:val="0"/>
        <w:adjustRightInd w:val="0"/>
        <w:spacing w:after="0" w:line="23" w:lineRule="atLeast"/>
        <w:jc w:val="both"/>
        <w:rPr>
          <w:rFonts w:ascii="Times New Roman" w:hAnsi="Times New Roman" w:cs="Times New Roman"/>
          <w:sz w:val="24"/>
          <w:szCs w:val="24"/>
        </w:rPr>
      </w:pPr>
    </w:p>
    <w:p w14:paraId="1A71AE3F" w14:textId="77777777" w:rsidR="00200C3F" w:rsidRPr="006D3F42" w:rsidRDefault="00200C3F" w:rsidP="005D1A81">
      <w:pPr>
        <w:widowControl w:val="0"/>
        <w:autoSpaceDE w:val="0"/>
        <w:autoSpaceDN w:val="0"/>
        <w:adjustRightInd w:val="0"/>
        <w:spacing w:after="120"/>
        <w:jc w:val="both"/>
        <w:rPr>
          <w:rFonts w:ascii="Times New Roman" w:hAnsi="Times New Roman" w:cs="Times New Roman"/>
          <w:b/>
          <w:i/>
          <w:sz w:val="24"/>
          <w:szCs w:val="24"/>
        </w:rPr>
      </w:pPr>
      <w:r w:rsidRPr="006D3F42">
        <w:rPr>
          <w:rFonts w:ascii="Times New Roman" w:hAnsi="Times New Roman" w:cs="Times New Roman"/>
          <w:b/>
          <w:i/>
          <w:sz w:val="24"/>
          <w:szCs w:val="24"/>
        </w:rPr>
        <w:t>De-ghosting the aesthetic experiences of individuals with visual impairments</w:t>
      </w:r>
    </w:p>
    <w:p w14:paraId="163677F6" w14:textId="77777777" w:rsidR="005440B5" w:rsidRDefault="00BD2031" w:rsidP="00623558">
      <w:pPr>
        <w:widowControl w:val="0"/>
        <w:autoSpaceDE w:val="0"/>
        <w:autoSpaceDN w:val="0"/>
        <w:adjustRightInd w:val="0"/>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The particular consequence of such overlooking of experiential components of aesthetic engagement focused on here m</w:t>
      </w:r>
      <w:r w:rsidR="00B13F38">
        <w:rPr>
          <w:rFonts w:ascii="Times New Roman" w:hAnsi="Times New Roman" w:cs="Times New Roman"/>
          <w:sz w:val="24"/>
          <w:szCs w:val="24"/>
        </w:rPr>
        <w:t>anifests itself as a</w:t>
      </w:r>
      <w:r w:rsidRPr="00DD44EF">
        <w:rPr>
          <w:rFonts w:ascii="Times New Roman" w:hAnsi="Times New Roman" w:cs="Times New Roman"/>
          <w:sz w:val="24"/>
          <w:szCs w:val="24"/>
        </w:rPr>
        <w:t xml:space="preserve"> form</w:t>
      </w:r>
      <w:r w:rsidR="00C4001E" w:rsidRPr="00DD44EF">
        <w:rPr>
          <w:rFonts w:ascii="Times New Roman" w:hAnsi="Times New Roman" w:cs="Times New Roman"/>
          <w:sz w:val="24"/>
          <w:szCs w:val="24"/>
        </w:rPr>
        <w:t xml:space="preserve"> of deputed or delegated agency. By means of this circumlocutory involvement,</w:t>
      </w:r>
      <w:r w:rsidRPr="00DD44EF">
        <w:rPr>
          <w:rFonts w:ascii="Times New Roman" w:hAnsi="Times New Roman" w:cs="Times New Roman"/>
          <w:sz w:val="24"/>
          <w:szCs w:val="24"/>
        </w:rPr>
        <w:t xml:space="preserve"> individuals with visual impairment in art access contexts are often expected to content themselves with forms of ‘aesthetic pleasure’ that are derived by proxy, rather than as a result of direct engagement with artworks. In this way, an art access provider generally serves as a procurator, whose function in structuring the art engagement of others around his/her perception might be described as undergoing aesthetic experiences on behalf of another. </w:t>
      </w:r>
      <w:r w:rsidR="00C4001E" w:rsidRPr="00DD44EF">
        <w:rPr>
          <w:rFonts w:ascii="Times New Roman" w:hAnsi="Times New Roman" w:cs="Times New Roman"/>
          <w:sz w:val="24"/>
          <w:szCs w:val="24"/>
        </w:rPr>
        <w:t>With Mitias’s description of aesthetic agency in mind, this can be likened to the ‘ghost-</w:t>
      </w:r>
      <w:r w:rsidR="00C4001E" w:rsidRPr="00DD44EF">
        <w:rPr>
          <w:rFonts w:ascii="Times New Roman" w:hAnsi="Times New Roman" w:cs="Times New Roman"/>
          <w:sz w:val="24"/>
          <w:szCs w:val="24"/>
        </w:rPr>
        <w:lastRenderedPageBreak/>
        <w:t xml:space="preserve">authorship’ of aesthetic experience – a process akin to that of ghost-writing, whereby a person is employed to author a text that is officially accredited to another individual. </w:t>
      </w:r>
      <w:r w:rsidRPr="00DD44EF">
        <w:rPr>
          <w:rFonts w:ascii="Times New Roman" w:hAnsi="Times New Roman" w:cs="Times New Roman"/>
          <w:sz w:val="24"/>
          <w:szCs w:val="24"/>
        </w:rPr>
        <w:t>The application of simulation software to the task of structuring art access around the perceptions of gallery visitors with visual impairment serves as an admittedly imperfec</w:t>
      </w:r>
      <w:r w:rsidR="00B13F38">
        <w:rPr>
          <w:rFonts w:ascii="Times New Roman" w:hAnsi="Times New Roman" w:cs="Times New Roman"/>
          <w:sz w:val="24"/>
          <w:szCs w:val="24"/>
        </w:rPr>
        <w:t>t corrective to such surrogate</w:t>
      </w:r>
      <w:r w:rsidR="00E857DE" w:rsidRPr="00DD44EF">
        <w:rPr>
          <w:rFonts w:ascii="Times New Roman" w:hAnsi="Times New Roman" w:cs="Times New Roman"/>
          <w:sz w:val="24"/>
          <w:szCs w:val="24"/>
        </w:rPr>
        <w:t xml:space="preserve"> forms of aesthetic engagement. It is described here </w:t>
      </w:r>
      <w:r w:rsidRPr="00DD44EF">
        <w:rPr>
          <w:rFonts w:ascii="Times New Roman" w:hAnsi="Times New Roman" w:cs="Times New Roman"/>
          <w:sz w:val="24"/>
          <w:szCs w:val="24"/>
        </w:rPr>
        <w:t>as part of an attempted ‘de-ventriloquisation’</w:t>
      </w:r>
      <w:r w:rsidR="00E857DE" w:rsidRPr="00DD44EF">
        <w:rPr>
          <w:rFonts w:ascii="Times New Roman" w:hAnsi="Times New Roman" w:cs="Times New Roman"/>
          <w:sz w:val="24"/>
          <w:szCs w:val="24"/>
        </w:rPr>
        <w:t xml:space="preserve"> of art access, undertaken</w:t>
      </w:r>
      <w:r w:rsidRPr="00DD44EF">
        <w:rPr>
          <w:rFonts w:ascii="Times New Roman" w:hAnsi="Times New Roman" w:cs="Times New Roman"/>
          <w:sz w:val="24"/>
          <w:szCs w:val="24"/>
        </w:rPr>
        <w:t xml:space="preserve"> as an attempt to render the reception of aesthetic values that are generally afforded to gallery visitors with visual impairment more personally meaningful experiences. </w:t>
      </w:r>
      <w:r w:rsidR="004926D8" w:rsidRPr="00DD44EF">
        <w:rPr>
          <w:rFonts w:ascii="Times New Roman" w:hAnsi="Times New Roman" w:cs="Times New Roman"/>
          <w:sz w:val="24"/>
          <w:szCs w:val="24"/>
        </w:rPr>
        <w:t>The application of the simulation software, that is to say, allows gallery visitors with visual impairment to be the authors of their own aesthetic experiences, rather than having these experiences authored by individuals whose perceptions are invari</w:t>
      </w:r>
      <w:r w:rsidR="00B13F38">
        <w:rPr>
          <w:rFonts w:ascii="Times New Roman" w:hAnsi="Times New Roman" w:cs="Times New Roman"/>
          <w:sz w:val="24"/>
          <w:szCs w:val="24"/>
        </w:rPr>
        <w:t>ably at a considerable remove from</w:t>
      </w:r>
      <w:r w:rsidR="004926D8" w:rsidRPr="00DD44EF">
        <w:rPr>
          <w:rFonts w:ascii="Times New Roman" w:hAnsi="Times New Roman" w:cs="Times New Roman"/>
          <w:sz w:val="24"/>
          <w:szCs w:val="24"/>
        </w:rPr>
        <w:t xml:space="preserve"> those of the visitors themselves.</w:t>
      </w:r>
    </w:p>
    <w:p w14:paraId="42A4E060" w14:textId="77777777" w:rsidR="00DD44EF" w:rsidRPr="00DD44EF" w:rsidRDefault="00DD44EF" w:rsidP="00623558">
      <w:pPr>
        <w:widowControl w:val="0"/>
        <w:autoSpaceDE w:val="0"/>
        <w:autoSpaceDN w:val="0"/>
        <w:adjustRightInd w:val="0"/>
        <w:spacing w:after="0" w:line="23" w:lineRule="atLeast"/>
        <w:jc w:val="both"/>
        <w:rPr>
          <w:rFonts w:ascii="Times New Roman" w:hAnsi="Times New Roman" w:cs="Times New Roman"/>
          <w:sz w:val="24"/>
          <w:szCs w:val="24"/>
        </w:rPr>
      </w:pPr>
    </w:p>
    <w:p w14:paraId="4A408BB4" w14:textId="77777777" w:rsidR="005440B5" w:rsidRPr="006D3F42" w:rsidRDefault="005440B5" w:rsidP="004E1DD4">
      <w:pPr>
        <w:widowControl w:val="0"/>
        <w:autoSpaceDE w:val="0"/>
        <w:autoSpaceDN w:val="0"/>
        <w:adjustRightInd w:val="0"/>
        <w:spacing w:after="120"/>
        <w:jc w:val="both"/>
        <w:rPr>
          <w:rFonts w:ascii="Times New Roman" w:hAnsi="Times New Roman" w:cs="Times New Roman"/>
          <w:b/>
          <w:i/>
          <w:sz w:val="24"/>
          <w:szCs w:val="24"/>
        </w:rPr>
      </w:pPr>
      <w:r w:rsidRPr="006D3F42">
        <w:rPr>
          <w:rFonts w:ascii="Times New Roman" w:hAnsi="Times New Roman" w:cs="Times New Roman"/>
          <w:b/>
          <w:i/>
          <w:sz w:val="24"/>
          <w:szCs w:val="24"/>
        </w:rPr>
        <w:t>Rescinding the privilege of the gallery docent</w:t>
      </w:r>
      <w:r w:rsidR="00582147" w:rsidRPr="006D3F42">
        <w:rPr>
          <w:rFonts w:ascii="Times New Roman" w:hAnsi="Times New Roman" w:cs="Times New Roman"/>
          <w:b/>
          <w:i/>
          <w:sz w:val="24"/>
          <w:szCs w:val="24"/>
        </w:rPr>
        <w:t xml:space="preserve"> </w:t>
      </w:r>
    </w:p>
    <w:p w14:paraId="293C6783" w14:textId="3FA5AD31" w:rsidR="0016461A" w:rsidRPr="00DD44EF" w:rsidRDefault="00971102" w:rsidP="00623558">
      <w:pPr>
        <w:widowControl w:val="0"/>
        <w:autoSpaceDE w:val="0"/>
        <w:autoSpaceDN w:val="0"/>
        <w:adjustRightInd w:val="0"/>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 xml:space="preserve">This imposition of fully-sighted perspectives on the gallery experiences of individuals with visual impairment is symptomatic of the types of power imbalance that many authors have identified as characterising often well-meaning interventions within the domain of disability research and practice </w:t>
      </w:r>
      <w:r w:rsidR="00DD44EF" w:rsidRPr="00DD44EF">
        <w:rPr>
          <w:rFonts w:ascii="Times New Roman" w:hAnsi="Times New Roman" w:cs="Times New Roman"/>
          <w:sz w:val="24"/>
          <w:szCs w:val="24"/>
        </w:rPr>
        <w:t>(See, for example, Oliver 1992;</w:t>
      </w:r>
      <w:r w:rsidRPr="00DD44EF">
        <w:rPr>
          <w:rFonts w:ascii="Times New Roman" w:hAnsi="Times New Roman" w:cs="Times New Roman"/>
          <w:sz w:val="24"/>
          <w:szCs w:val="24"/>
        </w:rPr>
        <w:t xml:space="preserve"> Tregaskis</w:t>
      </w:r>
      <w:r w:rsidR="00D330C5" w:rsidRPr="00DD44EF">
        <w:rPr>
          <w:rFonts w:ascii="Times New Roman" w:hAnsi="Times New Roman" w:cs="Times New Roman"/>
          <w:sz w:val="24"/>
          <w:szCs w:val="24"/>
        </w:rPr>
        <w:t xml:space="preserve"> 2004</w:t>
      </w:r>
      <w:r w:rsidRPr="00DD44EF">
        <w:rPr>
          <w:rFonts w:ascii="Times New Roman" w:hAnsi="Times New Roman" w:cs="Times New Roman"/>
          <w:sz w:val="24"/>
          <w:szCs w:val="24"/>
        </w:rPr>
        <w:t>)</w:t>
      </w:r>
      <w:r w:rsidR="004E1DD4">
        <w:rPr>
          <w:rStyle w:val="EndnoteReference"/>
          <w:rFonts w:ascii="Times New Roman" w:hAnsi="Times New Roman" w:cs="Times New Roman"/>
          <w:sz w:val="24"/>
          <w:szCs w:val="24"/>
        </w:rPr>
        <w:endnoteReference w:id="2"/>
      </w:r>
      <w:r w:rsidRPr="00DD44EF">
        <w:rPr>
          <w:rFonts w:ascii="Times New Roman" w:hAnsi="Times New Roman" w:cs="Times New Roman"/>
          <w:sz w:val="24"/>
          <w:szCs w:val="24"/>
        </w:rPr>
        <w:t xml:space="preserve">. </w:t>
      </w:r>
      <w:r w:rsidR="005440B5" w:rsidRPr="00DD44EF">
        <w:rPr>
          <w:rFonts w:ascii="Times New Roman" w:hAnsi="Times New Roman" w:cs="Times New Roman"/>
          <w:sz w:val="24"/>
          <w:szCs w:val="24"/>
        </w:rPr>
        <w:t>T</w:t>
      </w:r>
      <w:r w:rsidR="00E857DE" w:rsidRPr="00DD44EF">
        <w:rPr>
          <w:rFonts w:ascii="Times New Roman" w:hAnsi="Times New Roman" w:cs="Times New Roman"/>
          <w:sz w:val="24"/>
          <w:szCs w:val="24"/>
        </w:rPr>
        <w:t xml:space="preserve">he approach to art access outlined here might </w:t>
      </w:r>
      <w:r w:rsidRPr="00DD44EF">
        <w:rPr>
          <w:rFonts w:ascii="Times New Roman" w:hAnsi="Times New Roman" w:cs="Times New Roman"/>
          <w:sz w:val="24"/>
          <w:szCs w:val="24"/>
        </w:rPr>
        <w:t xml:space="preserve">also </w:t>
      </w:r>
      <w:r w:rsidR="00E857DE" w:rsidRPr="00DD44EF">
        <w:rPr>
          <w:rFonts w:ascii="Times New Roman" w:hAnsi="Times New Roman" w:cs="Times New Roman"/>
          <w:sz w:val="24"/>
          <w:szCs w:val="24"/>
        </w:rPr>
        <w:t xml:space="preserve">be related to Bob Pease’s (2010) account of the problematic ways in which </w:t>
      </w:r>
      <w:r w:rsidR="00E857DE" w:rsidRPr="00DD44EF">
        <w:rPr>
          <w:rFonts w:ascii="Times New Roman" w:hAnsi="Times New Roman" w:cs="Times New Roman"/>
          <w:sz w:val="24"/>
          <w:szCs w:val="24"/>
          <w:lang w:val="en-US"/>
        </w:rPr>
        <w:t>m</w:t>
      </w:r>
      <w:r w:rsidR="0016461A" w:rsidRPr="00DD44EF">
        <w:rPr>
          <w:rFonts w:ascii="Times New Roman" w:hAnsi="Times New Roman" w:cs="Times New Roman"/>
          <w:sz w:val="24"/>
          <w:szCs w:val="24"/>
          <w:lang w:val="en-US"/>
        </w:rPr>
        <w:t>any members of privileged groups align themselves with the experiences and ‘needs’ of groups who are marginalized and oppressed</w:t>
      </w:r>
      <w:r w:rsidR="00E857DE" w:rsidRPr="00DD44EF">
        <w:rPr>
          <w:rFonts w:ascii="Times New Roman" w:hAnsi="Times New Roman" w:cs="Times New Roman"/>
          <w:sz w:val="24"/>
          <w:szCs w:val="24"/>
          <w:lang w:val="en-US"/>
        </w:rPr>
        <w:t>. For all of the uncontested limitations of disability simulation outlined above, I would</w:t>
      </w:r>
      <w:r w:rsidR="00B13F38">
        <w:rPr>
          <w:rFonts w:ascii="Times New Roman" w:hAnsi="Times New Roman" w:cs="Times New Roman"/>
          <w:sz w:val="24"/>
          <w:szCs w:val="24"/>
          <w:lang w:val="en-US"/>
        </w:rPr>
        <w:t xml:space="preserve"> argue that the application of S</w:t>
      </w:r>
      <w:r w:rsidR="00E857DE" w:rsidRPr="00DD44EF">
        <w:rPr>
          <w:rFonts w:ascii="Times New Roman" w:hAnsi="Times New Roman" w:cs="Times New Roman"/>
          <w:sz w:val="24"/>
          <w:szCs w:val="24"/>
          <w:lang w:val="en-US"/>
        </w:rPr>
        <w:t>ight-sim™ within a g</w:t>
      </w:r>
      <w:r w:rsidR="005440B5" w:rsidRPr="00DD44EF">
        <w:rPr>
          <w:rFonts w:ascii="Times New Roman" w:hAnsi="Times New Roman" w:cs="Times New Roman"/>
          <w:sz w:val="24"/>
          <w:szCs w:val="24"/>
          <w:lang w:val="en-US"/>
        </w:rPr>
        <w:t>allery environment can at least hint towards a resolution of some of the tensions astut</w:t>
      </w:r>
      <w:r w:rsidRPr="00DD44EF">
        <w:rPr>
          <w:rFonts w:ascii="Times New Roman" w:hAnsi="Times New Roman" w:cs="Times New Roman"/>
          <w:sz w:val="24"/>
          <w:szCs w:val="24"/>
          <w:lang w:val="en-US"/>
        </w:rPr>
        <w:t>ely identified by Pease. The structuring of art access around the perceptions of visitors with visual impairment can contribute to the resolution o</w:t>
      </w:r>
      <w:r w:rsidR="00582147" w:rsidRPr="00DD44EF">
        <w:rPr>
          <w:rFonts w:ascii="Times New Roman" w:hAnsi="Times New Roman" w:cs="Times New Roman"/>
          <w:sz w:val="24"/>
          <w:szCs w:val="24"/>
          <w:lang w:val="en-US"/>
        </w:rPr>
        <w:t>f a number of difficult issue</w:t>
      </w:r>
      <w:r w:rsidRPr="00DD44EF">
        <w:rPr>
          <w:rFonts w:ascii="Times New Roman" w:hAnsi="Times New Roman" w:cs="Times New Roman"/>
          <w:sz w:val="24"/>
          <w:szCs w:val="24"/>
          <w:lang w:val="en-US"/>
        </w:rPr>
        <w:t xml:space="preserve">s, such as: </w:t>
      </w:r>
      <w:r w:rsidR="00582147" w:rsidRPr="00DD44EF">
        <w:rPr>
          <w:rFonts w:ascii="Times New Roman" w:hAnsi="Times New Roman" w:cs="Times New Roman"/>
          <w:sz w:val="24"/>
          <w:szCs w:val="24"/>
          <w:lang w:val="en-US"/>
        </w:rPr>
        <w:t>a) how fully-sighted gallery staff members</w:t>
      </w:r>
      <w:r w:rsidRPr="00DD44EF">
        <w:rPr>
          <w:rFonts w:ascii="Times New Roman" w:hAnsi="Times New Roman" w:cs="Times New Roman"/>
          <w:sz w:val="24"/>
          <w:szCs w:val="24"/>
          <w:lang w:val="en-US"/>
        </w:rPr>
        <w:t xml:space="preserve"> might</w:t>
      </w:r>
      <w:r w:rsidRPr="00DD44EF">
        <w:rPr>
          <w:rFonts w:ascii="Times New Roman" w:hAnsi="Times New Roman" w:cs="Times New Roman"/>
          <w:sz w:val="24"/>
          <w:szCs w:val="24"/>
        </w:rPr>
        <w:t xml:space="preserve"> </w:t>
      </w:r>
      <w:r w:rsidR="0016461A" w:rsidRPr="00DD44EF">
        <w:rPr>
          <w:rFonts w:ascii="Times New Roman" w:hAnsi="Times New Roman" w:cs="Times New Roman"/>
          <w:sz w:val="24"/>
          <w:szCs w:val="24"/>
          <w:lang w:val="en-US"/>
        </w:rPr>
        <w:t>develop</w:t>
      </w:r>
      <w:r w:rsidRPr="00DD44EF">
        <w:rPr>
          <w:rFonts w:ascii="Times New Roman" w:hAnsi="Times New Roman" w:cs="Times New Roman"/>
          <w:sz w:val="24"/>
          <w:szCs w:val="24"/>
          <w:lang w:val="en-US"/>
        </w:rPr>
        <w:t xml:space="preserve"> a meaningful conception of the</w:t>
      </w:r>
      <w:r w:rsidR="0016461A" w:rsidRPr="00DD44EF">
        <w:rPr>
          <w:rFonts w:ascii="Times New Roman" w:hAnsi="Times New Roman" w:cs="Times New Roman"/>
          <w:sz w:val="24"/>
          <w:szCs w:val="24"/>
          <w:lang w:val="en-US"/>
        </w:rPr>
        <w:t xml:space="preserve"> privilege</w:t>
      </w:r>
      <w:r w:rsidRPr="00DD44EF">
        <w:rPr>
          <w:rFonts w:ascii="Times New Roman" w:hAnsi="Times New Roman" w:cs="Times New Roman"/>
          <w:sz w:val="24"/>
          <w:szCs w:val="24"/>
          <w:lang w:val="en-US"/>
        </w:rPr>
        <w:t xml:space="preserve"> their eyesight affords them within a visual art context</w:t>
      </w:r>
      <w:r w:rsidR="00971083">
        <w:rPr>
          <w:rFonts w:ascii="Times New Roman" w:hAnsi="Times New Roman" w:cs="Times New Roman"/>
          <w:sz w:val="24"/>
          <w:szCs w:val="24"/>
          <w:lang w:val="en-US"/>
        </w:rPr>
        <w:t>,</w:t>
      </w:r>
      <w:r w:rsidR="00582147" w:rsidRPr="00DD44EF">
        <w:rPr>
          <w:rFonts w:ascii="Times New Roman" w:hAnsi="Times New Roman" w:cs="Times New Roman"/>
          <w:sz w:val="24"/>
          <w:szCs w:val="24"/>
          <w:lang w:val="en-US"/>
        </w:rPr>
        <w:t xml:space="preserve"> b) how they might begin to </w:t>
      </w:r>
      <w:r w:rsidR="0016461A" w:rsidRPr="00DD44EF">
        <w:rPr>
          <w:rFonts w:ascii="Times New Roman" w:hAnsi="Times New Roman" w:cs="Times New Roman"/>
          <w:sz w:val="24"/>
          <w:szCs w:val="24"/>
          <w:lang w:val="en-US"/>
        </w:rPr>
        <w:t xml:space="preserve">challenge the conventions </w:t>
      </w:r>
      <w:r w:rsidR="00582147" w:rsidRPr="00DD44EF">
        <w:rPr>
          <w:rFonts w:ascii="Times New Roman" w:hAnsi="Times New Roman" w:cs="Times New Roman"/>
          <w:sz w:val="24"/>
          <w:szCs w:val="24"/>
          <w:lang w:val="en-US"/>
        </w:rPr>
        <w:t xml:space="preserve">upon which their perceived advantage over </w:t>
      </w:r>
      <w:r w:rsidR="0016461A" w:rsidRPr="00DD44EF">
        <w:rPr>
          <w:rFonts w:ascii="Times New Roman" w:hAnsi="Times New Roman" w:cs="Times New Roman"/>
          <w:sz w:val="24"/>
          <w:szCs w:val="24"/>
          <w:lang w:val="en-US"/>
        </w:rPr>
        <w:t>the gro</w:t>
      </w:r>
      <w:r w:rsidR="00582147" w:rsidRPr="00DD44EF">
        <w:rPr>
          <w:rFonts w:ascii="Times New Roman" w:hAnsi="Times New Roman" w:cs="Times New Roman"/>
          <w:sz w:val="24"/>
          <w:szCs w:val="24"/>
          <w:lang w:val="en-US"/>
        </w:rPr>
        <w:t>ups whose welfare they advocate is premised</w:t>
      </w:r>
      <w:r w:rsidR="00971083">
        <w:rPr>
          <w:rFonts w:ascii="Times New Roman" w:hAnsi="Times New Roman" w:cs="Times New Roman"/>
          <w:sz w:val="24"/>
          <w:szCs w:val="24"/>
          <w:lang w:val="en-US"/>
        </w:rPr>
        <w:t xml:space="preserve">, </w:t>
      </w:r>
      <w:r w:rsidR="00582147" w:rsidRPr="00DD44EF">
        <w:rPr>
          <w:rFonts w:ascii="Times New Roman" w:hAnsi="Times New Roman" w:cs="Times New Roman"/>
          <w:sz w:val="24"/>
          <w:szCs w:val="24"/>
          <w:lang w:val="en-US"/>
        </w:rPr>
        <w:t>and c) how meaningful alliances between these groups might be forged within a genuinely co-constructivist framework.</w:t>
      </w:r>
    </w:p>
    <w:p w14:paraId="0D5BCE61" w14:textId="77777777" w:rsidR="00201230" w:rsidRPr="00DD44EF" w:rsidRDefault="00201230" w:rsidP="00623558">
      <w:pPr>
        <w:spacing w:after="0" w:line="23" w:lineRule="atLeast"/>
        <w:jc w:val="both"/>
        <w:rPr>
          <w:rFonts w:ascii="Times New Roman" w:hAnsi="Times New Roman" w:cs="Times New Roman"/>
          <w:sz w:val="24"/>
          <w:szCs w:val="24"/>
        </w:rPr>
      </w:pPr>
    </w:p>
    <w:p w14:paraId="16092526" w14:textId="77777777" w:rsidR="003136B5" w:rsidRPr="00DD44EF" w:rsidRDefault="00C84F23" w:rsidP="004E1DD4">
      <w:pPr>
        <w:spacing w:after="120"/>
        <w:jc w:val="both"/>
        <w:rPr>
          <w:rFonts w:ascii="Times New Roman" w:hAnsi="Times New Roman" w:cs="Times New Roman"/>
          <w:b/>
          <w:sz w:val="24"/>
          <w:szCs w:val="24"/>
        </w:rPr>
      </w:pPr>
      <w:r w:rsidRPr="006D3F42">
        <w:rPr>
          <w:rFonts w:ascii="Times New Roman" w:hAnsi="Times New Roman" w:cs="Times New Roman"/>
          <w:b/>
          <w:i/>
          <w:sz w:val="24"/>
          <w:szCs w:val="24"/>
        </w:rPr>
        <w:t>Reconceptualising a</w:t>
      </w:r>
      <w:r w:rsidR="005440B5" w:rsidRPr="006D3F42">
        <w:rPr>
          <w:rFonts w:ascii="Times New Roman" w:hAnsi="Times New Roman" w:cs="Times New Roman"/>
          <w:b/>
          <w:i/>
          <w:sz w:val="24"/>
          <w:szCs w:val="24"/>
        </w:rPr>
        <w:t>esthetic literacies</w:t>
      </w:r>
      <w:r w:rsidR="003136B5" w:rsidRPr="00DD44EF">
        <w:rPr>
          <w:rFonts w:ascii="Times New Roman" w:hAnsi="Times New Roman" w:cs="Times New Roman"/>
          <w:b/>
          <w:sz w:val="24"/>
          <w:szCs w:val="24"/>
        </w:rPr>
        <w:t xml:space="preserve"> </w:t>
      </w:r>
    </w:p>
    <w:p w14:paraId="77E2E856" w14:textId="77777777" w:rsidR="00F449C4" w:rsidRPr="00DD44EF" w:rsidRDefault="00247D07" w:rsidP="00623558">
      <w:pPr>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Another aspect of the potential of simulation within a gallery environment relates to the reversal of the process of cultivating aesthetic literacy, as this pr</w:t>
      </w:r>
      <w:r w:rsidR="00B13F38">
        <w:rPr>
          <w:rFonts w:ascii="Times New Roman" w:hAnsi="Times New Roman" w:cs="Times New Roman"/>
          <w:sz w:val="24"/>
          <w:szCs w:val="24"/>
        </w:rPr>
        <w:t>ocess has traditionally been con</w:t>
      </w:r>
      <w:r w:rsidRPr="00DD44EF">
        <w:rPr>
          <w:rFonts w:ascii="Times New Roman" w:hAnsi="Times New Roman" w:cs="Times New Roman"/>
          <w:sz w:val="24"/>
          <w:szCs w:val="24"/>
        </w:rPr>
        <w:t>ceived</w:t>
      </w:r>
      <w:r w:rsidR="00B13F38">
        <w:rPr>
          <w:rFonts w:ascii="Times New Roman" w:hAnsi="Times New Roman" w:cs="Times New Roman"/>
          <w:sz w:val="24"/>
          <w:szCs w:val="24"/>
        </w:rPr>
        <w:t xml:space="preserve"> and practiced</w:t>
      </w:r>
      <w:r w:rsidRPr="00DD44EF">
        <w:rPr>
          <w:rFonts w:ascii="Times New Roman" w:hAnsi="Times New Roman" w:cs="Times New Roman"/>
          <w:sz w:val="24"/>
          <w:szCs w:val="24"/>
        </w:rPr>
        <w:t xml:space="preserve">. </w:t>
      </w:r>
      <w:r w:rsidR="00582147" w:rsidRPr="00DD44EF">
        <w:rPr>
          <w:rFonts w:ascii="Times New Roman" w:hAnsi="Times New Roman" w:cs="Times New Roman"/>
          <w:sz w:val="24"/>
          <w:szCs w:val="24"/>
        </w:rPr>
        <w:t xml:space="preserve">The existing literature is </w:t>
      </w:r>
      <w:r w:rsidR="00A30667" w:rsidRPr="00DD44EF">
        <w:rPr>
          <w:rFonts w:ascii="Times New Roman" w:hAnsi="Times New Roman" w:cs="Times New Roman"/>
          <w:sz w:val="24"/>
          <w:szCs w:val="24"/>
        </w:rPr>
        <w:t xml:space="preserve">diverse </w:t>
      </w:r>
      <w:r w:rsidR="002C1419" w:rsidRPr="00DD44EF">
        <w:rPr>
          <w:rFonts w:ascii="Times New Roman" w:hAnsi="Times New Roman" w:cs="Times New Roman"/>
          <w:sz w:val="24"/>
          <w:szCs w:val="24"/>
        </w:rPr>
        <w:t xml:space="preserve">and varied (See, for example, </w:t>
      </w:r>
      <w:r w:rsidR="004E1DD4" w:rsidRPr="00DD44EF">
        <w:rPr>
          <w:rFonts w:ascii="Times New Roman" w:hAnsi="Times New Roman" w:cs="Times New Roman"/>
          <w:sz w:val="24"/>
          <w:szCs w:val="24"/>
        </w:rPr>
        <w:t>Hamblen, 1986</w:t>
      </w:r>
      <w:r w:rsidR="004E1DD4">
        <w:rPr>
          <w:rFonts w:ascii="Times New Roman" w:hAnsi="Times New Roman" w:cs="Times New Roman"/>
          <w:sz w:val="24"/>
          <w:szCs w:val="24"/>
        </w:rPr>
        <w:t xml:space="preserve">; </w:t>
      </w:r>
      <w:r w:rsidR="002C1419" w:rsidRPr="00DD44EF">
        <w:rPr>
          <w:rFonts w:ascii="Times New Roman" w:hAnsi="Times New Roman" w:cs="Times New Roman"/>
          <w:sz w:val="24"/>
          <w:szCs w:val="24"/>
        </w:rPr>
        <w:t>Parsons 1990</w:t>
      </w:r>
      <w:r w:rsidR="00A30667" w:rsidRPr="00DD44EF">
        <w:rPr>
          <w:rFonts w:ascii="Times New Roman" w:hAnsi="Times New Roman" w:cs="Times New Roman"/>
          <w:sz w:val="24"/>
          <w:szCs w:val="24"/>
        </w:rPr>
        <w:t xml:space="preserve">), </w:t>
      </w:r>
      <w:r w:rsidR="00B13F38">
        <w:rPr>
          <w:rFonts w:ascii="Times New Roman" w:hAnsi="Times New Roman" w:cs="Times New Roman"/>
          <w:sz w:val="24"/>
          <w:szCs w:val="24"/>
        </w:rPr>
        <w:t>but a quality that most renderings of</w:t>
      </w:r>
      <w:r w:rsidR="00A30667" w:rsidRPr="00DD44EF">
        <w:rPr>
          <w:rFonts w:ascii="Times New Roman" w:hAnsi="Times New Roman" w:cs="Times New Roman"/>
          <w:sz w:val="24"/>
          <w:szCs w:val="24"/>
        </w:rPr>
        <w:t xml:space="preserve"> the process have in common is the conception of the cultivation of literacy as a unilateral process of transmission. </w:t>
      </w:r>
      <w:r w:rsidR="00B13F38">
        <w:rPr>
          <w:rFonts w:ascii="Times New Roman" w:hAnsi="Times New Roman" w:cs="Times New Roman"/>
          <w:sz w:val="24"/>
          <w:szCs w:val="24"/>
        </w:rPr>
        <w:t>Aesthetic value is explained by one who has a heightened appreciation of its ‘proper’ cur</w:t>
      </w:r>
      <w:r w:rsidR="000B778E">
        <w:rPr>
          <w:rFonts w:ascii="Times New Roman" w:hAnsi="Times New Roman" w:cs="Times New Roman"/>
          <w:sz w:val="24"/>
          <w:szCs w:val="24"/>
        </w:rPr>
        <w:t>rency to those accustomed to trading in less refined spheres of value and modes of exchange</w:t>
      </w:r>
      <w:r w:rsidR="00B13F38">
        <w:rPr>
          <w:rFonts w:ascii="Times New Roman" w:hAnsi="Times New Roman" w:cs="Times New Roman"/>
          <w:sz w:val="24"/>
          <w:szCs w:val="24"/>
        </w:rPr>
        <w:t xml:space="preserve">. </w:t>
      </w:r>
      <w:r w:rsidR="000B778E">
        <w:rPr>
          <w:rFonts w:ascii="Times New Roman" w:hAnsi="Times New Roman" w:cs="Times New Roman"/>
          <w:sz w:val="24"/>
          <w:szCs w:val="24"/>
        </w:rPr>
        <w:t>A related</w:t>
      </w:r>
      <w:r w:rsidR="00A30667" w:rsidRPr="00DD44EF">
        <w:rPr>
          <w:rFonts w:ascii="Times New Roman" w:hAnsi="Times New Roman" w:cs="Times New Roman"/>
          <w:sz w:val="24"/>
          <w:szCs w:val="24"/>
        </w:rPr>
        <w:t xml:space="preserve"> element of the value derived from the application of simulation withi</w:t>
      </w:r>
      <w:r w:rsidR="000B778E">
        <w:rPr>
          <w:rFonts w:ascii="Times New Roman" w:hAnsi="Times New Roman" w:cs="Times New Roman"/>
          <w:sz w:val="24"/>
          <w:szCs w:val="24"/>
        </w:rPr>
        <w:t>n the current project is allied with</w:t>
      </w:r>
      <w:r w:rsidR="00A30667" w:rsidRPr="00DD44EF">
        <w:rPr>
          <w:rFonts w:ascii="Times New Roman" w:hAnsi="Times New Roman" w:cs="Times New Roman"/>
          <w:sz w:val="24"/>
          <w:szCs w:val="24"/>
        </w:rPr>
        <w:t xml:space="preserve"> its potential to address a grievance that recurs through many personal accounts of the experience of disability.</w:t>
      </w:r>
    </w:p>
    <w:p w14:paraId="56F81AA9" w14:textId="77777777" w:rsidR="00A30667" w:rsidRPr="00DD44EF" w:rsidRDefault="00A30667" w:rsidP="00623558">
      <w:pPr>
        <w:spacing w:after="0" w:line="23" w:lineRule="atLeast"/>
        <w:jc w:val="both"/>
        <w:rPr>
          <w:rFonts w:ascii="Times New Roman" w:hAnsi="Times New Roman" w:cs="Times New Roman"/>
          <w:sz w:val="24"/>
          <w:szCs w:val="24"/>
        </w:rPr>
      </w:pPr>
    </w:p>
    <w:p w14:paraId="0723A322" w14:textId="77777777" w:rsidR="00247D07" w:rsidRPr="00DD44EF" w:rsidRDefault="00A30667" w:rsidP="00623558">
      <w:pPr>
        <w:spacing w:after="0" w:line="23" w:lineRule="atLeast"/>
        <w:jc w:val="both"/>
        <w:rPr>
          <w:rFonts w:ascii="Times New Roman" w:hAnsi="Times New Roman" w:cs="Times New Roman"/>
          <w:sz w:val="24"/>
          <w:szCs w:val="24"/>
        </w:rPr>
      </w:pPr>
      <w:r w:rsidRPr="00624AED">
        <w:rPr>
          <w:rFonts w:ascii="Times New Roman" w:hAnsi="Times New Roman" w:cs="Times New Roman"/>
          <w:sz w:val="24"/>
          <w:szCs w:val="24"/>
        </w:rPr>
        <w:t xml:space="preserve">It </w:t>
      </w:r>
      <w:r w:rsidR="00247D07" w:rsidRPr="00624AED">
        <w:rPr>
          <w:rFonts w:ascii="Times New Roman" w:hAnsi="Times New Roman" w:cs="Times New Roman"/>
          <w:sz w:val="24"/>
          <w:szCs w:val="24"/>
        </w:rPr>
        <w:t>can be related</w:t>
      </w:r>
      <w:r w:rsidRPr="00624AED">
        <w:rPr>
          <w:rFonts w:ascii="Times New Roman" w:hAnsi="Times New Roman" w:cs="Times New Roman"/>
          <w:sz w:val="24"/>
          <w:szCs w:val="24"/>
        </w:rPr>
        <w:t>, for example,</w:t>
      </w:r>
      <w:r w:rsidR="00247D07" w:rsidRPr="00624AED">
        <w:rPr>
          <w:rFonts w:ascii="Times New Roman" w:hAnsi="Times New Roman" w:cs="Times New Roman"/>
          <w:sz w:val="24"/>
          <w:szCs w:val="24"/>
        </w:rPr>
        <w:t xml:space="preserve"> to Jim Sinclair’s (1993) plea to parents of autistic children that the effort to relate is not the sole responsibility of the child. The mistake such parents tend to make, according to Sinclair, is in ‘assuming a shared system, a shared understanding of signals and meanings, that the c</w:t>
      </w:r>
      <w:r w:rsidR="00623558" w:rsidRPr="00624AED">
        <w:rPr>
          <w:rFonts w:ascii="Times New Roman" w:hAnsi="Times New Roman" w:cs="Times New Roman"/>
          <w:sz w:val="24"/>
          <w:szCs w:val="24"/>
        </w:rPr>
        <w:t>hild in fact does not share’ (n.p.</w:t>
      </w:r>
      <w:r w:rsidR="00247D07" w:rsidRPr="00624AED">
        <w:rPr>
          <w:rFonts w:ascii="Times New Roman" w:hAnsi="Times New Roman" w:cs="Times New Roman"/>
          <w:sz w:val="24"/>
          <w:szCs w:val="24"/>
        </w:rPr>
        <w:t>).</w:t>
      </w:r>
    </w:p>
    <w:p w14:paraId="7D360BBE" w14:textId="77777777" w:rsidR="00C96DC4" w:rsidRPr="00DD44EF" w:rsidRDefault="00C96DC4" w:rsidP="00623558">
      <w:pPr>
        <w:spacing w:after="0" w:line="23" w:lineRule="atLeast"/>
        <w:jc w:val="both"/>
        <w:rPr>
          <w:rFonts w:ascii="Times New Roman" w:hAnsi="Times New Roman" w:cs="Times New Roman"/>
          <w:sz w:val="24"/>
          <w:szCs w:val="24"/>
        </w:rPr>
      </w:pPr>
    </w:p>
    <w:p w14:paraId="1D6D614D" w14:textId="77777777" w:rsidR="00247D07" w:rsidRPr="00DD44EF" w:rsidRDefault="00247D07" w:rsidP="00623558">
      <w:pPr>
        <w:spacing w:after="0" w:line="23" w:lineRule="atLeast"/>
        <w:ind w:left="284" w:right="284"/>
        <w:jc w:val="both"/>
        <w:rPr>
          <w:rFonts w:ascii="Times New Roman" w:hAnsi="Times New Roman" w:cs="Times New Roman"/>
          <w:sz w:val="24"/>
          <w:szCs w:val="24"/>
        </w:rPr>
      </w:pPr>
      <w:r w:rsidRPr="00DD44EF">
        <w:rPr>
          <w:rFonts w:ascii="Times New Roman" w:hAnsi="Times New Roman" w:cs="Times New Roman"/>
          <w:sz w:val="24"/>
          <w:szCs w:val="24"/>
        </w:rPr>
        <w:t>You’re going to have to give up on the certainty that comes of being on your own familiar territory, of knowing you’re in charge, and let your child teach you a little of her language</w:t>
      </w:r>
      <w:r w:rsidR="00C96DC4" w:rsidRPr="00DD44EF">
        <w:rPr>
          <w:rFonts w:ascii="Times New Roman" w:hAnsi="Times New Roman" w:cs="Times New Roman"/>
          <w:sz w:val="24"/>
          <w:szCs w:val="24"/>
        </w:rPr>
        <w:t xml:space="preserve">, guide you </w:t>
      </w:r>
      <w:r w:rsidR="00623558" w:rsidRPr="00DD44EF">
        <w:rPr>
          <w:rFonts w:ascii="Times New Roman" w:hAnsi="Times New Roman" w:cs="Times New Roman"/>
          <w:sz w:val="24"/>
          <w:szCs w:val="24"/>
        </w:rPr>
        <w:t>a little way into his world (n.p.</w:t>
      </w:r>
      <w:r w:rsidR="00C96DC4" w:rsidRPr="00DD44EF">
        <w:rPr>
          <w:rFonts w:ascii="Times New Roman" w:hAnsi="Times New Roman" w:cs="Times New Roman"/>
          <w:sz w:val="24"/>
          <w:szCs w:val="24"/>
        </w:rPr>
        <w:t>).</w:t>
      </w:r>
    </w:p>
    <w:p w14:paraId="083A8265" w14:textId="77777777" w:rsidR="00C96DC4" w:rsidRPr="00DD44EF" w:rsidRDefault="00C96DC4" w:rsidP="00623558">
      <w:pPr>
        <w:spacing w:after="0" w:line="23" w:lineRule="atLeast"/>
        <w:jc w:val="both"/>
        <w:rPr>
          <w:rFonts w:ascii="Times New Roman" w:hAnsi="Times New Roman" w:cs="Times New Roman"/>
          <w:sz w:val="24"/>
          <w:szCs w:val="24"/>
        </w:rPr>
      </w:pPr>
    </w:p>
    <w:p w14:paraId="47A911BE" w14:textId="77777777" w:rsidR="00664484" w:rsidRPr="00DD44EF" w:rsidRDefault="00C96DC4" w:rsidP="00623558">
      <w:pPr>
        <w:spacing w:after="0" w:line="23" w:lineRule="atLeast"/>
        <w:jc w:val="both"/>
        <w:rPr>
          <w:rFonts w:ascii="Times New Roman" w:eastAsia="Times New Roman" w:hAnsi="Times New Roman" w:cs="Times New Roman"/>
          <w:sz w:val="24"/>
          <w:szCs w:val="24"/>
          <w:lang w:val="en-US"/>
        </w:rPr>
      </w:pPr>
      <w:r w:rsidRPr="00DD44EF">
        <w:rPr>
          <w:rFonts w:ascii="Times New Roman" w:hAnsi="Times New Roman" w:cs="Times New Roman"/>
          <w:sz w:val="24"/>
          <w:szCs w:val="24"/>
        </w:rPr>
        <w:t>Sinclair assures non-autistic parents that relating to their autistic children can be accomplished – ‘unless non-autistic people are far more limited than we are in their capacity to relate’ (p.2). Once non-autistic parents understand that there is more to communication than expecting their autistic children to commun</w:t>
      </w:r>
      <w:r w:rsidR="00334CEB" w:rsidRPr="00DD44EF">
        <w:rPr>
          <w:rFonts w:ascii="Times New Roman" w:hAnsi="Times New Roman" w:cs="Times New Roman"/>
          <w:sz w:val="24"/>
          <w:szCs w:val="24"/>
        </w:rPr>
        <w:t>icate on non-autistic terms, ‘yo</w:t>
      </w:r>
      <w:r w:rsidRPr="00DD44EF">
        <w:rPr>
          <w:rFonts w:ascii="Times New Roman" w:hAnsi="Times New Roman" w:cs="Times New Roman"/>
          <w:sz w:val="24"/>
          <w:szCs w:val="24"/>
        </w:rPr>
        <w:t>u’ll find a world you could never have imagined’ (p.2).</w:t>
      </w:r>
      <w:r w:rsidR="00A30667" w:rsidRPr="00DD44EF">
        <w:rPr>
          <w:rFonts w:ascii="Times New Roman" w:hAnsi="Times New Roman" w:cs="Times New Roman"/>
          <w:sz w:val="24"/>
          <w:szCs w:val="24"/>
        </w:rPr>
        <w:t xml:space="preserve"> In a similar spirit, </w:t>
      </w:r>
      <w:r w:rsidR="00334CEB" w:rsidRPr="00DD44EF">
        <w:rPr>
          <w:rFonts w:ascii="Times New Roman" w:hAnsi="Times New Roman" w:cs="Times New Roman"/>
          <w:sz w:val="24"/>
          <w:szCs w:val="24"/>
        </w:rPr>
        <w:t xml:space="preserve">Jenny Morris </w:t>
      </w:r>
      <w:r w:rsidR="00EB3A36" w:rsidRPr="00DD44EF">
        <w:rPr>
          <w:rFonts w:ascii="Times New Roman" w:hAnsi="Times New Roman" w:cs="Times New Roman"/>
          <w:sz w:val="24"/>
          <w:szCs w:val="24"/>
        </w:rPr>
        <w:t>(1991) collaborated with a number of disabled women</w:t>
      </w:r>
      <w:r w:rsidR="00334CEB" w:rsidRPr="00DD44EF">
        <w:rPr>
          <w:rFonts w:ascii="Times New Roman" w:hAnsi="Times New Roman" w:cs="Times New Roman"/>
          <w:sz w:val="24"/>
          <w:szCs w:val="24"/>
        </w:rPr>
        <w:t xml:space="preserve"> to compile a list of assumptions commonly made </w:t>
      </w:r>
      <w:r w:rsidR="00EB3A36" w:rsidRPr="00DD44EF">
        <w:rPr>
          <w:rFonts w:ascii="Times New Roman" w:hAnsi="Times New Roman" w:cs="Times New Roman"/>
          <w:sz w:val="24"/>
          <w:szCs w:val="24"/>
        </w:rPr>
        <w:t>by non-disabled people about the experiences of disabled people. Among these assumptions are the contentions that ‘our only true scale of merit and success is to judge ourselves by the standards of their world’; that d</w:t>
      </w:r>
      <w:r w:rsidR="00A30667" w:rsidRPr="00DD44EF">
        <w:rPr>
          <w:rFonts w:ascii="Times New Roman" w:hAnsi="Times New Roman" w:cs="Times New Roman"/>
          <w:sz w:val="24"/>
          <w:szCs w:val="24"/>
        </w:rPr>
        <w:t>isabled people crave ‘normalcy’;</w:t>
      </w:r>
      <w:r w:rsidR="00EB3A36" w:rsidRPr="00DD44EF">
        <w:rPr>
          <w:rFonts w:ascii="Times New Roman" w:hAnsi="Times New Roman" w:cs="Times New Roman"/>
          <w:sz w:val="24"/>
          <w:szCs w:val="24"/>
        </w:rPr>
        <w:t xml:space="preserve"> and that nothing is to be gained from the experience of disability (pp. 11-13).</w:t>
      </w:r>
      <w:r w:rsidR="00A30667" w:rsidRPr="00DD44EF">
        <w:rPr>
          <w:rFonts w:ascii="Times New Roman" w:hAnsi="Times New Roman" w:cs="Times New Roman"/>
          <w:sz w:val="24"/>
          <w:szCs w:val="24"/>
        </w:rPr>
        <w:t xml:space="preserve"> The </w:t>
      </w:r>
      <w:r w:rsidR="004A7138" w:rsidRPr="00DD44EF">
        <w:rPr>
          <w:rFonts w:ascii="Times New Roman" w:hAnsi="Times New Roman" w:cs="Times New Roman"/>
          <w:sz w:val="24"/>
          <w:szCs w:val="24"/>
        </w:rPr>
        <w:t>potential, afforded by simulation, for fully sighted members of gallery access teams to make an informed effort to relate to visitors with visual impairment -- on the terms of these visitors rather than on their own – seems to me to signal a promising, if imperfect, development</w:t>
      </w:r>
      <w:r w:rsidR="000B778E">
        <w:rPr>
          <w:rFonts w:ascii="Times New Roman" w:hAnsi="Times New Roman" w:cs="Times New Roman"/>
          <w:sz w:val="24"/>
          <w:szCs w:val="24"/>
        </w:rPr>
        <w:t xml:space="preserve"> within the domain of art access</w:t>
      </w:r>
      <w:r w:rsidR="004A7138" w:rsidRPr="00DD44EF">
        <w:rPr>
          <w:rFonts w:ascii="Times New Roman" w:hAnsi="Times New Roman" w:cs="Times New Roman"/>
          <w:sz w:val="24"/>
          <w:szCs w:val="24"/>
        </w:rPr>
        <w:t>.</w:t>
      </w:r>
      <w:r w:rsidR="00664484" w:rsidRPr="00DD44EF">
        <w:rPr>
          <w:rFonts w:ascii="Times New Roman" w:eastAsia="Times New Roman" w:hAnsi="Times New Roman" w:cs="Times New Roman"/>
          <w:sz w:val="24"/>
          <w:szCs w:val="24"/>
          <w:lang w:val="en-US"/>
        </w:rPr>
        <w:t xml:space="preserve"> </w:t>
      </w:r>
    </w:p>
    <w:p w14:paraId="3C1A7094" w14:textId="77777777" w:rsidR="00664484" w:rsidRPr="00DD44EF" w:rsidRDefault="00664484" w:rsidP="00623558">
      <w:pPr>
        <w:spacing w:after="0" w:line="23" w:lineRule="atLeast"/>
        <w:jc w:val="both"/>
        <w:rPr>
          <w:rFonts w:ascii="Times New Roman" w:eastAsia="Times New Roman" w:hAnsi="Times New Roman" w:cs="Times New Roman"/>
          <w:sz w:val="24"/>
          <w:szCs w:val="24"/>
          <w:lang w:val="en-US"/>
        </w:rPr>
      </w:pPr>
    </w:p>
    <w:p w14:paraId="5D5DAD57" w14:textId="0E0CD7A1" w:rsidR="00664484" w:rsidRPr="00DD44EF" w:rsidRDefault="00DB5DA5" w:rsidP="00623558">
      <w:pPr>
        <w:spacing w:after="0" w:line="23" w:lineRule="atLeast"/>
        <w:jc w:val="both"/>
        <w:rPr>
          <w:rFonts w:ascii="Times New Roman" w:hAnsi="Times New Roman" w:cs="Times New Roman"/>
          <w:sz w:val="24"/>
          <w:szCs w:val="24"/>
          <w:lang w:val="en-US"/>
        </w:rPr>
      </w:pPr>
      <w:r w:rsidRPr="00DD44EF">
        <w:rPr>
          <w:rFonts w:ascii="Times New Roman" w:hAnsi="Times New Roman" w:cs="Times New Roman"/>
          <w:sz w:val="24"/>
          <w:szCs w:val="24"/>
          <w:lang w:val="en-US"/>
        </w:rPr>
        <w:t xml:space="preserve">The direction in which descriptions tend to be transmitted in art access sessions, however, suggests that </w:t>
      </w:r>
      <w:r w:rsidR="000B778E">
        <w:rPr>
          <w:rFonts w:ascii="Times New Roman" w:hAnsi="Times New Roman" w:cs="Times New Roman"/>
          <w:sz w:val="24"/>
          <w:szCs w:val="24"/>
          <w:lang w:val="en-US"/>
        </w:rPr>
        <w:t xml:space="preserve">the question of </w:t>
      </w:r>
      <w:r w:rsidRPr="00DD44EF">
        <w:rPr>
          <w:rFonts w:ascii="Times New Roman" w:hAnsi="Times New Roman" w:cs="Times New Roman"/>
          <w:sz w:val="24"/>
          <w:szCs w:val="24"/>
          <w:lang w:val="en-US"/>
        </w:rPr>
        <w:t xml:space="preserve">how paintings are perceived by visitors with visual impairment </w:t>
      </w:r>
      <w:r w:rsidR="0015562B" w:rsidRPr="00DD44EF">
        <w:rPr>
          <w:rFonts w:ascii="Times New Roman" w:hAnsi="Times New Roman" w:cs="Times New Roman"/>
          <w:sz w:val="24"/>
          <w:szCs w:val="24"/>
          <w:lang w:val="en-US"/>
        </w:rPr>
        <w:t xml:space="preserve">holds little interest for gallery staff. </w:t>
      </w:r>
      <w:r w:rsidRPr="00DD44EF">
        <w:rPr>
          <w:rFonts w:ascii="Times New Roman" w:hAnsi="Times New Roman" w:cs="Times New Roman"/>
          <w:sz w:val="24"/>
          <w:szCs w:val="24"/>
          <w:lang w:val="en-US"/>
        </w:rPr>
        <w:t xml:space="preserve"> </w:t>
      </w:r>
      <w:r w:rsidR="0015562B" w:rsidRPr="00DD44EF">
        <w:rPr>
          <w:rFonts w:ascii="Times New Roman" w:hAnsi="Times New Roman" w:cs="Times New Roman"/>
          <w:sz w:val="24"/>
          <w:szCs w:val="24"/>
          <w:lang w:val="en-US"/>
        </w:rPr>
        <w:t>The implicit assumpti</w:t>
      </w:r>
      <w:r w:rsidR="000B778E">
        <w:rPr>
          <w:rFonts w:ascii="Times New Roman" w:hAnsi="Times New Roman" w:cs="Times New Roman"/>
          <w:sz w:val="24"/>
          <w:szCs w:val="24"/>
          <w:lang w:val="en-US"/>
        </w:rPr>
        <w:t xml:space="preserve">on would appear to be that even in cases in which it is accepted that these </w:t>
      </w:r>
      <w:r w:rsidR="00624AED">
        <w:rPr>
          <w:rFonts w:ascii="Times New Roman" w:hAnsi="Times New Roman" w:cs="Times New Roman"/>
          <w:sz w:val="24"/>
          <w:szCs w:val="24"/>
          <w:lang w:val="en-US"/>
        </w:rPr>
        <w:t>visitors</w:t>
      </w:r>
      <w:r w:rsidR="000B778E">
        <w:rPr>
          <w:rFonts w:ascii="Times New Roman" w:hAnsi="Times New Roman" w:cs="Times New Roman"/>
          <w:sz w:val="24"/>
          <w:szCs w:val="24"/>
          <w:lang w:val="en-US"/>
        </w:rPr>
        <w:t xml:space="preserve"> actually see something,</w:t>
      </w:r>
      <w:r w:rsidR="0015562B" w:rsidRPr="00DD44EF">
        <w:rPr>
          <w:rFonts w:ascii="Times New Roman" w:hAnsi="Times New Roman" w:cs="Times New Roman"/>
          <w:sz w:val="24"/>
          <w:szCs w:val="24"/>
          <w:lang w:val="en-US"/>
        </w:rPr>
        <w:t xml:space="preserve"> what th</w:t>
      </w:r>
      <w:r w:rsidR="000B778E">
        <w:rPr>
          <w:rFonts w:ascii="Times New Roman" w:hAnsi="Times New Roman" w:cs="Times New Roman"/>
          <w:sz w:val="24"/>
          <w:szCs w:val="24"/>
          <w:lang w:val="en-US"/>
        </w:rPr>
        <w:t>ey do perceive</w:t>
      </w:r>
      <w:r w:rsidR="0015562B" w:rsidRPr="00DD44EF">
        <w:rPr>
          <w:rFonts w:ascii="Times New Roman" w:hAnsi="Times New Roman" w:cs="Times New Roman"/>
          <w:sz w:val="24"/>
          <w:szCs w:val="24"/>
          <w:lang w:val="en-US"/>
        </w:rPr>
        <w:t xml:space="preserve"> is characterized by levels of vagueness, ambiguity and imprecisio</w:t>
      </w:r>
      <w:r w:rsidR="000B778E">
        <w:rPr>
          <w:rFonts w:ascii="Times New Roman" w:hAnsi="Times New Roman" w:cs="Times New Roman"/>
          <w:sz w:val="24"/>
          <w:szCs w:val="24"/>
          <w:lang w:val="en-US"/>
        </w:rPr>
        <w:t>n that detract entirely from the painting’s inherent aesthetic worth</w:t>
      </w:r>
      <w:r w:rsidR="0015562B" w:rsidRPr="00DD44EF">
        <w:rPr>
          <w:rFonts w:ascii="Times New Roman" w:hAnsi="Times New Roman" w:cs="Times New Roman"/>
          <w:sz w:val="24"/>
          <w:szCs w:val="24"/>
          <w:lang w:val="en-US"/>
        </w:rPr>
        <w:t>. This appears to be the case despite the fact that a</w:t>
      </w:r>
      <w:r w:rsidR="00664484" w:rsidRPr="00DD44EF">
        <w:rPr>
          <w:rFonts w:ascii="Times New Roman" w:hAnsi="Times New Roman" w:cs="Times New Roman"/>
          <w:sz w:val="24"/>
          <w:szCs w:val="24"/>
          <w:lang w:val="en-US"/>
        </w:rPr>
        <w:t>rt theorist</w:t>
      </w:r>
      <w:r w:rsidR="004926D8" w:rsidRPr="00DD44EF">
        <w:rPr>
          <w:rFonts w:ascii="Times New Roman" w:hAnsi="Times New Roman" w:cs="Times New Roman"/>
          <w:sz w:val="24"/>
          <w:szCs w:val="24"/>
          <w:lang w:val="en-US"/>
        </w:rPr>
        <w:t>s such as Robert Pepperell (2006</w:t>
      </w:r>
      <w:r w:rsidR="00664484" w:rsidRPr="00DD44EF">
        <w:rPr>
          <w:rFonts w:ascii="Times New Roman" w:hAnsi="Times New Roman" w:cs="Times New Roman"/>
          <w:sz w:val="24"/>
          <w:szCs w:val="24"/>
          <w:lang w:val="en-US"/>
        </w:rPr>
        <w:t>) and Dario Gamboni (2002) have established the aesthetic relevance of visual indeterminacy - a perceptual state in which subjects fail to recognize objects from visual cues. This phenomenon is of great significance within the history of art, which is replete with examples of artists who exploit this phenome</w:t>
      </w:r>
      <w:r w:rsidRPr="00DD44EF">
        <w:rPr>
          <w:rFonts w:ascii="Times New Roman" w:hAnsi="Times New Roman" w:cs="Times New Roman"/>
          <w:sz w:val="24"/>
          <w:szCs w:val="24"/>
          <w:lang w:val="en-US"/>
        </w:rPr>
        <w:t xml:space="preserve">non for artistic effect. </w:t>
      </w:r>
      <w:r w:rsidR="00664484" w:rsidRPr="00DD44EF">
        <w:rPr>
          <w:rFonts w:ascii="Times New Roman" w:hAnsi="Times New Roman" w:cs="Times New Roman"/>
          <w:sz w:val="24"/>
          <w:szCs w:val="24"/>
          <w:lang w:val="en-US"/>
        </w:rPr>
        <w:t>Pepperell has d</w:t>
      </w:r>
      <w:r w:rsidR="004926D8" w:rsidRPr="00DD44EF">
        <w:rPr>
          <w:rFonts w:ascii="Times New Roman" w:hAnsi="Times New Roman" w:cs="Times New Roman"/>
          <w:sz w:val="24"/>
          <w:szCs w:val="24"/>
          <w:lang w:val="en-US"/>
        </w:rPr>
        <w:t xml:space="preserve">efined </w:t>
      </w:r>
      <w:r w:rsidR="00E76519" w:rsidRPr="00DD44EF">
        <w:rPr>
          <w:rFonts w:ascii="Times New Roman" w:hAnsi="Times New Roman" w:cs="Times New Roman"/>
          <w:sz w:val="24"/>
          <w:szCs w:val="24"/>
          <w:lang w:val="en-US"/>
        </w:rPr>
        <w:t xml:space="preserve">the perceptual phenomenon of </w:t>
      </w:r>
      <w:r w:rsidR="004926D8" w:rsidRPr="00DD44EF">
        <w:rPr>
          <w:rFonts w:ascii="Times New Roman" w:hAnsi="Times New Roman" w:cs="Times New Roman"/>
          <w:sz w:val="24"/>
          <w:szCs w:val="24"/>
          <w:lang w:val="en-US"/>
        </w:rPr>
        <w:t>visua</w:t>
      </w:r>
      <w:r w:rsidR="00E76519" w:rsidRPr="00DD44EF">
        <w:rPr>
          <w:rFonts w:ascii="Times New Roman" w:hAnsi="Times New Roman" w:cs="Times New Roman"/>
          <w:sz w:val="24"/>
          <w:szCs w:val="24"/>
          <w:lang w:val="en-US"/>
        </w:rPr>
        <w:t>l indeterminacy as</w:t>
      </w:r>
      <w:r w:rsidR="00664484" w:rsidRPr="00DD44EF">
        <w:rPr>
          <w:rFonts w:ascii="Times New Roman" w:hAnsi="Times New Roman" w:cs="Times New Roman"/>
          <w:sz w:val="24"/>
          <w:szCs w:val="24"/>
          <w:lang w:val="en-US"/>
        </w:rPr>
        <w:t xml:space="preserve"> that </w:t>
      </w:r>
      <w:r w:rsidR="00E76519" w:rsidRPr="00DD44EF">
        <w:rPr>
          <w:rFonts w:ascii="Times New Roman" w:hAnsi="Times New Roman" w:cs="Times New Roman"/>
          <w:sz w:val="24"/>
          <w:szCs w:val="24"/>
          <w:lang w:val="en-US"/>
        </w:rPr>
        <w:t>which o</w:t>
      </w:r>
      <w:r w:rsidR="00664484" w:rsidRPr="00DD44EF">
        <w:rPr>
          <w:rFonts w:ascii="Times New Roman" w:hAnsi="Times New Roman" w:cs="Times New Roman"/>
          <w:sz w:val="24"/>
          <w:szCs w:val="24"/>
          <w:lang w:val="en-US"/>
        </w:rPr>
        <w:t xml:space="preserve">ccurs when a viewer is presented with </w:t>
      </w:r>
      <w:r w:rsidR="00624AED" w:rsidRPr="00DD44EF">
        <w:rPr>
          <w:rFonts w:ascii="Times New Roman" w:hAnsi="Times New Roman" w:cs="Times New Roman"/>
          <w:sz w:val="24"/>
          <w:szCs w:val="24"/>
          <w:lang w:val="en-US"/>
        </w:rPr>
        <w:t>an</w:t>
      </w:r>
      <w:r w:rsidR="00664484" w:rsidRPr="00DD44EF">
        <w:rPr>
          <w:rFonts w:ascii="Times New Roman" w:hAnsi="Times New Roman" w:cs="Times New Roman"/>
          <w:sz w:val="24"/>
          <w:szCs w:val="24"/>
          <w:lang w:val="en-US"/>
        </w:rPr>
        <w:t xml:space="preserve"> </w:t>
      </w:r>
      <w:r w:rsidR="00E76519" w:rsidRPr="00DD44EF">
        <w:rPr>
          <w:rFonts w:ascii="Times New Roman" w:hAnsi="Times New Roman" w:cs="Times New Roman"/>
          <w:sz w:val="24"/>
          <w:szCs w:val="24"/>
          <w:lang w:val="en-US"/>
        </w:rPr>
        <w:t>ostensibly</w:t>
      </w:r>
      <w:r w:rsidR="00664484" w:rsidRPr="00DD44EF">
        <w:rPr>
          <w:rFonts w:ascii="Times New Roman" w:hAnsi="Times New Roman" w:cs="Times New Roman"/>
          <w:sz w:val="24"/>
          <w:szCs w:val="24"/>
          <w:lang w:val="en-US"/>
        </w:rPr>
        <w:t xml:space="preserve"> meaningful visual stimulus that denies easy or immed</w:t>
      </w:r>
      <w:r w:rsidR="004926D8" w:rsidRPr="00DD44EF">
        <w:rPr>
          <w:rFonts w:ascii="Times New Roman" w:hAnsi="Times New Roman" w:cs="Times New Roman"/>
          <w:sz w:val="24"/>
          <w:szCs w:val="24"/>
          <w:lang w:val="en-US"/>
        </w:rPr>
        <w:t>iate identification</w:t>
      </w:r>
      <w:r w:rsidR="00E76519" w:rsidRPr="00DD44EF">
        <w:rPr>
          <w:rFonts w:ascii="Times New Roman" w:hAnsi="Times New Roman" w:cs="Times New Roman"/>
          <w:sz w:val="24"/>
          <w:szCs w:val="24"/>
          <w:lang w:val="en-US"/>
        </w:rPr>
        <w:t xml:space="preserve"> (Pepperell 2006</w:t>
      </w:r>
      <w:r w:rsidR="0019639D" w:rsidRPr="00DD44EF">
        <w:rPr>
          <w:rFonts w:ascii="Times New Roman" w:hAnsi="Times New Roman" w:cs="Times New Roman"/>
          <w:sz w:val="24"/>
          <w:szCs w:val="24"/>
          <w:lang w:val="en-US"/>
        </w:rPr>
        <w:t>:</w:t>
      </w:r>
      <w:r w:rsidR="00E76519" w:rsidRPr="00DD44EF">
        <w:rPr>
          <w:rFonts w:ascii="Times New Roman" w:hAnsi="Times New Roman" w:cs="Times New Roman"/>
          <w:sz w:val="24"/>
          <w:szCs w:val="24"/>
          <w:lang w:val="en-US"/>
        </w:rPr>
        <w:t xml:space="preserve"> 394</w:t>
      </w:r>
      <w:r w:rsidR="00664484" w:rsidRPr="00DD44EF">
        <w:rPr>
          <w:rFonts w:ascii="Times New Roman" w:hAnsi="Times New Roman" w:cs="Times New Roman"/>
          <w:sz w:val="24"/>
          <w:szCs w:val="24"/>
          <w:lang w:val="en-US"/>
        </w:rPr>
        <w:t xml:space="preserve">). The experience is characterized by the suggestion of present objects but the denial or frustration of immediate recognition. </w:t>
      </w:r>
      <w:r w:rsidR="0015562B" w:rsidRPr="00DD44EF">
        <w:rPr>
          <w:rFonts w:ascii="Times New Roman" w:hAnsi="Times New Roman" w:cs="Times New Roman"/>
          <w:sz w:val="24"/>
          <w:szCs w:val="24"/>
          <w:lang w:val="en-US"/>
        </w:rPr>
        <w:t>Pepperell’s descriptions tally closely with the degraded iterations of o</w:t>
      </w:r>
      <w:r w:rsidR="000B778E">
        <w:rPr>
          <w:rFonts w:ascii="Times New Roman" w:hAnsi="Times New Roman" w:cs="Times New Roman"/>
          <w:sz w:val="24"/>
          <w:szCs w:val="24"/>
          <w:lang w:val="en-US"/>
        </w:rPr>
        <w:t>riginal paintings generated by S</w:t>
      </w:r>
      <w:r w:rsidR="0015562B" w:rsidRPr="00DD44EF">
        <w:rPr>
          <w:rFonts w:ascii="Times New Roman" w:hAnsi="Times New Roman" w:cs="Times New Roman"/>
          <w:sz w:val="24"/>
          <w:szCs w:val="24"/>
          <w:lang w:val="en-US"/>
        </w:rPr>
        <w:t xml:space="preserve">ight-sim™. Yet the </w:t>
      </w:r>
      <w:r w:rsidR="002C1419" w:rsidRPr="00DD44EF">
        <w:rPr>
          <w:rFonts w:ascii="Times New Roman" w:hAnsi="Times New Roman" w:cs="Times New Roman"/>
          <w:sz w:val="24"/>
          <w:szCs w:val="24"/>
          <w:lang w:val="en-US"/>
        </w:rPr>
        <w:t>potential for aesthetic engagement and experiential exchange inherent in these perceptions remains largely untapped within the domain of art access.</w:t>
      </w:r>
    </w:p>
    <w:p w14:paraId="6DCFB8B2" w14:textId="77777777" w:rsidR="00F449C4" w:rsidRPr="00DD44EF" w:rsidRDefault="00F449C4" w:rsidP="00623558">
      <w:pPr>
        <w:spacing w:after="0" w:line="23" w:lineRule="atLeast"/>
        <w:jc w:val="both"/>
        <w:rPr>
          <w:rFonts w:ascii="Times New Roman" w:hAnsi="Times New Roman" w:cs="Times New Roman"/>
          <w:sz w:val="24"/>
          <w:szCs w:val="24"/>
        </w:rPr>
      </w:pPr>
    </w:p>
    <w:p w14:paraId="54ED798D" w14:textId="77777777" w:rsidR="005440B5" w:rsidRPr="00DD44EF" w:rsidRDefault="007F348F" w:rsidP="00623558">
      <w:pPr>
        <w:spacing w:after="0" w:line="23" w:lineRule="atLeast"/>
        <w:jc w:val="both"/>
        <w:rPr>
          <w:rFonts w:ascii="Times New Roman" w:hAnsi="Times New Roman" w:cs="Times New Roman"/>
          <w:b/>
          <w:sz w:val="24"/>
          <w:szCs w:val="24"/>
        </w:rPr>
      </w:pPr>
      <w:r w:rsidRPr="00DD44EF">
        <w:rPr>
          <w:rFonts w:ascii="Times New Roman" w:hAnsi="Times New Roman" w:cs="Times New Roman"/>
          <w:b/>
          <w:sz w:val="24"/>
          <w:szCs w:val="24"/>
        </w:rPr>
        <w:t>C</w:t>
      </w:r>
      <w:r w:rsidR="005440B5" w:rsidRPr="00DD44EF">
        <w:rPr>
          <w:rFonts w:ascii="Times New Roman" w:hAnsi="Times New Roman" w:cs="Times New Roman"/>
          <w:b/>
          <w:sz w:val="24"/>
          <w:szCs w:val="24"/>
        </w:rPr>
        <w:t>oncluding thoughts</w:t>
      </w:r>
    </w:p>
    <w:p w14:paraId="355CFDD9" w14:textId="3107048F" w:rsidR="00DB31DB" w:rsidRDefault="00620E9E" w:rsidP="00623558">
      <w:pPr>
        <w:widowControl w:val="0"/>
        <w:autoSpaceDE w:val="0"/>
        <w:autoSpaceDN w:val="0"/>
        <w:adjustRightInd w:val="0"/>
        <w:spacing w:after="0" w:line="23" w:lineRule="atLeast"/>
        <w:jc w:val="both"/>
        <w:rPr>
          <w:rFonts w:ascii="Times New Roman" w:hAnsi="Times New Roman" w:cs="Times New Roman"/>
          <w:sz w:val="24"/>
          <w:szCs w:val="24"/>
        </w:rPr>
      </w:pPr>
      <w:r w:rsidRPr="00DD44EF">
        <w:rPr>
          <w:rFonts w:ascii="Times New Roman" w:hAnsi="Times New Roman" w:cs="Times New Roman"/>
          <w:sz w:val="24"/>
          <w:szCs w:val="24"/>
        </w:rPr>
        <w:t>Underpinning the assertions that have been volunteered here is a firm belief in the idea</w:t>
      </w:r>
      <w:r w:rsidR="007F348F" w:rsidRPr="00DD44EF">
        <w:rPr>
          <w:rFonts w:ascii="Times New Roman" w:hAnsi="Times New Roman" w:cs="Times New Roman"/>
          <w:sz w:val="24"/>
          <w:szCs w:val="24"/>
        </w:rPr>
        <w:t xml:space="preserve"> that because values are derived from experience, ‘value,’ or ‘meaning,’ or whatever term we choose to allocate to the yield of aesthetic experience</w:t>
      </w:r>
      <w:r w:rsidR="00AA2EEC">
        <w:rPr>
          <w:rFonts w:ascii="Times New Roman" w:hAnsi="Times New Roman" w:cs="Times New Roman"/>
          <w:sz w:val="24"/>
          <w:szCs w:val="24"/>
        </w:rPr>
        <w:t>,</w:t>
      </w:r>
      <w:r w:rsidR="007F348F" w:rsidRPr="00DD44EF">
        <w:rPr>
          <w:rFonts w:ascii="Times New Roman" w:hAnsi="Times New Roman" w:cs="Times New Roman"/>
          <w:sz w:val="24"/>
          <w:szCs w:val="24"/>
        </w:rPr>
        <w:t xml:space="preserve"> cannot be meaningfully explored in isolation from the </w:t>
      </w:r>
      <w:r w:rsidR="00AA2EEC">
        <w:rPr>
          <w:rFonts w:ascii="Times New Roman" w:hAnsi="Times New Roman" w:cs="Times New Roman"/>
          <w:sz w:val="24"/>
          <w:szCs w:val="24"/>
        </w:rPr>
        <w:t xml:space="preserve">direct </w:t>
      </w:r>
      <w:r w:rsidR="007F348F" w:rsidRPr="00DD44EF">
        <w:rPr>
          <w:rFonts w:ascii="Times New Roman" w:hAnsi="Times New Roman" w:cs="Times New Roman"/>
          <w:sz w:val="24"/>
          <w:szCs w:val="24"/>
        </w:rPr>
        <w:t>ex</w:t>
      </w:r>
      <w:r w:rsidR="00AA2EEC">
        <w:rPr>
          <w:rFonts w:ascii="Times New Roman" w:hAnsi="Times New Roman" w:cs="Times New Roman"/>
          <w:sz w:val="24"/>
          <w:szCs w:val="24"/>
        </w:rPr>
        <w:t>perience of that value</w:t>
      </w:r>
      <w:r w:rsidR="006D3F42">
        <w:rPr>
          <w:rFonts w:ascii="Times New Roman" w:hAnsi="Times New Roman" w:cs="Times New Roman"/>
          <w:sz w:val="24"/>
          <w:szCs w:val="24"/>
        </w:rPr>
        <w:t xml:space="preserve">. </w:t>
      </w:r>
      <w:r w:rsidR="007F348F" w:rsidRPr="00DD44EF">
        <w:rPr>
          <w:rFonts w:ascii="Times New Roman" w:hAnsi="Times New Roman" w:cs="Times New Roman"/>
          <w:sz w:val="24"/>
          <w:szCs w:val="24"/>
        </w:rPr>
        <w:t>Ralph Alexander Smith</w:t>
      </w:r>
      <w:r w:rsidR="006D3F42">
        <w:rPr>
          <w:rFonts w:ascii="Times New Roman" w:hAnsi="Times New Roman" w:cs="Times New Roman"/>
          <w:sz w:val="24"/>
          <w:szCs w:val="24"/>
        </w:rPr>
        <w:t>’s</w:t>
      </w:r>
      <w:r w:rsidR="007F348F" w:rsidRPr="00DD44EF">
        <w:rPr>
          <w:rFonts w:ascii="Times New Roman" w:hAnsi="Times New Roman" w:cs="Times New Roman"/>
          <w:sz w:val="24"/>
          <w:szCs w:val="24"/>
        </w:rPr>
        <w:t xml:space="preserve"> (1989)</w:t>
      </w:r>
      <w:r w:rsidR="007F348F" w:rsidRPr="00DD44EF">
        <w:rPr>
          <w:rFonts w:ascii="Times New Roman" w:hAnsi="Times New Roman" w:cs="Times New Roman"/>
          <w:b/>
          <w:sz w:val="24"/>
          <w:szCs w:val="24"/>
        </w:rPr>
        <w:t xml:space="preserve"> </w:t>
      </w:r>
      <w:r w:rsidR="006D3F42">
        <w:rPr>
          <w:rFonts w:ascii="Times New Roman" w:hAnsi="Times New Roman" w:cs="Times New Roman"/>
          <w:sz w:val="24"/>
          <w:szCs w:val="24"/>
        </w:rPr>
        <w:t>observation that</w:t>
      </w:r>
      <w:r w:rsidR="007F348F" w:rsidRPr="00DD44EF">
        <w:rPr>
          <w:rFonts w:ascii="Times New Roman" w:hAnsi="Times New Roman" w:cs="Times New Roman"/>
          <w:sz w:val="24"/>
          <w:szCs w:val="24"/>
        </w:rPr>
        <w:t xml:space="preserve"> value is a property attributed to an object by virtue of its relationship with a sensibility</w:t>
      </w:r>
      <w:r w:rsidR="006D3F42">
        <w:rPr>
          <w:rFonts w:ascii="Times New Roman" w:hAnsi="Times New Roman" w:cs="Times New Roman"/>
          <w:sz w:val="24"/>
          <w:szCs w:val="24"/>
        </w:rPr>
        <w:t xml:space="preserve"> is worth keeping in mind when attempting to force the aesthetic engagement of individuals with visual impairment into </w:t>
      </w:r>
      <w:r w:rsidR="006D3F42" w:rsidRPr="006D3F42">
        <w:rPr>
          <w:rFonts w:ascii="Times New Roman" w:hAnsi="Times New Roman" w:cs="Times New Roman"/>
          <w:sz w:val="24"/>
          <w:szCs w:val="24"/>
        </w:rPr>
        <w:t>contrived</w:t>
      </w:r>
      <w:r w:rsidR="006D3F42">
        <w:rPr>
          <w:rFonts w:ascii="Times New Roman" w:hAnsi="Times New Roman" w:cs="Times New Roman"/>
          <w:sz w:val="24"/>
          <w:szCs w:val="24"/>
        </w:rPr>
        <w:t xml:space="preserve"> alignment with the sensibilities of their fully sighted guides</w:t>
      </w:r>
      <w:r w:rsidR="007F348F" w:rsidRPr="00DD44EF">
        <w:rPr>
          <w:rFonts w:ascii="Times New Roman" w:hAnsi="Times New Roman" w:cs="Times New Roman"/>
          <w:sz w:val="24"/>
          <w:szCs w:val="24"/>
        </w:rPr>
        <w:t xml:space="preserve">. </w:t>
      </w:r>
      <w:r w:rsidR="00BF1E1B" w:rsidRPr="00DD44EF">
        <w:rPr>
          <w:rFonts w:ascii="Times New Roman" w:hAnsi="Times New Roman" w:cs="Times New Roman"/>
          <w:sz w:val="24"/>
          <w:szCs w:val="24"/>
        </w:rPr>
        <w:t>‘Successful communication’</w:t>
      </w:r>
      <w:r w:rsidR="00971083">
        <w:rPr>
          <w:rFonts w:ascii="Times New Roman" w:hAnsi="Times New Roman" w:cs="Times New Roman"/>
          <w:sz w:val="24"/>
          <w:szCs w:val="24"/>
          <w:lang w:val="en-US"/>
        </w:rPr>
        <w:t>,</w:t>
      </w:r>
      <w:r w:rsidR="00BF1E1B" w:rsidRPr="00DD44EF">
        <w:rPr>
          <w:rFonts w:ascii="Times New Roman" w:hAnsi="Times New Roman" w:cs="Times New Roman"/>
          <w:sz w:val="24"/>
          <w:szCs w:val="24"/>
        </w:rPr>
        <w:t xml:space="preserve"> </w:t>
      </w:r>
      <w:r w:rsidR="006D3F42">
        <w:rPr>
          <w:rFonts w:ascii="Times New Roman" w:hAnsi="Times New Roman" w:cs="Times New Roman"/>
          <w:sz w:val="24"/>
          <w:szCs w:val="24"/>
        </w:rPr>
        <w:t xml:space="preserve">Jonathan </w:t>
      </w:r>
      <w:r w:rsidR="00BF1E1B" w:rsidRPr="00DD44EF">
        <w:rPr>
          <w:rFonts w:ascii="Times New Roman" w:hAnsi="Times New Roman" w:cs="Times New Roman"/>
          <w:sz w:val="24"/>
          <w:szCs w:val="24"/>
        </w:rPr>
        <w:t>Osborne</w:t>
      </w:r>
      <w:r w:rsidR="006D3F42">
        <w:rPr>
          <w:rFonts w:ascii="Times New Roman" w:hAnsi="Times New Roman" w:cs="Times New Roman"/>
          <w:sz w:val="24"/>
          <w:szCs w:val="24"/>
        </w:rPr>
        <w:t xml:space="preserve"> (1998) reminds us, “</w:t>
      </w:r>
      <w:r w:rsidR="00BF1E1B" w:rsidRPr="00DD44EF">
        <w:rPr>
          <w:rFonts w:ascii="Times New Roman" w:hAnsi="Times New Roman" w:cs="Times New Roman"/>
          <w:sz w:val="24"/>
          <w:szCs w:val="24"/>
        </w:rPr>
        <w:t xml:space="preserve">occurs when each party understands the point of </w:t>
      </w:r>
      <w:r w:rsidR="00BF1E1B" w:rsidRPr="00DD44EF">
        <w:rPr>
          <w:rFonts w:ascii="Times New Roman" w:hAnsi="Times New Roman" w:cs="Times New Roman"/>
          <w:sz w:val="24"/>
          <w:szCs w:val="24"/>
        </w:rPr>
        <w:lastRenderedPageBreak/>
        <w:t>view of the other,</w:t>
      </w:r>
      <w:r w:rsidR="006D3F42">
        <w:rPr>
          <w:rFonts w:ascii="Times New Roman" w:hAnsi="Times New Roman" w:cs="Times New Roman"/>
          <w:sz w:val="24"/>
          <w:szCs w:val="24"/>
        </w:rPr>
        <w:t>” adding that</w:t>
      </w:r>
      <w:r w:rsidR="00BF1E1B" w:rsidRPr="00DD44EF">
        <w:rPr>
          <w:rFonts w:ascii="Times New Roman" w:hAnsi="Times New Roman" w:cs="Times New Roman"/>
          <w:sz w:val="24"/>
          <w:szCs w:val="24"/>
        </w:rPr>
        <w:t xml:space="preserve"> </w:t>
      </w:r>
      <w:r w:rsidR="003E48C7">
        <w:rPr>
          <w:rFonts w:ascii="Times New Roman" w:hAnsi="Times New Roman" w:cs="Times New Roman"/>
          <w:sz w:val="24"/>
          <w:szCs w:val="24"/>
        </w:rPr>
        <w:t>“</w:t>
      </w:r>
      <w:r w:rsidR="00BF1E1B" w:rsidRPr="00DD44EF">
        <w:rPr>
          <w:rFonts w:ascii="Times New Roman" w:hAnsi="Times New Roman" w:cs="Times New Roman"/>
          <w:sz w:val="24"/>
          <w:szCs w:val="24"/>
        </w:rPr>
        <w:t>constructivist writings offer a body of literature that helps to sensitize the museum educator to the common perceptions and unders</w:t>
      </w:r>
      <w:r w:rsidR="003E48C7">
        <w:rPr>
          <w:rFonts w:ascii="Times New Roman" w:hAnsi="Times New Roman" w:cs="Times New Roman"/>
          <w:sz w:val="24"/>
          <w:szCs w:val="24"/>
        </w:rPr>
        <w:t>tandings of the learner”</w:t>
      </w:r>
      <w:r w:rsidR="00F81245" w:rsidRPr="00DD44EF">
        <w:rPr>
          <w:rFonts w:ascii="Times New Roman" w:hAnsi="Times New Roman" w:cs="Times New Roman"/>
          <w:sz w:val="24"/>
          <w:szCs w:val="24"/>
        </w:rPr>
        <w:t xml:space="preserve"> (</w:t>
      </w:r>
      <w:r w:rsidR="003E48C7">
        <w:rPr>
          <w:rFonts w:ascii="Times New Roman" w:hAnsi="Times New Roman" w:cs="Times New Roman"/>
          <w:sz w:val="24"/>
          <w:szCs w:val="24"/>
        </w:rPr>
        <w:t>Osborne 1998: 9</w:t>
      </w:r>
      <w:r w:rsidR="00BF1E1B" w:rsidRPr="00DD44EF">
        <w:rPr>
          <w:rFonts w:ascii="Times New Roman" w:hAnsi="Times New Roman" w:cs="Times New Roman"/>
          <w:sz w:val="24"/>
          <w:szCs w:val="24"/>
        </w:rPr>
        <w:t xml:space="preserve">). </w:t>
      </w:r>
      <w:r w:rsidR="00274BD1" w:rsidRPr="00DD44EF">
        <w:rPr>
          <w:rFonts w:ascii="Times New Roman" w:hAnsi="Times New Roman" w:cs="Times New Roman"/>
          <w:sz w:val="24"/>
          <w:szCs w:val="24"/>
        </w:rPr>
        <w:t xml:space="preserve">Implicit in the structuring art access around what is perceived by a fully sighted guide, however, is the assumption that such perception is the source of the authoritative narrative of </w:t>
      </w:r>
      <w:r w:rsidR="00DD5F16" w:rsidRPr="00DD44EF">
        <w:rPr>
          <w:rFonts w:ascii="Times New Roman" w:hAnsi="Times New Roman" w:cs="Times New Roman"/>
          <w:sz w:val="24"/>
          <w:szCs w:val="24"/>
        </w:rPr>
        <w:t>the understanding that is placed at the disposal of gallery visitors with visual im</w:t>
      </w:r>
      <w:r w:rsidR="00614E39" w:rsidRPr="00DD44EF">
        <w:rPr>
          <w:rFonts w:ascii="Times New Roman" w:hAnsi="Times New Roman" w:cs="Times New Roman"/>
          <w:sz w:val="24"/>
          <w:szCs w:val="24"/>
        </w:rPr>
        <w:t xml:space="preserve">pairments. </w:t>
      </w:r>
      <w:r w:rsidR="003E48C7">
        <w:rPr>
          <w:rFonts w:ascii="Times New Roman" w:hAnsi="Times New Roman" w:cs="Times New Roman"/>
          <w:sz w:val="24"/>
          <w:szCs w:val="24"/>
        </w:rPr>
        <w:t xml:space="preserve">In a similar spirit, </w:t>
      </w:r>
      <w:r w:rsidR="00614E39" w:rsidRPr="00DD44EF">
        <w:rPr>
          <w:rFonts w:ascii="Times New Roman" w:hAnsi="Times New Roman" w:cs="Times New Roman"/>
          <w:sz w:val="24"/>
          <w:szCs w:val="24"/>
        </w:rPr>
        <w:t xml:space="preserve">Danielle Rice </w:t>
      </w:r>
      <w:r w:rsidR="00DD5F16" w:rsidRPr="00DD44EF">
        <w:rPr>
          <w:rFonts w:ascii="Times New Roman" w:hAnsi="Times New Roman" w:cs="Times New Roman"/>
          <w:sz w:val="24"/>
          <w:szCs w:val="24"/>
        </w:rPr>
        <w:t>has suggested that constructivism has bequeathed to art galleries an appreciation of their responsibility to ‘construct consensual meanings’ while individuals ‘construct personal ones’ (</w:t>
      </w:r>
      <w:r w:rsidR="00614E39" w:rsidRPr="00DD44EF">
        <w:rPr>
          <w:rFonts w:ascii="Times New Roman" w:hAnsi="Times New Roman" w:cs="Times New Roman"/>
          <w:sz w:val="24"/>
          <w:szCs w:val="24"/>
        </w:rPr>
        <w:t xml:space="preserve">Rice 1998: </w:t>
      </w:r>
      <w:r w:rsidR="00DD5F16" w:rsidRPr="00DD44EF">
        <w:rPr>
          <w:rFonts w:ascii="Times New Roman" w:hAnsi="Times New Roman" w:cs="Times New Roman"/>
          <w:sz w:val="24"/>
          <w:szCs w:val="24"/>
        </w:rPr>
        <w:t>10). The concept of consensus, however, would appear to have little purchase within a pedagogical domain in which information is relayed</w:t>
      </w:r>
      <w:r w:rsidR="003E48C7">
        <w:rPr>
          <w:rFonts w:ascii="Times New Roman" w:hAnsi="Times New Roman" w:cs="Times New Roman"/>
          <w:sz w:val="24"/>
          <w:szCs w:val="24"/>
        </w:rPr>
        <w:t xml:space="preserve"> only</w:t>
      </w:r>
      <w:r w:rsidR="00DD5F16" w:rsidRPr="00DD44EF">
        <w:rPr>
          <w:rFonts w:ascii="Times New Roman" w:hAnsi="Times New Roman" w:cs="Times New Roman"/>
          <w:sz w:val="24"/>
          <w:szCs w:val="24"/>
        </w:rPr>
        <w:t xml:space="preserve"> in a manner tha</w:t>
      </w:r>
      <w:r w:rsidR="003E48C7">
        <w:rPr>
          <w:rFonts w:ascii="Times New Roman" w:hAnsi="Times New Roman" w:cs="Times New Roman"/>
          <w:sz w:val="24"/>
          <w:szCs w:val="24"/>
        </w:rPr>
        <w:t>t is at odds with the receptive capacities and sensory configuration of the learner. Such</w:t>
      </w:r>
      <w:r w:rsidR="00DD5F16" w:rsidRPr="00DD44EF">
        <w:rPr>
          <w:rFonts w:ascii="Times New Roman" w:hAnsi="Times New Roman" w:cs="Times New Roman"/>
          <w:sz w:val="24"/>
          <w:szCs w:val="24"/>
        </w:rPr>
        <w:t xml:space="preserve"> ghost-authorship of the aesthetic experiences of gallery visitors with v</w:t>
      </w:r>
      <w:r w:rsidR="003E48C7">
        <w:rPr>
          <w:rFonts w:ascii="Times New Roman" w:hAnsi="Times New Roman" w:cs="Times New Roman"/>
          <w:sz w:val="24"/>
          <w:szCs w:val="24"/>
        </w:rPr>
        <w:t>isual impairment would appear to diminish</w:t>
      </w:r>
      <w:r w:rsidR="00DD5F16" w:rsidRPr="00DD44EF">
        <w:rPr>
          <w:rFonts w:ascii="Times New Roman" w:hAnsi="Times New Roman" w:cs="Times New Roman"/>
          <w:sz w:val="24"/>
          <w:szCs w:val="24"/>
        </w:rPr>
        <w:t xml:space="preserve"> the po</w:t>
      </w:r>
      <w:r w:rsidR="003E48C7">
        <w:rPr>
          <w:rFonts w:ascii="Times New Roman" w:hAnsi="Times New Roman" w:cs="Times New Roman"/>
          <w:sz w:val="24"/>
          <w:szCs w:val="24"/>
        </w:rPr>
        <w:t xml:space="preserve">ssibility of the emergence of </w:t>
      </w:r>
      <w:r w:rsidR="00611EF7" w:rsidRPr="00DD44EF">
        <w:rPr>
          <w:rFonts w:ascii="Times New Roman" w:hAnsi="Times New Roman" w:cs="Times New Roman"/>
          <w:sz w:val="24"/>
          <w:szCs w:val="24"/>
        </w:rPr>
        <w:t>value</w:t>
      </w:r>
      <w:r w:rsidR="003E48C7">
        <w:rPr>
          <w:rFonts w:ascii="Times New Roman" w:hAnsi="Times New Roman" w:cs="Times New Roman"/>
          <w:sz w:val="24"/>
          <w:szCs w:val="24"/>
        </w:rPr>
        <w:t>s</w:t>
      </w:r>
      <w:r w:rsidR="00DD5F16" w:rsidRPr="00DD44EF">
        <w:rPr>
          <w:rFonts w:ascii="Times New Roman" w:hAnsi="Times New Roman" w:cs="Times New Roman"/>
          <w:sz w:val="24"/>
          <w:szCs w:val="24"/>
        </w:rPr>
        <w:t xml:space="preserve"> that can in any meaningful sense of the term, be said to be personal to the learner. </w:t>
      </w:r>
    </w:p>
    <w:p w14:paraId="4B834FB0" w14:textId="77777777" w:rsidR="00DB31DB" w:rsidRDefault="00DB31DB" w:rsidP="00623558">
      <w:pPr>
        <w:widowControl w:val="0"/>
        <w:autoSpaceDE w:val="0"/>
        <w:autoSpaceDN w:val="0"/>
        <w:adjustRightInd w:val="0"/>
        <w:spacing w:after="0" w:line="23" w:lineRule="atLeast"/>
        <w:jc w:val="both"/>
        <w:rPr>
          <w:rFonts w:ascii="Times New Roman" w:hAnsi="Times New Roman" w:cs="Times New Roman"/>
          <w:sz w:val="24"/>
          <w:szCs w:val="24"/>
        </w:rPr>
      </w:pPr>
    </w:p>
    <w:p w14:paraId="0794F552" w14:textId="77777777" w:rsidR="007F348F" w:rsidRPr="00DD44EF" w:rsidRDefault="003E48C7" w:rsidP="00623558">
      <w:pPr>
        <w:widowControl w:val="0"/>
        <w:autoSpaceDE w:val="0"/>
        <w:autoSpaceDN w:val="0"/>
        <w:adjustRightInd w:val="0"/>
        <w:spacing w:after="0" w:line="23" w:lineRule="atLeast"/>
        <w:jc w:val="both"/>
        <w:rPr>
          <w:rFonts w:ascii="Times New Roman" w:hAnsi="Times New Roman" w:cs="Times New Roman"/>
          <w:sz w:val="24"/>
          <w:szCs w:val="24"/>
        </w:rPr>
      </w:pPr>
      <w:r w:rsidRPr="00DB31DB">
        <w:rPr>
          <w:rFonts w:ascii="Times New Roman" w:hAnsi="Times New Roman" w:cs="Times New Roman"/>
          <w:color w:val="000000" w:themeColor="text1"/>
          <w:sz w:val="24"/>
          <w:szCs w:val="24"/>
        </w:rPr>
        <w:t xml:space="preserve">In order to facilitate the emergence of such personal </w:t>
      </w:r>
      <w:r w:rsidR="00DB31DB" w:rsidRPr="00DB31DB">
        <w:rPr>
          <w:rFonts w:ascii="Times New Roman" w:hAnsi="Times New Roman" w:cs="Times New Roman"/>
          <w:color w:val="000000" w:themeColor="text1"/>
          <w:sz w:val="24"/>
          <w:szCs w:val="24"/>
        </w:rPr>
        <w:t>forms of meaning, thereby becoming more meaningfully</w:t>
      </w:r>
      <w:r w:rsidRPr="00DB31DB">
        <w:rPr>
          <w:rFonts w:ascii="Times New Roman" w:hAnsi="Times New Roman" w:cs="Times New Roman"/>
          <w:color w:val="000000" w:themeColor="text1"/>
          <w:sz w:val="24"/>
          <w:szCs w:val="24"/>
        </w:rPr>
        <w:t xml:space="preserve"> aligned with the principles of constructivist learning, gallery access teams would do well to heed the recommendation of James Winchester, volunteered in a distinct, but not entirely unrelated context, that aesthetic understanding across cultural divides requires sustained sensitive attention to the worlds out of which the sensibilities in question emerge. Winchester’s subsequent recommendation that we “will not understand very much at all if we do not leave behind our presumptions of superior knowledge” (Winchester 2000: 499)</w:t>
      </w:r>
      <w:r w:rsidR="00DB31DB" w:rsidRPr="00DB31DB">
        <w:rPr>
          <w:rFonts w:ascii="Times New Roman" w:hAnsi="Times New Roman" w:cs="Times New Roman"/>
          <w:color w:val="000000" w:themeColor="text1"/>
          <w:sz w:val="24"/>
          <w:szCs w:val="24"/>
        </w:rPr>
        <w:t xml:space="preserve"> is one to which fully sighted museum and gallery guides should mindfully attend</w:t>
      </w:r>
      <w:r w:rsidRPr="00DB31DB">
        <w:rPr>
          <w:rFonts w:ascii="Times New Roman" w:hAnsi="Times New Roman" w:cs="Times New Roman"/>
          <w:color w:val="000000" w:themeColor="text1"/>
          <w:sz w:val="24"/>
          <w:szCs w:val="24"/>
        </w:rPr>
        <w:t>.</w:t>
      </w:r>
      <w:r w:rsidR="00DB31DB">
        <w:rPr>
          <w:rFonts w:ascii="Times New Roman" w:hAnsi="Times New Roman" w:cs="Times New Roman"/>
          <w:color w:val="FF6600"/>
          <w:sz w:val="24"/>
          <w:szCs w:val="24"/>
        </w:rPr>
        <w:t xml:space="preserve"> </w:t>
      </w:r>
      <w:r w:rsidR="00BF1E1B" w:rsidRPr="00DD44EF">
        <w:rPr>
          <w:rFonts w:ascii="Times New Roman" w:hAnsi="Times New Roman" w:cs="Times New Roman"/>
          <w:sz w:val="24"/>
          <w:szCs w:val="24"/>
        </w:rPr>
        <w:t>The particular approach described above</w:t>
      </w:r>
      <w:r w:rsidR="00611EF7" w:rsidRPr="00DD44EF">
        <w:rPr>
          <w:rFonts w:ascii="Times New Roman" w:hAnsi="Times New Roman" w:cs="Times New Roman"/>
          <w:sz w:val="24"/>
          <w:szCs w:val="24"/>
        </w:rPr>
        <w:t>, where gallery visitors are encouraged to author their own aesthetic experiences, and to share them with fully sighted members of gallery staff</w:t>
      </w:r>
      <w:r w:rsidR="00DB31DB">
        <w:rPr>
          <w:rFonts w:ascii="Times New Roman" w:hAnsi="Times New Roman" w:cs="Times New Roman"/>
          <w:sz w:val="24"/>
          <w:szCs w:val="24"/>
        </w:rPr>
        <w:t xml:space="preserve"> as part of a collaborative process of meaning making</w:t>
      </w:r>
      <w:r w:rsidR="00611EF7" w:rsidRPr="00DD44EF">
        <w:rPr>
          <w:rFonts w:ascii="Times New Roman" w:hAnsi="Times New Roman" w:cs="Times New Roman"/>
          <w:sz w:val="24"/>
          <w:szCs w:val="24"/>
        </w:rPr>
        <w:t>,</w:t>
      </w:r>
      <w:r w:rsidR="00BF1E1B" w:rsidRPr="00DD44EF">
        <w:rPr>
          <w:rFonts w:ascii="Times New Roman" w:hAnsi="Times New Roman" w:cs="Times New Roman"/>
          <w:sz w:val="24"/>
          <w:szCs w:val="24"/>
        </w:rPr>
        <w:t xml:space="preserve"> would appear to suggest that</w:t>
      </w:r>
      <w:r>
        <w:rPr>
          <w:rFonts w:ascii="Times New Roman" w:hAnsi="Times New Roman" w:cs="Times New Roman"/>
          <w:sz w:val="24"/>
          <w:szCs w:val="24"/>
        </w:rPr>
        <w:t xml:space="preserve"> when undertaken in a well-considered manner,</w:t>
      </w:r>
      <w:r w:rsidR="00BF1E1B" w:rsidRPr="00DD44EF">
        <w:rPr>
          <w:rFonts w:ascii="Times New Roman" w:hAnsi="Times New Roman" w:cs="Times New Roman"/>
          <w:sz w:val="24"/>
          <w:szCs w:val="24"/>
        </w:rPr>
        <w:t xml:space="preserve"> simulation, for all of the hyperbolic and ill-informed claims that have been made on it’s behalf, </w:t>
      </w:r>
      <w:r>
        <w:rPr>
          <w:rFonts w:ascii="Times New Roman" w:hAnsi="Times New Roman" w:cs="Times New Roman"/>
          <w:sz w:val="24"/>
          <w:szCs w:val="24"/>
        </w:rPr>
        <w:t xml:space="preserve">and for all of the well-founded criticism it has </w:t>
      </w:r>
      <w:r w:rsidR="00DB31DB">
        <w:rPr>
          <w:rFonts w:ascii="Times New Roman" w:hAnsi="Times New Roman" w:cs="Times New Roman"/>
          <w:sz w:val="24"/>
          <w:szCs w:val="24"/>
        </w:rPr>
        <w:t xml:space="preserve">historically </w:t>
      </w:r>
      <w:r>
        <w:rPr>
          <w:rFonts w:ascii="Times New Roman" w:hAnsi="Times New Roman" w:cs="Times New Roman"/>
          <w:sz w:val="24"/>
          <w:szCs w:val="24"/>
        </w:rPr>
        <w:t xml:space="preserve">attracted, </w:t>
      </w:r>
      <w:r w:rsidR="00BF1E1B" w:rsidRPr="00DD44EF">
        <w:rPr>
          <w:rFonts w:ascii="Times New Roman" w:hAnsi="Times New Roman" w:cs="Times New Roman"/>
          <w:sz w:val="24"/>
          <w:szCs w:val="24"/>
        </w:rPr>
        <w:t>is capable of applying at le</w:t>
      </w:r>
      <w:r w:rsidR="00611EF7" w:rsidRPr="00DD44EF">
        <w:rPr>
          <w:rFonts w:ascii="Times New Roman" w:hAnsi="Times New Roman" w:cs="Times New Roman"/>
          <w:sz w:val="24"/>
          <w:szCs w:val="24"/>
        </w:rPr>
        <w:t>ast a partial corrective to a regrettable miss-application of the principles of constructivist learning</w:t>
      </w:r>
      <w:r w:rsidR="00BF1E1B" w:rsidRPr="00DD44EF">
        <w:rPr>
          <w:rFonts w:ascii="Times New Roman" w:hAnsi="Times New Roman" w:cs="Times New Roman"/>
          <w:sz w:val="24"/>
          <w:szCs w:val="24"/>
        </w:rPr>
        <w:t>.</w:t>
      </w:r>
    </w:p>
    <w:p w14:paraId="78941138" w14:textId="77777777" w:rsidR="00F449C4" w:rsidRPr="00DD44EF" w:rsidRDefault="00F449C4" w:rsidP="00623558">
      <w:pPr>
        <w:spacing w:after="0" w:line="23" w:lineRule="atLeast"/>
        <w:rPr>
          <w:rFonts w:ascii="Times New Roman" w:hAnsi="Times New Roman" w:cs="Times New Roman"/>
          <w:sz w:val="24"/>
          <w:szCs w:val="24"/>
        </w:rPr>
      </w:pPr>
    </w:p>
    <w:p w14:paraId="636587A7" w14:textId="77777777" w:rsidR="00EA6461" w:rsidRDefault="00EA6461" w:rsidP="00623558">
      <w:pPr>
        <w:spacing w:after="0" w:line="23" w:lineRule="atLeast"/>
        <w:rPr>
          <w:rFonts w:ascii="Times New Roman" w:eastAsia="Calibri" w:hAnsi="Times New Roman" w:cs="Times New Roman"/>
          <w:b/>
          <w:sz w:val="24"/>
          <w:szCs w:val="24"/>
        </w:rPr>
      </w:pPr>
    </w:p>
    <w:p w14:paraId="49120AAD" w14:textId="77777777" w:rsidR="0086398D" w:rsidRPr="00EA6461" w:rsidRDefault="005D65D5" w:rsidP="00EA6461">
      <w:pPr>
        <w:spacing w:after="0" w:line="23" w:lineRule="atLeast"/>
        <w:rPr>
          <w:rFonts w:ascii="Times New Roman" w:eastAsia="Calibri" w:hAnsi="Times New Roman" w:cs="Times New Roman"/>
          <w:b/>
          <w:sz w:val="24"/>
          <w:szCs w:val="24"/>
        </w:rPr>
      </w:pPr>
      <w:r w:rsidRPr="00DD44EF">
        <w:rPr>
          <w:rFonts w:ascii="Times New Roman" w:eastAsia="Calibri" w:hAnsi="Times New Roman" w:cs="Times New Roman"/>
          <w:b/>
          <w:sz w:val="24"/>
          <w:szCs w:val="24"/>
        </w:rPr>
        <w:t>References</w:t>
      </w:r>
    </w:p>
    <w:p w14:paraId="54307619" w14:textId="77777777" w:rsidR="005D65D5" w:rsidRPr="00AE7290" w:rsidRDefault="005D65D5"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Brendemeier, M.E.</w:t>
      </w:r>
      <w:r w:rsidR="00926AD1" w:rsidRPr="00AE7290">
        <w:rPr>
          <w:rFonts w:ascii="Times New Roman" w:eastAsia="Calibri" w:hAnsi="Times New Roman" w:cs="Times New Roman"/>
          <w:color w:val="000000" w:themeColor="text1"/>
          <w:sz w:val="24"/>
          <w:szCs w:val="24"/>
        </w:rPr>
        <w:t>,</w:t>
      </w:r>
      <w:r w:rsidRPr="00AE7290">
        <w:rPr>
          <w:rFonts w:ascii="Times New Roman" w:eastAsia="Calibri" w:hAnsi="Times New Roman" w:cs="Times New Roman"/>
          <w:color w:val="000000" w:themeColor="text1"/>
          <w:sz w:val="24"/>
          <w:szCs w:val="24"/>
        </w:rPr>
        <w:t xml:space="preserve"> &amp; Greenblat, C.S. (1981). </w:t>
      </w:r>
      <w:r w:rsidR="00FA6A6D" w:rsidRPr="00AE7290">
        <w:rPr>
          <w:rFonts w:ascii="Times New Roman" w:eastAsia="Calibri" w:hAnsi="Times New Roman" w:cs="Times New Roman"/>
          <w:color w:val="000000" w:themeColor="text1"/>
          <w:sz w:val="24"/>
          <w:szCs w:val="24"/>
        </w:rPr>
        <w:t>“</w:t>
      </w:r>
      <w:r w:rsidRPr="00AE7290">
        <w:rPr>
          <w:rFonts w:ascii="Times New Roman" w:eastAsia="Calibri" w:hAnsi="Times New Roman" w:cs="Times New Roman"/>
          <w:color w:val="000000" w:themeColor="text1"/>
          <w:sz w:val="24"/>
          <w:szCs w:val="24"/>
        </w:rPr>
        <w:t>The educational effectiveness of simulation</w:t>
      </w:r>
      <w:r w:rsidR="00FA6A6D" w:rsidRPr="00AE7290">
        <w:rPr>
          <w:rFonts w:ascii="Times New Roman" w:eastAsia="Calibri" w:hAnsi="Times New Roman" w:cs="Times New Roman"/>
          <w:color w:val="000000" w:themeColor="text1"/>
          <w:sz w:val="24"/>
          <w:szCs w:val="24"/>
        </w:rPr>
        <w:t xml:space="preserve"> games: A synthesis of findings”</w:t>
      </w:r>
      <w:r w:rsidR="002F31ED" w:rsidRPr="00AE7290">
        <w:rPr>
          <w:rFonts w:ascii="Times New Roman" w:eastAsia="Calibri" w:hAnsi="Times New Roman" w:cs="Times New Roman"/>
          <w:color w:val="000000" w:themeColor="text1"/>
          <w:sz w:val="24"/>
          <w:szCs w:val="24"/>
          <w:lang w:val="en-US"/>
        </w:rPr>
        <w:t>,</w:t>
      </w:r>
      <w:r w:rsidRPr="00AE7290">
        <w:rPr>
          <w:rFonts w:ascii="Times New Roman" w:eastAsia="Calibri" w:hAnsi="Times New Roman" w:cs="Times New Roman"/>
          <w:color w:val="000000" w:themeColor="text1"/>
          <w:sz w:val="24"/>
          <w:szCs w:val="24"/>
        </w:rPr>
        <w:t xml:space="preserve"> </w:t>
      </w:r>
      <w:r w:rsidRPr="00AE7290">
        <w:rPr>
          <w:rFonts w:ascii="Times New Roman" w:eastAsia="Calibri" w:hAnsi="Times New Roman" w:cs="Times New Roman"/>
          <w:i/>
          <w:color w:val="000000" w:themeColor="text1"/>
          <w:sz w:val="24"/>
          <w:szCs w:val="24"/>
        </w:rPr>
        <w:t>Simulation and Ga</w:t>
      </w:r>
      <w:r w:rsidRPr="00AE7290">
        <w:rPr>
          <w:rFonts w:ascii="Times New Roman" w:eastAsia="Calibri" w:hAnsi="Times New Roman" w:cs="Times New Roman"/>
          <w:color w:val="000000" w:themeColor="text1"/>
          <w:sz w:val="24"/>
          <w:szCs w:val="24"/>
        </w:rPr>
        <w:t>ming, 12, 307-332.</w:t>
      </w:r>
    </w:p>
    <w:p w14:paraId="622F8275" w14:textId="77777777" w:rsidR="005D65D5" w:rsidRPr="00DD44EF" w:rsidRDefault="005D65D5"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 xml:space="preserve">Burgstahler, S. (2002). </w:t>
      </w:r>
      <w:r w:rsidR="002059A0" w:rsidRPr="00AE7290">
        <w:rPr>
          <w:rFonts w:ascii="Times New Roman" w:eastAsia="Calibri" w:hAnsi="Times New Roman" w:cs="Times New Roman"/>
          <w:color w:val="000000" w:themeColor="text1"/>
          <w:sz w:val="24"/>
          <w:szCs w:val="24"/>
        </w:rPr>
        <w:t>“</w:t>
      </w:r>
      <w:r w:rsidRPr="00AE7290">
        <w:rPr>
          <w:rFonts w:ascii="Times New Roman" w:eastAsia="Calibri" w:hAnsi="Times New Roman" w:cs="Times New Roman"/>
          <w:color w:val="000000" w:themeColor="text1"/>
          <w:sz w:val="24"/>
          <w:szCs w:val="24"/>
        </w:rPr>
        <w:t>Accommodating students with disabilities: Profession</w:t>
      </w:r>
      <w:r w:rsidR="002059A0" w:rsidRPr="00AE7290">
        <w:rPr>
          <w:rFonts w:ascii="Times New Roman" w:eastAsia="Calibri" w:hAnsi="Times New Roman" w:cs="Times New Roman"/>
          <w:color w:val="000000" w:themeColor="text1"/>
          <w:sz w:val="24"/>
          <w:szCs w:val="24"/>
        </w:rPr>
        <w:t>al development needs of faculty”,</w:t>
      </w:r>
      <w:r w:rsidRPr="00AE7290">
        <w:rPr>
          <w:rFonts w:ascii="Times New Roman" w:eastAsia="Calibri" w:hAnsi="Times New Roman" w:cs="Times New Roman"/>
          <w:color w:val="000000" w:themeColor="text1"/>
          <w:sz w:val="24"/>
          <w:szCs w:val="24"/>
        </w:rPr>
        <w:t xml:space="preserve"> </w:t>
      </w:r>
      <w:r w:rsidRPr="00AE7290">
        <w:rPr>
          <w:rFonts w:ascii="Times New Roman" w:eastAsia="Calibri" w:hAnsi="Times New Roman" w:cs="Times New Roman"/>
          <w:i/>
          <w:color w:val="000000" w:themeColor="text1"/>
          <w:sz w:val="24"/>
          <w:szCs w:val="24"/>
        </w:rPr>
        <w:t>To Improve the Academy: Resources for Faculty, Instructional, and Organisational Development</w:t>
      </w:r>
      <w:r w:rsidRPr="00AE7290">
        <w:rPr>
          <w:rFonts w:ascii="Times New Roman" w:eastAsia="Calibri" w:hAnsi="Times New Roman" w:cs="Times New Roman"/>
          <w:color w:val="000000" w:themeColor="text1"/>
          <w:sz w:val="24"/>
          <w:szCs w:val="24"/>
        </w:rPr>
        <w:t>, 21,</w:t>
      </w:r>
      <w:r w:rsidR="003E13FE">
        <w:rPr>
          <w:rFonts w:ascii="Times New Roman" w:eastAsia="Calibri" w:hAnsi="Times New Roman" w:cs="Times New Roman"/>
          <w:color w:val="000000" w:themeColor="text1"/>
          <w:sz w:val="24"/>
          <w:szCs w:val="24"/>
        </w:rPr>
        <w:t xml:space="preserve"> 181-183.</w:t>
      </w:r>
    </w:p>
    <w:p w14:paraId="53ACB97D"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Burgstahler, S., &amp; Doe, T. (2004).</w:t>
      </w:r>
      <w:r w:rsidR="005D65D5" w:rsidRPr="00DD44EF">
        <w:rPr>
          <w:rFonts w:ascii="Times New Roman" w:eastAsia="Calibri" w:hAnsi="Times New Roman" w:cs="Times New Roman"/>
          <w:color w:val="000000" w:themeColor="text1"/>
          <w:sz w:val="24"/>
          <w:szCs w:val="24"/>
        </w:rPr>
        <w:t xml:space="preserve"> </w:t>
      </w:r>
      <w:r w:rsidR="00737718"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Disability-related simulations</w:t>
      </w:r>
      <w:r w:rsidR="00737718" w:rsidRPr="00DD44EF">
        <w:rPr>
          <w:rFonts w:ascii="Times New Roman" w:eastAsia="Calibri" w:hAnsi="Times New Roman" w:cs="Times New Roman"/>
          <w:color w:val="000000" w:themeColor="text1"/>
          <w:sz w:val="24"/>
          <w:szCs w:val="24"/>
        </w:rPr>
        <w:t>: If, when, and how to use them”</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Review of Disability Studies</w:t>
      </w:r>
      <w:r w:rsidR="00737718" w:rsidRPr="00DD44EF">
        <w:rPr>
          <w:rFonts w:ascii="Times New Roman" w:eastAsia="Calibri" w:hAnsi="Times New Roman" w:cs="Times New Roman"/>
          <w:color w:val="000000" w:themeColor="text1"/>
          <w:sz w:val="24"/>
          <w:szCs w:val="24"/>
        </w:rPr>
        <w:t xml:space="preserve">, </w:t>
      </w:r>
      <w:r w:rsidR="00737718" w:rsidRPr="002F31ED">
        <w:rPr>
          <w:rFonts w:ascii="Times New Roman" w:eastAsia="Calibri" w:hAnsi="Times New Roman" w:cs="Times New Roman"/>
          <w:color w:val="000000" w:themeColor="text1"/>
          <w:sz w:val="24"/>
          <w:szCs w:val="24"/>
        </w:rPr>
        <w:t>1</w:t>
      </w:r>
      <w:r w:rsidR="005D65D5" w:rsidRPr="00DD44EF">
        <w:rPr>
          <w:rFonts w:ascii="Times New Roman" w:eastAsia="Calibri" w:hAnsi="Times New Roman" w:cs="Times New Roman"/>
          <w:color w:val="000000" w:themeColor="text1"/>
          <w:sz w:val="24"/>
          <w:szCs w:val="24"/>
        </w:rPr>
        <w:t>(2), 4-17</w:t>
      </w:r>
      <w:r w:rsidR="002F31ED" w:rsidRPr="002F31ED">
        <w:rPr>
          <w:rFonts w:ascii="Times New Roman" w:eastAsia="Calibri" w:hAnsi="Times New Roman" w:cs="Times New Roman"/>
          <w:color w:val="000000" w:themeColor="text1"/>
          <w:sz w:val="24"/>
          <w:szCs w:val="24"/>
          <w:lang w:val="en-US"/>
        </w:rPr>
        <w:t>.</w:t>
      </w:r>
    </w:p>
    <w:p w14:paraId="2454DB56"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Chard, G. (1997).</w:t>
      </w:r>
      <w:r w:rsidR="005D65D5" w:rsidRPr="00DD44EF">
        <w:rPr>
          <w:rFonts w:ascii="Times New Roman" w:eastAsia="Calibri" w:hAnsi="Times New Roman" w:cs="Times New Roman"/>
          <w:color w:val="000000" w:themeColor="text1"/>
          <w:sz w:val="24"/>
          <w:szCs w:val="24"/>
        </w:rPr>
        <w:t xml:space="preserve"> </w:t>
      </w:r>
      <w:r w:rsidR="006E1CCF"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Should occupational therapists use simulation exercises? Using wh</w:t>
      </w:r>
      <w:r w:rsidR="006E1CCF" w:rsidRPr="00DD44EF">
        <w:rPr>
          <w:rFonts w:ascii="Times New Roman" w:eastAsia="Calibri" w:hAnsi="Times New Roman" w:cs="Times New Roman"/>
          <w:color w:val="000000" w:themeColor="text1"/>
          <w:sz w:val="24"/>
          <w:szCs w:val="24"/>
        </w:rPr>
        <w:t>eelchair training as an example”</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British Journal of Occupational Therapy</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 xml:space="preserve">60, </w:t>
      </w:r>
      <w:r w:rsidR="005D65D5" w:rsidRPr="00DD44EF">
        <w:rPr>
          <w:rFonts w:ascii="Times New Roman" w:eastAsia="Calibri" w:hAnsi="Times New Roman" w:cs="Times New Roman"/>
          <w:color w:val="000000" w:themeColor="text1"/>
          <w:sz w:val="24"/>
          <w:szCs w:val="24"/>
        </w:rPr>
        <w:t>161-166.</w:t>
      </w:r>
    </w:p>
    <w:p w14:paraId="666F2D6F" w14:textId="77777777" w:rsidR="00D46672"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Clark, R.A., Ferziper, J.H, &amp; Reynolds, W.C. (1979).</w:t>
      </w:r>
      <w:r w:rsidR="00E47FC6" w:rsidRPr="00DD44EF">
        <w:rPr>
          <w:rFonts w:ascii="Times New Roman" w:eastAsia="Calibri" w:hAnsi="Times New Roman" w:cs="Times New Roman"/>
          <w:color w:val="000000" w:themeColor="text1"/>
          <w:sz w:val="24"/>
          <w:szCs w:val="24"/>
        </w:rPr>
        <w:t xml:space="preserve"> “Evaluation of subgrid-scale models using an accurately simulated turbulent flow”</w:t>
      </w:r>
      <w:r w:rsidR="002F31ED" w:rsidRPr="002F31ED">
        <w:rPr>
          <w:rFonts w:ascii="Times New Roman" w:eastAsia="Calibri" w:hAnsi="Times New Roman" w:cs="Times New Roman"/>
          <w:color w:val="000000" w:themeColor="text1"/>
          <w:sz w:val="24"/>
          <w:szCs w:val="24"/>
          <w:lang w:val="en-US"/>
        </w:rPr>
        <w:t>,</w:t>
      </w:r>
      <w:r w:rsidR="00E47FC6" w:rsidRPr="00DD44EF">
        <w:rPr>
          <w:rFonts w:ascii="Times New Roman" w:eastAsia="Calibri" w:hAnsi="Times New Roman" w:cs="Times New Roman"/>
          <w:color w:val="000000" w:themeColor="text1"/>
          <w:sz w:val="24"/>
          <w:szCs w:val="24"/>
        </w:rPr>
        <w:t xml:space="preserve"> </w:t>
      </w:r>
      <w:r w:rsidR="00E47FC6" w:rsidRPr="00DD44EF">
        <w:rPr>
          <w:rFonts w:ascii="Times New Roman" w:eastAsia="Calibri" w:hAnsi="Times New Roman" w:cs="Times New Roman"/>
          <w:i/>
          <w:color w:val="000000" w:themeColor="text1"/>
          <w:sz w:val="24"/>
          <w:szCs w:val="24"/>
        </w:rPr>
        <w:t>Journal of Fluid Mechanics</w:t>
      </w:r>
      <w:r w:rsidR="00E47FC6" w:rsidRPr="00DD44EF">
        <w:rPr>
          <w:rFonts w:ascii="Times New Roman" w:eastAsia="Calibri" w:hAnsi="Times New Roman" w:cs="Times New Roman"/>
          <w:color w:val="000000" w:themeColor="text1"/>
          <w:sz w:val="24"/>
          <w:szCs w:val="24"/>
        </w:rPr>
        <w:t xml:space="preserve">, </w:t>
      </w:r>
      <w:r w:rsidR="00E47FC6" w:rsidRPr="002F31ED">
        <w:rPr>
          <w:rFonts w:ascii="Times New Roman" w:eastAsia="Calibri" w:hAnsi="Times New Roman" w:cs="Times New Roman"/>
          <w:color w:val="000000" w:themeColor="text1"/>
          <w:sz w:val="24"/>
          <w:szCs w:val="24"/>
        </w:rPr>
        <w:t>91</w:t>
      </w:r>
      <w:r w:rsidR="00E47FC6" w:rsidRPr="00DD44EF">
        <w:rPr>
          <w:rFonts w:ascii="Times New Roman" w:eastAsia="Calibri" w:hAnsi="Times New Roman" w:cs="Times New Roman"/>
          <w:color w:val="000000" w:themeColor="text1"/>
          <w:sz w:val="24"/>
          <w:szCs w:val="24"/>
        </w:rPr>
        <w:t>(1), 1-16.</w:t>
      </w:r>
    </w:p>
    <w:p w14:paraId="522EE832" w14:textId="77777777" w:rsidR="00BA73CD"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Deeth, J. (2012).</w:t>
      </w:r>
      <w:r w:rsidR="00B04470" w:rsidRPr="00DD44EF">
        <w:rPr>
          <w:rFonts w:ascii="Times New Roman" w:eastAsia="Calibri" w:hAnsi="Times New Roman" w:cs="Times New Roman"/>
          <w:color w:val="000000" w:themeColor="text1"/>
          <w:sz w:val="24"/>
          <w:szCs w:val="24"/>
        </w:rPr>
        <w:t xml:space="preserve"> “Engaging strangeness in the art museum: an audience development strategy”</w:t>
      </w:r>
      <w:r w:rsidR="002F31ED" w:rsidRPr="002F31ED">
        <w:rPr>
          <w:rFonts w:ascii="Times New Roman" w:eastAsia="Calibri" w:hAnsi="Times New Roman" w:cs="Times New Roman"/>
          <w:color w:val="000000" w:themeColor="text1"/>
          <w:sz w:val="24"/>
          <w:szCs w:val="24"/>
          <w:lang w:val="en-US"/>
        </w:rPr>
        <w:t>,</w:t>
      </w:r>
      <w:r w:rsidR="00B04470" w:rsidRPr="00DD44EF">
        <w:rPr>
          <w:rFonts w:ascii="Times New Roman" w:eastAsia="Calibri" w:hAnsi="Times New Roman" w:cs="Times New Roman"/>
          <w:color w:val="000000" w:themeColor="text1"/>
          <w:sz w:val="24"/>
          <w:szCs w:val="24"/>
        </w:rPr>
        <w:t xml:space="preserve"> </w:t>
      </w:r>
      <w:r w:rsidR="00B04470" w:rsidRPr="000067E6">
        <w:rPr>
          <w:rFonts w:ascii="Times New Roman" w:eastAsia="Calibri" w:hAnsi="Times New Roman" w:cs="Times New Roman"/>
          <w:i/>
          <w:color w:val="000000" w:themeColor="text1"/>
          <w:sz w:val="24"/>
          <w:szCs w:val="24"/>
        </w:rPr>
        <w:t xml:space="preserve">Museum &amp; Society, </w:t>
      </w:r>
      <w:r w:rsidR="00B04470" w:rsidRPr="002F31ED">
        <w:rPr>
          <w:rFonts w:ascii="Times New Roman" w:eastAsia="Calibri" w:hAnsi="Times New Roman" w:cs="Times New Roman"/>
          <w:color w:val="000000" w:themeColor="text1"/>
          <w:sz w:val="24"/>
          <w:szCs w:val="24"/>
        </w:rPr>
        <w:t>10</w:t>
      </w:r>
      <w:r w:rsidR="000067E6">
        <w:rPr>
          <w:rFonts w:ascii="Times New Roman" w:eastAsia="Calibri" w:hAnsi="Times New Roman" w:cs="Times New Roman"/>
          <w:color w:val="000000" w:themeColor="text1"/>
          <w:sz w:val="24"/>
          <w:szCs w:val="24"/>
        </w:rPr>
        <w:t xml:space="preserve"> </w:t>
      </w:r>
      <w:r w:rsidR="00B04470" w:rsidRPr="00DD44EF">
        <w:rPr>
          <w:rFonts w:ascii="Times New Roman" w:eastAsia="Calibri" w:hAnsi="Times New Roman" w:cs="Times New Roman"/>
          <w:color w:val="000000" w:themeColor="text1"/>
          <w:sz w:val="24"/>
          <w:szCs w:val="24"/>
        </w:rPr>
        <w:t>(1), 1-14.</w:t>
      </w:r>
    </w:p>
    <w:p w14:paraId="6C8E9D14" w14:textId="77777777" w:rsidR="00912A0F"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lastRenderedPageBreak/>
        <w:t>Donaldson, J. (1980). “Changing attitudes toward handicapped persons: a review and</w:t>
      </w:r>
      <w:r w:rsidR="000846D1" w:rsidRPr="00DD44EF">
        <w:rPr>
          <w:rFonts w:ascii="Times New Roman" w:eastAsia="Calibri" w:hAnsi="Times New Roman" w:cs="Times New Roman"/>
          <w:color w:val="000000" w:themeColor="text1"/>
          <w:sz w:val="24"/>
          <w:szCs w:val="24"/>
        </w:rPr>
        <w:t xml:space="preserve"> analysis of research”</w:t>
      </w:r>
      <w:r w:rsidR="002F31ED" w:rsidRPr="002F31ED">
        <w:rPr>
          <w:rFonts w:ascii="Times New Roman" w:eastAsia="Calibri" w:hAnsi="Times New Roman" w:cs="Times New Roman"/>
          <w:color w:val="000000" w:themeColor="text1"/>
          <w:sz w:val="24"/>
          <w:szCs w:val="24"/>
          <w:lang w:val="en-US"/>
        </w:rPr>
        <w:t>,</w:t>
      </w:r>
      <w:r w:rsidR="000846D1" w:rsidRPr="00DD44EF">
        <w:rPr>
          <w:rFonts w:ascii="Times New Roman" w:eastAsia="Calibri" w:hAnsi="Times New Roman" w:cs="Times New Roman"/>
          <w:color w:val="000000" w:themeColor="text1"/>
          <w:sz w:val="24"/>
          <w:szCs w:val="24"/>
        </w:rPr>
        <w:t xml:space="preserve"> </w:t>
      </w:r>
      <w:r w:rsidR="000846D1" w:rsidRPr="00DD44EF">
        <w:rPr>
          <w:rFonts w:ascii="Times New Roman" w:eastAsia="Calibri" w:hAnsi="Times New Roman" w:cs="Times New Roman"/>
          <w:i/>
          <w:color w:val="000000" w:themeColor="text1"/>
          <w:sz w:val="24"/>
          <w:szCs w:val="24"/>
        </w:rPr>
        <w:t>Exceptional Child</w:t>
      </w:r>
      <w:r w:rsidR="000846D1" w:rsidRPr="00DD44EF">
        <w:rPr>
          <w:rFonts w:ascii="Times New Roman" w:eastAsia="Calibri" w:hAnsi="Times New Roman" w:cs="Times New Roman"/>
          <w:color w:val="000000" w:themeColor="text1"/>
          <w:sz w:val="24"/>
          <w:szCs w:val="24"/>
        </w:rPr>
        <w:t xml:space="preserve">ren, </w:t>
      </w:r>
      <w:r w:rsidR="000846D1" w:rsidRPr="002F31ED">
        <w:rPr>
          <w:rFonts w:ascii="Times New Roman" w:eastAsia="Calibri" w:hAnsi="Times New Roman" w:cs="Times New Roman"/>
          <w:color w:val="000000" w:themeColor="text1"/>
          <w:sz w:val="24"/>
          <w:szCs w:val="24"/>
        </w:rPr>
        <w:t>46</w:t>
      </w:r>
      <w:r w:rsidR="000846D1" w:rsidRPr="00DD44EF">
        <w:rPr>
          <w:rFonts w:ascii="Times New Roman" w:eastAsia="Calibri" w:hAnsi="Times New Roman" w:cs="Times New Roman"/>
          <w:color w:val="000000" w:themeColor="text1"/>
          <w:sz w:val="24"/>
          <w:szCs w:val="24"/>
        </w:rPr>
        <w:t>, 504-514.</w:t>
      </w:r>
    </w:p>
    <w:p w14:paraId="362CFD14" w14:textId="77777777" w:rsidR="00912A0F"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Feeney, D. (2007).</w:t>
      </w:r>
      <w:r w:rsidR="00912A0F" w:rsidRPr="00DD44EF">
        <w:rPr>
          <w:rFonts w:ascii="Times New Roman" w:eastAsia="Calibri" w:hAnsi="Times New Roman" w:cs="Times New Roman"/>
          <w:color w:val="000000" w:themeColor="text1"/>
          <w:sz w:val="24"/>
          <w:szCs w:val="24"/>
        </w:rPr>
        <w:t xml:space="preserve"> </w:t>
      </w:r>
      <w:r w:rsidR="00912A0F" w:rsidRPr="00DD44EF">
        <w:rPr>
          <w:rFonts w:ascii="Times New Roman" w:eastAsia="Calibri" w:hAnsi="Times New Roman" w:cs="Times New Roman"/>
          <w:i/>
          <w:color w:val="000000" w:themeColor="text1"/>
          <w:sz w:val="24"/>
          <w:szCs w:val="24"/>
        </w:rPr>
        <w:t>Toward an Aesthetics of Blindness: An Interdisciplinary Response to Synge, Yeats and Friel</w:t>
      </w:r>
      <w:r w:rsidR="00912A0F" w:rsidRPr="00DD44EF">
        <w:rPr>
          <w:rFonts w:ascii="Times New Roman" w:eastAsia="Calibri" w:hAnsi="Times New Roman" w:cs="Times New Roman"/>
          <w:color w:val="000000" w:themeColor="text1"/>
          <w:sz w:val="24"/>
          <w:szCs w:val="24"/>
        </w:rPr>
        <w:t>. New York: Peter Lang.</w:t>
      </w:r>
    </w:p>
    <w:p w14:paraId="76F5C8FF"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Finkelstein, V. (1991)</w:t>
      </w:r>
      <w:r w:rsidR="005D65D5" w:rsidRPr="00DD44EF">
        <w:rPr>
          <w:rFonts w:ascii="Times New Roman" w:eastAsia="Calibri" w:hAnsi="Times New Roman" w:cs="Times New Roman"/>
          <w:color w:val="000000" w:themeColor="text1"/>
          <w:sz w:val="24"/>
          <w:szCs w:val="24"/>
        </w:rPr>
        <w:t xml:space="preserve">. </w:t>
      </w:r>
      <w:r w:rsidR="00D46672"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It is ins</w:t>
      </w:r>
      <w:r w:rsidR="00D46672" w:rsidRPr="00DD44EF">
        <w:rPr>
          <w:rFonts w:ascii="Times New Roman" w:eastAsia="Calibri" w:hAnsi="Times New Roman" w:cs="Times New Roman"/>
          <w:color w:val="000000" w:themeColor="text1"/>
          <w:sz w:val="24"/>
          <w:szCs w:val="24"/>
        </w:rPr>
        <w:t>ulting to trivialise disability”</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Therapy Weekly</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17</w:t>
      </w:r>
      <w:r w:rsidR="005C0D41" w:rsidRPr="002F31ED">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color w:val="000000" w:themeColor="text1"/>
          <w:sz w:val="24"/>
          <w:szCs w:val="24"/>
        </w:rPr>
        <w:t>(25), 5.</w:t>
      </w:r>
    </w:p>
    <w:p w14:paraId="4E2CCB95" w14:textId="77777777" w:rsidR="005D65D5" w:rsidRPr="00DD44EF" w:rsidRDefault="005D65D5"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French, S. (1992).</w:t>
      </w:r>
      <w:r w:rsidRPr="00DD44EF">
        <w:rPr>
          <w:rFonts w:ascii="Times New Roman" w:eastAsia="Calibri" w:hAnsi="Times New Roman" w:cs="Times New Roman"/>
          <w:color w:val="000000" w:themeColor="text1"/>
          <w:sz w:val="24"/>
          <w:szCs w:val="24"/>
        </w:rPr>
        <w:t xml:space="preserve"> </w:t>
      </w:r>
      <w:r w:rsidR="00DC0EE0" w:rsidRPr="00DD44EF">
        <w:rPr>
          <w:rFonts w:ascii="Times New Roman" w:eastAsia="Calibri" w:hAnsi="Times New Roman" w:cs="Times New Roman"/>
          <w:color w:val="000000" w:themeColor="text1"/>
          <w:sz w:val="24"/>
          <w:szCs w:val="24"/>
        </w:rPr>
        <w:t>“</w:t>
      </w:r>
      <w:r w:rsidRPr="00DD44EF">
        <w:rPr>
          <w:rFonts w:ascii="Times New Roman" w:eastAsia="Calibri" w:hAnsi="Times New Roman" w:cs="Times New Roman"/>
          <w:color w:val="000000" w:themeColor="text1"/>
          <w:sz w:val="24"/>
          <w:szCs w:val="24"/>
        </w:rPr>
        <w:t>Simulation exercise in disability</w:t>
      </w:r>
      <w:r w:rsidR="00DC0EE0" w:rsidRPr="00DD44EF">
        <w:rPr>
          <w:rFonts w:ascii="Times New Roman" w:eastAsia="Calibri" w:hAnsi="Times New Roman" w:cs="Times New Roman"/>
          <w:color w:val="000000" w:themeColor="text1"/>
          <w:sz w:val="24"/>
          <w:szCs w:val="24"/>
        </w:rPr>
        <w:t xml:space="preserve"> awareness training: A critique”</w:t>
      </w:r>
      <w:r w:rsidR="002F31ED" w:rsidRPr="002F31ED">
        <w:rPr>
          <w:rFonts w:ascii="Times New Roman" w:eastAsia="Calibri" w:hAnsi="Times New Roman" w:cs="Times New Roman"/>
          <w:color w:val="000000" w:themeColor="text1"/>
          <w:sz w:val="24"/>
          <w:szCs w:val="24"/>
          <w:lang w:val="en-US"/>
        </w:rPr>
        <w:t>,</w:t>
      </w:r>
      <w:r w:rsidRPr="00DD44EF">
        <w:rPr>
          <w:rFonts w:ascii="Times New Roman" w:eastAsia="Calibri" w:hAnsi="Times New Roman" w:cs="Times New Roman"/>
          <w:color w:val="000000" w:themeColor="text1"/>
          <w:sz w:val="24"/>
          <w:szCs w:val="24"/>
        </w:rPr>
        <w:t xml:space="preserve"> </w:t>
      </w:r>
      <w:r w:rsidRPr="00DD44EF">
        <w:rPr>
          <w:rFonts w:ascii="Times New Roman" w:eastAsia="Calibri" w:hAnsi="Times New Roman" w:cs="Times New Roman"/>
          <w:i/>
          <w:color w:val="000000" w:themeColor="text1"/>
          <w:sz w:val="24"/>
          <w:szCs w:val="24"/>
        </w:rPr>
        <w:t>Disability, Handicap &amp; Society</w:t>
      </w:r>
      <w:r w:rsidRPr="00DD44EF">
        <w:rPr>
          <w:rFonts w:ascii="Times New Roman" w:eastAsia="Calibri" w:hAnsi="Times New Roman" w:cs="Times New Roman"/>
          <w:color w:val="000000" w:themeColor="text1"/>
          <w:sz w:val="24"/>
          <w:szCs w:val="24"/>
        </w:rPr>
        <w:t xml:space="preserve">, </w:t>
      </w:r>
      <w:r w:rsidRPr="002F31ED">
        <w:rPr>
          <w:rFonts w:ascii="Times New Roman" w:eastAsia="Calibri" w:hAnsi="Times New Roman" w:cs="Times New Roman"/>
          <w:color w:val="000000" w:themeColor="text1"/>
          <w:sz w:val="24"/>
          <w:szCs w:val="24"/>
        </w:rPr>
        <w:t>7</w:t>
      </w:r>
      <w:r w:rsidRPr="00DD44EF">
        <w:rPr>
          <w:rFonts w:ascii="Times New Roman" w:eastAsia="Calibri" w:hAnsi="Times New Roman" w:cs="Times New Roman"/>
          <w:color w:val="000000" w:themeColor="text1"/>
          <w:sz w:val="24"/>
          <w:szCs w:val="24"/>
        </w:rPr>
        <w:t>(2), 226-247.</w:t>
      </w:r>
    </w:p>
    <w:p w14:paraId="278AF12A" w14:textId="77777777" w:rsidR="00E47FC6" w:rsidRPr="00DD44EF" w:rsidRDefault="00E47FC6"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Gamboni, D. (2002).</w:t>
      </w:r>
      <w:r w:rsidRPr="00DD44EF">
        <w:rPr>
          <w:rFonts w:ascii="Times New Roman" w:eastAsia="Calibri" w:hAnsi="Times New Roman" w:cs="Times New Roman"/>
          <w:color w:val="000000" w:themeColor="text1"/>
          <w:sz w:val="24"/>
          <w:szCs w:val="24"/>
        </w:rPr>
        <w:t xml:space="preserve"> </w:t>
      </w:r>
      <w:r w:rsidRPr="005E49E6">
        <w:rPr>
          <w:rFonts w:ascii="Times New Roman" w:eastAsia="Calibri" w:hAnsi="Times New Roman" w:cs="Times New Roman"/>
          <w:i/>
          <w:color w:val="000000" w:themeColor="text1"/>
          <w:sz w:val="24"/>
          <w:szCs w:val="24"/>
        </w:rPr>
        <w:t>Potential Images: Ambiguity and Indeterminacy in Modern Art</w:t>
      </w:r>
      <w:r w:rsidRPr="00DD44EF">
        <w:rPr>
          <w:rFonts w:ascii="Times New Roman" w:eastAsia="Calibri" w:hAnsi="Times New Roman" w:cs="Times New Roman"/>
          <w:color w:val="000000" w:themeColor="text1"/>
          <w:sz w:val="24"/>
          <w:szCs w:val="24"/>
        </w:rPr>
        <w:t>. London: Reaktion Books.</w:t>
      </w:r>
    </w:p>
    <w:p w14:paraId="1852B087" w14:textId="77777777" w:rsidR="00BA73CD" w:rsidRPr="00DD44EF" w:rsidRDefault="00E47FC6"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Gibb</w:t>
      </w:r>
      <w:r w:rsidR="00D92FBD" w:rsidRPr="00AE7290">
        <w:rPr>
          <w:rFonts w:ascii="Times New Roman" w:eastAsia="Calibri" w:hAnsi="Times New Roman" w:cs="Times New Roman"/>
          <w:color w:val="000000" w:themeColor="text1"/>
          <w:sz w:val="24"/>
          <w:szCs w:val="24"/>
        </w:rPr>
        <w:t>s, K, Sani, M., &amp; Thompson, J. (Eds.)</w:t>
      </w:r>
      <w:r w:rsidR="00BA73CD" w:rsidRPr="00DD44EF">
        <w:rPr>
          <w:rFonts w:ascii="Times New Roman" w:eastAsia="Calibri" w:hAnsi="Times New Roman" w:cs="Times New Roman"/>
          <w:color w:val="000000" w:themeColor="text1"/>
          <w:sz w:val="24"/>
          <w:szCs w:val="24"/>
        </w:rPr>
        <w:t xml:space="preserve"> (2007).</w:t>
      </w:r>
      <w:r w:rsidR="00D92FBD" w:rsidRPr="00DD44EF">
        <w:rPr>
          <w:rFonts w:ascii="Times New Roman" w:eastAsia="Calibri" w:hAnsi="Times New Roman" w:cs="Times New Roman"/>
          <w:color w:val="000000" w:themeColor="text1"/>
          <w:sz w:val="24"/>
          <w:szCs w:val="24"/>
        </w:rPr>
        <w:t xml:space="preserve"> </w:t>
      </w:r>
      <w:r w:rsidR="00D92FBD" w:rsidRPr="00256436">
        <w:rPr>
          <w:rFonts w:ascii="Times New Roman" w:eastAsia="Calibri" w:hAnsi="Times New Roman" w:cs="Times New Roman"/>
          <w:i/>
          <w:color w:val="000000" w:themeColor="text1"/>
          <w:sz w:val="24"/>
          <w:szCs w:val="24"/>
        </w:rPr>
        <w:t>Lifelong Learning in Museums: A European Handbook</w:t>
      </w:r>
      <w:r w:rsidR="00D92FBD" w:rsidRPr="00DD44EF">
        <w:rPr>
          <w:rFonts w:ascii="Times New Roman" w:eastAsia="Calibri" w:hAnsi="Times New Roman" w:cs="Times New Roman"/>
          <w:color w:val="000000" w:themeColor="text1"/>
          <w:sz w:val="24"/>
          <w:szCs w:val="24"/>
        </w:rPr>
        <w:t>. Ferrara (Italy): EDISAI srl.</w:t>
      </w:r>
    </w:p>
    <w:p w14:paraId="374ADD78" w14:textId="77777777" w:rsidR="00077B6E" w:rsidRPr="00DD44EF" w:rsidRDefault="00077B6E" w:rsidP="00077B6E">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Glazzard, P. (1979). “</w:t>
      </w:r>
      <w:r w:rsidRPr="00DD44EF">
        <w:rPr>
          <w:rFonts w:ascii="Times New Roman" w:eastAsia="Calibri" w:hAnsi="Times New Roman" w:cs="Times New Roman"/>
          <w:color w:val="000000" w:themeColor="text1"/>
          <w:sz w:val="24"/>
          <w:szCs w:val="24"/>
        </w:rPr>
        <w:t>Simulation of handicaps as a teaching strategy for preservice and inservice training”</w:t>
      </w:r>
      <w:r w:rsidR="002F31ED" w:rsidRPr="002F31ED">
        <w:rPr>
          <w:rFonts w:ascii="Times New Roman" w:eastAsia="Calibri" w:hAnsi="Times New Roman" w:cs="Times New Roman"/>
          <w:color w:val="000000" w:themeColor="text1"/>
          <w:sz w:val="24"/>
          <w:szCs w:val="24"/>
          <w:lang w:val="en-US"/>
        </w:rPr>
        <w:t>,</w:t>
      </w:r>
      <w:r w:rsidRPr="00DD44EF">
        <w:rPr>
          <w:rFonts w:ascii="Times New Roman" w:eastAsia="Calibri" w:hAnsi="Times New Roman" w:cs="Times New Roman"/>
          <w:color w:val="000000" w:themeColor="text1"/>
          <w:sz w:val="24"/>
          <w:szCs w:val="24"/>
        </w:rPr>
        <w:t xml:space="preserve"> </w:t>
      </w:r>
      <w:r w:rsidRPr="00DD44EF">
        <w:rPr>
          <w:rFonts w:ascii="Times New Roman" w:eastAsia="Calibri" w:hAnsi="Times New Roman" w:cs="Times New Roman"/>
          <w:i/>
          <w:color w:val="000000" w:themeColor="text1"/>
          <w:sz w:val="24"/>
          <w:szCs w:val="24"/>
        </w:rPr>
        <w:t>Teaching Exceptional Children</w:t>
      </w:r>
      <w:r w:rsidRPr="00DD44EF">
        <w:rPr>
          <w:rFonts w:ascii="Times New Roman" w:eastAsia="Calibri" w:hAnsi="Times New Roman" w:cs="Times New Roman"/>
          <w:color w:val="000000" w:themeColor="text1"/>
          <w:sz w:val="24"/>
          <w:szCs w:val="24"/>
        </w:rPr>
        <w:t xml:space="preserve">, </w:t>
      </w:r>
      <w:r w:rsidRPr="002F31ED">
        <w:rPr>
          <w:rFonts w:ascii="Times New Roman" w:eastAsia="Calibri" w:hAnsi="Times New Roman" w:cs="Times New Roman"/>
          <w:color w:val="000000" w:themeColor="text1"/>
          <w:sz w:val="24"/>
          <w:szCs w:val="24"/>
        </w:rPr>
        <w:t>11</w:t>
      </w:r>
      <w:r w:rsidRPr="00AD41E6">
        <w:rPr>
          <w:rFonts w:ascii="Times New Roman" w:eastAsia="Calibri" w:hAnsi="Times New Roman" w:cs="Times New Roman"/>
          <w:i/>
          <w:color w:val="000000" w:themeColor="text1"/>
          <w:sz w:val="24"/>
          <w:szCs w:val="24"/>
        </w:rPr>
        <w:t>,</w:t>
      </w:r>
      <w:r w:rsidRPr="00DD44EF">
        <w:rPr>
          <w:rFonts w:ascii="Times New Roman" w:eastAsia="Calibri" w:hAnsi="Times New Roman" w:cs="Times New Roman"/>
          <w:color w:val="000000" w:themeColor="text1"/>
          <w:sz w:val="24"/>
          <w:szCs w:val="24"/>
        </w:rPr>
        <w:t xml:space="preserve"> 101-104.</w:t>
      </w:r>
    </w:p>
    <w:p w14:paraId="4E1F27CC" w14:textId="77777777" w:rsidR="00077B6E" w:rsidRPr="00DD44EF" w:rsidRDefault="007F3503" w:rsidP="00077B6E">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Grayson, E., &amp; Marini, I. (1996)</w:t>
      </w:r>
      <w:r w:rsidR="00077B6E" w:rsidRPr="00DD44EF">
        <w:rPr>
          <w:rFonts w:ascii="Times New Roman" w:eastAsia="Calibri" w:hAnsi="Times New Roman" w:cs="Times New Roman"/>
          <w:color w:val="000000" w:themeColor="text1"/>
          <w:sz w:val="24"/>
          <w:szCs w:val="24"/>
        </w:rPr>
        <w:t>. “Simulated disability exercises and their impact on attitudes toward persons with disabilities”</w:t>
      </w:r>
      <w:r w:rsidR="002F31ED" w:rsidRPr="002F31ED">
        <w:rPr>
          <w:rFonts w:ascii="Times New Roman" w:eastAsia="Calibri" w:hAnsi="Times New Roman" w:cs="Times New Roman"/>
          <w:color w:val="000000" w:themeColor="text1"/>
          <w:sz w:val="24"/>
          <w:szCs w:val="24"/>
          <w:lang w:val="en-US"/>
        </w:rPr>
        <w:t>,</w:t>
      </w:r>
      <w:r w:rsidR="00077B6E" w:rsidRPr="00DD44EF">
        <w:rPr>
          <w:rFonts w:ascii="Times New Roman" w:eastAsia="Calibri" w:hAnsi="Times New Roman" w:cs="Times New Roman"/>
          <w:color w:val="000000" w:themeColor="text1"/>
          <w:sz w:val="24"/>
          <w:szCs w:val="24"/>
        </w:rPr>
        <w:t xml:space="preserve"> </w:t>
      </w:r>
      <w:r w:rsidR="00077B6E" w:rsidRPr="00DD44EF">
        <w:rPr>
          <w:rFonts w:ascii="Times New Roman" w:eastAsia="Calibri" w:hAnsi="Times New Roman" w:cs="Times New Roman"/>
          <w:i/>
          <w:color w:val="000000" w:themeColor="text1"/>
          <w:sz w:val="24"/>
          <w:szCs w:val="24"/>
        </w:rPr>
        <w:t>International Journal of Rehabilitation Research</w:t>
      </w:r>
      <w:r w:rsidR="00077B6E" w:rsidRPr="00DD44EF">
        <w:rPr>
          <w:rFonts w:ascii="Times New Roman" w:eastAsia="Calibri" w:hAnsi="Times New Roman" w:cs="Times New Roman"/>
          <w:color w:val="000000" w:themeColor="text1"/>
          <w:sz w:val="24"/>
          <w:szCs w:val="24"/>
        </w:rPr>
        <w:t xml:space="preserve">, </w:t>
      </w:r>
      <w:r w:rsidR="00077B6E" w:rsidRPr="002F31ED">
        <w:rPr>
          <w:rFonts w:ascii="Times New Roman" w:eastAsia="Calibri" w:hAnsi="Times New Roman" w:cs="Times New Roman"/>
          <w:color w:val="000000" w:themeColor="text1"/>
          <w:sz w:val="24"/>
          <w:szCs w:val="24"/>
        </w:rPr>
        <w:t>19</w:t>
      </w:r>
      <w:r w:rsidR="00077B6E" w:rsidRPr="004357C5">
        <w:rPr>
          <w:rFonts w:ascii="Times New Roman" w:eastAsia="Calibri" w:hAnsi="Times New Roman" w:cs="Times New Roman"/>
          <w:i/>
          <w:color w:val="000000" w:themeColor="text1"/>
          <w:sz w:val="24"/>
          <w:szCs w:val="24"/>
        </w:rPr>
        <w:t>,</w:t>
      </w:r>
      <w:r w:rsidR="00077B6E" w:rsidRPr="00DD44EF">
        <w:rPr>
          <w:rFonts w:ascii="Times New Roman" w:eastAsia="Calibri" w:hAnsi="Times New Roman" w:cs="Times New Roman"/>
          <w:color w:val="000000" w:themeColor="text1"/>
          <w:sz w:val="24"/>
          <w:szCs w:val="24"/>
        </w:rPr>
        <w:t xml:space="preserve"> 123-131.</w:t>
      </w:r>
    </w:p>
    <w:p w14:paraId="1C46A9D5" w14:textId="77777777" w:rsidR="00077B6E" w:rsidRPr="00DD44EF" w:rsidRDefault="00077B6E" w:rsidP="00077B6E">
      <w:pPr>
        <w:spacing w:after="0" w:line="23" w:lineRule="atLeast"/>
        <w:ind w:left="720" w:hanging="720"/>
        <w:rPr>
          <w:rFonts w:ascii="Times New Roman" w:eastAsia="Calibri" w:hAnsi="Times New Roman" w:cs="Times New Roman"/>
          <w:color w:val="000000" w:themeColor="text1"/>
          <w:sz w:val="24"/>
          <w:szCs w:val="24"/>
        </w:rPr>
      </w:pPr>
      <w:r w:rsidRPr="00DD44EF">
        <w:rPr>
          <w:rFonts w:ascii="Times New Roman" w:eastAsia="Calibri" w:hAnsi="Times New Roman" w:cs="Times New Roman"/>
          <w:color w:val="000000" w:themeColor="text1"/>
          <w:sz w:val="24"/>
          <w:szCs w:val="24"/>
        </w:rPr>
        <w:t>Hamblen</w:t>
      </w:r>
      <w:r w:rsidRPr="00AE7290">
        <w:rPr>
          <w:rFonts w:ascii="Times New Roman" w:eastAsia="Calibri" w:hAnsi="Times New Roman" w:cs="Times New Roman"/>
          <w:color w:val="000000" w:themeColor="text1"/>
          <w:sz w:val="24"/>
          <w:szCs w:val="24"/>
        </w:rPr>
        <w:t>, K.A. (1986).</w:t>
      </w:r>
      <w:r w:rsidRPr="00DD44EF">
        <w:rPr>
          <w:rFonts w:ascii="Times New Roman" w:eastAsia="Calibri" w:hAnsi="Times New Roman" w:cs="Times New Roman"/>
          <w:color w:val="000000" w:themeColor="text1"/>
          <w:sz w:val="24"/>
          <w:szCs w:val="24"/>
        </w:rPr>
        <w:t xml:space="preserve"> “Exploring contested concepts for aesthetic literacy”, </w:t>
      </w:r>
      <w:r w:rsidRPr="00DD44EF">
        <w:rPr>
          <w:rFonts w:ascii="Times New Roman" w:eastAsia="Calibri" w:hAnsi="Times New Roman" w:cs="Times New Roman"/>
          <w:i/>
          <w:color w:val="000000" w:themeColor="text1"/>
          <w:sz w:val="24"/>
          <w:szCs w:val="24"/>
        </w:rPr>
        <w:t>Journal of Aesthetic Education</w:t>
      </w:r>
      <w:r w:rsidRPr="00DD44EF">
        <w:rPr>
          <w:rFonts w:ascii="Times New Roman" w:eastAsia="Calibri" w:hAnsi="Times New Roman" w:cs="Times New Roman"/>
          <w:color w:val="000000" w:themeColor="text1"/>
          <w:sz w:val="24"/>
          <w:szCs w:val="24"/>
        </w:rPr>
        <w:t>, 20(2), 67-76.</w:t>
      </w:r>
    </w:p>
    <w:p w14:paraId="5DEE195C" w14:textId="77777777" w:rsidR="00DB31DB" w:rsidRPr="00DD44EF" w:rsidRDefault="00D92FBD" w:rsidP="00AD41E6">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Hein, G.E. (1991</w:t>
      </w:r>
      <w:r w:rsidRPr="00DD44EF">
        <w:rPr>
          <w:rFonts w:ascii="Times New Roman" w:eastAsia="Calibri" w:hAnsi="Times New Roman" w:cs="Times New Roman"/>
          <w:color w:val="000000" w:themeColor="text1"/>
          <w:sz w:val="24"/>
          <w:szCs w:val="24"/>
        </w:rPr>
        <w:t>). “Constructivist learning theory”. Paper presented at CECA conference The Museum and the Needs of the People, Jerusalem. Available at</w:t>
      </w:r>
      <w:r w:rsidR="00DB31DB">
        <w:rPr>
          <w:rFonts w:ascii="Times New Roman" w:eastAsia="Calibri" w:hAnsi="Times New Roman" w:cs="Times New Roman"/>
          <w:color w:val="000000" w:themeColor="text1"/>
          <w:sz w:val="24"/>
          <w:szCs w:val="24"/>
        </w:rPr>
        <w:t>:</w:t>
      </w:r>
      <w:r w:rsidRPr="00DD44EF">
        <w:rPr>
          <w:rFonts w:ascii="Times New Roman" w:eastAsia="Calibri" w:hAnsi="Times New Roman" w:cs="Times New Roman"/>
          <w:color w:val="000000" w:themeColor="text1"/>
          <w:sz w:val="24"/>
          <w:szCs w:val="24"/>
        </w:rPr>
        <w:t xml:space="preserve"> </w:t>
      </w:r>
      <w:hyperlink r:id="rId8" w:history="1">
        <w:r w:rsidRPr="00DD44EF">
          <w:rPr>
            <w:rStyle w:val="Hyperlink"/>
            <w:rFonts w:ascii="Times New Roman" w:eastAsia="Calibri" w:hAnsi="Times New Roman" w:cs="Times New Roman"/>
            <w:color w:val="000000" w:themeColor="text1"/>
            <w:sz w:val="24"/>
            <w:szCs w:val="24"/>
          </w:rPr>
          <w:t>www.exploratorium.edu/education/ifi/constructivist-learning</w:t>
        </w:r>
      </w:hyperlink>
    </w:p>
    <w:p w14:paraId="124FB51E" w14:textId="77777777" w:rsidR="00BA73CD" w:rsidRPr="00DD44EF" w:rsidRDefault="00BA73CD"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Hein, G.</w:t>
      </w:r>
      <w:r w:rsidR="00D92FBD" w:rsidRPr="00AE7290">
        <w:rPr>
          <w:rFonts w:ascii="Times New Roman" w:eastAsia="Calibri" w:hAnsi="Times New Roman" w:cs="Times New Roman"/>
          <w:color w:val="000000" w:themeColor="text1"/>
          <w:sz w:val="24"/>
          <w:szCs w:val="24"/>
        </w:rPr>
        <w:t xml:space="preserve"> E.</w:t>
      </w:r>
      <w:r w:rsidRPr="00AE7290">
        <w:rPr>
          <w:rFonts w:ascii="Times New Roman" w:eastAsia="Calibri" w:hAnsi="Times New Roman" w:cs="Times New Roman"/>
          <w:color w:val="000000" w:themeColor="text1"/>
          <w:sz w:val="24"/>
          <w:szCs w:val="24"/>
        </w:rPr>
        <w:t xml:space="preserve"> (</w:t>
      </w:r>
      <w:r w:rsidR="00D92FBD" w:rsidRPr="00AE7290">
        <w:rPr>
          <w:rFonts w:ascii="Times New Roman" w:eastAsia="Calibri" w:hAnsi="Times New Roman" w:cs="Times New Roman"/>
          <w:color w:val="000000" w:themeColor="text1"/>
          <w:sz w:val="24"/>
          <w:szCs w:val="24"/>
        </w:rPr>
        <w:t>1995</w:t>
      </w:r>
      <w:r w:rsidRPr="00DD44EF">
        <w:rPr>
          <w:rFonts w:ascii="Times New Roman" w:eastAsia="Calibri" w:hAnsi="Times New Roman" w:cs="Times New Roman"/>
          <w:color w:val="000000" w:themeColor="text1"/>
          <w:sz w:val="24"/>
          <w:szCs w:val="24"/>
        </w:rPr>
        <w:t>).</w:t>
      </w:r>
      <w:r w:rsidR="00D92FBD" w:rsidRPr="00DD44EF">
        <w:rPr>
          <w:rFonts w:ascii="Times New Roman" w:eastAsia="Calibri" w:hAnsi="Times New Roman" w:cs="Times New Roman"/>
          <w:color w:val="000000" w:themeColor="text1"/>
          <w:sz w:val="24"/>
          <w:szCs w:val="24"/>
        </w:rPr>
        <w:t xml:space="preserve"> “The constructivist museum”, </w:t>
      </w:r>
      <w:r w:rsidR="00D92FBD" w:rsidRPr="00DD44EF">
        <w:rPr>
          <w:rFonts w:ascii="Times New Roman" w:eastAsia="Calibri" w:hAnsi="Times New Roman" w:cs="Times New Roman"/>
          <w:i/>
          <w:color w:val="000000" w:themeColor="text1"/>
          <w:sz w:val="24"/>
          <w:szCs w:val="24"/>
        </w:rPr>
        <w:t>Journal for Education in Mus</w:t>
      </w:r>
      <w:r w:rsidR="00D92FBD" w:rsidRPr="00DD44EF">
        <w:rPr>
          <w:rFonts w:ascii="Times New Roman" w:eastAsia="Calibri" w:hAnsi="Times New Roman" w:cs="Times New Roman"/>
          <w:color w:val="000000" w:themeColor="text1"/>
          <w:sz w:val="24"/>
          <w:szCs w:val="24"/>
        </w:rPr>
        <w:t>eums, 16, 21-23.</w:t>
      </w:r>
    </w:p>
    <w:p w14:paraId="16E3F972" w14:textId="77777777" w:rsidR="00BA73CD" w:rsidRPr="00DD44EF" w:rsidRDefault="00BA73CD"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Hein, G.</w:t>
      </w:r>
      <w:r w:rsidR="00D92FBD" w:rsidRPr="00AE7290">
        <w:rPr>
          <w:rFonts w:ascii="Times New Roman" w:eastAsia="Calibri" w:hAnsi="Times New Roman" w:cs="Times New Roman"/>
          <w:color w:val="000000" w:themeColor="text1"/>
          <w:sz w:val="24"/>
          <w:szCs w:val="24"/>
        </w:rPr>
        <w:t xml:space="preserve">E. </w:t>
      </w:r>
      <w:r w:rsidRPr="00AE7290">
        <w:rPr>
          <w:rFonts w:ascii="Times New Roman" w:eastAsia="Calibri" w:hAnsi="Times New Roman" w:cs="Times New Roman"/>
          <w:color w:val="000000" w:themeColor="text1"/>
          <w:sz w:val="24"/>
          <w:szCs w:val="24"/>
        </w:rPr>
        <w:t>(</w:t>
      </w:r>
      <w:r w:rsidR="00D92FBD" w:rsidRPr="00AE7290">
        <w:rPr>
          <w:rFonts w:ascii="Times New Roman" w:eastAsia="Calibri" w:hAnsi="Times New Roman" w:cs="Times New Roman"/>
          <w:color w:val="000000" w:themeColor="text1"/>
          <w:sz w:val="24"/>
          <w:szCs w:val="24"/>
        </w:rPr>
        <w:t>1998</w:t>
      </w:r>
      <w:r w:rsidRPr="00AE7290">
        <w:rPr>
          <w:rFonts w:ascii="Times New Roman" w:eastAsia="Calibri" w:hAnsi="Times New Roman" w:cs="Times New Roman"/>
          <w:color w:val="000000" w:themeColor="text1"/>
          <w:sz w:val="24"/>
          <w:szCs w:val="24"/>
        </w:rPr>
        <w:t>)</w:t>
      </w:r>
      <w:r w:rsidRPr="00DD44EF">
        <w:rPr>
          <w:rFonts w:ascii="Times New Roman" w:eastAsia="Calibri" w:hAnsi="Times New Roman" w:cs="Times New Roman"/>
          <w:color w:val="000000" w:themeColor="text1"/>
          <w:sz w:val="24"/>
          <w:szCs w:val="24"/>
        </w:rPr>
        <w:t>.</w:t>
      </w:r>
      <w:r w:rsidR="00D92FBD" w:rsidRPr="00DD44EF">
        <w:rPr>
          <w:rFonts w:ascii="Times New Roman" w:eastAsia="Calibri" w:hAnsi="Times New Roman" w:cs="Times New Roman"/>
          <w:color w:val="000000" w:themeColor="text1"/>
          <w:sz w:val="24"/>
          <w:szCs w:val="24"/>
        </w:rPr>
        <w:t xml:space="preserve"> </w:t>
      </w:r>
      <w:r w:rsidR="00D92FBD" w:rsidRPr="00DD44EF">
        <w:rPr>
          <w:rFonts w:ascii="Times New Roman" w:eastAsia="Calibri" w:hAnsi="Times New Roman" w:cs="Times New Roman"/>
          <w:i/>
          <w:color w:val="000000" w:themeColor="text1"/>
          <w:sz w:val="24"/>
          <w:szCs w:val="24"/>
        </w:rPr>
        <w:t>Learning in the Museum</w:t>
      </w:r>
      <w:r w:rsidR="00D92FBD" w:rsidRPr="00DD44EF">
        <w:rPr>
          <w:rFonts w:ascii="Times New Roman" w:eastAsia="Calibri" w:hAnsi="Times New Roman" w:cs="Times New Roman"/>
          <w:color w:val="000000" w:themeColor="text1"/>
          <w:sz w:val="24"/>
          <w:szCs w:val="24"/>
        </w:rPr>
        <w:t>. London: Routledge.</w:t>
      </w:r>
    </w:p>
    <w:p w14:paraId="42E55112" w14:textId="77777777" w:rsidR="00DB31DB" w:rsidRDefault="00BA73CD"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Hein, G.</w:t>
      </w:r>
      <w:r w:rsidR="00D92FBD" w:rsidRPr="00AE7290">
        <w:rPr>
          <w:rFonts w:ascii="Times New Roman" w:eastAsia="Calibri" w:hAnsi="Times New Roman" w:cs="Times New Roman"/>
          <w:color w:val="000000" w:themeColor="text1"/>
          <w:sz w:val="24"/>
          <w:szCs w:val="24"/>
        </w:rPr>
        <w:t>E.</w:t>
      </w:r>
      <w:r w:rsidRPr="00AE7290">
        <w:rPr>
          <w:rFonts w:ascii="Times New Roman" w:eastAsia="Calibri" w:hAnsi="Times New Roman" w:cs="Times New Roman"/>
          <w:color w:val="000000" w:themeColor="text1"/>
          <w:sz w:val="24"/>
          <w:szCs w:val="24"/>
        </w:rPr>
        <w:t xml:space="preserve"> (</w:t>
      </w:r>
      <w:r w:rsidR="005E7E2B" w:rsidRPr="00AE7290">
        <w:rPr>
          <w:rFonts w:ascii="Times New Roman" w:eastAsia="Calibri" w:hAnsi="Times New Roman" w:cs="Times New Roman"/>
          <w:color w:val="000000" w:themeColor="text1"/>
          <w:sz w:val="24"/>
          <w:szCs w:val="24"/>
        </w:rPr>
        <w:t>2004</w:t>
      </w:r>
      <w:r w:rsidRPr="00AE7290">
        <w:rPr>
          <w:rFonts w:ascii="Times New Roman" w:eastAsia="Calibri" w:hAnsi="Times New Roman" w:cs="Times New Roman"/>
          <w:color w:val="000000" w:themeColor="text1"/>
          <w:sz w:val="24"/>
          <w:szCs w:val="24"/>
        </w:rPr>
        <w:t>).</w:t>
      </w:r>
      <w:r w:rsidR="005E7E2B" w:rsidRPr="00DD44EF">
        <w:rPr>
          <w:rFonts w:ascii="Times New Roman" w:eastAsia="Calibri" w:hAnsi="Times New Roman" w:cs="Times New Roman"/>
          <w:color w:val="000000" w:themeColor="text1"/>
          <w:sz w:val="24"/>
          <w:szCs w:val="24"/>
        </w:rPr>
        <w:t xml:space="preserve"> “The role of museums in society: education and social action”. Available at</w:t>
      </w:r>
      <w:r w:rsidR="00DB31DB">
        <w:rPr>
          <w:rFonts w:ascii="Times New Roman" w:eastAsia="Calibri" w:hAnsi="Times New Roman" w:cs="Times New Roman"/>
          <w:color w:val="000000" w:themeColor="text1"/>
          <w:sz w:val="24"/>
          <w:szCs w:val="24"/>
        </w:rPr>
        <w:t>:</w:t>
      </w:r>
      <w:r w:rsidR="005E7E2B" w:rsidRPr="00DD44EF">
        <w:rPr>
          <w:rFonts w:ascii="Times New Roman" w:eastAsia="Calibri" w:hAnsi="Times New Roman" w:cs="Times New Roman"/>
          <w:color w:val="000000" w:themeColor="text1"/>
          <w:sz w:val="24"/>
          <w:szCs w:val="24"/>
        </w:rPr>
        <w:t xml:space="preserve"> </w:t>
      </w:r>
    </w:p>
    <w:p w14:paraId="72640464" w14:textId="77777777" w:rsidR="00623558" w:rsidRPr="00DD44EF" w:rsidRDefault="00DB31DB" w:rsidP="00623558">
      <w:pPr>
        <w:spacing w:after="0" w:line="23" w:lineRule="atLeast"/>
        <w:ind w:left="720" w:hanging="72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hyperlink r:id="rId9" w:history="1">
        <w:r w:rsidR="00623558" w:rsidRPr="00DD44EF">
          <w:rPr>
            <w:rStyle w:val="Hyperlink"/>
            <w:rFonts w:ascii="Times New Roman" w:eastAsia="Calibri" w:hAnsi="Times New Roman" w:cs="Times New Roman"/>
            <w:color w:val="000000" w:themeColor="text1"/>
            <w:sz w:val="24"/>
            <w:szCs w:val="24"/>
          </w:rPr>
          <w:t>http://george-hein.com/downloads/roleMuseumsSocietyForum.pdf</w:t>
        </w:r>
      </w:hyperlink>
    </w:p>
    <w:p w14:paraId="02095CE7"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Herbert, J. (2000).</w:t>
      </w:r>
      <w:r w:rsidR="005D65D5" w:rsidRPr="00DD44EF">
        <w:rPr>
          <w:rFonts w:ascii="Times New Roman" w:eastAsia="Calibri" w:hAnsi="Times New Roman" w:cs="Times New Roman"/>
          <w:color w:val="000000" w:themeColor="text1"/>
          <w:sz w:val="24"/>
          <w:szCs w:val="24"/>
        </w:rPr>
        <w:t xml:space="preserve"> </w:t>
      </w:r>
      <w:r w:rsidR="00FA6A6D"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Simulation as a learning method to </w:t>
      </w:r>
      <w:r w:rsidR="00FA6A6D" w:rsidRPr="00DD44EF">
        <w:rPr>
          <w:rFonts w:ascii="Times New Roman" w:eastAsia="Calibri" w:hAnsi="Times New Roman" w:cs="Times New Roman"/>
          <w:color w:val="000000" w:themeColor="text1"/>
          <w:sz w:val="24"/>
          <w:szCs w:val="24"/>
        </w:rPr>
        <w:t>facilitate disability awareness”</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Journal of Experiential Education</w:t>
      </w:r>
      <w:r w:rsidR="005F08AC" w:rsidRPr="00DD44EF">
        <w:rPr>
          <w:rFonts w:ascii="Times New Roman" w:eastAsia="Calibri" w:hAnsi="Times New Roman" w:cs="Times New Roman"/>
          <w:color w:val="000000" w:themeColor="text1"/>
          <w:sz w:val="24"/>
          <w:szCs w:val="24"/>
        </w:rPr>
        <w:t xml:space="preserve">, </w:t>
      </w:r>
      <w:r w:rsidR="005F08AC" w:rsidRPr="002F31ED">
        <w:rPr>
          <w:rFonts w:ascii="Times New Roman" w:eastAsia="Calibri" w:hAnsi="Times New Roman" w:cs="Times New Roman"/>
          <w:color w:val="000000" w:themeColor="text1"/>
          <w:sz w:val="24"/>
          <w:szCs w:val="24"/>
        </w:rPr>
        <w:t>23</w:t>
      </w:r>
      <w:r w:rsidR="005D65D5" w:rsidRPr="00DD44EF">
        <w:rPr>
          <w:rFonts w:ascii="Times New Roman" w:eastAsia="Calibri" w:hAnsi="Times New Roman" w:cs="Times New Roman"/>
          <w:color w:val="000000" w:themeColor="text1"/>
          <w:sz w:val="24"/>
          <w:szCs w:val="24"/>
        </w:rPr>
        <w:t>(1) 5-11.</w:t>
      </w:r>
    </w:p>
    <w:p w14:paraId="3C3DC509"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Hunter, M., &amp; Clark, R.E. (1977</w:t>
      </w:r>
      <w:r w:rsidR="005D65D5" w:rsidRPr="00DD44EF">
        <w:rPr>
          <w:rFonts w:ascii="Times New Roman" w:eastAsia="Calibri" w:hAnsi="Times New Roman" w:cs="Times New Roman"/>
          <w:color w:val="000000" w:themeColor="text1"/>
          <w:sz w:val="24"/>
          <w:szCs w:val="24"/>
        </w:rPr>
        <w:t xml:space="preserve">). </w:t>
      </w:r>
      <w:r w:rsidR="00FA6A6D"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Sim</w:t>
      </w:r>
      <w:r w:rsidR="00FA6A6D" w:rsidRPr="00DD44EF">
        <w:rPr>
          <w:rFonts w:ascii="Times New Roman" w:eastAsia="Calibri" w:hAnsi="Times New Roman" w:cs="Times New Roman"/>
          <w:color w:val="000000" w:themeColor="text1"/>
          <w:sz w:val="24"/>
          <w:szCs w:val="24"/>
        </w:rPr>
        <w:t>ulation gaming research”</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Educational Techn</w:t>
      </w:r>
      <w:r w:rsidR="005D65D5" w:rsidRPr="00DD44EF">
        <w:rPr>
          <w:rFonts w:ascii="Times New Roman" w:eastAsia="Calibri" w:hAnsi="Times New Roman" w:cs="Times New Roman"/>
          <w:color w:val="000000" w:themeColor="text1"/>
          <w:sz w:val="24"/>
          <w:szCs w:val="24"/>
        </w:rPr>
        <w:t xml:space="preserve">ology, </w:t>
      </w:r>
      <w:r w:rsidR="005D65D5" w:rsidRPr="002F31ED">
        <w:rPr>
          <w:rFonts w:ascii="Times New Roman" w:eastAsia="Calibri" w:hAnsi="Times New Roman" w:cs="Times New Roman"/>
          <w:color w:val="000000" w:themeColor="text1"/>
          <w:sz w:val="24"/>
          <w:szCs w:val="24"/>
        </w:rPr>
        <w:t xml:space="preserve">17, </w:t>
      </w:r>
      <w:r w:rsidR="005D65D5" w:rsidRPr="00DD44EF">
        <w:rPr>
          <w:rFonts w:ascii="Times New Roman" w:eastAsia="Calibri" w:hAnsi="Times New Roman" w:cs="Times New Roman"/>
          <w:color w:val="000000" w:themeColor="text1"/>
          <w:sz w:val="24"/>
          <w:szCs w:val="24"/>
        </w:rPr>
        <w:t>44-46.</w:t>
      </w:r>
    </w:p>
    <w:p w14:paraId="28BCD02D" w14:textId="77777777" w:rsidR="005D65D5" w:rsidRPr="00DD44EF" w:rsidRDefault="00FA6A6D"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 xml:space="preserve">Hyman, R.T. (1978). </w:t>
      </w:r>
      <w:r w:rsidRPr="00AE7290">
        <w:rPr>
          <w:rFonts w:ascii="Times New Roman" w:eastAsia="Calibri" w:hAnsi="Times New Roman" w:cs="Times New Roman"/>
          <w:i/>
          <w:color w:val="000000" w:themeColor="text1"/>
          <w:sz w:val="24"/>
          <w:szCs w:val="24"/>
        </w:rPr>
        <w:t>Simulation</w:t>
      </w:r>
      <w:r w:rsidRPr="00926AD1">
        <w:rPr>
          <w:rFonts w:ascii="Times New Roman" w:eastAsia="Calibri" w:hAnsi="Times New Roman" w:cs="Times New Roman"/>
          <w:i/>
          <w:color w:val="000000" w:themeColor="text1"/>
          <w:sz w:val="24"/>
          <w:szCs w:val="24"/>
        </w:rPr>
        <w:t xml:space="preserve"> Gaming for Values Education: The Prisoner’s D</w:t>
      </w:r>
      <w:r w:rsidR="005D65D5" w:rsidRPr="00926AD1">
        <w:rPr>
          <w:rFonts w:ascii="Times New Roman" w:eastAsia="Calibri" w:hAnsi="Times New Roman" w:cs="Times New Roman"/>
          <w:i/>
          <w:color w:val="000000" w:themeColor="text1"/>
          <w:sz w:val="24"/>
          <w:szCs w:val="24"/>
        </w:rPr>
        <w:t>ilemma</w:t>
      </w:r>
      <w:r w:rsidR="005D65D5" w:rsidRPr="00DD44EF">
        <w:rPr>
          <w:rFonts w:ascii="Times New Roman" w:eastAsia="Calibri" w:hAnsi="Times New Roman" w:cs="Times New Roman"/>
          <w:color w:val="000000" w:themeColor="text1"/>
          <w:sz w:val="24"/>
          <w:szCs w:val="24"/>
        </w:rPr>
        <w:t>. New Brunswick, N.J.: University Press of America.</w:t>
      </w:r>
    </w:p>
    <w:p w14:paraId="6E8B1A06"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Jones, S.R. (1996).</w:t>
      </w:r>
      <w:r w:rsidR="005D65D5" w:rsidRPr="00DD44EF">
        <w:rPr>
          <w:rFonts w:ascii="Times New Roman" w:eastAsia="Calibri" w:hAnsi="Times New Roman" w:cs="Times New Roman"/>
          <w:color w:val="000000" w:themeColor="text1"/>
          <w:sz w:val="24"/>
          <w:szCs w:val="24"/>
        </w:rPr>
        <w:t xml:space="preserve"> </w:t>
      </w:r>
      <w:r w:rsidR="006E1CCF"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Toward inclusive theory: Di</w:t>
      </w:r>
      <w:r w:rsidR="006E1CCF" w:rsidRPr="00DD44EF">
        <w:rPr>
          <w:rFonts w:ascii="Times New Roman" w:eastAsia="Calibri" w:hAnsi="Times New Roman" w:cs="Times New Roman"/>
          <w:color w:val="000000" w:themeColor="text1"/>
          <w:sz w:val="24"/>
          <w:szCs w:val="24"/>
        </w:rPr>
        <w:t>sability as social construction”</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NASPA Journal</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33,</w:t>
      </w:r>
      <w:r w:rsidR="005D65D5" w:rsidRPr="00DD44EF">
        <w:rPr>
          <w:rFonts w:ascii="Times New Roman" w:eastAsia="Calibri" w:hAnsi="Times New Roman" w:cs="Times New Roman"/>
          <w:color w:val="000000" w:themeColor="text1"/>
          <w:sz w:val="24"/>
          <w:szCs w:val="24"/>
        </w:rPr>
        <w:t xml:space="preserve"> 347-354.</w:t>
      </w:r>
    </w:p>
    <w:p w14:paraId="6972438D"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Kenny, A.P. (1983)</w:t>
      </w:r>
      <w:r w:rsidR="000067E6">
        <w:rPr>
          <w:rFonts w:ascii="Times New Roman" w:eastAsia="Calibri" w:hAnsi="Times New Roman" w:cs="Times New Roman"/>
          <w:color w:val="000000" w:themeColor="text1"/>
          <w:sz w:val="24"/>
          <w:szCs w:val="24"/>
        </w:rPr>
        <w:t>.</w:t>
      </w:r>
      <w:r w:rsidR="00912A0F"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color w:val="000000" w:themeColor="text1"/>
          <w:sz w:val="24"/>
          <w:szCs w:val="24"/>
        </w:rPr>
        <w:t>A range of vision. Museum accommodatio</w:t>
      </w:r>
      <w:r w:rsidR="00912A0F" w:rsidRPr="00DD44EF">
        <w:rPr>
          <w:rFonts w:ascii="Times New Roman" w:eastAsia="Calibri" w:hAnsi="Times New Roman" w:cs="Times New Roman"/>
          <w:color w:val="000000" w:themeColor="text1"/>
          <w:sz w:val="24"/>
          <w:szCs w:val="24"/>
        </w:rPr>
        <w:t>n for visually impaired people”</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Journal of Visual Impairment &amp; Blindn</w:t>
      </w:r>
      <w:r w:rsidR="00912A0F" w:rsidRPr="00DD44EF">
        <w:rPr>
          <w:rFonts w:ascii="Times New Roman" w:eastAsia="Calibri" w:hAnsi="Times New Roman" w:cs="Times New Roman"/>
          <w:color w:val="000000" w:themeColor="text1"/>
          <w:sz w:val="24"/>
          <w:szCs w:val="24"/>
        </w:rPr>
        <w:t>ess</w:t>
      </w:r>
      <w:r w:rsidR="00912A0F" w:rsidRPr="000067E6">
        <w:rPr>
          <w:rFonts w:ascii="Times New Roman" w:eastAsia="Calibri" w:hAnsi="Times New Roman" w:cs="Times New Roman"/>
          <w:i/>
          <w:color w:val="000000" w:themeColor="text1"/>
          <w:sz w:val="24"/>
          <w:szCs w:val="24"/>
        </w:rPr>
        <w:t xml:space="preserve">, </w:t>
      </w:r>
      <w:r w:rsidR="00912A0F" w:rsidRPr="002F31ED">
        <w:rPr>
          <w:rFonts w:ascii="Times New Roman" w:eastAsia="Calibri" w:hAnsi="Times New Roman" w:cs="Times New Roman"/>
          <w:color w:val="000000" w:themeColor="text1"/>
          <w:sz w:val="24"/>
          <w:szCs w:val="24"/>
        </w:rPr>
        <w:t>77</w:t>
      </w:r>
      <w:r w:rsidR="000067E6">
        <w:rPr>
          <w:rFonts w:ascii="Times New Roman" w:eastAsia="Calibri" w:hAnsi="Times New Roman" w:cs="Times New Roman"/>
          <w:i/>
          <w:color w:val="000000" w:themeColor="text1"/>
          <w:sz w:val="24"/>
          <w:szCs w:val="24"/>
        </w:rPr>
        <w:t xml:space="preserve"> </w:t>
      </w:r>
      <w:r w:rsidR="005D65D5" w:rsidRPr="00DD44EF">
        <w:rPr>
          <w:rFonts w:ascii="Times New Roman" w:eastAsia="Calibri" w:hAnsi="Times New Roman" w:cs="Times New Roman"/>
          <w:color w:val="000000" w:themeColor="text1"/>
          <w:sz w:val="24"/>
          <w:szCs w:val="24"/>
        </w:rPr>
        <w:t>(7) 325-329.</w:t>
      </w:r>
    </w:p>
    <w:p w14:paraId="5F965D4D" w14:textId="51C9D2EE" w:rsidR="005D65D5" w:rsidRPr="00DD44EF" w:rsidRDefault="005D65D5"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 xml:space="preserve">Kiger, G. (1992). </w:t>
      </w:r>
      <w:r w:rsidR="00DC0EE0" w:rsidRPr="00AE7290">
        <w:rPr>
          <w:rFonts w:ascii="Times New Roman" w:eastAsia="Calibri" w:hAnsi="Times New Roman" w:cs="Times New Roman"/>
          <w:color w:val="000000" w:themeColor="text1"/>
          <w:sz w:val="24"/>
          <w:szCs w:val="24"/>
        </w:rPr>
        <w:t>“</w:t>
      </w:r>
      <w:r w:rsidRPr="00AE7290">
        <w:rPr>
          <w:rFonts w:ascii="Times New Roman" w:eastAsia="Calibri" w:hAnsi="Times New Roman" w:cs="Times New Roman"/>
          <w:color w:val="000000" w:themeColor="text1"/>
          <w:sz w:val="24"/>
          <w:szCs w:val="24"/>
        </w:rPr>
        <w:t>Disability</w:t>
      </w:r>
      <w:r w:rsidRPr="00DD44EF">
        <w:rPr>
          <w:rFonts w:ascii="Times New Roman" w:eastAsia="Calibri" w:hAnsi="Times New Roman" w:cs="Times New Roman"/>
          <w:color w:val="000000" w:themeColor="text1"/>
          <w:sz w:val="24"/>
          <w:szCs w:val="24"/>
        </w:rPr>
        <w:t xml:space="preserve"> simulations: Logical, me</w:t>
      </w:r>
      <w:r w:rsidR="00DC0EE0" w:rsidRPr="00DD44EF">
        <w:rPr>
          <w:rFonts w:ascii="Times New Roman" w:eastAsia="Calibri" w:hAnsi="Times New Roman" w:cs="Times New Roman"/>
          <w:color w:val="000000" w:themeColor="text1"/>
          <w:sz w:val="24"/>
          <w:szCs w:val="24"/>
        </w:rPr>
        <w:t>thodological and ethical issues”</w:t>
      </w:r>
      <w:r w:rsidR="00AE7290" w:rsidRPr="00AE7290">
        <w:rPr>
          <w:rFonts w:ascii="Times New Roman" w:eastAsia="Calibri" w:hAnsi="Times New Roman" w:cs="Times New Roman"/>
          <w:color w:val="000000" w:themeColor="text1"/>
          <w:sz w:val="24"/>
          <w:szCs w:val="24"/>
          <w:lang w:val="en-US"/>
        </w:rPr>
        <w:t>,</w:t>
      </w:r>
      <w:r w:rsidRPr="00DD44EF">
        <w:rPr>
          <w:rFonts w:ascii="Times New Roman" w:eastAsia="Calibri" w:hAnsi="Times New Roman" w:cs="Times New Roman"/>
          <w:color w:val="000000" w:themeColor="text1"/>
          <w:sz w:val="24"/>
          <w:szCs w:val="24"/>
        </w:rPr>
        <w:t xml:space="preserve"> </w:t>
      </w:r>
      <w:r w:rsidRPr="00DD44EF">
        <w:rPr>
          <w:rFonts w:ascii="Times New Roman" w:eastAsia="Calibri" w:hAnsi="Times New Roman" w:cs="Times New Roman"/>
          <w:i/>
          <w:color w:val="000000" w:themeColor="text1"/>
          <w:sz w:val="24"/>
          <w:szCs w:val="24"/>
        </w:rPr>
        <w:t>Disability, Handicap &amp; Society</w:t>
      </w:r>
      <w:r w:rsidRPr="004357C5">
        <w:rPr>
          <w:rFonts w:ascii="Times New Roman" w:eastAsia="Calibri" w:hAnsi="Times New Roman" w:cs="Times New Roman"/>
          <w:i/>
          <w:color w:val="000000" w:themeColor="text1"/>
          <w:sz w:val="24"/>
          <w:szCs w:val="24"/>
        </w:rPr>
        <w:t xml:space="preserve">, </w:t>
      </w:r>
      <w:r w:rsidRPr="002F31ED">
        <w:rPr>
          <w:rFonts w:ascii="Times New Roman" w:eastAsia="Calibri" w:hAnsi="Times New Roman" w:cs="Times New Roman"/>
          <w:color w:val="000000" w:themeColor="text1"/>
          <w:sz w:val="24"/>
          <w:szCs w:val="24"/>
        </w:rPr>
        <w:t>7,</w:t>
      </w:r>
      <w:r w:rsidRPr="00DD44EF">
        <w:rPr>
          <w:rFonts w:ascii="Times New Roman" w:eastAsia="Calibri" w:hAnsi="Times New Roman" w:cs="Times New Roman"/>
          <w:color w:val="000000" w:themeColor="text1"/>
          <w:sz w:val="24"/>
          <w:szCs w:val="24"/>
        </w:rPr>
        <w:t xml:space="preserve"> 71-78.</w:t>
      </w:r>
    </w:p>
    <w:p w14:paraId="26862E16" w14:textId="77777777" w:rsidR="005D65D5" w:rsidRPr="004357C5"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Kosciulek, J.F., &amp; Szymanski, E.M. (1993).</w:t>
      </w:r>
      <w:r w:rsidR="005D65D5" w:rsidRPr="00DD44EF">
        <w:rPr>
          <w:rFonts w:ascii="Times New Roman" w:eastAsia="Calibri" w:hAnsi="Times New Roman" w:cs="Times New Roman"/>
          <w:i/>
          <w:color w:val="000000" w:themeColor="text1"/>
          <w:sz w:val="24"/>
          <w:szCs w:val="24"/>
        </w:rPr>
        <w:t xml:space="preserve"> </w:t>
      </w:r>
      <w:r w:rsidR="00DC0EE0" w:rsidRPr="004357C5">
        <w:rPr>
          <w:rFonts w:ascii="Times New Roman" w:eastAsia="Calibri" w:hAnsi="Times New Roman" w:cs="Times New Roman"/>
          <w:color w:val="000000" w:themeColor="text1"/>
          <w:sz w:val="24"/>
          <w:szCs w:val="24"/>
        </w:rPr>
        <w:t>“</w:t>
      </w:r>
      <w:r w:rsidR="005D65D5" w:rsidRPr="004357C5">
        <w:rPr>
          <w:rFonts w:ascii="Times New Roman" w:eastAsia="Calibri" w:hAnsi="Times New Roman" w:cs="Times New Roman"/>
          <w:color w:val="000000" w:themeColor="text1"/>
          <w:sz w:val="24"/>
          <w:szCs w:val="24"/>
        </w:rPr>
        <w:t>Statistical power analysis of rehabilitation counseling research</w:t>
      </w:r>
      <w:r w:rsidR="00DC0EE0" w:rsidRPr="004357C5">
        <w:rPr>
          <w:rFonts w:ascii="Times New Roman" w:eastAsia="Calibri" w:hAnsi="Times New Roman" w:cs="Times New Roman"/>
          <w:color w:val="000000" w:themeColor="text1"/>
          <w:sz w:val="24"/>
          <w:szCs w:val="24"/>
        </w:rPr>
        <w:t>”</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i/>
          <w:color w:val="000000" w:themeColor="text1"/>
          <w:sz w:val="24"/>
          <w:szCs w:val="24"/>
        </w:rPr>
        <w:t xml:space="preserve"> Rehabilitation Counseling  Bulletin, </w:t>
      </w:r>
      <w:r w:rsidR="005D65D5" w:rsidRPr="002F31ED">
        <w:rPr>
          <w:rFonts w:ascii="Times New Roman" w:eastAsia="Calibri" w:hAnsi="Times New Roman" w:cs="Times New Roman"/>
          <w:color w:val="000000" w:themeColor="text1"/>
          <w:sz w:val="24"/>
          <w:szCs w:val="24"/>
        </w:rPr>
        <w:t>36</w:t>
      </w:r>
      <w:r w:rsidR="005D65D5" w:rsidRPr="00DD44EF">
        <w:rPr>
          <w:rFonts w:ascii="Times New Roman" w:eastAsia="Calibri" w:hAnsi="Times New Roman" w:cs="Times New Roman"/>
          <w:i/>
          <w:color w:val="000000" w:themeColor="text1"/>
          <w:sz w:val="24"/>
          <w:szCs w:val="24"/>
        </w:rPr>
        <w:t xml:space="preserve">, </w:t>
      </w:r>
      <w:r w:rsidR="005D65D5" w:rsidRPr="004357C5">
        <w:rPr>
          <w:rFonts w:ascii="Times New Roman" w:eastAsia="Calibri" w:hAnsi="Times New Roman" w:cs="Times New Roman"/>
          <w:color w:val="000000" w:themeColor="text1"/>
          <w:sz w:val="24"/>
          <w:szCs w:val="24"/>
        </w:rPr>
        <w:t>212-219.</w:t>
      </w:r>
    </w:p>
    <w:p w14:paraId="04A2D70A" w14:textId="77777777" w:rsidR="006E1CCF"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Leo, J., &amp; Goodwin, D.L. (2013).</w:t>
      </w:r>
      <w:r w:rsidR="004926D8" w:rsidRPr="00DD44EF">
        <w:rPr>
          <w:rFonts w:ascii="Times New Roman" w:eastAsia="Calibri" w:hAnsi="Times New Roman" w:cs="Times New Roman"/>
          <w:color w:val="000000" w:themeColor="text1"/>
          <w:sz w:val="24"/>
          <w:szCs w:val="24"/>
        </w:rPr>
        <w:t xml:space="preserve"> “Pedagogical reflections on the use of disability simulations in higher education”</w:t>
      </w:r>
      <w:r w:rsidR="002F31ED" w:rsidRPr="002F31ED">
        <w:rPr>
          <w:rFonts w:ascii="Times New Roman" w:eastAsia="Calibri" w:hAnsi="Times New Roman" w:cs="Times New Roman"/>
          <w:color w:val="000000" w:themeColor="text1"/>
          <w:sz w:val="24"/>
          <w:szCs w:val="24"/>
          <w:lang w:val="en-US"/>
        </w:rPr>
        <w:t>,</w:t>
      </w:r>
      <w:r w:rsidR="004926D8" w:rsidRPr="00DD44EF">
        <w:rPr>
          <w:rFonts w:ascii="Times New Roman" w:eastAsia="Calibri" w:hAnsi="Times New Roman" w:cs="Times New Roman"/>
          <w:color w:val="000000" w:themeColor="text1"/>
          <w:sz w:val="24"/>
          <w:szCs w:val="24"/>
        </w:rPr>
        <w:t xml:space="preserve"> </w:t>
      </w:r>
      <w:r w:rsidR="004926D8" w:rsidRPr="00DD44EF">
        <w:rPr>
          <w:rFonts w:ascii="Times New Roman" w:eastAsia="Calibri" w:hAnsi="Times New Roman" w:cs="Times New Roman"/>
          <w:i/>
          <w:color w:val="000000" w:themeColor="text1"/>
          <w:sz w:val="24"/>
          <w:szCs w:val="24"/>
        </w:rPr>
        <w:t>Journal of Teaching in Physical Education</w:t>
      </w:r>
      <w:r w:rsidR="004926D8" w:rsidRPr="00DD44EF">
        <w:rPr>
          <w:rFonts w:ascii="Times New Roman" w:eastAsia="Calibri" w:hAnsi="Times New Roman" w:cs="Times New Roman"/>
          <w:color w:val="000000" w:themeColor="text1"/>
          <w:sz w:val="24"/>
          <w:szCs w:val="24"/>
        </w:rPr>
        <w:t xml:space="preserve">, </w:t>
      </w:r>
      <w:r w:rsidR="004926D8" w:rsidRPr="002F31ED">
        <w:rPr>
          <w:rFonts w:ascii="Times New Roman" w:eastAsia="Calibri" w:hAnsi="Times New Roman" w:cs="Times New Roman"/>
          <w:color w:val="000000" w:themeColor="text1"/>
          <w:sz w:val="24"/>
          <w:szCs w:val="24"/>
        </w:rPr>
        <w:t>32,</w:t>
      </w:r>
      <w:r w:rsidR="004926D8" w:rsidRPr="00DD44EF">
        <w:rPr>
          <w:rFonts w:ascii="Times New Roman" w:eastAsia="Calibri" w:hAnsi="Times New Roman" w:cs="Times New Roman"/>
          <w:color w:val="000000" w:themeColor="text1"/>
          <w:sz w:val="24"/>
          <w:szCs w:val="24"/>
        </w:rPr>
        <w:t xml:space="preserve"> 460-472.</w:t>
      </w:r>
    </w:p>
    <w:p w14:paraId="76205453" w14:textId="77777777" w:rsidR="005D65D5" w:rsidRPr="00DD44EF" w:rsidRDefault="005D65D5"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Leyser, Y., Yogel, S., Wyland, S.</w:t>
      </w:r>
      <w:r w:rsidR="00926AD1" w:rsidRPr="00AE7290">
        <w:rPr>
          <w:rFonts w:ascii="Times New Roman" w:eastAsia="Calibri" w:hAnsi="Times New Roman" w:cs="Times New Roman"/>
          <w:color w:val="000000" w:themeColor="text1"/>
          <w:sz w:val="24"/>
          <w:szCs w:val="24"/>
          <w:lang w:val="en-US"/>
        </w:rPr>
        <w:t>,</w:t>
      </w:r>
      <w:r w:rsidRPr="00AE7290">
        <w:rPr>
          <w:rFonts w:ascii="Times New Roman" w:eastAsia="Calibri" w:hAnsi="Times New Roman" w:cs="Times New Roman"/>
          <w:color w:val="000000" w:themeColor="text1"/>
          <w:sz w:val="24"/>
          <w:szCs w:val="24"/>
        </w:rPr>
        <w:t xml:space="preserve"> &amp; Brulle, A. (1998). </w:t>
      </w:r>
      <w:r w:rsidR="00FA6A6D" w:rsidRPr="00AE7290">
        <w:rPr>
          <w:rFonts w:ascii="Times New Roman" w:eastAsia="Calibri" w:hAnsi="Times New Roman" w:cs="Times New Roman"/>
          <w:color w:val="000000" w:themeColor="text1"/>
          <w:sz w:val="24"/>
          <w:szCs w:val="24"/>
        </w:rPr>
        <w:t>“</w:t>
      </w:r>
      <w:r w:rsidRPr="00AE7290">
        <w:rPr>
          <w:rFonts w:ascii="Times New Roman" w:eastAsia="Calibri" w:hAnsi="Times New Roman" w:cs="Times New Roman"/>
          <w:color w:val="000000" w:themeColor="text1"/>
          <w:sz w:val="24"/>
          <w:szCs w:val="24"/>
        </w:rPr>
        <w:t>Faculty attitudes and</w:t>
      </w:r>
      <w:r w:rsidRPr="00DD44EF">
        <w:rPr>
          <w:rFonts w:ascii="Times New Roman" w:eastAsia="Calibri" w:hAnsi="Times New Roman" w:cs="Times New Roman"/>
          <w:color w:val="000000" w:themeColor="text1"/>
          <w:sz w:val="24"/>
          <w:szCs w:val="24"/>
        </w:rPr>
        <w:t xml:space="preserve"> practices regarding students with disabilities: Two decades afte</w:t>
      </w:r>
      <w:r w:rsidR="00FA6A6D" w:rsidRPr="00DD44EF">
        <w:rPr>
          <w:rFonts w:ascii="Times New Roman" w:eastAsia="Calibri" w:hAnsi="Times New Roman" w:cs="Times New Roman"/>
          <w:color w:val="000000" w:themeColor="text1"/>
          <w:sz w:val="24"/>
          <w:szCs w:val="24"/>
        </w:rPr>
        <w:t>r</w:t>
      </w:r>
      <w:r w:rsidR="002F31ED">
        <w:rPr>
          <w:rFonts w:ascii="Times New Roman" w:eastAsia="Calibri" w:hAnsi="Times New Roman" w:cs="Times New Roman"/>
          <w:color w:val="000000" w:themeColor="text1"/>
          <w:sz w:val="24"/>
          <w:szCs w:val="24"/>
        </w:rPr>
        <w:t xml:space="preserve"> implementation of Section 504”</w:t>
      </w:r>
      <w:r w:rsidR="002F31ED" w:rsidRPr="002F31ED">
        <w:rPr>
          <w:rFonts w:ascii="Times New Roman" w:eastAsia="Calibri" w:hAnsi="Times New Roman" w:cs="Times New Roman"/>
          <w:color w:val="000000" w:themeColor="text1"/>
          <w:sz w:val="24"/>
          <w:szCs w:val="24"/>
          <w:lang w:val="en-US"/>
        </w:rPr>
        <w:t>,</w:t>
      </w:r>
      <w:r w:rsidRPr="00DD44EF">
        <w:rPr>
          <w:rFonts w:ascii="Times New Roman" w:eastAsia="Calibri" w:hAnsi="Times New Roman" w:cs="Times New Roman"/>
          <w:color w:val="000000" w:themeColor="text1"/>
          <w:sz w:val="24"/>
          <w:szCs w:val="24"/>
        </w:rPr>
        <w:t xml:space="preserve"> </w:t>
      </w:r>
      <w:r w:rsidRPr="00DD44EF">
        <w:rPr>
          <w:rFonts w:ascii="Times New Roman" w:eastAsia="Calibri" w:hAnsi="Times New Roman" w:cs="Times New Roman"/>
          <w:i/>
          <w:color w:val="000000" w:themeColor="text1"/>
          <w:sz w:val="24"/>
          <w:szCs w:val="24"/>
        </w:rPr>
        <w:t>Journal of Pre</w:t>
      </w:r>
      <w:r w:rsidR="00FA6A6D" w:rsidRPr="00DD44EF">
        <w:rPr>
          <w:rFonts w:ascii="Times New Roman" w:eastAsia="Calibri" w:hAnsi="Times New Roman" w:cs="Times New Roman"/>
          <w:i/>
          <w:color w:val="000000" w:themeColor="text1"/>
          <w:sz w:val="24"/>
          <w:szCs w:val="24"/>
        </w:rPr>
        <w:t>-</w:t>
      </w:r>
      <w:r w:rsidRPr="00DD44EF">
        <w:rPr>
          <w:rFonts w:ascii="Times New Roman" w:eastAsia="Calibri" w:hAnsi="Times New Roman" w:cs="Times New Roman"/>
          <w:i/>
          <w:color w:val="000000" w:themeColor="text1"/>
          <w:sz w:val="24"/>
          <w:szCs w:val="24"/>
        </w:rPr>
        <w:t>secondary Education &amp; Disability</w:t>
      </w:r>
      <w:r w:rsidRPr="00DD44EF">
        <w:rPr>
          <w:rFonts w:ascii="Times New Roman" w:eastAsia="Calibri" w:hAnsi="Times New Roman" w:cs="Times New Roman"/>
          <w:color w:val="000000" w:themeColor="text1"/>
          <w:sz w:val="24"/>
          <w:szCs w:val="24"/>
        </w:rPr>
        <w:t xml:space="preserve">, </w:t>
      </w:r>
      <w:r w:rsidRPr="002F31ED">
        <w:rPr>
          <w:rFonts w:ascii="Times New Roman" w:eastAsia="Calibri" w:hAnsi="Times New Roman" w:cs="Times New Roman"/>
          <w:color w:val="000000" w:themeColor="text1"/>
          <w:sz w:val="24"/>
          <w:szCs w:val="24"/>
        </w:rPr>
        <w:t>13</w:t>
      </w:r>
      <w:r w:rsidRPr="00DD44EF">
        <w:rPr>
          <w:rFonts w:ascii="Times New Roman" w:eastAsia="Calibri" w:hAnsi="Times New Roman" w:cs="Times New Roman"/>
          <w:color w:val="000000" w:themeColor="text1"/>
          <w:sz w:val="24"/>
          <w:szCs w:val="24"/>
        </w:rPr>
        <w:t>(3), 5-19.</w:t>
      </w:r>
    </w:p>
    <w:p w14:paraId="514FEF1C"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lastRenderedPageBreak/>
        <w:t>Marini, I., Rogers, L., Slate, J., &amp; Vines, C. (1995).</w:t>
      </w:r>
      <w:r w:rsidR="005D65D5" w:rsidRPr="00AE7290">
        <w:rPr>
          <w:rFonts w:ascii="Times New Roman" w:eastAsia="Calibri" w:hAnsi="Times New Roman" w:cs="Times New Roman"/>
          <w:color w:val="000000" w:themeColor="text1"/>
          <w:sz w:val="24"/>
          <w:szCs w:val="24"/>
        </w:rPr>
        <w:t xml:space="preserve"> </w:t>
      </w:r>
      <w:r w:rsidR="00D46672" w:rsidRPr="00AE7290">
        <w:rPr>
          <w:rFonts w:ascii="Times New Roman" w:eastAsia="Calibri" w:hAnsi="Times New Roman" w:cs="Times New Roman"/>
          <w:color w:val="000000" w:themeColor="text1"/>
          <w:sz w:val="24"/>
          <w:szCs w:val="24"/>
        </w:rPr>
        <w:t>“</w:t>
      </w:r>
      <w:r w:rsidR="005D65D5" w:rsidRPr="00AE7290">
        <w:rPr>
          <w:rFonts w:ascii="Times New Roman" w:eastAsia="Calibri" w:hAnsi="Times New Roman" w:cs="Times New Roman"/>
          <w:color w:val="000000" w:themeColor="text1"/>
          <w:sz w:val="24"/>
          <w:szCs w:val="24"/>
        </w:rPr>
        <w:t>Self-esteem differences among</w:t>
      </w:r>
      <w:r w:rsidR="005D65D5" w:rsidRPr="00DD44EF">
        <w:rPr>
          <w:rFonts w:ascii="Times New Roman" w:eastAsia="Calibri" w:hAnsi="Times New Roman" w:cs="Times New Roman"/>
          <w:color w:val="000000" w:themeColor="text1"/>
          <w:sz w:val="24"/>
          <w:szCs w:val="24"/>
        </w:rPr>
        <w:t xml:space="preserve"> </w:t>
      </w:r>
      <w:r w:rsidR="00D46672" w:rsidRPr="00DD44EF">
        <w:rPr>
          <w:rFonts w:ascii="Times New Roman" w:eastAsia="Calibri" w:hAnsi="Times New Roman" w:cs="Times New Roman"/>
          <w:color w:val="000000" w:themeColor="text1"/>
          <w:sz w:val="24"/>
          <w:szCs w:val="24"/>
        </w:rPr>
        <w:t>persons with spinal cord injury”,</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Rehabilitation Counseling Bulletin</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38,</w:t>
      </w:r>
      <w:r w:rsidR="005D65D5" w:rsidRPr="00DD44EF">
        <w:rPr>
          <w:rFonts w:ascii="Times New Roman" w:eastAsia="Calibri" w:hAnsi="Times New Roman" w:cs="Times New Roman"/>
          <w:color w:val="000000" w:themeColor="text1"/>
          <w:sz w:val="24"/>
          <w:szCs w:val="24"/>
        </w:rPr>
        <w:t xml:space="preserve"> 198-206.</w:t>
      </w:r>
    </w:p>
    <w:p w14:paraId="0294E1DD"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Mitias, M.H. (1982).</w:t>
      </w:r>
      <w:r w:rsidR="005D65D5" w:rsidRPr="00DD44EF">
        <w:rPr>
          <w:rFonts w:ascii="Times New Roman" w:eastAsia="Calibri" w:hAnsi="Times New Roman" w:cs="Times New Roman"/>
          <w:color w:val="000000" w:themeColor="text1"/>
          <w:sz w:val="24"/>
          <w:szCs w:val="24"/>
        </w:rPr>
        <w:t xml:space="preserve"> </w:t>
      </w:r>
      <w:r w:rsidR="00D14547"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What makes a situation aesthetic?</w:t>
      </w:r>
      <w:r w:rsidR="00D14547"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Journal of Aesthetics and Art Criticism</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41</w:t>
      </w:r>
      <w:r w:rsidR="005D65D5" w:rsidRPr="00DD44EF">
        <w:rPr>
          <w:rFonts w:ascii="Times New Roman" w:eastAsia="Calibri" w:hAnsi="Times New Roman" w:cs="Times New Roman"/>
          <w:color w:val="000000" w:themeColor="text1"/>
          <w:sz w:val="24"/>
          <w:szCs w:val="24"/>
        </w:rPr>
        <w:t>(2), 157-169.</w:t>
      </w:r>
    </w:p>
    <w:p w14:paraId="24A982D9" w14:textId="17F8D714" w:rsidR="005D65D5" w:rsidRPr="00DD44EF" w:rsidRDefault="005D65D5"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Morris, J. (1991).</w:t>
      </w:r>
      <w:r w:rsidRPr="00DD44EF">
        <w:rPr>
          <w:rFonts w:ascii="Times New Roman" w:eastAsia="Calibri" w:hAnsi="Times New Roman" w:cs="Times New Roman"/>
          <w:color w:val="000000" w:themeColor="text1"/>
          <w:sz w:val="24"/>
          <w:szCs w:val="24"/>
        </w:rPr>
        <w:t xml:space="preserve"> </w:t>
      </w:r>
      <w:r w:rsidR="008C5E41">
        <w:rPr>
          <w:rFonts w:ascii="Times New Roman" w:eastAsia="Calibri" w:hAnsi="Times New Roman" w:cs="Times New Roman"/>
          <w:i/>
          <w:color w:val="000000" w:themeColor="text1"/>
          <w:sz w:val="24"/>
          <w:szCs w:val="24"/>
        </w:rPr>
        <w:t>Pride a</w:t>
      </w:r>
      <w:r w:rsidRPr="00DD44EF">
        <w:rPr>
          <w:rFonts w:ascii="Times New Roman" w:eastAsia="Calibri" w:hAnsi="Times New Roman" w:cs="Times New Roman"/>
          <w:i/>
          <w:color w:val="000000" w:themeColor="text1"/>
          <w:sz w:val="24"/>
          <w:szCs w:val="24"/>
        </w:rPr>
        <w:t>gainst Prejudice: Transforming Attitudes to Disability</w:t>
      </w:r>
      <w:r w:rsidRPr="00DD44EF">
        <w:rPr>
          <w:rFonts w:ascii="Times New Roman" w:eastAsia="Calibri" w:hAnsi="Times New Roman" w:cs="Times New Roman"/>
          <w:color w:val="000000" w:themeColor="text1"/>
          <w:sz w:val="24"/>
          <w:szCs w:val="24"/>
        </w:rPr>
        <w:t>.  London: The Women’s Press.</w:t>
      </w:r>
    </w:p>
    <w:p w14:paraId="160D9514" w14:textId="77777777" w:rsidR="0019639D" w:rsidRPr="00DD44EF" w:rsidRDefault="0019639D"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Oliver, M.</w:t>
      </w:r>
      <w:r w:rsidR="005E49E6" w:rsidRPr="00AE7290">
        <w:rPr>
          <w:rFonts w:ascii="Times New Roman" w:eastAsia="Calibri" w:hAnsi="Times New Roman" w:cs="Times New Roman"/>
          <w:color w:val="000000" w:themeColor="text1"/>
          <w:sz w:val="24"/>
          <w:szCs w:val="24"/>
        </w:rPr>
        <w:t>,</w:t>
      </w:r>
      <w:r w:rsidRPr="00AE7290">
        <w:rPr>
          <w:rFonts w:ascii="Times New Roman" w:eastAsia="Calibri" w:hAnsi="Times New Roman" w:cs="Times New Roman"/>
          <w:color w:val="000000" w:themeColor="text1"/>
          <w:sz w:val="24"/>
          <w:szCs w:val="24"/>
        </w:rPr>
        <w:t xml:space="preserve"> &amp; Barnes, C. (1998).</w:t>
      </w:r>
      <w:r w:rsidRPr="00DD44EF">
        <w:rPr>
          <w:rFonts w:ascii="Times New Roman" w:eastAsia="Calibri" w:hAnsi="Times New Roman" w:cs="Times New Roman"/>
          <w:color w:val="000000" w:themeColor="text1"/>
          <w:sz w:val="24"/>
          <w:szCs w:val="24"/>
        </w:rPr>
        <w:t xml:space="preserve"> </w:t>
      </w:r>
      <w:r w:rsidRPr="00DD44EF">
        <w:rPr>
          <w:rFonts w:ascii="Times New Roman" w:eastAsia="Calibri" w:hAnsi="Times New Roman" w:cs="Times New Roman"/>
          <w:i/>
          <w:color w:val="000000" w:themeColor="text1"/>
          <w:sz w:val="24"/>
          <w:szCs w:val="24"/>
        </w:rPr>
        <w:t>Disabled People and Social Policy: From Exclusion to Inclusion</w:t>
      </w:r>
      <w:r w:rsidRPr="00DD44EF">
        <w:rPr>
          <w:rFonts w:ascii="Times New Roman" w:eastAsia="Calibri" w:hAnsi="Times New Roman" w:cs="Times New Roman"/>
          <w:color w:val="000000" w:themeColor="text1"/>
          <w:sz w:val="24"/>
          <w:szCs w:val="24"/>
        </w:rPr>
        <w:t>. Essex: Addison Wesley Longman.</w:t>
      </w:r>
    </w:p>
    <w:p w14:paraId="221CED5E" w14:textId="77777777" w:rsidR="004F473E"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Oliver, M. (1992).</w:t>
      </w:r>
      <w:r w:rsidR="00D330C5" w:rsidRPr="00DD44EF">
        <w:rPr>
          <w:rFonts w:ascii="Times New Roman" w:eastAsia="Calibri" w:hAnsi="Times New Roman" w:cs="Times New Roman"/>
          <w:color w:val="000000" w:themeColor="text1"/>
          <w:sz w:val="24"/>
          <w:szCs w:val="24"/>
        </w:rPr>
        <w:t xml:space="preserve"> “Changing the social relations of research production”</w:t>
      </w:r>
      <w:r w:rsidR="002F31ED" w:rsidRPr="002F31ED">
        <w:rPr>
          <w:rFonts w:ascii="Times New Roman" w:eastAsia="Calibri" w:hAnsi="Times New Roman" w:cs="Times New Roman"/>
          <w:color w:val="000000" w:themeColor="text1"/>
          <w:sz w:val="24"/>
          <w:szCs w:val="24"/>
          <w:lang w:val="en-US"/>
        </w:rPr>
        <w:t>,</w:t>
      </w:r>
      <w:r w:rsidR="00D330C5" w:rsidRPr="00DD44EF">
        <w:rPr>
          <w:rFonts w:ascii="Times New Roman" w:eastAsia="Calibri" w:hAnsi="Times New Roman" w:cs="Times New Roman"/>
          <w:color w:val="000000" w:themeColor="text1"/>
          <w:sz w:val="24"/>
          <w:szCs w:val="24"/>
        </w:rPr>
        <w:t xml:space="preserve"> </w:t>
      </w:r>
      <w:r w:rsidR="006D4953" w:rsidRPr="00DD44EF">
        <w:rPr>
          <w:rFonts w:ascii="Times New Roman" w:eastAsia="Calibri" w:hAnsi="Times New Roman" w:cs="Times New Roman"/>
          <w:i/>
          <w:color w:val="000000" w:themeColor="text1"/>
          <w:sz w:val="24"/>
          <w:szCs w:val="24"/>
        </w:rPr>
        <w:t>Disability, Handicap &amp; Society</w:t>
      </w:r>
      <w:r w:rsidR="006D4953" w:rsidRPr="00DD44EF">
        <w:rPr>
          <w:rFonts w:ascii="Times New Roman" w:eastAsia="Calibri" w:hAnsi="Times New Roman" w:cs="Times New Roman"/>
          <w:color w:val="000000" w:themeColor="text1"/>
          <w:sz w:val="24"/>
          <w:szCs w:val="24"/>
        </w:rPr>
        <w:t xml:space="preserve">, </w:t>
      </w:r>
      <w:r w:rsidR="006D4953" w:rsidRPr="002F31ED">
        <w:rPr>
          <w:rFonts w:ascii="Times New Roman" w:eastAsia="Calibri" w:hAnsi="Times New Roman" w:cs="Times New Roman"/>
          <w:color w:val="000000" w:themeColor="text1"/>
          <w:sz w:val="24"/>
          <w:szCs w:val="24"/>
        </w:rPr>
        <w:t>7</w:t>
      </w:r>
      <w:r w:rsidR="006D4953" w:rsidRPr="00DD44EF">
        <w:rPr>
          <w:rFonts w:ascii="Times New Roman" w:eastAsia="Calibri" w:hAnsi="Times New Roman" w:cs="Times New Roman"/>
          <w:color w:val="000000" w:themeColor="text1"/>
          <w:sz w:val="24"/>
          <w:szCs w:val="24"/>
        </w:rPr>
        <w:t>(2), 101-114.</w:t>
      </w:r>
    </w:p>
    <w:p w14:paraId="4ACB0577"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Orlansky, M.D. (1979).</w:t>
      </w:r>
      <w:r w:rsidR="005D65D5" w:rsidRPr="00DD44EF">
        <w:rPr>
          <w:rFonts w:ascii="Times New Roman" w:eastAsia="Calibri" w:hAnsi="Times New Roman" w:cs="Times New Roman"/>
          <w:color w:val="000000" w:themeColor="text1"/>
          <w:sz w:val="24"/>
          <w:szCs w:val="24"/>
        </w:rPr>
        <w:t xml:space="preserve"> </w:t>
      </w:r>
      <w:r w:rsidR="00DC0EE0"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Active learning and student attitu</w:t>
      </w:r>
      <w:r w:rsidR="00DC0EE0" w:rsidRPr="00DD44EF">
        <w:rPr>
          <w:rFonts w:ascii="Times New Roman" w:eastAsia="Calibri" w:hAnsi="Times New Roman" w:cs="Times New Roman"/>
          <w:color w:val="000000" w:themeColor="text1"/>
          <w:sz w:val="24"/>
          <w:szCs w:val="24"/>
        </w:rPr>
        <w:t>des toward exceptional children”</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Exceptional Children</w:t>
      </w:r>
      <w:r w:rsidR="005D65D5" w:rsidRPr="004357C5">
        <w:rPr>
          <w:rFonts w:ascii="Times New Roman" w:eastAsia="Calibri" w:hAnsi="Times New Roman" w:cs="Times New Roman"/>
          <w:i/>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46</w:t>
      </w:r>
      <w:r w:rsidR="005D65D5" w:rsidRPr="004357C5">
        <w:rPr>
          <w:rFonts w:ascii="Times New Roman" w:eastAsia="Calibri" w:hAnsi="Times New Roman" w:cs="Times New Roman"/>
          <w:i/>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49-52.</w:t>
      </w:r>
    </w:p>
    <w:p w14:paraId="699D89A8" w14:textId="77777777" w:rsidR="0019639D" w:rsidRPr="00DD44EF" w:rsidRDefault="0019639D"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Osborne, J.F. (1998).</w:t>
      </w:r>
      <w:r w:rsidRPr="00DD44EF">
        <w:rPr>
          <w:rFonts w:ascii="Times New Roman" w:eastAsia="Calibri" w:hAnsi="Times New Roman" w:cs="Times New Roman"/>
          <w:color w:val="000000" w:themeColor="text1"/>
          <w:sz w:val="24"/>
          <w:szCs w:val="24"/>
        </w:rPr>
        <w:t xml:space="preserve"> “Constructivism in museums: A response”, </w:t>
      </w:r>
      <w:r w:rsidRPr="00DD44EF">
        <w:rPr>
          <w:rFonts w:ascii="Times New Roman" w:eastAsia="Calibri" w:hAnsi="Times New Roman" w:cs="Times New Roman"/>
          <w:i/>
          <w:color w:val="000000" w:themeColor="text1"/>
          <w:sz w:val="24"/>
          <w:szCs w:val="24"/>
        </w:rPr>
        <w:t>The Journal of Museum Education</w:t>
      </w:r>
      <w:r w:rsidRPr="00DD44EF">
        <w:rPr>
          <w:rFonts w:ascii="Times New Roman" w:eastAsia="Calibri" w:hAnsi="Times New Roman" w:cs="Times New Roman"/>
          <w:color w:val="000000" w:themeColor="text1"/>
          <w:sz w:val="24"/>
          <w:szCs w:val="24"/>
        </w:rPr>
        <w:t>, 23(1), 8-9.</w:t>
      </w:r>
    </w:p>
    <w:p w14:paraId="5BB6F3A8" w14:textId="77777777" w:rsidR="005D65D5" w:rsidRPr="00DD44EF" w:rsidRDefault="00D14547"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Parsons, M.J. (1990).</w:t>
      </w:r>
      <w:r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color w:val="000000" w:themeColor="text1"/>
          <w:sz w:val="24"/>
          <w:szCs w:val="24"/>
        </w:rPr>
        <w:t>Aesthetic literacy: The psy</w:t>
      </w:r>
      <w:r w:rsidRPr="00DD44EF">
        <w:rPr>
          <w:rFonts w:ascii="Times New Roman" w:eastAsia="Calibri" w:hAnsi="Times New Roman" w:cs="Times New Roman"/>
          <w:color w:val="000000" w:themeColor="text1"/>
          <w:sz w:val="24"/>
          <w:szCs w:val="24"/>
        </w:rPr>
        <w:t>chological context”,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Journal of Aesthetic Education</w:t>
      </w:r>
      <w:r w:rsidR="002059A0" w:rsidRPr="00DD44EF">
        <w:rPr>
          <w:rFonts w:ascii="Times New Roman" w:eastAsia="Calibri" w:hAnsi="Times New Roman" w:cs="Times New Roman"/>
          <w:color w:val="000000" w:themeColor="text1"/>
          <w:sz w:val="24"/>
          <w:szCs w:val="24"/>
        </w:rPr>
        <w:t>, 24(1),</w:t>
      </w:r>
      <w:r w:rsidR="005D65D5" w:rsidRPr="00DD44EF">
        <w:rPr>
          <w:rFonts w:ascii="Times New Roman" w:eastAsia="Calibri" w:hAnsi="Times New Roman" w:cs="Times New Roman"/>
          <w:color w:val="000000" w:themeColor="text1"/>
          <w:sz w:val="24"/>
          <w:szCs w:val="24"/>
        </w:rPr>
        <w:t xml:space="preserve"> 135-146.</w:t>
      </w:r>
    </w:p>
    <w:p w14:paraId="14AE5704" w14:textId="77777777" w:rsidR="005D65D5" w:rsidRPr="00DD44EF" w:rsidRDefault="005D65D5"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 xml:space="preserve">Patterson, P.E. (1980). </w:t>
      </w:r>
      <w:r w:rsidR="00FA6A6D" w:rsidRPr="00AE7290">
        <w:rPr>
          <w:rFonts w:ascii="Times New Roman" w:eastAsia="Calibri" w:hAnsi="Times New Roman" w:cs="Times New Roman"/>
          <w:color w:val="000000" w:themeColor="text1"/>
          <w:sz w:val="24"/>
          <w:szCs w:val="24"/>
        </w:rPr>
        <w:t>“</w:t>
      </w:r>
      <w:r w:rsidRPr="00AE7290">
        <w:rPr>
          <w:rFonts w:ascii="Times New Roman" w:eastAsia="Calibri" w:hAnsi="Times New Roman" w:cs="Times New Roman"/>
          <w:color w:val="000000" w:themeColor="text1"/>
          <w:sz w:val="24"/>
          <w:szCs w:val="24"/>
        </w:rPr>
        <w:t>Simulations</w:t>
      </w:r>
      <w:r w:rsidRPr="00DD44EF">
        <w:rPr>
          <w:rFonts w:ascii="Times New Roman" w:eastAsia="Calibri" w:hAnsi="Times New Roman" w:cs="Times New Roman"/>
          <w:color w:val="000000" w:themeColor="text1"/>
          <w:sz w:val="24"/>
          <w:szCs w:val="24"/>
        </w:rPr>
        <w:t xml:space="preserve"> in therapeut</w:t>
      </w:r>
      <w:r w:rsidR="00FA6A6D" w:rsidRPr="00DD44EF">
        <w:rPr>
          <w:rFonts w:ascii="Times New Roman" w:eastAsia="Calibri" w:hAnsi="Times New Roman" w:cs="Times New Roman"/>
          <w:color w:val="000000" w:themeColor="text1"/>
          <w:sz w:val="24"/>
          <w:szCs w:val="24"/>
        </w:rPr>
        <w:t>ic recreation training programs”</w:t>
      </w:r>
      <w:r w:rsidR="002F31ED" w:rsidRPr="002F31ED">
        <w:rPr>
          <w:rFonts w:ascii="Times New Roman" w:eastAsia="Calibri" w:hAnsi="Times New Roman" w:cs="Times New Roman"/>
          <w:color w:val="000000" w:themeColor="text1"/>
          <w:sz w:val="24"/>
          <w:szCs w:val="24"/>
          <w:lang w:val="en-US"/>
        </w:rPr>
        <w:t>,</w:t>
      </w:r>
      <w:r w:rsidRPr="00DD44EF">
        <w:rPr>
          <w:rFonts w:ascii="Times New Roman" w:eastAsia="Calibri" w:hAnsi="Times New Roman" w:cs="Times New Roman"/>
          <w:color w:val="000000" w:themeColor="text1"/>
          <w:sz w:val="24"/>
          <w:szCs w:val="24"/>
        </w:rPr>
        <w:t xml:space="preserve"> </w:t>
      </w:r>
      <w:r w:rsidRPr="00DD44EF">
        <w:rPr>
          <w:rFonts w:ascii="Times New Roman" w:eastAsia="Calibri" w:hAnsi="Times New Roman" w:cs="Times New Roman"/>
          <w:i/>
          <w:color w:val="000000" w:themeColor="text1"/>
          <w:sz w:val="24"/>
          <w:szCs w:val="24"/>
        </w:rPr>
        <w:t>Therapeutic Recreation Journal</w:t>
      </w:r>
      <w:r w:rsidRPr="00DD44EF">
        <w:rPr>
          <w:rFonts w:ascii="Times New Roman" w:eastAsia="Calibri" w:hAnsi="Times New Roman" w:cs="Times New Roman"/>
          <w:color w:val="000000" w:themeColor="text1"/>
          <w:sz w:val="24"/>
          <w:szCs w:val="24"/>
        </w:rPr>
        <w:t xml:space="preserve">, </w:t>
      </w:r>
      <w:r w:rsidRPr="002F31ED">
        <w:rPr>
          <w:rFonts w:ascii="Times New Roman" w:eastAsia="Calibri" w:hAnsi="Times New Roman" w:cs="Times New Roman"/>
          <w:color w:val="000000" w:themeColor="text1"/>
          <w:sz w:val="24"/>
          <w:szCs w:val="24"/>
        </w:rPr>
        <w:t>14,</w:t>
      </w:r>
      <w:r w:rsidRPr="00DD44EF">
        <w:rPr>
          <w:rFonts w:ascii="Times New Roman" w:eastAsia="Calibri" w:hAnsi="Times New Roman" w:cs="Times New Roman"/>
          <w:color w:val="000000" w:themeColor="text1"/>
          <w:sz w:val="24"/>
          <w:szCs w:val="24"/>
        </w:rPr>
        <w:t xml:space="preserve"> 15-20.</w:t>
      </w:r>
    </w:p>
    <w:p w14:paraId="7F4CE5E7" w14:textId="77777777" w:rsidR="004F473E" w:rsidRPr="00DD44EF" w:rsidRDefault="004F473E"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Peas</w:t>
      </w:r>
      <w:r w:rsidR="006D4953" w:rsidRPr="00AE7290">
        <w:rPr>
          <w:rFonts w:ascii="Times New Roman" w:eastAsia="Calibri" w:hAnsi="Times New Roman" w:cs="Times New Roman"/>
          <w:color w:val="000000" w:themeColor="text1"/>
          <w:sz w:val="24"/>
          <w:szCs w:val="24"/>
        </w:rPr>
        <w:t>e, B. (2010).</w:t>
      </w:r>
      <w:r w:rsidR="006D4953" w:rsidRPr="00DD44EF">
        <w:rPr>
          <w:rFonts w:ascii="Times New Roman" w:eastAsia="Calibri" w:hAnsi="Times New Roman" w:cs="Times New Roman"/>
          <w:color w:val="000000" w:themeColor="text1"/>
          <w:sz w:val="24"/>
          <w:szCs w:val="24"/>
        </w:rPr>
        <w:t xml:space="preserve"> </w:t>
      </w:r>
      <w:r w:rsidR="006D4953" w:rsidRPr="00DD44EF">
        <w:rPr>
          <w:rFonts w:ascii="Times New Roman" w:eastAsia="Calibri" w:hAnsi="Times New Roman" w:cs="Times New Roman"/>
          <w:i/>
          <w:color w:val="000000" w:themeColor="text1"/>
          <w:sz w:val="24"/>
          <w:szCs w:val="24"/>
        </w:rPr>
        <w:t>Undoing Privilege: Unearned Advantage in a Divided Wo</w:t>
      </w:r>
      <w:r w:rsidR="006D4953" w:rsidRPr="00DD44EF">
        <w:rPr>
          <w:rFonts w:ascii="Times New Roman" w:eastAsia="Calibri" w:hAnsi="Times New Roman" w:cs="Times New Roman"/>
          <w:color w:val="000000" w:themeColor="text1"/>
          <w:sz w:val="24"/>
          <w:szCs w:val="24"/>
        </w:rPr>
        <w:t>rld. New York: Zed Books.</w:t>
      </w:r>
    </w:p>
    <w:p w14:paraId="441CCAA0" w14:textId="77777777" w:rsidR="004F473E" w:rsidRPr="00DD44EF" w:rsidRDefault="004F473E" w:rsidP="00623558">
      <w:pPr>
        <w:spacing w:after="0" w:line="23" w:lineRule="atLeast"/>
        <w:ind w:left="720" w:hanging="720"/>
        <w:rPr>
          <w:rFonts w:ascii="Times New Roman" w:eastAsia="Calibri" w:hAnsi="Times New Roman" w:cs="Times New Roman"/>
          <w:color w:val="000000" w:themeColor="text1"/>
          <w:sz w:val="24"/>
          <w:szCs w:val="24"/>
          <w:lang w:val="en-US"/>
        </w:rPr>
      </w:pPr>
      <w:r w:rsidRPr="00AE7290">
        <w:rPr>
          <w:rFonts w:ascii="Times New Roman" w:eastAsia="Calibri" w:hAnsi="Times New Roman" w:cs="Times New Roman"/>
          <w:color w:val="000000" w:themeColor="text1"/>
          <w:sz w:val="24"/>
          <w:szCs w:val="24"/>
          <w:lang w:val="en-US"/>
        </w:rPr>
        <w:t>Pepperell, R. (2006).</w:t>
      </w:r>
      <w:r w:rsidRPr="00DD44EF">
        <w:rPr>
          <w:rFonts w:ascii="Times New Roman" w:eastAsia="Calibri" w:hAnsi="Times New Roman" w:cs="Times New Roman"/>
          <w:color w:val="000000" w:themeColor="text1"/>
          <w:sz w:val="24"/>
          <w:szCs w:val="24"/>
          <w:lang w:val="en-US"/>
        </w:rPr>
        <w:t xml:space="preserve"> “Seeing without objects: Visual indeterminacy and art”, </w:t>
      </w:r>
      <w:r w:rsidRPr="00DD44EF">
        <w:rPr>
          <w:rFonts w:ascii="Times New Roman" w:eastAsia="Calibri" w:hAnsi="Times New Roman" w:cs="Times New Roman"/>
          <w:i/>
          <w:color w:val="000000" w:themeColor="text1"/>
          <w:sz w:val="24"/>
          <w:szCs w:val="24"/>
          <w:lang w:val="en-US"/>
        </w:rPr>
        <w:t>Leonardo</w:t>
      </w:r>
      <w:r w:rsidRPr="00DD44EF">
        <w:rPr>
          <w:rFonts w:ascii="Times New Roman" w:eastAsia="Calibri" w:hAnsi="Times New Roman" w:cs="Times New Roman"/>
          <w:color w:val="000000" w:themeColor="text1"/>
          <w:sz w:val="24"/>
          <w:szCs w:val="24"/>
          <w:lang w:val="en-US"/>
        </w:rPr>
        <w:t xml:space="preserve"> 39 (5) 394–400.</w:t>
      </w:r>
      <w:r w:rsidR="00E76519" w:rsidRPr="00DD44EF">
        <w:rPr>
          <w:rFonts w:ascii="Times New Roman" w:eastAsia="Calibri" w:hAnsi="Times New Roman" w:cs="Times New Roman"/>
          <w:color w:val="000000" w:themeColor="text1"/>
          <w:sz w:val="24"/>
          <w:szCs w:val="24"/>
          <w:lang w:val="en-US"/>
        </w:rPr>
        <w:t xml:space="preserve"> </w:t>
      </w:r>
    </w:p>
    <w:p w14:paraId="1F9631C5"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Pernice, R., &amp; Lys, K. (1996).</w:t>
      </w:r>
      <w:r w:rsidR="005D65D5" w:rsidRPr="00DD44EF">
        <w:rPr>
          <w:rFonts w:ascii="Times New Roman" w:eastAsia="Calibri" w:hAnsi="Times New Roman" w:cs="Times New Roman"/>
          <w:color w:val="000000" w:themeColor="text1"/>
          <w:sz w:val="24"/>
          <w:szCs w:val="24"/>
        </w:rPr>
        <w:t xml:space="preserve"> </w:t>
      </w:r>
      <w:r w:rsidR="0086398D"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Interventions for attitude change towards people with disabilities. How successful are they?</w:t>
      </w:r>
      <w:r w:rsidR="0086398D" w:rsidRPr="00DD44EF">
        <w:rPr>
          <w:rFonts w:ascii="Times New Roman" w:eastAsia="Calibri" w:hAnsi="Times New Roman" w:cs="Times New Roman"/>
          <w:color w:val="000000" w:themeColor="text1"/>
          <w:sz w:val="24"/>
          <w:szCs w:val="24"/>
        </w:rPr>
        <w:t>”</w:t>
      </w:r>
      <w:r w:rsidR="00AE7290" w:rsidRPr="00971083">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International Journal of Rehabilitation Research</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19</w:t>
      </w:r>
      <w:r w:rsidR="005D65D5" w:rsidRPr="005C0D41">
        <w:rPr>
          <w:rFonts w:ascii="Times New Roman" w:eastAsia="Calibri" w:hAnsi="Times New Roman" w:cs="Times New Roman"/>
          <w:i/>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171-174.</w:t>
      </w:r>
    </w:p>
    <w:p w14:paraId="60001DA5"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Pfeiffer, D. (1989).</w:t>
      </w:r>
      <w:r w:rsidR="005D65D5" w:rsidRPr="00DD44EF">
        <w:rPr>
          <w:rFonts w:ascii="Times New Roman" w:eastAsia="Calibri" w:hAnsi="Times New Roman" w:cs="Times New Roman"/>
          <w:color w:val="000000" w:themeColor="text1"/>
          <w:sz w:val="24"/>
          <w:szCs w:val="24"/>
        </w:rPr>
        <w:t xml:space="preserve"> </w:t>
      </w:r>
      <w:r w:rsidR="006E1CCF"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Disability simulat</w:t>
      </w:r>
      <w:r w:rsidR="006E1CCF" w:rsidRPr="00DD44EF">
        <w:rPr>
          <w:rFonts w:ascii="Times New Roman" w:eastAsia="Calibri" w:hAnsi="Times New Roman" w:cs="Times New Roman"/>
          <w:color w:val="000000" w:themeColor="text1"/>
          <w:sz w:val="24"/>
          <w:szCs w:val="24"/>
        </w:rPr>
        <w:t>ion using a wheelchair exercise”</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Journal of Post-Secondary Education &amp; Disability</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7</w:t>
      </w:r>
      <w:r w:rsidR="005D65D5" w:rsidRPr="00230945">
        <w:rPr>
          <w:rFonts w:ascii="Times New Roman" w:eastAsia="Calibri" w:hAnsi="Times New Roman" w:cs="Times New Roman"/>
          <w:i/>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171-174.</w:t>
      </w:r>
    </w:p>
    <w:p w14:paraId="7F7E1CED" w14:textId="77777777" w:rsidR="005D65D5" w:rsidRPr="00DD44EF" w:rsidRDefault="005D65D5"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Price, K. (</w:t>
      </w:r>
      <w:r w:rsidR="004926D8" w:rsidRPr="00AE7290">
        <w:rPr>
          <w:rFonts w:ascii="Times New Roman" w:eastAsia="Calibri" w:hAnsi="Times New Roman" w:cs="Times New Roman"/>
          <w:color w:val="000000" w:themeColor="text1"/>
          <w:sz w:val="24"/>
          <w:szCs w:val="24"/>
        </w:rPr>
        <w:t>1979</w:t>
      </w:r>
      <w:r w:rsidRPr="00AE7290">
        <w:rPr>
          <w:rFonts w:ascii="Times New Roman" w:eastAsia="Calibri" w:hAnsi="Times New Roman" w:cs="Times New Roman"/>
          <w:color w:val="000000" w:themeColor="text1"/>
          <w:sz w:val="24"/>
          <w:szCs w:val="24"/>
        </w:rPr>
        <w:t>)</w:t>
      </w:r>
      <w:r w:rsidR="004926D8" w:rsidRPr="00AE7290">
        <w:rPr>
          <w:rFonts w:ascii="Times New Roman" w:eastAsia="Calibri" w:hAnsi="Times New Roman" w:cs="Times New Roman"/>
          <w:color w:val="000000" w:themeColor="text1"/>
          <w:sz w:val="24"/>
          <w:szCs w:val="24"/>
        </w:rPr>
        <w:t>. “What</w:t>
      </w:r>
      <w:r w:rsidR="004926D8" w:rsidRPr="00DD44EF">
        <w:rPr>
          <w:rFonts w:ascii="Times New Roman" w:eastAsia="Calibri" w:hAnsi="Times New Roman" w:cs="Times New Roman"/>
          <w:color w:val="000000" w:themeColor="text1"/>
          <w:sz w:val="24"/>
          <w:szCs w:val="24"/>
        </w:rPr>
        <w:t xml:space="preserve"> makes a situation aesthetic”, </w:t>
      </w:r>
      <w:r w:rsidR="004926D8" w:rsidRPr="00926AD1">
        <w:rPr>
          <w:rFonts w:ascii="Times New Roman" w:eastAsia="Calibri" w:hAnsi="Times New Roman" w:cs="Times New Roman"/>
          <w:i/>
          <w:color w:val="000000" w:themeColor="text1"/>
          <w:sz w:val="24"/>
          <w:szCs w:val="24"/>
        </w:rPr>
        <w:t xml:space="preserve">British Journal of Aesthetics, </w:t>
      </w:r>
      <w:r w:rsidR="004926D8" w:rsidRPr="002F31ED">
        <w:rPr>
          <w:rFonts w:ascii="Times New Roman" w:eastAsia="Calibri" w:hAnsi="Times New Roman" w:cs="Times New Roman"/>
          <w:color w:val="000000" w:themeColor="text1"/>
          <w:sz w:val="24"/>
          <w:szCs w:val="24"/>
        </w:rPr>
        <w:t xml:space="preserve">19, </w:t>
      </w:r>
      <w:r w:rsidR="004926D8" w:rsidRPr="00DD44EF">
        <w:rPr>
          <w:rFonts w:ascii="Times New Roman" w:eastAsia="Calibri" w:hAnsi="Times New Roman" w:cs="Times New Roman"/>
          <w:color w:val="000000" w:themeColor="text1"/>
          <w:sz w:val="24"/>
          <w:szCs w:val="24"/>
        </w:rPr>
        <w:t>131-143.</w:t>
      </w:r>
    </w:p>
    <w:p w14:paraId="2428B612"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Randel, J., Morris, B., Wetzel, C.D., &amp; Whitehill, B. (1992).</w:t>
      </w:r>
      <w:r w:rsidR="005D65D5" w:rsidRPr="00DD44EF">
        <w:rPr>
          <w:rFonts w:ascii="Times New Roman" w:eastAsia="Calibri" w:hAnsi="Times New Roman" w:cs="Times New Roman"/>
          <w:color w:val="000000" w:themeColor="text1"/>
          <w:sz w:val="24"/>
          <w:szCs w:val="24"/>
        </w:rPr>
        <w:t xml:space="preserve"> </w:t>
      </w:r>
      <w:r w:rsidR="00FA6A6D"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The effectiveness of games for educational purpos</w:t>
      </w:r>
      <w:r w:rsidR="00FA6A6D" w:rsidRPr="00DD44EF">
        <w:rPr>
          <w:rFonts w:ascii="Times New Roman" w:eastAsia="Calibri" w:hAnsi="Times New Roman" w:cs="Times New Roman"/>
          <w:color w:val="000000" w:themeColor="text1"/>
          <w:sz w:val="24"/>
          <w:szCs w:val="24"/>
        </w:rPr>
        <w:t>es: A review of recent research”</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Simulations &amp; Gaming</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23</w:t>
      </w:r>
      <w:r w:rsidR="005D65D5" w:rsidRPr="00DD44EF">
        <w:rPr>
          <w:rFonts w:ascii="Times New Roman" w:eastAsia="Calibri" w:hAnsi="Times New Roman" w:cs="Times New Roman"/>
          <w:color w:val="000000" w:themeColor="text1"/>
          <w:sz w:val="24"/>
          <w:szCs w:val="24"/>
        </w:rPr>
        <w:t>(3), 261-276.</w:t>
      </w:r>
    </w:p>
    <w:p w14:paraId="48DDA1B0"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Reynolds, R. (1991).</w:t>
      </w:r>
      <w:r w:rsidR="005D65D5" w:rsidRPr="00DD44EF">
        <w:rPr>
          <w:rFonts w:ascii="Times New Roman" w:eastAsia="Calibri" w:hAnsi="Times New Roman" w:cs="Times New Roman"/>
          <w:color w:val="000000" w:themeColor="text1"/>
          <w:sz w:val="24"/>
          <w:szCs w:val="24"/>
        </w:rPr>
        <w:t xml:space="preserve"> </w:t>
      </w:r>
      <w:r w:rsidR="00D46672" w:rsidRPr="00DD44EF">
        <w:rPr>
          <w:rFonts w:ascii="Times New Roman" w:eastAsia="Calibri" w:hAnsi="Times New Roman" w:cs="Times New Roman"/>
          <w:color w:val="000000" w:themeColor="text1"/>
          <w:sz w:val="24"/>
          <w:szCs w:val="24"/>
        </w:rPr>
        <w:t>“Revenge of the wheelchair users”,</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Disability Now</w:t>
      </w:r>
      <w:r w:rsidR="005D65D5" w:rsidRPr="00DD44EF">
        <w:rPr>
          <w:rFonts w:ascii="Times New Roman" w:eastAsia="Calibri" w:hAnsi="Times New Roman" w:cs="Times New Roman"/>
          <w:color w:val="000000" w:themeColor="text1"/>
          <w:sz w:val="24"/>
          <w:szCs w:val="24"/>
        </w:rPr>
        <w:t xml:space="preserve">, </w:t>
      </w:r>
      <w:r w:rsidR="00D46672"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August</w:t>
      </w:r>
      <w:r w:rsidR="00D46672"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color w:val="000000" w:themeColor="text1"/>
          <w:sz w:val="24"/>
          <w:szCs w:val="24"/>
        </w:rPr>
        <w:t>5.</w:t>
      </w:r>
    </w:p>
    <w:p w14:paraId="7990ABE9" w14:textId="77777777" w:rsidR="00614E39" w:rsidRPr="00DD44EF" w:rsidRDefault="00614E39"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Rice, D. (1989</w:t>
      </w:r>
      <w:r w:rsidRPr="00DD44EF">
        <w:rPr>
          <w:rFonts w:ascii="Times New Roman" w:eastAsia="Calibri" w:hAnsi="Times New Roman" w:cs="Times New Roman"/>
          <w:color w:val="000000" w:themeColor="text1"/>
          <w:sz w:val="24"/>
          <w:szCs w:val="24"/>
        </w:rPr>
        <w:t xml:space="preserve">). “Constructing informed practice”, </w:t>
      </w:r>
      <w:r w:rsidRPr="00DD44EF">
        <w:rPr>
          <w:rFonts w:ascii="Times New Roman" w:eastAsia="Calibri" w:hAnsi="Times New Roman" w:cs="Times New Roman"/>
          <w:i/>
          <w:color w:val="000000" w:themeColor="text1"/>
          <w:sz w:val="24"/>
          <w:szCs w:val="24"/>
        </w:rPr>
        <w:t>The Journal of Museum Education</w:t>
      </w:r>
      <w:r w:rsidRPr="00DD44EF">
        <w:rPr>
          <w:rFonts w:ascii="Times New Roman" w:eastAsia="Calibri" w:hAnsi="Times New Roman" w:cs="Times New Roman"/>
          <w:color w:val="000000" w:themeColor="text1"/>
          <w:sz w:val="24"/>
          <w:szCs w:val="24"/>
        </w:rPr>
        <w:t>, 23(1), 10-11.</w:t>
      </w:r>
    </w:p>
    <w:p w14:paraId="3E1FF4B8"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Richardson, M. (1990).</w:t>
      </w:r>
      <w:r w:rsidR="005D65D5" w:rsidRPr="00DD44EF">
        <w:rPr>
          <w:rFonts w:ascii="Times New Roman" w:eastAsia="Calibri" w:hAnsi="Times New Roman" w:cs="Times New Roman"/>
          <w:color w:val="000000" w:themeColor="text1"/>
          <w:sz w:val="24"/>
          <w:szCs w:val="24"/>
        </w:rPr>
        <w:t xml:space="preserve"> </w:t>
      </w:r>
      <w:r w:rsidR="00D46672"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Disabled for a day</w:t>
      </w:r>
      <w:r w:rsidR="00D46672" w:rsidRPr="00DD44EF">
        <w:rPr>
          <w:rFonts w:ascii="Times New Roman" w:eastAsia="Calibri" w:hAnsi="Times New Roman" w:cs="Times New Roman"/>
          <w:color w:val="000000" w:themeColor="text1"/>
          <w:sz w:val="24"/>
          <w:szCs w:val="24"/>
        </w:rPr>
        <w:t>”</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Nursing Times</w:t>
      </w:r>
      <w:r w:rsidR="00D46672" w:rsidRPr="00DD44EF">
        <w:rPr>
          <w:rFonts w:ascii="Times New Roman" w:eastAsia="Calibri" w:hAnsi="Times New Roman" w:cs="Times New Roman"/>
          <w:color w:val="000000" w:themeColor="text1"/>
          <w:sz w:val="24"/>
          <w:szCs w:val="24"/>
        </w:rPr>
        <w:t xml:space="preserve">, </w:t>
      </w:r>
      <w:r w:rsidR="00D46672" w:rsidRPr="002F31ED">
        <w:rPr>
          <w:rFonts w:ascii="Times New Roman" w:eastAsia="Calibri" w:hAnsi="Times New Roman" w:cs="Times New Roman"/>
          <w:color w:val="000000" w:themeColor="text1"/>
          <w:sz w:val="24"/>
          <w:szCs w:val="24"/>
        </w:rPr>
        <w:t>86</w:t>
      </w:r>
      <w:r w:rsidR="009D454A">
        <w:rPr>
          <w:rFonts w:ascii="Times New Roman" w:eastAsia="Calibri" w:hAnsi="Times New Roman" w:cs="Times New Roman"/>
          <w:i/>
          <w:color w:val="000000" w:themeColor="text1"/>
          <w:sz w:val="24"/>
          <w:szCs w:val="24"/>
        </w:rPr>
        <w:t xml:space="preserve"> </w:t>
      </w:r>
      <w:r w:rsidR="005D65D5" w:rsidRPr="00DD44EF">
        <w:rPr>
          <w:rFonts w:ascii="Times New Roman" w:eastAsia="Calibri" w:hAnsi="Times New Roman" w:cs="Times New Roman"/>
          <w:color w:val="000000" w:themeColor="text1"/>
          <w:sz w:val="24"/>
          <w:szCs w:val="24"/>
        </w:rPr>
        <w:t>(21), 66-69.</w:t>
      </w:r>
    </w:p>
    <w:p w14:paraId="6AFC000C"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Schwartzwald, F.R. (1981).</w:t>
      </w:r>
      <w:r w:rsidR="005D65D5" w:rsidRPr="00DD44EF">
        <w:rPr>
          <w:rFonts w:ascii="Times New Roman" w:eastAsia="Calibri" w:hAnsi="Times New Roman" w:cs="Times New Roman"/>
          <w:color w:val="000000" w:themeColor="text1"/>
          <w:sz w:val="24"/>
          <w:szCs w:val="24"/>
        </w:rPr>
        <w:t xml:space="preserve"> </w:t>
      </w:r>
      <w:r w:rsidR="0086398D"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A study of the effect of cognitive and effective intervention on attitudes of upper elementary children towa</w:t>
      </w:r>
      <w:r w:rsidR="0086398D" w:rsidRPr="00DD44EF">
        <w:rPr>
          <w:rFonts w:ascii="Times New Roman" w:eastAsia="Calibri" w:hAnsi="Times New Roman" w:cs="Times New Roman"/>
          <w:color w:val="000000" w:themeColor="text1"/>
          <w:sz w:val="24"/>
          <w:szCs w:val="24"/>
        </w:rPr>
        <w:t>rd physically disabled children”,</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Dissertation Abstracts International</w:t>
      </w:r>
      <w:r w:rsidR="005D65D5" w:rsidRPr="00DD44EF">
        <w:rPr>
          <w:rFonts w:ascii="Times New Roman" w:eastAsia="Calibri" w:hAnsi="Times New Roman" w:cs="Times New Roman"/>
          <w:color w:val="000000" w:themeColor="text1"/>
          <w:sz w:val="24"/>
          <w:szCs w:val="24"/>
        </w:rPr>
        <w:t>, Al-A 42/04, 1593.</w:t>
      </w:r>
    </w:p>
    <w:p w14:paraId="609AB7F4" w14:textId="77777777" w:rsidR="005D65D5" w:rsidRPr="00DD44EF" w:rsidRDefault="007F3503" w:rsidP="006D3F42">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Scullion, P. (1996).</w:t>
      </w:r>
      <w:r w:rsidR="005D65D5" w:rsidRPr="00DD44EF">
        <w:rPr>
          <w:rFonts w:ascii="Times New Roman" w:eastAsia="Calibri" w:hAnsi="Times New Roman" w:cs="Times New Roman"/>
          <w:color w:val="000000" w:themeColor="text1"/>
          <w:sz w:val="24"/>
          <w:szCs w:val="24"/>
        </w:rPr>
        <w:t xml:space="preserve"> </w:t>
      </w:r>
      <w:r w:rsidR="00770BC3">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Qua</w:t>
      </w:r>
      <w:r w:rsidR="00737718" w:rsidRPr="00DD44EF">
        <w:rPr>
          <w:rFonts w:ascii="Times New Roman" w:eastAsia="Calibri" w:hAnsi="Times New Roman" w:cs="Times New Roman"/>
          <w:color w:val="000000" w:themeColor="text1"/>
          <w:sz w:val="24"/>
          <w:szCs w:val="24"/>
        </w:rPr>
        <w:t>sidisability’ experiences using simulation”</w:t>
      </w:r>
      <w:r w:rsidR="002F31ED" w:rsidRPr="002F31ED">
        <w:rPr>
          <w:rFonts w:ascii="Times New Roman" w:eastAsia="Calibri" w:hAnsi="Times New Roman" w:cs="Times New Roman"/>
          <w:color w:val="000000" w:themeColor="text1"/>
          <w:sz w:val="24"/>
          <w:szCs w:val="24"/>
          <w:lang w:val="en-US"/>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British Journal of Therapy &amp; Simulation</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3</w:t>
      </w:r>
      <w:r w:rsidR="005D65D5" w:rsidRPr="00DD44EF">
        <w:rPr>
          <w:rFonts w:ascii="Times New Roman" w:eastAsia="Calibri" w:hAnsi="Times New Roman" w:cs="Times New Roman"/>
          <w:color w:val="000000" w:themeColor="text1"/>
          <w:sz w:val="24"/>
          <w:szCs w:val="24"/>
        </w:rPr>
        <w:t>, 498-502.</w:t>
      </w:r>
    </w:p>
    <w:p w14:paraId="2A90058D" w14:textId="77777777" w:rsidR="005D65D5" w:rsidRPr="00DD44EF" w:rsidRDefault="005D65D5"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Sinclair, J (1993)</w:t>
      </w:r>
      <w:r w:rsidR="00444067" w:rsidRPr="00AE7290">
        <w:rPr>
          <w:rFonts w:ascii="Times New Roman" w:eastAsia="Calibri" w:hAnsi="Times New Roman" w:cs="Times New Roman"/>
          <w:color w:val="000000" w:themeColor="text1"/>
          <w:sz w:val="24"/>
          <w:szCs w:val="24"/>
        </w:rPr>
        <w:t>. “</w:t>
      </w:r>
      <w:r w:rsidR="00444067" w:rsidRPr="00DD44EF">
        <w:rPr>
          <w:rFonts w:ascii="Times New Roman" w:eastAsia="Calibri" w:hAnsi="Times New Roman" w:cs="Times New Roman"/>
          <w:color w:val="000000" w:themeColor="text1"/>
          <w:sz w:val="24"/>
          <w:szCs w:val="24"/>
        </w:rPr>
        <w:t>Don’t mourn for us”</w:t>
      </w:r>
      <w:r w:rsidRPr="00DD44EF">
        <w:rPr>
          <w:rFonts w:ascii="Times New Roman" w:eastAsia="Calibri" w:hAnsi="Times New Roman" w:cs="Times New Roman"/>
          <w:color w:val="000000" w:themeColor="text1"/>
          <w:sz w:val="24"/>
          <w:szCs w:val="24"/>
        </w:rPr>
        <w:t xml:space="preserve"> </w:t>
      </w:r>
      <w:r w:rsidR="00444067" w:rsidRPr="00DD44EF">
        <w:rPr>
          <w:rFonts w:ascii="Times New Roman" w:eastAsia="Calibri" w:hAnsi="Times New Roman" w:cs="Times New Roman"/>
          <w:i/>
          <w:color w:val="000000" w:themeColor="text1"/>
          <w:sz w:val="24"/>
          <w:szCs w:val="24"/>
        </w:rPr>
        <w:t>Autism Network International Newslet</w:t>
      </w:r>
      <w:r w:rsidR="00444067" w:rsidRPr="00DD44EF">
        <w:rPr>
          <w:rFonts w:ascii="Times New Roman" w:eastAsia="Calibri" w:hAnsi="Times New Roman" w:cs="Times New Roman"/>
          <w:color w:val="000000" w:themeColor="text1"/>
          <w:sz w:val="24"/>
          <w:szCs w:val="24"/>
        </w:rPr>
        <w:t>ter, </w:t>
      </w:r>
      <w:r w:rsidR="00444067" w:rsidRPr="00DD44EF">
        <w:rPr>
          <w:rFonts w:ascii="Times New Roman" w:eastAsia="Calibri" w:hAnsi="Times New Roman" w:cs="Times New Roman"/>
          <w:i/>
          <w:iCs/>
          <w:color w:val="000000" w:themeColor="text1"/>
          <w:sz w:val="24"/>
          <w:szCs w:val="24"/>
        </w:rPr>
        <w:t>Our Voice</w:t>
      </w:r>
      <w:r w:rsidR="00444067" w:rsidRPr="00DD44EF">
        <w:rPr>
          <w:rFonts w:ascii="Times New Roman" w:eastAsia="Calibri" w:hAnsi="Times New Roman" w:cs="Times New Roman"/>
          <w:color w:val="000000" w:themeColor="text1"/>
          <w:sz w:val="24"/>
          <w:szCs w:val="24"/>
        </w:rPr>
        <w:t xml:space="preserve">, 1(3). Available at </w:t>
      </w:r>
      <w:hyperlink r:id="rId10" w:history="1">
        <w:r w:rsidR="00444067" w:rsidRPr="00DD44EF">
          <w:rPr>
            <w:rStyle w:val="Hyperlink"/>
            <w:rFonts w:ascii="Times New Roman" w:eastAsia="Calibri" w:hAnsi="Times New Roman" w:cs="Times New Roman"/>
            <w:color w:val="000000" w:themeColor="text1"/>
            <w:sz w:val="24"/>
            <w:szCs w:val="24"/>
          </w:rPr>
          <w:t>http://www.autreat.com/dont_mourn.html</w:t>
        </w:r>
      </w:hyperlink>
    </w:p>
    <w:p w14:paraId="7231BA00" w14:textId="77777777" w:rsidR="005D65D5" w:rsidRPr="00DD44EF" w:rsidRDefault="005D65D5"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Smith, R.A. (1989).</w:t>
      </w:r>
      <w:r w:rsidRPr="00DD44EF">
        <w:rPr>
          <w:rFonts w:ascii="Times New Roman" w:eastAsia="Calibri" w:hAnsi="Times New Roman" w:cs="Times New Roman"/>
          <w:color w:val="000000" w:themeColor="text1"/>
          <w:sz w:val="24"/>
          <w:szCs w:val="24"/>
        </w:rPr>
        <w:t xml:space="preserve"> </w:t>
      </w:r>
      <w:r w:rsidRPr="00DD44EF">
        <w:rPr>
          <w:rFonts w:ascii="Times New Roman" w:eastAsia="Calibri" w:hAnsi="Times New Roman" w:cs="Times New Roman"/>
          <w:i/>
          <w:color w:val="000000" w:themeColor="text1"/>
          <w:sz w:val="24"/>
          <w:szCs w:val="24"/>
        </w:rPr>
        <w:t>The Sense of Art: A Study in Aesthetic Edu</w:t>
      </w:r>
      <w:r w:rsidRPr="00DD44EF">
        <w:rPr>
          <w:rFonts w:ascii="Times New Roman" w:eastAsia="Calibri" w:hAnsi="Times New Roman" w:cs="Times New Roman"/>
          <w:color w:val="000000" w:themeColor="text1"/>
          <w:sz w:val="24"/>
          <w:szCs w:val="24"/>
        </w:rPr>
        <w:t>cation. New York: Routledge.</w:t>
      </w:r>
    </w:p>
    <w:p w14:paraId="78B992A6"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Steiner, C. (1983).</w:t>
      </w:r>
      <w:r w:rsidR="00912A0F"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color w:val="000000" w:themeColor="text1"/>
          <w:sz w:val="24"/>
          <w:szCs w:val="24"/>
        </w:rPr>
        <w:t>Art museums and the visually handicapped consumer: Some</w:t>
      </w:r>
      <w:r w:rsidR="00912A0F" w:rsidRPr="00DD44EF">
        <w:rPr>
          <w:rFonts w:ascii="Times New Roman" w:eastAsia="Calibri" w:hAnsi="Times New Roman" w:cs="Times New Roman"/>
          <w:color w:val="000000" w:themeColor="text1"/>
          <w:sz w:val="24"/>
          <w:szCs w:val="24"/>
        </w:rPr>
        <w:t xml:space="preserve"> issues in approach and design”</w:t>
      </w:r>
      <w:r w:rsidR="002F31ED">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Journal of Visual Impairment &amp; Blindness</w:t>
      </w:r>
      <w:r w:rsidR="00912A0F" w:rsidRPr="00DD44EF">
        <w:rPr>
          <w:rFonts w:ascii="Times New Roman" w:eastAsia="Calibri" w:hAnsi="Times New Roman" w:cs="Times New Roman"/>
          <w:color w:val="000000" w:themeColor="text1"/>
          <w:sz w:val="24"/>
          <w:szCs w:val="24"/>
        </w:rPr>
        <w:t xml:space="preserve">, </w:t>
      </w:r>
      <w:r w:rsidR="00912A0F" w:rsidRPr="002F31ED">
        <w:rPr>
          <w:rFonts w:ascii="Times New Roman" w:eastAsia="Calibri" w:hAnsi="Times New Roman" w:cs="Times New Roman"/>
          <w:color w:val="000000" w:themeColor="text1"/>
          <w:sz w:val="24"/>
          <w:szCs w:val="24"/>
        </w:rPr>
        <w:t>77</w:t>
      </w:r>
      <w:r w:rsidR="005D65D5" w:rsidRPr="00DD44EF">
        <w:rPr>
          <w:rFonts w:ascii="Times New Roman" w:eastAsia="Calibri" w:hAnsi="Times New Roman" w:cs="Times New Roman"/>
          <w:color w:val="000000" w:themeColor="text1"/>
          <w:sz w:val="24"/>
          <w:szCs w:val="24"/>
        </w:rPr>
        <w:t>(7), 330-333.</w:t>
      </w:r>
    </w:p>
    <w:p w14:paraId="023BE5DE"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lastRenderedPageBreak/>
        <w:t>Swain, J., &amp; Lawrence, P. (1994).</w:t>
      </w:r>
      <w:r w:rsidR="005D65D5" w:rsidRPr="00DD44EF">
        <w:rPr>
          <w:rFonts w:ascii="Times New Roman" w:eastAsia="Calibri" w:hAnsi="Times New Roman" w:cs="Times New Roman"/>
          <w:color w:val="000000" w:themeColor="text1"/>
          <w:sz w:val="24"/>
          <w:szCs w:val="24"/>
        </w:rPr>
        <w:t xml:space="preserve"> Learning about disability: Changing attitudes or challenging understanding? In S. French, (Ed.), </w:t>
      </w:r>
      <w:r w:rsidR="005D65D5" w:rsidRPr="00DD44EF">
        <w:rPr>
          <w:rFonts w:ascii="Times New Roman" w:eastAsia="Calibri" w:hAnsi="Times New Roman" w:cs="Times New Roman"/>
          <w:i/>
          <w:color w:val="000000" w:themeColor="text1"/>
          <w:sz w:val="24"/>
          <w:szCs w:val="24"/>
        </w:rPr>
        <w:t>On Equal Terms: Working with Disabled People</w:t>
      </w:r>
      <w:r w:rsidR="005D65D5" w:rsidRPr="00DD44EF">
        <w:rPr>
          <w:rFonts w:ascii="Times New Roman" w:eastAsia="Calibri" w:hAnsi="Times New Roman" w:cs="Times New Roman"/>
          <w:color w:val="000000" w:themeColor="text1"/>
          <w:sz w:val="24"/>
          <w:szCs w:val="24"/>
        </w:rPr>
        <w:t xml:space="preserve"> (pp. 87-102). Oxford: Butterworth Heinemann. </w:t>
      </w:r>
    </w:p>
    <w:p w14:paraId="4EEE16FE"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AE7290">
        <w:rPr>
          <w:rFonts w:ascii="Times New Roman" w:eastAsia="Calibri" w:hAnsi="Times New Roman" w:cs="Times New Roman"/>
          <w:color w:val="000000" w:themeColor="text1"/>
          <w:sz w:val="24"/>
          <w:szCs w:val="24"/>
        </w:rPr>
        <w:t>Tate, D.G., Kewman, D.G., &amp; Maynard, F. (1990).</w:t>
      </w:r>
      <w:r w:rsidR="005D65D5" w:rsidRPr="00DD44EF">
        <w:rPr>
          <w:rFonts w:ascii="Times New Roman" w:eastAsia="Calibri" w:hAnsi="Times New Roman" w:cs="Times New Roman"/>
          <w:color w:val="000000" w:themeColor="text1"/>
          <w:sz w:val="24"/>
          <w:szCs w:val="24"/>
        </w:rPr>
        <w:t xml:space="preserve"> </w:t>
      </w:r>
      <w:r w:rsidR="00D46672"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The brief symptom inventory: Measuring psychological d</w:t>
      </w:r>
      <w:r w:rsidR="00D46672" w:rsidRPr="00DD44EF">
        <w:rPr>
          <w:rFonts w:ascii="Times New Roman" w:eastAsia="Calibri" w:hAnsi="Times New Roman" w:cs="Times New Roman"/>
          <w:color w:val="000000" w:themeColor="text1"/>
          <w:sz w:val="24"/>
          <w:szCs w:val="24"/>
        </w:rPr>
        <w:t>istress in spinal cord injuries”</w:t>
      </w:r>
      <w:r w:rsidR="002F31ED">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Rehabilitation Psychology</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35</w:t>
      </w:r>
      <w:r w:rsidR="005D65D5" w:rsidRPr="00DD44EF">
        <w:rPr>
          <w:rFonts w:ascii="Times New Roman" w:eastAsia="Calibri" w:hAnsi="Times New Roman" w:cs="Times New Roman"/>
          <w:color w:val="000000" w:themeColor="text1"/>
          <w:sz w:val="24"/>
          <w:szCs w:val="24"/>
        </w:rPr>
        <w:t>, 211-216.</w:t>
      </w:r>
    </w:p>
    <w:p w14:paraId="337F7476"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1F0473">
        <w:rPr>
          <w:rFonts w:ascii="Times New Roman" w:eastAsia="Calibri" w:hAnsi="Times New Roman" w:cs="Times New Roman"/>
          <w:color w:val="000000" w:themeColor="text1"/>
          <w:sz w:val="24"/>
          <w:szCs w:val="24"/>
        </w:rPr>
        <w:t>Thatcher, D.C., &amp; Robinson, M.J. (1990).</w:t>
      </w:r>
      <w:r w:rsidR="005D65D5" w:rsidRPr="00DD44EF">
        <w:rPr>
          <w:rFonts w:ascii="Times New Roman" w:eastAsia="Calibri" w:hAnsi="Times New Roman" w:cs="Times New Roman"/>
          <w:color w:val="000000" w:themeColor="text1"/>
          <w:sz w:val="24"/>
          <w:szCs w:val="24"/>
        </w:rPr>
        <w:t xml:space="preserve"> </w:t>
      </w:r>
      <w:r w:rsidR="006E1CCF"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Me—The slow learner: Reflections eight ye</w:t>
      </w:r>
      <w:r w:rsidR="006E1CCF" w:rsidRPr="00DD44EF">
        <w:rPr>
          <w:rFonts w:ascii="Times New Roman" w:eastAsia="Calibri" w:hAnsi="Times New Roman" w:cs="Times New Roman"/>
          <w:color w:val="000000" w:themeColor="text1"/>
          <w:sz w:val="24"/>
          <w:szCs w:val="24"/>
        </w:rPr>
        <w:t>ars on from its original design”</w:t>
      </w:r>
      <w:r w:rsidR="002F31ED">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Simulation &amp; Gaming</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21</w:t>
      </w:r>
      <w:r w:rsidR="00BA73CD" w:rsidRPr="00DD44EF">
        <w:rPr>
          <w:rFonts w:ascii="Times New Roman" w:eastAsia="Calibri" w:hAnsi="Times New Roman" w:cs="Times New Roman"/>
          <w:color w:val="000000" w:themeColor="text1"/>
          <w:sz w:val="24"/>
          <w:szCs w:val="24"/>
        </w:rPr>
        <w:t>(3)</w:t>
      </w:r>
      <w:r w:rsidR="005D65D5" w:rsidRPr="00DD44EF">
        <w:rPr>
          <w:rFonts w:ascii="Times New Roman" w:eastAsia="Calibri" w:hAnsi="Times New Roman" w:cs="Times New Roman"/>
          <w:color w:val="000000" w:themeColor="text1"/>
          <w:sz w:val="24"/>
          <w:szCs w:val="24"/>
        </w:rPr>
        <w:t>, 291-302.</w:t>
      </w:r>
    </w:p>
    <w:p w14:paraId="3BA3B074" w14:textId="77777777" w:rsidR="005D65D5" w:rsidRPr="00DD44EF" w:rsidRDefault="005D65D5" w:rsidP="00623558">
      <w:pPr>
        <w:spacing w:after="0" w:line="23" w:lineRule="atLeast"/>
        <w:ind w:left="720" w:hanging="720"/>
        <w:rPr>
          <w:rFonts w:ascii="Times New Roman" w:eastAsia="Calibri" w:hAnsi="Times New Roman" w:cs="Times New Roman"/>
          <w:color w:val="000000" w:themeColor="text1"/>
          <w:sz w:val="24"/>
          <w:szCs w:val="24"/>
        </w:rPr>
      </w:pPr>
      <w:r w:rsidRPr="001F0473">
        <w:rPr>
          <w:rFonts w:ascii="Times New Roman" w:eastAsia="Calibri" w:hAnsi="Times New Roman" w:cs="Times New Roman"/>
          <w:color w:val="000000" w:themeColor="text1"/>
          <w:sz w:val="24"/>
          <w:szCs w:val="24"/>
        </w:rPr>
        <w:t>Thompson, A., Bethea, L.</w:t>
      </w:r>
      <w:r w:rsidR="00926AD1" w:rsidRPr="001F0473">
        <w:rPr>
          <w:rFonts w:ascii="Times New Roman" w:eastAsia="Calibri" w:hAnsi="Times New Roman" w:cs="Times New Roman"/>
          <w:color w:val="000000" w:themeColor="text1"/>
          <w:sz w:val="24"/>
          <w:szCs w:val="24"/>
        </w:rPr>
        <w:t>,</w:t>
      </w:r>
      <w:r w:rsidRPr="001F0473">
        <w:rPr>
          <w:rFonts w:ascii="Times New Roman" w:eastAsia="Calibri" w:hAnsi="Times New Roman" w:cs="Times New Roman"/>
          <w:color w:val="000000" w:themeColor="text1"/>
          <w:sz w:val="24"/>
          <w:szCs w:val="24"/>
        </w:rPr>
        <w:t xml:space="preserve"> &amp; Turner, J. (1997). </w:t>
      </w:r>
      <w:r w:rsidR="00167E2C" w:rsidRPr="001F0473">
        <w:rPr>
          <w:rFonts w:ascii="Times New Roman" w:eastAsia="Calibri" w:hAnsi="Times New Roman" w:cs="Times New Roman"/>
          <w:color w:val="000000" w:themeColor="text1"/>
          <w:sz w:val="24"/>
          <w:szCs w:val="24"/>
        </w:rPr>
        <w:t>“</w:t>
      </w:r>
      <w:r w:rsidRPr="001F0473">
        <w:rPr>
          <w:rFonts w:ascii="Times New Roman" w:eastAsia="Calibri" w:hAnsi="Times New Roman" w:cs="Times New Roman"/>
          <w:color w:val="000000" w:themeColor="text1"/>
          <w:sz w:val="24"/>
          <w:szCs w:val="24"/>
        </w:rPr>
        <w:t>Faculty</w:t>
      </w:r>
      <w:r w:rsidRPr="00DD44EF">
        <w:rPr>
          <w:rFonts w:ascii="Times New Roman" w:eastAsia="Calibri" w:hAnsi="Times New Roman" w:cs="Times New Roman"/>
          <w:color w:val="000000" w:themeColor="text1"/>
          <w:sz w:val="24"/>
          <w:szCs w:val="24"/>
        </w:rPr>
        <w:t xml:space="preserve"> knowledge of disability laws in </w:t>
      </w:r>
      <w:r w:rsidR="00167E2C" w:rsidRPr="00DD44EF">
        <w:rPr>
          <w:rFonts w:ascii="Times New Roman" w:eastAsia="Calibri" w:hAnsi="Times New Roman" w:cs="Times New Roman"/>
          <w:color w:val="000000" w:themeColor="text1"/>
          <w:sz w:val="24"/>
          <w:szCs w:val="24"/>
        </w:rPr>
        <w:t>high school education: A survey”,</w:t>
      </w:r>
      <w:r w:rsidRPr="00DD44EF">
        <w:rPr>
          <w:rFonts w:ascii="Times New Roman" w:eastAsia="Calibri" w:hAnsi="Times New Roman" w:cs="Times New Roman"/>
          <w:color w:val="000000" w:themeColor="text1"/>
          <w:sz w:val="24"/>
          <w:szCs w:val="24"/>
        </w:rPr>
        <w:t xml:space="preserve"> </w:t>
      </w:r>
      <w:r w:rsidRPr="00DD44EF">
        <w:rPr>
          <w:rFonts w:ascii="Times New Roman" w:eastAsia="Calibri" w:hAnsi="Times New Roman" w:cs="Times New Roman"/>
          <w:i/>
          <w:color w:val="000000" w:themeColor="text1"/>
          <w:sz w:val="24"/>
          <w:szCs w:val="24"/>
        </w:rPr>
        <w:t>Rehabilitation Counseling Bu</w:t>
      </w:r>
      <w:r w:rsidRPr="00DD44EF">
        <w:rPr>
          <w:rFonts w:ascii="Times New Roman" w:eastAsia="Calibri" w:hAnsi="Times New Roman" w:cs="Times New Roman"/>
          <w:color w:val="000000" w:themeColor="text1"/>
          <w:sz w:val="24"/>
          <w:szCs w:val="24"/>
        </w:rPr>
        <w:t xml:space="preserve">lletin, </w:t>
      </w:r>
      <w:r w:rsidRPr="002F31ED">
        <w:rPr>
          <w:rFonts w:ascii="Times New Roman" w:eastAsia="Calibri" w:hAnsi="Times New Roman" w:cs="Times New Roman"/>
          <w:color w:val="000000" w:themeColor="text1"/>
          <w:sz w:val="24"/>
          <w:szCs w:val="24"/>
        </w:rPr>
        <w:t>40,</w:t>
      </w:r>
      <w:r w:rsidRPr="00DD44EF">
        <w:rPr>
          <w:rFonts w:ascii="Times New Roman" w:eastAsia="Calibri" w:hAnsi="Times New Roman" w:cs="Times New Roman"/>
          <w:color w:val="000000" w:themeColor="text1"/>
          <w:sz w:val="24"/>
          <w:szCs w:val="24"/>
        </w:rPr>
        <w:t xml:space="preserve"> 166-180.</w:t>
      </w:r>
    </w:p>
    <w:p w14:paraId="11B526F6" w14:textId="77777777" w:rsidR="004F473E" w:rsidRPr="00DD44EF" w:rsidRDefault="006D4953" w:rsidP="00623558">
      <w:pPr>
        <w:spacing w:after="0" w:line="23" w:lineRule="atLeast"/>
        <w:ind w:left="720" w:hanging="720"/>
        <w:rPr>
          <w:rFonts w:ascii="Times New Roman" w:eastAsia="Calibri" w:hAnsi="Times New Roman" w:cs="Times New Roman"/>
          <w:color w:val="000000" w:themeColor="text1"/>
          <w:sz w:val="24"/>
          <w:szCs w:val="24"/>
        </w:rPr>
      </w:pPr>
      <w:r w:rsidRPr="001F0473">
        <w:rPr>
          <w:rFonts w:ascii="Times New Roman" w:eastAsia="Calibri" w:hAnsi="Times New Roman" w:cs="Times New Roman"/>
          <w:color w:val="000000" w:themeColor="text1"/>
          <w:sz w:val="24"/>
          <w:szCs w:val="24"/>
        </w:rPr>
        <w:t>Tregaskis, C. (2004).</w:t>
      </w:r>
      <w:r w:rsidRPr="00DD44EF">
        <w:rPr>
          <w:rFonts w:ascii="Times New Roman" w:eastAsia="Calibri" w:hAnsi="Times New Roman" w:cs="Times New Roman"/>
          <w:color w:val="000000" w:themeColor="text1"/>
          <w:sz w:val="24"/>
          <w:szCs w:val="24"/>
        </w:rPr>
        <w:t xml:space="preserve"> </w:t>
      </w:r>
      <w:r w:rsidR="00D330C5" w:rsidRPr="00DD44EF">
        <w:rPr>
          <w:rFonts w:ascii="Times New Roman" w:eastAsia="Calibri" w:hAnsi="Times New Roman" w:cs="Times New Roman"/>
          <w:color w:val="000000" w:themeColor="text1"/>
          <w:sz w:val="24"/>
          <w:szCs w:val="24"/>
        </w:rPr>
        <w:t xml:space="preserve">Social model theories and non-disabled people: some possibilities for connection. In C. Barnes &amp; G. Mercer (Eds.), </w:t>
      </w:r>
      <w:r w:rsidR="00D330C5" w:rsidRPr="00DD44EF">
        <w:rPr>
          <w:rFonts w:ascii="Times New Roman" w:eastAsia="Calibri" w:hAnsi="Times New Roman" w:cs="Times New Roman"/>
          <w:i/>
          <w:color w:val="000000" w:themeColor="text1"/>
          <w:sz w:val="24"/>
          <w:szCs w:val="24"/>
        </w:rPr>
        <w:t>Implementing the Social Model of Disability: Theory and Research</w:t>
      </w:r>
      <w:r w:rsidR="00D330C5" w:rsidRPr="00DD44EF">
        <w:rPr>
          <w:rFonts w:ascii="Times New Roman" w:eastAsia="Calibri" w:hAnsi="Times New Roman" w:cs="Times New Roman"/>
          <w:color w:val="000000" w:themeColor="text1"/>
          <w:sz w:val="24"/>
          <w:szCs w:val="24"/>
        </w:rPr>
        <w:t xml:space="preserve"> (pp. 65-82). Leeds: The Disability Press.</w:t>
      </w:r>
    </w:p>
    <w:p w14:paraId="6DA47685"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1F0473">
        <w:rPr>
          <w:rFonts w:ascii="Times New Roman" w:eastAsia="Calibri" w:hAnsi="Times New Roman" w:cs="Times New Roman"/>
          <w:color w:val="000000" w:themeColor="text1"/>
          <w:sz w:val="24"/>
          <w:szCs w:val="24"/>
        </w:rPr>
        <w:t>Vehmas, S., &amp; Mäkelä, P. (2008).</w:t>
      </w:r>
      <w:r w:rsidR="005D65D5" w:rsidRPr="00DD44EF">
        <w:rPr>
          <w:rFonts w:ascii="Times New Roman" w:eastAsia="Calibri" w:hAnsi="Times New Roman" w:cs="Times New Roman"/>
          <w:color w:val="000000" w:themeColor="text1"/>
          <w:sz w:val="24"/>
          <w:szCs w:val="24"/>
        </w:rPr>
        <w:t xml:space="preserve"> </w:t>
      </w:r>
      <w:r w:rsidR="00912A0F"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A realist accoun</w:t>
      </w:r>
      <w:r w:rsidR="00912A0F" w:rsidRPr="00DD44EF">
        <w:rPr>
          <w:rFonts w:ascii="Times New Roman" w:eastAsia="Calibri" w:hAnsi="Times New Roman" w:cs="Times New Roman"/>
          <w:color w:val="000000" w:themeColor="text1"/>
          <w:sz w:val="24"/>
          <w:szCs w:val="24"/>
        </w:rPr>
        <w:t>t of the ontology of impairment”</w:t>
      </w:r>
      <w:r w:rsidR="002F31ED">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Journal of Medical Ethics</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34,</w:t>
      </w:r>
      <w:r w:rsidR="005D65D5" w:rsidRPr="00DD44EF">
        <w:rPr>
          <w:rFonts w:ascii="Times New Roman" w:eastAsia="Calibri" w:hAnsi="Times New Roman" w:cs="Times New Roman"/>
          <w:color w:val="000000" w:themeColor="text1"/>
          <w:sz w:val="24"/>
          <w:szCs w:val="24"/>
        </w:rPr>
        <w:t xml:space="preserve"> 93-95.</w:t>
      </w:r>
    </w:p>
    <w:p w14:paraId="5963AD46"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1F0473">
        <w:rPr>
          <w:rFonts w:ascii="Times New Roman" w:eastAsia="Calibri" w:hAnsi="Times New Roman" w:cs="Times New Roman"/>
          <w:color w:val="000000" w:themeColor="text1"/>
          <w:sz w:val="24"/>
          <w:szCs w:val="24"/>
        </w:rPr>
        <w:t>Wiener, W.R. (1986).</w:t>
      </w:r>
      <w:r w:rsidR="005D65D5" w:rsidRPr="00DD44EF">
        <w:rPr>
          <w:rFonts w:ascii="Times New Roman" w:eastAsia="Calibri" w:hAnsi="Times New Roman" w:cs="Times New Roman"/>
          <w:color w:val="000000" w:themeColor="text1"/>
          <w:sz w:val="24"/>
          <w:szCs w:val="24"/>
        </w:rPr>
        <w:t xml:space="preserve"> </w:t>
      </w:r>
      <w:r w:rsidR="006E1CCF"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The differential effects of simulation levels and coping skills on</w:t>
      </w:r>
      <w:r w:rsidR="006E1CCF" w:rsidRPr="00DD44EF">
        <w:rPr>
          <w:rFonts w:ascii="Times New Roman" w:eastAsia="Calibri" w:hAnsi="Times New Roman" w:cs="Times New Roman"/>
          <w:color w:val="000000" w:themeColor="text1"/>
          <w:sz w:val="24"/>
          <w:szCs w:val="24"/>
        </w:rPr>
        <w:t xml:space="preserve"> attitudes toward blind persons”</w:t>
      </w:r>
      <w:r w:rsidR="002F31ED">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Dissertation Abstracts International</w:t>
      </w:r>
      <w:r w:rsidR="005D65D5" w:rsidRPr="00DD44EF">
        <w:rPr>
          <w:rFonts w:ascii="Times New Roman" w:eastAsia="Calibri" w:hAnsi="Times New Roman" w:cs="Times New Roman"/>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47</w:t>
      </w:r>
      <w:r w:rsidR="005D65D5" w:rsidRPr="00DD44EF">
        <w:rPr>
          <w:rFonts w:ascii="Times New Roman" w:eastAsia="Calibri" w:hAnsi="Times New Roman" w:cs="Times New Roman"/>
          <w:color w:val="000000" w:themeColor="text1"/>
          <w:sz w:val="24"/>
          <w:szCs w:val="24"/>
        </w:rPr>
        <w:t>(02), 206.</w:t>
      </w:r>
    </w:p>
    <w:p w14:paraId="5FFB3211"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1F0473">
        <w:rPr>
          <w:rFonts w:ascii="Times New Roman" w:eastAsia="Calibri" w:hAnsi="Times New Roman" w:cs="Times New Roman"/>
          <w:color w:val="000000" w:themeColor="text1"/>
          <w:sz w:val="24"/>
          <w:szCs w:val="24"/>
        </w:rPr>
        <w:t>Wilson, E.D., &amp; Alcorn, D. (1969)</w:t>
      </w:r>
      <w:r w:rsidR="005D65D5" w:rsidRPr="00DD44EF">
        <w:rPr>
          <w:rFonts w:ascii="Times New Roman" w:eastAsia="Calibri" w:hAnsi="Times New Roman" w:cs="Times New Roman"/>
          <w:color w:val="000000" w:themeColor="text1"/>
          <w:sz w:val="24"/>
          <w:szCs w:val="24"/>
        </w:rPr>
        <w:t xml:space="preserve">. </w:t>
      </w:r>
      <w:r w:rsidR="00DC0EE0"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Disability simulation and development of a</w:t>
      </w:r>
      <w:r w:rsidR="00DC0EE0" w:rsidRPr="00DD44EF">
        <w:rPr>
          <w:rFonts w:ascii="Times New Roman" w:eastAsia="Calibri" w:hAnsi="Times New Roman" w:cs="Times New Roman"/>
          <w:color w:val="000000" w:themeColor="text1"/>
          <w:sz w:val="24"/>
          <w:szCs w:val="24"/>
        </w:rPr>
        <w:t>ttitudes toward the exceptional”</w:t>
      </w:r>
      <w:r w:rsidR="002F31ED">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Journal of Special Education</w:t>
      </w:r>
      <w:r w:rsidR="005D65D5" w:rsidRPr="004357C5">
        <w:rPr>
          <w:rFonts w:ascii="Times New Roman" w:eastAsia="Calibri" w:hAnsi="Times New Roman" w:cs="Times New Roman"/>
          <w:i/>
          <w:color w:val="000000" w:themeColor="text1"/>
          <w:sz w:val="24"/>
          <w:szCs w:val="24"/>
        </w:rPr>
        <w:t xml:space="preserve">, </w:t>
      </w:r>
      <w:r w:rsidR="005D65D5" w:rsidRPr="002F31ED">
        <w:rPr>
          <w:rFonts w:ascii="Times New Roman" w:eastAsia="Calibri" w:hAnsi="Times New Roman" w:cs="Times New Roman"/>
          <w:color w:val="000000" w:themeColor="text1"/>
          <w:sz w:val="24"/>
          <w:szCs w:val="24"/>
        </w:rPr>
        <w:t>3,</w:t>
      </w:r>
      <w:r w:rsidR="005D65D5" w:rsidRPr="00DD44EF">
        <w:rPr>
          <w:rFonts w:ascii="Times New Roman" w:eastAsia="Calibri" w:hAnsi="Times New Roman" w:cs="Times New Roman"/>
          <w:color w:val="000000" w:themeColor="text1"/>
          <w:sz w:val="24"/>
          <w:szCs w:val="24"/>
        </w:rPr>
        <w:t xml:space="preserve"> 303-307.</w:t>
      </w:r>
    </w:p>
    <w:p w14:paraId="42BC95A2" w14:textId="77777777" w:rsidR="004F473E" w:rsidRPr="00DD44EF" w:rsidRDefault="004F473E" w:rsidP="00623558">
      <w:pPr>
        <w:spacing w:after="0" w:line="23" w:lineRule="atLeast"/>
        <w:ind w:left="720" w:hanging="720"/>
        <w:rPr>
          <w:rFonts w:ascii="Times New Roman" w:eastAsia="Calibri" w:hAnsi="Times New Roman" w:cs="Times New Roman"/>
          <w:color w:val="000000" w:themeColor="text1"/>
          <w:sz w:val="24"/>
          <w:szCs w:val="24"/>
        </w:rPr>
      </w:pPr>
      <w:r w:rsidRPr="001F0473">
        <w:rPr>
          <w:rFonts w:ascii="Times New Roman" w:eastAsia="Calibri" w:hAnsi="Times New Roman" w:cs="Times New Roman"/>
          <w:color w:val="000000" w:themeColor="text1"/>
          <w:sz w:val="24"/>
          <w:szCs w:val="24"/>
        </w:rPr>
        <w:t>W</w:t>
      </w:r>
      <w:r w:rsidR="004A7791" w:rsidRPr="001F0473">
        <w:rPr>
          <w:rFonts w:ascii="Times New Roman" w:eastAsia="Calibri" w:hAnsi="Times New Roman" w:cs="Times New Roman"/>
          <w:color w:val="000000" w:themeColor="text1"/>
          <w:sz w:val="24"/>
          <w:szCs w:val="24"/>
        </w:rPr>
        <w:t>inchester, J.J. (2000</w:t>
      </w:r>
      <w:r w:rsidRPr="001F0473">
        <w:rPr>
          <w:rFonts w:ascii="Times New Roman" w:eastAsia="Calibri" w:hAnsi="Times New Roman" w:cs="Times New Roman"/>
          <w:color w:val="000000" w:themeColor="text1"/>
          <w:sz w:val="24"/>
          <w:szCs w:val="24"/>
        </w:rPr>
        <w:t>).</w:t>
      </w:r>
      <w:r w:rsidR="004A7791" w:rsidRPr="00DD44EF">
        <w:rPr>
          <w:rFonts w:ascii="Times New Roman" w:eastAsia="Calibri" w:hAnsi="Times New Roman" w:cs="Times New Roman"/>
          <w:color w:val="000000" w:themeColor="text1"/>
          <w:sz w:val="24"/>
          <w:szCs w:val="24"/>
        </w:rPr>
        <w:t xml:space="preserve"> “Understanding aesthetic judgments across cultural borders: bell hooks, Kant, and Cornel West and the understanding of aesthetic judgments of others”, </w:t>
      </w:r>
      <w:r w:rsidR="004A7791" w:rsidRPr="00DD44EF">
        <w:rPr>
          <w:rFonts w:ascii="Times New Roman" w:eastAsia="Calibri" w:hAnsi="Times New Roman" w:cs="Times New Roman"/>
          <w:i/>
          <w:color w:val="000000" w:themeColor="text1"/>
          <w:sz w:val="24"/>
          <w:szCs w:val="24"/>
        </w:rPr>
        <w:t>The Southern Journal of Philosophy</w:t>
      </w:r>
      <w:r w:rsidR="004A7791" w:rsidRPr="00DD44EF">
        <w:rPr>
          <w:rFonts w:ascii="Times New Roman" w:eastAsia="Calibri" w:hAnsi="Times New Roman" w:cs="Times New Roman"/>
          <w:color w:val="000000" w:themeColor="text1"/>
          <w:sz w:val="24"/>
          <w:szCs w:val="24"/>
        </w:rPr>
        <w:t>, Vol. XXXVIII, 499-</w:t>
      </w:r>
      <w:r w:rsidR="00F47670" w:rsidRPr="00DD44EF">
        <w:rPr>
          <w:rFonts w:ascii="Times New Roman" w:eastAsia="Calibri" w:hAnsi="Times New Roman" w:cs="Times New Roman"/>
          <w:color w:val="000000" w:themeColor="text1"/>
          <w:sz w:val="24"/>
          <w:szCs w:val="24"/>
        </w:rPr>
        <w:t>525.</w:t>
      </w:r>
    </w:p>
    <w:p w14:paraId="57C5516D"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1F0473">
        <w:rPr>
          <w:rFonts w:ascii="Times New Roman" w:eastAsia="Calibri" w:hAnsi="Times New Roman" w:cs="Times New Roman"/>
          <w:color w:val="000000" w:themeColor="text1"/>
          <w:sz w:val="24"/>
          <w:szCs w:val="24"/>
        </w:rPr>
        <w:t>Wright, B.A. (1978).</w:t>
      </w:r>
      <w:r w:rsidR="005D65D5" w:rsidRPr="00DD44EF">
        <w:rPr>
          <w:rFonts w:ascii="Times New Roman" w:eastAsia="Calibri" w:hAnsi="Times New Roman" w:cs="Times New Roman"/>
          <w:color w:val="000000" w:themeColor="text1"/>
          <w:sz w:val="24"/>
          <w:szCs w:val="24"/>
        </w:rPr>
        <w:t xml:space="preserve"> </w:t>
      </w:r>
      <w:r w:rsidR="00D46672"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The coping framework and attitude change: A gui</w:t>
      </w:r>
      <w:r w:rsidR="00D46672" w:rsidRPr="00DD44EF">
        <w:rPr>
          <w:rFonts w:ascii="Times New Roman" w:eastAsia="Calibri" w:hAnsi="Times New Roman" w:cs="Times New Roman"/>
          <w:color w:val="000000" w:themeColor="text1"/>
          <w:sz w:val="24"/>
          <w:szCs w:val="24"/>
        </w:rPr>
        <w:t>de to constructive role playing”</w:t>
      </w:r>
      <w:r w:rsidR="00DF5086">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Rehabilitation Psychology</w:t>
      </w:r>
      <w:r w:rsidR="005D65D5" w:rsidRPr="00DD44EF">
        <w:rPr>
          <w:rFonts w:ascii="Times New Roman" w:eastAsia="Calibri" w:hAnsi="Times New Roman" w:cs="Times New Roman"/>
          <w:color w:val="000000" w:themeColor="text1"/>
          <w:sz w:val="24"/>
          <w:szCs w:val="24"/>
        </w:rPr>
        <w:t xml:space="preserve">, </w:t>
      </w:r>
      <w:r w:rsidR="005D65D5" w:rsidRPr="00DF5086">
        <w:rPr>
          <w:rFonts w:ascii="Times New Roman" w:eastAsia="Calibri" w:hAnsi="Times New Roman" w:cs="Times New Roman"/>
          <w:color w:val="000000" w:themeColor="text1"/>
          <w:sz w:val="24"/>
          <w:szCs w:val="24"/>
        </w:rPr>
        <w:t>25,</w:t>
      </w:r>
      <w:r w:rsidR="005D65D5" w:rsidRPr="00DD44EF">
        <w:rPr>
          <w:rFonts w:ascii="Times New Roman" w:eastAsia="Calibri" w:hAnsi="Times New Roman" w:cs="Times New Roman"/>
          <w:color w:val="000000" w:themeColor="text1"/>
          <w:sz w:val="24"/>
          <w:szCs w:val="24"/>
        </w:rPr>
        <w:t xml:space="preserve"> 177-183.</w:t>
      </w:r>
    </w:p>
    <w:p w14:paraId="47D199D0" w14:textId="77777777" w:rsidR="005D65D5" w:rsidRPr="00DD44EF" w:rsidRDefault="007F3503" w:rsidP="00623558">
      <w:pPr>
        <w:spacing w:after="0" w:line="23" w:lineRule="atLeast"/>
        <w:ind w:left="720" w:hanging="720"/>
        <w:rPr>
          <w:rFonts w:ascii="Times New Roman" w:eastAsia="Calibri" w:hAnsi="Times New Roman" w:cs="Times New Roman"/>
          <w:color w:val="000000" w:themeColor="text1"/>
          <w:sz w:val="24"/>
          <w:szCs w:val="24"/>
        </w:rPr>
      </w:pPr>
      <w:r w:rsidRPr="001F0473">
        <w:rPr>
          <w:rFonts w:ascii="Times New Roman" w:eastAsia="Calibri" w:hAnsi="Times New Roman" w:cs="Times New Roman"/>
          <w:color w:val="000000" w:themeColor="text1"/>
          <w:sz w:val="24"/>
          <w:szCs w:val="24"/>
        </w:rPr>
        <w:t>Wright, B.A. (1980).</w:t>
      </w:r>
      <w:r w:rsidR="005D65D5" w:rsidRPr="00DD44EF">
        <w:rPr>
          <w:rFonts w:ascii="Times New Roman" w:eastAsia="Calibri" w:hAnsi="Times New Roman" w:cs="Times New Roman"/>
          <w:color w:val="000000" w:themeColor="text1"/>
          <w:sz w:val="24"/>
          <w:szCs w:val="24"/>
        </w:rPr>
        <w:t xml:space="preserve"> </w:t>
      </w:r>
      <w:r w:rsidR="00D46672"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Developing constructive vi</w:t>
      </w:r>
      <w:r w:rsidR="00D46672" w:rsidRPr="00DD44EF">
        <w:rPr>
          <w:rFonts w:ascii="Times New Roman" w:eastAsia="Calibri" w:hAnsi="Times New Roman" w:cs="Times New Roman"/>
          <w:color w:val="000000" w:themeColor="text1"/>
          <w:sz w:val="24"/>
          <w:szCs w:val="24"/>
        </w:rPr>
        <w:t>ews of a life with a disability”</w:t>
      </w:r>
      <w:r w:rsidR="00DF5086">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Rehabilitation Literature</w:t>
      </w:r>
      <w:r w:rsidR="005D65D5" w:rsidRPr="00DD44EF">
        <w:rPr>
          <w:rFonts w:ascii="Times New Roman" w:eastAsia="Calibri" w:hAnsi="Times New Roman" w:cs="Times New Roman"/>
          <w:color w:val="000000" w:themeColor="text1"/>
          <w:sz w:val="24"/>
          <w:szCs w:val="24"/>
        </w:rPr>
        <w:t xml:space="preserve">, </w:t>
      </w:r>
      <w:r w:rsidR="005D65D5" w:rsidRPr="00DF5086">
        <w:rPr>
          <w:rFonts w:ascii="Times New Roman" w:eastAsia="Calibri" w:hAnsi="Times New Roman" w:cs="Times New Roman"/>
          <w:color w:val="000000" w:themeColor="text1"/>
          <w:sz w:val="24"/>
          <w:szCs w:val="24"/>
        </w:rPr>
        <w:t>41,</w:t>
      </w:r>
      <w:r w:rsidR="005D65D5" w:rsidRPr="00DD44EF">
        <w:rPr>
          <w:rFonts w:ascii="Times New Roman" w:eastAsia="Calibri" w:hAnsi="Times New Roman" w:cs="Times New Roman"/>
          <w:color w:val="000000" w:themeColor="text1"/>
          <w:sz w:val="24"/>
          <w:szCs w:val="24"/>
        </w:rPr>
        <w:t xml:space="preserve"> 274-279.</w:t>
      </w:r>
    </w:p>
    <w:p w14:paraId="4F06AAE3" w14:textId="77777777" w:rsidR="005D65D5" w:rsidRPr="00EA6461" w:rsidRDefault="007F3503" w:rsidP="00EA6461">
      <w:pPr>
        <w:spacing w:after="0" w:line="23" w:lineRule="atLeast"/>
        <w:ind w:left="720" w:hanging="720"/>
        <w:rPr>
          <w:rFonts w:ascii="Times New Roman" w:eastAsia="Calibri" w:hAnsi="Times New Roman" w:cs="Times New Roman"/>
          <w:color w:val="000000" w:themeColor="text1"/>
          <w:sz w:val="24"/>
          <w:szCs w:val="24"/>
        </w:rPr>
      </w:pPr>
      <w:r w:rsidRPr="001F0473">
        <w:rPr>
          <w:rFonts w:ascii="Times New Roman" w:eastAsia="Calibri" w:hAnsi="Times New Roman" w:cs="Times New Roman"/>
          <w:color w:val="000000" w:themeColor="text1"/>
          <w:sz w:val="24"/>
          <w:szCs w:val="24"/>
        </w:rPr>
        <w:t>Wurst, S.A., &amp; Wolford, K. (1994).</w:t>
      </w:r>
      <w:r w:rsidR="005D65D5" w:rsidRPr="00DD44EF">
        <w:rPr>
          <w:rFonts w:ascii="Times New Roman" w:eastAsia="Calibri" w:hAnsi="Times New Roman" w:cs="Times New Roman"/>
          <w:color w:val="000000" w:themeColor="text1"/>
          <w:sz w:val="24"/>
          <w:szCs w:val="24"/>
        </w:rPr>
        <w:t xml:space="preserve"> </w:t>
      </w:r>
      <w:r w:rsidR="00DC0EE0" w:rsidRPr="00DD44EF">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Integrating disability awareness into psychology courses: Applications in abn</w:t>
      </w:r>
      <w:r w:rsidR="00DC0EE0" w:rsidRPr="00DD44EF">
        <w:rPr>
          <w:rFonts w:ascii="Times New Roman" w:eastAsia="Calibri" w:hAnsi="Times New Roman" w:cs="Times New Roman"/>
          <w:color w:val="000000" w:themeColor="text1"/>
          <w:sz w:val="24"/>
          <w:szCs w:val="24"/>
        </w:rPr>
        <w:t>ormal psychology and perception”</w:t>
      </w:r>
      <w:r w:rsidR="00DF5086">
        <w:rPr>
          <w:rFonts w:ascii="Times New Roman" w:eastAsia="Calibri" w:hAnsi="Times New Roman" w:cs="Times New Roman"/>
          <w:color w:val="000000" w:themeColor="text1"/>
          <w:sz w:val="24"/>
          <w:szCs w:val="24"/>
        </w:rPr>
        <w:t>,</w:t>
      </w:r>
      <w:r w:rsidR="005D65D5" w:rsidRPr="00DD44EF">
        <w:rPr>
          <w:rFonts w:ascii="Times New Roman" w:eastAsia="Calibri" w:hAnsi="Times New Roman" w:cs="Times New Roman"/>
          <w:color w:val="000000" w:themeColor="text1"/>
          <w:sz w:val="24"/>
          <w:szCs w:val="24"/>
        </w:rPr>
        <w:t xml:space="preserve"> </w:t>
      </w:r>
      <w:r w:rsidR="005D65D5" w:rsidRPr="00DD44EF">
        <w:rPr>
          <w:rFonts w:ascii="Times New Roman" w:eastAsia="Calibri" w:hAnsi="Times New Roman" w:cs="Times New Roman"/>
          <w:i/>
          <w:color w:val="000000" w:themeColor="text1"/>
          <w:sz w:val="24"/>
          <w:szCs w:val="24"/>
        </w:rPr>
        <w:t>Teaching of Psychology</w:t>
      </w:r>
      <w:r w:rsidR="005D65D5" w:rsidRPr="00DD44EF">
        <w:rPr>
          <w:rFonts w:ascii="Times New Roman" w:eastAsia="Calibri" w:hAnsi="Times New Roman" w:cs="Times New Roman"/>
          <w:color w:val="000000" w:themeColor="text1"/>
          <w:sz w:val="24"/>
          <w:szCs w:val="24"/>
        </w:rPr>
        <w:t xml:space="preserve">, </w:t>
      </w:r>
      <w:r w:rsidR="005D65D5" w:rsidRPr="00DF5086">
        <w:rPr>
          <w:rFonts w:ascii="Times New Roman" w:eastAsia="Calibri" w:hAnsi="Times New Roman" w:cs="Times New Roman"/>
          <w:color w:val="000000" w:themeColor="text1"/>
          <w:sz w:val="24"/>
          <w:szCs w:val="24"/>
        </w:rPr>
        <w:t>21</w:t>
      </w:r>
      <w:r w:rsidR="005D65D5" w:rsidRPr="00DD44EF">
        <w:rPr>
          <w:rFonts w:ascii="Times New Roman" w:eastAsia="Calibri" w:hAnsi="Times New Roman" w:cs="Times New Roman"/>
          <w:color w:val="000000" w:themeColor="text1"/>
          <w:sz w:val="24"/>
          <w:szCs w:val="24"/>
        </w:rPr>
        <w:t>, 233-235.</w:t>
      </w:r>
    </w:p>
    <w:sectPr w:rsidR="005D65D5" w:rsidRPr="00EA6461" w:rsidSect="009F6A83">
      <w:headerReference w:type="even" r:id="rId11"/>
      <w:headerReference w:type="default" r:id="rId12"/>
      <w:footerReference w:type="even"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42A3C" w14:textId="77777777" w:rsidR="006F67BD" w:rsidRDefault="006F67BD" w:rsidP="001479AB">
      <w:pPr>
        <w:spacing w:after="0" w:line="240" w:lineRule="auto"/>
      </w:pPr>
      <w:r>
        <w:separator/>
      </w:r>
    </w:p>
  </w:endnote>
  <w:endnote w:type="continuationSeparator" w:id="0">
    <w:p w14:paraId="08A2C4E3" w14:textId="77777777" w:rsidR="006F67BD" w:rsidRDefault="006F67BD" w:rsidP="001479AB">
      <w:pPr>
        <w:spacing w:after="0" w:line="240" w:lineRule="auto"/>
      </w:pPr>
      <w:r>
        <w:continuationSeparator/>
      </w:r>
    </w:p>
  </w:endnote>
  <w:endnote w:id="1">
    <w:p w14:paraId="38F0820B" w14:textId="62C32764" w:rsidR="00507585" w:rsidRPr="004E1DD4" w:rsidRDefault="00507585" w:rsidP="004E1DD4">
      <w:pPr>
        <w:pStyle w:val="FootnoteText"/>
        <w:rPr>
          <w:sz w:val="20"/>
          <w:szCs w:val="20"/>
        </w:rPr>
      </w:pPr>
      <w:r w:rsidRPr="004E1DD4">
        <w:rPr>
          <w:rStyle w:val="EndnoteReference"/>
          <w:sz w:val="20"/>
          <w:szCs w:val="20"/>
        </w:rPr>
        <w:endnoteRef/>
      </w:r>
      <w:r w:rsidRPr="004E1DD4">
        <w:rPr>
          <w:sz w:val="20"/>
          <w:szCs w:val="20"/>
        </w:rPr>
        <w:t xml:space="preserve"> For more information about this software, see www.sight-sim.co.uk</w:t>
      </w:r>
    </w:p>
  </w:endnote>
  <w:endnote w:id="2">
    <w:p w14:paraId="7DB9B437" w14:textId="77777777" w:rsidR="004E1DD4" w:rsidRPr="004E1DD4" w:rsidRDefault="004E1DD4" w:rsidP="004E1DD4">
      <w:pPr>
        <w:pStyle w:val="FootnoteText"/>
        <w:rPr>
          <w:sz w:val="20"/>
          <w:szCs w:val="20"/>
        </w:rPr>
      </w:pPr>
      <w:r w:rsidRPr="004E1DD4">
        <w:rPr>
          <w:rStyle w:val="EndnoteReference"/>
          <w:sz w:val="20"/>
          <w:szCs w:val="20"/>
        </w:rPr>
        <w:endnoteRef/>
      </w:r>
      <w:r w:rsidRPr="004E1DD4">
        <w:rPr>
          <w:sz w:val="20"/>
          <w:szCs w:val="20"/>
        </w:rPr>
        <w:t xml:space="preserve"> Of course the research outlined here is open to similar lines of critical response.</w:t>
      </w:r>
    </w:p>
    <w:p w14:paraId="58439080" w14:textId="77777777" w:rsidR="004E1DD4" w:rsidRPr="004E1DD4" w:rsidRDefault="004E1DD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1883" w14:textId="77777777" w:rsidR="003E48C7" w:rsidRDefault="003E13FE" w:rsidP="001479AB">
    <w:pPr>
      <w:pStyle w:val="Footer"/>
      <w:framePr w:wrap="around" w:vAnchor="text" w:hAnchor="margin" w:xAlign="right" w:y="1"/>
      <w:rPr>
        <w:rStyle w:val="PageNumber"/>
      </w:rPr>
    </w:pPr>
    <w:r>
      <w:rPr>
        <w:rStyle w:val="PageNumber"/>
      </w:rPr>
      <w:fldChar w:fldCharType="begin"/>
    </w:r>
    <w:r w:rsidR="003E48C7">
      <w:rPr>
        <w:rStyle w:val="PageNumber"/>
      </w:rPr>
      <w:instrText xml:space="preserve">PAGE  </w:instrText>
    </w:r>
    <w:r>
      <w:rPr>
        <w:rStyle w:val="PageNumber"/>
      </w:rPr>
      <w:fldChar w:fldCharType="end"/>
    </w:r>
  </w:p>
  <w:p w14:paraId="1FBB1E14" w14:textId="77777777" w:rsidR="003E48C7" w:rsidRDefault="003E48C7" w:rsidP="001479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64167" w14:textId="77777777" w:rsidR="003E48C7" w:rsidRDefault="003E48C7" w:rsidP="001479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2D175" w14:textId="77777777" w:rsidR="006F67BD" w:rsidRDefault="006F67BD" w:rsidP="001479AB">
      <w:pPr>
        <w:spacing w:after="0" w:line="240" w:lineRule="auto"/>
      </w:pPr>
      <w:r>
        <w:separator/>
      </w:r>
    </w:p>
  </w:footnote>
  <w:footnote w:type="continuationSeparator" w:id="0">
    <w:p w14:paraId="345CF0A6" w14:textId="77777777" w:rsidR="006F67BD" w:rsidRDefault="006F67BD" w:rsidP="00147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00649" w14:textId="77777777" w:rsidR="003E48C7" w:rsidRDefault="003E13FE" w:rsidP="00DD44EF">
    <w:pPr>
      <w:pStyle w:val="Header"/>
      <w:framePr w:wrap="around" w:vAnchor="text" w:hAnchor="margin" w:xAlign="right" w:y="1"/>
      <w:rPr>
        <w:rStyle w:val="PageNumber"/>
      </w:rPr>
    </w:pPr>
    <w:r>
      <w:rPr>
        <w:rStyle w:val="PageNumber"/>
      </w:rPr>
      <w:fldChar w:fldCharType="begin"/>
    </w:r>
    <w:r w:rsidR="003E48C7">
      <w:rPr>
        <w:rStyle w:val="PageNumber"/>
      </w:rPr>
      <w:instrText xml:space="preserve">PAGE  </w:instrText>
    </w:r>
    <w:r>
      <w:rPr>
        <w:rStyle w:val="PageNumber"/>
      </w:rPr>
      <w:fldChar w:fldCharType="end"/>
    </w:r>
  </w:p>
  <w:p w14:paraId="4A2DDEA9" w14:textId="77777777" w:rsidR="003E48C7" w:rsidRDefault="003E48C7" w:rsidP="00DD44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DD4CC" w14:textId="6D34C227" w:rsidR="003E48C7" w:rsidRDefault="003E13FE" w:rsidP="00DD44EF">
    <w:pPr>
      <w:pStyle w:val="Header"/>
      <w:framePr w:wrap="around" w:vAnchor="text" w:hAnchor="margin" w:xAlign="right" w:y="1"/>
      <w:rPr>
        <w:rStyle w:val="PageNumber"/>
      </w:rPr>
    </w:pPr>
    <w:r>
      <w:rPr>
        <w:rStyle w:val="PageNumber"/>
      </w:rPr>
      <w:fldChar w:fldCharType="begin"/>
    </w:r>
    <w:r w:rsidR="003E48C7">
      <w:rPr>
        <w:rStyle w:val="PageNumber"/>
      </w:rPr>
      <w:instrText xml:space="preserve">PAGE  </w:instrText>
    </w:r>
    <w:r>
      <w:rPr>
        <w:rStyle w:val="PageNumber"/>
      </w:rPr>
      <w:fldChar w:fldCharType="separate"/>
    </w:r>
    <w:r w:rsidR="00830D30">
      <w:rPr>
        <w:rStyle w:val="PageNumber"/>
        <w:noProof/>
      </w:rPr>
      <w:t>1</w:t>
    </w:r>
    <w:r>
      <w:rPr>
        <w:rStyle w:val="PageNumber"/>
      </w:rPr>
      <w:fldChar w:fldCharType="end"/>
    </w:r>
  </w:p>
  <w:p w14:paraId="6AE96DFF" w14:textId="77777777" w:rsidR="003E48C7" w:rsidRPr="00DD44EF" w:rsidRDefault="003E48C7" w:rsidP="00DD44EF">
    <w:pPr>
      <w:pStyle w:val="Header"/>
      <w:ind w:right="360"/>
      <w:jc w:val="center"/>
      <w:rPr>
        <w:rFonts w:ascii="Times New Roman" w:hAnsi="Times New Roman" w:cs="Times New Roman"/>
        <w:sz w:val="24"/>
        <w:szCs w:val="24"/>
      </w:rPr>
    </w:pPr>
    <w:r>
      <w:rPr>
        <w:rFonts w:ascii="Times New Roman" w:hAnsi="Times New Roman" w:cs="Times New Roman"/>
        <w:sz w:val="24"/>
        <w:szCs w:val="24"/>
      </w:rPr>
      <w:t xml:space="preserve">                                                                                </w:t>
    </w:r>
    <w:r w:rsidRPr="00DD44EF">
      <w:rPr>
        <w:rFonts w:ascii="Times New Roman" w:hAnsi="Times New Roman" w:cs="Times New Roman"/>
        <w:sz w:val="24"/>
        <w:szCs w:val="24"/>
      </w:rPr>
      <w:t>Disability Simulation Defence</w:t>
    </w: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5C8A"/>
    <w:multiLevelType w:val="hybridMultilevel"/>
    <w:tmpl w:val="1DF0C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D4832"/>
    <w:multiLevelType w:val="hybridMultilevel"/>
    <w:tmpl w:val="1DF0C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03F07"/>
    <w:multiLevelType w:val="hybridMultilevel"/>
    <w:tmpl w:val="5B542020"/>
    <w:lvl w:ilvl="0" w:tplc="BB7AEC6C">
      <w:start w:val="1"/>
      <w:numFmt w:val="decimal"/>
      <w:lvlText w:val="%1)"/>
      <w:lvlJc w:val="left"/>
      <w:pPr>
        <w:tabs>
          <w:tab w:val="num" w:pos="720"/>
        </w:tabs>
        <w:ind w:left="720" w:hanging="360"/>
      </w:pPr>
    </w:lvl>
    <w:lvl w:ilvl="1" w:tplc="B1325EFE" w:tentative="1">
      <w:start w:val="1"/>
      <w:numFmt w:val="decimal"/>
      <w:lvlText w:val="%2)"/>
      <w:lvlJc w:val="left"/>
      <w:pPr>
        <w:tabs>
          <w:tab w:val="num" w:pos="1440"/>
        </w:tabs>
        <w:ind w:left="1440" w:hanging="360"/>
      </w:pPr>
    </w:lvl>
    <w:lvl w:ilvl="2" w:tplc="A7FA91EE" w:tentative="1">
      <w:start w:val="1"/>
      <w:numFmt w:val="decimal"/>
      <w:lvlText w:val="%3)"/>
      <w:lvlJc w:val="left"/>
      <w:pPr>
        <w:tabs>
          <w:tab w:val="num" w:pos="2160"/>
        </w:tabs>
        <w:ind w:left="2160" w:hanging="360"/>
      </w:pPr>
    </w:lvl>
    <w:lvl w:ilvl="3" w:tplc="0598ECCE" w:tentative="1">
      <w:start w:val="1"/>
      <w:numFmt w:val="decimal"/>
      <w:lvlText w:val="%4)"/>
      <w:lvlJc w:val="left"/>
      <w:pPr>
        <w:tabs>
          <w:tab w:val="num" w:pos="2880"/>
        </w:tabs>
        <w:ind w:left="2880" w:hanging="360"/>
      </w:pPr>
    </w:lvl>
    <w:lvl w:ilvl="4" w:tplc="3944767E" w:tentative="1">
      <w:start w:val="1"/>
      <w:numFmt w:val="decimal"/>
      <w:lvlText w:val="%5)"/>
      <w:lvlJc w:val="left"/>
      <w:pPr>
        <w:tabs>
          <w:tab w:val="num" w:pos="3600"/>
        </w:tabs>
        <w:ind w:left="3600" w:hanging="360"/>
      </w:pPr>
    </w:lvl>
    <w:lvl w:ilvl="5" w:tplc="49FEE784" w:tentative="1">
      <w:start w:val="1"/>
      <w:numFmt w:val="decimal"/>
      <w:lvlText w:val="%6)"/>
      <w:lvlJc w:val="left"/>
      <w:pPr>
        <w:tabs>
          <w:tab w:val="num" w:pos="4320"/>
        </w:tabs>
        <w:ind w:left="4320" w:hanging="360"/>
      </w:pPr>
    </w:lvl>
    <w:lvl w:ilvl="6" w:tplc="742667DC" w:tentative="1">
      <w:start w:val="1"/>
      <w:numFmt w:val="decimal"/>
      <w:lvlText w:val="%7)"/>
      <w:lvlJc w:val="left"/>
      <w:pPr>
        <w:tabs>
          <w:tab w:val="num" w:pos="5040"/>
        </w:tabs>
        <w:ind w:left="5040" w:hanging="360"/>
      </w:pPr>
    </w:lvl>
    <w:lvl w:ilvl="7" w:tplc="FCA4E7F8" w:tentative="1">
      <w:start w:val="1"/>
      <w:numFmt w:val="decimal"/>
      <w:lvlText w:val="%8)"/>
      <w:lvlJc w:val="left"/>
      <w:pPr>
        <w:tabs>
          <w:tab w:val="num" w:pos="5760"/>
        </w:tabs>
        <w:ind w:left="5760" w:hanging="360"/>
      </w:pPr>
    </w:lvl>
    <w:lvl w:ilvl="8" w:tplc="AD70427C" w:tentative="1">
      <w:start w:val="1"/>
      <w:numFmt w:val="decimal"/>
      <w:lvlText w:val="%9)"/>
      <w:lvlJc w:val="left"/>
      <w:pPr>
        <w:tabs>
          <w:tab w:val="num" w:pos="6480"/>
        </w:tabs>
        <w:ind w:left="6480" w:hanging="360"/>
      </w:pPr>
    </w:lvl>
  </w:abstractNum>
  <w:abstractNum w:abstractNumId="3" w15:restartNumberingAfterBreak="0">
    <w:nsid w:val="617E6521"/>
    <w:multiLevelType w:val="hybridMultilevel"/>
    <w:tmpl w:val="C44C18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AB"/>
    <w:rsid w:val="000067E6"/>
    <w:rsid w:val="0002664D"/>
    <w:rsid w:val="00026F48"/>
    <w:rsid w:val="000716F4"/>
    <w:rsid w:val="00077B6E"/>
    <w:rsid w:val="00080FC7"/>
    <w:rsid w:val="0008160E"/>
    <w:rsid w:val="000846D1"/>
    <w:rsid w:val="00085310"/>
    <w:rsid w:val="0009170C"/>
    <w:rsid w:val="000A05E3"/>
    <w:rsid w:val="000B0C91"/>
    <w:rsid w:val="000B1077"/>
    <w:rsid w:val="000B3D6E"/>
    <w:rsid w:val="000B55CE"/>
    <w:rsid w:val="000B63F5"/>
    <w:rsid w:val="000B778E"/>
    <w:rsid w:val="000C5FE7"/>
    <w:rsid w:val="000D0BEE"/>
    <w:rsid w:val="000D51CC"/>
    <w:rsid w:val="000D5F3D"/>
    <w:rsid w:val="000F3467"/>
    <w:rsid w:val="00122075"/>
    <w:rsid w:val="001479AB"/>
    <w:rsid w:val="00152692"/>
    <w:rsid w:val="001526DA"/>
    <w:rsid w:val="0015562B"/>
    <w:rsid w:val="0016330F"/>
    <w:rsid w:val="0016461A"/>
    <w:rsid w:val="001650BD"/>
    <w:rsid w:val="00167E2C"/>
    <w:rsid w:val="001877E4"/>
    <w:rsid w:val="0019639D"/>
    <w:rsid w:val="001A145C"/>
    <w:rsid w:val="001B1711"/>
    <w:rsid w:val="001B417F"/>
    <w:rsid w:val="001D4A98"/>
    <w:rsid w:val="001E70E6"/>
    <w:rsid w:val="001F0473"/>
    <w:rsid w:val="00200C3F"/>
    <w:rsid w:val="00201230"/>
    <w:rsid w:val="002059A0"/>
    <w:rsid w:val="002068F5"/>
    <w:rsid w:val="0021017A"/>
    <w:rsid w:val="002115B2"/>
    <w:rsid w:val="00214C6B"/>
    <w:rsid w:val="00230945"/>
    <w:rsid w:val="00240215"/>
    <w:rsid w:val="00247D07"/>
    <w:rsid w:val="00256436"/>
    <w:rsid w:val="002640ED"/>
    <w:rsid w:val="00267731"/>
    <w:rsid w:val="00270DF9"/>
    <w:rsid w:val="00273A33"/>
    <w:rsid w:val="002744EF"/>
    <w:rsid w:val="00274BD1"/>
    <w:rsid w:val="00275AF8"/>
    <w:rsid w:val="002C1419"/>
    <w:rsid w:val="002C1D2A"/>
    <w:rsid w:val="002C6524"/>
    <w:rsid w:val="002E38DC"/>
    <w:rsid w:val="002F31ED"/>
    <w:rsid w:val="002F4814"/>
    <w:rsid w:val="00304AF3"/>
    <w:rsid w:val="00311AF1"/>
    <w:rsid w:val="003136B5"/>
    <w:rsid w:val="003233A2"/>
    <w:rsid w:val="0032489C"/>
    <w:rsid w:val="00333453"/>
    <w:rsid w:val="00334CEB"/>
    <w:rsid w:val="00344A2D"/>
    <w:rsid w:val="00346794"/>
    <w:rsid w:val="00352197"/>
    <w:rsid w:val="00354401"/>
    <w:rsid w:val="00363ED6"/>
    <w:rsid w:val="00364D70"/>
    <w:rsid w:val="0037693B"/>
    <w:rsid w:val="003B2102"/>
    <w:rsid w:val="003D2F29"/>
    <w:rsid w:val="003E0015"/>
    <w:rsid w:val="003E13FE"/>
    <w:rsid w:val="003E48C7"/>
    <w:rsid w:val="003E7249"/>
    <w:rsid w:val="0040471D"/>
    <w:rsid w:val="00412CCA"/>
    <w:rsid w:val="004329F9"/>
    <w:rsid w:val="00433638"/>
    <w:rsid w:val="004357C5"/>
    <w:rsid w:val="00435CA5"/>
    <w:rsid w:val="00444067"/>
    <w:rsid w:val="00462CA4"/>
    <w:rsid w:val="00465452"/>
    <w:rsid w:val="00465512"/>
    <w:rsid w:val="00474E1A"/>
    <w:rsid w:val="0047540E"/>
    <w:rsid w:val="00480245"/>
    <w:rsid w:val="004926D8"/>
    <w:rsid w:val="004958F5"/>
    <w:rsid w:val="004A0D23"/>
    <w:rsid w:val="004A0EC3"/>
    <w:rsid w:val="004A49E9"/>
    <w:rsid w:val="004A7138"/>
    <w:rsid w:val="004A7791"/>
    <w:rsid w:val="004C1D6A"/>
    <w:rsid w:val="004E1DD4"/>
    <w:rsid w:val="004F473E"/>
    <w:rsid w:val="004F7FED"/>
    <w:rsid w:val="00501BBB"/>
    <w:rsid w:val="00507585"/>
    <w:rsid w:val="00520FC4"/>
    <w:rsid w:val="0052230D"/>
    <w:rsid w:val="00527CF7"/>
    <w:rsid w:val="00530FCF"/>
    <w:rsid w:val="005440B5"/>
    <w:rsid w:val="00546E8E"/>
    <w:rsid w:val="00560A00"/>
    <w:rsid w:val="00561D4D"/>
    <w:rsid w:val="00582147"/>
    <w:rsid w:val="0059208E"/>
    <w:rsid w:val="00595438"/>
    <w:rsid w:val="005C0D41"/>
    <w:rsid w:val="005D037B"/>
    <w:rsid w:val="005D1A81"/>
    <w:rsid w:val="005D65D5"/>
    <w:rsid w:val="005E49E6"/>
    <w:rsid w:val="005E7E2B"/>
    <w:rsid w:val="005F02F2"/>
    <w:rsid w:val="005F08AC"/>
    <w:rsid w:val="00611EF7"/>
    <w:rsid w:val="00614E39"/>
    <w:rsid w:val="00615103"/>
    <w:rsid w:val="0061554E"/>
    <w:rsid w:val="00620E9E"/>
    <w:rsid w:val="0062223E"/>
    <w:rsid w:val="00623558"/>
    <w:rsid w:val="00624AED"/>
    <w:rsid w:val="0064075C"/>
    <w:rsid w:val="00650775"/>
    <w:rsid w:val="006534F1"/>
    <w:rsid w:val="00664484"/>
    <w:rsid w:val="0066715F"/>
    <w:rsid w:val="00680C43"/>
    <w:rsid w:val="00691064"/>
    <w:rsid w:val="006962CB"/>
    <w:rsid w:val="006A3968"/>
    <w:rsid w:val="006C52C0"/>
    <w:rsid w:val="006D3375"/>
    <w:rsid w:val="006D3F42"/>
    <w:rsid w:val="006D43BF"/>
    <w:rsid w:val="006D4953"/>
    <w:rsid w:val="006E1CCF"/>
    <w:rsid w:val="006E6B13"/>
    <w:rsid w:val="006F67BD"/>
    <w:rsid w:val="00707185"/>
    <w:rsid w:val="007162D9"/>
    <w:rsid w:val="00737718"/>
    <w:rsid w:val="00740F66"/>
    <w:rsid w:val="00745393"/>
    <w:rsid w:val="007559A1"/>
    <w:rsid w:val="00765F6C"/>
    <w:rsid w:val="00770BC3"/>
    <w:rsid w:val="00777E81"/>
    <w:rsid w:val="007814E5"/>
    <w:rsid w:val="00791EBE"/>
    <w:rsid w:val="00792006"/>
    <w:rsid w:val="007A4203"/>
    <w:rsid w:val="007F348F"/>
    <w:rsid w:val="007F3503"/>
    <w:rsid w:val="007F7F55"/>
    <w:rsid w:val="00830D30"/>
    <w:rsid w:val="008342E4"/>
    <w:rsid w:val="0084659B"/>
    <w:rsid w:val="0086398D"/>
    <w:rsid w:val="00863C26"/>
    <w:rsid w:val="00874BCD"/>
    <w:rsid w:val="00880CE9"/>
    <w:rsid w:val="008A642B"/>
    <w:rsid w:val="008C3F2C"/>
    <w:rsid w:val="008C57A8"/>
    <w:rsid w:val="008C5E41"/>
    <w:rsid w:val="008D62ED"/>
    <w:rsid w:val="008D7597"/>
    <w:rsid w:val="008D766C"/>
    <w:rsid w:val="00910929"/>
    <w:rsid w:val="00912A0F"/>
    <w:rsid w:val="009166D0"/>
    <w:rsid w:val="00922611"/>
    <w:rsid w:val="00926AD1"/>
    <w:rsid w:val="00933C05"/>
    <w:rsid w:val="0093584C"/>
    <w:rsid w:val="00941021"/>
    <w:rsid w:val="00971083"/>
    <w:rsid w:val="00971102"/>
    <w:rsid w:val="00971113"/>
    <w:rsid w:val="00980048"/>
    <w:rsid w:val="009807D3"/>
    <w:rsid w:val="00980AC0"/>
    <w:rsid w:val="00986B50"/>
    <w:rsid w:val="00986DAD"/>
    <w:rsid w:val="009A3A20"/>
    <w:rsid w:val="009B0074"/>
    <w:rsid w:val="009B4B87"/>
    <w:rsid w:val="009B6019"/>
    <w:rsid w:val="009C4FE3"/>
    <w:rsid w:val="009D454A"/>
    <w:rsid w:val="009F6A83"/>
    <w:rsid w:val="00A30667"/>
    <w:rsid w:val="00A32313"/>
    <w:rsid w:val="00A35407"/>
    <w:rsid w:val="00A4009A"/>
    <w:rsid w:val="00A42E17"/>
    <w:rsid w:val="00A474BD"/>
    <w:rsid w:val="00A51446"/>
    <w:rsid w:val="00A70BF2"/>
    <w:rsid w:val="00A71D2B"/>
    <w:rsid w:val="00A77BB6"/>
    <w:rsid w:val="00A91F59"/>
    <w:rsid w:val="00AA2EEC"/>
    <w:rsid w:val="00AC0FF7"/>
    <w:rsid w:val="00AC591E"/>
    <w:rsid w:val="00AD41E6"/>
    <w:rsid w:val="00AE7290"/>
    <w:rsid w:val="00AF07CA"/>
    <w:rsid w:val="00B04470"/>
    <w:rsid w:val="00B11AE4"/>
    <w:rsid w:val="00B13F38"/>
    <w:rsid w:val="00B33725"/>
    <w:rsid w:val="00B35690"/>
    <w:rsid w:val="00B46D4B"/>
    <w:rsid w:val="00B729C8"/>
    <w:rsid w:val="00B7416B"/>
    <w:rsid w:val="00B940B4"/>
    <w:rsid w:val="00B95DC4"/>
    <w:rsid w:val="00BA2A4E"/>
    <w:rsid w:val="00BA73CD"/>
    <w:rsid w:val="00BC0881"/>
    <w:rsid w:val="00BC491F"/>
    <w:rsid w:val="00BC5E85"/>
    <w:rsid w:val="00BD2031"/>
    <w:rsid w:val="00BD4C4C"/>
    <w:rsid w:val="00BF1E1B"/>
    <w:rsid w:val="00BF7581"/>
    <w:rsid w:val="00C0436A"/>
    <w:rsid w:val="00C04E44"/>
    <w:rsid w:val="00C078A4"/>
    <w:rsid w:val="00C4001E"/>
    <w:rsid w:val="00C84F23"/>
    <w:rsid w:val="00C87364"/>
    <w:rsid w:val="00C91FCC"/>
    <w:rsid w:val="00C92CE1"/>
    <w:rsid w:val="00C945F2"/>
    <w:rsid w:val="00C96DC4"/>
    <w:rsid w:val="00C97EC9"/>
    <w:rsid w:val="00CA7844"/>
    <w:rsid w:val="00CB13B4"/>
    <w:rsid w:val="00CE4107"/>
    <w:rsid w:val="00CE6C03"/>
    <w:rsid w:val="00D11C03"/>
    <w:rsid w:val="00D11EE7"/>
    <w:rsid w:val="00D14547"/>
    <w:rsid w:val="00D330C5"/>
    <w:rsid w:val="00D45415"/>
    <w:rsid w:val="00D46672"/>
    <w:rsid w:val="00D52360"/>
    <w:rsid w:val="00D66B6B"/>
    <w:rsid w:val="00D715B1"/>
    <w:rsid w:val="00D73E32"/>
    <w:rsid w:val="00D76DF7"/>
    <w:rsid w:val="00D91B3C"/>
    <w:rsid w:val="00D92FBD"/>
    <w:rsid w:val="00DB31DB"/>
    <w:rsid w:val="00DB5DA5"/>
    <w:rsid w:val="00DC0EE0"/>
    <w:rsid w:val="00DD44EF"/>
    <w:rsid w:val="00DD5F16"/>
    <w:rsid w:val="00DF5086"/>
    <w:rsid w:val="00DF5B5C"/>
    <w:rsid w:val="00E0549C"/>
    <w:rsid w:val="00E06207"/>
    <w:rsid w:val="00E140EB"/>
    <w:rsid w:val="00E40F37"/>
    <w:rsid w:val="00E47FC6"/>
    <w:rsid w:val="00E5001A"/>
    <w:rsid w:val="00E5009F"/>
    <w:rsid w:val="00E65F49"/>
    <w:rsid w:val="00E7364B"/>
    <w:rsid w:val="00E744F9"/>
    <w:rsid w:val="00E758C7"/>
    <w:rsid w:val="00E76519"/>
    <w:rsid w:val="00E8037A"/>
    <w:rsid w:val="00E820DF"/>
    <w:rsid w:val="00E857DE"/>
    <w:rsid w:val="00E93DB8"/>
    <w:rsid w:val="00EA6461"/>
    <w:rsid w:val="00EB3211"/>
    <w:rsid w:val="00EB3A36"/>
    <w:rsid w:val="00EC062B"/>
    <w:rsid w:val="00EE6B5B"/>
    <w:rsid w:val="00EE726C"/>
    <w:rsid w:val="00F14851"/>
    <w:rsid w:val="00F1565A"/>
    <w:rsid w:val="00F27C0F"/>
    <w:rsid w:val="00F449C4"/>
    <w:rsid w:val="00F45528"/>
    <w:rsid w:val="00F45742"/>
    <w:rsid w:val="00F47670"/>
    <w:rsid w:val="00F55C8F"/>
    <w:rsid w:val="00F57850"/>
    <w:rsid w:val="00F675D0"/>
    <w:rsid w:val="00F7502D"/>
    <w:rsid w:val="00F80D23"/>
    <w:rsid w:val="00F81245"/>
    <w:rsid w:val="00F9739A"/>
    <w:rsid w:val="00FA6A6D"/>
    <w:rsid w:val="00FE326B"/>
    <w:rsid w:val="00FE3EC3"/>
    <w:rsid w:val="00FE69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D988F"/>
  <w15:docId w15:val="{4755A789-795E-4785-923A-AAF1BC09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A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9AB"/>
    <w:pPr>
      <w:ind w:left="720"/>
      <w:contextualSpacing/>
    </w:pPr>
  </w:style>
  <w:style w:type="paragraph" w:styleId="FootnoteText">
    <w:name w:val="footnote text"/>
    <w:basedOn w:val="Normal"/>
    <w:link w:val="FootnoteTextChar"/>
    <w:uiPriority w:val="99"/>
    <w:unhideWhenUsed/>
    <w:rsid w:val="001479AB"/>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1479AB"/>
    <w:rPr>
      <w:rFonts w:ascii="Times New Roman" w:eastAsia="Times New Roman" w:hAnsi="Times New Roman" w:cs="Times New Roman"/>
      <w:lang w:val="en-US"/>
    </w:rPr>
  </w:style>
  <w:style w:type="character" w:styleId="FootnoteReference">
    <w:name w:val="footnote reference"/>
    <w:basedOn w:val="DefaultParagraphFont"/>
    <w:uiPriority w:val="99"/>
    <w:unhideWhenUsed/>
    <w:rsid w:val="001479AB"/>
    <w:rPr>
      <w:vertAlign w:val="superscript"/>
    </w:rPr>
  </w:style>
  <w:style w:type="paragraph" w:styleId="Footer">
    <w:name w:val="footer"/>
    <w:basedOn w:val="Normal"/>
    <w:link w:val="FooterChar"/>
    <w:uiPriority w:val="99"/>
    <w:unhideWhenUsed/>
    <w:rsid w:val="001479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1479AB"/>
    <w:rPr>
      <w:rFonts w:eastAsiaTheme="minorHAnsi"/>
      <w:sz w:val="22"/>
      <w:szCs w:val="22"/>
    </w:rPr>
  </w:style>
  <w:style w:type="character" w:styleId="PageNumber">
    <w:name w:val="page number"/>
    <w:basedOn w:val="DefaultParagraphFont"/>
    <w:uiPriority w:val="99"/>
    <w:semiHidden/>
    <w:unhideWhenUsed/>
    <w:rsid w:val="001479AB"/>
  </w:style>
  <w:style w:type="table" w:styleId="TableGrid">
    <w:name w:val="Table Grid"/>
    <w:basedOn w:val="TableNormal"/>
    <w:uiPriority w:val="59"/>
    <w:rsid w:val="00C84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2FBD"/>
    <w:rPr>
      <w:color w:val="0000FF" w:themeColor="hyperlink"/>
      <w:u w:val="single"/>
    </w:rPr>
  </w:style>
  <w:style w:type="paragraph" w:styleId="Header">
    <w:name w:val="header"/>
    <w:basedOn w:val="Normal"/>
    <w:link w:val="HeaderChar"/>
    <w:uiPriority w:val="99"/>
    <w:unhideWhenUsed/>
    <w:rsid w:val="00DD44EF"/>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44EF"/>
    <w:rPr>
      <w:rFonts w:eastAsiaTheme="minorHAnsi"/>
      <w:sz w:val="22"/>
      <w:szCs w:val="22"/>
    </w:rPr>
  </w:style>
  <w:style w:type="character" w:styleId="FollowedHyperlink">
    <w:name w:val="FollowedHyperlink"/>
    <w:basedOn w:val="DefaultParagraphFont"/>
    <w:uiPriority w:val="99"/>
    <w:semiHidden/>
    <w:unhideWhenUsed/>
    <w:rsid w:val="00DB31DB"/>
    <w:rPr>
      <w:color w:val="800080" w:themeColor="followedHyperlink"/>
      <w:u w:val="single"/>
    </w:rPr>
  </w:style>
  <w:style w:type="character" w:styleId="CommentReference">
    <w:name w:val="annotation reference"/>
    <w:basedOn w:val="DefaultParagraphFont"/>
    <w:uiPriority w:val="99"/>
    <w:semiHidden/>
    <w:unhideWhenUsed/>
    <w:rsid w:val="008C3F2C"/>
    <w:rPr>
      <w:sz w:val="16"/>
      <w:szCs w:val="16"/>
    </w:rPr>
  </w:style>
  <w:style w:type="paragraph" w:styleId="CommentText">
    <w:name w:val="annotation text"/>
    <w:basedOn w:val="Normal"/>
    <w:link w:val="CommentTextChar"/>
    <w:uiPriority w:val="99"/>
    <w:semiHidden/>
    <w:unhideWhenUsed/>
    <w:rsid w:val="008C3F2C"/>
    <w:pPr>
      <w:spacing w:line="240" w:lineRule="auto"/>
    </w:pPr>
    <w:rPr>
      <w:sz w:val="20"/>
      <w:szCs w:val="20"/>
    </w:rPr>
  </w:style>
  <w:style w:type="character" w:customStyle="1" w:styleId="CommentTextChar">
    <w:name w:val="Comment Text Char"/>
    <w:basedOn w:val="DefaultParagraphFont"/>
    <w:link w:val="CommentText"/>
    <w:uiPriority w:val="99"/>
    <w:semiHidden/>
    <w:rsid w:val="008C3F2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8C3F2C"/>
    <w:rPr>
      <w:b/>
      <w:bCs/>
    </w:rPr>
  </w:style>
  <w:style w:type="character" w:customStyle="1" w:styleId="CommentSubjectChar">
    <w:name w:val="Comment Subject Char"/>
    <w:basedOn w:val="CommentTextChar"/>
    <w:link w:val="CommentSubject"/>
    <w:uiPriority w:val="99"/>
    <w:semiHidden/>
    <w:rsid w:val="008C3F2C"/>
    <w:rPr>
      <w:rFonts w:eastAsiaTheme="minorHAnsi"/>
      <w:b/>
      <w:bCs/>
      <w:sz w:val="20"/>
      <w:szCs w:val="20"/>
    </w:rPr>
  </w:style>
  <w:style w:type="paragraph" w:styleId="BalloonText">
    <w:name w:val="Balloon Text"/>
    <w:basedOn w:val="Normal"/>
    <w:link w:val="BalloonTextChar"/>
    <w:uiPriority w:val="99"/>
    <w:semiHidden/>
    <w:unhideWhenUsed/>
    <w:rsid w:val="008C3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F2C"/>
    <w:rPr>
      <w:rFonts w:ascii="Segoe UI" w:eastAsiaTheme="minorHAnsi" w:hAnsi="Segoe UI" w:cs="Segoe UI"/>
      <w:sz w:val="18"/>
      <w:szCs w:val="18"/>
    </w:rPr>
  </w:style>
  <w:style w:type="paragraph" w:styleId="EndnoteText">
    <w:name w:val="endnote text"/>
    <w:basedOn w:val="Normal"/>
    <w:link w:val="EndnoteTextChar"/>
    <w:uiPriority w:val="99"/>
    <w:semiHidden/>
    <w:unhideWhenUsed/>
    <w:rsid w:val="005075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7585"/>
    <w:rPr>
      <w:rFonts w:eastAsiaTheme="minorHAnsi"/>
      <w:sz w:val="20"/>
      <w:szCs w:val="20"/>
    </w:rPr>
  </w:style>
  <w:style w:type="character" w:styleId="EndnoteReference">
    <w:name w:val="endnote reference"/>
    <w:basedOn w:val="DefaultParagraphFont"/>
    <w:uiPriority w:val="99"/>
    <w:semiHidden/>
    <w:unhideWhenUsed/>
    <w:rsid w:val="005075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034474">
      <w:bodyDiv w:val="1"/>
      <w:marLeft w:val="0"/>
      <w:marRight w:val="0"/>
      <w:marTop w:val="0"/>
      <w:marBottom w:val="0"/>
      <w:divBdr>
        <w:top w:val="none" w:sz="0" w:space="0" w:color="auto"/>
        <w:left w:val="none" w:sz="0" w:space="0" w:color="auto"/>
        <w:bottom w:val="none" w:sz="0" w:space="0" w:color="auto"/>
        <w:right w:val="none" w:sz="0" w:space="0" w:color="auto"/>
      </w:divBdr>
    </w:div>
    <w:div w:id="2065135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loratorium.edu/education/ifi/constructivist-learn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treat.com/dont_mourn.html" TargetMode="External"/><Relationship Id="rId4" Type="http://schemas.openxmlformats.org/officeDocument/2006/relationships/settings" Target="settings.xml"/><Relationship Id="rId9" Type="http://schemas.openxmlformats.org/officeDocument/2006/relationships/hyperlink" Target="http://george-hein.com/downloads/roleMuseumsSocietyForum.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9EBCA-D73C-4291-84A2-F25459C6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9300</Words>
  <Characters>53012</Characters>
  <Application>Microsoft Office Word</Application>
  <DocSecurity>0</DocSecurity>
  <Lines>441</Lines>
  <Paragraphs>124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Liverpool Hope</Company>
  <LinksUpToDate>false</LinksUpToDate>
  <CharactersWithSpaces>62188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Feeney</dc:creator>
  <cp:lastModifiedBy>David Feeney</cp:lastModifiedBy>
  <cp:revision>2</cp:revision>
  <cp:lastPrinted>2017-03-03T15:32:00Z</cp:lastPrinted>
  <dcterms:created xsi:type="dcterms:W3CDTF">2017-07-18T10:19:00Z</dcterms:created>
  <dcterms:modified xsi:type="dcterms:W3CDTF">2017-07-18T10:19:00Z</dcterms:modified>
</cp:coreProperties>
</file>