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93D69" w14:textId="77777777" w:rsidR="00AF5F1A" w:rsidRPr="00485DD6" w:rsidRDefault="00AF5F1A" w:rsidP="00AF5F1A">
      <w:pPr>
        <w:spacing w:after="0" w:line="480" w:lineRule="auto"/>
        <w:contextualSpacing/>
        <w:jc w:val="center"/>
        <w:outlineLvl w:val="0"/>
      </w:pPr>
      <w:bookmarkStart w:id="0" w:name="_GoBack"/>
      <w:bookmarkEnd w:id="0"/>
      <w:r w:rsidRPr="00485DD6">
        <w:t>First-generation Immigrants Feel Socially Excluded and Have Greater Pro-violence Attitudes than the Native Population in England and Wales</w:t>
      </w:r>
    </w:p>
    <w:p w14:paraId="751CE800" w14:textId="77777777" w:rsidR="000B3B59" w:rsidRPr="00485DD6" w:rsidRDefault="000B3B59" w:rsidP="008B6437">
      <w:pPr>
        <w:spacing w:after="0" w:line="480" w:lineRule="auto"/>
        <w:contextualSpacing/>
        <w:jc w:val="both"/>
        <w:outlineLvl w:val="0"/>
        <w:rPr>
          <w:b/>
        </w:rPr>
      </w:pPr>
      <w:r w:rsidRPr="00485DD6">
        <w:rPr>
          <w:b/>
        </w:rPr>
        <w:t>Introduction</w:t>
      </w:r>
    </w:p>
    <w:p w14:paraId="70FD3EC2" w14:textId="78108644" w:rsidR="009D3495" w:rsidRPr="00485DD6" w:rsidRDefault="009D3495" w:rsidP="008B6437">
      <w:pPr>
        <w:spacing w:after="0" w:line="480" w:lineRule="auto"/>
        <w:ind w:firstLine="720"/>
        <w:contextualSpacing/>
        <w:jc w:val="both"/>
        <w:rPr>
          <w:color w:val="1F497D" w:themeColor="text2"/>
        </w:rPr>
      </w:pPr>
      <w:r w:rsidRPr="00485DD6">
        <w:rPr>
          <w:color w:val="1F497D" w:themeColor="text2"/>
        </w:rPr>
        <w:t xml:space="preserve">In understanding </w:t>
      </w:r>
      <w:r w:rsidR="00D14463" w:rsidRPr="00485DD6">
        <w:rPr>
          <w:color w:val="1F497D" w:themeColor="text2"/>
        </w:rPr>
        <w:t>risk factors for violence</w:t>
      </w:r>
      <w:r w:rsidRPr="00485DD6">
        <w:rPr>
          <w:color w:val="1F497D" w:themeColor="text2"/>
        </w:rPr>
        <w:t xml:space="preserve"> </w:t>
      </w:r>
      <w:r w:rsidR="00D14463" w:rsidRPr="00485DD6">
        <w:rPr>
          <w:color w:val="1F497D" w:themeColor="text2"/>
        </w:rPr>
        <w:t>and exploring</w:t>
      </w:r>
      <w:r w:rsidRPr="00485DD6">
        <w:rPr>
          <w:color w:val="1F497D" w:themeColor="text2"/>
        </w:rPr>
        <w:t xml:space="preserve"> betw</w:t>
      </w:r>
      <w:r w:rsidR="001723C8" w:rsidRPr="00485DD6">
        <w:rPr>
          <w:color w:val="1F497D" w:themeColor="text2"/>
        </w:rPr>
        <w:t>een-group differences</w:t>
      </w:r>
      <w:r w:rsidR="00D14463" w:rsidRPr="00485DD6">
        <w:rPr>
          <w:color w:val="1F497D" w:themeColor="text2"/>
        </w:rPr>
        <w:t>,</w:t>
      </w:r>
      <w:r w:rsidR="001723C8" w:rsidRPr="00485DD6">
        <w:rPr>
          <w:color w:val="1F497D" w:themeColor="text2"/>
        </w:rPr>
        <w:t xml:space="preserve"> </w:t>
      </w:r>
      <w:r w:rsidR="00D14463" w:rsidRPr="00485DD6">
        <w:rPr>
          <w:color w:val="1F497D" w:themeColor="text2"/>
        </w:rPr>
        <w:t>the main variables studied</w:t>
      </w:r>
      <w:r w:rsidRPr="00485DD6">
        <w:rPr>
          <w:color w:val="1F497D" w:themeColor="text2"/>
        </w:rPr>
        <w:t xml:space="preserve"> are ge</w:t>
      </w:r>
      <w:r w:rsidR="00D957E6" w:rsidRPr="00485DD6">
        <w:rPr>
          <w:color w:val="1F497D" w:themeColor="text2"/>
        </w:rPr>
        <w:t xml:space="preserve">nder and ethnicity. Farrington and his colleagues </w:t>
      </w:r>
      <w:r w:rsidRPr="00485DD6">
        <w:rPr>
          <w:color w:val="1F497D" w:themeColor="text2"/>
        </w:rPr>
        <w:fldChar w:fldCharType="begin" w:fldLock="1"/>
      </w:r>
      <w:r w:rsidR="00460AAA">
        <w:rPr>
          <w:color w:val="1F497D" w:themeColor="text2"/>
        </w:rPr>
        <w:instrText>ADDIN CSL_CITATION { "citationItems" : [ { "id" : "ITEM-1", "itemData" : { "ISBN" : "9780511499456", "author" : [ { "dropping-particle" : "", "family" : "Farrington", "given" : "David P", "non-dropping-particle" : "", "parse-names" : false, "suffix" : "" }, { "dropping-particle" : "", "family" : "Loeber", "given" : "Rolf", "non-dropping-particle" : "", "parse-names" : false, "suffix" : "" }, { "dropping-particle" : "", "family" : "Stouthamer-Loeber", "given" : "Magda", "non-dropping-particle" : "", "parse-names" : false, "suffix" : "" } ], "container-title" : "Violent Crime: Assessing Race and Ethnic Differences", "editor" : [ { "dropping-particle" : "", "family" : "Hawkins", "given" : "Darnell F", "non-dropping-particle" : "", "parse-names" : false, "suffix" : "" } ], "id" : "ITEM-1", "issued" : { "date-parts" : [ [ "2003" ] ] }, "page" : "213-237", "publisher" : "Cambridge University Press", "publisher-place" : "Cambridge, UK", "title" : "How can the relationship between race and violence be explained?", "type" : "chapter" }, "uris" : [ "http://www.mendeley.com/documents/?uuid=844444d7-df84-4abf-b496-b81b556b4867" ] } ], "mendeley" : { "formattedCitation" : "(Farrington et al., 2003)", "manualFormatting" : "(2003)", "plainTextFormattedCitation" : "(Farrington et al., 2003)", "previouslyFormattedCitation" : "(Farrington et al., 2003)" }, "properties" : { "noteIndex" : 0 }, "schema" : "https://github.com/citation-style-language/schema/raw/master/csl-citation.json" }</w:instrText>
      </w:r>
      <w:r w:rsidRPr="00485DD6">
        <w:rPr>
          <w:color w:val="1F497D" w:themeColor="text2"/>
        </w:rPr>
        <w:fldChar w:fldCharType="separate"/>
      </w:r>
      <w:r w:rsidRPr="00485DD6">
        <w:rPr>
          <w:noProof/>
          <w:color w:val="1F497D" w:themeColor="text2"/>
        </w:rPr>
        <w:t>(2003)</w:t>
      </w:r>
      <w:r w:rsidRPr="00485DD6">
        <w:rPr>
          <w:color w:val="1F497D" w:themeColor="text2"/>
        </w:rPr>
        <w:fldChar w:fldCharType="end"/>
      </w:r>
      <w:r w:rsidRPr="00485DD6">
        <w:rPr>
          <w:color w:val="1F497D" w:themeColor="text2"/>
        </w:rPr>
        <w:t xml:space="preserve"> proposed that known risk factors for violence</w:t>
      </w:r>
      <w:r w:rsidR="009C0757" w:rsidRPr="00485DD6">
        <w:rPr>
          <w:color w:val="1F497D" w:themeColor="text2"/>
        </w:rPr>
        <w:t xml:space="preserve"> </w:t>
      </w:r>
      <w:r w:rsidRPr="00485DD6">
        <w:rPr>
          <w:color w:val="1F497D" w:themeColor="text2"/>
        </w:rPr>
        <w:t>may be experienced more by certa</w:t>
      </w:r>
      <w:r w:rsidR="00D033D0" w:rsidRPr="00485DD6">
        <w:rPr>
          <w:color w:val="1F497D" w:themeColor="text2"/>
        </w:rPr>
        <w:t>in ethnic groups than by others; t</w:t>
      </w:r>
      <w:r w:rsidR="004A3634" w:rsidRPr="00485DD6">
        <w:rPr>
          <w:color w:val="1F497D" w:themeColor="text2"/>
        </w:rPr>
        <w:t xml:space="preserve">hese factors are personal and social characteristics of an individual that predict a high probability of violence </w:t>
      </w:r>
      <w:r w:rsidR="004A3634" w:rsidRPr="00485DD6">
        <w:rPr>
          <w:color w:val="1F497D" w:themeColor="text2"/>
        </w:rPr>
        <w:fldChar w:fldCharType="begin" w:fldLock="1"/>
      </w:r>
      <w:r w:rsidR="00F56BF0" w:rsidRPr="00485DD6">
        <w:rPr>
          <w:color w:val="1F497D" w:themeColor="text2"/>
        </w:rPr>
        <w:instrText>ADDIN CSL_CITATION { "citationItems" : [ { "id" : "ITEM-1", "itemData" : { "DOI" : "10.1016/j.amepre.2012.04.029", "ISSN" : "1873-2607", "PMID" : "22789961", "abstract" : "This article discusses conceptual issues and reviews knowledge about direct and buffering protective factors in the development of youth violence. Direct protective factors predict a low probability of violence, whereas buffering protective factors predict a low probability of violence in the presence of risk (and often interact with risk factors). Individual, family, school, peer, and neighborhood factors are reviewed. Heterogeneity of variables, measurement, contexts, study design, sample, and other characteristics limit generalizations. However, there were various evidence-based candidates for having a direct protective or buffering protective effect such as above-average intelligence, low impulsivity/easy temperament, enhanced anxiety, prosocial attitudes, high heart rate, close relationship to at least one parent, intensive parental supervision, medium SES of the family, sound academic achievement, strong school bonding, a positive school/class climate, nondeviant peers, and living in a nondeprived and nonviolent neighborhood. The probability of violence decreases as the number of protective factors increases (a dose-response relationship). Implications for future research and practice concern adequate research designs to detect nonlinear relationships; conceptually and methodologically homogeneous studies; differentiated analyses with regard to age, gender, and other characteristics; and greater integration of longitudinal correlational research with (quasi-)experimental intervention studies.", "author" : [ { "dropping-particle" : "", "family" : "L\u00f6sel", "given" : "Friedrich", "non-dropping-particle" : "", "parse-names" : false, "suffix" : "" }, { "dropping-particle" : "", "family" : "Farrington", "given" : "David P", "non-dropping-particle" : "", "parse-names" : false, "suffix" : "" } ], "container-title" : "American Journal of Preventive Medicine", "id" : "ITEM-1", "issue" : "2S1", "issued" : { "date-parts" : [ [ "2012", "8" ] ] }, "page" : "S8-S23", "publisher" : "Elsevier Inc.", "title" : "Direct protective and buffering protective factors in the development of youth violence.", "type" : "article-journal", "volume" : "43" }, "uris" : [ "http://www.mendeley.com/documents/?uuid=d9e07fac-fbfa-4370-a4d8-b43aedf5b64f" ] } ], "mendeley" : { "formattedCitation" : "(L\u00f6sel and Farrington, 2012)", "plainTextFormattedCitation" : "(L\u00f6sel and Farrington, 2012)", "previouslyFormattedCitation" : "(L\u00f6sel and Farrington, 2012)" }, "properties" : { "noteIndex" : 0 }, "schema" : "https://github.com/citation-style-language/schema/raw/master/csl-citation.json" }</w:instrText>
      </w:r>
      <w:r w:rsidR="004A3634" w:rsidRPr="00485DD6">
        <w:rPr>
          <w:color w:val="1F497D" w:themeColor="text2"/>
        </w:rPr>
        <w:fldChar w:fldCharType="separate"/>
      </w:r>
      <w:r w:rsidR="004A3634" w:rsidRPr="00485DD6">
        <w:rPr>
          <w:noProof/>
          <w:color w:val="1F497D" w:themeColor="text2"/>
        </w:rPr>
        <w:t>(Lösel and Farrington, 2012)</w:t>
      </w:r>
      <w:r w:rsidR="004A3634" w:rsidRPr="00485DD6">
        <w:rPr>
          <w:color w:val="1F497D" w:themeColor="text2"/>
        </w:rPr>
        <w:fldChar w:fldCharType="end"/>
      </w:r>
      <w:r w:rsidR="004A3634" w:rsidRPr="00485DD6">
        <w:rPr>
          <w:color w:val="1F497D" w:themeColor="text2"/>
        </w:rPr>
        <w:t xml:space="preserve">. </w:t>
      </w:r>
      <w:r w:rsidRPr="00485DD6">
        <w:rPr>
          <w:color w:val="1F497D" w:themeColor="text2"/>
        </w:rPr>
        <w:t xml:space="preserve">In the UK, for example, </w:t>
      </w:r>
      <w:r w:rsidR="00F36E3C" w:rsidRPr="00485DD6">
        <w:rPr>
          <w:color w:val="1F497D" w:themeColor="text2"/>
        </w:rPr>
        <w:t xml:space="preserve">individuals who identified as </w:t>
      </w:r>
      <w:r w:rsidR="006C0D23" w:rsidRPr="00485DD6">
        <w:rPr>
          <w:color w:val="1F497D" w:themeColor="text2"/>
        </w:rPr>
        <w:t>belonging to</w:t>
      </w:r>
      <w:r w:rsidR="00F36E3C" w:rsidRPr="00485DD6">
        <w:rPr>
          <w:color w:val="1F497D" w:themeColor="text2"/>
        </w:rPr>
        <w:t xml:space="preserve"> a</w:t>
      </w:r>
      <w:r w:rsidRPr="00485DD6">
        <w:rPr>
          <w:color w:val="1F497D" w:themeColor="text2"/>
        </w:rPr>
        <w:t xml:space="preserve"> Black or Minority ethnicity (BME) had significantly different experiences of victimization, fear of crime, and the criminal justice system than non-BME individuals </w:t>
      </w:r>
      <w:r w:rsidRPr="00485DD6">
        <w:rPr>
          <w:color w:val="1F497D" w:themeColor="text2"/>
        </w:rPr>
        <w:fldChar w:fldCharType="begin" w:fldLock="1"/>
      </w:r>
      <w:r w:rsidR="00831892" w:rsidRPr="00485DD6">
        <w:rPr>
          <w:color w:val="1F497D" w:themeColor="text2"/>
        </w:rPr>
        <w:instrText>ADDIN CSL_CITATION { "citationItems" : [ { "id" : "ITEM-1", "itemData" : { "DOI" : "10.1007/978-90-481-9103-1", "ISBN" : "978-90-481-9102-4", "author" : [ { "dropping-particle" : "", "family" : "Kautt", "given" : "Paula", "non-dropping-particle" : "", "parse-names" : false, "suffix" : "" } ], "container-title" : "Ethnicity and Integration", "editor" : [ { "dropping-particle" : "", "family" : "Stillwell", "given" : "John", "non-dropping-particle" : "", "parse-names" : false, "suffix" : "" }, { "dropping-particle" : "", "family" : "Ham", "given" : "Maarten", "non-dropping-particle" : "van", "parse-names" : false, "suffix" : "" } ], "id" : "ITEM-1", "issued" : { "date-parts" : [ [ "2010" ] ] }, "page" : "251-268", "publisher" : "Springer Science", "publisher-place" : "New York, US", "title" : "Ethnic variation in crime-related experiences: A statistical comparison of Asian and Black responses on the British crime survey", "type" : "chapter" }, "uris" : [ "http://www.mendeley.com/documents/?uuid=6840e7c5-374b-45d3-8408-f1099c525c11" ] }, { "id" : "ITEM-2", "itemData" : { "author" : [ { "dropping-particle" : "", "family" : "Webster", "given" : "Colin", "non-dropping-particle" : "", "parse-names" : false, "suffix" : "" } ], "id" : "ITEM-2", "issued" : { "date-parts" : [ [ "2007" ] ] }, "publisher" : "Open University Press", "publisher-place" : "New York, US", "title" : "Understanding Race and Crime", "type" : "book" }, "uris" : [ "http://www.mendeley.com/documents/?uuid=41fa9610-c1e8-494e-9e5f-700af1ff8480" ] } ], "mendeley" : { "formattedCitation" : "(Kautt, 2010; Webster, 2007)", "manualFormatting" : "(Kautt, 2010, p. 251; Webster, 2007)", "plainTextFormattedCitation" : "(Kautt, 2010; Webster, 2007)", "previouslyFormattedCitation" : "(Kautt, 2010; Webster, 2007)" }, "properties" : { "noteIndex" : 0 }, "schema" : "https://github.com/citation-style-language/schema/raw/master/csl-citation.json" }</w:instrText>
      </w:r>
      <w:r w:rsidRPr="00485DD6">
        <w:rPr>
          <w:color w:val="1F497D" w:themeColor="text2"/>
        </w:rPr>
        <w:fldChar w:fldCharType="separate"/>
      </w:r>
      <w:r w:rsidRPr="00485DD6">
        <w:rPr>
          <w:noProof/>
          <w:color w:val="1F497D" w:themeColor="text2"/>
        </w:rPr>
        <w:t>(Kautt, 2010</w:t>
      </w:r>
      <w:r w:rsidR="008A0535" w:rsidRPr="00485DD6">
        <w:rPr>
          <w:noProof/>
          <w:color w:val="1F497D" w:themeColor="text2"/>
        </w:rPr>
        <w:t>, p. 251</w:t>
      </w:r>
      <w:r w:rsidRPr="00485DD6">
        <w:rPr>
          <w:noProof/>
          <w:color w:val="1F497D" w:themeColor="text2"/>
        </w:rPr>
        <w:t>; Webster, 2007)</w:t>
      </w:r>
      <w:r w:rsidRPr="00485DD6">
        <w:rPr>
          <w:color w:val="1F497D" w:themeColor="text2"/>
        </w:rPr>
        <w:fldChar w:fldCharType="end"/>
      </w:r>
      <w:r w:rsidRPr="00485DD6">
        <w:rPr>
          <w:color w:val="1F497D" w:themeColor="text2"/>
        </w:rPr>
        <w:t xml:space="preserve">. Similar to the observation of Farrington et al. (2003) for different ethnic groups, the prevalence and impact of risk factors may be experienced </w:t>
      </w:r>
      <w:r w:rsidR="009C0757" w:rsidRPr="00485DD6">
        <w:rPr>
          <w:color w:val="1F497D" w:themeColor="text2"/>
        </w:rPr>
        <w:t xml:space="preserve">differently </w:t>
      </w:r>
      <w:r w:rsidR="005D6A0D" w:rsidRPr="00485DD6">
        <w:rPr>
          <w:color w:val="1F497D" w:themeColor="text2"/>
        </w:rPr>
        <w:t>among</w:t>
      </w:r>
      <w:r w:rsidRPr="00485DD6">
        <w:rPr>
          <w:color w:val="1F497D" w:themeColor="text2"/>
        </w:rPr>
        <w:t xml:space="preserve"> </w:t>
      </w:r>
      <w:r w:rsidR="002745BB" w:rsidRPr="00485DD6">
        <w:rPr>
          <w:color w:val="1F497D" w:themeColor="text2"/>
        </w:rPr>
        <w:t xml:space="preserve">different immigrant </w:t>
      </w:r>
      <w:r w:rsidR="00D14463" w:rsidRPr="00485DD6">
        <w:rPr>
          <w:color w:val="1F497D" w:themeColor="text2"/>
        </w:rPr>
        <w:t>generations</w:t>
      </w:r>
      <w:r w:rsidR="00FA17CE" w:rsidRPr="00485DD6">
        <w:rPr>
          <w:color w:val="1F497D" w:themeColor="text2"/>
        </w:rPr>
        <w:t xml:space="preserve"> </w:t>
      </w:r>
      <w:r w:rsidR="00FA17CE" w:rsidRPr="00485DD6">
        <w:rPr>
          <w:color w:val="1F497D" w:themeColor="text2"/>
        </w:rPr>
        <w:fldChar w:fldCharType="begin" w:fldLock="1"/>
      </w:r>
      <w:r w:rsidR="00FA17CE" w:rsidRPr="00485DD6">
        <w:rPr>
          <w:color w:val="1F497D" w:themeColor="text2"/>
        </w:rPr>
        <w:instrText>ADDIN CSL_CITATION { "citationItems" : [ { "id" : "ITEM-1", "itemData" : { "DOI" : "10.1080/00207590701804305", "ISSN" : "1464-066X", "PMID" : "22023497", "abstract" : "This cross-sectional study investigated a model of risk and protective factors of the family, school, and peer environment that predict adolescent delinquent behaviour. Three social groups were compared: newcomer ethnic German adolescent immigrants, experienced ethnic German adolescent immigrants, and native adolescents. Based on theoretical assumptions about processes of acculturation, it was hypothesized that the strength of associations between the variables in the theoretical model would vary between newcomer immigrants and native adolescents and also between newcomer and experienced immigrants, but would be similar for experienced immigrants and native adolescents; these hypotheses were supported. Findings suggest that certain risk factors, such as parental violence and involvement with delinquent peers, are more strongly related to delinquency among newcomer immigrants than among experienced immigrants and native adolescents, whereas certain protective factors, such as parental knowledge and school bonding, seem to be relevant for experienced immigrants and native adolescents only. Results seem to indicate that migration can be seen as phase transition with a stronger impact of risk factors on the development of delinquency among newcomer immigrant adolescents. This has implications for studying acculturation processes in immigrant groups as well as for group-specific intervention programmes.", "author" : [ { "dropping-particle" : "", "family" : "Titzmann", "given" : "Peter F", "non-dropping-particle" : "", "parse-names" : false, "suffix" : "" }, { "dropping-particle" : "", "family" : "Raabe", "given" : "Tobias", "non-dropping-particle" : "", "parse-names" : false, "suffix" : "" }, { "dropping-particle" : "", "family" : "Silbereisen", "given" : "Rainer K", "non-dropping-particle" : "", "parse-names" : false, "suffix" : "" } ], "container-title" : "International journal of psychology : Journal international de psychologie", "id" : "ITEM-1", "issue" : "1", "issued" : { "date-parts" : [ [ "2008", "2" ] ] }, "page" : "19-31", "title" : "Risk and protective factors for delinquency among male adolescent immigrants at different stages of the acculturation process.", "type" : "article-journal", "volume" : "43" }, "uris" : [ "http://www.mendeley.com/documents/?uuid=82870a00-1160-4c13-b65a-78ce816cb8ac" ] } ], "mendeley" : { "formattedCitation" : "(Titzmann et al., 2008)", "manualFormatting" : "(see Titzmann et al., 2008)", "plainTextFormattedCitation" : "(Titzmann et al., 2008)", "previouslyFormattedCitation" : "(Titzmann et al., 2008)" }, "properties" : { "noteIndex" : 0 }, "schema" : "https://github.com/citation-style-language/schema/raw/master/csl-citation.json" }</w:instrText>
      </w:r>
      <w:r w:rsidR="00FA17CE" w:rsidRPr="00485DD6">
        <w:rPr>
          <w:color w:val="1F497D" w:themeColor="text2"/>
        </w:rPr>
        <w:fldChar w:fldCharType="separate"/>
      </w:r>
      <w:r w:rsidR="00FA17CE" w:rsidRPr="00485DD6">
        <w:rPr>
          <w:noProof/>
          <w:color w:val="1F497D" w:themeColor="text2"/>
        </w:rPr>
        <w:t>(see Titzmann et al., 2008)</w:t>
      </w:r>
      <w:r w:rsidR="00FA17CE" w:rsidRPr="00485DD6">
        <w:rPr>
          <w:color w:val="1F497D" w:themeColor="text2"/>
        </w:rPr>
        <w:fldChar w:fldCharType="end"/>
      </w:r>
      <w:r w:rsidRPr="00485DD6">
        <w:rPr>
          <w:color w:val="1F497D" w:themeColor="text2"/>
        </w:rPr>
        <w:t xml:space="preserve">. </w:t>
      </w:r>
    </w:p>
    <w:p w14:paraId="2D750300" w14:textId="605A3F12" w:rsidR="00120C88" w:rsidRPr="00485DD6" w:rsidRDefault="00120C88" w:rsidP="008B6437">
      <w:pPr>
        <w:spacing w:after="0" w:line="480" w:lineRule="auto"/>
        <w:ind w:firstLine="720"/>
        <w:contextualSpacing/>
        <w:jc w:val="both"/>
        <w:rPr>
          <w:color w:val="1F497D" w:themeColor="text2"/>
        </w:rPr>
      </w:pPr>
      <w:r w:rsidRPr="00485DD6">
        <w:rPr>
          <w:color w:val="1F497D" w:themeColor="text2"/>
        </w:rPr>
        <w:t xml:space="preserve">The present study investigates </w:t>
      </w:r>
      <w:r w:rsidR="00073A97">
        <w:rPr>
          <w:color w:val="1F497D" w:themeColor="text2"/>
        </w:rPr>
        <w:t>risk factors that contribute to the</w:t>
      </w:r>
      <w:r w:rsidRPr="00485DD6">
        <w:rPr>
          <w:color w:val="1F497D" w:themeColor="text2"/>
        </w:rPr>
        <w:t xml:space="preserve"> relationship between </w:t>
      </w:r>
      <w:r w:rsidR="00E80AC2" w:rsidRPr="00485DD6">
        <w:rPr>
          <w:color w:val="1F497D" w:themeColor="text2"/>
        </w:rPr>
        <w:t xml:space="preserve">immigrant </w:t>
      </w:r>
      <w:r w:rsidRPr="00485DD6">
        <w:rPr>
          <w:color w:val="1F497D" w:themeColor="text2"/>
        </w:rPr>
        <w:t xml:space="preserve">generational status and violence </w:t>
      </w:r>
      <w:r w:rsidR="00D14463" w:rsidRPr="00485DD6">
        <w:rPr>
          <w:color w:val="1F497D" w:themeColor="text2"/>
        </w:rPr>
        <w:t>in</w:t>
      </w:r>
      <w:r w:rsidRPr="00485DD6">
        <w:rPr>
          <w:color w:val="1F497D" w:themeColor="text2"/>
        </w:rPr>
        <w:t xml:space="preserve"> the UK, and whether perceptions play a </w:t>
      </w:r>
      <w:r w:rsidR="00D14463" w:rsidRPr="00485DD6">
        <w:rPr>
          <w:color w:val="1F497D" w:themeColor="text2"/>
        </w:rPr>
        <w:t xml:space="preserve">mediating </w:t>
      </w:r>
      <w:r w:rsidRPr="00485DD6">
        <w:rPr>
          <w:color w:val="1F497D" w:themeColor="text2"/>
        </w:rPr>
        <w:t xml:space="preserve">role in </w:t>
      </w:r>
      <w:r w:rsidR="00D14463" w:rsidRPr="00485DD6">
        <w:rPr>
          <w:color w:val="1F497D" w:themeColor="text2"/>
        </w:rPr>
        <w:t xml:space="preserve">this </w:t>
      </w:r>
      <w:r w:rsidRPr="00485DD6">
        <w:rPr>
          <w:color w:val="1F497D" w:themeColor="text2"/>
        </w:rPr>
        <w:t xml:space="preserve">relationship. No study has investigated this relationship in the British context, as the bulk of research and theories </w:t>
      </w:r>
      <w:r w:rsidR="00D14463" w:rsidRPr="00485DD6">
        <w:rPr>
          <w:color w:val="1F497D" w:themeColor="text2"/>
        </w:rPr>
        <w:t xml:space="preserve">on immigrants and crime </w:t>
      </w:r>
      <w:r w:rsidRPr="00485DD6">
        <w:rPr>
          <w:color w:val="1F497D" w:themeColor="text2"/>
        </w:rPr>
        <w:t xml:space="preserve">are from America. The UK is home to diverse groups of immigrants. According to the Office for National Statistics </w:t>
      </w:r>
      <w:r w:rsidRPr="00485DD6">
        <w:rPr>
          <w:color w:val="1F497D" w:themeColor="text2"/>
        </w:rPr>
        <w:fldChar w:fldCharType="begin" w:fldLock="1"/>
      </w:r>
      <w:r w:rsidR="00F56BF0" w:rsidRPr="00485DD6">
        <w:rPr>
          <w:color w:val="1F497D" w:themeColor="text2"/>
        </w:rPr>
        <w:instrText>ADDIN CSL_CITATION { "citationItems" : [ { "id" : "ITEM-1", "itemData" : { "URL" : "http://www.ons.gov.uk/ons/rel/ migration1/migration-statistics-quarterly-report/may-2013/index.html  ", "author" : [ { "dropping-particle" : "", "family" : "Office for National Statistics", "given" : "", "non-dropping-particle" : "", "parse-names" : false, "suffix" : "" } ], "id" : "ITEM-1", "issued" : { "date-parts" : [ [ "2013" ] ] }, "title" : "Migration statistics quarterly report", "type" : "webpage" }, "uris" : [ "http://www.mendeley.com/documents/?uuid=c62d1e24-e245-408f-acc9-642163bd416b" ] } ], "mendeley" : { "formattedCitation" : "(Office for National Statistics, 2013)", "manualFormatting" : "(2013)", "plainTextFormattedCitation" : "(Office for National Statistics, 2013)", "previouslyFormattedCitation" : "(Office for National Statistics, 2013)" }, "properties" : { "noteIndex" : 0 }, "schema" : "https://github.com/citation-style-language/schema/raw/master/csl-citation.json" }</w:instrText>
      </w:r>
      <w:r w:rsidRPr="00485DD6">
        <w:rPr>
          <w:color w:val="1F497D" w:themeColor="text2"/>
        </w:rPr>
        <w:fldChar w:fldCharType="separate"/>
      </w:r>
      <w:r w:rsidRPr="00485DD6">
        <w:rPr>
          <w:noProof/>
          <w:color w:val="1F497D" w:themeColor="text2"/>
        </w:rPr>
        <w:t>(2013)</w:t>
      </w:r>
      <w:r w:rsidRPr="00485DD6">
        <w:rPr>
          <w:color w:val="1F497D" w:themeColor="text2"/>
        </w:rPr>
        <w:fldChar w:fldCharType="end"/>
      </w:r>
      <w:r w:rsidRPr="00485DD6">
        <w:rPr>
          <w:color w:val="1F497D" w:themeColor="text2"/>
        </w:rPr>
        <w:t xml:space="preserve">, </w:t>
      </w:r>
      <w:r w:rsidR="00D14463" w:rsidRPr="00485DD6">
        <w:rPr>
          <w:color w:val="1F497D" w:themeColor="text2"/>
        </w:rPr>
        <w:t>500,000 new immigrants arrived in</w:t>
      </w:r>
      <w:r w:rsidR="00530B75" w:rsidRPr="00485DD6">
        <w:rPr>
          <w:color w:val="1F497D" w:themeColor="text2"/>
        </w:rPr>
        <w:t xml:space="preserve"> the UK between September 2011 and September</w:t>
      </w:r>
      <w:r w:rsidRPr="00485DD6">
        <w:rPr>
          <w:color w:val="1F497D" w:themeColor="text2"/>
        </w:rPr>
        <w:t xml:space="preserve"> 2012</w:t>
      </w:r>
      <w:r w:rsidR="00530B75" w:rsidRPr="00485DD6">
        <w:rPr>
          <w:color w:val="1F497D" w:themeColor="text2"/>
        </w:rPr>
        <w:t>,</w:t>
      </w:r>
      <w:r w:rsidR="00D14463" w:rsidRPr="00485DD6">
        <w:rPr>
          <w:color w:val="1F497D" w:themeColor="text2"/>
        </w:rPr>
        <w:t xml:space="preserve"> and of that population</w:t>
      </w:r>
      <w:r w:rsidRPr="00485DD6">
        <w:rPr>
          <w:color w:val="1F497D" w:themeColor="text2"/>
        </w:rPr>
        <w:t xml:space="preserve"> 105,000 were citizens from new commonwealth countries. In addition, the </w:t>
      </w:r>
      <w:r w:rsidRPr="00485DD6">
        <w:rPr>
          <w:color w:val="1F497D" w:themeColor="text2"/>
        </w:rPr>
        <w:fldChar w:fldCharType="begin" w:fldLock="1"/>
      </w:r>
      <w:r w:rsidR="00F56BF0" w:rsidRPr="00485DD6">
        <w:rPr>
          <w:color w:val="1F497D" w:themeColor="text2"/>
        </w:rPr>
        <w:instrText>ADDIN CSL_CITATION { "citationItems" : [ { "id" : "ITEM-1", "itemData" : { "URL" : "http://infuse.mimas.ac.uk", "abstract" : "Office for National Statistics, 2011 Census: Aggregate data (England and Wales) [computer file]. UK Data Service Census Support. Downloaded from: http://infuse.mimas.ac.uk. This information is licensed under the terms of the Open Government Licence [http://www.nationalarchives.gov.uk/doc/open-government-licence/version/2].", "author" : [ { "dropping-particle" : "", "family" : "Office for National Statistics", "given" : "", "non-dropping-particle" : "", "parse-names" : false, "suffix" : "" } ], "id" : "ITEM-1", "issued" : { "date-parts" : [ [ "2011" ] ] }, "title" : "Census: Aggregate data (England and Wales) [computer file]", "type" : "webpage" }, "uris" : [ "http://www.mendeley.com/documents/?uuid=2c1e9db3-2df4-4b79-a9a2-fe4712bcebaf" ] } ], "mendeley" : { "formattedCitation" : "(Office for National Statistics, 2011)", "manualFormatting" : "2011 UK census ", "plainTextFormattedCitation" : "(Office for National Statistics, 2011)", "previouslyFormattedCitation" : "(Office for National Statistics, 2011)" }, "properties" : { "noteIndex" : 0 }, "schema" : "https://github.com/citation-style-language/schema/raw/master/csl-citation.json" }</w:instrText>
      </w:r>
      <w:r w:rsidRPr="00485DD6">
        <w:rPr>
          <w:color w:val="1F497D" w:themeColor="text2"/>
        </w:rPr>
        <w:fldChar w:fldCharType="separate"/>
      </w:r>
      <w:r w:rsidRPr="00485DD6">
        <w:rPr>
          <w:noProof/>
          <w:color w:val="1F497D" w:themeColor="text2"/>
        </w:rPr>
        <w:t xml:space="preserve">2011 UK census </w:t>
      </w:r>
      <w:r w:rsidRPr="00485DD6">
        <w:rPr>
          <w:color w:val="1F497D" w:themeColor="text2"/>
        </w:rPr>
        <w:fldChar w:fldCharType="end"/>
      </w:r>
      <w:r w:rsidRPr="00485DD6">
        <w:rPr>
          <w:color w:val="1F497D" w:themeColor="text2"/>
        </w:rPr>
        <w:t xml:space="preserve">showed that 7.5 million (13%) of </w:t>
      </w:r>
      <w:r w:rsidR="00D14463" w:rsidRPr="00485DD6">
        <w:rPr>
          <w:color w:val="1F497D" w:themeColor="text2"/>
        </w:rPr>
        <w:t xml:space="preserve">residents of </w:t>
      </w:r>
      <w:r w:rsidRPr="00485DD6">
        <w:rPr>
          <w:color w:val="1F497D" w:themeColor="text2"/>
        </w:rPr>
        <w:t>England a</w:t>
      </w:r>
      <w:r w:rsidR="00D14463" w:rsidRPr="00485DD6">
        <w:rPr>
          <w:color w:val="1F497D" w:themeColor="text2"/>
        </w:rPr>
        <w:t xml:space="preserve">nd Wales </w:t>
      </w:r>
      <w:r w:rsidR="006C0D23" w:rsidRPr="00485DD6">
        <w:rPr>
          <w:color w:val="1F497D" w:themeColor="text2"/>
        </w:rPr>
        <w:t>were foreign-</w:t>
      </w:r>
      <w:r w:rsidRPr="00485DD6">
        <w:rPr>
          <w:color w:val="1F497D" w:themeColor="text2"/>
        </w:rPr>
        <w:t xml:space="preserve">born. Thus, studying the immigrant-crime </w:t>
      </w:r>
      <w:r w:rsidRPr="00485DD6">
        <w:rPr>
          <w:color w:val="1F497D" w:themeColor="text2"/>
        </w:rPr>
        <w:lastRenderedPageBreak/>
        <w:t xml:space="preserve">relationship and understanding the risk factors </w:t>
      </w:r>
      <w:r w:rsidR="00D14463" w:rsidRPr="00485DD6">
        <w:rPr>
          <w:color w:val="1F497D" w:themeColor="text2"/>
        </w:rPr>
        <w:t xml:space="preserve">for violence </w:t>
      </w:r>
      <w:r w:rsidRPr="00485DD6">
        <w:rPr>
          <w:color w:val="1F497D" w:themeColor="text2"/>
        </w:rPr>
        <w:t xml:space="preserve">within the British context will allow </w:t>
      </w:r>
      <w:r w:rsidR="00D14463" w:rsidRPr="00485DD6">
        <w:rPr>
          <w:color w:val="1F497D" w:themeColor="text2"/>
        </w:rPr>
        <w:t xml:space="preserve">the </w:t>
      </w:r>
      <w:r w:rsidRPr="00485DD6">
        <w:rPr>
          <w:color w:val="1F497D" w:themeColor="text2"/>
        </w:rPr>
        <w:t xml:space="preserve">identification of differences and similarities </w:t>
      </w:r>
      <w:r w:rsidR="00D14463" w:rsidRPr="00485DD6">
        <w:rPr>
          <w:color w:val="1F497D" w:themeColor="text2"/>
        </w:rPr>
        <w:t>compared with</w:t>
      </w:r>
      <w:r w:rsidRPr="00485DD6">
        <w:rPr>
          <w:color w:val="1F497D" w:themeColor="text2"/>
        </w:rPr>
        <w:t xml:space="preserve"> America</w:t>
      </w:r>
      <w:r w:rsidR="00D14463" w:rsidRPr="00485DD6">
        <w:rPr>
          <w:color w:val="1F497D" w:themeColor="text2"/>
        </w:rPr>
        <w:t xml:space="preserve">n research, </w:t>
      </w:r>
      <w:r w:rsidR="00530B75" w:rsidRPr="00485DD6">
        <w:rPr>
          <w:color w:val="1F497D" w:themeColor="text2"/>
        </w:rPr>
        <w:t>whilst contributing knowledge to the existing literature</w:t>
      </w:r>
      <w:r w:rsidRPr="00485DD6">
        <w:rPr>
          <w:color w:val="1F497D" w:themeColor="text2"/>
        </w:rPr>
        <w:t xml:space="preserve">. </w:t>
      </w:r>
    </w:p>
    <w:p w14:paraId="1189E0C7" w14:textId="2150E01C" w:rsidR="005D001F" w:rsidRDefault="005D6A0D" w:rsidP="008B6437">
      <w:pPr>
        <w:spacing w:after="0" w:line="480" w:lineRule="auto"/>
        <w:ind w:firstLine="720"/>
        <w:contextualSpacing/>
        <w:jc w:val="both"/>
        <w:rPr>
          <w:color w:val="1F497D" w:themeColor="text2"/>
        </w:rPr>
      </w:pPr>
      <w:r w:rsidRPr="00485DD6">
        <w:rPr>
          <w:color w:val="1F497D" w:themeColor="text2"/>
        </w:rPr>
        <w:t>The majority of studies on generational status and crime are based on American samples. The</w:t>
      </w:r>
      <w:r w:rsidR="007128BD" w:rsidRPr="00485DD6">
        <w:rPr>
          <w:color w:val="1F497D" w:themeColor="text2"/>
        </w:rPr>
        <w:t xml:space="preserve"> s</w:t>
      </w:r>
      <w:r w:rsidR="000527EF" w:rsidRPr="00485DD6">
        <w:rPr>
          <w:color w:val="1F497D" w:themeColor="text2"/>
        </w:rPr>
        <w:t xml:space="preserve">tudies that have examined differences in </w:t>
      </w:r>
      <w:r w:rsidR="006C0D23" w:rsidRPr="00485DD6">
        <w:rPr>
          <w:color w:val="1F497D" w:themeColor="text2"/>
        </w:rPr>
        <w:t xml:space="preserve">immigrant </w:t>
      </w:r>
      <w:r w:rsidR="000527EF" w:rsidRPr="00485DD6">
        <w:rPr>
          <w:color w:val="1F497D" w:themeColor="text2"/>
        </w:rPr>
        <w:t xml:space="preserve">generational groups for violence </w:t>
      </w:r>
      <w:r w:rsidR="00CB3776" w:rsidRPr="00485DD6">
        <w:rPr>
          <w:color w:val="1F497D" w:themeColor="text2"/>
        </w:rPr>
        <w:t xml:space="preserve">have established that </w:t>
      </w:r>
      <w:r w:rsidR="00450162" w:rsidRPr="00485DD6">
        <w:rPr>
          <w:color w:val="1F497D" w:themeColor="text2"/>
        </w:rPr>
        <w:t xml:space="preserve">first-generation </w:t>
      </w:r>
      <w:r w:rsidR="00CB3776" w:rsidRPr="00485DD6">
        <w:rPr>
          <w:color w:val="1F497D" w:themeColor="text2"/>
        </w:rPr>
        <w:t>immigrants</w:t>
      </w:r>
      <w:r w:rsidR="008A0535" w:rsidRPr="00485DD6">
        <w:rPr>
          <w:rStyle w:val="FootnoteReference"/>
          <w:color w:val="1F497D" w:themeColor="text2"/>
        </w:rPr>
        <w:footnoteReference w:id="1"/>
      </w:r>
      <w:r w:rsidR="008A0535" w:rsidRPr="00485DD6">
        <w:rPr>
          <w:color w:val="1F497D" w:themeColor="text2"/>
        </w:rPr>
        <w:t xml:space="preserve"> </w:t>
      </w:r>
      <w:r w:rsidR="00CB3776" w:rsidRPr="00485DD6">
        <w:rPr>
          <w:color w:val="1F497D" w:themeColor="text2"/>
        </w:rPr>
        <w:t>h</w:t>
      </w:r>
      <w:r w:rsidR="00114C13" w:rsidRPr="00485DD6">
        <w:rPr>
          <w:color w:val="1F497D" w:themeColor="text2"/>
        </w:rPr>
        <w:t xml:space="preserve">ave lower rates of violence, </w:t>
      </w:r>
      <w:r w:rsidR="00CB3776" w:rsidRPr="00485DD6">
        <w:rPr>
          <w:color w:val="1F497D" w:themeColor="text2"/>
        </w:rPr>
        <w:t>crime</w:t>
      </w:r>
      <w:r w:rsidR="00114C13" w:rsidRPr="00485DD6">
        <w:rPr>
          <w:color w:val="1F497D" w:themeColor="text2"/>
        </w:rPr>
        <w:t>, and arrest</w:t>
      </w:r>
      <w:r w:rsidR="00CB3776" w:rsidRPr="00485DD6">
        <w:rPr>
          <w:color w:val="1F497D" w:themeColor="text2"/>
        </w:rPr>
        <w:t xml:space="preserve"> than</w:t>
      </w:r>
      <w:r w:rsidR="00114C13" w:rsidRPr="00485DD6">
        <w:rPr>
          <w:color w:val="1F497D" w:themeColor="text2"/>
        </w:rPr>
        <w:t xml:space="preserve"> the native-born</w:t>
      </w:r>
      <w:r w:rsidR="00D14463" w:rsidRPr="00485DD6">
        <w:rPr>
          <w:color w:val="1F497D" w:themeColor="text2"/>
        </w:rPr>
        <w:t xml:space="preserve"> population</w:t>
      </w:r>
      <w:r w:rsidR="00114C13" w:rsidRPr="00485DD6">
        <w:rPr>
          <w:color w:val="1F497D" w:themeColor="text2"/>
        </w:rPr>
        <w:t xml:space="preserve"> </w:t>
      </w:r>
      <w:r w:rsidR="00114C13" w:rsidRPr="00485DD6">
        <w:rPr>
          <w:color w:val="1F497D" w:themeColor="text2"/>
        </w:rPr>
        <w:fldChar w:fldCharType="begin" w:fldLock="1"/>
      </w:r>
      <w:r w:rsidR="0003451F" w:rsidRPr="00485DD6">
        <w:rPr>
          <w:color w:val="1F497D" w:themeColor="text2"/>
        </w:rPr>
        <w:instrText>ADDIN CSL_CITATION { "citationItems" : [ { "id" : "ITEM-1", "itemData" : { "author" : [ { "dropping-particle" : "", "family" : "Morenoff", "given" : "Jeffrey D", "non-dropping-particle" : "", "parse-names" : false, "suffix" : "" }, { "dropping-particle" : "", "family" : "Astor", "given" : "Avraham", "non-dropping-particle" : "", "parse-names" : false, "suffix" : "" } ], "container-title" : "Immigration and Crime: Race, Ethnicity and Violence", "editor" : [ { "dropping-particle" : "", "family" : "Martinez", "given" : "R.", "non-dropping-particle" : "", "parse-names" : false, "suffix" : "" }, { "dropping-particle" : "", "family" : "Valenzuela", "given" : "A.", "non-dropping-particle" : "", "parse-names" : false, "suffix" : "" } ], "id" : "ITEM-1", "issued" : { "date-parts" : [ [ "2006" ] ] }, "page" : "36-63", "publisher" : "New York University Press", "publisher-place" : "New York, NY", "title" : "Immigrant assimilation and crime: generational differences in youth violence in Chicago", "type" : "chapter" }, "uris" : [ "http://www.mendeley.com/documents/?uuid=73bf7ed6-37c7-47be-8fc4-6360425c3819" ] }, { "id" : "ITEM-2", "itemData" : { "DOI" : "10.2105/AJPH.2004.037705", "ISSN" : "0090-0036", "PMID" : "15671454", "abstract" : "We analyzed key individual, family, and neighborhood factors to assess competing hypotheses regarding racial/ethnic gaps in perpetrating violence. From 1995 to 2002, we collected 3 waves of data on 2974 participants aged 8 [corrected] to 25 years living in 180 Chicago neighborhoods, augmented by a separate community survey of 8782 Chicago residents. The odds of perpetrating violence were 85% higher for Blacks compared with Whites, whereas Latino-perpetrated violence was 10% lower. Yet the majority of the Black-White gap (over 60%) and the entire Latino-White gap were explained primarily by the marital status of parents, immigrant generation, and dimensions of neighborhood social context. The results imply that generic interventions to improve neighborhood conditions and support families may reduce racial gaps in violence.", "author" : [ { "dropping-particle" : "", "family" : "Sampson", "given" : "Robert J", "non-dropping-particle" : "", "parse-names" : false, "suffix" : "" }, { "dropping-particle" : "", "family" : "Morenoff", "given" : "Jeffrey D", "non-dropping-particle" : "", "parse-names" : false, "suffix" : "" }, { "dropping-particle" : "", "family" : "Raudenbush", "given" : "Stephen", "non-dropping-particle" : "", "parse-names" : false, "suffix" : "" } ], "container-title" : "American journal of public health", "id" : "ITEM-2", "issue" : "2", "issued" : { "date-parts" : [ [ "2005", "2" ] ] }, "page" : "224-32", "title" : "Social anatomy of racial and ethnic disparities in violence.", "type" : "article-journal", "volume" : "95" }, "uris" : [ "http://www.mendeley.com/documents/?uuid=5ec26573-02ed-420f-8bbc-994a2cc2e336" ] }, { "id" : "ITEM-3", "itemData" : { "DOI" : "10.1080/07418825.2012.659200", "ISSN" : "0741-8825", "abstract" : "The myth of the criminal immigrant has permeated public and political debate for much of this nation?s history and persists despite growing evidence to the contrary. Crime concerns are increasingly aimed at the indirect impact of immigration on crime highlighting the criminal pursuits of the children of immigrants. Adding to extant knowledge on the immigration-crime nexus, this research asks whether immigrants are differentially involved in crime by examining immigrant offending histories (prevalence, frequency, seriousness, persistence, and desistance) from early adolescence to young adulthood. Particular attention is afforded to the influence of various sources of heterogeneity including: generational and nativity status, and crime type. Results suggest that the myth remains; trajectory analyses reveal that immigrants are no more crime-prone than the native-born. Foreign-born individuals exhibit remarkably low levels of involvement in crime across their life course. Moreover, it appears that by the second generation, immigrants have simply caught up to their native-born counterparts in respect to their offending. Implications of the findings for theory and future research are discussed.\nThe myth of the criminal immigrant has permeated public and political debate for much of this nation?s history and persists despite growing evidence to the contrary. Crime concerns are increasingly aimed at the indirect impact of immigration on crime highlighting the criminal pursuits of the children of immigrants. Adding to extant knowledge on the immigration-crime nexus, this research asks whether immigrants are differentially involved in crime by examining immigrant offending histories (prevalence, frequency, seriousness, persistence, and desistance) from early adolescence to young adulthood. Particular attention is afforded to the influence of various sources of heterogeneity including: generational and nativity status, and crime type. Results suggest that the myth remains; trajectory analyses reveal that immigrants are no more crime-prone than the native-born. Foreign-born individuals exhibit remarkably low levels of involvement in crime across their life course. Moreover, it appears that by the second generation, immigrants have simply caught up to their native-born counterparts in respect to their offending. Implications of the findings for theory and future research are discussed.", "author" : [ { "dropping-particle" : "", "family" : "Bersani", "given" : "Bianca E", "non-dropping-particle" : "", "parse-names" : false, "suffix" : "" } ], "container-title" : "Justice Quarterly", "id" : "ITEM-3", "issue" : "2", "issued" : { "date-parts" : [ [ "2014", "3", "4" ] ] }, "page" : "315-343", "publisher" : "Routledge", "title" : "An examination of first and second generation immigrant offending trajectories", "type" : "article-journal", "volume" : "31" }, "uris" : [ "http://www.mendeley.com/documents/?uuid=86d4dfd8-85f2-4b69-9369-bc27b4128c57" ] }, { "id" : "ITEM-4", "itemData" : { "DOI" : "10.1016/j.ssresearch.2012.08.014", "ISSN" : "0049-089X", "PMID" : "23146607", "abstract" : "Despite a resurgent interest in the macro-level relationship between Latino immigration and violent crime, research has overlooked an important shift in immigrant settlement whereby Latino migrants are increasingly bypassing traditional receiving communities in favor of non-traditional ones. Additionally, how the impact of this new settlement pattern on violence is conditioned by race and ethnicity has yet to be explored. Using year 2000 race/ethnic-specific arrest data for 326 California, New York, and Texas census places, the current study explores the relationship between recent Latino immigration and White, Black, and Latino violent crime across both traditional and non-traditional immigrant destinations. Results suggest that (1) recent Latino immigration is generally unassociated with violence across all communities, (2) recent Latino immigration is associated with decreased violence in traditional destinations but slightly increased violence in non-traditional destinations, and (3) there are important race/ethnic differences in these relationships. Implications and directions for future research are discussed.", "author" : [ { "dropping-particle" : "", "family" : "Harris", "given" : "Casey T", "non-dropping-particle" : "", "parse-names" : false, "suffix" : "" }, { "dropping-particle" : "", "family" : "Feldmeyer", "given" : "Ben", "non-dropping-particle" : "", "parse-names" : false, "suffix" : "" } ], "container-title" : "Social Science Research", "id" : "ITEM-4", "issue" : "1", "issued" : { "date-parts" : [ [ "2013", "1" ] ] }, "page" : "202-16", "publisher" : "Elsevier Inc.", "title" : "Latino immigration and White, Black, and Latino violent crime: A comparison of traditional and non-traditional immigrant destinations.", "type" : "article-journal", "volume" : "42" }, "uris" : [ "http://www.mendeley.com/documents/?uuid=20679465-0541-4a28-a2c3-eb2d85b60958" ] } ], "mendeley" : { "formattedCitation" : "(Bersani, 2014a; Harris and Feldmeyer, 2013; Morenoff and Astor, 2006; Sampson et al., 2005)", "manualFormatting" : "(Bersani, 2014a; Harris and Feldmeyer, 2013; Morenoff and Astor, 2006; Sampson et al., 2005)", "plainTextFormattedCitation" : "(Bersani, 2014a; Harris and Feldmeyer, 2013; Morenoff and Astor, 2006; Sampson et al., 2005)", "previouslyFormattedCitation" : "(Bersani, 2014a; Harris and Feldmeyer, 2013; Morenoff and Astor, 2006; Sampson et al., 2005)" }, "properties" : { "noteIndex" : 0 }, "schema" : "https://github.com/citation-style-language/schema/raw/master/csl-citation.json" }</w:instrText>
      </w:r>
      <w:r w:rsidR="00114C13" w:rsidRPr="00485DD6">
        <w:rPr>
          <w:color w:val="1F497D" w:themeColor="text2"/>
        </w:rPr>
        <w:fldChar w:fldCharType="separate"/>
      </w:r>
      <w:r w:rsidR="00574C57" w:rsidRPr="00485DD6">
        <w:rPr>
          <w:noProof/>
          <w:color w:val="1F497D" w:themeColor="text2"/>
        </w:rPr>
        <w:t>(Bersani, 2014a; Harris and Feldmeyer, 2013; Morenoff and Astor, 2006; Sampson et al., 2005)</w:t>
      </w:r>
      <w:r w:rsidR="00114C13" w:rsidRPr="00485DD6">
        <w:rPr>
          <w:color w:val="1F497D" w:themeColor="text2"/>
        </w:rPr>
        <w:fldChar w:fldCharType="end"/>
      </w:r>
      <w:r w:rsidR="00114C13" w:rsidRPr="00485DD6">
        <w:rPr>
          <w:color w:val="1F497D" w:themeColor="text2"/>
        </w:rPr>
        <w:t xml:space="preserve">. </w:t>
      </w:r>
      <w:r w:rsidR="00CB3776" w:rsidRPr="00485DD6">
        <w:rPr>
          <w:color w:val="1F497D" w:themeColor="text2"/>
        </w:rPr>
        <w:t xml:space="preserve"> </w:t>
      </w:r>
      <w:r w:rsidR="00D14463" w:rsidRPr="00485DD6">
        <w:rPr>
          <w:color w:val="1F497D" w:themeColor="text2"/>
        </w:rPr>
        <w:t>But s</w:t>
      </w:r>
      <w:r w:rsidR="00530B75" w:rsidRPr="00485DD6">
        <w:rPr>
          <w:color w:val="1F497D" w:themeColor="text2"/>
        </w:rPr>
        <w:t xml:space="preserve">econd and subsequent generations </w:t>
      </w:r>
      <w:r w:rsidR="0011230A" w:rsidRPr="00485DD6">
        <w:rPr>
          <w:color w:val="1F497D" w:themeColor="text2"/>
        </w:rPr>
        <w:t>wer</w:t>
      </w:r>
      <w:r w:rsidR="00B17FE1" w:rsidRPr="00485DD6">
        <w:rPr>
          <w:color w:val="1F497D" w:themeColor="text2"/>
        </w:rPr>
        <w:t xml:space="preserve">e more criminally involved than their parents </w:t>
      </w:r>
      <w:r w:rsidR="00B17FE1" w:rsidRPr="00485DD6">
        <w:rPr>
          <w:color w:val="1F497D" w:themeColor="text2"/>
        </w:rPr>
        <w:fldChar w:fldCharType="begin" w:fldLock="1"/>
      </w:r>
      <w:r w:rsidR="00831892" w:rsidRPr="00485DD6">
        <w:rPr>
          <w:color w:val="1F497D" w:themeColor="text2"/>
        </w:rPr>
        <w:instrText>ADDIN CSL_CITATION { "citationItems" : [ { "id" : "ITEM-1", "itemData" : { "author" : [ { "dropping-particle" : "", "family" : "Hagan", "given" : "John", "non-dropping-particle" : "", "parse-names" : false, "suffix" : "" }, { "dropping-particle" : "", "family" : "Levi", "given" : "Ron", "non-dropping-particle" : "", "parse-names" : false, "suffix" : "" }, { "dropping-particle" : "", "family" : "Dinovitzer", "given" : "Ronit", "non-dropping-particle" : "", "parse-names" : false, "suffix" : "" } ], "container-title" : "Criminology &amp; Public Policy", "id" : "ITEM-1", "issue" : "1", "issued" : { "date-parts" : [ [ "2008" ] ] }, "page" : "95-112", "title" : "The symbolic violence of the crime-immigration nexus: Migrant mythologies in the Americas", "type" : "article-journal", "volume" : "7" }, "uris" : [ "http://www.mendeley.com/documents/?uuid=3a472908-fd11-462b-a866-5213a1b8834d" ] }, { "id" : "ITEM-2", "itemData" : { "author" : [ { "dropping-particle" : "", "family" : "Rumbaut", "given" : "Rub\u00e9n G", "non-dropping-particle" : "", "parse-names" : false, "suffix" : "" }, { "dropping-particle" : "", "family" : "Gonzales", "given" : "Roberto G", "non-dropping-particle" : "", "parse-names" : false, "suffix" : "" }, { "dropping-particle" : "", "family" : "Komaie", "given" : "Golnaz", "non-dropping-particle" : "", "parse-names" : false, "suffix" : "" }, { "dropping-particle" : "V", "family" : "Morgan", "given" : "Charlie", "non-dropping-particle" : "", "parse-names" : false, "suffix" : "" }, { "dropping-particle" : "", "family" : "Tafoya-Estrada", "given" : "Rosaura", "non-dropping-particle" : "", "parse-names" : false, "suffix" : "" } ], "container-title" : "Immigration and Crime: Race, Ethnicity and Violence", "editor" : [ { "dropping-particle" : "", "family" : "Martinez", "given" : "Ramiro", "non-dropping-particle" : "", "parse-names" : false, "suffix" : "" }, { "dropping-particle" : "", "family" : "Valenzuela", "given" : "A", "non-dropping-particle" : "", "parse-names" : false, "suffix" : "" } ], "id" : "ITEM-2", "issued" : { "date-parts" : [ [ "2006" ] ] }, "page" : "64-89", "publisher" : "New York University Press", "publisher-place" : "New York", "title" : "Immigration and incarceration: Patterns and predictors of imprisonment among first- and second-generation young adults", "type" : "chapter" }, "uris" : [ "http://www.mendeley.com/documents/?uuid=1f508ca3-9b54-4cc8-a2ef-a170961d7788" ] }, { "id" : "ITEM-3", "itemData" : { "DOI" : "10.1111/soin.12017", "ISSN" : "00380245", "author" : [ { "dropping-particle" : "", "family" : "Jennings", "given" : "Wesley G", "non-dropping-particle" : "", "parse-names" : false, "suffix" : "" }, { "dropping-particle" : "", "family" : "Zgoba", "given" : "Kristen M", "non-dropping-particle" : "", "parse-names" : false, "suffix" : "" }, { "dropping-particle" : "", "family" : "Piquero", "given" : "Alex R", "non-dropping-particle" : "", "parse-names" : false, "suffix" : "" }, { "dropping-particle" : "", "family" : "Reingle", "given" : "Jennifer M", "non-dropping-particle" : "", "parse-names" : false, "suffix" : "" } ], "container-title" : "Sociological Inquiry", "id" : "ITEM-3", "issue" : "4", "issued" : { "date-parts" : [ [ "2013", "11", "23" ] ] }, "page" : "622-647", "title" : "Offending trajectories among native-born and foreign-born Hispanics to late middle age", "type" : "article-journal", "volume" : "83" }, "uris" : [ "http://www.mendeley.com/documents/?uuid=5567e2e2-11a9-4776-8a9b-2598fcb11c2b" ] } ], "mendeley" : { "formattedCitation" : "(Hagan et al., 2008; Jennings et al., 2013; Rumbaut et al., 2006)", "plainTextFormattedCitation" : "(Hagan et al., 2008; Jennings et al., 2013; Rumbaut et al., 2006)", "previouslyFormattedCitation" : "(Hagan et al., 2008; Jennings et al., 2013; Rumbaut et al., 2006)" }, "properties" : { "noteIndex" : 0 }, "schema" : "https://github.com/citation-style-language/schema/raw/master/csl-citation.json" }</w:instrText>
      </w:r>
      <w:r w:rsidR="00B17FE1" w:rsidRPr="00485DD6">
        <w:rPr>
          <w:color w:val="1F497D" w:themeColor="text2"/>
        </w:rPr>
        <w:fldChar w:fldCharType="separate"/>
      </w:r>
      <w:r w:rsidR="009D104F" w:rsidRPr="00485DD6">
        <w:rPr>
          <w:noProof/>
          <w:color w:val="1F497D" w:themeColor="text2"/>
        </w:rPr>
        <w:t>(Hagan et al., 2008; Jennings et al., 2013; Rumbaut et al., 2006)</w:t>
      </w:r>
      <w:r w:rsidR="00B17FE1" w:rsidRPr="00485DD6">
        <w:rPr>
          <w:color w:val="1F497D" w:themeColor="text2"/>
        </w:rPr>
        <w:fldChar w:fldCharType="end"/>
      </w:r>
      <w:r w:rsidR="00B17FE1" w:rsidRPr="00485DD6">
        <w:rPr>
          <w:color w:val="1F497D" w:themeColor="text2"/>
        </w:rPr>
        <w:t>.</w:t>
      </w:r>
      <w:r w:rsidR="0011230A" w:rsidRPr="00485DD6">
        <w:rPr>
          <w:color w:val="1F497D" w:themeColor="text2"/>
        </w:rPr>
        <w:t xml:space="preserve"> </w:t>
      </w:r>
      <w:r w:rsidR="009D104F" w:rsidRPr="00485DD6">
        <w:rPr>
          <w:color w:val="1F497D" w:themeColor="text2"/>
        </w:rPr>
        <w:t xml:space="preserve"> </w:t>
      </w:r>
      <w:r w:rsidR="00C14C5E" w:rsidRPr="00485DD6">
        <w:rPr>
          <w:color w:val="1F497D" w:themeColor="text2"/>
        </w:rPr>
        <w:t>Research has also shown that t</w:t>
      </w:r>
      <w:r w:rsidR="009D104F" w:rsidRPr="00485DD6">
        <w:rPr>
          <w:color w:val="1F497D" w:themeColor="text2"/>
        </w:rPr>
        <w:t xml:space="preserve">he </w:t>
      </w:r>
      <w:r w:rsidR="00DF533B" w:rsidRPr="00485DD6">
        <w:rPr>
          <w:color w:val="1F497D" w:themeColor="text2"/>
        </w:rPr>
        <w:t>level of</w:t>
      </w:r>
      <w:r w:rsidR="009D104F" w:rsidRPr="00485DD6">
        <w:rPr>
          <w:color w:val="1F497D" w:themeColor="text2"/>
        </w:rPr>
        <w:t xml:space="preserve"> criminal involvement among second-generation</w:t>
      </w:r>
      <w:r w:rsidR="00B77BF9" w:rsidRPr="00485DD6">
        <w:rPr>
          <w:color w:val="1F497D" w:themeColor="text2"/>
        </w:rPr>
        <w:t xml:space="preserve"> immigrants</w:t>
      </w:r>
      <w:r w:rsidR="00DF533B" w:rsidRPr="00485DD6">
        <w:rPr>
          <w:color w:val="1F497D" w:themeColor="text2"/>
        </w:rPr>
        <w:t xml:space="preserve"> is comparable to that of</w:t>
      </w:r>
      <w:r w:rsidR="00C14C5E" w:rsidRPr="00485DD6">
        <w:rPr>
          <w:color w:val="1F497D" w:themeColor="text2"/>
        </w:rPr>
        <w:t xml:space="preserve"> the general native-born population </w:t>
      </w:r>
      <w:r w:rsidR="00C14C5E" w:rsidRPr="00485DD6">
        <w:rPr>
          <w:color w:val="1F497D" w:themeColor="text2"/>
        </w:rPr>
        <w:fldChar w:fldCharType="begin" w:fldLock="1"/>
      </w:r>
      <w:r w:rsidR="00831892" w:rsidRPr="00485DD6">
        <w:rPr>
          <w:color w:val="1F497D" w:themeColor="text2"/>
        </w:rPr>
        <w:instrText>ADDIN CSL_CITATION { "citationItems" : [ { "id" : "ITEM-1", "itemData" : { "DOI" : "10.1007/s10964-013-0045-z", "ISSN" : "1573-6601", "PMID" : "24150541", "abstract" : "Research on immigration and crime has only recently started to consider potential heterogeneity in longitudinal patterns of immigrant offending. Guided by segmented assimilation and life course criminology frameworks, this article advances prior research on the immigration-crime nexus in three ways: using a large sample of high-risk adjudicated youth containing first and second generation immigrants; examining longitudinal trajectories of official and self-reported offending; and merging segmented assimilation and life course theories to distinguish between offending patterns. Data come from the Pathways to Desistance study containing detailed offending and socio-demographic background information on 1,354 adolescents (13.6 % female; n = 1,061 native-born; n = 210 second generation immigrants; n = 83 first generation immigrants) as they transition to young adulthood (aged 14-17 at baseline). Over 84 months we observe whether patterns of offending, and the correlates that may distinguish them, operate differently across immigrant generations. Collectively, this study offers the first investigation of whether immigrants, conditioned on being adjudicated, are characterized by persistent offending. Results show that first generation immigrants are less likely to be involved in serious offending and to evidence persistence in offending, and appear to be on a path toward desistance much more quickly than their peers. Further, assimilation and neighborhood disadvantage operate in unique ways across generational status and relate to different offending styles. The findings show that the risk for persistent offending is greatest among those with high levels of assimilation who reside in disadvantaged contexts, particularly among the second generation youth in the sample.", "author" : [ { "dropping-particle" : "", "family" : "Bersani", "given" : "Bianca E", "non-dropping-particle" : "", "parse-names" : false, "suffix" : "" }, { "dropping-particle" : "", "family" : "Loughran", "given" : "Thomas A", "non-dropping-particle" : "", "parse-names" : false, "suffix" : "" }, { "dropping-particle" : "", "family" : "Piquero", "given" : "Alex R", "non-dropping-particle" : "", "parse-names" : false, "suffix" : "" } ], "container-title" : "Journal of Youth and Adolescence", "id" : "ITEM-1", "issued" : { "date-parts" : [ [ "2014", "10", "23" ] ] }, "page" : "1914-1933", "title" : "Comparing patterns and predictors of immigrant offending among a sample of adjudicated youth.", "type" : "article-journal", "volume" : "43" }, "uris" : [ "http://www.mendeley.com/documents/?uuid=3141d363-aaaa-4087-b255-9283dcb494a1" ] } ], "mendeley" : { "formattedCitation" : "(Bersani et al., 2014)", "plainTextFormattedCitation" : "(Bersani et al., 2014)", "previouslyFormattedCitation" : "(Bersani et al., 2014)" }, "properties" : { "noteIndex" : 0 }, "schema" : "https://github.com/citation-style-language/schema/raw/master/csl-citation.json" }</w:instrText>
      </w:r>
      <w:r w:rsidR="00C14C5E" w:rsidRPr="00485DD6">
        <w:rPr>
          <w:color w:val="1F497D" w:themeColor="text2"/>
        </w:rPr>
        <w:fldChar w:fldCharType="separate"/>
      </w:r>
      <w:r w:rsidR="00C14C5E" w:rsidRPr="00485DD6">
        <w:rPr>
          <w:noProof/>
          <w:color w:val="1F497D" w:themeColor="text2"/>
        </w:rPr>
        <w:t>(Bersani et al., 2014)</w:t>
      </w:r>
      <w:r w:rsidR="00C14C5E" w:rsidRPr="00485DD6">
        <w:rPr>
          <w:color w:val="1F497D" w:themeColor="text2"/>
        </w:rPr>
        <w:fldChar w:fldCharType="end"/>
      </w:r>
      <w:r w:rsidR="00C14C5E" w:rsidRPr="00485DD6">
        <w:rPr>
          <w:color w:val="1F497D" w:themeColor="text2"/>
        </w:rPr>
        <w:t xml:space="preserve">. </w:t>
      </w:r>
      <w:r w:rsidR="009D104F" w:rsidRPr="00485DD6">
        <w:rPr>
          <w:color w:val="1F497D" w:themeColor="text2"/>
        </w:rPr>
        <w:t xml:space="preserve"> </w:t>
      </w:r>
      <w:r w:rsidR="00450162" w:rsidRPr="00485DD6">
        <w:rPr>
          <w:color w:val="1F497D" w:themeColor="text2"/>
        </w:rPr>
        <w:t xml:space="preserve">Not only do first-generation immigrants have lower crime </w:t>
      </w:r>
      <w:r w:rsidR="000527EF" w:rsidRPr="00485DD6">
        <w:rPr>
          <w:color w:val="1F497D" w:themeColor="text2"/>
        </w:rPr>
        <w:t xml:space="preserve">and violence </w:t>
      </w:r>
      <w:r w:rsidR="00450162" w:rsidRPr="00485DD6">
        <w:rPr>
          <w:color w:val="1F497D" w:themeColor="text2"/>
        </w:rPr>
        <w:t xml:space="preserve">levels, </w:t>
      </w:r>
      <w:r w:rsidR="00DF533B" w:rsidRPr="00485DD6">
        <w:rPr>
          <w:color w:val="1F497D" w:themeColor="text2"/>
        </w:rPr>
        <w:t xml:space="preserve">but </w:t>
      </w:r>
      <w:r w:rsidR="00450162" w:rsidRPr="00485DD6">
        <w:rPr>
          <w:color w:val="1F497D" w:themeColor="text2"/>
        </w:rPr>
        <w:t>s</w:t>
      </w:r>
      <w:r w:rsidR="0011230A" w:rsidRPr="00485DD6">
        <w:rPr>
          <w:color w:val="1F497D" w:themeColor="text2"/>
        </w:rPr>
        <w:t>chol</w:t>
      </w:r>
      <w:r w:rsidR="00450162" w:rsidRPr="00485DD6">
        <w:rPr>
          <w:color w:val="1F497D" w:themeColor="text2"/>
        </w:rPr>
        <w:t>ars have additionally found that bein</w:t>
      </w:r>
      <w:r w:rsidR="00644786" w:rsidRPr="00485DD6">
        <w:rPr>
          <w:color w:val="1F497D" w:themeColor="text2"/>
        </w:rPr>
        <w:t>g a first-generation immigrant wa</w:t>
      </w:r>
      <w:r w:rsidR="00450162" w:rsidRPr="00485DD6">
        <w:rPr>
          <w:color w:val="1F497D" w:themeColor="text2"/>
        </w:rPr>
        <w:t xml:space="preserve">s protective against criminality </w:t>
      </w:r>
      <w:r w:rsidR="00450162" w:rsidRPr="00485DD6">
        <w:rPr>
          <w:color w:val="1F497D" w:themeColor="text2"/>
        </w:rPr>
        <w:fldChar w:fldCharType="begin" w:fldLock="1"/>
      </w:r>
      <w:r w:rsidR="00AF5F1A">
        <w:rPr>
          <w:color w:val="1F497D" w:themeColor="text2"/>
        </w:rPr>
        <w:instrText>ADDIN CSL_CITATION { "citationItems" : [ { "id" : "ITEM-1", "itemData" : { "abstract" : "Purpose \u2013 Previously we (Martinez &amp; Lee, 2000) reviewed the empirical literature of the 20th century on the topic of immigration and crime. This chapter discusses developments in this body of scholarship that have occurred in subsequent years. Methodology \u2013 This literature review covers recent empirical research associated with the emerging \u201cimmigration revitalization perspective.\u201d Findings \u2013 Recent research has become substantially more sophisticated in terms of analytical methods, including multivariate modeling and statistically grounded mapping techniques. But the conclusion remains largely the same. Contrary to the predictions of classic criminological theories and popular stereotypes, immigration generally does not increase crime and often suppresses it. Practical implications \u2013 Our review of the literature challenges stereotypical views about immigrants and immigration as major causes of crime in the United States. Unfortunately, these erroneous views continue to inform public policies and should be reconsidered in light of empirical data. Value \u2013 This chapter represents the first attempt to synthesize recent empirical work associated with the immigration revitalization perspective. It will be of value to immigration scholars and criminologists as well as general readers interested in the relationship between immigration and crime.", "author" : [ { "dropping-particle" : "", "family" : "Lee", "given" : "Matthew T", "non-dropping-particle" : "", "parse-names" : false, "suffix" : "" }, { "dropping-particle" : "", "family" : "Martinez", "given" : "Ramiro", "non-dropping-particle" : "", "parse-names" : false, "suffix" : "" } ], "container-title" : "Immigration, Crime and Justice (Sociology of Crime, Law and Deviance, Volume 13)", "editor" : [ { "dropping-particle" : "", "family" : "Mcdonald", "given" : "William F", "non-dropping-particle" : "", "parse-names" : false, "suffix" : "" } ], "id" : "ITEM-1", "issued" : { "date-parts" : [ [ "2009" ] ] }, "page" : "3-16", "publisher" : "Emerald Group Publishing Limited", "publisher-place" : "Bingley, UK", "title" : "Immigration reduces crime: an emerging scholarly consensus", "type" : "chapter" }, "uris" : [ "http://www.mendeley.com/documents/?uuid=23e72d84-f673-488e-8fa6-2be59d0c18c5" ] }, { "id" : "ITEM-2", "itemData" : { "ISSN" : "1536-5042", "author" : [ { "dropping-particle" : "", "family" : "Sampson", "given" : "Robert J", "non-dropping-particle" : "", "parse-names" : false, "suffix" : "" } ], "container-title" : "Contexts", "id" : "ITEM-2", "issue" : "28", "issued" : { "date-parts" : [ [ "2008" ] ] }, "page" : "28\u201333", "title" : "Rethinking crime and immigration", "type" : "article-journal", "volume" : "7" }, "uris" : [ "http://www.mendeley.com/documents/?uuid=60fcd176-b0df-4d7d-8fdb-8fd06e0c5d85" ] } ], "mendeley" : { "formattedCitation" : "(Lee and Martinez, 2009; Sampson, 2008)", "plainTextFormattedCitation" : "(Lee and Martinez, 2009; Sampson, 2008)", "previouslyFormattedCitation" : "(Lee and Martinez, 2009; Sampson, 2008)" }, "properties" : { "noteIndex" : 0 }, "schema" : "https://github.com/citation-style-language/schema/raw/master/csl-citation.json" }</w:instrText>
      </w:r>
      <w:r w:rsidR="00450162" w:rsidRPr="00485DD6">
        <w:rPr>
          <w:color w:val="1F497D" w:themeColor="text2"/>
        </w:rPr>
        <w:fldChar w:fldCharType="separate"/>
      </w:r>
      <w:r w:rsidR="00450162" w:rsidRPr="00485DD6">
        <w:rPr>
          <w:noProof/>
          <w:color w:val="1F497D" w:themeColor="text2"/>
        </w:rPr>
        <w:t>(Lee and Martinez, 2009; Sampson, 2008)</w:t>
      </w:r>
      <w:r w:rsidR="00450162" w:rsidRPr="00485DD6">
        <w:rPr>
          <w:color w:val="1F497D" w:themeColor="text2"/>
        </w:rPr>
        <w:fldChar w:fldCharType="end"/>
      </w:r>
      <w:r w:rsidR="00450162" w:rsidRPr="00485DD6">
        <w:rPr>
          <w:color w:val="1F497D" w:themeColor="text2"/>
        </w:rPr>
        <w:t xml:space="preserve">. </w:t>
      </w:r>
      <w:r w:rsidR="005D001F" w:rsidRPr="00485DD6">
        <w:rPr>
          <w:color w:val="1F497D" w:themeColor="text2"/>
        </w:rPr>
        <w:t xml:space="preserve">Though first and second generation immigrants differ in violence levels, they both must deal with the challenges of adapting and assimilating into the mainstream culture. The next section will discuss the immigrant experience, in brief, and how it may affect both first and second generation immigrants and their risks for violence. </w:t>
      </w:r>
    </w:p>
    <w:p w14:paraId="015F323D" w14:textId="77777777" w:rsidR="00460AAA" w:rsidRPr="00485DD6" w:rsidRDefault="00460AAA" w:rsidP="008B6437">
      <w:pPr>
        <w:spacing w:after="0" w:line="480" w:lineRule="auto"/>
        <w:ind w:firstLine="720"/>
        <w:contextualSpacing/>
        <w:jc w:val="both"/>
        <w:rPr>
          <w:color w:val="1F497D" w:themeColor="text2"/>
        </w:rPr>
      </w:pPr>
    </w:p>
    <w:p w14:paraId="79E73DA1" w14:textId="77777777" w:rsidR="005D001F" w:rsidRPr="00485DD6" w:rsidRDefault="005D001F" w:rsidP="008B6437">
      <w:pPr>
        <w:pStyle w:val="Heading5"/>
        <w:spacing w:before="0" w:beforeAutospacing="0" w:after="75" w:afterAutospacing="0" w:line="480" w:lineRule="auto"/>
        <w:jc w:val="both"/>
        <w:rPr>
          <w:rFonts w:ascii="Times New Roman" w:hAnsi="Times New Roman" w:cs="Times New Roman"/>
          <w:b w:val="0"/>
          <w:i/>
          <w:color w:val="1F497D" w:themeColor="text2"/>
          <w:sz w:val="24"/>
          <w:szCs w:val="24"/>
        </w:rPr>
      </w:pPr>
      <w:r w:rsidRPr="00485DD6">
        <w:rPr>
          <w:rFonts w:ascii="Times New Roman" w:hAnsi="Times New Roman" w:cs="Times New Roman"/>
          <w:b w:val="0"/>
          <w:i/>
          <w:color w:val="1F497D" w:themeColor="text2"/>
          <w:sz w:val="24"/>
          <w:szCs w:val="24"/>
        </w:rPr>
        <w:t>The immigrant experience</w:t>
      </w:r>
    </w:p>
    <w:p w14:paraId="37345096" w14:textId="2B5707C6" w:rsidR="005D001F" w:rsidRPr="00485DD6" w:rsidRDefault="005D001F" w:rsidP="008B6437">
      <w:pPr>
        <w:pStyle w:val="Heading5"/>
        <w:spacing w:before="0" w:beforeAutospacing="0" w:after="75" w:afterAutospacing="0" w:line="480" w:lineRule="auto"/>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lastRenderedPageBreak/>
        <w:tab/>
        <w:t>Research has demonstrated that accultu</w:t>
      </w:r>
      <w:r w:rsidR="00485DD6" w:rsidRPr="00485DD6">
        <w:rPr>
          <w:rFonts w:ascii="Times New Roman" w:hAnsi="Times New Roman" w:cs="Times New Roman"/>
          <w:b w:val="0"/>
          <w:color w:val="1F497D" w:themeColor="text2"/>
          <w:sz w:val="24"/>
          <w:szCs w:val="24"/>
        </w:rPr>
        <w:t xml:space="preserve">ration and its outcomes differ for different </w:t>
      </w:r>
      <w:r w:rsidRPr="00485DD6">
        <w:rPr>
          <w:rFonts w:ascii="Times New Roman" w:hAnsi="Times New Roman" w:cs="Times New Roman"/>
          <w:b w:val="0"/>
          <w:color w:val="1F497D" w:themeColor="text2"/>
          <w:sz w:val="24"/>
          <w:szCs w:val="24"/>
        </w:rPr>
        <w:t xml:space="preserve">immigrant groups </w:t>
      </w:r>
      <w:r w:rsidRPr="00485DD6">
        <w:rPr>
          <w:rFonts w:ascii="Times New Roman" w:hAnsi="Times New Roman" w:cs="Times New Roman"/>
          <w:b w:val="0"/>
          <w:color w:val="1F497D" w:themeColor="text2"/>
          <w:sz w:val="24"/>
          <w:szCs w:val="24"/>
        </w:rPr>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"DOI" : "10.1007/s10464-005-1891-y", "ISSN" : "0091-0562", "author" : [ { "dropping-particle" : "", "family" : "Birman", "given" : "Dina", "non-dropping-particle" : "", "parse-names" : false, "suffix" : "" }, { "dropping-particle" : "", "family" : "Trickett", "given" : "Edison", "non-dropping-particle" : "", "parse-names" : false, "suffix" : "" }, { "dropping-particle" : "", "family" : "Buchanan", "given" : "Rebecca M.", "non-dropping-particle" : "", "parse-names" : false, "suffix" : "" } ], "container-title" : "American Journal of Community Psychology", "id" : "ITEM-1", "issue" : "1-2", "issued" : { "date-parts" : [ [ "2005", "3" ] ] }, "page" : "83-101", "title" : "A Tale of Two Cities: Replication of a Study on the Acculturation and Adaptation of Immigrant Adolescents From the Former Soviet Union in a Different Community Context", "type" : "article-journal", "volume" : "35" }, "uris" : [ "http://www.mendeley.com/documents/?uuid=f52e2ad0-b5ab-496b-86c8-ec84f24d32c9" ] } ], "mendeley" : { "formattedCitation" : "(Birman et al., 2005)", "plainTextFormattedCitation" : "(Birman et al., 2005)", "previouslyFormattedCitation" : "(Birman et al., 2005)"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(Birman et al., 2005)</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Accult</w:t>
      </w:r>
      <w:r w:rsidR="00485DD6" w:rsidRPr="00485DD6">
        <w:rPr>
          <w:rFonts w:ascii="Times New Roman" w:hAnsi="Times New Roman" w:cs="Times New Roman"/>
          <w:b w:val="0"/>
          <w:color w:val="1F497D" w:themeColor="text2"/>
          <w:sz w:val="24"/>
          <w:szCs w:val="24"/>
        </w:rPr>
        <w:t>uration refers to the process by</w:t>
      </w:r>
      <w:r w:rsidRPr="00485DD6">
        <w:rPr>
          <w:rFonts w:ascii="Times New Roman" w:hAnsi="Times New Roman" w:cs="Times New Roman"/>
          <w:b w:val="0"/>
          <w:color w:val="1F497D" w:themeColor="text2"/>
          <w:sz w:val="24"/>
          <w:szCs w:val="24"/>
        </w:rPr>
        <w:t xml:space="preserve"> which immigrants gradually adapt their language, </w:t>
      </w:r>
      <w:r w:rsidR="00485DD6" w:rsidRPr="00485DD6">
        <w:rPr>
          <w:rFonts w:ascii="Times New Roman" w:hAnsi="Times New Roman" w:cs="Times New Roman"/>
          <w:b w:val="0"/>
          <w:color w:val="1F497D" w:themeColor="text2"/>
          <w:sz w:val="24"/>
          <w:szCs w:val="24"/>
        </w:rPr>
        <w:t>behaviours</w:t>
      </w:r>
      <w:r w:rsidRPr="00485DD6">
        <w:rPr>
          <w:rFonts w:ascii="Times New Roman" w:hAnsi="Times New Roman" w:cs="Times New Roman"/>
          <w:b w:val="0"/>
          <w:color w:val="1F497D" w:themeColor="text2"/>
          <w:sz w:val="24"/>
          <w:szCs w:val="24"/>
        </w:rPr>
        <w:t xml:space="preserve">, beliefs, and values because of contact with the mainstream culture </w:t>
      </w:r>
      <w:r w:rsidRPr="00485DD6">
        <w:rPr>
          <w:rFonts w:ascii="Times New Roman" w:hAnsi="Times New Roman" w:cs="Times New Roman"/>
          <w:b w:val="0"/>
          <w:color w:val="1F497D" w:themeColor="text2"/>
          <w:sz w:val="24"/>
          <w:szCs w:val="24"/>
        </w:rPr>
        <w:fldChar w:fldCharType="begin" w:fldLock="1"/>
      </w:r>
      <w:r w:rsidR="00CA5B0A" w:rsidRPr="00485DD6">
        <w:rPr>
          <w:rFonts w:ascii="Times New Roman" w:hAnsi="Times New Roman" w:cs="Times New Roman"/>
          <w:b w:val="0"/>
          <w:color w:val="1F497D" w:themeColor="text2"/>
          <w:sz w:val="24"/>
          <w:szCs w:val="24"/>
        </w:rPr>
        <w:instrText>ADDIN CSL_CITATION { "citationItems" : [ { "id" : "ITEM-1", "itemData" : { "DOI" : "10.1007/s10964-011-9705-z", "author" : [ { "dropping-particle" : "", "family" : "Wang", "given" : "Yijie", "non-dropping-particle" : "", "parse-names" : false, "suffix" : "" }, { "dropping-particle" : "", "family" : "Kim", "given" : "Su Yeong", "non-dropping-particle" : "", "parse-names" : false, "suffix" : "" }, { "dropping-particle" : "", "family" : "Anderson", "given" : "Edward R", "non-dropping-particle" : "", "parse-names" : false, "suffix" : "" }, { "dropping-particle" : "", "family" : "Chia-Chen Chen", "given" : "Angela", "non-dropping-particle" : "", "parse-names" : false, "suffix" : "" }, { "dropping-particle" : "", "family" : "Yan", "given" : "Ni", "non-dropping-particle" : "", "parse-names" : false, "suffix" : "" } ], "container-title" : "Journal of Youth and Adolescence", "id" : "ITEM-1", "issue" : "7", "issued" : { "date-parts" : [ [ "2012" ] ] }, "page" : "907-919", "title" : "Parent\u2013child acculturation discrepancy, perceived parental knowledge, peer deviance, and adolescent delinquency in Chinese immigrant families", "type" : "article-journal", "volume" : "41" }, "uris" : [ "http://www.mendeley.com/documents/?uuid=0a398e88-028e-408d-b991-3a448beb6e32" ] }, { "id" : "ITEM-2", "itemData" : { "DOI" : "10.1037/a0021128", "ISSN" : "0022-0167", "PMID" : "21142352", "abstract" : "The authors conducted a 22-year (1988\u20132009) content analysis of quantitative empirical research that included acculturation and/or enculturation as a study variable(s). A total of 138 studies in 134 articles were systematically evaluated from 5 major American Psychological Association and American Counseling Association journals in counseling and counseling psychology, including Journal of Counseling Psychology, The Counseling Psychologist, Journal of Counseling and Development, Journal of Multicultural Counseling and Development, and Cultural Diversity and Ethnic Minority Psychology. To guide the analysis, the authors conceptualized acculturation/enculturation as a \u201cbilinear\u201d (i.e., developing cultural orientations to both majority and ethnic cultures) and \u201cmultidimensional\u201d (i.e., across multiple areas such as behaviors, values, identity, and knowledge) cultural socialization process that occurs in interaction with \u201csocial contexts\u201d (e.g., home, school, work, West Coast, Midwest). Findings include the patterns and trends of acculturation/enculturation research in (a) conceptualization and use of acculturation/enculturation variable(s), (b) research designs (e.g., sample characteristics, instruments, data collection, and analysis methods), (c) content areas, and (d) changes in total publications and trends over time. Additionally, meta-analyses were conducted on the relationship of acculturation/enculturation and a few key variables of mental health, adjustment, and well-being. Major findings and directions for future research are discussed.", "author" : [ { "dropping-particle" : "", "family" : "Yoon", "given" : "Eunju", "non-dropping-particle" : "", "parse-names" : false, "suffix" : "" }, { "dropping-particle" : "", "family" : "Langrehr", "given" : "Kimberly", "non-dropping-particle" : "", "parse-names" : false, "suffix" : "" }, { "dropping-particle" : "", "family" : "Ong", "given" : "Lee Za", "non-dropping-particle" : "", "parse-names" : false, "suffix" : "" } ], "container-title" : "Journal of Counseling Psychology", "id" : "ITEM-2", "issue" : "1", "issued" : { "date-parts" : [ [ "2011", "1" ] ] }, "page" : "83-96", "title" : "Content analysis of acculturation research in counseling and counseling psychology: a 22-year review.", "type" : "article-journal", "volume" : "58" }, "uris" : [ "http://www.mendeley.com/documents/?uuid=2240a606-341b-41af-8e01-9266e3bef062" ] } ], "mendeley" : { "formattedCitation" : "(Wang et al., 2012; Yoon et al., 2011)", "plainTextFormattedCitation" : "(Wang et al., 2012; Yoon et al., 2011)", "previouslyFormattedCitation" : "(Wang et al., 2012; Yoon et al., 2011)"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(Wang et al., 2012; Yoon et al., 2011)</w:t>
      </w:r>
      <w:r w:rsidRPr="00485DD6">
        <w:rPr>
          <w:rFonts w:ascii="Times New Roman" w:hAnsi="Times New Roman" w:cs="Times New Roman"/>
          <w:b w:val="0"/>
          <w:color w:val="1F497D" w:themeColor="text2"/>
          <w:sz w:val="24"/>
          <w:szCs w:val="24"/>
        </w:rPr>
        <w:fldChar w:fldCharType="end"/>
      </w:r>
      <w:r w:rsidR="00485DD6" w:rsidRPr="00485DD6">
        <w:rPr>
          <w:rFonts w:ascii="Times New Roman" w:hAnsi="Times New Roman" w:cs="Times New Roman"/>
          <w:b w:val="0"/>
          <w:color w:val="1F497D" w:themeColor="text2"/>
          <w:sz w:val="24"/>
          <w:szCs w:val="24"/>
        </w:rPr>
        <w:t>. The ease and pace at</w:t>
      </w:r>
      <w:r w:rsidRPr="00485DD6">
        <w:rPr>
          <w:rFonts w:ascii="Times New Roman" w:hAnsi="Times New Roman" w:cs="Times New Roman"/>
          <w:b w:val="0"/>
          <w:color w:val="1F497D" w:themeColor="text2"/>
          <w:sz w:val="24"/>
          <w:szCs w:val="24"/>
        </w:rPr>
        <w:t xml:space="preserve"> which immigrants acculturate is dependent on language, education, economic opportunities, and/or skin colo</w:t>
      </w:r>
      <w:r w:rsidR="00485DD6" w:rsidRPr="00485DD6">
        <w:rPr>
          <w:rFonts w:ascii="Times New Roman" w:hAnsi="Times New Roman" w:cs="Times New Roman"/>
          <w:b w:val="0"/>
          <w:color w:val="1F497D" w:themeColor="text2"/>
          <w:sz w:val="24"/>
          <w:szCs w:val="24"/>
        </w:rPr>
        <w:t>u</w:t>
      </w:r>
      <w:r w:rsidRPr="00485DD6">
        <w:rPr>
          <w:rFonts w:ascii="Times New Roman" w:hAnsi="Times New Roman" w:cs="Times New Roman"/>
          <w:b w:val="0"/>
          <w:color w:val="1F497D" w:themeColor="text2"/>
          <w:sz w:val="24"/>
          <w:szCs w:val="24"/>
        </w:rPr>
        <w:t>r. Skin colo</w:t>
      </w:r>
      <w:r w:rsidR="00485DD6" w:rsidRPr="00485DD6">
        <w:rPr>
          <w:rFonts w:ascii="Times New Roman" w:hAnsi="Times New Roman" w:cs="Times New Roman"/>
          <w:b w:val="0"/>
          <w:color w:val="1F497D" w:themeColor="text2"/>
          <w:sz w:val="24"/>
          <w:szCs w:val="24"/>
        </w:rPr>
        <w:t>u</w:t>
      </w:r>
      <w:r w:rsidR="00485DD6">
        <w:rPr>
          <w:rFonts w:ascii="Times New Roman" w:hAnsi="Times New Roman" w:cs="Times New Roman"/>
          <w:b w:val="0"/>
          <w:color w:val="1F497D" w:themeColor="text2"/>
          <w:sz w:val="24"/>
          <w:szCs w:val="24"/>
        </w:rPr>
        <w:t>r is an issue because</w:t>
      </w:r>
      <w:r w:rsidRPr="00485DD6">
        <w:rPr>
          <w:rFonts w:ascii="Times New Roman" w:hAnsi="Times New Roman" w:cs="Times New Roman"/>
          <w:b w:val="0"/>
          <w:color w:val="1F497D" w:themeColor="text2"/>
          <w:sz w:val="24"/>
          <w:szCs w:val="24"/>
        </w:rPr>
        <w:t xml:space="preserve"> groups that have distinctive phenotypes may experience more discrimination because they are easily identifiable as an “out-group” </w:t>
      </w:r>
      <w:r w:rsidRPr="00485DD6">
        <w:rPr>
          <w:rFonts w:ascii="Times New Roman" w:hAnsi="Times New Roman" w:cs="Times New Roman"/>
          <w:b w:val="0"/>
          <w:color w:val="1F497D" w:themeColor="text2"/>
          <w:sz w:val="24"/>
          <w:szCs w:val="24"/>
        </w:rPr>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"DOI" : "10.1111/j.1533-8525.2001.tb02405.x", "ISSN" : "0038-0253", "author" : [ { "dropping-particle" : "", "family" : "Nagasawa", "given" : "Richard", "non-dropping-particle" : "", "parse-names" : false, "suffix" : "" }, { "dropping-particle" : "", "family" : "Qian", "given" : "Zhenchao", "non-dropping-particle" : "", "parse-names" : false, "suffix" : "" }, { "dropping-particle" : "", "family" : "Wong", "given" : "Paul", "non-dropping-particle" : "", "parse-names" : false, "suffix" : "" } ], "container-title" : "The Sociological Quarterly", "id" : "ITEM-1", "issue" : "3", "issued" : { "date-parts" : [ [ "2001", "7" ] ] }, "page" : "351-372", "title" : "Theory of Segmented Assimilation and the Adoption of Marijuana Use and Delinquent Behavior By Asian Pacific Youth", "type" : "article-journal", "volume" : "42" }, "uris" : [ "http://www.mendeley.com/documents/?uuid=dd6088b9-fc0c-48a2-94c9-d41cac7c7061" ] } ], "mendeley" : { "formattedCitation" : "(Nagasawa et al., 2001)", "plainTextFormattedCitation" : "(Nagasawa et al., 2001)", "previouslyFormattedCitation" : "(Nagasawa et al., 2001)"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(Nagasawa et al., 2001)</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xml:space="preserve">. Vigil </w:t>
      </w:r>
      <w:r w:rsidRPr="00485DD6">
        <w:rPr>
          <w:rFonts w:ascii="Times New Roman" w:hAnsi="Times New Roman" w:cs="Times New Roman"/>
          <w:b w:val="0"/>
          <w:color w:val="1F497D" w:themeColor="text2"/>
          <w:sz w:val="24"/>
          <w:szCs w:val="24"/>
        </w:rPr>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"author" : [ { "dropping-particle" : "", "family" : "Vigil", "given" : "Diego", "non-dropping-particle" : "", "parse-names" : false, "suffix" : "" } ], "container-title" : "Street Gangs, migration and ethnicity", "editor" : [ { "dropping-particle" : "van", "family" : "Gemert", "given" : "Frank", "non-dropping-particle" : "", "parse-names" : false, "suffix" : "" }, { "dropping-particle" : "", "family" : "Peterson", "given" : "Dana", "non-dropping-particle" : "", "parse-names" : false, "suffix" : "" }, { "dropping-particle" : "", "family" : "Lien", "given" : "Inger-Lise", "non-dropping-particle" : "", "parse-names" : false, "suffix" : "" } ], "id" : "ITEM-1", "issued" : { "date-parts" : [ [ "2008" ] ] }, "page" : "49-62", "publisher" : "Willan Publishing", "publisher-place" : "Portland, US", "title" : "Mexican migrants in gangs: A second-generation history", "type" : "chapter" }, "uris" : [ "http://www.mendeley.com/documents/?uuid=b28ef124-49e4-47a1-bc8f-8698fcc5e463" ] } ], "mendeley" : { "formattedCitation" : "(Vigil, 2008)", "manualFormatting" : "(2008, p. 58)", "plainTextFormattedCitation" : "(Vigil, 2008)", "previouslyFormattedCitation" : "(Vigil, 2008)"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(2008, p. 58)</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xml:space="preserve"> noted that Mexican-American immigrants who appeared more European had an easier time acculturating </w:t>
      </w:r>
      <w:r w:rsidR="00485DD6">
        <w:rPr>
          <w:rFonts w:ascii="Times New Roman" w:hAnsi="Times New Roman" w:cs="Times New Roman"/>
          <w:b w:val="0"/>
          <w:color w:val="1F497D" w:themeColor="text2"/>
          <w:sz w:val="24"/>
          <w:szCs w:val="24"/>
        </w:rPr>
        <w:t xml:space="preserve">in the US </w:t>
      </w:r>
      <w:r w:rsidRPr="00485DD6">
        <w:rPr>
          <w:rFonts w:ascii="Times New Roman" w:hAnsi="Times New Roman" w:cs="Times New Roman"/>
          <w:b w:val="0"/>
          <w:color w:val="1F497D" w:themeColor="text2"/>
          <w:sz w:val="24"/>
          <w:szCs w:val="24"/>
        </w:rPr>
        <w:t>than those who appeared distinctively different. But whether immigrants from Asia and Latin America face unique challenges compared to European immigrants fro</w:t>
      </w:r>
      <w:r w:rsidR="00485DD6">
        <w:rPr>
          <w:rFonts w:ascii="Times New Roman" w:hAnsi="Times New Roman" w:cs="Times New Roman"/>
          <w:b w:val="0"/>
          <w:color w:val="1F497D" w:themeColor="text2"/>
          <w:sz w:val="24"/>
          <w:szCs w:val="24"/>
        </w:rPr>
        <w:t>m earlier generations in the US</w:t>
      </w:r>
      <w:r w:rsidRPr="00485DD6">
        <w:rPr>
          <w:rFonts w:ascii="Times New Roman" w:hAnsi="Times New Roman" w:cs="Times New Roman"/>
          <w:b w:val="0"/>
          <w:color w:val="1F497D" w:themeColor="text2"/>
          <w:sz w:val="24"/>
          <w:szCs w:val="24"/>
        </w:rPr>
        <w:t xml:space="preserve"> is still debated </w:t>
      </w:r>
      <w:r w:rsidRPr="00485DD6">
        <w:rPr>
          <w:rFonts w:ascii="Times New Roman" w:hAnsi="Times New Roman" w:cs="Times New Roman"/>
          <w:b w:val="0"/>
          <w:color w:val="1F497D" w:themeColor="text2"/>
          <w:sz w:val="24"/>
          <w:szCs w:val="24"/>
        </w:rPr>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"DOI" : "10.1016/j.ssresearch.2011.01.004", "ISSN" : "1096-0317", "PMID" : "21572546", "abstract" : "Segmented assimilation theory has been a popular explanation for the diverse experiences of assimilation among new waves of immigrants and their children. While the theory has been interpreted in many different ways, we emphasize its implications for the important role of social context: both processes and consequences of assimilation should depend on the local social context in which immigrants are embedded. We derive empirically falsifiable hypotheses about the interaction effects between social context and assimilation on immigrant children's well-being. We then test the hypotheses using data from the National Longitudinal Study of Adolescent Health. Our empirical analyses yield two main findings. First, for immigrant adolescents living in non-poverty neighborhoods, we find assimilation to be positively associated with educational achievement and psychological well-being but also positively associated with at-risk behavior. Second, there is little empirical evidence supporting our hypotheses derived from segmented assimilation theory. We interpret these results to mean that future research would be more fruitful focusing on differential processes of assimilation rather than differential consequences of assimilation.", "author" : [ { "dropping-particle" : "", "family" : "Xie", "given" : "Yu", "non-dropping-particle" : "", "parse-names" : false, "suffix" : "" }, { "dropping-particle" : "", "family" : "Greenman", "given" : "Emily", "non-dropping-particle" : "", "parse-names" : false, "suffix" : "" } ], "container-title" : "Social Science Research", "id" : "ITEM-1", "issue" : "3", "issued" : { "date-parts" : [ [ "2011", "5" ] ] }, "page" : "965-84", "publisher" : "Elsevier Inc.", "title" : "The social context of assimilation: testing implications of segmented assimilation theory.", "type" : "article-journal", "volume" : "40" }, "uris" : [ "http://www.mendeley.com/documents/?uuid=e5ee6af6-334f-4e1a-b44f-2447c133ce77" ] } ], "mendeley" : { "formattedCitation" : "(Xie and Greenman, 2011)", "plainTextFormattedCitation" : "(Xie and Greenman, 2011)", "previouslyFormattedCitation" : "(Xie and Greenman, 2011)"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(Xie and Greenman, 2011)</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xml:space="preserve">. </w:t>
      </w:r>
    </w:p>
    <w:p w14:paraId="2727636D" w14:textId="3C170BE7" w:rsidR="00B55824" w:rsidRDefault="005D001F" w:rsidP="00460AAA">
      <w:pPr>
        <w:pStyle w:val="Heading5"/>
        <w:spacing w:before="0" w:beforeAutospacing="0" w:after="75" w:afterAutospacing="0" w:line="480" w:lineRule="auto"/>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ab/>
        <w:t xml:space="preserve">According to </w:t>
      </w:r>
      <w:r w:rsidRPr="00485DD6">
        <w:rPr>
          <w:rFonts w:ascii="Times New Roman" w:hAnsi="Times New Roman" w:cs="Times New Roman"/>
          <w:b w:val="0"/>
          <w:color w:val="1F497D" w:themeColor="text2"/>
          <w:sz w:val="24"/>
          <w:szCs w:val="24"/>
        </w:rPr>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"author" : [ { "dropping-particle" : "", "family" : "Hopkins", "given" : "Daniel J", "non-dropping-particle" : "", "parse-names" : false, "suffix" : "" } ], "container-title" : "British Journal of Political Science", "id" : "ITEM-1", "issue" : "3", "issued" : { "date-parts" : [ [ "2011" ] ] }, "page" : "499-524", "title" : "National debates, local responses: the origins of local concern about immigration in Britain and the United States", "type" : "article-journal", "volume" : "41" }, "uris" : [ "http://www.mendeley.com/documents/?uuid=33cec626-1e21-400b-b8c7-4a8071e8d4b8" ] } ], "mendeley" : { "formattedCitation" : "(Hopkins, 2011)", "manualFormatting" : "Hopkins (2011)", "plainTextFormattedCitation" : "(Hopkins, 2011)", "previouslyFormattedCitation" : "(Hopkins, 2011)"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Hopkins (2011)</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in the UK and US, ethnic background and immigrant status are closely related. Studies on racial discrimination and its influence on ethnic minority groups are relevant to ge</w:t>
      </w:r>
      <w:r w:rsidR="00485DD6">
        <w:rPr>
          <w:rFonts w:ascii="Times New Roman" w:hAnsi="Times New Roman" w:cs="Times New Roman"/>
          <w:b w:val="0"/>
          <w:color w:val="1F497D" w:themeColor="text2"/>
          <w:sz w:val="24"/>
          <w:szCs w:val="24"/>
        </w:rPr>
        <w:t>nerational status as appearance</w:t>
      </w:r>
      <w:r w:rsidRPr="00485DD6">
        <w:rPr>
          <w:rFonts w:ascii="Times New Roman" w:hAnsi="Times New Roman" w:cs="Times New Roman"/>
          <w:b w:val="0"/>
          <w:color w:val="1F497D" w:themeColor="text2"/>
          <w:sz w:val="24"/>
          <w:szCs w:val="24"/>
        </w:rPr>
        <w:t xml:space="preserve"> do</w:t>
      </w:r>
      <w:r w:rsidR="00485DD6">
        <w:rPr>
          <w:rFonts w:ascii="Times New Roman" w:hAnsi="Times New Roman" w:cs="Times New Roman"/>
          <w:b w:val="0"/>
          <w:color w:val="1F497D" w:themeColor="text2"/>
          <w:sz w:val="24"/>
          <w:szCs w:val="24"/>
        </w:rPr>
        <w:t>es</w:t>
      </w:r>
      <w:r w:rsidRPr="00485DD6">
        <w:rPr>
          <w:rFonts w:ascii="Times New Roman" w:hAnsi="Times New Roman" w:cs="Times New Roman"/>
          <w:b w:val="0"/>
          <w:color w:val="1F497D" w:themeColor="text2"/>
          <w:sz w:val="24"/>
          <w:szCs w:val="24"/>
        </w:rPr>
        <w:t xml:space="preserve"> play a role. </w:t>
      </w:r>
      <w:r w:rsidRPr="00485DD6">
        <w:rPr>
          <w:rFonts w:ascii="Times New Roman" w:hAnsi="Times New Roman" w:cs="Times New Roman"/>
          <w:b w:val="0"/>
          <w:color w:val="1F497D" w:themeColor="text2"/>
          <w:sz w:val="24"/>
          <w:szCs w:val="24"/>
        </w:rPr>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"DOI" : "10.1007/s10567-009-0053-4", "ISSN" : "1573-2827", "PMID" : "19466544", "abstract" : "This article reviews and examines findings on the impact of racial discrimination on the development and functioning of children of color in the US. Based on current definitions of violence and child maltreatment, exposure to racial discrimination should be considered as a form of violence that can significantly impact child outcomes and limit the ability of parents and communities to provide support that promotes resiliency and optimal child development. In this article, a conceptual model of the effects of racial discrimination in children of color is presented. The model posits that exposure to racial discrimination may be a chronic source of trauma in the lives of many children of color that negatively influences mental and physical outcomes as well as parent and community support and functioning. Concurrent exposure to other forms of violence, including domestic, interpersonal and/or community violence, may exacerbate these effects. The impact of a potential continuum of violence exposure for children of color in the US and the need for future research and theoretical models on children's exposure to violence that attend to the impact of racial discrimination on child outcomes are discussed.", "author" : [ { "dropping-particle" : "", "family" : "Sanders-Phillips", "given" : "Kathy", "non-dropping-particle" : "", "parse-names" : false, "suffix" : "" } ], "container-title" : "Clinical Child and Family Psychology Review", "id" : "ITEM-1", "issue" : "2", "issued" : { "date-parts" : [ [ "2009", "6" ] ] }, "page" : "174-95", "title" : "Racial discrimination: a continuum of violence exposure for children of color", "type" : "article-journal", "volume" : "12" }, "uris" : [ "http://www.mendeley.com/documents/?uuid=e9cfc55f-53eb-4d30-9a1f-d2752cc056f5" ] } ], "mendeley" : { "formattedCitation" : "(Sanders-Phillips, 2009)", "manualFormatting" : "Sanders-Phillips (2009)", "plainTextFormattedCitation" : "(Sanders-Phillips, 2009)", "previouslyFormattedCitation" : "(Sanders-Phillips, 2009)"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Sanders-Phillips (2009)</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xml:space="preserve"> argued that racial discrimination is a form of violence because it o</w:t>
      </w:r>
      <w:r w:rsidR="00485DD6">
        <w:rPr>
          <w:rFonts w:ascii="Times New Roman" w:hAnsi="Times New Roman" w:cs="Times New Roman"/>
          <w:b w:val="0"/>
          <w:color w:val="1F497D" w:themeColor="text2"/>
          <w:sz w:val="24"/>
          <w:szCs w:val="24"/>
        </w:rPr>
        <w:t>ccurs</w:t>
      </w:r>
      <w:r w:rsidRPr="00485DD6">
        <w:rPr>
          <w:rFonts w:ascii="Times New Roman" w:hAnsi="Times New Roman" w:cs="Times New Roman"/>
          <w:b w:val="0"/>
          <w:color w:val="1F497D" w:themeColor="text2"/>
          <w:sz w:val="24"/>
          <w:szCs w:val="24"/>
        </w:rPr>
        <w:t xml:space="preserve"> on multipl</w:t>
      </w:r>
      <w:r w:rsidR="00485DD6">
        <w:rPr>
          <w:rFonts w:ascii="Times New Roman" w:hAnsi="Times New Roman" w:cs="Times New Roman"/>
          <w:b w:val="0"/>
          <w:color w:val="1F497D" w:themeColor="text2"/>
          <w:sz w:val="24"/>
          <w:szCs w:val="24"/>
        </w:rPr>
        <w:t>e levels and negatively impacts</w:t>
      </w:r>
      <w:r w:rsidRPr="00485DD6">
        <w:rPr>
          <w:rFonts w:ascii="Times New Roman" w:hAnsi="Times New Roman" w:cs="Times New Roman"/>
          <w:b w:val="0"/>
          <w:color w:val="1F497D" w:themeColor="text2"/>
          <w:sz w:val="24"/>
          <w:szCs w:val="24"/>
        </w:rPr>
        <w:t xml:space="preserve"> mental health and youth </w:t>
      </w:r>
      <w:r w:rsidR="00485DD6">
        <w:rPr>
          <w:rFonts w:ascii="Times New Roman" w:hAnsi="Times New Roman" w:cs="Times New Roman"/>
          <w:b w:val="0"/>
          <w:color w:val="1F497D" w:themeColor="text2"/>
          <w:sz w:val="24"/>
          <w:szCs w:val="24"/>
        </w:rPr>
        <w:t>development. Further, it creates</w:t>
      </w:r>
      <w:r w:rsidRPr="00485DD6">
        <w:rPr>
          <w:rFonts w:ascii="Times New Roman" w:hAnsi="Times New Roman" w:cs="Times New Roman"/>
          <w:b w:val="0"/>
          <w:color w:val="1F497D" w:themeColor="text2"/>
          <w:sz w:val="24"/>
          <w:szCs w:val="24"/>
        </w:rPr>
        <w:t xml:space="preserve"> feelings of e</w:t>
      </w:r>
      <w:r w:rsidR="00485DD6">
        <w:rPr>
          <w:rFonts w:ascii="Times New Roman" w:hAnsi="Times New Roman" w:cs="Times New Roman"/>
          <w:b w:val="0"/>
          <w:color w:val="1F497D" w:themeColor="text2"/>
          <w:sz w:val="24"/>
          <w:szCs w:val="24"/>
        </w:rPr>
        <w:t>xclusion and anger that hinder</w:t>
      </w:r>
      <w:r w:rsidRPr="00485DD6">
        <w:rPr>
          <w:rFonts w:ascii="Times New Roman" w:hAnsi="Times New Roman" w:cs="Times New Roman"/>
          <w:b w:val="0"/>
          <w:color w:val="1F497D" w:themeColor="text2"/>
          <w:sz w:val="24"/>
          <w:szCs w:val="24"/>
        </w:rPr>
        <w:t xml:space="preserve"> successful social integration an</w:t>
      </w:r>
      <w:r w:rsidR="00485DD6">
        <w:rPr>
          <w:rFonts w:ascii="Times New Roman" w:hAnsi="Times New Roman" w:cs="Times New Roman"/>
          <w:b w:val="0"/>
          <w:color w:val="1F497D" w:themeColor="text2"/>
          <w:sz w:val="24"/>
          <w:szCs w:val="24"/>
        </w:rPr>
        <w:t>d achievement of goals. Even if</w:t>
      </w:r>
      <w:r w:rsidRPr="00485DD6">
        <w:rPr>
          <w:rFonts w:ascii="Times New Roman" w:hAnsi="Times New Roman" w:cs="Times New Roman"/>
          <w:b w:val="0"/>
          <w:color w:val="1F497D" w:themeColor="text2"/>
          <w:sz w:val="24"/>
          <w:szCs w:val="24"/>
        </w:rPr>
        <w:t xml:space="preserve"> hostile attitudes </w:t>
      </w:r>
      <w:r w:rsidR="00485DD6">
        <w:rPr>
          <w:rFonts w:ascii="Times New Roman" w:hAnsi="Times New Roman" w:cs="Times New Roman"/>
          <w:b w:val="0"/>
          <w:color w:val="1F497D" w:themeColor="text2"/>
          <w:sz w:val="24"/>
          <w:szCs w:val="24"/>
        </w:rPr>
        <w:t>are not expressed as</w:t>
      </w:r>
      <w:r w:rsidRPr="00485DD6">
        <w:rPr>
          <w:rFonts w:ascii="Times New Roman" w:hAnsi="Times New Roman" w:cs="Times New Roman"/>
          <w:b w:val="0"/>
          <w:color w:val="1F497D" w:themeColor="text2"/>
          <w:sz w:val="24"/>
          <w:szCs w:val="24"/>
        </w:rPr>
        <w:t xml:space="preserve"> physical acts towards ethnic minority groups, they may significantly affect social and economic integration and may lead to reactive and maladaptive coping for these groups and their offspring </w:t>
      </w:r>
      <w:r w:rsidRPr="00485DD6">
        <w:rPr>
          <w:rFonts w:ascii="Times New Roman" w:hAnsi="Times New Roman" w:cs="Times New Roman"/>
          <w:b w:val="0"/>
          <w:color w:val="1F497D" w:themeColor="text2"/>
          <w:sz w:val="24"/>
          <w:szCs w:val="24"/>
        </w:rPr>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"author" : [ { "dropping-particle" : "", "family" : "Dustman", "given" : "Christian", "non-dropping-particle" : "", "parse-names" : false, "suffix" : "" }, { "dropping-particle" : "", "family" : "Fabbri", "given" : "Francesca", "non-dropping-particle" : "", "parse-names" : false, "suffix" : "" }, { "dropping-particle" : "", "family" : "Preston", "given" : "Ian", "non-dropping-particle" : "", "parse-names" : false, "suffix" : "" } ], "id" : "ITEM-1", "issued" : { "date-parts" : [ [ "2004" ] ] }, "title" : "Racial harrassment, ethnic concentration and economic conditions", "type" : "report" }, "uris" : [ "http://www.mendeley.com/documents/?uuid=2d8022df-abae-491c-8395-82a5c4da627c" ] } ], "mendeley" : { "formattedCitation" : "(Dustman et al., 2004)", "plainTextFormattedCitation" : "(Dustman et al., 2004)", "previouslyFormattedCitation" : "(Dustman et al., 2004)"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(Dustman et al., 2004)</w:t>
      </w:r>
      <w:r w:rsidRPr="00485DD6">
        <w:rPr>
          <w:rFonts w:ascii="Times New Roman" w:hAnsi="Times New Roman" w:cs="Times New Roman"/>
          <w:b w:val="0"/>
          <w:color w:val="1F497D" w:themeColor="text2"/>
          <w:sz w:val="24"/>
          <w:szCs w:val="24"/>
        </w:rPr>
        <w:fldChar w:fldCharType="end"/>
      </w:r>
      <w:r w:rsidR="00485DD6">
        <w:rPr>
          <w:rFonts w:ascii="Times New Roman" w:hAnsi="Times New Roman" w:cs="Times New Roman"/>
          <w:b w:val="0"/>
          <w:color w:val="1F497D" w:themeColor="text2"/>
          <w:sz w:val="24"/>
          <w:szCs w:val="24"/>
        </w:rPr>
        <w:t>. Consequently, even if offences against ethnic minorities a</w:t>
      </w:r>
      <w:r w:rsidRPr="00485DD6">
        <w:rPr>
          <w:rFonts w:ascii="Times New Roman" w:hAnsi="Times New Roman" w:cs="Times New Roman"/>
          <w:b w:val="0"/>
          <w:color w:val="1F497D" w:themeColor="text2"/>
          <w:sz w:val="24"/>
          <w:szCs w:val="24"/>
        </w:rPr>
        <w:t xml:space="preserve">re not intended to be racially </w:t>
      </w:r>
      <w:r w:rsidR="00485DD6">
        <w:rPr>
          <w:rFonts w:ascii="Times New Roman" w:hAnsi="Times New Roman" w:cs="Times New Roman"/>
          <w:b w:val="0"/>
          <w:color w:val="1F497D" w:themeColor="text2"/>
          <w:sz w:val="24"/>
          <w:szCs w:val="24"/>
        </w:rPr>
        <w:t>motivated, the minorities may see these offences as such</w:t>
      </w:r>
      <w:r w:rsidRPr="00485DD6">
        <w:rPr>
          <w:rFonts w:ascii="Times New Roman" w:hAnsi="Times New Roman" w:cs="Times New Roman"/>
          <w:b w:val="0"/>
          <w:color w:val="1F497D" w:themeColor="text2"/>
          <w:sz w:val="24"/>
          <w:szCs w:val="24"/>
        </w:rPr>
        <w:t xml:space="preserve"> </w:t>
      </w:r>
      <w:r w:rsidRPr="00485DD6">
        <w:rPr>
          <w:rFonts w:ascii="Times New Roman" w:hAnsi="Times New Roman" w:cs="Times New Roman"/>
          <w:b w:val="0"/>
          <w:color w:val="1F497D" w:themeColor="text2"/>
          <w:sz w:val="24"/>
          <w:szCs w:val="24"/>
        </w:rPr>
        <w:lastRenderedPageBreak/>
        <w:fldChar w:fldCharType="begin" w:fldLock="1"/>
      </w:r>
      <w:r w:rsidR="00F56BF0" w:rsidRPr="00485DD6">
        <w:rPr>
          <w:rFonts w:ascii="Times New Roman" w:hAnsi="Times New Roman" w:cs="Times New Roman"/>
          <w:b w:val="0"/>
          <w:color w:val="1F497D" w:themeColor="text2"/>
          <w:sz w:val="24"/>
          <w:szCs w:val="24"/>
        </w:rPr>
        <w:instrText>ADDIN CSL_CITATION { "citationItems" : [ { "id" : "ITEM-1", "itemData" : { "author" : [ { "dropping-particle" : "", "family" : "Bowling", "given" : "Benjamin", "non-dropping-particle" : "", "parse-names" : false, "suffix" : "" } ], "container-title" : "British Journal of Criminology", "id" : "ITEM-1", "issue" : "2", "issued" : { "date-parts" : [ [ "1993" ] ] }, "page" : "231-250", "title" : "Racial harassment and the process of victimization: Conceptual and methodological implications for the local crime survey", "type" : "article-journal", "volume" : "33" }, "uris" : [ "http://www.mendeley.com/documents/?uuid=d3692c2b-c248-4ed6-a8f2-b9d9145a0e8f" ] } ], "mendeley" : { "formattedCitation" : "(Bowling, 1993)", "plainTextFormattedCitation" : "(Bowling, 1993)", "previouslyFormattedCitation" : "(Bowling, 1993)"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(Bowling, 1993)</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xml:space="preserve">. The disadvantages of being an ethnic minority coupled with the risks for violence from the immigrant experience are particular challenges for both first and </w:t>
      </w:r>
      <w:r w:rsidR="00485DD6">
        <w:rPr>
          <w:rFonts w:ascii="Times New Roman" w:hAnsi="Times New Roman" w:cs="Times New Roman"/>
          <w:b w:val="0"/>
          <w:color w:val="1F497D" w:themeColor="text2"/>
          <w:sz w:val="24"/>
          <w:szCs w:val="24"/>
        </w:rPr>
        <w:t xml:space="preserve">second </w:t>
      </w:r>
      <w:r w:rsidR="00485DD6" w:rsidRPr="00485DD6">
        <w:rPr>
          <w:rFonts w:ascii="Times New Roman" w:hAnsi="Times New Roman" w:cs="Times New Roman"/>
          <w:b w:val="0"/>
          <w:color w:val="1F497D" w:themeColor="text2"/>
          <w:sz w:val="24"/>
          <w:szCs w:val="24"/>
        </w:rPr>
        <w:t>generation</w:t>
      </w:r>
      <w:r w:rsidRPr="00485DD6">
        <w:rPr>
          <w:rFonts w:ascii="Times New Roman" w:hAnsi="Times New Roman" w:cs="Times New Roman"/>
          <w:b w:val="0"/>
          <w:color w:val="1F497D" w:themeColor="text2"/>
          <w:sz w:val="24"/>
          <w:szCs w:val="24"/>
        </w:rPr>
        <w:t xml:space="preserve"> immigrants. </w:t>
      </w:r>
      <w:r w:rsidR="00485DD6">
        <w:rPr>
          <w:rFonts w:ascii="Times New Roman" w:hAnsi="Times New Roman" w:cs="Times New Roman"/>
          <w:b w:val="0"/>
          <w:color w:val="1F497D" w:themeColor="text2"/>
          <w:sz w:val="24"/>
          <w:szCs w:val="24"/>
        </w:rPr>
        <w:t xml:space="preserve">The possible shared risks between first and second generation immigrants, however, do not </w:t>
      </w:r>
      <w:r w:rsidRPr="00485DD6">
        <w:rPr>
          <w:rFonts w:ascii="Times New Roman" w:hAnsi="Times New Roman" w:cs="Times New Roman"/>
          <w:b w:val="0"/>
          <w:color w:val="1F497D" w:themeColor="text2"/>
          <w:sz w:val="24"/>
          <w:szCs w:val="24"/>
        </w:rPr>
        <w:t xml:space="preserve">adequately explain why differences </w:t>
      </w:r>
      <w:r w:rsidR="00485DD6">
        <w:rPr>
          <w:rFonts w:ascii="Times New Roman" w:hAnsi="Times New Roman" w:cs="Times New Roman"/>
          <w:b w:val="0"/>
          <w:color w:val="1F497D" w:themeColor="text2"/>
          <w:sz w:val="24"/>
          <w:szCs w:val="24"/>
        </w:rPr>
        <w:t xml:space="preserve">between generations </w:t>
      </w:r>
      <w:r w:rsidRPr="00485DD6">
        <w:rPr>
          <w:rFonts w:ascii="Times New Roman" w:hAnsi="Times New Roman" w:cs="Times New Roman"/>
          <w:b w:val="0"/>
          <w:color w:val="1F497D" w:themeColor="text2"/>
          <w:sz w:val="24"/>
          <w:szCs w:val="24"/>
        </w:rPr>
        <w:t>in violence levels exist. Several theories and studies have investigated the reasons for</w:t>
      </w:r>
      <w:r w:rsidR="00485DD6">
        <w:rPr>
          <w:rFonts w:ascii="Times New Roman" w:hAnsi="Times New Roman" w:cs="Times New Roman"/>
          <w:b w:val="0"/>
          <w:color w:val="1F497D" w:themeColor="text2"/>
          <w:sz w:val="24"/>
          <w:szCs w:val="24"/>
        </w:rPr>
        <w:t xml:space="preserve"> these generational differences. </w:t>
      </w:r>
    </w:p>
    <w:p w14:paraId="6B111720" w14:textId="77777777" w:rsidR="00EE635E" w:rsidRPr="00460AAA" w:rsidRDefault="00EE635E" w:rsidP="00460AAA">
      <w:pPr>
        <w:pStyle w:val="Heading5"/>
        <w:spacing w:before="0" w:beforeAutospacing="0" w:after="75" w:afterAutospacing="0" w:line="480" w:lineRule="auto"/>
        <w:jc w:val="both"/>
        <w:rPr>
          <w:rFonts w:ascii="Times New Roman" w:hAnsi="Times New Roman" w:cs="Times New Roman"/>
          <w:b w:val="0"/>
          <w:color w:val="1F497D" w:themeColor="text2"/>
          <w:sz w:val="24"/>
          <w:szCs w:val="24"/>
        </w:rPr>
      </w:pPr>
    </w:p>
    <w:p w14:paraId="7611E6BF" w14:textId="4068B3D7" w:rsidR="00AE4438" w:rsidRPr="00485DD6" w:rsidRDefault="00B55824" w:rsidP="008B6437">
      <w:pPr>
        <w:spacing w:after="0" w:line="480" w:lineRule="auto"/>
        <w:contextualSpacing/>
        <w:jc w:val="both"/>
        <w:outlineLvl w:val="0"/>
        <w:rPr>
          <w:i/>
          <w:color w:val="1F497D" w:themeColor="text2"/>
        </w:rPr>
      </w:pPr>
      <w:r w:rsidRPr="00485DD6">
        <w:rPr>
          <w:i/>
          <w:color w:val="1F497D" w:themeColor="text2"/>
        </w:rPr>
        <w:t xml:space="preserve">Reasons for the differences in violence between </w:t>
      </w:r>
      <w:r w:rsidR="00A50AAB">
        <w:rPr>
          <w:i/>
          <w:color w:val="1F497D" w:themeColor="text2"/>
        </w:rPr>
        <w:t>first and second generation immigrants</w:t>
      </w:r>
      <w:r w:rsidRPr="00485DD6">
        <w:rPr>
          <w:i/>
          <w:color w:val="1F497D" w:themeColor="text2"/>
        </w:rPr>
        <w:t xml:space="preserve"> </w:t>
      </w:r>
    </w:p>
    <w:p w14:paraId="6A56F399" w14:textId="5FF04F84" w:rsidR="00812844" w:rsidRPr="00485DD6" w:rsidRDefault="00B77BF9" w:rsidP="008B6437">
      <w:pPr>
        <w:spacing w:after="0" w:line="480" w:lineRule="auto"/>
        <w:ind w:firstLine="720"/>
        <w:contextualSpacing/>
        <w:jc w:val="both"/>
        <w:rPr>
          <w:color w:val="1F497D" w:themeColor="text2"/>
        </w:rPr>
      </w:pPr>
      <w:r w:rsidRPr="00485DD6">
        <w:rPr>
          <w:color w:val="1F497D" w:themeColor="text2"/>
        </w:rPr>
        <w:t xml:space="preserve">The </w:t>
      </w:r>
      <w:r w:rsidR="00A50AAB">
        <w:rPr>
          <w:color w:val="1F497D" w:themeColor="text2"/>
        </w:rPr>
        <w:t>low rate of violence by first-generation immigrants</w:t>
      </w:r>
      <w:r w:rsidR="00644786" w:rsidRPr="00485DD6">
        <w:rPr>
          <w:color w:val="1F497D" w:themeColor="text2"/>
        </w:rPr>
        <w:t xml:space="preserve"> wa</w:t>
      </w:r>
      <w:r w:rsidR="00AE4438" w:rsidRPr="00485DD6">
        <w:rPr>
          <w:color w:val="1F497D" w:themeColor="text2"/>
        </w:rPr>
        <w:t xml:space="preserve">s </w:t>
      </w:r>
      <w:r w:rsidR="00CF221E" w:rsidRPr="00485DD6">
        <w:rPr>
          <w:color w:val="1F497D" w:themeColor="text2"/>
        </w:rPr>
        <w:t>particularly unexpected</w:t>
      </w:r>
      <w:r w:rsidR="00A50AAB">
        <w:rPr>
          <w:color w:val="1F497D" w:themeColor="text2"/>
        </w:rPr>
        <w:t xml:space="preserve"> because</w:t>
      </w:r>
      <w:r w:rsidR="00AE4438" w:rsidRPr="00485DD6">
        <w:rPr>
          <w:color w:val="1F497D" w:themeColor="text2"/>
        </w:rPr>
        <w:t xml:space="preserve"> many first-generation immigrants </w:t>
      </w:r>
      <w:r w:rsidR="00B34891" w:rsidRPr="00485DD6">
        <w:rPr>
          <w:color w:val="1F497D" w:themeColor="text2"/>
        </w:rPr>
        <w:t xml:space="preserve">and their families </w:t>
      </w:r>
      <w:r w:rsidR="00294ABF" w:rsidRPr="00485DD6">
        <w:rPr>
          <w:color w:val="1F497D" w:themeColor="text2"/>
        </w:rPr>
        <w:t>settle</w:t>
      </w:r>
      <w:r w:rsidR="00644786" w:rsidRPr="00485DD6">
        <w:rPr>
          <w:color w:val="1F497D" w:themeColor="text2"/>
        </w:rPr>
        <w:t>d</w:t>
      </w:r>
      <w:r w:rsidR="00294ABF" w:rsidRPr="00485DD6">
        <w:rPr>
          <w:color w:val="1F497D" w:themeColor="text2"/>
        </w:rPr>
        <w:t xml:space="preserve"> in </w:t>
      </w:r>
      <w:r w:rsidR="00B866B4" w:rsidRPr="00485DD6">
        <w:rPr>
          <w:color w:val="1F497D" w:themeColor="text2"/>
        </w:rPr>
        <w:t xml:space="preserve">deprived inner-city </w:t>
      </w:r>
      <w:r w:rsidR="00A50AAB" w:rsidRPr="00485DD6">
        <w:rPr>
          <w:color w:val="1F497D" w:themeColor="text2"/>
        </w:rPr>
        <w:t>neighbourhoods</w:t>
      </w:r>
      <w:r w:rsidR="00B862DA" w:rsidRPr="00485DD6">
        <w:rPr>
          <w:color w:val="1F497D" w:themeColor="text2"/>
        </w:rPr>
        <w:t xml:space="preserve"> in which encounters with </w:t>
      </w:r>
      <w:r w:rsidR="00644786" w:rsidRPr="00485DD6">
        <w:rPr>
          <w:color w:val="1F497D" w:themeColor="text2"/>
        </w:rPr>
        <w:t>marginalized native minorities we</w:t>
      </w:r>
      <w:r w:rsidR="00B862DA" w:rsidRPr="00485DD6">
        <w:rPr>
          <w:color w:val="1F497D" w:themeColor="text2"/>
        </w:rPr>
        <w:t>re commonplace</w:t>
      </w:r>
      <w:r w:rsidR="00B866B4" w:rsidRPr="00485DD6">
        <w:rPr>
          <w:color w:val="1F497D" w:themeColor="text2"/>
        </w:rPr>
        <w:t xml:space="preserve"> </w:t>
      </w:r>
      <w:r w:rsidR="00B862DA" w:rsidRPr="00485DD6">
        <w:rPr>
          <w:color w:val="1F497D" w:themeColor="text2"/>
        </w:rPr>
        <w:fldChar w:fldCharType="begin" w:fldLock="1"/>
      </w:r>
      <w:r w:rsidR="00D559AC" w:rsidRPr="00485DD6">
        <w:rPr>
          <w:color w:val="1F497D" w:themeColor="text2"/>
        </w:rPr>
        <w:instrText>ADDIN CSL_CITATION { "citationItems" : [ { "id" : "ITEM-1", "itemData" : { "author" : [ { "dropping-particle" : "", "family" : "Portes", "given" : "Alejandro", "non-dropping-particle" : "", "parse-names" : false, "suffix" : "" }, { "dropping-particle" : "", "family" : "Zhou", "given" : "Min", "non-dropping-particle" : "", "parse-names" : false, "suffix" : "" } ], "container-title" : "The annals of the American academy of \u2026", "id" : "ITEM-1", "issued" : { "date-parts" : [ [ "1993" ] ] }, "page" : "74-96", "title" : "The new second generation: Segmented assimilation and its variants", "type" : "article-journal", "volume" : "530" }, "uris" : [ "http://www.mendeley.com/documents/?uuid=4acc2ec8-10fb-436b-b43d-39114347f153" ] }, { "id" : "ITEM-2", "itemData" : { "DOI" : "10.1016/j.ssresearch.2011.01.004", "ISSN" : "1096-0317", "PMID" : "21572546", "abstract" : "Segmented assimilation theory has been a popular explanation for the diverse experiences of assimilation among new waves of immigrants and their children. While the theory has been interpreted in many different ways, we emphasize its implications for the important role of social context: both processes and consequences of assimilation should depend on the local social context in which immigrants are embedded. We derive empirically falsifiable hypotheses about the interaction effects between social context and assimilation on immigrant children's well-being. We then test the hypotheses using data from the National Longitudinal Study of Adolescent Health. Our empirical analyses yield two main findings. First, for immigrant adolescents living in non-poverty neighborhoods, we find assimilation to be positively associated with educational achievement and psychological well-being but also positively associated with at-risk behavior. Second, there is little empirical evidence supporting our hypotheses derived from segmented assimilation theory. We interpret these results to mean that future research would be more fruitful focusing on differential processes of assimilation rather than differential consequences of assimilation.", "author" : [ { "dropping-particle" : "", "family" : "Xie", "given" : "Yu", "non-dropping-particle" : "", "parse-names" : false, "suffix" : "" }, { "dropping-particle" : "", "family" : "Greenman", "given" : "Emily", "non-dropping-particle" : "", "parse-names" : false, "suffix" : "" } ], "container-title" : "Social Science Research", "id" : "ITEM-2", "issue" : "3", "issued" : { "date-parts" : [ [ "2011", "5" ] ] }, "page" : "965-84", "publisher" : "Elsevier Inc.", "title" : "The social context of assimilation: testing implications of segmented assimilation theory.", "type" : "article-journal", "volume" : "40" }, "uris" : [ "http://www.mendeley.com/documents/?uuid=e5ee6af6-334f-4e1a-b44f-2447c133ce77" ] } ], "mendeley" : { "formattedCitation" : "(Portes and Zhou, 1993; Xie and Greenman, 2011)", "manualFormatting" : "(Portes and Zhou, 1993)", "plainTextFormattedCitation" : "(Portes and Zhou, 1993; Xie and Greenman, 2011)", "previouslyFormattedCitation" : "(Portes and Zhou, 1993; Xie and Greenman, 2011)" }, "properties" : { "noteIndex" : 0 }, "schema" : "https://github.com/citation-style-language/schema/raw/master/csl-citation.json" }</w:instrText>
      </w:r>
      <w:r w:rsidR="00B862DA" w:rsidRPr="00485DD6">
        <w:rPr>
          <w:color w:val="1F497D" w:themeColor="text2"/>
        </w:rPr>
        <w:fldChar w:fldCharType="separate"/>
      </w:r>
      <w:r w:rsidR="00735537" w:rsidRPr="00485DD6">
        <w:rPr>
          <w:noProof/>
          <w:color w:val="1F497D" w:themeColor="text2"/>
        </w:rPr>
        <w:t>(Portes and Zhou, 1993</w:t>
      </w:r>
      <w:r w:rsidR="00B862DA" w:rsidRPr="00485DD6">
        <w:rPr>
          <w:noProof/>
          <w:color w:val="1F497D" w:themeColor="text2"/>
        </w:rPr>
        <w:t>)</w:t>
      </w:r>
      <w:r w:rsidR="00B862DA" w:rsidRPr="00485DD6">
        <w:rPr>
          <w:color w:val="1F497D" w:themeColor="text2"/>
        </w:rPr>
        <w:fldChar w:fldCharType="end"/>
      </w:r>
      <w:r w:rsidR="00B862DA" w:rsidRPr="00485DD6">
        <w:rPr>
          <w:color w:val="1F497D" w:themeColor="text2"/>
        </w:rPr>
        <w:t xml:space="preserve">. The increased risks for violence from residing in this </w:t>
      </w:r>
      <w:r w:rsidR="007759E0" w:rsidRPr="00485DD6">
        <w:rPr>
          <w:color w:val="1F497D" w:themeColor="text2"/>
        </w:rPr>
        <w:t xml:space="preserve">type of </w:t>
      </w:r>
      <w:r w:rsidR="00B862DA" w:rsidRPr="00485DD6">
        <w:rPr>
          <w:color w:val="1F497D" w:themeColor="text2"/>
        </w:rPr>
        <w:t xml:space="preserve">social environment have been established in </w:t>
      </w:r>
      <w:r w:rsidR="007759E0" w:rsidRPr="00485DD6">
        <w:rPr>
          <w:color w:val="1F497D" w:themeColor="text2"/>
        </w:rPr>
        <w:t xml:space="preserve">the </w:t>
      </w:r>
      <w:r w:rsidR="00B862DA" w:rsidRPr="00485DD6">
        <w:rPr>
          <w:color w:val="1F497D" w:themeColor="text2"/>
        </w:rPr>
        <w:t xml:space="preserve">criminological literature, and </w:t>
      </w:r>
      <w:r w:rsidR="007759E0" w:rsidRPr="00485DD6">
        <w:rPr>
          <w:color w:val="1F497D" w:themeColor="text2"/>
        </w:rPr>
        <w:t>these risk factors</w:t>
      </w:r>
      <w:r w:rsidR="001C241D" w:rsidRPr="00485DD6">
        <w:rPr>
          <w:color w:val="1F497D" w:themeColor="text2"/>
        </w:rPr>
        <w:t xml:space="preserve"> </w:t>
      </w:r>
      <w:r w:rsidR="00B862DA" w:rsidRPr="00485DD6">
        <w:rPr>
          <w:color w:val="1F497D" w:themeColor="text2"/>
        </w:rPr>
        <w:t xml:space="preserve">include having delinquent peers, poverty, </w:t>
      </w:r>
      <w:r w:rsidR="00EF720B" w:rsidRPr="00485DD6">
        <w:rPr>
          <w:color w:val="1F497D" w:themeColor="text2"/>
        </w:rPr>
        <w:t xml:space="preserve">availability of drugs and firearms, community disorganization, exposure to violence and racial prejudice, and </w:t>
      </w:r>
      <w:r w:rsidR="009D41B9" w:rsidRPr="00485DD6">
        <w:rPr>
          <w:color w:val="1F497D" w:themeColor="text2"/>
        </w:rPr>
        <w:t>neighbourhood</w:t>
      </w:r>
      <w:r w:rsidR="00EF720B" w:rsidRPr="00485DD6">
        <w:rPr>
          <w:color w:val="1F497D" w:themeColor="text2"/>
        </w:rPr>
        <w:t xml:space="preserve"> adults involved in crime </w:t>
      </w:r>
      <w:r w:rsidR="00EF720B" w:rsidRPr="00485DD6">
        <w:rPr>
          <w:color w:val="1F497D" w:themeColor="text2"/>
        </w:rPr>
        <w:fldChar w:fldCharType="begin" w:fldLock="1"/>
      </w:r>
      <w:r w:rsidR="00460AAA">
        <w:rPr>
          <w:color w:val="1F497D" w:themeColor="text2"/>
        </w:rPr>
        <w:instrText>ADDIN CSL_CITATION { "citationItems" : [ { "id" : "ITEM-1", "itemData" : { "author" : [ { "dropping-particle" : "", "family" : "Wilson", "given" : "John J", "non-dropping-particle" : "", "parse-names" : false, "suffix" : "" }, { "dropping-particle" : "", "family" : "Hawkins", "given" : "J David", "non-dropping-particle" : "", "parse-names" : false, "suffix" : "" }, { "dropping-particle" : "", "family" : "Herrenkohl", "given" : "Todd I", "non-dropping-particle" : "", "parse-names" : false, "suffix" : "" }, { "dropping-particle" : "", "family" : "Farrington", "given" : "David P", "non-dropping-particle" : "", "parse-names" : false, "suffix" : "" }, { "dropping-particle" : "", "family" : "Brewer", "given" : "Devon", "non-dropping-particle" : "", "parse-names" : false, "suffix" : "" }, { "dropping-particle" : "", "family" : "Catalano", "given" : "Richard F", "non-dropping-particle" : "", "parse-names" : false, "suffix" : "" }, { "dropping-particle" : "", "family" : "Harachi", "given" : "Tracy W", "non-dropping-particle" : "", "parse-names" : false, "suffix" : "" } ], "id" : "ITEM-1", "issue" : "April", "issued" : { "date-parts" : [ [ "2000" ] ] }, "title" : "Predictors of Youth Violence", "type" : "report" }, "uris" : [ "http://www.mendeley.com/documents/?uuid=2216114d-8657-4702-a279-935dbe3e50b0" ] }, { "id" : "ITEM-2", "itemData" : { "author" : [ { "dropping-particle" : "", "family" : "Farrington", "given" : "David P", "non-dropping-particle" : "", "parse-names" : false, "suffix" : "" } ], "container-title" : "Taking stock of delinquency: An overview of findings from contemporary longitudinal studies", "editor" : [ { "dropping-particle" : "", "family" : "Thornberry", "given" : "Terence P", "non-dropping-particle" : "", "parse-names" : false, "suffix" : "" }, { "dropping-particle" : "", "family" : "Krohn", "given" : "Marvin D", "non-dropping-particle" : "", "parse-names" : false, "suffix" : "" } ], "id" : "ITEM-2", "issue" : "November", "issued" : { "date-parts" : [ [ "2001" ] ] }, "page" : "137-183", "publisher" : "Kluwer/Plenum", "publisher-place" : "New York", "title" : "Key results from the first forty years of the Cambridge Study in Delinquent Development", "type" : "chapter" }, "uris" : [ "http://www.mendeley.com/documents/?uuid=47f43041-88c3-4ba6-ac93-6dcb89fcac0b" ] } ], "mendeley" : { "formattedCitation" : "(Farrington, 2001; Wilson et al., 2000)", "plainTextFormattedCitation" : "(Farrington, 2001; Wilson et al., 2000)", "previouslyFormattedCitation" : "(Farrington, 2001; Wilson et al., 2000)" }, "properties" : { "noteIndex" : 0 }, "schema" : "https://github.com/citation-style-language/schema/raw/master/csl-citation.json" }</w:instrText>
      </w:r>
      <w:r w:rsidR="00EF720B" w:rsidRPr="00485DD6">
        <w:rPr>
          <w:color w:val="1F497D" w:themeColor="text2"/>
        </w:rPr>
        <w:fldChar w:fldCharType="separate"/>
      </w:r>
      <w:r w:rsidR="00EF720B" w:rsidRPr="00485DD6">
        <w:rPr>
          <w:noProof/>
          <w:color w:val="1F497D" w:themeColor="text2"/>
        </w:rPr>
        <w:t>(Farrington, 2001; Wilson et al., 2000)</w:t>
      </w:r>
      <w:r w:rsidR="00EF720B" w:rsidRPr="00485DD6">
        <w:rPr>
          <w:color w:val="1F497D" w:themeColor="text2"/>
        </w:rPr>
        <w:fldChar w:fldCharType="end"/>
      </w:r>
      <w:r w:rsidR="00AF341D" w:rsidRPr="00485DD6">
        <w:rPr>
          <w:color w:val="1F497D" w:themeColor="text2"/>
        </w:rPr>
        <w:t xml:space="preserve">. </w:t>
      </w:r>
      <w:r w:rsidR="001C241D" w:rsidRPr="00485DD6">
        <w:rPr>
          <w:color w:val="1F497D" w:themeColor="text2"/>
        </w:rPr>
        <w:t xml:space="preserve">Despite these risks, Sampson </w:t>
      </w:r>
      <w:r w:rsidR="00AF341D" w:rsidRPr="00485DD6">
        <w:rPr>
          <w:color w:val="1F497D" w:themeColor="text2"/>
        </w:rPr>
        <w:t xml:space="preserve">and Bean </w:t>
      </w:r>
      <w:r w:rsidR="00AF341D" w:rsidRPr="00485DD6">
        <w:rPr>
          <w:color w:val="1F497D" w:themeColor="text2"/>
        </w:rPr>
        <w:fldChar w:fldCharType="begin" w:fldLock="1"/>
      </w:r>
      <w:r w:rsidR="00F56BF0" w:rsidRPr="00485DD6">
        <w:rPr>
          <w:color w:val="1F497D" w:themeColor="text2"/>
        </w:rPr>
        <w:instrText>ADDIN CSL_CITATION { "citationItems" : [ { "id" : "ITEM-1", "itemData" : { "author" : [ { "dropping-particle" : "", "family" : "Sampson", "given" : "Robert", "non-dropping-particle" : "", "parse-names" : false, "suffix" : "" }, { "dropping-particle" : "", "family" : "Bean", "given" : "Lydia", "non-dropping-particle" : "", "parse-names" : false, "suffix" : "" } ], "container-title" : "The many colors of crime: Inequalities of race, ethnicity and crime in America", "editor" : [ { "dropping-particle" : "", "family" : "Peterson", "given" : "Ruth", "non-dropping-particle" : "", "parse-names" : false, "suffix" : "" }, { "dropping-particle" : "", "family" : "Krivo", "given" : "Lauren", "non-dropping-particle" : "", "parse-names" : false, "suffix" : "" }, { "dropping-particle" : "", "family" : "Hagan", "given" : "John", "non-dropping-particle" : "", "parse-names" : false, "suffix" : "" } ], "id" : "ITEM-1", "issued" : { "date-parts" : [ [ "2006" ] ] }, "page" : "8-36", "publisher" : "New York University Press", "publisher-place" : "New York, US", "title" : "Cultural mechanisms and killing fields: A revised theory of community-level racial inequality", "type" : "chapter" }, "uris" : [ "http://www.mendeley.com/documents/?uuid=c8b7cdb0-d5ce-40e1-a4a8-d6a6469c30bd" ] } ], "mendeley" : { "formattedCitation" : "(Sampson and Bean, 2006)", "manualFormatting" : "(2006)", "plainTextFormattedCitation" : "(Sampson and Bean, 2006)", "previouslyFormattedCitation" : "(Sampson and Bean, 2006)" }, "properties" : { "noteIndex" : 0 }, "schema" : "https://github.com/citation-style-language/schema/raw/master/csl-citation.json" }</w:instrText>
      </w:r>
      <w:r w:rsidR="00AF341D" w:rsidRPr="00485DD6">
        <w:rPr>
          <w:color w:val="1F497D" w:themeColor="text2"/>
        </w:rPr>
        <w:fldChar w:fldCharType="separate"/>
      </w:r>
      <w:r w:rsidR="00AF341D" w:rsidRPr="00485DD6">
        <w:rPr>
          <w:noProof/>
          <w:color w:val="1F497D" w:themeColor="text2"/>
        </w:rPr>
        <w:t>(2006)</w:t>
      </w:r>
      <w:r w:rsidR="00AF341D" w:rsidRPr="00485DD6">
        <w:rPr>
          <w:color w:val="1F497D" w:themeColor="text2"/>
        </w:rPr>
        <w:fldChar w:fldCharType="end"/>
      </w:r>
      <w:r w:rsidR="00EF720B" w:rsidRPr="00485DD6">
        <w:rPr>
          <w:color w:val="1F497D" w:themeColor="text2"/>
        </w:rPr>
        <w:t xml:space="preserve"> </w:t>
      </w:r>
      <w:r w:rsidR="00AF341D" w:rsidRPr="00485DD6">
        <w:rPr>
          <w:color w:val="1F497D" w:themeColor="text2"/>
        </w:rPr>
        <w:t>coined the term “the Latino Paradox” t</w:t>
      </w:r>
      <w:r w:rsidR="00CF221E" w:rsidRPr="00485DD6">
        <w:rPr>
          <w:color w:val="1F497D" w:themeColor="text2"/>
        </w:rPr>
        <w:t>o the finding that Latino first-</w:t>
      </w:r>
      <w:r w:rsidR="00AF341D" w:rsidRPr="00485DD6">
        <w:rPr>
          <w:color w:val="1F497D" w:themeColor="text2"/>
        </w:rPr>
        <w:t>g</w:t>
      </w:r>
      <w:r w:rsidR="002745BB" w:rsidRPr="00485DD6">
        <w:rPr>
          <w:color w:val="1F497D" w:themeColor="text2"/>
        </w:rPr>
        <w:t xml:space="preserve">eneration immigrants </w:t>
      </w:r>
      <w:r w:rsidR="00A50AAB">
        <w:rPr>
          <w:color w:val="1F497D" w:themeColor="text2"/>
        </w:rPr>
        <w:t>seemed to be resistant to</w:t>
      </w:r>
      <w:r w:rsidR="00B92274" w:rsidRPr="00485DD6">
        <w:rPr>
          <w:color w:val="1F497D" w:themeColor="text2"/>
        </w:rPr>
        <w:t xml:space="preserve"> co</w:t>
      </w:r>
      <w:r w:rsidR="00A50AAB">
        <w:rPr>
          <w:color w:val="1F497D" w:themeColor="text2"/>
        </w:rPr>
        <w:t>ntextual criminogenic risks; this</w:t>
      </w:r>
      <w:r w:rsidR="00B92274" w:rsidRPr="00485DD6">
        <w:rPr>
          <w:color w:val="1F497D" w:themeColor="text2"/>
        </w:rPr>
        <w:t xml:space="preserve"> finding was also applicable to all other first-generation immigrant groups. The rea</w:t>
      </w:r>
      <w:r w:rsidR="00644786" w:rsidRPr="00485DD6">
        <w:rPr>
          <w:color w:val="1F497D" w:themeColor="text2"/>
        </w:rPr>
        <w:t xml:space="preserve">sons for the </w:t>
      </w:r>
      <w:r w:rsidR="00A50AAB">
        <w:rPr>
          <w:color w:val="1F497D" w:themeColor="text2"/>
        </w:rPr>
        <w:t xml:space="preserve">resistance lay in </w:t>
      </w:r>
      <w:r w:rsidR="00B92274" w:rsidRPr="00485DD6">
        <w:rPr>
          <w:color w:val="1F497D" w:themeColor="text2"/>
        </w:rPr>
        <w:t>the ties to the culture of origin a</w:t>
      </w:r>
      <w:r w:rsidR="00644786" w:rsidRPr="00485DD6">
        <w:rPr>
          <w:color w:val="1F497D" w:themeColor="text2"/>
        </w:rPr>
        <w:t xml:space="preserve">nd </w:t>
      </w:r>
      <w:r w:rsidR="00032AFB">
        <w:rPr>
          <w:color w:val="1F497D" w:themeColor="text2"/>
        </w:rPr>
        <w:t xml:space="preserve">the fact that new immigrants had a </w:t>
      </w:r>
      <w:r w:rsidR="00B92274" w:rsidRPr="00485DD6">
        <w:rPr>
          <w:color w:val="1F497D" w:themeColor="text2"/>
        </w:rPr>
        <w:t xml:space="preserve">continued shared heritage and a reinforced common language, traditions, and values </w:t>
      </w:r>
      <w:r w:rsidR="00B92274" w:rsidRPr="00485DD6">
        <w:rPr>
          <w:color w:val="1F497D" w:themeColor="text2"/>
        </w:rPr>
        <w:fldChar w:fldCharType="begin" w:fldLock="1"/>
      </w:r>
      <w:r w:rsidR="00F56BF0" w:rsidRPr="00485DD6">
        <w:rPr>
          <w:color w:val="1F497D" w:themeColor="text2"/>
        </w:rPr>
        <w:instrText>ADDIN CSL_CITATION { "citationItems" : [ { "id" : "ITEM-1", "itemData" : { "DOI" : "10.1016/j.ssresearch.2012.08.014", "ISSN" : "0049-089X", "PMID" : "23146607", "abstract" : "Despite a resurgent interest in the macro-level relationship between Latino immigration and violent crime, research has overlooked an important shift in immigrant settlement whereby Latino migrants are increasingly bypassing traditional receiving communities in favor of non-traditional ones. Additionally, how the impact of this new settlement pattern on violence is conditioned by race and ethnicity has yet to be explored. Using year 2000 race/ethnic-specific arrest data for 326 California, New York, and Texas census places, the current study explores the relationship between recent Latino immigration and White, Black, and Latino violent crime across both traditional and non-traditional immigrant destinations. Results suggest that (1) recent Latino immigration is generally unassociated with violence across all communities, (2) recent Latino immigration is associated with decreased violence in traditional destinations but slightly increased violence in non-traditional destinations, and (3) there are important race/ethnic differences in these relationships. Implications and directions for future research are discussed.", "author" : [ { "dropping-particle" : "", "family" : "Harris", "given" : "Casey T", "non-dropping-particle" : "", "parse-names" : false, "suffix" : "" }, { "dropping-particle" : "", "family" : "Feldmeyer", "given" : "Ben", "non-dropping-particle" : "", "parse-names" : false, "suffix" : "" } ], "container-title" : "Social Science Research", "id" : "ITEM-1", "issue" : "1", "issued" : { "date-parts" : [ [ "2013", "1" ] ] }, "page" : "202-16", "publisher" : "Elsevier Inc.", "title" : "Latino immigration and White, Black, and Latino violent crime: A comparison of traditional and non-traditional immigrant destinations.", "type" : "article-journal", "volume" : "42" }, "uris" : [ "http://www.mendeley.com/documents/?uuid=20679465-0541-4a28-a2c3-eb2d85b60958" ] }, { "id" : "ITEM-2", "itemData" : { "author" : [ { "dropping-particle" : "", "family" : "Feldmeyer", "given" : "Ben", "non-dropping-particle" : "", "parse-names" : false, "suffix" : "" } ], "container-title" : "Social Science Research", "id" : "ITEM-2", "issue" : "3", "issued" : { "date-parts" : [ [ "2009" ] ] }, "page" : "717-731", "title" : "Immigration and violence: the offsetting effects of immigrant concentration on Latino violence", "type" : "article-journal", "volume" : "38" }, "uris" : [ "http://www.mendeley.com/documents/?uuid=a8c2e044-f81b-41aa-928c-0182bacb1757" ] } ], "mendeley" : { "formattedCitation" : "(Feldmeyer, 2009; Harris and Feldmeyer, 2013)", "plainTextFormattedCitation" : "(Feldmeyer, 2009; Harris and Feldmeyer, 2013)", "previouslyFormattedCitation" : "(Feldmeyer, 2009; Harris and Feldmeyer, 2013)" }, "properties" : { "noteIndex" : 0 }, "schema" : "https://github.com/citation-style-language/schema/raw/master/csl-citation.json" }</w:instrText>
      </w:r>
      <w:r w:rsidR="00B92274" w:rsidRPr="00485DD6">
        <w:rPr>
          <w:color w:val="1F497D" w:themeColor="text2"/>
        </w:rPr>
        <w:fldChar w:fldCharType="separate"/>
      </w:r>
      <w:r w:rsidR="00B92274" w:rsidRPr="00485DD6">
        <w:rPr>
          <w:noProof/>
          <w:color w:val="1F497D" w:themeColor="text2"/>
        </w:rPr>
        <w:t>(Feldmeyer, 2009; Harris and Feldmeyer, 2013)</w:t>
      </w:r>
      <w:r w:rsidR="00B92274" w:rsidRPr="00485DD6">
        <w:rPr>
          <w:color w:val="1F497D" w:themeColor="text2"/>
        </w:rPr>
        <w:fldChar w:fldCharType="end"/>
      </w:r>
      <w:r w:rsidR="00B92274" w:rsidRPr="00485DD6">
        <w:rPr>
          <w:color w:val="1F497D" w:themeColor="text2"/>
        </w:rPr>
        <w:t>.</w:t>
      </w:r>
      <w:r w:rsidR="00983B6A" w:rsidRPr="00485DD6">
        <w:rPr>
          <w:color w:val="1F497D" w:themeColor="text2"/>
        </w:rPr>
        <w:t xml:space="preserve"> </w:t>
      </w:r>
    </w:p>
    <w:p w14:paraId="27CE3682" w14:textId="7CC5699B" w:rsidR="00EF720B" w:rsidRPr="00485DD6" w:rsidRDefault="00983B6A" w:rsidP="008B6437">
      <w:pPr>
        <w:spacing w:after="0" w:line="480" w:lineRule="auto"/>
        <w:ind w:firstLine="720"/>
        <w:contextualSpacing/>
        <w:jc w:val="both"/>
        <w:rPr>
          <w:color w:val="1F497D" w:themeColor="text2"/>
        </w:rPr>
      </w:pPr>
      <w:r w:rsidRPr="00485DD6">
        <w:rPr>
          <w:color w:val="1F497D" w:themeColor="text2"/>
        </w:rPr>
        <w:lastRenderedPageBreak/>
        <w:t xml:space="preserve">Although </w:t>
      </w:r>
      <w:r w:rsidR="002535D1" w:rsidRPr="00485DD6">
        <w:rPr>
          <w:color w:val="1F497D" w:themeColor="text2"/>
        </w:rPr>
        <w:t xml:space="preserve">the majority of </w:t>
      </w:r>
      <w:r w:rsidR="009D41B9">
        <w:rPr>
          <w:color w:val="1F497D" w:themeColor="text2"/>
        </w:rPr>
        <w:t>empirical evidence indicates</w:t>
      </w:r>
      <w:r w:rsidRPr="00485DD6">
        <w:rPr>
          <w:color w:val="1F497D" w:themeColor="text2"/>
        </w:rPr>
        <w:t xml:space="preserve"> </w:t>
      </w:r>
      <w:r w:rsidR="00812844" w:rsidRPr="00485DD6">
        <w:rPr>
          <w:color w:val="1F497D" w:themeColor="text2"/>
        </w:rPr>
        <w:t xml:space="preserve">relatively </w:t>
      </w:r>
      <w:r w:rsidRPr="00485DD6">
        <w:rPr>
          <w:color w:val="1F497D" w:themeColor="text2"/>
        </w:rPr>
        <w:t>lower le</w:t>
      </w:r>
      <w:r w:rsidR="00812844" w:rsidRPr="00485DD6">
        <w:rPr>
          <w:color w:val="1F497D" w:themeColor="text2"/>
        </w:rPr>
        <w:t>vels of violence and crime for</w:t>
      </w:r>
      <w:r w:rsidRPr="00485DD6">
        <w:rPr>
          <w:color w:val="1F497D" w:themeColor="text2"/>
        </w:rPr>
        <w:t xml:space="preserve"> first-generation immigrants</w:t>
      </w:r>
      <w:r w:rsidR="002535D1" w:rsidRPr="00485DD6">
        <w:rPr>
          <w:color w:val="1F497D" w:themeColor="text2"/>
        </w:rPr>
        <w:t xml:space="preserve">, within </w:t>
      </w:r>
      <w:r w:rsidR="00812844" w:rsidRPr="00485DD6">
        <w:rPr>
          <w:color w:val="1F497D" w:themeColor="text2"/>
        </w:rPr>
        <w:t xml:space="preserve">this group, particular ethnicities may </w:t>
      </w:r>
      <w:r w:rsidR="009D41B9">
        <w:rPr>
          <w:color w:val="1F497D" w:themeColor="text2"/>
        </w:rPr>
        <w:t>behave differently</w:t>
      </w:r>
      <w:r w:rsidR="002535D1" w:rsidRPr="00485DD6">
        <w:rPr>
          <w:color w:val="1F497D" w:themeColor="text2"/>
        </w:rPr>
        <w:t xml:space="preserve">. </w:t>
      </w:r>
      <w:r w:rsidR="00812844" w:rsidRPr="00485DD6">
        <w:rPr>
          <w:color w:val="1F497D" w:themeColor="text2"/>
        </w:rPr>
        <w:t xml:space="preserve">For example, </w:t>
      </w:r>
      <w:r w:rsidR="002535D1" w:rsidRPr="00485DD6">
        <w:rPr>
          <w:color w:val="1F497D" w:themeColor="text2"/>
        </w:rPr>
        <w:t xml:space="preserve">Powell et al. </w:t>
      </w:r>
      <w:r w:rsidR="002535D1" w:rsidRPr="00485DD6">
        <w:rPr>
          <w:color w:val="1F497D" w:themeColor="text2"/>
        </w:rPr>
        <w:fldChar w:fldCharType="begin" w:fldLock="1"/>
      </w:r>
      <w:r w:rsidR="00F56BF0" w:rsidRPr="00485DD6">
        <w:rPr>
          <w:color w:val="1F497D" w:themeColor="text2"/>
        </w:rPr>
        <w:instrText>ADDIN CSL_CITATION { "citationItems" : [ { "id" : "ITEM-1", "itemData" : { "DOI" : "10.1177/0044118X09338503", "ISSN" : "0044-118X", "abstract" : "Rising immigration rates to the United States have been associated with increased public sentiment against immigrant populations and fears that immigration will lead to escalations in crime and delinquency. However, surprisingly few researchers have studied delinquency among immigrant youth overall or in comparison with U.S.-born youth. guided by a life-course perspective, this article uses three waves of the National Longitudinal Study of adolescent Health to describe longitudinal variations in delinquency by gender, race/ethnicity, immigrant generation, coethnic community concentration, and their interactions. The article finds that first-generation asian females and second-generation Hispanic females have the highest risk of delinquency during early adolescence. During late adolescence, asian and Hispanic third-plus generation youth have the highest risk of delinquency. However, as youth transition to adulthood, the rates of delinquency for all population groups converge.", "author" : [ { "dropping-particle" : "", "family" : "Powell", "given" : "Darci", "non-dropping-particle" : "", "parse-names" : false, "suffix" : "" }, { "dropping-particle" : "", "family" : "Perreira", "given" : "Krista M", "non-dropping-particle" : "", "parse-names" : false, "suffix" : "" }, { "dropping-particle" : "", "family" : "Harris", "given" : "Kathleen Mullan", "non-dropping-particle" : "", "parse-names" : false, "suffix" : "" } ], "container-title" : "Youth &amp; Society", "id" : "ITEM-1", "issue" : "4", "issued" : { "date-parts" : [ [ "2010", "7", "15" ] ] }, "page" : "475-502", "title" : "Trajectories of delinquency from adolescence to adulthood", "type" : "article-journal", "volume" : "41" }, "uris" : [ "http://www.mendeley.com/documents/?uuid=b07d5db1-ae51-46d1-9353-4b3ebae49901" ] } ], "mendeley" : { "formattedCitation" : "(Powell et al., 2010)", "manualFormatting" : "(2010)", "plainTextFormattedCitation" : "(Powell et al., 2010)", "previouslyFormattedCitation" : "(Powell et al., 2010)" }, "properties" : { "noteIndex" : 0 }, "schema" : "https://github.com/citation-style-language/schema/raw/master/csl-citation.json" }</w:instrText>
      </w:r>
      <w:r w:rsidR="002535D1" w:rsidRPr="00485DD6">
        <w:rPr>
          <w:color w:val="1F497D" w:themeColor="text2"/>
        </w:rPr>
        <w:fldChar w:fldCharType="separate"/>
      </w:r>
      <w:r w:rsidR="002535D1" w:rsidRPr="00485DD6">
        <w:rPr>
          <w:noProof/>
          <w:color w:val="1F497D" w:themeColor="text2"/>
        </w:rPr>
        <w:t>(2010)</w:t>
      </w:r>
      <w:r w:rsidR="002535D1" w:rsidRPr="00485DD6">
        <w:rPr>
          <w:color w:val="1F497D" w:themeColor="text2"/>
        </w:rPr>
        <w:fldChar w:fldCharType="end"/>
      </w:r>
      <w:r w:rsidR="002535D1" w:rsidRPr="00485DD6">
        <w:rPr>
          <w:color w:val="1F497D" w:themeColor="text2"/>
        </w:rPr>
        <w:t xml:space="preserve"> examined delinquency in adolescents as they transitioned into adulthood, and found that delinquency le</w:t>
      </w:r>
      <w:r w:rsidR="00E80AC2" w:rsidRPr="00485DD6">
        <w:rPr>
          <w:color w:val="1F497D" w:themeColor="text2"/>
        </w:rPr>
        <w:t>vels were consistently lower</w:t>
      </w:r>
      <w:r w:rsidR="002535D1" w:rsidRPr="00485DD6">
        <w:rPr>
          <w:color w:val="1F497D" w:themeColor="text2"/>
        </w:rPr>
        <w:t xml:space="preserve"> </w:t>
      </w:r>
      <w:r w:rsidR="00E80AC2" w:rsidRPr="00485DD6">
        <w:rPr>
          <w:color w:val="1F497D" w:themeColor="text2"/>
        </w:rPr>
        <w:t xml:space="preserve">among </w:t>
      </w:r>
      <w:r w:rsidR="002535D1" w:rsidRPr="00485DD6">
        <w:rPr>
          <w:color w:val="1F497D" w:themeColor="text2"/>
        </w:rPr>
        <w:t>first-generatio</w:t>
      </w:r>
      <w:r w:rsidR="00812844" w:rsidRPr="00485DD6">
        <w:rPr>
          <w:color w:val="1F497D" w:themeColor="text2"/>
        </w:rPr>
        <w:t>n immigrants except for A</w:t>
      </w:r>
      <w:r w:rsidR="00E80AC2" w:rsidRPr="00485DD6">
        <w:rPr>
          <w:color w:val="1F497D" w:themeColor="text2"/>
        </w:rPr>
        <w:t>sian first-generation immigrant females</w:t>
      </w:r>
      <w:r w:rsidR="00CC27C6" w:rsidRPr="00485DD6">
        <w:rPr>
          <w:color w:val="1F497D" w:themeColor="text2"/>
        </w:rPr>
        <w:t xml:space="preserve">. If ties to the culture of origin and shared heritage are protective against the harmful effects of the </w:t>
      </w:r>
      <w:r w:rsidR="009D41B9">
        <w:rPr>
          <w:color w:val="1F497D" w:themeColor="text2"/>
        </w:rPr>
        <w:t xml:space="preserve">urban </w:t>
      </w:r>
      <w:r w:rsidR="00CC27C6" w:rsidRPr="00485DD6">
        <w:rPr>
          <w:color w:val="1F497D" w:themeColor="text2"/>
        </w:rPr>
        <w:t xml:space="preserve">social environment, which increases the risk of violence, it would be assumed that these factors would also be beneficial to the second-generation offspring. </w:t>
      </w:r>
      <w:r w:rsidR="00DF689B" w:rsidRPr="00485DD6">
        <w:rPr>
          <w:color w:val="1F497D" w:themeColor="text2"/>
        </w:rPr>
        <w:t>But</w:t>
      </w:r>
      <w:r w:rsidR="00CC27C6" w:rsidRPr="00485DD6">
        <w:rPr>
          <w:color w:val="1F497D" w:themeColor="text2"/>
        </w:rPr>
        <w:t xml:space="preserve"> why would there be </w:t>
      </w:r>
      <w:r w:rsidR="009D41B9">
        <w:rPr>
          <w:color w:val="1F497D" w:themeColor="text2"/>
        </w:rPr>
        <w:t xml:space="preserve">generational </w:t>
      </w:r>
      <w:r w:rsidR="00CC27C6" w:rsidRPr="00485DD6">
        <w:rPr>
          <w:color w:val="1F497D" w:themeColor="text2"/>
        </w:rPr>
        <w:t xml:space="preserve">differences in levels of violence? </w:t>
      </w:r>
    </w:p>
    <w:p w14:paraId="2D0DDC4A" w14:textId="7FF5E9D8" w:rsidR="00CC1A37" w:rsidRPr="00485DD6" w:rsidRDefault="000F10A1" w:rsidP="008B6437">
      <w:pPr>
        <w:spacing w:after="0" w:line="480" w:lineRule="auto"/>
        <w:ind w:firstLine="720"/>
        <w:contextualSpacing/>
        <w:jc w:val="both"/>
        <w:rPr>
          <w:color w:val="1F497D" w:themeColor="text2"/>
        </w:rPr>
      </w:pPr>
      <w:r w:rsidRPr="00485DD6">
        <w:rPr>
          <w:color w:val="1F497D" w:themeColor="text2"/>
        </w:rPr>
        <w:t xml:space="preserve">Portes and Zhou </w:t>
      </w:r>
      <w:r w:rsidRPr="00485DD6">
        <w:rPr>
          <w:color w:val="1F497D" w:themeColor="text2"/>
        </w:rPr>
        <w:fldChar w:fldCharType="begin" w:fldLock="1"/>
      </w:r>
      <w:r w:rsidR="00831892" w:rsidRPr="00485DD6">
        <w:rPr>
          <w:color w:val="1F497D" w:themeColor="text2"/>
        </w:rPr>
        <w:instrText>ADDIN CSL_CITATION { "citationItems" : [ { "id" : "ITEM-1", "itemData" : { "author" : [ { "dropping-particle" : "", "family" : "Portes", "given" : "Alejandro", "non-dropping-particle" : "", "parse-names" : false, "suffix" : "" }, { "dropping-particle" : "", "family" : "Zhou", "given" : "Min", "non-dropping-particle" : "", "parse-names" : false, "suffix" : "" } ], "container-title" : "The annals of the American academy of \u2026", "id" : "ITEM-1", "issued" : { "date-parts" : [ [ "1993" ] ] }, "page" : "74-96", "title" : "The new second generation: Segmented assimilation and its variants", "type" : "article-journal", "volume" : "530" }, "uris" : [ "http://www.mendeley.com/documents/?uuid=4acc2ec8-10fb-436b-b43d-39114347f153" ] } ], "mendeley" : { "formattedCitation" : "(Portes and Zhou, 1993)", "manualFormatting" : "(1993)", "plainTextFormattedCitation" : "(Portes and Zhou, 1993)", "previouslyFormattedCitation" : "(Portes and Zhou, 1993)" }, "properties" : { "noteIndex" : 0 }, "schema" : "https://github.com/citation-style-language/schema/raw/master/csl-citation.json" }</w:instrText>
      </w:r>
      <w:r w:rsidRPr="00485DD6">
        <w:rPr>
          <w:color w:val="1F497D" w:themeColor="text2"/>
        </w:rPr>
        <w:fldChar w:fldCharType="separate"/>
      </w:r>
      <w:r w:rsidR="00180932" w:rsidRPr="00485DD6">
        <w:rPr>
          <w:noProof/>
          <w:color w:val="1F497D" w:themeColor="text2"/>
        </w:rPr>
        <w:t>(</w:t>
      </w:r>
      <w:r w:rsidRPr="00485DD6">
        <w:rPr>
          <w:noProof/>
          <w:color w:val="1F497D" w:themeColor="text2"/>
        </w:rPr>
        <w:t>1993)</w:t>
      </w:r>
      <w:r w:rsidRPr="00485DD6">
        <w:rPr>
          <w:color w:val="1F497D" w:themeColor="text2"/>
        </w:rPr>
        <w:fldChar w:fldCharType="end"/>
      </w:r>
      <w:r w:rsidR="007128BD" w:rsidRPr="00485DD6">
        <w:rPr>
          <w:color w:val="1F497D" w:themeColor="text2"/>
        </w:rPr>
        <w:t>, in their segmented assimilation theory, proposed</w:t>
      </w:r>
      <w:r w:rsidRPr="00485DD6">
        <w:rPr>
          <w:color w:val="1F497D" w:themeColor="text2"/>
        </w:rPr>
        <w:t xml:space="preserve"> that second-generation immigrants were confronted with the </w:t>
      </w:r>
      <w:r w:rsidR="00A62DAF" w:rsidRPr="00485DD6">
        <w:rPr>
          <w:color w:val="1F497D" w:themeColor="text2"/>
        </w:rPr>
        <w:t xml:space="preserve">particular </w:t>
      </w:r>
      <w:r w:rsidRPr="00485DD6">
        <w:rPr>
          <w:color w:val="1F497D" w:themeColor="text2"/>
        </w:rPr>
        <w:t xml:space="preserve">challenge of negotiating between their first-generation parents’ culture and mainstream American culture. Consequently, those who were able to successfully balance between these two cultures would </w:t>
      </w:r>
      <w:r w:rsidR="00180932" w:rsidRPr="00485DD6">
        <w:rPr>
          <w:color w:val="1F497D" w:themeColor="text2"/>
        </w:rPr>
        <w:t xml:space="preserve">experience upward </w:t>
      </w:r>
      <w:r w:rsidR="00CC1A37" w:rsidRPr="00485DD6">
        <w:rPr>
          <w:color w:val="1F497D" w:themeColor="text2"/>
        </w:rPr>
        <w:t xml:space="preserve">assimilation, progressing in social mobility. But those who failed to </w:t>
      </w:r>
      <w:r w:rsidR="00C53FF4">
        <w:rPr>
          <w:color w:val="1F497D" w:themeColor="text2"/>
        </w:rPr>
        <w:t>achieve</w:t>
      </w:r>
      <w:r w:rsidR="00CC1A37" w:rsidRPr="00485DD6">
        <w:rPr>
          <w:color w:val="1F497D" w:themeColor="text2"/>
        </w:rPr>
        <w:t xml:space="preserve"> a balance would experience downward assimilation, descending into deviant subcultures that existed within their deprived communities </w:t>
      </w:r>
      <w:r w:rsidR="00CC1A37" w:rsidRPr="00485DD6">
        <w:rPr>
          <w:color w:val="1F497D" w:themeColor="text2"/>
        </w:rPr>
        <w:fldChar w:fldCharType="begin" w:fldLock="1"/>
      </w:r>
      <w:r w:rsidR="00831892" w:rsidRPr="00485DD6">
        <w:rPr>
          <w:color w:val="1F497D" w:themeColor="text2"/>
        </w:rPr>
        <w:instrText>ADDIN CSL_CITATION { "citationItems" : [ { "id" : "ITEM-1", "itemData" : { "DOI" : "10.1080/13691830903006127", "ISSN" : "1369-183X", "PMID" : "23626483", "abstract" : "This paper summarises a research program on the new immigrant second generation initiated in the early 1990s and completed in 2006. The four field waves of the Children of Immigrants Longitudinal Study (CILS) are described and the main theoretical models emerging from it are presented and graphically summarised. After considering critical views of this theory, we present the most recent results from this longitudinal research program in the forum of quantitative models predicting downward assimilation in early adulthood and qualitative interviews identifying ways to escape it by disadvantaged children of immigrants. Quantitative results strongly support the predicted effects of exogenous variables identified by segmented assimilation theory and identify the intervening factors during adolescence that mediate their influence on adult outcomes. Qualitative evidence gathered during the last stage of the study points to three factors that can lead to exceptional educational achievement among disadvantaged youths. All three indicate the positive influence of selective acculturation. Implications of these findings for theory and policy are discussed.", "author" : [ { "dropping-particle" : "", "family" : "Portes", "given" : "Alejandro", "non-dropping-particle" : "", "parse-names" : false, "suffix" : "" }, { "dropping-particle" : "", "family" : "Fern\u00e1ndez-Kelly", "given" : "Patricia", "non-dropping-particle" : "", "parse-names" : false, "suffix" : "" }, { "dropping-particle" : "", "family" : "Haller", "given" : "William", "non-dropping-particle" : "", "parse-names" : false, "suffix" : "" } ], "container-title" : "Journal of ethnic and migration studies", "id" : "ITEM-1", "issue" : "7", "issued" : { "date-parts" : [ [ "2009", "1" ] ] }, "page" : "1077-1104", "title" : "The Adaptation of the Immigrant Second Generation in America: Theoretical Overview and Recent Evidence.", "type" : "article-journal", "volume" : "35" }, "uris" : [ "http://www.mendeley.com/documents/?uuid=7610a042-8286-4069-b426-9854236dd5f6" ] } ], "mendeley" : { "formattedCitation" : "(Portes et al., 2009)", "plainTextFormattedCitation" : "(Portes et al., 2009)", "previouslyFormattedCitation" : "(Portes et al., 2009)" }, "properties" : { "noteIndex" : 0 }, "schema" : "https://github.com/citation-style-language/schema/raw/master/csl-citation.json" }</w:instrText>
      </w:r>
      <w:r w:rsidR="00CC1A37" w:rsidRPr="00485DD6">
        <w:rPr>
          <w:color w:val="1F497D" w:themeColor="text2"/>
        </w:rPr>
        <w:fldChar w:fldCharType="separate"/>
      </w:r>
      <w:r w:rsidR="00CC1A37" w:rsidRPr="00485DD6">
        <w:rPr>
          <w:noProof/>
          <w:color w:val="1F497D" w:themeColor="text2"/>
        </w:rPr>
        <w:t>(Portes et al., 2009)</w:t>
      </w:r>
      <w:r w:rsidR="00CC1A37" w:rsidRPr="00485DD6">
        <w:rPr>
          <w:color w:val="1F497D" w:themeColor="text2"/>
        </w:rPr>
        <w:fldChar w:fldCharType="end"/>
      </w:r>
      <w:r w:rsidR="00AE4438" w:rsidRPr="00485DD6">
        <w:rPr>
          <w:color w:val="1F497D" w:themeColor="text2"/>
        </w:rPr>
        <w:t xml:space="preserve">. </w:t>
      </w:r>
      <w:r w:rsidR="00A67425" w:rsidRPr="00485DD6">
        <w:rPr>
          <w:color w:val="1F497D" w:themeColor="text2"/>
        </w:rPr>
        <w:t xml:space="preserve">The extra burden of </w:t>
      </w:r>
      <w:r w:rsidR="00B55566" w:rsidRPr="00485DD6">
        <w:rPr>
          <w:color w:val="1F497D" w:themeColor="text2"/>
        </w:rPr>
        <w:t xml:space="preserve">navigating between two cultures </w:t>
      </w:r>
      <w:r w:rsidR="00161AA1" w:rsidRPr="00485DD6">
        <w:rPr>
          <w:color w:val="1F497D" w:themeColor="text2"/>
        </w:rPr>
        <w:t xml:space="preserve">made second-generation immigrants </w:t>
      </w:r>
      <w:r w:rsidR="009D41B9">
        <w:rPr>
          <w:color w:val="1F497D" w:themeColor="text2"/>
        </w:rPr>
        <w:t xml:space="preserve">more </w:t>
      </w:r>
      <w:r w:rsidR="00161AA1" w:rsidRPr="00485DD6">
        <w:rPr>
          <w:color w:val="1F497D" w:themeColor="text2"/>
        </w:rPr>
        <w:t xml:space="preserve">susceptible to risks for violence. </w:t>
      </w:r>
    </w:p>
    <w:p w14:paraId="533BB595" w14:textId="2EB49BBD" w:rsidR="00806C4B" w:rsidRPr="00485DD6" w:rsidRDefault="00983B6A" w:rsidP="008B6437">
      <w:pPr>
        <w:spacing w:after="0" w:line="480" w:lineRule="auto"/>
        <w:ind w:firstLine="720"/>
        <w:contextualSpacing/>
        <w:jc w:val="both"/>
        <w:rPr>
          <w:color w:val="1F497D" w:themeColor="text2"/>
        </w:rPr>
      </w:pPr>
      <w:r w:rsidRPr="00485DD6">
        <w:rPr>
          <w:color w:val="1F497D" w:themeColor="text2"/>
        </w:rPr>
        <w:t xml:space="preserve">Scholars have recognized the protective influence of immigrant communities and </w:t>
      </w:r>
      <w:r w:rsidR="009D41B9" w:rsidRPr="00485DD6">
        <w:rPr>
          <w:color w:val="1F497D" w:themeColor="text2"/>
        </w:rPr>
        <w:t>neighbourhoods</w:t>
      </w:r>
      <w:r w:rsidRPr="00485DD6">
        <w:rPr>
          <w:color w:val="1F497D" w:themeColor="text2"/>
        </w:rPr>
        <w:t xml:space="preserve"> against violence</w:t>
      </w:r>
      <w:r w:rsidR="00161AA1" w:rsidRPr="00485DD6">
        <w:rPr>
          <w:color w:val="1F497D" w:themeColor="text2"/>
        </w:rPr>
        <w:t xml:space="preserve">, </w:t>
      </w:r>
      <w:r w:rsidR="009D41B9">
        <w:rPr>
          <w:color w:val="1F497D" w:themeColor="text2"/>
        </w:rPr>
        <w:t xml:space="preserve">including </w:t>
      </w:r>
      <w:r w:rsidR="00161AA1" w:rsidRPr="00485DD6">
        <w:rPr>
          <w:color w:val="1F497D" w:themeColor="text2"/>
        </w:rPr>
        <w:t xml:space="preserve">for second-generation immigrants </w:t>
      </w:r>
      <w:r w:rsidRPr="00485DD6">
        <w:rPr>
          <w:color w:val="1F497D" w:themeColor="text2"/>
        </w:rPr>
        <w:fldChar w:fldCharType="begin" w:fldLock="1"/>
      </w:r>
      <w:r w:rsidR="00F56BF0" w:rsidRPr="00485DD6">
        <w:rPr>
          <w:color w:val="1F497D" w:themeColor="text2"/>
        </w:rPr>
        <w:instrText>ADDIN CSL_CITATION { "citationItems" : [ { "id" : "ITEM-1", "itemData" : { "author" : [ { "dropping-particle" : "", "family" : "Lee", "given" : "Matthew T", "non-dropping-particle" : "", "parse-names" : false, "suffix" : "" }, { "dropping-particle" : "", "family" : "Martinez", "given" : "Ramiro Jr.", "non-dropping-particle" : "", "parse-names" : false, "suffix" : "" } ], "container-title" : "Sociological Focus", "id" : "ITEM-1", "issue" : "4", "issued" : { "date-parts" : [ [ "2002" ] ] }, "page" : "363-380", "title" : "Social disorganization revisited: Mapping the recent immigration and Black homicide relationship in Northern Miam", "type" : "article-journal", "volume" : "35" }, "uris" : [ "http://www.mendeley.com/documents/?uuid=c3ef7b4a-6f40-4da0-9cce-dbd9b594940c" ] }, { "id" : "ITEM-2", "itemData" : { "author" : [ { "dropping-particle" : "", "family" : "Portes", "given" : "Alejandro", "non-dropping-particle" : "", "parse-names" : false, "suffix" : "" } ], "container-title" : "The economic sociology of immigration: Essays on networks, ethnicity, and entrepreneurship", "editor" : [ { "dropping-particle" : "", "family" : "Portes", "given" : "Alejandro", "non-dropping-particle" : "", "parse-names" : false, "suffix" : "" } ], "id" : "ITEM-2", "issued" : { "date-parts" : [ [ "1995" ] ] }, "page" : "1-41", "publisher" : "Russell Sage Foundation", "publisher-place" : "New York, US", "title" : "Economic sociology and the sociology of immigration: A conceptual overview", "type" : "chapter" }, "uris" : [ "http://www.mendeley.com/documents/?uuid=2c8b4b74-4650-4786-83f3-39e295e78d2a" ] } ], "mendeley" : { "formattedCitation" : "(Lee and Martinez, 2002; Portes, 1995)", "plainTextFormattedCitation" : "(Lee and Martinez, 2002; Portes, 1995)", "previouslyFormattedCitation" : "(Lee and Martinez, 2002; Portes, 1995)" }, "properties" : { "noteIndex" : 0 }, "schema" : "https://github.com/citation-style-language/schema/raw/master/csl-citation.json" }</w:instrText>
      </w:r>
      <w:r w:rsidRPr="00485DD6">
        <w:rPr>
          <w:color w:val="1F497D" w:themeColor="text2"/>
        </w:rPr>
        <w:fldChar w:fldCharType="separate"/>
      </w:r>
      <w:r w:rsidRPr="00485DD6">
        <w:rPr>
          <w:noProof/>
          <w:color w:val="1F497D" w:themeColor="text2"/>
        </w:rPr>
        <w:t>(Lee and Martinez, 2002; Portes, 1995)</w:t>
      </w:r>
      <w:r w:rsidRPr="00485DD6">
        <w:rPr>
          <w:color w:val="1F497D" w:themeColor="text2"/>
        </w:rPr>
        <w:fldChar w:fldCharType="end"/>
      </w:r>
      <w:r w:rsidRPr="00485DD6">
        <w:rPr>
          <w:color w:val="1F497D" w:themeColor="text2"/>
        </w:rPr>
        <w:t xml:space="preserve">. </w:t>
      </w:r>
      <w:r w:rsidR="00161AA1" w:rsidRPr="00485DD6">
        <w:rPr>
          <w:color w:val="1F497D" w:themeColor="text2"/>
        </w:rPr>
        <w:t>The positive support and networks, including the strong cultural identities and familial bonds</w:t>
      </w:r>
      <w:r w:rsidR="009D41B9">
        <w:rPr>
          <w:color w:val="1F497D" w:themeColor="text2"/>
        </w:rPr>
        <w:t>,</w:t>
      </w:r>
      <w:r w:rsidR="00161AA1" w:rsidRPr="00485DD6">
        <w:rPr>
          <w:color w:val="1F497D" w:themeColor="text2"/>
        </w:rPr>
        <w:t xml:space="preserve"> </w:t>
      </w:r>
      <w:r w:rsidR="009D41B9">
        <w:rPr>
          <w:color w:val="1F497D" w:themeColor="text2"/>
        </w:rPr>
        <w:t>acted as a buffer</w:t>
      </w:r>
      <w:r w:rsidR="007759E0" w:rsidRPr="00485DD6">
        <w:rPr>
          <w:color w:val="1F497D" w:themeColor="text2"/>
        </w:rPr>
        <w:t xml:space="preserve"> against </w:t>
      </w:r>
      <w:r w:rsidR="00161AA1" w:rsidRPr="00485DD6">
        <w:rPr>
          <w:color w:val="1F497D" w:themeColor="text2"/>
        </w:rPr>
        <w:t>n</w:t>
      </w:r>
      <w:r w:rsidR="007759E0" w:rsidRPr="00485DD6">
        <w:rPr>
          <w:color w:val="1F497D" w:themeColor="text2"/>
        </w:rPr>
        <w:t xml:space="preserve">egative environmental </w:t>
      </w:r>
      <w:r w:rsidR="007759E0" w:rsidRPr="00485DD6">
        <w:rPr>
          <w:color w:val="1F497D" w:themeColor="text2"/>
        </w:rPr>
        <w:lastRenderedPageBreak/>
        <w:t>effects</w:t>
      </w:r>
      <w:r w:rsidR="00E7342A" w:rsidRPr="00485DD6">
        <w:rPr>
          <w:color w:val="1F497D" w:themeColor="text2"/>
        </w:rPr>
        <w:t xml:space="preserve"> </w:t>
      </w:r>
      <w:r w:rsidR="00E7342A" w:rsidRPr="00485DD6">
        <w:rPr>
          <w:color w:val="1F497D" w:themeColor="text2"/>
        </w:rPr>
        <w:fldChar w:fldCharType="begin" w:fldLock="1"/>
      </w:r>
      <w:r w:rsidR="0003451F" w:rsidRPr="00485DD6">
        <w:rPr>
          <w:color w:val="1F497D" w:themeColor="text2"/>
        </w:rPr>
        <w:instrText>ADDIN CSL_CITATION { "citationItems" : [ { "id" : "ITEM-1", "itemData" : { "abstract" : "Immigration to the United States is largely a family affair, and will remain so for the probable future, regardless of the reforms and restrictions that may make their way through the legislative process in Congress. The family is a \u201cstrategic research site\u201d for understanding the dynamics of immigration flows (legal and illegal) and of immigrant adaptation processes, as well as their long - term consequences for both sending and especially receiving countries such as the United States. Kinship is also central to understanding U.S. immigration policies - marriage and close family ties are the basis for longstanding selection criteria built into U.S. immigration law. To varying degrees of closeness, millions of immigrants in the U.S. today, plus millions more of their U.S. - born offspring, are embedded in often intricate webs of family ties, both here and abroad. They form extraordinary transnational linkages and networks that can, by reducing the costs and risks of migration, expand and serve as a conduit to additional and thus potentially self - perpetuating migration. Such chaining processes lead to remarkably dense ethnic concentrations in U.S. cities, consisting of entire community segments from places of origin. The import of immigrant family connections goes far beyond their functions for chain or circular migration and local support. Remittances sent by immigrants to family members back home link communities across national borders and are vital to the economies of many sending countries. That embeddedness in family, in a web of primary ties of affection, trust, and obligation, is at once a rich resource and a potential vulnerability. Family ties are a source of both positive and negative \"social capital\", i.e., a resource that inheres not in the individual but in social (familial) relationships that can cut both ways, enabling as well as constraining particular outcomes. Especially among immigrant families moving from one sociocultural environment to another, role dissonance in rapidly changing marital and parent - child relationships can intensify conflicts and lead to family breakdown. Immigrant families come in all shapes and must confront dramatically different contexts of adaptation. To make sense of the diversity of immigrant families we need to begin with the recognition that it makes no sense to speak of a singular immigrant family experience. This study, based on both national and regional data, examines the effects of migration on fami\u2026", "author" : [ { "dropping-particle" : "", "family" : "Rumbaut", "given" : "Rub\u00e9n G.", "non-dropping-particle" : "", "parse-names" : false, "suffix" : "" } ], "container-title" : "Immigration and the family: Research and policy on U.S. immigrants", "editor" : [ { "dropping-particle" : "", "family" : "Booth", "given" : "Alan", "non-dropping-particle" : "", "parse-names" : false, "suffix" : "" }, { "dropping-particle" : "", "family" : "Crouter", "given" : "Ann C", "non-dropping-particle" : "", "parse-names" : false, "suffix" : "" }, { "dropping-particle" : "", "family" : "Landale", "given" : "Nancy S", "non-dropping-particle" : "", "parse-names" : false, "suffix" : "" } ], "id" : "ITEM-1", "issued" : { "date-parts" : [ [ "1997" ] ] }, "page" : "3-46", "publisher" : "Lawrence Erlbaum Associates", "publisher-place" : "Mahwah, US", "title" : "Ties that bind: Immigration and immigrant families", "type" : "chapter" }, "uris" : [ "http://www.mendeley.com/documents/?uuid=5b44a04b-60d1-43c0-9679-1533106a8fd2" ] }, { "id" : "ITEM-2", "itemData" : { "DOI" : "10.1177/0011128707306122", "ISSN" : "0011-1287", "author" : [ { "dropping-particle" : "", "family" : "Bui", "given" : "Hoan", "non-dropping-particle" : "", "parse-names" : false, "suffix" : "" } ], "container-title" : "Crime &amp; Delinquency", "id" : "ITEM-2", "issue" : "3", "issued" : { "date-parts" : [ [ "2009", "3" ] ] }, "page" : "412-441", "title" : "Parent-child conflicts, school troubles, and differences in delinquency across immigration generations", "type" : "article-journal", "volume" : "55" }, "uris" : [ "http://www.mendeley.com/documents/?uuid=b13412d4-e34b-4b24-9170-bd4ffc903cc6" ] } ], "mendeley" : { "formattedCitation" : "(Bui, 2009; Rumbaut, 1997)", "plainTextFormattedCitation" : "(Bui, 2009; Rumbaut, 1997)", "previouslyFormattedCitation" : "(Bui, 2009; Rumbaut, 1997)" }, "properties" : { "noteIndex" : 0 }, "schema" : "https://github.com/citation-style-language/schema/raw/master/csl-citation.json" }</w:instrText>
      </w:r>
      <w:r w:rsidR="00E7342A" w:rsidRPr="00485DD6">
        <w:rPr>
          <w:color w:val="1F497D" w:themeColor="text2"/>
        </w:rPr>
        <w:fldChar w:fldCharType="separate"/>
      </w:r>
      <w:r w:rsidR="00F56BF0" w:rsidRPr="00485DD6">
        <w:rPr>
          <w:noProof/>
          <w:color w:val="1F497D" w:themeColor="text2"/>
        </w:rPr>
        <w:t>(Bui, 2009; Rumbaut, 1997)</w:t>
      </w:r>
      <w:r w:rsidR="00E7342A" w:rsidRPr="00485DD6">
        <w:rPr>
          <w:color w:val="1F497D" w:themeColor="text2"/>
        </w:rPr>
        <w:fldChar w:fldCharType="end"/>
      </w:r>
      <w:r w:rsidR="007759E0" w:rsidRPr="00485DD6">
        <w:rPr>
          <w:color w:val="1F497D" w:themeColor="text2"/>
        </w:rPr>
        <w:t xml:space="preserve">. Previous research has found that </w:t>
      </w:r>
      <w:r w:rsidR="000C432E" w:rsidRPr="00485DD6">
        <w:rPr>
          <w:color w:val="1F497D" w:themeColor="text2"/>
        </w:rPr>
        <w:t xml:space="preserve">a good bond to role model or parental type figures can protect against risks for violence </w:t>
      </w:r>
      <w:r w:rsidR="000C432E" w:rsidRPr="00485DD6">
        <w:rPr>
          <w:color w:val="1F497D" w:themeColor="text2"/>
        </w:rPr>
        <w:fldChar w:fldCharType="begin" w:fldLock="1"/>
      </w:r>
      <w:r w:rsidR="00F56BF0" w:rsidRPr="00485DD6">
        <w:rPr>
          <w:color w:val="1F497D" w:themeColor="text2"/>
        </w:rPr>
        <w:instrText>ADDIN CSL_CITATION { "citationItems" : [ { "id" : "ITEM-1", "itemData" : { "DOI" : "10.1016/j.amepre.2012.04.029", "ISSN" : "1873-2607", "PMID" : "22789961", "abstract" : "This article discusses conceptual issues and reviews knowledge about direct and buffering protective factors in the development of youth violence. Direct protective factors predict a low probability of violence, whereas buffering protective factors predict a low probability of violence in the presence of risk (and often interact with risk factors). Individual, family, school, peer, and neighborhood factors are reviewed. Heterogeneity of variables, measurement, contexts, study design, sample, and other characteristics limit generalizations. However, there were various evidence-based candidates for having a direct protective or buffering protective effect such as above-average intelligence, low impulsivity/easy temperament, enhanced anxiety, prosocial attitudes, high heart rate, close relationship to at least one parent, intensive parental supervision, medium SES of the family, sound academic achievement, strong school bonding, a positive school/class climate, nondeviant peers, and living in a nondeprived and nonviolent neighborhood. The probability of violence decreases as the number of protective factors increases (a dose-response relationship). Implications for future research and practice concern adequate research designs to detect nonlinear relationships; conceptually and methodologically homogeneous studies; differentiated analyses with regard to age, gender, and other characteristics; and greater integration of longitudinal correlational research with (quasi-)experimental intervention studies.", "author" : [ { "dropping-particle" : "", "family" : "L\u00f6sel", "given" : "Friedrich", "non-dropping-particle" : "", "parse-names" : false, "suffix" : "" }, { "dropping-particle" : "", "family" : "Farrington", "given" : "David P", "non-dropping-particle" : "", "parse-names" : false, "suffix" : "" } ], "container-title" : "American Journal of Preventive Medicine", "id" : "ITEM-1", "issue" : "2S1", "issued" : { "date-parts" : [ [ "2012", "8" ] ] }, "page" : "S8-S23", "publisher" : "Elsevier Inc.", "title" : "Direct protective and buffering protective factors in the development of youth violence.", "type" : "article-journal", "volume" : "43" }, "uris" : [ "http://www.mendeley.com/documents/?uuid=d9e07fac-fbfa-4370-a4d8-b43aedf5b64f" ] }, { "id" : "ITEM-2", "itemData" : { "author" : [ { "dropping-particle" : "", "family" : "Werner", "given" : "Emmy E", "non-dropping-particle" : "", "parse-names" : false, "suffix" : "" }, { "dropping-particle" : "", "family" : "Smith", "given" : "Ruth S", "non-dropping-particle" : "", "parse-names" : false, "suffix" : "" } ], "id" : "ITEM-2", "issued" : { "date-parts" : [ [ "2001" ] ] }, "publisher" : "Cornell University Press", "publisher-place" : "Ithaca, US", "title" : "Journeys from childhood to midlife: Risk, resilience and recovery", "type" : "book" }, "uris" : [ "http://www.mendeley.com/documents/?uuid=330731c8-0b3d-4bcf-8454-3b3752dd61c0" ] } ], "mendeley" : { "formattedCitation" : "(L\u00f6sel and Farrington, 2012; Werner and Smith, 2001)", "plainTextFormattedCitation" : "(L\u00f6sel and Farrington, 2012; Werner and Smith, 2001)", "previouslyFormattedCitation" : "(L\u00f6sel and Farrington, 2012; Werner and Smith, 2001)" }, "properties" : { "noteIndex" : 0 }, "schema" : "https://github.com/citation-style-language/schema/raw/master/csl-citation.json" }</w:instrText>
      </w:r>
      <w:r w:rsidR="000C432E" w:rsidRPr="00485DD6">
        <w:rPr>
          <w:color w:val="1F497D" w:themeColor="text2"/>
        </w:rPr>
        <w:fldChar w:fldCharType="separate"/>
      </w:r>
      <w:r w:rsidR="000C432E" w:rsidRPr="00485DD6">
        <w:rPr>
          <w:noProof/>
          <w:color w:val="1F497D" w:themeColor="text2"/>
        </w:rPr>
        <w:t>(Lösel and Farrington, 2012; Werner and Smith, 2001)</w:t>
      </w:r>
      <w:r w:rsidR="000C432E" w:rsidRPr="00485DD6">
        <w:rPr>
          <w:color w:val="1F497D" w:themeColor="text2"/>
        </w:rPr>
        <w:fldChar w:fldCharType="end"/>
      </w:r>
      <w:r w:rsidR="000C432E" w:rsidRPr="00485DD6">
        <w:rPr>
          <w:color w:val="1F497D" w:themeColor="text2"/>
        </w:rPr>
        <w:t xml:space="preserve">. </w:t>
      </w:r>
      <w:r w:rsidR="00F56BF0" w:rsidRPr="00485DD6">
        <w:rPr>
          <w:color w:val="1F497D" w:themeColor="text2"/>
        </w:rPr>
        <w:t>Through the supportive</w:t>
      </w:r>
      <w:r w:rsidR="00806C4B" w:rsidRPr="00485DD6">
        <w:rPr>
          <w:color w:val="1F497D" w:themeColor="text2"/>
        </w:rPr>
        <w:t xml:space="preserve"> networks</w:t>
      </w:r>
      <w:r w:rsidR="009D41B9">
        <w:rPr>
          <w:color w:val="1F497D" w:themeColor="text2"/>
        </w:rPr>
        <w:t>, immigrant communities provide</w:t>
      </w:r>
      <w:r w:rsidR="00806C4B" w:rsidRPr="00485DD6">
        <w:rPr>
          <w:color w:val="1F497D" w:themeColor="text2"/>
        </w:rPr>
        <w:t xml:space="preserve"> extended parental and familial ties. </w:t>
      </w:r>
      <w:r w:rsidR="00DD57C7" w:rsidRPr="00485DD6">
        <w:rPr>
          <w:color w:val="1F497D" w:themeColor="text2"/>
        </w:rPr>
        <w:t>In their case study of Vietnamese</w:t>
      </w:r>
      <w:r w:rsidR="001723C8" w:rsidRPr="00485DD6">
        <w:rPr>
          <w:color w:val="1F497D" w:themeColor="text2"/>
        </w:rPr>
        <w:t>-American</w:t>
      </w:r>
      <w:r w:rsidR="00DD57C7" w:rsidRPr="00485DD6">
        <w:rPr>
          <w:color w:val="1F497D" w:themeColor="text2"/>
        </w:rPr>
        <w:t xml:space="preserve"> youth in an immigrant community, Zhou and Bankston </w:t>
      </w:r>
      <w:r w:rsidR="00DD57C7" w:rsidRPr="00485DD6">
        <w:rPr>
          <w:color w:val="1F497D" w:themeColor="text2"/>
        </w:rPr>
        <w:fldChar w:fldCharType="begin" w:fldLock="1"/>
      </w:r>
      <w:r w:rsidR="00F56BF0" w:rsidRPr="00485DD6">
        <w:rPr>
          <w:color w:val="1F497D" w:themeColor="text2"/>
        </w:rPr>
        <w:instrText>ADDIN CSL_CITATION { "citationItems" : [ { "id" : "ITEM-1", "itemData" : { "author" : [ { "dropping-particle" : "", "family" : "Zhou", "given" : "Min", "non-dropping-particle" : "", "parse-names" : false, "suffix" : "" }, { "dropping-particle" : "", "family" : "III Bankston", "given" : "Carl L", "non-dropping-particle" : "", "parse-names" : false, "suffix" : "" } ], "container-title" : "International Migration Review", "id" : "ITEM-1", "issue" : "4", "issued" : { "date-parts" : [ [ "1994" ] ] }, "page" : "821-845", "title" : "Social capital and the adaptation of the second generation: The case of Vietnamese youth in New Orleans", "type" : "article-journal", "volume" : "28" }, "uris" : [ "http://www.mendeley.com/documents/?uuid=63bef3a4-5956-4ecd-88e0-ad19dce385ac" ] } ], "mendeley" : { "formattedCitation" : "(Zhou and III Bankston, 1994)", "manualFormatting" : "(1994)", "plainTextFormattedCitation" : "(Zhou and III Bankston, 1994)", "previouslyFormattedCitation" : "(Zhou and III Bankston, 1994)" }, "properties" : { "noteIndex" : 0 }, "schema" : "https://github.com/citation-style-language/schema/raw/master/csl-citation.json" }</w:instrText>
      </w:r>
      <w:r w:rsidR="00DD57C7" w:rsidRPr="00485DD6">
        <w:rPr>
          <w:color w:val="1F497D" w:themeColor="text2"/>
        </w:rPr>
        <w:fldChar w:fldCharType="separate"/>
      </w:r>
      <w:r w:rsidR="00DD57C7" w:rsidRPr="00485DD6">
        <w:rPr>
          <w:noProof/>
          <w:color w:val="1F497D" w:themeColor="text2"/>
        </w:rPr>
        <w:t>(1994)</w:t>
      </w:r>
      <w:r w:rsidR="00DD57C7" w:rsidRPr="00485DD6">
        <w:rPr>
          <w:color w:val="1F497D" w:themeColor="text2"/>
        </w:rPr>
        <w:fldChar w:fldCharType="end"/>
      </w:r>
      <w:r w:rsidR="00DD57C7" w:rsidRPr="00485DD6">
        <w:rPr>
          <w:color w:val="1F497D" w:themeColor="text2"/>
        </w:rPr>
        <w:t xml:space="preserve"> concluded that second-generation youth who had traditional family values, </w:t>
      </w:r>
      <w:r w:rsidR="009D41B9">
        <w:rPr>
          <w:color w:val="1F497D" w:themeColor="text2"/>
        </w:rPr>
        <w:t xml:space="preserve">a </w:t>
      </w:r>
      <w:r w:rsidR="00DD57C7" w:rsidRPr="00485DD6">
        <w:rPr>
          <w:color w:val="1F497D" w:themeColor="text2"/>
        </w:rPr>
        <w:t xml:space="preserve">strong work ethic, and ethnic community involvement were more likely to </w:t>
      </w:r>
      <w:r w:rsidR="004A3634" w:rsidRPr="00485DD6">
        <w:rPr>
          <w:color w:val="1F497D" w:themeColor="text2"/>
        </w:rPr>
        <w:t>have po</w:t>
      </w:r>
      <w:r w:rsidR="00D033D0" w:rsidRPr="00485DD6">
        <w:rPr>
          <w:color w:val="1F497D" w:themeColor="text2"/>
        </w:rPr>
        <w:t xml:space="preserve">sitive adaptation experiences because they </w:t>
      </w:r>
      <w:r w:rsidR="009D41B9">
        <w:rPr>
          <w:color w:val="1F497D" w:themeColor="text2"/>
        </w:rPr>
        <w:t xml:space="preserve">were </w:t>
      </w:r>
      <w:r w:rsidR="00DD57C7" w:rsidRPr="00485DD6">
        <w:rPr>
          <w:color w:val="1F497D" w:themeColor="text2"/>
        </w:rPr>
        <w:t>su</w:t>
      </w:r>
      <w:r w:rsidR="004A3634" w:rsidRPr="00485DD6">
        <w:rPr>
          <w:color w:val="1F497D" w:themeColor="text2"/>
        </w:rPr>
        <w:t>ccessfully integrated into their community and tapped into its resources.</w:t>
      </w:r>
      <w:r w:rsidR="00DD57C7" w:rsidRPr="00485DD6">
        <w:rPr>
          <w:color w:val="1F497D" w:themeColor="text2"/>
        </w:rPr>
        <w:t xml:space="preserve"> </w:t>
      </w:r>
      <w:r w:rsidR="004A3634" w:rsidRPr="00485DD6">
        <w:rPr>
          <w:color w:val="1F497D" w:themeColor="text2"/>
        </w:rPr>
        <w:t>But scholars</w:t>
      </w:r>
      <w:r w:rsidRPr="00485DD6">
        <w:rPr>
          <w:color w:val="1F497D" w:themeColor="text2"/>
        </w:rPr>
        <w:t xml:space="preserve"> have</w:t>
      </w:r>
      <w:r w:rsidR="009D41B9">
        <w:rPr>
          <w:color w:val="1F497D" w:themeColor="text2"/>
        </w:rPr>
        <w:t xml:space="preserve"> also</w:t>
      </w:r>
      <w:r w:rsidRPr="00485DD6">
        <w:rPr>
          <w:color w:val="1F497D" w:themeColor="text2"/>
        </w:rPr>
        <w:t xml:space="preserve"> found increased risks </w:t>
      </w:r>
      <w:r w:rsidR="009D41B9">
        <w:rPr>
          <w:color w:val="1F497D" w:themeColor="text2"/>
        </w:rPr>
        <w:t xml:space="preserve">for second-generation youth </w:t>
      </w:r>
      <w:r w:rsidRPr="00485DD6">
        <w:rPr>
          <w:color w:val="1F497D" w:themeColor="text2"/>
        </w:rPr>
        <w:t xml:space="preserve">within these </w:t>
      </w:r>
      <w:r w:rsidR="009D41B9">
        <w:rPr>
          <w:color w:val="1F497D" w:themeColor="text2"/>
        </w:rPr>
        <w:t xml:space="preserve">immigrant </w:t>
      </w:r>
      <w:r w:rsidRPr="00485DD6">
        <w:rPr>
          <w:color w:val="1F497D" w:themeColor="text2"/>
        </w:rPr>
        <w:t xml:space="preserve">communities. </w:t>
      </w:r>
    </w:p>
    <w:p w14:paraId="1C18E90D" w14:textId="121379C5" w:rsidR="00735537" w:rsidRPr="00485DD6" w:rsidRDefault="00E7342A" w:rsidP="008B6437">
      <w:pPr>
        <w:spacing w:after="0" w:line="480" w:lineRule="auto"/>
        <w:ind w:firstLine="720"/>
        <w:contextualSpacing/>
        <w:jc w:val="both"/>
        <w:rPr>
          <w:color w:val="1F497D" w:themeColor="text2"/>
        </w:rPr>
      </w:pPr>
      <w:r w:rsidRPr="00485DD6">
        <w:rPr>
          <w:color w:val="1F497D" w:themeColor="text2"/>
        </w:rPr>
        <w:t>Gangs and violence also emerged wit</w:t>
      </w:r>
      <w:r w:rsidR="00051505" w:rsidRPr="00485DD6">
        <w:rPr>
          <w:color w:val="1F497D" w:themeColor="text2"/>
        </w:rPr>
        <w:t xml:space="preserve">hin these immigrant communities. In understanding the appearance of Vietnamese-American youth gangs, </w:t>
      </w:r>
      <w:r w:rsidRPr="00485DD6">
        <w:rPr>
          <w:color w:val="1F497D" w:themeColor="text2"/>
        </w:rPr>
        <w:t xml:space="preserve">Hong </w:t>
      </w:r>
      <w:r w:rsidRPr="00485DD6">
        <w:rPr>
          <w:color w:val="1F497D" w:themeColor="text2"/>
        </w:rPr>
        <w:fldChar w:fldCharType="begin" w:fldLock="1"/>
      </w:r>
      <w:r w:rsidR="00F56BF0" w:rsidRPr="00485DD6">
        <w:rPr>
          <w:color w:val="1F497D" w:themeColor="text2"/>
        </w:rPr>
        <w:instrText>ADDIN CSL_CITATION { "citationItems" : [ { "id" : "ITEM-1", "itemData" : { "DOI" : "10.1016/j.avb.2010.01.003", "ISSN" : "13591789", "abstract" : "This article analyzes the problem of Vietnamese American youth gangs using Bronfenbrenner's ecological model. I first present a brief historical overview of Vietnamese migration to America, which is followed by examining risk factors that operate within five system levels: the micro-, meso-, exo-, macro-, and chrono- systems. Theories that explain relationships between the risk factors and gang involvement also are included. Finally, I draw implications for assessment, prevention, and intervention strategies at each systems level. \u00a9", "author" : [ { "dropping-particle" : "", "family" : "Hong", "given" : "Jun Sung", "non-dropping-particle" : "", "parse-names" : false, "suffix" : "" } ], "container-title" : "Aggression and Violent Behavior", "id" : "ITEM-1", "issue" : "4", "issued" : { "date-parts" : [ [ "2010", "7" ] ] }, "page" : "253-260", "publisher" : "Elsevier Ltd", "title" : "Understanding Vietnamese youth gangs in America: An ecological systems analysis", "type" : "article-journal", "volume" : "15" }, "uris" : [ "http://www.mendeley.com/documents/?uuid=6376811b-3ff7-47a9-9de5-fba089565cd8" ] } ], "mendeley" : { "formattedCitation" : "(Hong, 2010)", "manualFormatting" : "(2010)", "plainTextFormattedCitation" : "(Hong, 2010)", "previouslyFormattedCitation" : "(Hong, 2010)" }, "properties" : { "noteIndex" : 0 }, "schema" : "https://github.com/citation-style-language/schema/raw/master/csl-citation.json" }</w:instrText>
      </w:r>
      <w:r w:rsidRPr="00485DD6">
        <w:rPr>
          <w:color w:val="1F497D" w:themeColor="text2"/>
        </w:rPr>
        <w:fldChar w:fldCharType="separate"/>
      </w:r>
      <w:r w:rsidRPr="00485DD6">
        <w:rPr>
          <w:noProof/>
          <w:color w:val="1F497D" w:themeColor="text2"/>
        </w:rPr>
        <w:t>(2010)</w:t>
      </w:r>
      <w:r w:rsidRPr="00485DD6">
        <w:rPr>
          <w:color w:val="1F497D" w:themeColor="text2"/>
        </w:rPr>
        <w:fldChar w:fldCharType="end"/>
      </w:r>
      <w:r w:rsidR="00051505" w:rsidRPr="00485DD6">
        <w:rPr>
          <w:color w:val="1F497D" w:themeColor="text2"/>
        </w:rPr>
        <w:t xml:space="preserve"> concluded that the feeli</w:t>
      </w:r>
      <w:r w:rsidR="00D033D0" w:rsidRPr="00485DD6">
        <w:rPr>
          <w:color w:val="1F497D" w:themeColor="text2"/>
        </w:rPr>
        <w:t xml:space="preserve">ng of marginalization from </w:t>
      </w:r>
      <w:r w:rsidR="00EE05C1" w:rsidRPr="00485DD6">
        <w:rPr>
          <w:color w:val="1F497D" w:themeColor="text2"/>
        </w:rPr>
        <w:t xml:space="preserve">the </w:t>
      </w:r>
      <w:r w:rsidR="00051505" w:rsidRPr="00485DD6">
        <w:rPr>
          <w:color w:val="1F497D" w:themeColor="text2"/>
        </w:rPr>
        <w:t>community, the larger context, a</w:t>
      </w:r>
      <w:r w:rsidR="00EE05C1" w:rsidRPr="00485DD6">
        <w:rPr>
          <w:color w:val="1F497D" w:themeColor="text2"/>
        </w:rPr>
        <w:t xml:space="preserve">nd the different </w:t>
      </w:r>
      <w:r w:rsidR="009D41B9">
        <w:rPr>
          <w:color w:val="1F497D" w:themeColor="text2"/>
        </w:rPr>
        <w:t>features of</w:t>
      </w:r>
      <w:r w:rsidR="00EE05C1" w:rsidRPr="00485DD6">
        <w:rPr>
          <w:color w:val="1F497D" w:themeColor="text2"/>
        </w:rPr>
        <w:t xml:space="preserve"> second-generation immigrant youths’</w:t>
      </w:r>
      <w:r w:rsidR="00051505" w:rsidRPr="00485DD6">
        <w:rPr>
          <w:color w:val="1F497D" w:themeColor="text2"/>
        </w:rPr>
        <w:t xml:space="preserve"> lives </w:t>
      </w:r>
      <w:r w:rsidR="003505F4">
        <w:rPr>
          <w:color w:val="1F497D" w:themeColor="text2"/>
        </w:rPr>
        <w:t xml:space="preserve">had </w:t>
      </w:r>
      <w:r w:rsidR="00051505" w:rsidRPr="00485DD6">
        <w:rPr>
          <w:color w:val="1F497D" w:themeColor="text2"/>
        </w:rPr>
        <w:t>significant cumulative risk</w:t>
      </w:r>
      <w:r w:rsidR="003505F4">
        <w:rPr>
          <w:color w:val="1F497D" w:themeColor="text2"/>
        </w:rPr>
        <w:t>s</w:t>
      </w:r>
      <w:r w:rsidR="00051505" w:rsidRPr="00485DD6">
        <w:rPr>
          <w:color w:val="1F497D" w:themeColor="text2"/>
        </w:rPr>
        <w:t xml:space="preserve"> for gang involvement. </w:t>
      </w:r>
      <w:r w:rsidR="00775461" w:rsidRPr="00485DD6">
        <w:rPr>
          <w:color w:val="1F497D" w:themeColor="text2"/>
        </w:rPr>
        <w:t>For instance, p</w:t>
      </w:r>
      <w:r w:rsidR="00537580" w:rsidRPr="00485DD6">
        <w:rPr>
          <w:color w:val="1F497D" w:themeColor="text2"/>
        </w:rPr>
        <w:t>arent-child conflicts</w:t>
      </w:r>
      <w:r w:rsidR="00775461" w:rsidRPr="00485DD6">
        <w:rPr>
          <w:color w:val="1F497D" w:themeColor="text2"/>
        </w:rPr>
        <w:t>,</w:t>
      </w:r>
      <w:r w:rsidR="00537580" w:rsidRPr="00485DD6">
        <w:rPr>
          <w:color w:val="1F497D" w:themeColor="text2"/>
        </w:rPr>
        <w:t xml:space="preserve"> because of differing cultural systems resulting from different acculturation experiences</w:t>
      </w:r>
      <w:r w:rsidR="00775461" w:rsidRPr="00485DD6">
        <w:rPr>
          <w:color w:val="1F497D" w:themeColor="text2"/>
        </w:rPr>
        <w:t>, was</w:t>
      </w:r>
      <w:r w:rsidR="00537580" w:rsidRPr="00485DD6">
        <w:rPr>
          <w:color w:val="1F497D" w:themeColor="text2"/>
        </w:rPr>
        <w:t xml:space="preserve"> predictive of serious violence in second-generation immigrant youth </w:t>
      </w:r>
      <w:r w:rsidR="00537580" w:rsidRPr="00485DD6">
        <w:rPr>
          <w:color w:val="1F497D" w:themeColor="text2"/>
        </w:rPr>
        <w:fldChar w:fldCharType="begin" w:fldLock="1"/>
      </w:r>
      <w:r w:rsidR="00F56BF0" w:rsidRPr="00485DD6">
        <w:rPr>
          <w:color w:val="1F497D" w:themeColor="text2"/>
        </w:rPr>
        <w:instrText>ADDIN CSL_CITATION { "citationItems" : [ { "id" : "ITEM-1", "itemData" : { "DOI" : "10.1037/1099-9809.14.1.1", "ISSN" : "1099-9809", "PMID" : "18229995", "abstract" : "Studies suggest that the process of acculturation for immigrant youth, particularly for second-generation youth, is significantly associated with delinquency and violence. This study explored the acculturation-violence link with respect to acculturative dissonance and ethnic identity. The results revealed in a sample of 329 Chinese, Cambodian, Mien/Laotian, and Vietnamese youth that acculturative dissonance was significantly predictive of serious violence, with full mediation through peer delinquency. Ethnic identity was not significantly associated with peer delinquency or serious violence. Although acculturative dissonance and ethnic identity accounted for a small percentage of variance in violence compared with peer delinquency, it cannot be discounted as trivial. Structural equation analyses provided support for both measurement and structural invariance across the four ethnic groups, lending support for cross-cultural comparisons. The results also lend support for the inclusion of cultural factors in youth violence prevention and intervention efforts.", "author" : [ { "dropping-particle" : "", "family" : "Le", "given" : "Thao N", "non-dropping-particle" : "", "parse-names" : false, "suffix" : "" }, { "dropping-particle" : "", "family" : "Stockdale", "given" : "Gary D", "non-dropping-particle" : "", "parse-names" : false, "suffix" : "" } ], "container-title" : "Cultural diversity &amp; ethnic minority psychology", "id" : "ITEM-1", "issue" : "1", "issued" : { "date-parts" : [ [ "2008", "1" ] ] }, "page" : "1-9", "title" : "Acculturative dissonance, ethnic identity, and youth violence.", "type" : "article-journal", "volume" : "14" }, "uris" : [ "http://www.mendeley.com/documents/?uuid=ba0f4f48-9b8f-4049-b108-2f24a8e44a53" ] } ], "mendeley" : { "formattedCitation" : "(Le and Stockdale, 2008)", "plainTextFormattedCitation" : "(Le and Stockdale, 2008)", "previouslyFormattedCitation" : "(Le and Stockdale, 2008)" }, "properties" : { "noteIndex" : 0 }, "schema" : "https://github.com/citation-style-language/schema/raw/master/csl-citation.json" }</w:instrText>
      </w:r>
      <w:r w:rsidR="00537580" w:rsidRPr="00485DD6">
        <w:rPr>
          <w:color w:val="1F497D" w:themeColor="text2"/>
        </w:rPr>
        <w:fldChar w:fldCharType="separate"/>
      </w:r>
      <w:r w:rsidR="00537580" w:rsidRPr="00485DD6">
        <w:rPr>
          <w:noProof/>
          <w:color w:val="1F497D" w:themeColor="text2"/>
        </w:rPr>
        <w:t>(Le and Stockdale, 2008)</w:t>
      </w:r>
      <w:r w:rsidR="00537580" w:rsidRPr="00485DD6">
        <w:rPr>
          <w:color w:val="1F497D" w:themeColor="text2"/>
        </w:rPr>
        <w:fldChar w:fldCharType="end"/>
      </w:r>
      <w:r w:rsidR="00537580" w:rsidRPr="00485DD6">
        <w:rPr>
          <w:color w:val="1F497D" w:themeColor="text2"/>
        </w:rPr>
        <w:t xml:space="preserve">. </w:t>
      </w:r>
      <w:r w:rsidR="00B328DA" w:rsidRPr="00485DD6">
        <w:rPr>
          <w:color w:val="1F497D" w:themeColor="text2"/>
        </w:rPr>
        <w:t>Additionally, deviant peers is an established risk factor for violence</w:t>
      </w:r>
      <w:r w:rsidR="003505F4">
        <w:rPr>
          <w:color w:val="1F497D" w:themeColor="text2"/>
        </w:rPr>
        <w:t>,</w:t>
      </w:r>
      <w:r w:rsidR="00B328DA" w:rsidRPr="00485DD6">
        <w:rPr>
          <w:color w:val="1F497D" w:themeColor="text2"/>
        </w:rPr>
        <w:t xml:space="preserve"> but </w:t>
      </w:r>
      <w:r w:rsidR="00B328DA" w:rsidRPr="00485DD6">
        <w:rPr>
          <w:color w:val="1F497D" w:themeColor="text2"/>
        </w:rPr>
        <w:fldChar w:fldCharType="begin" w:fldLock="1"/>
      </w:r>
      <w:r w:rsidR="00AF5F1A">
        <w:rPr>
          <w:color w:val="1F497D" w:themeColor="text2"/>
        </w:rPr>
        <w:instrText>ADDIN CSL_CITATION { "citationItems" : [ { "id" : "ITEM-1", "itemData" : { "DOI" : "10.1111/j.1745-9125.2012.00273.x", "ISSN" : "00111384", "author" : [ { "dropping-particle" : "", "family" : "DiPietro", "given" : "Stephanie M", "non-dropping-particle" : "", "parse-names" : false, "suffix" : "" }, { "dropping-particle" : "", "family" : "McGloin", "given" : "Jean Marie", "non-dropping-particle" : "", "parse-names" : false, "suffix" : "" } ], "container-title" : "Criminology", "id" : "ITEM-1", "issue" : "3", "issued" : { "date-parts" : [ [ "2012", "8", "17" ] ] }, "page" : "711-742", "title" : "Differential susceptibility? Immigrant youth and peer influence", "type" : "article-journal", "volume" : "50" }, "uris" : [ "http://www.mendeley.com/documents/?uuid=f29aac39-eabe-4dbd-806e-63473b389920" ] } ], "mendeley" : { "formattedCitation" : "(DiPietro and McGloin, 2012)", "manualFormatting" : "DiPietro and McGloin (2012)", "plainTextFormattedCitation" : "(DiPietro and McGloin, 2012)", "previouslyFormattedCitation" : "(DiPietro and McGloin, 2012)" }, "properties" : { "noteIndex" : 0 }, "schema" : "https://github.com/citation-style-language/schema/raw/master/csl-citation.json" }</w:instrText>
      </w:r>
      <w:r w:rsidR="00B328DA" w:rsidRPr="00485DD6">
        <w:rPr>
          <w:color w:val="1F497D" w:themeColor="text2"/>
        </w:rPr>
        <w:fldChar w:fldCharType="separate"/>
      </w:r>
      <w:r w:rsidR="00D559AC" w:rsidRPr="00485DD6">
        <w:rPr>
          <w:noProof/>
          <w:color w:val="1F497D" w:themeColor="text2"/>
        </w:rPr>
        <w:t>DiP</w:t>
      </w:r>
      <w:r w:rsidR="003505F4">
        <w:rPr>
          <w:noProof/>
          <w:color w:val="1F497D" w:themeColor="text2"/>
        </w:rPr>
        <w:t>ietro and McG</w:t>
      </w:r>
      <w:r w:rsidR="00B328DA" w:rsidRPr="00485DD6">
        <w:rPr>
          <w:noProof/>
          <w:color w:val="1F497D" w:themeColor="text2"/>
        </w:rPr>
        <w:t>loin (2012)</w:t>
      </w:r>
      <w:r w:rsidR="00B328DA" w:rsidRPr="00485DD6">
        <w:rPr>
          <w:color w:val="1F497D" w:themeColor="text2"/>
        </w:rPr>
        <w:fldChar w:fldCharType="end"/>
      </w:r>
      <w:r w:rsidR="00B328DA" w:rsidRPr="00485DD6">
        <w:rPr>
          <w:color w:val="1F497D" w:themeColor="text2"/>
        </w:rPr>
        <w:t xml:space="preserve"> found that, compared to native-born youth, </w:t>
      </w:r>
      <w:r w:rsidR="00810288" w:rsidRPr="00485DD6">
        <w:rPr>
          <w:color w:val="1F497D" w:themeColor="text2"/>
        </w:rPr>
        <w:t xml:space="preserve">first and </w:t>
      </w:r>
      <w:r w:rsidR="00B328DA" w:rsidRPr="00485DD6">
        <w:rPr>
          <w:color w:val="1F497D" w:themeColor="text2"/>
        </w:rPr>
        <w:t xml:space="preserve">second-generation </w:t>
      </w:r>
      <w:r w:rsidR="0003451F" w:rsidRPr="00485DD6">
        <w:rPr>
          <w:color w:val="1F497D" w:themeColor="text2"/>
        </w:rPr>
        <w:t xml:space="preserve">immigrant </w:t>
      </w:r>
      <w:r w:rsidR="00B328DA" w:rsidRPr="00485DD6">
        <w:rPr>
          <w:color w:val="1F497D" w:themeColor="text2"/>
        </w:rPr>
        <w:t xml:space="preserve">youth were more susceptible to </w:t>
      </w:r>
      <w:r w:rsidR="00810288" w:rsidRPr="00485DD6">
        <w:rPr>
          <w:color w:val="1F497D" w:themeColor="text2"/>
        </w:rPr>
        <w:t>criminality</w:t>
      </w:r>
      <w:r w:rsidR="00B328DA" w:rsidRPr="00485DD6">
        <w:rPr>
          <w:color w:val="1F497D" w:themeColor="text2"/>
        </w:rPr>
        <w:t xml:space="preserve"> when exposed to deviant peers. </w:t>
      </w:r>
    </w:p>
    <w:p w14:paraId="2CAA768D" w14:textId="35FC989D" w:rsidR="00ED7AE6" w:rsidRPr="00485DD6" w:rsidRDefault="00806C4B" w:rsidP="008B6437">
      <w:pPr>
        <w:spacing w:after="0" w:line="480" w:lineRule="auto"/>
        <w:ind w:firstLine="720"/>
        <w:contextualSpacing/>
        <w:jc w:val="both"/>
        <w:rPr>
          <w:color w:val="1F497D" w:themeColor="text2"/>
        </w:rPr>
      </w:pPr>
      <w:r w:rsidRPr="00485DD6">
        <w:rPr>
          <w:color w:val="1F497D" w:themeColor="text2"/>
        </w:rPr>
        <w:t xml:space="preserve">According to </w:t>
      </w:r>
      <w:r w:rsidRPr="00485DD6">
        <w:rPr>
          <w:color w:val="1F497D" w:themeColor="text2"/>
        </w:rPr>
        <w:fldChar w:fldCharType="begin" w:fldLock="1"/>
      </w:r>
      <w:r w:rsidR="00F56BF0" w:rsidRPr="00485DD6">
        <w:rPr>
          <w:color w:val="1F497D" w:themeColor="text2"/>
        </w:rPr>
        <w:instrText>ADDIN CSL_CITATION { "citationItems" : [ { "id" : "ITEM-1", "itemData" : { "DOI" : "10.1177/0002716211431688", "ISSN" : "0002-7162", "author" : [ { "dropping-particle" : "", "family" : "Kubrin", "given" : "Charis E.", "non-dropping-particle" : "", "parse-names" : false, "suffix" : "" }, { "dropping-particle" : "", "family" : "Ishizawa", "given" : "H.", "non-dropping-particle" : "", "parse-names" : false, "suffix" : "" } ], "container-title" : "The Annals of the American Academy of Political and Social Science", "id" : "ITEM-1", "issue" : "1", "issued" : { "date-parts" : [ [ "2012", "3", "30" ] ] }, "page" : "148-173", "title" : "Why some immigrant neighborhoods are safer than others: Divergent findings from Los Angeles and Chicago", "type" : "article-journal", "volume" : "641" }, "uris" : [ "http://www.mendeley.com/documents/?uuid=38f14244-08c1-4607-99e4-eeb843170c00" ] } ], "mendeley" : { "formattedCitation" : "(Kubrin and Ishizawa, 2012)", "manualFormatting" : "Kubrin and Ishizawa (2012)", "plainTextFormattedCitation" : "(Kubrin and Ishizawa, 2012)", "previouslyFormattedCitation" : "(Kubrin and Ishizawa, 2012)" }, "properties" : { "noteIndex" : 0 }, "schema" : "https://github.com/citation-style-language/schema/raw/master/csl-citation.json" }</w:instrText>
      </w:r>
      <w:r w:rsidRPr="00485DD6">
        <w:rPr>
          <w:color w:val="1F497D" w:themeColor="text2"/>
        </w:rPr>
        <w:fldChar w:fldCharType="separate"/>
      </w:r>
      <w:r w:rsidRPr="00485DD6">
        <w:rPr>
          <w:noProof/>
          <w:color w:val="1F497D" w:themeColor="text2"/>
        </w:rPr>
        <w:t>Kubrin and Ishizawa (2012)</w:t>
      </w:r>
      <w:r w:rsidRPr="00485DD6">
        <w:rPr>
          <w:color w:val="1F497D" w:themeColor="text2"/>
        </w:rPr>
        <w:fldChar w:fldCharType="end"/>
      </w:r>
      <w:r w:rsidRPr="00485DD6">
        <w:rPr>
          <w:color w:val="1F497D" w:themeColor="text2"/>
        </w:rPr>
        <w:t xml:space="preserve">, </w:t>
      </w:r>
      <w:r w:rsidR="00F03F3E" w:rsidRPr="00485DD6">
        <w:rPr>
          <w:color w:val="1F497D" w:themeColor="text2"/>
        </w:rPr>
        <w:t xml:space="preserve">not all immigrant communities functioned as protective, as their findings showed that some of these communities </w:t>
      </w:r>
      <w:r w:rsidR="00F03F3E" w:rsidRPr="00485DD6">
        <w:rPr>
          <w:color w:val="1F497D" w:themeColor="text2"/>
        </w:rPr>
        <w:lastRenderedPageBreak/>
        <w:t xml:space="preserve">experienced higher levels of crime and violence. </w:t>
      </w:r>
      <w:r w:rsidR="0003451F" w:rsidRPr="00485DD6">
        <w:rPr>
          <w:color w:val="1F497D" w:themeColor="text2"/>
        </w:rPr>
        <w:t xml:space="preserve">These findings support segmented assimilation theory as it recognizes the differences in assimilation paths and the diversity of communities in which new immigrant families settle. </w:t>
      </w:r>
      <w:r w:rsidR="001515A8">
        <w:rPr>
          <w:color w:val="1F497D" w:themeColor="text2"/>
        </w:rPr>
        <w:t>The</w:t>
      </w:r>
      <w:r w:rsidR="0055483D" w:rsidRPr="00485DD6">
        <w:rPr>
          <w:color w:val="1F497D" w:themeColor="text2"/>
        </w:rPr>
        <w:t xml:space="preserve"> higher level of violence in second-generation immigrants may also </w:t>
      </w:r>
      <w:r w:rsidR="001515A8">
        <w:rPr>
          <w:color w:val="1F497D" w:themeColor="text2"/>
        </w:rPr>
        <w:t>be influenced by</w:t>
      </w:r>
      <w:r w:rsidR="0055483D" w:rsidRPr="00485DD6">
        <w:rPr>
          <w:color w:val="1F497D" w:themeColor="text2"/>
        </w:rPr>
        <w:t xml:space="preserve"> their negati</w:t>
      </w:r>
      <w:r w:rsidR="00D93C8F" w:rsidRPr="00485DD6">
        <w:rPr>
          <w:color w:val="1F497D" w:themeColor="text2"/>
        </w:rPr>
        <w:t>ve perceptions towards</w:t>
      </w:r>
      <w:r w:rsidR="0055483D" w:rsidRPr="00485DD6">
        <w:rPr>
          <w:color w:val="1F497D" w:themeColor="text2"/>
        </w:rPr>
        <w:t xml:space="preserve"> the host society. </w:t>
      </w:r>
    </w:p>
    <w:p w14:paraId="629AF0EA" w14:textId="77777777" w:rsidR="0055483D" w:rsidRPr="00485DD6" w:rsidRDefault="0055483D" w:rsidP="008B6437">
      <w:pPr>
        <w:spacing w:after="0" w:line="480" w:lineRule="auto"/>
        <w:contextualSpacing/>
        <w:jc w:val="both"/>
        <w:rPr>
          <w:color w:val="1F497D" w:themeColor="text2"/>
        </w:rPr>
      </w:pPr>
    </w:p>
    <w:p w14:paraId="6D193212" w14:textId="027F5CEC" w:rsidR="0055483D" w:rsidRPr="00485DD6" w:rsidRDefault="0055483D" w:rsidP="008B6437">
      <w:pPr>
        <w:spacing w:after="0" w:line="480" w:lineRule="auto"/>
        <w:contextualSpacing/>
        <w:jc w:val="both"/>
        <w:outlineLvl w:val="0"/>
        <w:rPr>
          <w:i/>
          <w:color w:val="1F497D" w:themeColor="text2"/>
        </w:rPr>
      </w:pPr>
      <w:r w:rsidRPr="00485DD6">
        <w:rPr>
          <w:i/>
          <w:color w:val="1F497D" w:themeColor="text2"/>
        </w:rPr>
        <w:t>The infl</w:t>
      </w:r>
      <w:r w:rsidR="00D93C8F" w:rsidRPr="00485DD6">
        <w:rPr>
          <w:i/>
          <w:color w:val="1F497D" w:themeColor="text2"/>
        </w:rPr>
        <w:t>uence of negative perceptions towards</w:t>
      </w:r>
      <w:r w:rsidRPr="00485DD6">
        <w:rPr>
          <w:i/>
          <w:color w:val="1F497D" w:themeColor="text2"/>
        </w:rPr>
        <w:t xml:space="preserve"> the host society on violence</w:t>
      </w:r>
    </w:p>
    <w:p w14:paraId="33079A74" w14:textId="0937BFEA" w:rsidR="00810288" w:rsidRPr="00485DD6" w:rsidRDefault="0055483D" w:rsidP="008B6437">
      <w:pPr>
        <w:spacing w:after="0" w:line="480" w:lineRule="auto"/>
        <w:contextualSpacing/>
        <w:jc w:val="both"/>
        <w:rPr>
          <w:color w:val="1F497D" w:themeColor="text2"/>
        </w:rPr>
      </w:pPr>
      <w:r w:rsidRPr="00485DD6">
        <w:rPr>
          <w:color w:val="1F497D" w:themeColor="text2"/>
        </w:rPr>
        <w:tab/>
      </w:r>
      <w:r w:rsidR="00CE3FDE" w:rsidRPr="00485DD6">
        <w:rPr>
          <w:color w:val="1F497D" w:themeColor="text2"/>
        </w:rPr>
        <w:t xml:space="preserve">Perceptions of host institutions may be influential in contributing to the higher violence levels of second-generation immigrants. </w:t>
      </w:r>
      <w:r w:rsidR="002F4BC2" w:rsidRPr="00485DD6">
        <w:rPr>
          <w:color w:val="1F497D" w:themeColor="text2"/>
        </w:rPr>
        <w:t xml:space="preserve">Specifically, negative perceptions, such as anti-establishment attitudes, have been shown to be predictive of persistent offending </w:t>
      </w:r>
      <w:r w:rsidR="002F4BC2" w:rsidRPr="00485DD6">
        <w:rPr>
          <w:color w:val="1F497D" w:themeColor="text2"/>
        </w:rPr>
        <w:fldChar w:fldCharType="begin" w:fldLock="1"/>
      </w:r>
      <w:r w:rsidR="00F56BF0" w:rsidRPr="00485DD6">
        <w:rPr>
          <w:color w:val="1F497D" w:themeColor="text2"/>
        </w:rPr>
        <w:instrText>ADDIN CSL_CITATION { "citationItems" : [ { "id" : "ITEM-1", "itemData" : { "DOI" : "10.1002/ab.20296", "ISSN" : "1098-2337", "PMID" : "19172660", "abstract" : "This article investigates the life success at ages 32 and 48 of four categories of males: nonoffenders, adolescence-limited offenders (convicted only at ages 10-20), late-onset offenders (convicted only at ages 21-50), and persistent offenders (convicted at both ages 10-20 and 21-50). In the Cambridge Study in Delinquent Development, 411 South London males have been followed up from age 8 to 48 in repeated personal interviews. There was considerable continuity in offending over time. Persistent offenders had the longest criminal careers (averaging 18.4 years), and most of them had convictions for violence. Persistent offenders were leading the most unsuccessful lives at ages 32 and 48, although all categories of males became more successful with age. By age 48, the life success of adolescence-limited offenders was similar to that of nonoffenders. The most important risk factors at ages 8-18 that predicted which offenders would persist after age 21 were heavy drinking at age 18, hyperactivity at ages 12-14, and low popularity and harsh discipline at ages 8-10. The most important risk factors that predicted which nonoffenders would onset after age 21 were poor housing and low nonverbal IQ at ages 8-10, high neuroticism at age 16, and anti-establishment attitudes and motoring convictions at age 18. It was suggested that nervousness and neuroticism may have protected children at risk from offending in adolescence and the teenage years.", "author" : [ { "dropping-particle" : "", "family" : "Farrington", "given" : "David P", "non-dropping-particle" : "", "parse-names" : false, "suffix" : "" }, { "dropping-particle" : "", "family" : "Ttofi", "given" : "Maria M", "non-dropping-particle" : "", "parse-names" : false, "suffix" : "" }, { "dropping-particle" : "", "family" : "Coid", "given" : "Jeremy W", "non-dropping-particle" : "", "parse-names" : false, "suffix" : "" } ], "container-title" : "Aggressive Behavior", "id" : "ITEM-1", "issue" : "2", "issued" : { "date-parts" : [ [ "2009" ] ] }, "page" : "150-63", "title" : "Development of adolescence-limited, late-onset, and persistent offenders from age 8 to age 48.", "type" : "article-journal", "volume" : "35" }, "uris" : [ "http://www.mendeley.com/documents/?uuid=f51d9c26-1d45-4005-a3a6-e89006f5db05" ] }, { "id" : "ITEM-2", "itemData" : { "abstract" : "Compared predictors of participation in offending, of early (aged 10\u201323 yrs) vs later (aged 14\u201320 yrs) initiation of offending, and of persistence vs desistance of offending in adulthood (aged 21\u201332 yrs). Periodic interviews were conducted with 411 males, beginning in 1961. Early involvement in antisocial behavior was the strongest predictor of convictions. The strongest predictors of early conviction (EC) were low parental involvement (LPI), troublesomeness, authoritarian parents, poor psychomotor skills, and noncriminal parents. Interactions with antisocial others (AOs) were not positively related to EC. LPI, low commitment to school, and low verbal IQ (all measured before adolescence) were predictive of persistence in offending in Ss aged 21\u201332 yrs. Ss who initiated delinquent behaviors early appeared less influenced by AOs than those who did so in mid-adolescence.", "author" : [ { "dropping-particle" : "", "family" : "Farrington", "given" : "David P.", "non-dropping-particle" : "", "parse-names" : false, "suffix" : "" }, { "dropping-particle" : "", "family" : "Hawkins", "given" : "J. David", "non-dropping-particle" : "", "parse-names" : false, "suffix" : "" } ], "container-title" : "Criminal Behaviour and Mental Health", "id" : "ITEM-2", "issue" : "1", "issued" : { "date-parts" : [ [ "1991" ] ] }, "page" : "1-33", "title" : "Predicting participation, early onset and later persistence in officially recorded offending.", "type" : "article-journal", "volume" : "1" }, "uris" : [ "http://www.mendeley.com/documents/?uuid=1511d9dd-0a9a-4b54-960d-da9dc472b13c" ] } ], "mendeley" : { "formattedCitation" : "(Farrington and Hawkins, 1991; Farrington et al., 2009)", "plainTextFormattedCitation" : "(Farrington and Hawkins, 1991; Farrington et al., 2009)", "previouslyFormattedCitation" : "(Farrington and Hawkins, 1991; Farrington et al., 2009)" }, "properties" : { "noteIndex" : 0 }, "schema" : "https://github.com/citation-style-language/schema/raw/master/csl-citation.json" }</w:instrText>
      </w:r>
      <w:r w:rsidR="002F4BC2" w:rsidRPr="00485DD6">
        <w:rPr>
          <w:color w:val="1F497D" w:themeColor="text2"/>
        </w:rPr>
        <w:fldChar w:fldCharType="separate"/>
      </w:r>
      <w:r w:rsidR="002F4BC2" w:rsidRPr="00485DD6">
        <w:rPr>
          <w:noProof/>
          <w:color w:val="1F497D" w:themeColor="text2"/>
        </w:rPr>
        <w:t>(Farrington and Hawkins, 1991; Farrington et al., 2009)</w:t>
      </w:r>
      <w:r w:rsidR="002F4BC2" w:rsidRPr="00485DD6">
        <w:rPr>
          <w:color w:val="1F497D" w:themeColor="text2"/>
        </w:rPr>
        <w:fldChar w:fldCharType="end"/>
      </w:r>
      <w:r w:rsidR="002F4BC2" w:rsidRPr="00485DD6">
        <w:rPr>
          <w:color w:val="1F497D" w:themeColor="text2"/>
        </w:rPr>
        <w:t xml:space="preserve">. </w:t>
      </w:r>
      <w:r w:rsidR="00CE3FDE" w:rsidRPr="00485DD6">
        <w:rPr>
          <w:color w:val="1F497D" w:themeColor="text2"/>
        </w:rPr>
        <w:t>In investigating perceptions of police legitimacy</w:t>
      </w:r>
      <w:r w:rsidR="00D93C8F" w:rsidRPr="00485DD6">
        <w:rPr>
          <w:color w:val="1F497D" w:themeColor="text2"/>
        </w:rPr>
        <w:t xml:space="preserve"> </w:t>
      </w:r>
      <w:r w:rsidR="00666F17" w:rsidRPr="00485DD6">
        <w:rPr>
          <w:color w:val="1F497D" w:themeColor="text2"/>
        </w:rPr>
        <w:t xml:space="preserve">and discrimination </w:t>
      </w:r>
      <w:r w:rsidR="00D93C8F" w:rsidRPr="00485DD6">
        <w:rPr>
          <w:color w:val="1F497D" w:themeColor="text2"/>
        </w:rPr>
        <w:t>in African-Americans</w:t>
      </w:r>
      <w:r w:rsidR="00CE3FDE" w:rsidRPr="00485DD6">
        <w:rPr>
          <w:color w:val="1F497D" w:themeColor="text2"/>
        </w:rPr>
        <w:t xml:space="preserve">, </w:t>
      </w:r>
      <w:r w:rsidR="00CE3FDE" w:rsidRPr="00485DD6">
        <w:rPr>
          <w:color w:val="1F497D" w:themeColor="text2"/>
        </w:rPr>
        <w:fldChar w:fldCharType="begin" w:fldLock="1"/>
      </w:r>
      <w:r w:rsidR="00F56BF0" w:rsidRPr="00485DD6">
        <w:rPr>
          <w:color w:val="1F497D" w:themeColor="text2"/>
        </w:rPr>
        <w:instrText>ADDIN CSL_CITATION { "citationItems" : [ { "id" : "ITEM-1", "itemData" : { "DOI" : "10.1016/j.jcrimjus.2010.05.005", "ISSN" : "00472352", "author" : [ { "dropping-particle" : "", "family" : "Lee", "given" : "Joanna M.", "non-dropping-particle" : "", "parse-names" : false, "suffix" : "" }, { "dropping-particle" : "", "family" : "Steinberg", "given" : "Laurence", "non-dropping-particle" : "", "parse-names" : false, "suffix" : "" }, { "dropping-particle" : "", "family" : "Piquero", "given" : "Alex R", "non-dropping-particle" : "", "parse-names" : false, "suffix" : "" } ], "container-title" : "Journal of Criminal Justice", "id" : "ITEM-1", "issue" : "4", "issued" : { "date-parts" : [ [ "2010", "7" ] ] }, "page" : "781-789", "publisher" : "Elsevier Ltd", "title" : "Ethnic identity and attitudes toward the police among African American juvenile offenders", "type" : "article-journal", "volume" : "38" }, "uris" : [ "http://www.mendeley.com/documents/?uuid=c0a97c3e-971b-4bce-9166-399024546edd" ] } ], "mendeley" : { "formattedCitation" : "(Lee et al., 2010)", "manualFormatting" : "Lee et al. (2010)", "plainTextFormattedCitation" : "(Lee et al., 2010)", "previouslyFormattedCitation" : "(Lee et al., 2010)" }, "properties" : { "noteIndex" : 0 }, "schema" : "https://github.com/citation-style-language/schema/raw/master/csl-citation.json" }</w:instrText>
      </w:r>
      <w:r w:rsidR="00CE3FDE" w:rsidRPr="00485DD6">
        <w:rPr>
          <w:color w:val="1F497D" w:themeColor="text2"/>
        </w:rPr>
        <w:fldChar w:fldCharType="separate"/>
      </w:r>
      <w:r w:rsidR="00CE3FDE" w:rsidRPr="00485DD6">
        <w:rPr>
          <w:noProof/>
          <w:color w:val="1F497D" w:themeColor="text2"/>
        </w:rPr>
        <w:t>Lee et al. (2010)</w:t>
      </w:r>
      <w:r w:rsidR="00CE3FDE" w:rsidRPr="00485DD6">
        <w:rPr>
          <w:color w:val="1F497D" w:themeColor="text2"/>
        </w:rPr>
        <w:fldChar w:fldCharType="end"/>
      </w:r>
      <w:r w:rsidR="00CE3FDE" w:rsidRPr="00485DD6">
        <w:rPr>
          <w:color w:val="1F497D" w:themeColor="text2"/>
        </w:rPr>
        <w:t xml:space="preserve"> </w:t>
      </w:r>
      <w:r w:rsidR="00D93C8F" w:rsidRPr="00485DD6">
        <w:rPr>
          <w:color w:val="1F497D" w:themeColor="text2"/>
        </w:rPr>
        <w:t>concluded that ethnic id</w:t>
      </w:r>
      <w:r w:rsidR="00666F17" w:rsidRPr="00485DD6">
        <w:rPr>
          <w:color w:val="1F497D" w:themeColor="text2"/>
        </w:rPr>
        <w:t xml:space="preserve">entity influenced the perceptions of </w:t>
      </w:r>
      <w:r w:rsidR="00452333" w:rsidRPr="00485DD6">
        <w:rPr>
          <w:color w:val="1F497D" w:themeColor="text2"/>
        </w:rPr>
        <w:t xml:space="preserve">police </w:t>
      </w:r>
      <w:r w:rsidR="00666F17" w:rsidRPr="00485DD6">
        <w:rPr>
          <w:color w:val="1F497D" w:themeColor="text2"/>
        </w:rPr>
        <w:t xml:space="preserve">prejudice. </w:t>
      </w:r>
      <w:r w:rsidR="00C41747">
        <w:rPr>
          <w:color w:val="1F497D" w:themeColor="text2"/>
        </w:rPr>
        <w:t>A</w:t>
      </w:r>
      <w:r w:rsidR="00452333" w:rsidRPr="00485DD6">
        <w:rPr>
          <w:color w:val="1F497D" w:themeColor="text2"/>
        </w:rPr>
        <w:t xml:space="preserve">s previously mentioned, ethnic background is </w:t>
      </w:r>
      <w:r w:rsidR="00C41747">
        <w:rPr>
          <w:color w:val="1F497D" w:themeColor="text2"/>
        </w:rPr>
        <w:t>related</w:t>
      </w:r>
      <w:r w:rsidR="00D93C8F" w:rsidRPr="00485DD6">
        <w:rPr>
          <w:color w:val="1F497D" w:themeColor="text2"/>
        </w:rPr>
        <w:t xml:space="preserve"> </w:t>
      </w:r>
      <w:r w:rsidR="00452333" w:rsidRPr="00485DD6">
        <w:rPr>
          <w:color w:val="1F497D" w:themeColor="text2"/>
        </w:rPr>
        <w:t>to generational status and</w:t>
      </w:r>
      <w:r w:rsidR="00D93C8F" w:rsidRPr="00485DD6">
        <w:rPr>
          <w:color w:val="1F497D" w:themeColor="text2"/>
        </w:rPr>
        <w:t xml:space="preserve"> </w:t>
      </w:r>
      <w:r w:rsidR="00452333" w:rsidRPr="00485DD6">
        <w:rPr>
          <w:color w:val="1F497D" w:themeColor="text2"/>
        </w:rPr>
        <w:t xml:space="preserve">these findings show the extent of influence that </w:t>
      </w:r>
      <w:r w:rsidR="00774DBB">
        <w:rPr>
          <w:color w:val="1F497D" w:themeColor="text2"/>
        </w:rPr>
        <w:t>ethnic</w:t>
      </w:r>
      <w:r w:rsidR="008B45B2" w:rsidRPr="00485DD6">
        <w:rPr>
          <w:color w:val="1F497D" w:themeColor="text2"/>
        </w:rPr>
        <w:t xml:space="preserve"> background and the experiences that accompany it can have. </w:t>
      </w:r>
    </w:p>
    <w:p w14:paraId="44D33A9D" w14:textId="6F7F295B" w:rsidR="00465D32" w:rsidRPr="00485DD6" w:rsidRDefault="0085786E" w:rsidP="008B6437">
      <w:pPr>
        <w:spacing w:after="0" w:line="480" w:lineRule="auto"/>
        <w:contextualSpacing/>
        <w:jc w:val="both"/>
        <w:rPr>
          <w:color w:val="1F497D" w:themeColor="text2"/>
        </w:rPr>
      </w:pPr>
      <w:r w:rsidRPr="00485DD6">
        <w:rPr>
          <w:color w:val="1F497D" w:themeColor="text2"/>
        </w:rPr>
        <w:tab/>
        <w:t>Unlike first-generation immigrants, t</w:t>
      </w:r>
      <w:r w:rsidR="00810288" w:rsidRPr="00485DD6">
        <w:rPr>
          <w:color w:val="1F497D" w:themeColor="text2"/>
        </w:rPr>
        <w:t>he environmental and social risks of living in a deprived community and having poor support networks</w:t>
      </w:r>
      <w:r w:rsidR="00CE3FDE" w:rsidRPr="00485DD6">
        <w:rPr>
          <w:color w:val="1F497D" w:themeColor="text2"/>
        </w:rPr>
        <w:t xml:space="preserve"> </w:t>
      </w:r>
      <w:r w:rsidR="00810288" w:rsidRPr="00485DD6">
        <w:rPr>
          <w:color w:val="1F497D" w:themeColor="text2"/>
        </w:rPr>
        <w:t xml:space="preserve">may aggravate the negative acculturation experiences </w:t>
      </w:r>
      <w:r w:rsidR="00753D23">
        <w:rPr>
          <w:color w:val="1F497D" w:themeColor="text2"/>
        </w:rPr>
        <w:t xml:space="preserve">of </w:t>
      </w:r>
      <w:r w:rsidR="00810288" w:rsidRPr="00485DD6">
        <w:rPr>
          <w:color w:val="1F497D" w:themeColor="text2"/>
        </w:rPr>
        <w:t>second-gen</w:t>
      </w:r>
      <w:r w:rsidR="00753D23">
        <w:rPr>
          <w:color w:val="1F497D" w:themeColor="text2"/>
        </w:rPr>
        <w:t>eration immigrants</w:t>
      </w:r>
      <w:r w:rsidR="00810288" w:rsidRPr="00485DD6">
        <w:rPr>
          <w:color w:val="1F497D" w:themeColor="text2"/>
        </w:rPr>
        <w:t>.</w:t>
      </w:r>
      <w:r w:rsidRPr="00485DD6">
        <w:rPr>
          <w:color w:val="1F497D" w:themeColor="text2"/>
        </w:rPr>
        <w:t xml:space="preserve"> </w:t>
      </w:r>
      <w:r w:rsidR="002E4617" w:rsidRPr="00485DD6">
        <w:rPr>
          <w:color w:val="1F497D" w:themeColor="text2"/>
        </w:rPr>
        <w:t xml:space="preserve">Bucerius </w:t>
      </w:r>
      <w:r w:rsidR="00574C57" w:rsidRPr="00485DD6">
        <w:rPr>
          <w:color w:val="1F497D" w:themeColor="text2"/>
        </w:rPr>
        <w:fldChar w:fldCharType="begin" w:fldLock="1"/>
      </w:r>
      <w:r w:rsidR="00F56BF0" w:rsidRPr="00485DD6">
        <w:rPr>
          <w:color w:val="1F497D" w:themeColor="text2"/>
        </w:rPr>
        <w:instrText>ADDIN CSL_CITATION { "citationItems" : [ { "id" : "ITEM-1", "itemData" : { "author" : [ { "dropping-particle" : "", "family" : "Bucerius", "given" : "Sandra M", "non-dropping-particle" : "", "parse-names" : false, "suffix" : "" } ], "container-title" : "The Oxford handbook of criminology", "editor" : [ { "dropping-particle" : "", "family" : "Tonry", "given" : "Michael", "non-dropping-particle" : "", "parse-names" : false, "suffix" : "" } ], "id" : "ITEM-1", "issued" : { "date-parts" : [ [ "2011" ] ] }, "page" : "385-419", "publisher" : "Oxford University Press", "publisher-place" : "Oxford, UK", "title" : "Immigrants and crime", "type" : "chapter" }, "uris" : [ "http://www.mendeley.com/documents/?uuid=13884a08-e011-4d0d-9976-d2eaf954e6cf" ] } ], "mendeley" : { "formattedCitation" : "(Bucerius, 2011)", "manualFormatting" : "(2011, p. 394)", "plainTextFormattedCitation" : "(Bucerius, 2011)", "previouslyFormattedCitation" : "(Bucerius, 2011)" }, "properties" : { "noteIndex" : 0 }, "schema" : "https://github.com/citation-style-language/schema/raw/master/csl-citation.json" }</w:instrText>
      </w:r>
      <w:r w:rsidR="00574C57" w:rsidRPr="00485DD6">
        <w:rPr>
          <w:color w:val="1F497D" w:themeColor="text2"/>
        </w:rPr>
        <w:fldChar w:fldCharType="separate"/>
      </w:r>
      <w:r w:rsidR="00574C57" w:rsidRPr="00485DD6">
        <w:rPr>
          <w:noProof/>
          <w:color w:val="1F497D" w:themeColor="text2"/>
        </w:rPr>
        <w:t>(2011, p. 394)</w:t>
      </w:r>
      <w:r w:rsidR="00574C57" w:rsidRPr="00485DD6">
        <w:rPr>
          <w:color w:val="1F497D" w:themeColor="text2"/>
        </w:rPr>
        <w:fldChar w:fldCharType="end"/>
      </w:r>
      <w:r w:rsidR="00574C57" w:rsidRPr="00485DD6">
        <w:rPr>
          <w:color w:val="1F497D" w:themeColor="text2"/>
        </w:rPr>
        <w:t xml:space="preserve"> noted that crime involvement for second-generation immigrants may be understood through the increases in perceptions of discrimination, marginalization, disempowerment, and social exclusion </w:t>
      </w:r>
      <w:r w:rsidR="00574C57" w:rsidRPr="00485DD6">
        <w:rPr>
          <w:color w:val="1F497D" w:themeColor="text2"/>
        </w:rPr>
        <w:fldChar w:fldCharType="begin" w:fldLock="1"/>
      </w:r>
      <w:r w:rsidR="00F56BF0" w:rsidRPr="00485DD6">
        <w:rPr>
          <w:color w:val="1F497D" w:themeColor="text2"/>
        </w:rPr>
        <w:instrText>ADDIN CSL_CITATION { "citationItems" : [ { "id" : "ITEM-1", "itemData" : { "DOI" : "10.1177/0011128713502406", "ISSN" : "0011-1287", "author" : [ { "dropping-particle" : "", "family" : "Bersani", "given" : "Bianca E", "non-dropping-particle" : "", "parse-names" : false, "suffix" : "" } ], "container-title" : "Crime &amp; Delinquency", "id" : "ITEM-1", "issue" : "1", "issued" : { "date-parts" : [ [ "2014", "10", "1" ] ] }, "page" : "60-84", "title" : "A game of catch-up? The offending experience of second-generation immigrants", "type" : "article-journal", "volume" : "60" }, "uris" : [ "http://www.mendeley.com/documents/?uuid=d28ef6c5-8eb9-45dc-a1f6-040354e4aa03" ] }, { "id" : "ITEM-2", "itemData" : { "DOI" : "10.1177/0020715207088907", "ISSN" : "0020-7152", "author" : [ { "dropping-particle" : "", "family" : "Turjeman", "given" : "Hagit", "non-dropping-particle" : "", "parse-names" : false, "suffix" : "" }, { "dropping-particle" : "", "family" : "Mesch", "given" : "Gustavo", "non-dropping-particle" : "", "parse-names" : false, "suffix" : "" }, { "dropping-particle" : "", "family" : "Fishman", "given" : "Gideon", "non-dropping-particle" : "", "parse-names" : false, "suffix" : "" } ], "container-title" : "International Journal of Comparative Sociology", "id" : "ITEM-2", "issue" : "2-3", "issued" : { "date-parts" : [ [ "2008", "4", "1" ] ] }, "page" : "111-126", "title" : "Social identity, identity formation, and delinquency", "type" : "article-journal", "volume" : "49" }, "uris" : [ "http://www.mendeley.com/documents/?uuid=f207cf4c-ddd6-49c3-91d1-d44030647195" ] } ], "mendeley" : { "formattedCitation" : "(Bersani, 2014b; Turjeman et al., 2008)", "plainTextFormattedCitation" : "(Bersani, 2014b; Turjeman et al., 2008)", "previouslyFormattedCitation" : "(Bersani, 2014b; Turjeman et al., 2008)" }, "properties" : { "noteIndex" : 0 }, "schema" : "https://github.com/citation-style-language/schema/raw/master/csl-citation.json" }</w:instrText>
      </w:r>
      <w:r w:rsidR="00574C57" w:rsidRPr="00485DD6">
        <w:rPr>
          <w:color w:val="1F497D" w:themeColor="text2"/>
        </w:rPr>
        <w:fldChar w:fldCharType="separate"/>
      </w:r>
      <w:r w:rsidR="005F7141" w:rsidRPr="00485DD6">
        <w:rPr>
          <w:noProof/>
          <w:color w:val="1F497D" w:themeColor="text2"/>
        </w:rPr>
        <w:t>(Bersani, 2014b; Turjeman et al., 2008)</w:t>
      </w:r>
      <w:r w:rsidR="00574C57" w:rsidRPr="00485DD6">
        <w:rPr>
          <w:color w:val="1F497D" w:themeColor="text2"/>
        </w:rPr>
        <w:fldChar w:fldCharType="end"/>
      </w:r>
      <w:r w:rsidR="00574C57" w:rsidRPr="00485DD6">
        <w:rPr>
          <w:color w:val="1F497D" w:themeColor="text2"/>
        </w:rPr>
        <w:t xml:space="preserve">. </w:t>
      </w:r>
      <w:r w:rsidR="00304F26" w:rsidRPr="00485DD6">
        <w:rPr>
          <w:color w:val="1F497D" w:themeColor="text2"/>
        </w:rPr>
        <w:t>Perceptions are powerful in their abi</w:t>
      </w:r>
      <w:r w:rsidR="00465D32" w:rsidRPr="00485DD6">
        <w:rPr>
          <w:color w:val="1F497D" w:themeColor="text2"/>
        </w:rPr>
        <w:t xml:space="preserve">lity to motivate individuals to behave antisocially, and they may be important </w:t>
      </w:r>
      <w:r w:rsidR="00465D32" w:rsidRPr="00485DD6">
        <w:rPr>
          <w:color w:val="1F497D" w:themeColor="text2"/>
        </w:rPr>
        <w:lastRenderedPageBreak/>
        <w:t xml:space="preserve">factors in understanding the between-group differences in violence between first and second-generation immigrants. </w:t>
      </w:r>
    </w:p>
    <w:p w14:paraId="4285B6A4" w14:textId="2DD020D6" w:rsidR="0001699B" w:rsidRPr="00485DD6" w:rsidRDefault="00465D32" w:rsidP="008B6437">
      <w:pPr>
        <w:spacing w:after="0" w:line="480" w:lineRule="auto"/>
        <w:contextualSpacing/>
        <w:jc w:val="both"/>
        <w:rPr>
          <w:color w:val="1F497D" w:themeColor="text2"/>
        </w:rPr>
      </w:pPr>
      <w:r w:rsidRPr="00485DD6">
        <w:rPr>
          <w:color w:val="1F497D" w:themeColor="text2"/>
        </w:rPr>
        <w:tab/>
      </w:r>
      <w:r w:rsidR="00753D23" w:rsidRPr="00485DD6">
        <w:rPr>
          <w:color w:val="1F497D" w:themeColor="text2"/>
        </w:rPr>
        <w:t xml:space="preserve">Exactly how negative perceptions towards the host society function to promote violence for </w:t>
      </w:r>
      <w:r w:rsidR="00753D23">
        <w:rPr>
          <w:color w:val="1F497D" w:themeColor="text2"/>
        </w:rPr>
        <w:t>second-generation immigrants is</w:t>
      </w:r>
      <w:r w:rsidR="005061DD" w:rsidRPr="00485DD6">
        <w:rPr>
          <w:color w:val="1F497D" w:themeColor="text2"/>
        </w:rPr>
        <w:t xml:space="preserve"> unclear. </w:t>
      </w:r>
      <w:r w:rsidR="005F7010" w:rsidRPr="00485DD6">
        <w:rPr>
          <w:color w:val="1F497D" w:themeColor="text2"/>
        </w:rPr>
        <w:t xml:space="preserve">Perhaps these perceptions develop a justification for violence involvement. </w:t>
      </w:r>
      <w:r w:rsidR="00753D23">
        <w:rPr>
          <w:color w:val="1F497D" w:themeColor="text2"/>
        </w:rPr>
        <w:t>The literature on street gangs has</w:t>
      </w:r>
      <w:r w:rsidR="005F7010" w:rsidRPr="00485DD6">
        <w:rPr>
          <w:color w:val="1F497D" w:themeColor="text2"/>
        </w:rPr>
        <w:t xml:space="preserve"> observed that negative perceptions, specifically</w:t>
      </w:r>
      <w:r w:rsidR="0003451F" w:rsidRPr="00485DD6">
        <w:rPr>
          <w:color w:val="1F497D" w:themeColor="text2"/>
        </w:rPr>
        <w:t xml:space="preserve"> alienation stemming from</w:t>
      </w:r>
      <w:r w:rsidR="00C9288C" w:rsidRPr="00485DD6">
        <w:rPr>
          <w:color w:val="1F497D" w:themeColor="text2"/>
        </w:rPr>
        <w:t xml:space="preserve"> </w:t>
      </w:r>
      <w:r w:rsidR="00753D23">
        <w:rPr>
          <w:color w:val="1F497D" w:themeColor="text2"/>
        </w:rPr>
        <w:t xml:space="preserve">racism and </w:t>
      </w:r>
      <w:r w:rsidR="00C9288C" w:rsidRPr="00485DD6">
        <w:rPr>
          <w:color w:val="1F497D" w:themeColor="text2"/>
        </w:rPr>
        <w:t xml:space="preserve">a pervasive alienated status, increased risk for gang affiliation and </w:t>
      </w:r>
      <w:r w:rsidR="00D54165" w:rsidRPr="00485DD6">
        <w:rPr>
          <w:color w:val="1F497D" w:themeColor="text2"/>
        </w:rPr>
        <w:t xml:space="preserve">a </w:t>
      </w:r>
      <w:r w:rsidR="0003451F" w:rsidRPr="00485DD6">
        <w:rPr>
          <w:color w:val="1F497D" w:themeColor="text2"/>
        </w:rPr>
        <w:t>gang lifestyle which wa</w:t>
      </w:r>
      <w:r w:rsidR="00C9288C" w:rsidRPr="00485DD6">
        <w:rPr>
          <w:color w:val="1F497D" w:themeColor="text2"/>
        </w:rPr>
        <w:t xml:space="preserve">s accepting of violence </w:t>
      </w:r>
      <w:r w:rsidR="00C9288C" w:rsidRPr="00485DD6">
        <w:rPr>
          <w:color w:val="1F497D" w:themeColor="text2"/>
        </w:rPr>
        <w:fldChar w:fldCharType="begin" w:fldLock="1"/>
      </w:r>
      <w:r w:rsidR="00F56BF0" w:rsidRPr="00485DD6">
        <w:rPr>
          <w:color w:val="1F497D" w:themeColor="text2"/>
        </w:rPr>
        <w:instrText>ADDIN CSL_CITATION { "citationItems" : [ { "id" : "ITEM-1", "itemData" : { "DOI" : "10.1016/j.avb.2010.01.003", "ISSN" : "13591789", "abstract" : "This article analyzes the problem of Vietnamese American youth gangs using Bronfenbrenner's ecological model. I first present a brief historical overview of Vietnamese migration to America, which is followed by examining risk factors that operate within five system levels: the micro-, meso-, exo-, macro-, and chrono- systems. Theories that explain relationships between the risk factors and gang involvement also are included. Finally, I draw implications for assessment, prevention, and intervention strategies at each systems level. \u00a9", "author" : [ { "dropping-particle" : "", "family" : "Hong", "given" : "Jun Sung", "non-dropping-particle" : "", "parse-names" : false, "suffix" : "" } ], "container-title" : "Aggression and Violent Behavior", "id" : "ITEM-1", "issue" : "4", "issued" : { "date-parts" : [ [ "2010", "7" ] ] }, "page" : "253-260", "publisher" : "Elsevier Ltd", "title" : "Understanding Vietnamese youth gangs in America: An ecological systems analysis", "type" : "article-journal", "volume" : "15" }, "uris" : [ "http://www.mendeley.com/documents/?uuid=6376811b-3ff7-47a9-9de5-fba089565cd8" ] } ], "mendeley" : { "formattedCitation" : "(Hong, 2010)", "plainTextFormattedCitation" : "(Hong, 2010)", "previouslyFormattedCitation" : "(Hong, 2010)" }, "properties" : { "noteIndex" : 0 }, "schema" : "https://github.com/citation-style-language/schema/raw/master/csl-citation.json" }</w:instrText>
      </w:r>
      <w:r w:rsidR="00C9288C" w:rsidRPr="00485DD6">
        <w:rPr>
          <w:color w:val="1F497D" w:themeColor="text2"/>
        </w:rPr>
        <w:fldChar w:fldCharType="separate"/>
      </w:r>
      <w:r w:rsidR="00C9288C" w:rsidRPr="00485DD6">
        <w:rPr>
          <w:noProof/>
          <w:color w:val="1F497D" w:themeColor="text2"/>
        </w:rPr>
        <w:t>(Hong, 2010)</w:t>
      </w:r>
      <w:r w:rsidR="00C9288C" w:rsidRPr="00485DD6">
        <w:rPr>
          <w:color w:val="1F497D" w:themeColor="text2"/>
        </w:rPr>
        <w:fldChar w:fldCharType="end"/>
      </w:r>
      <w:r w:rsidR="00C9288C" w:rsidRPr="00485DD6">
        <w:rPr>
          <w:color w:val="1F497D" w:themeColor="text2"/>
        </w:rPr>
        <w:t xml:space="preserve">. </w:t>
      </w:r>
      <w:r w:rsidR="00D54165" w:rsidRPr="00485DD6">
        <w:rPr>
          <w:color w:val="1F497D" w:themeColor="text2"/>
        </w:rPr>
        <w:t>The pathway from negative perceptions toward</w:t>
      </w:r>
      <w:r w:rsidR="00A41F60" w:rsidRPr="00485DD6">
        <w:rPr>
          <w:color w:val="1F497D" w:themeColor="text2"/>
        </w:rPr>
        <w:t>s</w:t>
      </w:r>
      <w:r w:rsidR="00D54165" w:rsidRPr="00485DD6">
        <w:rPr>
          <w:color w:val="1F497D" w:themeColor="text2"/>
        </w:rPr>
        <w:t xml:space="preserve"> actual violence </w:t>
      </w:r>
      <w:r w:rsidR="00753D23">
        <w:rPr>
          <w:color w:val="1F497D" w:themeColor="text2"/>
        </w:rPr>
        <w:t>may be mediated by</w:t>
      </w:r>
      <w:r w:rsidR="00D54165" w:rsidRPr="00485DD6">
        <w:rPr>
          <w:color w:val="1F497D" w:themeColor="text2"/>
        </w:rPr>
        <w:t xml:space="preserve"> pro-violence attitudes. These attitudes, characterized by the acceptance </w:t>
      </w:r>
      <w:r w:rsidR="00F44D76" w:rsidRPr="00485DD6">
        <w:rPr>
          <w:color w:val="1F497D" w:themeColor="text2"/>
        </w:rPr>
        <w:t xml:space="preserve">and support </w:t>
      </w:r>
      <w:r w:rsidR="00D54165" w:rsidRPr="00485DD6">
        <w:rPr>
          <w:color w:val="1F497D" w:themeColor="text2"/>
        </w:rPr>
        <w:t xml:space="preserve">of violence, </w:t>
      </w:r>
      <w:r w:rsidR="00A41F60" w:rsidRPr="00485DD6">
        <w:rPr>
          <w:color w:val="1F497D" w:themeColor="text2"/>
        </w:rPr>
        <w:t xml:space="preserve">are an established risk factor for actual violence </w:t>
      </w:r>
      <w:r w:rsidR="00736D7B" w:rsidRPr="00485DD6">
        <w:rPr>
          <w:color w:val="1F497D" w:themeColor="text2"/>
        </w:rPr>
        <w:fldChar w:fldCharType="begin" w:fldLock="1"/>
      </w:r>
      <w:r w:rsidR="00460AAA">
        <w:rPr>
          <w:color w:val="1F497D" w:themeColor="text2"/>
        </w:rPr>
        <w:instrText>ADDIN CSL_CITATION { "citationItems" : [ { "id" : "ITEM-1", "itemData" : { "author" : [ { "dropping-particle" : "", "family" : "Herrenkohl", "given" : "Todd I", "non-dropping-particle" : "", "parse-names" : false, "suffix" : "" }, { "dropping-particle" : "", "family" : "Maguin", "given" : "Eugene", "non-dropping-particle" : "", "parse-names" : false, "suffix" : "" }, { "dropping-particle" : "", "family" : "Hill", "given" : "Karl G", "non-dropping-particle" : "", "parse-names" : false, "suffix" : "" }, { "dropping-particle" : "", "family" : "Hawkins", "given" : "J David", "non-dropping-particle" : "", "parse-names" : false, "suffix" : "" }, { "dropping-particle" : "", "family" : "Abbott", "given" : "Robert", "non-dropping-particle" : "", "parse-names" : false, "suffix" : "" }, { "dropping-particle" : "", "family" : "Catalano", "given" : "Richard F", "non-dropping-particle" : "", "parse-names" : false, "suffix" : "" } ], "container-title" : "Journal of Adolescent Health", "id" : "ITEM-1", "issue" : "3", "issued" : { "date-parts" : [ [ "2000" ] ] }, "page" : "176-186", "publisher" : "Elsevier", "title" : "Developmental Risk Factors for Youth Violence", "type" : "article-journal", "volume" : "26" }, "uris" : [ "http://www.mendeley.com/documents/?uuid=91523de3-7fed-46fe-9ddd-7dc2af536493" ] }, { "id" : "ITEM-2", "itemData" : { "author" : [ { "dropping-particle" : "", "family" : "Hawkins", "given" : "David J", "non-dropping-particle" : "", "parse-names" : false, "suffix" : "" }, { "dropping-particle" : "", "family" : "Herrenkohl", "given" : "Todd I", "non-dropping-particle" : "", "parse-names" : false, "suffix" : "" }, { "dropping-particle" : "", "family" : "Farrington", "given" : "David P", "non-dropping-particle" : "", "parse-names" : false, "suffix" : "" }, { "dropping-particle" : "", "family" : "Brewer", "given" : "Devon", "non-dropping-particle" : "", "parse-names" : false, "suffix" : "" }, { "dropping-particle" : "", "family" : "Catalano", "given" : "Richard F", "non-dropping-particle" : "", "parse-names" : false, "suffix" : "" }, { "dropping-particle" : "", "family" : "Harachi", "given" : "Tracy W", "non-dropping-particle" : "", "parse-names" : false, "suffix" : "" } ], "container-title" : "Serious and violent juvenile offenders: Risk factors and successful interventions", "editor" : [ { "dropping-particle" : "", "family" : "Loeber", "given" : "Rolf", "non-dropping-particle" : "", "parse-names" : false, "suffix" : "" }, { "dropping-particle" : "", "family" : "Farrington", "given" : "David P", "non-dropping-particle" : "", "parse-names" : false, "suffix" : "" } ], "id" : "ITEM-2", "issued" : { "date-parts" : [ [ "1998" ] ] }, "page" : "106-146", "publisher" : "Sage Publications Inc.", "publisher-place" : "Thousand Oaks, US", "title" : "A review of predictors of youth violence", "type" : "chapter" }, "uris" : [ "http://www.mendeley.com/documents/?uuid=c50ce89f-23f7-4c6b-8ede-22e388ed060d" ] }, { "id" : "ITEM-3", "itemData" : { "author" : [ { "dropping-particle" : "", "family" : "West", "given" : "Donald J", "non-dropping-particle" : "", "parse-names" : false, "suffix" : "" }, { "dropping-particle" : "", "family" : "Farrington", "given" : "David P", "non-dropping-particle" : "", "parse-names" : false, "suffix" : "" } ], "id" : "ITEM-3", "issued" : { "date-parts" : [ [ "1977" ] ] }, "publisher" : "Heinemam", "publisher-place" : "London, UK", "title" : "The delinquent way of life", "type" : "book" }, "uris" : [ "http://www.mendeley.com/documents/?uuid=bc8991a9-6d23-4616-a5cc-913a9434371c" ] } ], "mendeley" : { "formattedCitation" : "(Hawkins et al., 1998; Herrenkohl et al., 2000; West and Farrington, 1977)", "plainTextFormattedCitation" : "(Hawkins et al., 1998; Herrenkohl et al., 2000; West and Farrington, 1977)", "previouslyFormattedCitation" : "(Hawkins et al., 1998; Herrenkohl et al., 2000; West and Farrington, 1977)" }, "properties" : { "noteIndex" : 0 }, "schema" : "https://github.com/citation-style-language/schema/raw/master/csl-citation.json" }</w:instrText>
      </w:r>
      <w:r w:rsidR="00736D7B" w:rsidRPr="00485DD6">
        <w:rPr>
          <w:color w:val="1F497D" w:themeColor="text2"/>
        </w:rPr>
        <w:fldChar w:fldCharType="separate"/>
      </w:r>
      <w:r w:rsidR="00753D23" w:rsidRPr="00753D23">
        <w:rPr>
          <w:noProof/>
          <w:color w:val="1F497D" w:themeColor="text2"/>
        </w:rPr>
        <w:t>(Hawkins et al., 1998; Herrenkohl et al., 2000; West and Farrington, 1977)</w:t>
      </w:r>
      <w:r w:rsidR="00736D7B" w:rsidRPr="00485DD6">
        <w:rPr>
          <w:color w:val="1F497D" w:themeColor="text2"/>
        </w:rPr>
        <w:fldChar w:fldCharType="end"/>
      </w:r>
      <w:r w:rsidR="00736D7B" w:rsidRPr="00485DD6">
        <w:rPr>
          <w:color w:val="1F497D" w:themeColor="text2"/>
        </w:rPr>
        <w:t xml:space="preserve">. Generally, attitudes that are supportive of law-breaking are stable covariates of offending </w:t>
      </w:r>
      <w:r w:rsidR="00736D7B" w:rsidRPr="00485DD6">
        <w:rPr>
          <w:color w:val="1F497D" w:themeColor="text2"/>
        </w:rPr>
        <w:fldChar w:fldCharType="begin" w:fldLock="1"/>
      </w:r>
      <w:r w:rsidR="00F56BF0" w:rsidRPr="00485DD6">
        <w:rPr>
          <w:color w:val="1F497D" w:themeColor="text2"/>
        </w:rPr>
        <w:instrText>ADDIN CSL_CITATION { "citationItems" : [ { "id" : "ITEM-1", "itemData" : { "DOI" : "10.1007/s10610-013-9205-7", "ISSN" : "0928-1371", "author" : [ { "dropping-particle" : "", "family" : "Pauwels", "given" : "Lieven J. R.", "non-dropping-particle" : "", "parse-names" : false, "suffix" : "" }, { "dropping-particle" : "", "family" : "Svensson", "given" : "Robert", "non-dropping-particle" : "", "parse-names" : false, "suffix" : "" } ], "container-title" : "European Journal on Criminal Policy and Research", "id" : "ITEM-1", "issue" : "4", "issued" : { "date-parts" : [ [ "2013", "2", "22" ] ] }, "page" : "369-386", "title" : "Violent Youth Group Involvement, Self-reported Offending and Victimisation: An Empirical Assessment of an Integrated Informal Control/Lifestyle Model", "type" : "article-journal", "volume" : "19" }, "uris" : [ "http://www.mendeley.com/documents/?uuid=f799b00f-e57f-4951-a32b-5a37fb9d1fcc" ] }, { "id" : "ITEM-2", "itemData" : { "author" : [ { "dropping-particle" : "", "family" : "Akers", "given" : "Ronald L", "non-dropping-particle" : "", "parse-names" : false, "suffix" : "" }, { "dropping-particle" : "", "family" : "Sellers", "given" : "Christine S", "non-dropping-particle" : "", "parse-names" : false, "suffix" : "" } ], "edition" : "4", "id" : "ITEM-2", "issued" : { "date-parts" : [ [ "2004" ] ] }, "publisher" : "Roxbury", "publisher-place" : "Los Angeles, US", "title" : "Criminological theories: Introduction, evaluation, and application", "type" : "book" }, "uris" : [ "http://www.mendeley.com/documents/?uuid=046a41a4-75e1-4292-a42c-e2ff499f4186" ] } ], "mendeley" : { "formattedCitation" : "(Akers and Sellers, 2004; Pauwels and Svensson, 2013)", "plainTextFormattedCitation" : "(Akers and Sellers, 2004; Pauwels and Svensson, 2013)", "previouslyFormattedCitation" : "(Akers and Sellers, 2004; Pauwels and Svensson, 2013)" }, "properties" : { "noteIndex" : 0 }, "schema" : "https://github.com/citation-style-language/schema/raw/master/csl-citation.json" }</w:instrText>
      </w:r>
      <w:r w:rsidR="00736D7B" w:rsidRPr="00485DD6">
        <w:rPr>
          <w:color w:val="1F497D" w:themeColor="text2"/>
        </w:rPr>
        <w:fldChar w:fldCharType="separate"/>
      </w:r>
      <w:r w:rsidR="00736D7B" w:rsidRPr="00485DD6">
        <w:rPr>
          <w:noProof/>
          <w:color w:val="1F497D" w:themeColor="text2"/>
        </w:rPr>
        <w:t>(Akers and Sellers, 2004; Pauwels and Svensson, 2013)</w:t>
      </w:r>
      <w:r w:rsidR="00736D7B" w:rsidRPr="00485DD6">
        <w:rPr>
          <w:color w:val="1F497D" w:themeColor="text2"/>
        </w:rPr>
        <w:fldChar w:fldCharType="end"/>
      </w:r>
      <w:r w:rsidR="00736D7B" w:rsidRPr="00485DD6">
        <w:rPr>
          <w:color w:val="1F497D" w:themeColor="text2"/>
        </w:rPr>
        <w:t xml:space="preserve">. </w:t>
      </w:r>
    </w:p>
    <w:p w14:paraId="6B0B9CC3" w14:textId="332AB595" w:rsidR="00EE635E" w:rsidRPr="00460AAA" w:rsidRDefault="0001699B" w:rsidP="00AF5F1A">
      <w:pPr>
        <w:spacing w:after="0" w:line="480" w:lineRule="auto"/>
        <w:ind w:firstLine="720"/>
        <w:contextualSpacing/>
        <w:jc w:val="both"/>
        <w:rPr>
          <w:color w:val="1F497D" w:themeColor="text2"/>
        </w:rPr>
      </w:pPr>
      <w:r w:rsidRPr="00485DD6">
        <w:rPr>
          <w:color w:val="1F497D" w:themeColor="text2"/>
        </w:rPr>
        <w:t>Pro-violence attitudes have</w:t>
      </w:r>
      <w:r w:rsidR="00F44D76" w:rsidRPr="00485DD6">
        <w:rPr>
          <w:color w:val="1F497D" w:themeColor="text2"/>
        </w:rPr>
        <w:t xml:space="preserve"> been</w:t>
      </w:r>
      <w:r w:rsidR="00736D7B" w:rsidRPr="00485DD6">
        <w:rPr>
          <w:color w:val="1F497D" w:themeColor="text2"/>
        </w:rPr>
        <w:t xml:space="preserve"> shown to be evident in serious</w:t>
      </w:r>
      <w:r w:rsidR="00F44D76" w:rsidRPr="00485DD6">
        <w:rPr>
          <w:color w:val="1F497D" w:themeColor="text2"/>
        </w:rPr>
        <w:t>,</w:t>
      </w:r>
      <w:r w:rsidR="00736D7B" w:rsidRPr="00485DD6">
        <w:rPr>
          <w:color w:val="1F497D" w:themeColor="text2"/>
        </w:rPr>
        <w:t xml:space="preserve"> </w:t>
      </w:r>
      <w:r w:rsidR="00F44D76" w:rsidRPr="00485DD6">
        <w:rPr>
          <w:color w:val="1F497D" w:themeColor="text2"/>
        </w:rPr>
        <w:t xml:space="preserve">violent, and chronic offenders </w:t>
      </w:r>
      <w:r w:rsidR="00736D7B" w:rsidRPr="00485DD6">
        <w:rPr>
          <w:color w:val="1F497D" w:themeColor="text2"/>
        </w:rPr>
        <w:t xml:space="preserve">and predicted their reoffending </w:t>
      </w:r>
      <w:r w:rsidR="00F44D76" w:rsidRPr="00485DD6">
        <w:rPr>
          <w:color w:val="1F497D" w:themeColor="text2"/>
        </w:rPr>
        <w:fldChar w:fldCharType="begin" w:fldLock="1"/>
      </w:r>
      <w:r w:rsidR="00F56BF0" w:rsidRPr="00485DD6">
        <w:rPr>
          <w:color w:val="1F497D" w:themeColor="text2"/>
        </w:rPr>
        <w:instrText>ADDIN CSL_CITATION { "citationItems" : [ { "id" : "ITEM-1", "itemData" : { "DOI" : "10.1111/1745-9133.12064", "ISSN" : "15386473", "author" : [ { "dropping-particle" : "", "family" : "Baglivio", "given" : "Michael T.", "non-dropping-particle" : "", "parse-names" : false, "suffix" : "" }, { "dropping-particle" : "", "family" : "Jackowski", "given" : "Katherine", "non-dropping-particle" : "", "parse-names" : false, "suffix" : "" }, { "dropping-particle" : "", "family" : "Greenwald", "given" : "Mark a.", "non-dropping-particle" : "", "parse-names" : false, "suffix" : "" }, { "dropping-particle" : "", "family" : "Howell", "given" : "James C.", "non-dropping-particle" : "", "parse-names" : false, "suffix" : "" } ], "container-title" : "Criminology &amp; Public Policy", "id" : "ITEM-1", "issue" : "1", "issued" : { "date-parts" : [ [ "2014", "2", "17" ] ] }, "page" : "1-34", "title" : "Serious, violent, and chronic juvenile offenders: A statewide analysis of prevalence and prediction of subsequent recidivism using risk and protectice factors", "type" : "article-journal", "volume" : "13" }, "uris" : [ "http://www.mendeley.com/documents/?uuid=551c6ca1-1ed1-4e37-aa52-0c0c80dbcf33" ] } ], "mendeley" : { "formattedCitation" : "(Baglivio et al., 2014)", "plainTextFormattedCitation" : "(Baglivio et al., 2014)", "previouslyFormattedCitation" : "(Baglivio et al., 2014)" }, "properties" : { "noteIndex" : 0 }, "schema" : "https://github.com/citation-style-language/schema/raw/master/csl-citation.json" }</w:instrText>
      </w:r>
      <w:r w:rsidR="00F44D76" w:rsidRPr="00485DD6">
        <w:rPr>
          <w:color w:val="1F497D" w:themeColor="text2"/>
        </w:rPr>
        <w:fldChar w:fldCharType="separate"/>
      </w:r>
      <w:r w:rsidR="00743086" w:rsidRPr="00485DD6">
        <w:rPr>
          <w:noProof/>
          <w:color w:val="1F497D" w:themeColor="text2"/>
        </w:rPr>
        <w:t>(Baglivio et al., 2014)</w:t>
      </w:r>
      <w:r w:rsidR="00F44D76" w:rsidRPr="00485DD6">
        <w:rPr>
          <w:color w:val="1F497D" w:themeColor="text2"/>
        </w:rPr>
        <w:fldChar w:fldCharType="end"/>
      </w:r>
      <w:r w:rsidR="00743086" w:rsidRPr="00485DD6">
        <w:rPr>
          <w:color w:val="1F497D" w:themeColor="text2"/>
        </w:rPr>
        <w:t xml:space="preserve">. Further, </w:t>
      </w:r>
      <w:r w:rsidR="0003451F" w:rsidRPr="00485DD6">
        <w:rPr>
          <w:color w:val="1F497D" w:themeColor="text2"/>
        </w:rPr>
        <w:fldChar w:fldCharType="begin" w:fldLock="1"/>
      </w:r>
      <w:r w:rsidR="0003451F" w:rsidRPr="00485DD6">
        <w:rPr>
          <w:color w:val="1F497D" w:themeColor="text2"/>
        </w:rPr>
        <w:instrText>ADDIN CSL_CITATION { "citationItems" : [ { "id" : "ITEM-1", "itemData" : { "DOI" : "10.1177/1477370808090835", "ISBN" : "1477370808090", "ISSN" : "1477-3708", "author" : [ { "dropping-particle" : "", "family" : "Wikstr\u00f6m", "given" : "Per-Olef H", "non-dropping-particle" : "", "parse-names" : false, "suffix" : "" }, { "dropping-particle" : "", "family" : "Svensson", "given" : "Robert", "non-dropping-particle" : "", "parse-names" : false, "suffix" : "" } ], "container-title" : "European Journal of Criminology", "id" : "ITEM-1", "issue" : "3", "issued" : { "date-parts" : [ [ "2008", "7", "1" ] ] }, "page" : "309-330", "title" : "Why are English Youths More Violent Than Swedish Youths?: A Comparative Study of the Role of Crime Propensity, Lifestyles and Their Interactions in Two Cities", "type" : "article-journal", "volume" : "5" }, "uris" : [ "http://www.mendeley.com/documents/?uuid=f5a12cc2-9e33-44ec-b8f5-4e466ef8f4e0" ] } ], "mendeley" : { "formattedCitation" : "(Wikstr\u00f6m and Svensson, 2008)", "manualFormatting" : "Wikstr\u00f6m and Svensson (2008)", "plainTextFormattedCitation" : "(Wikstr\u00f6m and Svensson, 2008)", "previouslyFormattedCitation" : "(Wikstr\u00f6m and Svensson, 2008)" }, "properties" : { "noteIndex" : 0 }, "schema" : "https://github.com/citation-style-language/schema/raw/master/csl-citation.json" }</w:instrText>
      </w:r>
      <w:r w:rsidR="0003451F" w:rsidRPr="00485DD6">
        <w:rPr>
          <w:color w:val="1F497D" w:themeColor="text2"/>
        </w:rPr>
        <w:fldChar w:fldCharType="separate"/>
      </w:r>
      <w:r w:rsidR="0003451F" w:rsidRPr="00485DD6">
        <w:rPr>
          <w:noProof/>
          <w:color w:val="1F497D" w:themeColor="text2"/>
        </w:rPr>
        <w:t>Wikström and Svensson (2008)</w:t>
      </w:r>
      <w:r w:rsidR="0003451F" w:rsidRPr="00485DD6">
        <w:rPr>
          <w:color w:val="1F497D" w:themeColor="text2"/>
        </w:rPr>
        <w:fldChar w:fldCharType="end"/>
      </w:r>
      <w:r w:rsidR="00F44D76" w:rsidRPr="00485DD6">
        <w:rPr>
          <w:color w:val="1F497D" w:themeColor="text2"/>
        </w:rPr>
        <w:t xml:space="preserve"> </w:t>
      </w:r>
      <w:r w:rsidR="00743086" w:rsidRPr="00485DD6">
        <w:rPr>
          <w:color w:val="1F497D" w:themeColor="text2"/>
        </w:rPr>
        <w:t>believed that the higher level of youth violence in England compared to Sweden could be part</w:t>
      </w:r>
      <w:r w:rsidR="00753D23">
        <w:rPr>
          <w:color w:val="1F497D" w:themeColor="text2"/>
        </w:rPr>
        <w:t>ly explained by the population</w:t>
      </w:r>
      <w:r w:rsidR="00743086" w:rsidRPr="00485DD6">
        <w:rPr>
          <w:color w:val="1F497D" w:themeColor="text2"/>
        </w:rPr>
        <w:t xml:space="preserve"> general attitudes </w:t>
      </w:r>
      <w:r w:rsidR="00753D23">
        <w:rPr>
          <w:color w:val="1F497D" w:themeColor="text2"/>
        </w:rPr>
        <w:t xml:space="preserve">that were </w:t>
      </w:r>
      <w:r w:rsidR="00743086" w:rsidRPr="00485DD6">
        <w:rPr>
          <w:color w:val="1F497D" w:themeColor="text2"/>
        </w:rPr>
        <w:t xml:space="preserve">supportive of violence in settling disputes and responding to provocations. Although pro-violence attitudes </w:t>
      </w:r>
      <w:r w:rsidR="00753D23">
        <w:rPr>
          <w:color w:val="1F497D" w:themeColor="text2"/>
        </w:rPr>
        <w:t>have</w:t>
      </w:r>
      <w:r w:rsidRPr="00485DD6">
        <w:rPr>
          <w:color w:val="1F497D" w:themeColor="text2"/>
        </w:rPr>
        <w:t xml:space="preserve"> not been </w:t>
      </w:r>
      <w:r w:rsidR="00753D23">
        <w:rPr>
          <w:color w:val="1F497D" w:themeColor="text2"/>
        </w:rPr>
        <w:t>an important risk</w:t>
      </w:r>
      <w:r w:rsidRPr="00485DD6">
        <w:rPr>
          <w:color w:val="1F497D" w:themeColor="text2"/>
        </w:rPr>
        <w:t xml:space="preserve"> factor studied in violence research, </w:t>
      </w:r>
      <w:r w:rsidR="00C53836" w:rsidRPr="00485DD6">
        <w:rPr>
          <w:color w:val="1F497D" w:themeColor="text2"/>
        </w:rPr>
        <w:t xml:space="preserve">there is substantial </w:t>
      </w:r>
      <w:r w:rsidRPr="00485DD6">
        <w:rPr>
          <w:color w:val="1F497D" w:themeColor="text2"/>
        </w:rPr>
        <w:t xml:space="preserve">evidence </w:t>
      </w:r>
      <w:r w:rsidR="00C53836" w:rsidRPr="00485DD6">
        <w:rPr>
          <w:color w:val="1F497D" w:themeColor="text2"/>
        </w:rPr>
        <w:t xml:space="preserve">that </w:t>
      </w:r>
      <w:r w:rsidRPr="00485DD6">
        <w:rPr>
          <w:color w:val="1F497D" w:themeColor="text2"/>
        </w:rPr>
        <w:t xml:space="preserve">shows that </w:t>
      </w:r>
      <w:r w:rsidR="0031273E">
        <w:rPr>
          <w:color w:val="1F497D" w:themeColor="text2"/>
        </w:rPr>
        <w:t>they are related to actual violence (e.g., West and Farrington, 1977), and</w:t>
      </w:r>
      <w:r w:rsidRPr="00485DD6">
        <w:rPr>
          <w:color w:val="1F497D" w:themeColor="text2"/>
        </w:rPr>
        <w:t xml:space="preserve"> may </w:t>
      </w:r>
      <w:r w:rsidR="00EE05C1" w:rsidRPr="00485DD6">
        <w:rPr>
          <w:color w:val="1F497D" w:themeColor="text2"/>
        </w:rPr>
        <w:t xml:space="preserve">be </w:t>
      </w:r>
      <w:r w:rsidR="0031273E">
        <w:rPr>
          <w:color w:val="1F497D" w:themeColor="text2"/>
        </w:rPr>
        <w:t>the mechanism through</w:t>
      </w:r>
      <w:r w:rsidRPr="00485DD6">
        <w:rPr>
          <w:color w:val="1F497D" w:themeColor="text2"/>
        </w:rPr>
        <w:t xml:space="preserve"> which ne</w:t>
      </w:r>
      <w:r w:rsidR="0031273E">
        <w:rPr>
          <w:color w:val="1F497D" w:themeColor="text2"/>
        </w:rPr>
        <w:t>gative perceptions are</w:t>
      </w:r>
      <w:r w:rsidR="00EE05C1" w:rsidRPr="00485DD6">
        <w:rPr>
          <w:color w:val="1F497D" w:themeColor="text2"/>
        </w:rPr>
        <w:t xml:space="preserve"> linked to </w:t>
      </w:r>
      <w:r w:rsidRPr="00485DD6">
        <w:rPr>
          <w:color w:val="1F497D" w:themeColor="text2"/>
        </w:rPr>
        <w:t xml:space="preserve">violence.   </w:t>
      </w:r>
    </w:p>
    <w:p w14:paraId="7D778B70" w14:textId="77777777" w:rsidR="00AA2450" w:rsidRPr="00485DD6" w:rsidRDefault="00AA2450" w:rsidP="008B6437">
      <w:pPr>
        <w:spacing w:line="480" w:lineRule="auto"/>
        <w:jc w:val="both"/>
        <w:outlineLvl w:val="0"/>
        <w:rPr>
          <w:i/>
        </w:rPr>
      </w:pPr>
      <w:r w:rsidRPr="00485DD6">
        <w:rPr>
          <w:i/>
        </w:rPr>
        <w:t>Key Questions</w:t>
      </w:r>
    </w:p>
    <w:p w14:paraId="32DE4059" w14:textId="21F50075" w:rsidR="00D305C1" w:rsidRPr="00485DD6" w:rsidRDefault="00AA2450" w:rsidP="008B6437">
      <w:pPr>
        <w:spacing w:line="480" w:lineRule="auto"/>
        <w:ind w:firstLine="720"/>
        <w:jc w:val="both"/>
      </w:pPr>
      <w:r w:rsidRPr="00485DD6">
        <w:lastRenderedPageBreak/>
        <w:t xml:space="preserve">The present study </w:t>
      </w:r>
      <w:r w:rsidR="0031273E">
        <w:t>measures</w:t>
      </w:r>
      <w:r w:rsidR="00D305C1" w:rsidRPr="00485DD6">
        <w:t xml:space="preserve"> relevant risk factors for violence to </w:t>
      </w:r>
      <w:r w:rsidRPr="00485DD6">
        <w:t>f</w:t>
      </w:r>
      <w:r w:rsidR="00D305C1" w:rsidRPr="00485DD6">
        <w:t>ocus</w:t>
      </w:r>
      <w:r w:rsidRPr="00485DD6">
        <w:t xml:space="preserve"> </w:t>
      </w:r>
      <w:r w:rsidR="00C53836" w:rsidRPr="00485DD6">
        <w:t>on whether negative perceptions may contribute to understanding the between</w:t>
      </w:r>
      <w:r w:rsidR="0031273E">
        <w:t>-generations</w:t>
      </w:r>
      <w:r w:rsidR="00C53836" w:rsidRPr="00485DD6">
        <w:t xml:space="preserve"> differences in violence. </w:t>
      </w:r>
      <w:r w:rsidR="0031273E">
        <w:t>Based on</w:t>
      </w:r>
      <w:r w:rsidR="00CB3E4E" w:rsidRPr="00485DD6">
        <w:t xml:space="preserve"> the literature, it is theorized that pro-violence attitudes would be related to and be higher in second-generation immigrants </w:t>
      </w:r>
      <w:r w:rsidR="00B55E1C" w:rsidRPr="00485DD6">
        <w:t xml:space="preserve">than first-generation immigrants, </w:t>
      </w:r>
      <w:r w:rsidR="00CB3E4E" w:rsidRPr="00485DD6">
        <w:t xml:space="preserve">and that negative perceptions </w:t>
      </w:r>
      <w:r w:rsidR="0031273E">
        <w:t>would mediate the</w:t>
      </w:r>
      <w:r w:rsidR="00CB3E4E" w:rsidRPr="00485DD6">
        <w:t xml:space="preserve"> relationship</w:t>
      </w:r>
      <w:r w:rsidR="0031273E">
        <w:t xml:space="preserve"> between pro-violence attitudes and violence</w:t>
      </w:r>
      <w:r w:rsidR="00CB3E4E" w:rsidRPr="00485DD6">
        <w:t xml:space="preserve">. </w:t>
      </w:r>
      <w:r w:rsidR="0031273E">
        <w:t xml:space="preserve">The key questions addressed in </w:t>
      </w:r>
      <w:r w:rsidR="00C51FEF" w:rsidRPr="00485DD6">
        <w:t>this research are the following:</w:t>
      </w:r>
    </w:p>
    <w:p w14:paraId="0A0647CE" w14:textId="2951B059" w:rsidR="00AA2450" w:rsidRPr="00485DD6" w:rsidRDefault="00ED20CD" w:rsidP="008B6437">
      <w:pPr>
        <w:pStyle w:val="ListParagraph"/>
        <w:numPr>
          <w:ilvl w:val="0"/>
          <w:numId w:val="1"/>
        </w:numPr>
        <w:spacing w:line="480" w:lineRule="auto"/>
        <w:jc w:val="both"/>
        <w:rPr>
          <w:rFonts w:ascii="Times New Roman" w:hAnsi="Times New Roman" w:cs="Times New Roman"/>
          <w:color w:val="1F497D" w:themeColor="text2"/>
        </w:rPr>
      </w:pPr>
      <w:r>
        <w:rPr>
          <w:rFonts w:ascii="Times New Roman" w:hAnsi="Times New Roman" w:cs="Times New Roman"/>
          <w:color w:val="1F497D" w:themeColor="text2"/>
        </w:rPr>
        <w:t>Are pro-violence</w:t>
      </w:r>
      <w:r w:rsidR="00AA2450" w:rsidRPr="00485DD6">
        <w:rPr>
          <w:rFonts w:ascii="Times New Roman" w:hAnsi="Times New Roman" w:cs="Times New Roman"/>
          <w:color w:val="1F497D" w:themeColor="text2"/>
        </w:rPr>
        <w:t xml:space="preserve"> attitudes greater for </w:t>
      </w:r>
      <w:r w:rsidR="00D305C1" w:rsidRPr="00485DD6">
        <w:rPr>
          <w:rFonts w:ascii="Times New Roman" w:hAnsi="Times New Roman" w:cs="Times New Roman"/>
          <w:color w:val="1F497D" w:themeColor="text2"/>
        </w:rPr>
        <w:t>second-</w:t>
      </w:r>
      <w:r w:rsidR="00AA2450" w:rsidRPr="00485DD6">
        <w:rPr>
          <w:rFonts w:ascii="Times New Roman" w:hAnsi="Times New Roman" w:cs="Times New Roman"/>
          <w:color w:val="1F497D" w:themeColor="text2"/>
        </w:rPr>
        <w:t xml:space="preserve">generation immigrants than for </w:t>
      </w:r>
      <w:r w:rsidR="00D305C1" w:rsidRPr="00485DD6">
        <w:rPr>
          <w:rFonts w:ascii="Times New Roman" w:hAnsi="Times New Roman" w:cs="Times New Roman"/>
          <w:color w:val="1F497D" w:themeColor="text2"/>
        </w:rPr>
        <w:t>first-generation immigrants?</w:t>
      </w:r>
    </w:p>
    <w:p w14:paraId="2DFD5C30" w14:textId="3BFA80B4" w:rsidR="00AA2450" w:rsidRPr="00485DD6" w:rsidRDefault="0002217C" w:rsidP="008B6437">
      <w:pPr>
        <w:pStyle w:val="ListParagraph"/>
        <w:numPr>
          <w:ilvl w:val="0"/>
          <w:numId w:val="1"/>
        </w:numPr>
        <w:spacing w:line="480" w:lineRule="auto"/>
        <w:jc w:val="both"/>
        <w:rPr>
          <w:rFonts w:ascii="Times New Roman" w:hAnsi="Times New Roman" w:cs="Times New Roman"/>
          <w:color w:val="1F497D" w:themeColor="text2"/>
        </w:rPr>
      </w:pPr>
      <w:r w:rsidRPr="00485DD6">
        <w:rPr>
          <w:rFonts w:ascii="Times New Roman" w:hAnsi="Times New Roman" w:cs="Times New Roman"/>
          <w:color w:val="1F497D" w:themeColor="text2"/>
        </w:rPr>
        <w:t>Do negative perceptions</w:t>
      </w:r>
      <w:r w:rsidR="00C51FEF" w:rsidRPr="00485DD6">
        <w:rPr>
          <w:rFonts w:ascii="Times New Roman" w:hAnsi="Times New Roman" w:cs="Times New Roman"/>
          <w:color w:val="1F497D" w:themeColor="text2"/>
        </w:rPr>
        <w:t xml:space="preserve"> mediate</w:t>
      </w:r>
      <w:r w:rsidR="00AA2450" w:rsidRPr="00485DD6">
        <w:rPr>
          <w:rFonts w:ascii="Times New Roman" w:hAnsi="Times New Roman" w:cs="Times New Roman"/>
          <w:color w:val="1F497D" w:themeColor="text2"/>
        </w:rPr>
        <w:t xml:space="preserve"> the relationship between generational status and pro-violent attitudes</w:t>
      </w:r>
      <w:r w:rsidR="00B55E1C" w:rsidRPr="00485DD6">
        <w:rPr>
          <w:rFonts w:ascii="Times New Roman" w:hAnsi="Times New Roman" w:cs="Times New Roman"/>
          <w:color w:val="1F497D" w:themeColor="text2"/>
        </w:rPr>
        <w:t>,</w:t>
      </w:r>
      <w:r w:rsidR="00C51FEF" w:rsidRPr="00485DD6">
        <w:rPr>
          <w:rFonts w:ascii="Times New Roman" w:hAnsi="Times New Roman" w:cs="Times New Roman"/>
          <w:color w:val="1F497D" w:themeColor="text2"/>
        </w:rPr>
        <w:t xml:space="preserve"> considering other factors related to acculturation</w:t>
      </w:r>
      <w:r w:rsidR="00AA2450" w:rsidRPr="00485DD6">
        <w:rPr>
          <w:rFonts w:ascii="Times New Roman" w:hAnsi="Times New Roman" w:cs="Times New Roman"/>
          <w:color w:val="1F497D" w:themeColor="text2"/>
        </w:rPr>
        <w:t>?</w:t>
      </w:r>
    </w:p>
    <w:p w14:paraId="1B0974C7" w14:textId="2A3AAC6E" w:rsidR="00116CE5" w:rsidRPr="00485DD6" w:rsidRDefault="00C51FEF" w:rsidP="008B6437">
      <w:pPr>
        <w:pStyle w:val="ListParagraph"/>
        <w:numPr>
          <w:ilvl w:val="0"/>
          <w:numId w:val="1"/>
        </w:numPr>
        <w:spacing w:line="480" w:lineRule="auto"/>
        <w:jc w:val="both"/>
        <w:rPr>
          <w:rFonts w:ascii="Times New Roman" w:hAnsi="Times New Roman" w:cs="Times New Roman"/>
          <w:color w:val="1F497D" w:themeColor="text2"/>
        </w:rPr>
      </w:pPr>
      <w:r w:rsidRPr="00485DD6">
        <w:rPr>
          <w:rFonts w:ascii="Times New Roman" w:hAnsi="Times New Roman" w:cs="Times New Roman"/>
          <w:color w:val="1F497D" w:themeColor="text2"/>
        </w:rPr>
        <w:t xml:space="preserve">If so, which </w:t>
      </w:r>
      <w:r w:rsidR="000310E5" w:rsidRPr="00485DD6">
        <w:rPr>
          <w:rFonts w:ascii="Times New Roman" w:hAnsi="Times New Roman" w:cs="Times New Roman"/>
          <w:color w:val="1F497D" w:themeColor="text2"/>
        </w:rPr>
        <w:t xml:space="preserve">type of negative perception specifically mediates this relationship? </w:t>
      </w:r>
    </w:p>
    <w:p w14:paraId="27F5CF2E" w14:textId="77777777" w:rsidR="00116CE5" w:rsidRPr="00485DD6" w:rsidRDefault="00116CE5" w:rsidP="008B6437">
      <w:pPr>
        <w:pStyle w:val="ListParagraph"/>
        <w:spacing w:line="480" w:lineRule="auto"/>
        <w:jc w:val="both"/>
        <w:rPr>
          <w:rFonts w:ascii="Times New Roman" w:hAnsi="Times New Roman" w:cs="Times New Roman"/>
        </w:rPr>
      </w:pPr>
    </w:p>
    <w:p w14:paraId="0E1991D3" w14:textId="77777777" w:rsidR="00116CE5" w:rsidRPr="00485DD6" w:rsidRDefault="00116CE5" w:rsidP="008B6437">
      <w:pPr>
        <w:spacing w:after="0" w:line="480" w:lineRule="auto"/>
        <w:contextualSpacing/>
        <w:jc w:val="both"/>
        <w:outlineLvl w:val="0"/>
        <w:rPr>
          <w:b/>
        </w:rPr>
      </w:pPr>
      <w:r w:rsidRPr="00485DD6">
        <w:rPr>
          <w:b/>
        </w:rPr>
        <w:t>Methodology</w:t>
      </w:r>
    </w:p>
    <w:p w14:paraId="5BA4172B" w14:textId="6F95B2B9" w:rsidR="00116CE5" w:rsidRPr="00485DD6" w:rsidRDefault="00ED20CD" w:rsidP="008B6437">
      <w:pPr>
        <w:spacing w:after="0" w:line="480" w:lineRule="auto"/>
        <w:ind w:firstLine="720"/>
        <w:contextualSpacing/>
        <w:jc w:val="both"/>
        <w:rPr>
          <w:rFonts w:eastAsia="Times New Roman"/>
          <w:color w:val="1F497D" w:themeColor="text2"/>
        </w:rPr>
      </w:pPr>
      <w:r>
        <w:rPr>
          <w:color w:val="1F497D" w:themeColor="text2"/>
        </w:rPr>
        <w:t>Information</w:t>
      </w:r>
      <w:r w:rsidR="00116CE5" w:rsidRPr="00485DD6">
        <w:rPr>
          <w:color w:val="1F497D" w:themeColor="text2"/>
        </w:rPr>
        <w:t xml:space="preserve"> </w:t>
      </w:r>
      <w:r>
        <w:rPr>
          <w:color w:val="1F497D" w:themeColor="text2"/>
        </w:rPr>
        <w:t>to answer the key questions was</w:t>
      </w:r>
      <w:r w:rsidR="00116CE5" w:rsidRPr="00485DD6">
        <w:rPr>
          <w:color w:val="1F497D" w:themeColor="text2"/>
        </w:rPr>
        <w:t xml:space="preserve"> taken from the 2010-2011 UK Citizenship Survey (Communities Study; </w:t>
      </w:r>
      <w:r w:rsidR="0042145F" w:rsidRPr="00485DD6">
        <w:rPr>
          <w:rFonts w:eastAsia="Times New Roman"/>
          <w:color w:val="1F497D" w:themeColor="text2"/>
        </w:rPr>
        <w:fldChar w:fldCharType="begin" w:fldLock="1"/>
      </w:r>
      <w:r w:rsidR="00AF5F1A">
        <w:rPr>
          <w:rFonts w:eastAsia="Times New Roman"/>
          <w:color w:val="1F497D" w:themeColor="text2"/>
        </w:rPr>
        <w:instrText>ADDIN CSL_CITATION { "citationItems" : [ { "id" : "ITEM-1", "itemData" : { "author" : [ { "dropping-particle" : "", "family" : "Department for Communities and Local Government and Ipsos MORI", "given" : "", "non-dropping-particle" : "", "parse-names" : false, "suffix" : "" } ], "id" : "ITEM-1", "issued" : { "date-parts" : [ [ "2012" ] ] }, "publisher" : "UK Data Archive", "publisher-place" : "Colchester, Essex", "title" : "Citizenship survey, 2010-2011 [computer file]", "type" : "article" }, "uris" : [ "http://www.mendeley.com/documents/?uuid=f0885fcb-ee37-4bd8-9aee-23ef21a650be" ] } ], "mendeley" : { "formattedCitation" : "(Department for Communities and Local Government and Ipsos MORI, 2012)", "manualFormatting" : "Department for Communities and Local Government and Ipsos MORI, 2012)", "plainTextFormattedCitation" : "(Department for Communities and Local Government and Ipsos MORI, 2012)", "previouslyFormattedCitation" : "(Department for Communities and Local Government and Ipsos MORI, 2012)" }, "properties" : { "noteIndex" : 0 }, "schema" : "https://github.com/citation-style-language/schema/raw/master/csl-citation.json" }</w:instrText>
      </w:r>
      <w:r w:rsidR="0042145F" w:rsidRPr="00485DD6">
        <w:rPr>
          <w:rFonts w:eastAsia="Times New Roman"/>
          <w:color w:val="1F497D" w:themeColor="text2"/>
        </w:rPr>
        <w:fldChar w:fldCharType="separate"/>
      </w:r>
      <w:r w:rsidR="0042145F" w:rsidRPr="00485DD6">
        <w:rPr>
          <w:rFonts w:eastAsia="Times New Roman"/>
          <w:noProof/>
          <w:color w:val="1F497D" w:themeColor="text2"/>
        </w:rPr>
        <w:t>Department for Communities and Local</w:t>
      </w:r>
      <w:r w:rsidR="00B16AB4">
        <w:rPr>
          <w:rFonts w:eastAsia="Times New Roman"/>
          <w:noProof/>
          <w:color w:val="1F497D" w:themeColor="text2"/>
        </w:rPr>
        <w:t xml:space="preserve"> Government and Ipsos MORI, 2012</w:t>
      </w:r>
      <w:r w:rsidR="0042145F" w:rsidRPr="00485DD6">
        <w:rPr>
          <w:rFonts w:eastAsia="Times New Roman"/>
          <w:noProof/>
          <w:color w:val="1F497D" w:themeColor="text2"/>
        </w:rPr>
        <w:t>)</w:t>
      </w:r>
      <w:r w:rsidR="0042145F" w:rsidRPr="00485DD6">
        <w:rPr>
          <w:rFonts w:eastAsia="Times New Roman"/>
          <w:color w:val="1F497D" w:themeColor="text2"/>
        </w:rPr>
        <w:fldChar w:fldCharType="end"/>
      </w:r>
      <w:r w:rsidR="00116CE5" w:rsidRPr="00485DD6">
        <w:rPr>
          <w:rFonts w:eastAsia="Times New Roman"/>
          <w:color w:val="1F497D" w:themeColor="text2"/>
        </w:rPr>
        <w:t xml:space="preserve">.  The </w:t>
      </w:r>
      <w:r>
        <w:rPr>
          <w:rFonts w:eastAsia="Times New Roman"/>
          <w:color w:val="1F497D" w:themeColor="text2"/>
        </w:rPr>
        <w:t>purposes of this</w:t>
      </w:r>
      <w:r w:rsidR="00936FCA" w:rsidRPr="00485DD6">
        <w:rPr>
          <w:rFonts w:eastAsia="Times New Roman"/>
          <w:color w:val="1F497D" w:themeColor="text2"/>
        </w:rPr>
        <w:t xml:space="preserve"> national government survey was to interview participants face-to-face and gather</w:t>
      </w:r>
      <w:r w:rsidR="00116CE5" w:rsidRPr="00485DD6">
        <w:rPr>
          <w:rFonts w:eastAsia="Times New Roman"/>
          <w:color w:val="1F497D" w:themeColor="text2"/>
        </w:rPr>
        <w:t xml:space="preserve"> information on collective efficacy, racial, ethnic and religious harassment, race equality</w:t>
      </w:r>
      <w:r w:rsidR="00C355DA" w:rsidRPr="00485DD6">
        <w:rPr>
          <w:rFonts w:eastAsia="Times New Roman"/>
          <w:color w:val="1F497D" w:themeColor="text2"/>
        </w:rPr>
        <w:t>,</w:t>
      </w:r>
      <w:r w:rsidR="00116CE5" w:rsidRPr="00485DD6">
        <w:rPr>
          <w:rFonts w:eastAsia="Times New Roman"/>
          <w:color w:val="1F497D" w:themeColor="text2"/>
        </w:rPr>
        <w:t xml:space="preserve"> and social networks. </w:t>
      </w:r>
      <w:r w:rsidR="009414FF" w:rsidRPr="00485DD6">
        <w:rPr>
          <w:rFonts w:eastAsia="Times New Roman"/>
          <w:color w:val="1F497D" w:themeColor="text2"/>
        </w:rPr>
        <w:t>The survey was initiated by the Home Office and</w:t>
      </w:r>
      <w:r w:rsidR="00116CE5" w:rsidRPr="00485DD6">
        <w:rPr>
          <w:rFonts w:eastAsia="Times New Roman"/>
          <w:color w:val="1F497D" w:themeColor="text2"/>
        </w:rPr>
        <w:t xml:space="preserve"> </w:t>
      </w:r>
      <w:r w:rsidR="00FB3B3D" w:rsidRPr="00485DD6">
        <w:rPr>
          <w:rFonts w:eastAsia="Times New Roman"/>
          <w:color w:val="1F497D" w:themeColor="text2"/>
        </w:rPr>
        <w:t xml:space="preserve">comprised 3 subsamples: </w:t>
      </w:r>
      <w:r w:rsidR="00116CE5" w:rsidRPr="00485DD6">
        <w:rPr>
          <w:rFonts w:eastAsia="Times New Roman"/>
          <w:color w:val="1F497D" w:themeColor="text2"/>
        </w:rPr>
        <w:t xml:space="preserve">(1) the main representative sample </w:t>
      </w:r>
      <w:r w:rsidR="009414FF" w:rsidRPr="00485DD6">
        <w:rPr>
          <w:rFonts w:eastAsia="Times New Roman"/>
          <w:color w:val="1F497D" w:themeColor="text2"/>
        </w:rPr>
        <w:t>(N=</w:t>
      </w:r>
      <w:r w:rsidR="00C355DA" w:rsidRPr="00485DD6">
        <w:rPr>
          <w:rFonts w:eastAsia="Times New Roman"/>
          <w:color w:val="1F497D" w:themeColor="text2"/>
        </w:rPr>
        <w:t>10,307</w:t>
      </w:r>
      <w:r w:rsidR="009414FF" w:rsidRPr="00485DD6">
        <w:rPr>
          <w:rFonts w:eastAsia="Times New Roman"/>
          <w:color w:val="1F497D" w:themeColor="text2"/>
        </w:rPr>
        <w:t>) of</w:t>
      </w:r>
      <w:r w:rsidR="00116CE5" w:rsidRPr="00485DD6">
        <w:rPr>
          <w:rFonts w:eastAsia="Times New Roman"/>
          <w:color w:val="1F497D" w:themeColor="text2"/>
        </w:rPr>
        <w:t xml:space="preserve"> adults in Engl</w:t>
      </w:r>
      <w:r w:rsidR="00FB3B3D" w:rsidRPr="00485DD6">
        <w:rPr>
          <w:rFonts w:eastAsia="Times New Roman"/>
          <w:color w:val="1F497D" w:themeColor="text2"/>
        </w:rPr>
        <w:t>and and Wales, ages 16 and over</w:t>
      </w:r>
      <w:r w:rsidR="00C355DA" w:rsidRPr="00485DD6">
        <w:rPr>
          <w:rFonts w:eastAsia="Times New Roman"/>
          <w:color w:val="1F497D" w:themeColor="text2"/>
        </w:rPr>
        <w:t xml:space="preserve"> and (2) two additio</w:t>
      </w:r>
      <w:r w:rsidR="003A2EB9" w:rsidRPr="00485DD6">
        <w:rPr>
          <w:rFonts w:eastAsia="Times New Roman"/>
          <w:color w:val="1F497D" w:themeColor="text2"/>
        </w:rPr>
        <w:t>nal booster samples. The objective</w:t>
      </w:r>
      <w:r w:rsidR="00C355DA" w:rsidRPr="00485DD6">
        <w:rPr>
          <w:rFonts w:eastAsia="Times New Roman"/>
          <w:color w:val="1F497D" w:themeColor="text2"/>
        </w:rPr>
        <w:t xml:space="preserve"> of the booster samples was to oversample ethnic minorities</w:t>
      </w:r>
      <w:r w:rsidR="009414FF" w:rsidRPr="00485DD6">
        <w:rPr>
          <w:rFonts w:eastAsia="Times New Roman"/>
          <w:color w:val="1F497D" w:themeColor="text2"/>
        </w:rPr>
        <w:t xml:space="preserve"> (N=5,563) and Muslims (N=1,096</w:t>
      </w:r>
      <w:r w:rsidR="00C355DA" w:rsidRPr="00485DD6">
        <w:rPr>
          <w:rFonts w:eastAsia="Times New Roman"/>
          <w:color w:val="1F497D" w:themeColor="text2"/>
        </w:rPr>
        <w:t xml:space="preserve">). Together, the overall </w:t>
      </w:r>
      <w:r w:rsidR="00C355DA" w:rsidRPr="00485DD6">
        <w:rPr>
          <w:rFonts w:eastAsia="Times New Roman"/>
          <w:color w:val="1F497D" w:themeColor="text2"/>
        </w:rPr>
        <w:lastRenderedPageBreak/>
        <w:t>sample was</w:t>
      </w:r>
      <w:r>
        <w:rPr>
          <w:rFonts w:eastAsia="Times New Roman"/>
          <w:color w:val="1F497D" w:themeColor="text2"/>
        </w:rPr>
        <w:t xml:space="preserve"> 16,966 respondents. After</w:t>
      </w:r>
      <w:r w:rsidR="00116CE5" w:rsidRPr="00485DD6">
        <w:rPr>
          <w:rFonts w:eastAsia="Times New Roman"/>
          <w:color w:val="1F497D" w:themeColor="text2"/>
        </w:rPr>
        <w:t xml:space="preserve"> 2001, the Citizenship Survey was </w:t>
      </w:r>
      <w:r w:rsidR="009C32D0" w:rsidRPr="00485DD6">
        <w:rPr>
          <w:rFonts w:eastAsia="Times New Roman"/>
          <w:color w:val="1F497D" w:themeColor="text2"/>
        </w:rPr>
        <w:t>undertaken every two years</w:t>
      </w:r>
      <w:r w:rsidR="00116CE5" w:rsidRPr="00485DD6">
        <w:rPr>
          <w:rFonts w:eastAsia="Times New Roman"/>
          <w:color w:val="1F497D" w:themeColor="text2"/>
        </w:rPr>
        <w:t xml:space="preserve"> </w:t>
      </w:r>
      <w:r w:rsidR="009C32D0" w:rsidRPr="00485DD6">
        <w:rPr>
          <w:rFonts w:eastAsia="Times New Roman"/>
          <w:color w:val="1F497D" w:themeColor="text2"/>
        </w:rPr>
        <w:t>and was</w:t>
      </w:r>
      <w:r w:rsidR="00116CE5" w:rsidRPr="00485DD6">
        <w:rPr>
          <w:rFonts w:eastAsia="Times New Roman"/>
          <w:color w:val="1F497D" w:themeColor="text2"/>
        </w:rPr>
        <w:t xml:space="preserve"> a repeated cro</w:t>
      </w:r>
      <w:r w:rsidR="00C355DA" w:rsidRPr="00485DD6">
        <w:rPr>
          <w:rFonts w:eastAsia="Times New Roman"/>
          <w:color w:val="1F497D" w:themeColor="text2"/>
        </w:rPr>
        <w:t xml:space="preserve">ss-sectional design. The study, </w:t>
      </w:r>
      <w:r w:rsidR="00116CE5" w:rsidRPr="00485DD6">
        <w:rPr>
          <w:rFonts w:eastAsia="Times New Roman"/>
          <w:color w:val="1F497D" w:themeColor="text2"/>
        </w:rPr>
        <w:t xml:space="preserve">however, concluded in March 2011. </w:t>
      </w:r>
    </w:p>
    <w:p w14:paraId="1E7E3E3A" w14:textId="3237B422" w:rsidR="00B86891" w:rsidRPr="00485DD6" w:rsidRDefault="00116CE5" w:rsidP="008B6437">
      <w:pPr>
        <w:pStyle w:val="Heading5"/>
        <w:spacing w:before="0" w:beforeAutospacing="0" w:after="0" w:afterAutospacing="0" w:line="480" w:lineRule="auto"/>
        <w:ind w:firstLine="720"/>
        <w:contextualSpacing/>
        <w:jc w:val="both"/>
        <w:rPr>
          <w:rFonts w:ascii="Times New Roman" w:hAnsi="Times New Roman" w:cs="Times New Roman"/>
          <w:b w:val="0"/>
          <w:sz w:val="24"/>
          <w:szCs w:val="24"/>
        </w:rPr>
      </w:pPr>
      <w:r w:rsidRPr="00485DD6">
        <w:rPr>
          <w:rFonts w:ascii="Times New Roman" w:eastAsia="Times New Roman" w:hAnsi="Times New Roman" w:cs="Times New Roman"/>
          <w:b w:val="0"/>
          <w:sz w:val="24"/>
          <w:szCs w:val="24"/>
        </w:rPr>
        <w:t>The present study examines only respondents in the main samp</w:t>
      </w:r>
      <w:r w:rsidR="00850CD8">
        <w:rPr>
          <w:rFonts w:ascii="Times New Roman" w:eastAsia="Times New Roman" w:hAnsi="Times New Roman" w:cs="Times New Roman"/>
          <w:b w:val="0"/>
          <w:sz w:val="24"/>
          <w:szCs w:val="24"/>
        </w:rPr>
        <w:t>le, and thus</w:t>
      </w:r>
      <w:r w:rsidRPr="00485DD6">
        <w:rPr>
          <w:rFonts w:ascii="Times New Roman" w:eastAsia="Times New Roman" w:hAnsi="Times New Roman" w:cs="Times New Roman"/>
          <w:b w:val="0"/>
          <w:sz w:val="24"/>
          <w:szCs w:val="24"/>
        </w:rPr>
        <w:t xml:space="preserve"> weights</w:t>
      </w:r>
      <w:r w:rsidR="004A014E" w:rsidRPr="00485DD6">
        <w:rPr>
          <w:rStyle w:val="FootnoteReference"/>
          <w:rFonts w:ascii="Times New Roman" w:eastAsia="Times New Roman" w:hAnsi="Times New Roman" w:cs="Times New Roman"/>
          <w:b w:val="0"/>
          <w:sz w:val="24"/>
          <w:szCs w:val="24"/>
        </w:rPr>
        <w:footnoteReference w:id="2"/>
      </w:r>
      <w:r w:rsidR="00850CD8">
        <w:rPr>
          <w:rFonts w:ascii="Times New Roman" w:eastAsia="Times New Roman" w:hAnsi="Times New Roman" w:cs="Times New Roman"/>
          <w:b w:val="0"/>
          <w:sz w:val="24"/>
          <w:szCs w:val="24"/>
        </w:rPr>
        <w:t xml:space="preserve"> were not needed</w:t>
      </w:r>
      <w:r w:rsidRPr="00485DD6">
        <w:rPr>
          <w:rFonts w:ascii="Times New Roman" w:eastAsia="Times New Roman" w:hAnsi="Times New Roman" w:cs="Times New Roman"/>
          <w:b w:val="0"/>
          <w:sz w:val="24"/>
          <w:szCs w:val="24"/>
        </w:rPr>
        <w:t>. The sample contained British citizens, comprising 2,773 (46.7%) males and 3,165 (53.3</w:t>
      </w:r>
      <w:r w:rsidR="00B86891" w:rsidRPr="00485DD6">
        <w:rPr>
          <w:rFonts w:ascii="Times New Roman" w:eastAsia="Times New Roman" w:hAnsi="Times New Roman" w:cs="Times New Roman"/>
          <w:b w:val="0"/>
          <w:sz w:val="24"/>
          <w:szCs w:val="24"/>
        </w:rPr>
        <w:t>%</w:t>
      </w:r>
      <w:r w:rsidRPr="00485DD6">
        <w:rPr>
          <w:rFonts w:ascii="Times New Roman" w:eastAsia="Times New Roman" w:hAnsi="Times New Roman" w:cs="Times New Roman"/>
          <w:b w:val="0"/>
          <w:sz w:val="24"/>
          <w:szCs w:val="24"/>
        </w:rPr>
        <w:t>)</w:t>
      </w:r>
      <w:r w:rsidR="00B86891" w:rsidRPr="00485DD6">
        <w:rPr>
          <w:rFonts w:ascii="Times New Roman" w:eastAsia="Times New Roman" w:hAnsi="Times New Roman" w:cs="Times New Roman"/>
          <w:b w:val="0"/>
          <w:sz w:val="24"/>
          <w:szCs w:val="24"/>
        </w:rPr>
        <w:t xml:space="preserve"> females, </w:t>
      </w:r>
      <w:r w:rsidR="00850CD8" w:rsidRPr="00485DD6">
        <w:rPr>
          <w:rFonts w:ascii="Times New Roman" w:eastAsia="Times New Roman" w:hAnsi="Times New Roman" w:cs="Times New Roman"/>
          <w:b w:val="0"/>
          <w:sz w:val="24"/>
          <w:szCs w:val="24"/>
        </w:rPr>
        <w:t>totalling</w:t>
      </w:r>
      <w:r w:rsidRPr="00485DD6">
        <w:rPr>
          <w:rFonts w:ascii="Times New Roman" w:eastAsia="Times New Roman" w:hAnsi="Times New Roman" w:cs="Times New Roman"/>
          <w:b w:val="0"/>
          <w:sz w:val="24"/>
          <w:szCs w:val="24"/>
        </w:rPr>
        <w:t xml:space="preserve"> 5,938. The</w:t>
      </w:r>
      <w:r w:rsidR="00FB3B3D" w:rsidRPr="00485DD6">
        <w:rPr>
          <w:rFonts w:ascii="Times New Roman" w:eastAsia="Times New Roman" w:hAnsi="Times New Roman" w:cs="Times New Roman"/>
          <w:b w:val="0"/>
          <w:sz w:val="24"/>
          <w:szCs w:val="24"/>
        </w:rPr>
        <w:t xml:space="preserve"> reason that the sample was reduced from 10,307 to 5,938 was the</w:t>
      </w:r>
      <w:r w:rsidRPr="00485DD6">
        <w:rPr>
          <w:rFonts w:ascii="Times New Roman" w:eastAsia="Times New Roman" w:hAnsi="Times New Roman" w:cs="Times New Roman"/>
          <w:b w:val="0"/>
          <w:sz w:val="24"/>
          <w:szCs w:val="24"/>
        </w:rPr>
        <w:t xml:space="preserve"> age range selected</w:t>
      </w:r>
      <w:r w:rsidR="00FB3B3D" w:rsidRPr="00485DD6">
        <w:rPr>
          <w:rFonts w:ascii="Times New Roman" w:eastAsia="Times New Roman" w:hAnsi="Times New Roman" w:cs="Times New Roman"/>
          <w:b w:val="0"/>
          <w:sz w:val="24"/>
          <w:szCs w:val="24"/>
        </w:rPr>
        <w:t xml:space="preserve"> for analysis </w:t>
      </w:r>
      <w:r w:rsidR="00850CD8">
        <w:rPr>
          <w:rFonts w:ascii="Times New Roman" w:eastAsia="Times New Roman" w:hAnsi="Times New Roman" w:cs="Times New Roman"/>
          <w:b w:val="0"/>
          <w:sz w:val="24"/>
          <w:szCs w:val="24"/>
        </w:rPr>
        <w:t xml:space="preserve">in this paper </w:t>
      </w:r>
      <w:r w:rsidR="00FB3B3D" w:rsidRPr="00485DD6">
        <w:rPr>
          <w:rFonts w:ascii="Times New Roman" w:eastAsia="Times New Roman" w:hAnsi="Times New Roman" w:cs="Times New Roman"/>
          <w:b w:val="0"/>
          <w:sz w:val="24"/>
          <w:szCs w:val="24"/>
        </w:rPr>
        <w:t>was from 16 to 40</w:t>
      </w:r>
      <w:r w:rsidRPr="00485DD6">
        <w:rPr>
          <w:rFonts w:ascii="Times New Roman" w:eastAsia="Times New Roman" w:hAnsi="Times New Roman" w:cs="Times New Roman"/>
          <w:b w:val="0"/>
          <w:sz w:val="24"/>
          <w:szCs w:val="24"/>
        </w:rPr>
        <w:t xml:space="preserve"> </w:t>
      </w:r>
      <w:r w:rsidR="00FB3B3D" w:rsidRPr="00485DD6">
        <w:rPr>
          <w:rFonts w:ascii="Times New Roman" w:hAnsi="Times New Roman" w:cs="Times New Roman"/>
          <w:b w:val="0"/>
          <w:sz w:val="24"/>
          <w:szCs w:val="24"/>
        </w:rPr>
        <w:t>(average age=</w:t>
      </w:r>
      <w:r w:rsidR="00B86891" w:rsidRPr="00485DD6">
        <w:rPr>
          <w:rFonts w:ascii="Times New Roman" w:hAnsi="Times New Roman" w:cs="Times New Roman"/>
          <w:b w:val="0"/>
          <w:sz w:val="24"/>
          <w:szCs w:val="24"/>
        </w:rPr>
        <w:t xml:space="preserve"> 29.7</w:t>
      </w:r>
      <w:r w:rsidR="00FB3B3D" w:rsidRPr="00485DD6">
        <w:rPr>
          <w:rFonts w:ascii="Times New Roman" w:hAnsi="Times New Roman" w:cs="Times New Roman"/>
          <w:b w:val="0"/>
          <w:sz w:val="24"/>
          <w:szCs w:val="24"/>
        </w:rPr>
        <w:t>)</w:t>
      </w:r>
      <w:r w:rsidRPr="00485DD6">
        <w:rPr>
          <w:rFonts w:ascii="Times New Roman" w:hAnsi="Times New Roman" w:cs="Times New Roman"/>
          <w:b w:val="0"/>
          <w:sz w:val="24"/>
          <w:szCs w:val="24"/>
        </w:rPr>
        <w:t xml:space="preserve">.  This age range </w:t>
      </w:r>
      <w:r w:rsidR="00850CD8">
        <w:rPr>
          <w:rFonts w:ascii="Times New Roman" w:hAnsi="Times New Roman" w:cs="Times New Roman"/>
          <w:b w:val="0"/>
          <w:sz w:val="24"/>
          <w:szCs w:val="24"/>
        </w:rPr>
        <w:t xml:space="preserve">was selected to ensure that the generational </w:t>
      </w:r>
      <w:r w:rsidRPr="00485DD6">
        <w:rPr>
          <w:rFonts w:ascii="Times New Roman" w:hAnsi="Times New Roman" w:cs="Times New Roman"/>
          <w:b w:val="0"/>
          <w:sz w:val="24"/>
          <w:szCs w:val="24"/>
        </w:rPr>
        <w:t xml:space="preserve">groups </w:t>
      </w:r>
      <w:r w:rsidR="00850CD8">
        <w:rPr>
          <w:rFonts w:ascii="Times New Roman" w:hAnsi="Times New Roman" w:cs="Times New Roman"/>
          <w:b w:val="0"/>
          <w:sz w:val="24"/>
          <w:szCs w:val="24"/>
        </w:rPr>
        <w:t>had comparable sample sizes</w:t>
      </w:r>
      <w:r w:rsidRPr="00485DD6">
        <w:rPr>
          <w:rFonts w:ascii="Times New Roman" w:hAnsi="Times New Roman" w:cs="Times New Roman"/>
          <w:b w:val="0"/>
          <w:sz w:val="24"/>
          <w:szCs w:val="24"/>
        </w:rPr>
        <w:t xml:space="preserve">. </w:t>
      </w:r>
      <w:r w:rsidR="003A2EB9" w:rsidRPr="00485DD6">
        <w:rPr>
          <w:rFonts w:ascii="Times New Roman" w:hAnsi="Times New Roman" w:cs="Times New Roman"/>
          <w:b w:val="0"/>
          <w:sz w:val="24"/>
          <w:szCs w:val="24"/>
        </w:rPr>
        <w:t>The majority of the sample comprised Caucasians (N=2,403, 40.5%), followed by Asians</w:t>
      </w:r>
      <w:r w:rsidR="005D7731" w:rsidRPr="00485DD6">
        <w:rPr>
          <w:rStyle w:val="FootnoteReference"/>
          <w:rFonts w:ascii="Times New Roman" w:hAnsi="Times New Roman" w:cs="Times New Roman"/>
          <w:b w:val="0"/>
          <w:sz w:val="24"/>
          <w:szCs w:val="24"/>
        </w:rPr>
        <w:footnoteReference w:id="3"/>
      </w:r>
      <w:r w:rsidR="003A2EB9" w:rsidRPr="00485DD6">
        <w:rPr>
          <w:rFonts w:ascii="Times New Roman" w:hAnsi="Times New Roman" w:cs="Times New Roman"/>
          <w:b w:val="0"/>
          <w:sz w:val="24"/>
          <w:szCs w:val="24"/>
        </w:rPr>
        <w:t xml:space="preserve"> (N=2,058, 34.7%) and </w:t>
      </w:r>
      <w:r w:rsidR="005D7731" w:rsidRPr="00485DD6">
        <w:rPr>
          <w:rFonts w:ascii="Times New Roman" w:hAnsi="Times New Roman" w:cs="Times New Roman"/>
          <w:b w:val="0"/>
          <w:sz w:val="24"/>
          <w:szCs w:val="24"/>
        </w:rPr>
        <w:t>Blacks</w:t>
      </w:r>
      <w:r w:rsidR="003A2EB9" w:rsidRPr="00485DD6">
        <w:rPr>
          <w:rFonts w:ascii="Times New Roman" w:hAnsi="Times New Roman" w:cs="Times New Roman"/>
          <w:b w:val="0"/>
          <w:sz w:val="24"/>
          <w:szCs w:val="24"/>
        </w:rPr>
        <w:t xml:space="preserve"> (N=829, 14.0%). </w:t>
      </w:r>
      <w:r w:rsidR="00B86891" w:rsidRPr="00485DD6">
        <w:rPr>
          <w:rFonts w:ascii="Times New Roman" w:hAnsi="Times New Roman" w:cs="Times New Roman"/>
          <w:b w:val="0"/>
          <w:sz w:val="24"/>
          <w:szCs w:val="24"/>
        </w:rPr>
        <w:t>Table 1 displays additional information about the sample.</w:t>
      </w:r>
    </w:p>
    <w:p w14:paraId="5390BD8C" w14:textId="77777777" w:rsidR="00B86891" w:rsidRPr="00485DD6" w:rsidRDefault="00B86891" w:rsidP="008B6437">
      <w:pPr>
        <w:pStyle w:val="Heading5"/>
        <w:spacing w:before="0" w:beforeAutospacing="0" w:after="75" w:afterAutospacing="0" w:line="480" w:lineRule="auto"/>
        <w:jc w:val="both"/>
        <w:rPr>
          <w:rFonts w:ascii="Times New Roman" w:hAnsi="Times New Roman" w:cs="Times New Roman"/>
          <w:b w:val="0"/>
          <w:sz w:val="24"/>
          <w:szCs w:val="24"/>
        </w:rPr>
      </w:pPr>
    </w:p>
    <w:p w14:paraId="08CFB72E" w14:textId="12E01BE7" w:rsidR="00B86891" w:rsidRPr="00485DD6" w:rsidRDefault="00B86891" w:rsidP="008B6437">
      <w:pPr>
        <w:spacing w:line="480" w:lineRule="auto"/>
        <w:jc w:val="both"/>
        <w:outlineLvl w:val="0"/>
      </w:pPr>
      <w:r w:rsidRPr="00485DD6">
        <w:t>TABLE 1. DESCRIPTIVE INFORMATION FOR PRESENT STUDY SAMPLE</w:t>
      </w:r>
    </w:p>
    <w:p w14:paraId="70E80658" w14:textId="77777777" w:rsidR="00B86891" w:rsidRPr="00485DD6" w:rsidRDefault="00B86891" w:rsidP="008B6437">
      <w:pPr>
        <w:pStyle w:val="Heading5"/>
        <w:spacing w:before="0" w:beforeAutospacing="0" w:after="75" w:afterAutospacing="0" w:line="480" w:lineRule="auto"/>
        <w:jc w:val="both"/>
        <w:rPr>
          <w:rFonts w:ascii="Times New Roman" w:hAnsi="Times New Roman" w:cs="Times New Roman"/>
          <w:b w:val="0"/>
          <w:i/>
          <w:sz w:val="24"/>
          <w:szCs w:val="24"/>
        </w:rPr>
      </w:pPr>
      <w:r w:rsidRPr="00485DD6">
        <w:rPr>
          <w:rFonts w:ascii="Times New Roman" w:hAnsi="Times New Roman" w:cs="Times New Roman"/>
          <w:b w:val="0"/>
          <w:i/>
          <w:sz w:val="24"/>
          <w:szCs w:val="24"/>
        </w:rPr>
        <w:t>Measures</w:t>
      </w:r>
    </w:p>
    <w:p w14:paraId="77EBC420" w14:textId="2C9A0A90" w:rsidR="00B86891" w:rsidRPr="00485DD6" w:rsidRDefault="00B86891" w:rsidP="008B6437">
      <w:pPr>
        <w:pStyle w:val="Heading5"/>
        <w:spacing w:before="0" w:beforeAutospacing="0" w:after="75" w:afterAutospacing="0" w:line="480" w:lineRule="auto"/>
        <w:ind w:firstLine="720"/>
        <w:jc w:val="both"/>
        <w:rPr>
          <w:rFonts w:ascii="Times New Roman" w:hAnsi="Times New Roman" w:cs="Times New Roman"/>
          <w:b w:val="0"/>
          <w:sz w:val="24"/>
          <w:szCs w:val="24"/>
        </w:rPr>
      </w:pPr>
      <w:r w:rsidRPr="00485DD6">
        <w:rPr>
          <w:rFonts w:ascii="Times New Roman" w:hAnsi="Times New Roman" w:cs="Times New Roman"/>
          <w:b w:val="0"/>
          <w:sz w:val="24"/>
          <w:szCs w:val="24"/>
        </w:rPr>
        <w:t xml:space="preserve">As risk factors are examined, all measures were dichotomized to represent whether respondents </w:t>
      </w:r>
      <w:r w:rsidR="00A646D9">
        <w:rPr>
          <w:rFonts w:ascii="Times New Roman" w:hAnsi="Times New Roman" w:cs="Times New Roman"/>
          <w:b w:val="0"/>
          <w:sz w:val="24"/>
          <w:szCs w:val="24"/>
        </w:rPr>
        <w:t>were at a high or low risk on</w:t>
      </w:r>
      <w:r w:rsidR="005D7731" w:rsidRPr="00485DD6">
        <w:rPr>
          <w:rFonts w:ascii="Times New Roman" w:hAnsi="Times New Roman" w:cs="Times New Roman"/>
          <w:b w:val="0"/>
          <w:sz w:val="24"/>
          <w:szCs w:val="24"/>
        </w:rPr>
        <w:t xml:space="preserve"> a</w:t>
      </w:r>
      <w:r w:rsidRPr="00485DD6">
        <w:rPr>
          <w:rFonts w:ascii="Times New Roman" w:hAnsi="Times New Roman" w:cs="Times New Roman"/>
          <w:b w:val="0"/>
          <w:sz w:val="24"/>
          <w:szCs w:val="24"/>
        </w:rPr>
        <w:t xml:space="preserve"> particular factor. If more than one item comprised a measure, the sum of these items was used to produce a mean score. Subsequently, all scores were dichotomized </w:t>
      </w:r>
      <w:r w:rsidR="00886174" w:rsidRPr="00485DD6">
        <w:rPr>
          <w:rFonts w:ascii="Times New Roman" w:hAnsi="Times New Roman" w:cs="Times New Roman"/>
          <w:b w:val="0"/>
          <w:sz w:val="24"/>
          <w:szCs w:val="24"/>
        </w:rPr>
        <w:t>so that</w:t>
      </w:r>
      <w:r w:rsidRPr="00485DD6">
        <w:rPr>
          <w:rFonts w:ascii="Times New Roman" w:hAnsi="Times New Roman" w:cs="Times New Roman"/>
          <w:b w:val="0"/>
          <w:sz w:val="24"/>
          <w:szCs w:val="24"/>
        </w:rPr>
        <w:t xml:space="preserve"> a score of </w:t>
      </w:r>
      <w:r w:rsidR="00886174" w:rsidRPr="00485DD6">
        <w:rPr>
          <w:rFonts w:ascii="Times New Roman" w:hAnsi="Times New Roman" w:cs="Times New Roman"/>
          <w:b w:val="0"/>
          <w:sz w:val="24"/>
          <w:szCs w:val="24"/>
        </w:rPr>
        <w:t>1 meant the top 25% (dichotomized as close as possible)</w:t>
      </w:r>
      <w:r w:rsidRPr="00485DD6">
        <w:rPr>
          <w:rFonts w:ascii="Times New Roman" w:hAnsi="Times New Roman" w:cs="Times New Roman"/>
          <w:b w:val="0"/>
          <w:sz w:val="24"/>
          <w:szCs w:val="24"/>
        </w:rPr>
        <w:t xml:space="preserve"> and a score of 0 represented the </w:t>
      </w:r>
      <w:r w:rsidR="00A646D9">
        <w:rPr>
          <w:rFonts w:ascii="Times New Roman" w:hAnsi="Times New Roman" w:cs="Times New Roman"/>
          <w:b w:val="0"/>
          <w:sz w:val="24"/>
          <w:szCs w:val="24"/>
        </w:rPr>
        <w:t>remaining 75%</w:t>
      </w:r>
      <w:r w:rsidRPr="00485DD6">
        <w:rPr>
          <w:rFonts w:ascii="Times New Roman" w:hAnsi="Times New Roman" w:cs="Times New Roman"/>
          <w:b w:val="0"/>
          <w:sz w:val="24"/>
          <w:szCs w:val="24"/>
        </w:rPr>
        <w:t xml:space="preserve">. </w:t>
      </w:r>
      <w:r w:rsidR="00886174" w:rsidRPr="00485DD6">
        <w:rPr>
          <w:rFonts w:ascii="Times New Roman" w:hAnsi="Times New Roman" w:cs="Times New Roman"/>
          <w:b w:val="0"/>
          <w:sz w:val="24"/>
          <w:szCs w:val="24"/>
        </w:rPr>
        <w:t xml:space="preserve">Factors that were inherently dichotomized were coded so that high risk would be indicated with a 1 and low risk would be indicated with a 0. </w:t>
      </w:r>
      <w:r w:rsidRPr="00485DD6">
        <w:rPr>
          <w:rFonts w:ascii="Times New Roman" w:hAnsi="Times New Roman" w:cs="Times New Roman"/>
          <w:b w:val="0"/>
          <w:sz w:val="24"/>
          <w:szCs w:val="24"/>
        </w:rPr>
        <w:t xml:space="preserve"> </w:t>
      </w:r>
    </w:p>
    <w:p w14:paraId="5125A729" w14:textId="362CB393" w:rsidR="00B86891" w:rsidRPr="00485DD6" w:rsidRDefault="00B86891" w:rsidP="008B6437">
      <w:pPr>
        <w:pStyle w:val="Heading5"/>
        <w:spacing w:before="0" w:beforeAutospacing="0" w:after="75" w:afterAutospacing="0" w:line="480" w:lineRule="auto"/>
        <w:jc w:val="both"/>
        <w:rPr>
          <w:rFonts w:ascii="Times New Roman" w:hAnsi="Times New Roman" w:cs="Times New Roman"/>
          <w:b w:val="0"/>
          <w:sz w:val="24"/>
          <w:szCs w:val="24"/>
        </w:rPr>
      </w:pPr>
      <w:r w:rsidRPr="00485DD6">
        <w:rPr>
          <w:rFonts w:ascii="Times New Roman" w:hAnsi="Times New Roman" w:cs="Times New Roman"/>
          <w:b w:val="0"/>
          <w:sz w:val="24"/>
          <w:szCs w:val="24"/>
        </w:rPr>
        <w:lastRenderedPageBreak/>
        <w:t>Outcome</w:t>
      </w:r>
    </w:p>
    <w:p w14:paraId="416BC5AA" w14:textId="192889F2" w:rsidR="00B86891" w:rsidRPr="00485DD6" w:rsidRDefault="00B86891" w:rsidP="008B6437">
      <w:pPr>
        <w:spacing w:line="480" w:lineRule="auto"/>
        <w:jc w:val="both"/>
      </w:pPr>
      <w:r w:rsidRPr="00485DD6">
        <w:rPr>
          <w:i/>
        </w:rPr>
        <w:t>Pro-violence attitudes</w:t>
      </w:r>
      <w:r w:rsidRPr="00485DD6">
        <w:rPr>
          <w:b/>
          <w:i/>
        </w:rPr>
        <w:t>:</w:t>
      </w:r>
      <w:r w:rsidRPr="00485DD6">
        <w:t xml:space="preserve"> the item measuring pro-violence attitudes asked respondents whether it was okay to use violence to protest against things that were unfair or unjust. This item was scored from (1) always wrong, (2) often wrong, (3) sometimes right, sometimes wrong, (4) often right, and (5) always right.</w:t>
      </w:r>
    </w:p>
    <w:p w14:paraId="697EE6EE" w14:textId="42F3BDC8" w:rsidR="00B86891" w:rsidRPr="00485DD6" w:rsidRDefault="00B86891" w:rsidP="008B6437">
      <w:pPr>
        <w:pStyle w:val="Heading5"/>
        <w:spacing w:before="0" w:beforeAutospacing="0" w:after="0" w:afterAutospacing="0" w:line="480" w:lineRule="auto"/>
        <w:contextualSpacing/>
        <w:jc w:val="both"/>
        <w:rPr>
          <w:rFonts w:ascii="Times New Roman" w:hAnsi="Times New Roman" w:cs="Times New Roman"/>
          <w:b w:val="0"/>
          <w:sz w:val="24"/>
          <w:szCs w:val="24"/>
        </w:rPr>
      </w:pPr>
      <w:r w:rsidRPr="00485DD6">
        <w:rPr>
          <w:rFonts w:ascii="Times New Roman" w:hAnsi="Times New Roman" w:cs="Times New Roman"/>
          <w:b w:val="0"/>
          <w:sz w:val="24"/>
          <w:szCs w:val="24"/>
        </w:rPr>
        <w:t>Explanatory variable</w:t>
      </w:r>
    </w:p>
    <w:p w14:paraId="07C8D5D5" w14:textId="032C024E" w:rsidR="00B86891" w:rsidRPr="00485DD6" w:rsidRDefault="00B86891" w:rsidP="008B6437">
      <w:pPr>
        <w:pStyle w:val="Heading5"/>
        <w:spacing w:before="0" w:beforeAutospacing="0" w:after="0" w:afterAutospacing="0" w:line="480" w:lineRule="auto"/>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i/>
          <w:color w:val="1F497D" w:themeColor="text2"/>
          <w:sz w:val="24"/>
          <w:szCs w:val="24"/>
        </w:rPr>
        <w:t xml:space="preserve">Generational status: </w:t>
      </w:r>
      <w:r w:rsidR="009343BB">
        <w:rPr>
          <w:rFonts w:ascii="Times New Roman" w:hAnsi="Times New Roman" w:cs="Times New Roman"/>
          <w:b w:val="0"/>
          <w:color w:val="1F497D" w:themeColor="text2"/>
          <w:sz w:val="24"/>
          <w:szCs w:val="24"/>
        </w:rPr>
        <w:t>Similar to the method used</w:t>
      </w:r>
      <w:r w:rsidRPr="00485DD6">
        <w:rPr>
          <w:rFonts w:ascii="Times New Roman" w:hAnsi="Times New Roman" w:cs="Times New Roman"/>
          <w:b w:val="0"/>
          <w:color w:val="1F497D" w:themeColor="text2"/>
          <w:sz w:val="24"/>
          <w:szCs w:val="24"/>
        </w:rPr>
        <w:t xml:space="preserve"> in the literature on immigrants </w:t>
      </w:r>
      <w:r w:rsidRPr="00485DD6">
        <w:rPr>
          <w:rFonts w:ascii="Times New Roman" w:hAnsi="Times New Roman" w:cs="Times New Roman"/>
          <w:b w:val="0"/>
          <w:color w:val="1F497D" w:themeColor="text2"/>
          <w:sz w:val="24"/>
          <w:szCs w:val="24"/>
        </w:rPr>
        <w:fldChar w:fldCharType="begin" w:fldLock="1"/>
      </w:r>
      <w:r w:rsidR="00D559AC" w:rsidRPr="00485DD6">
        <w:rPr>
          <w:rFonts w:ascii="Times New Roman" w:hAnsi="Times New Roman" w:cs="Times New Roman"/>
          <w:b w:val="0"/>
          <w:color w:val="1F497D" w:themeColor="text2"/>
          <w:sz w:val="24"/>
          <w:szCs w:val="24"/>
        </w:rPr>
        <w:instrText>ADDIN CSL_CITATION { "citationItems" : [ { "id" : "ITEM-1", "itemData" : { "author" : [ { "dropping-particle" : "", "family" : "Rumbaut", "given" : "Rub\u00e9n G", "non-dropping-particle" : "", "parse-names" : false, "suffix" : "" }, { "dropping-particle" : "", "family" : "Ewing", "given" : "Walter A", "non-dropping-particle" : "", "parse-names" : false, "suffix" : "" } ], "id" : "ITEM-1", "issued" : { "date-parts" : [ [ "2007" ] ] }, "publisher-place" : "Washington, D.C.", "title" : "The myth of immigrant criminality and the paradox of assimilation: Incarceration rates among native and foreign-born men", "type" : "report" }, "uris" : [ "http://www.mendeley.com/documents/?uuid=4b18ab93-a6bc-458a-9dbe-37009aeab6ac" ] } ], "mendeley" : { "formattedCitation" : "(Rumbaut and Ewing, 2007)", "plainTextFormattedCitation" : "(Rumbaut and Ewing, 2007)", "previouslyFormattedCitation" : "(Rumbaut and Ewing, 2007)"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(Rumbaut and Ewing, 2007)</w:t>
      </w:r>
      <w:r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generational status was determined by informa</w:t>
      </w:r>
      <w:r w:rsidR="009343BB">
        <w:rPr>
          <w:rFonts w:ascii="Times New Roman" w:hAnsi="Times New Roman" w:cs="Times New Roman"/>
          <w:b w:val="0"/>
          <w:color w:val="1F497D" w:themeColor="text2"/>
          <w:sz w:val="24"/>
          <w:szCs w:val="24"/>
        </w:rPr>
        <w:t>tion on the country of birth of</w:t>
      </w:r>
      <w:r w:rsidRPr="00485DD6">
        <w:rPr>
          <w:rFonts w:ascii="Times New Roman" w:hAnsi="Times New Roman" w:cs="Times New Roman"/>
          <w:b w:val="0"/>
          <w:color w:val="1F497D" w:themeColor="text2"/>
          <w:sz w:val="24"/>
          <w:szCs w:val="24"/>
        </w:rPr>
        <w:t xml:space="preserve"> the respondent and his/her parents. Generational status was derived from two questions: (1) whether the respondent was born in the UK and (2) whether the respondents’ parents were born in the UK. Those who responded that they and their parents were not born in the UK were categorized as first-generation immigrants (N=2,261, 37.9%); those who responded that they were born in the UK but </w:t>
      </w:r>
      <w:r w:rsidR="00AE3BF1" w:rsidRPr="00485DD6">
        <w:rPr>
          <w:rFonts w:ascii="Times New Roman" w:hAnsi="Times New Roman" w:cs="Times New Roman"/>
          <w:b w:val="0"/>
          <w:color w:val="1F497D" w:themeColor="text2"/>
          <w:sz w:val="24"/>
          <w:szCs w:val="24"/>
        </w:rPr>
        <w:t xml:space="preserve">had </w:t>
      </w:r>
      <w:r w:rsidRPr="00485DD6">
        <w:rPr>
          <w:rFonts w:ascii="Times New Roman" w:hAnsi="Times New Roman" w:cs="Times New Roman"/>
          <w:b w:val="0"/>
          <w:color w:val="1F497D" w:themeColor="text2"/>
          <w:sz w:val="24"/>
          <w:szCs w:val="24"/>
        </w:rPr>
        <w:t xml:space="preserve">at least one parent </w:t>
      </w:r>
      <w:r w:rsidR="00AE3BF1" w:rsidRPr="00485DD6">
        <w:rPr>
          <w:rFonts w:ascii="Times New Roman" w:hAnsi="Times New Roman" w:cs="Times New Roman"/>
          <w:b w:val="0"/>
          <w:color w:val="1F497D" w:themeColor="text2"/>
          <w:sz w:val="24"/>
          <w:szCs w:val="24"/>
        </w:rPr>
        <w:t xml:space="preserve">who </w:t>
      </w:r>
      <w:r w:rsidRPr="00485DD6">
        <w:rPr>
          <w:rFonts w:ascii="Times New Roman" w:hAnsi="Times New Roman" w:cs="Times New Roman"/>
          <w:b w:val="0"/>
          <w:color w:val="1F497D" w:themeColor="text2"/>
          <w:sz w:val="24"/>
          <w:szCs w:val="24"/>
        </w:rPr>
        <w:t xml:space="preserve">was not were categorized as second-generation immigrants (N=993, 16.63%); those who responded that they and their parents were both born in the UK were categorized as native-born (N=2,716, 45.5%). </w:t>
      </w:r>
    </w:p>
    <w:p w14:paraId="318693C8" w14:textId="77777777" w:rsidR="008B6437" w:rsidRPr="00485DD6" w:rsidRDefault="008B6437" w:rsidP="008B6437">
      <w:pPr>
        <w:pStyle w:val="Heading5"/>
        <w:spacing w:before="0" w:beforeAutospacing="0" w:after="0" w:afterAutospacing="0" w:line="480" w:lineRule="auto"/>
        <w:contextualSpacing/>
        <w:jc w:val="both"/>
        <w:rPr>
          <w:rFonts w:ascii="Times New Roman" w:hAnsi="Times New Roman" w:cs="Times New Roman"/>
          <w:b w:val="0"/>
          <w:i/>
          <w:color w:val="1F497D" w:themeColor="text2"/>
          <w:sz w:val="24"/>
          <w:szCs w:val="24"/>
        </w:rPr>
      </w:pPr>
    </w:p>
    <w:p w14:paraId="73D76C3C" w14:textId="77777777" w:rsidR="00B86891" w:rsidRPr="00485DD6" w:rsidRDefault="00B86891" w:rsidP="008B6437">
      <w:pPr>
        <w:spacing w:after="0" w:line="480" w:lineRule="auto"/>
        <w:contextualSpacing/>
        <w:jc w:val="both"/>
        <w:outlineLvl w:val="0"/>
      </w:pPr>
      <w:r w:rsidRPr="00485DD6">
        <w:t>Mediators</w:t>
      </w:r>
    </w:p>
    <w:p w14:paraId="75C54AD5" w14:textId="60B9E000" w:rsidR="00B86891" w:rsidRPr="00485DD6" w:rsidRDefault="00B86891" w:rsidP="008B6437">
      <w:pPr>
        <w:spacing w:after="0" w:line="480" w:lineRule="auto"/>
        <w:contextualSpacing/>
        <w:jc w:val="both"/>
        <w:rPr>
          <w:color w:val="1F497D" w:themeColor="text2"/>
        </w:rPr>
      </w:pPr>
      <w:r w:rsidRPr="00485DD6">
        <w:rPr>
          <w:i/>
          <w:color w:val="1F497D" w:themeColor="text2"/>
        </w:rPr>
        <w:t>Negative Perceptions</w:t>
      </w:r>
      <w:r w:rsidR="00886174" w:rsidRPr="00485DD6">
        <w:rPr>
          <w:i/>
          <w:color w:val="1F497D" w:themeColor="text2"/>
        </w:rPr>
        <w:t xml:space="preserve">: </w:t>
      </w:r>
      <w:r w:rsidR="00886174" w:rsidRPr="00485DD6">
        <w:rPr>
          <w:color w:val="1F497D" w:themeColor="text2"/>
        </w:rPr>
        <w:t xml:space="preserve">From the literature review, measures thought to represent perceptions of discrimination, marginalization, disempowerment, and social exclusion </w:t>
      </w:r>
      <w:r w:rsidR="00886174" w:rsidRPr="00485DD6">
        <w:rPr>
          <w:color w:val="1F497D" w:themeColor="text2"/>
        </w:rPr>
        <w:fldChar w:fldCharType="begin" w:fldLock="1"/>
      </w:r>
      <w:r w:rsidR="00F56BF0" w:rsidRPr="00485DD6">
        <w:rPr>
          <w:color w:val="1F497D" w:themeColor="text2"/>
        </w:rPr>
        <w:instrText>ADDIN CSL_CITATION { "citationItems" : [ { "id" : "ITEM-1", "itemData" : { "author" : [ { "dropping-particle" : "", "family" : "Bucerius", "given" : "Sandra M", "non-dropping-particle" : "", "parse-names" : false, "suffix" : "" } ], "container-title" : "The Oxford handbook of criminology", "editor" : [ { "dropping-particle" : "", "family" : "Tonry", "given" : "Michael", "non-dropping-particle" : "", "parse-names" : false, "suffix" : "" } ], "id" : "ITEM-1", "issued" : { "date-parts" : [ [ "2011" ] ] }, "page" : "385-419", "publisher" : "Oxford University Press", "publisher-place" : "Oxford, UK", "title" : "Immigrants and crime", "type" : "chapter" }, "uris" : [ "http://www.mendeley.com/documents/?uuid=13884a08-e011-4d0d-9976-d2eaf954e6cf" ] } ], "mendeley" : { "formattedCitation" : "(Bucerius, 2011)", "manualFormatting" : "as noted by Bucerius (2011)", "plainTextFormattedCitation" : "(Bucerius, 2011)", "previouslyFormattedCitation" : "(Bucerius, 2011)" }, "properties" : { "noteIndex" : 0 }, "schema" : "https://github.com/citation-style-language/schema/raw/master/csl-citation.json" }</w:instrText>
      </w:r>
      <w:r w:rsidR="00886174" w:rsidRPr="00485DD6">
        <w:rPr>
          <w:color w:val="1F497D" w:themeColor="text2"/>
        </w:rPr>
        <w:fldChar w:fldCharType="separate"/>
      </w:r>
      <w:r w:rsidR="00886174" w:rsidRPr="00485DD6">
        <w:rPr>
          <w:noProof/>
          <w:color w:val="1F497D" w:themeColor="text2"/>
        </w:rPr>
        <w:t>as noted by Bucerius (2011)</w:t>
      </w:r>
      <w:r w:rsidR="00886174" w:rsidRPr="00485DD6">
        <w:rPr>
          <w:color w:val="1F497D" w:themeColor="text2"/>
        </w:rPr>
        <w:fldChar w:fldCharType="end"/>
      </w:r>
      <w:r w:rsidR="00886174" w:rsidRPr="00485DD6">
        <w:rPr>
          <w:color w:val="1F497D" w:themeColor="text2"/>
        </w:rPr>
        <w:t xml:space="preserve"> were investigated:  </w:t>
      </w:r>
      <w:r w:rsidRPr="00485DD6">
        <w:rPr>
          <w:i/>
          <w:color w:val="1F497D" w:themeColor="text2"/>
        </w:rPr>
        <w:t xml:space="preserve"> </w:t>
      </w:r>
    </w:p>
    <w:p w14:paraId="5099AAD5" w14:textId="16D829F6" w:rsidR="00B86891" w:rsidRPr="00485DD6" w:rsidRDefault="00B86891" w:rsidP="008B6437">
      <w:pPr>
        <w:spacing w:after="0" w:line="480" w:lineRule="auto"/>
        <w:contextualSpacing/>
        <w:jc w:val="both"/>
      </w:pPr>
      <w:r w:rsidRPr="00485DD6">
        <w:t>1.</w:t>
      </w:r>
      <w:r w:rsidRPr="00485DD6">
        <w:rPr>
          <w:i/>
        </w:rPr>
        <w:t xml:space="preserve"> Exclusion</w:t>
      </w:r>
      <w:r w:rsidR="00C721E2" w:rsidRPr="00485DD6">
        <w:rPr>
          <w:i/>
        </w:rPr>
        <w:t xml:space="preserve"> </w:t>
      </w:r>
      <w:r w:rsidR="00C721E2" w:rsidRPr="00485DD6">
        <w:t>(</w:t>
      </w:r>
      <w:r w:rsidR="00C721E2" w:rsidRPr="00485DD6">
        <w:rPr>
          <w:rFonts w:ascii="Cambria" w:hAnsi="Cambria"/>
        </w:rPr>
        <w:t>α=0.66)</w:t>
      </w:r>
      <w:r w:rsidRPr="00485DD6">
        <w:rPr>
          <w:i/>
        </w:rPr>
        <w:t xml:space="preserve">. </w:t>
      </w:r>
      <w:r w:rsidRPr="00485DD6">
        <w:t xml:space="preserve">Two items were used to form the exclusion measure. These items asked respondents whether they agreed that they personally felt a part of British society </w:t>
      </w:r>
      <w:r w:rsidRPr="00485DD6">
        <w:lastRenderedPageBreak/>
        <w:t>and how strongly did they feel they belong</w:t>
      </w:r>
      <w:r w:rsidR="0035221B">
        <w:t>ed</w:t>
      </w:r>
      <w:r w:rsidRPr="00485DD6">
        <w:t xml:space="preserve"> to Britain. The most negative response (i.e. strongly disagree/ not strongly at all) was given</w:t>
      </w:r>
      <w:r w:rsidR="00C721E2" w:rsidRPr="00485DD6">
        <w:t xml:space="preserve"> the highest score (scale </w:t>
      </w:r>
      <w:r w:rsidR="00AE3BF1" w:rsidRPr="00485DD6">
        <w:t xml:space="preserve">range: </w:t>
      </w:r>
      <w:r w:rsidR="00C721E2" w:rsidRPr="00485DD6">
        <w:t>1-4).</w:t>
      </w:r>
    </w:p>
    <w:p w14:paraId="68A37F53" w14:textId="7DCE6DAC" w:rsidR="00B86891" w:rsidRPr="00485DD6" w:rsidRDefault="00B86891" w:rsidP="008B6437">
      <w:pPr>
        <w:spacing w:after="0" w:line="480" w:lineRule="auto"/>
        <w:contextualSpacing/>
        <w:jc w:val="both"/>
      </w:pPr>
      <w:r w:rsidRPr="00485DD6">
        <w:t>2.</w:t>
      </w:r>
      <w:r w:rsidRPr="00485DD6">
        <w:rPr>
          <w:i/>
        </w:rPr>
        <w:t xml:space="preserve"> No Influence</w:t>
      </w:r>
      <w:r w:rsidR="00C721E2" w:rsidRPr="00485DD6">
        <w:rPr>
          <w:i/>
        </w:rPr>
        <w:t xml:space="preserve"> </w:t>
      </w:r>
      <w:r w:rsidR="00C721E2" w:rsidRPr="00485DD6">
        <w:t>(</w:t>
      </w:r>
      <w:r w:rsidR="00C721E2" w:rsidRPr="00485DD6">
        <w:rPr>
          <w:rFonts w:ascii="Cambria" w:hAnsi="Cambria"/>
        </w:rPr>
        <w:t>α=0.72)</w:t>
      </w:r>
      <w:r w:rsidRPr="00485DD6">
        <w:rPr>
          <w:i/>
          <w:u w:val="single"/>
        </w:rPr>
        <w:t>.</w:t>
      </w:r>
      <w:r w:rsidRPr="00485DD6">
        <w:t xml:space="preserve">  This measure assesses whether the respondent felt </w:t>
      </w:r>
      <w:r w:rsidR="0035221B">
        <w:t xml:space="preserve">that </w:t>
      </w:r>
      <w:r w:rsidRPr="00485DD6">
        <w:t>he/she could influence decisions affecting (a) Britain and (b) the local area.  Choices of the coded responses for both items were either (1) Yes or (2) No</w:t>
      </w:r>
      <w:r w:rsidR="00C721E2" w:rsidRPr="00485DD6">
        <w:t>.</w:t>
      </w:r>
    </w:p>
    <w:p w14:paraId="54260941" w14:textId="02AF5BCB" w:rsidR="00B86891" w:rsidRPr="00485DD6" w:rsidRDefault="00B86891" w:rsidP="008B6437">
      <w:pPr>
        <w:spacing w:after="0" w:line="480" w:lineRule="auto"/>
        <w:contextualSpacing/>
        <w:jc w:val="both"/>
      </w:pPr>
      <w:r w:rsidRPr="00485DD6">
        <w:t>3.</w:t>
      </w:r>
      <w:r w:rsidRPr="00485DD6">
        <w:rPr>
          <w:i/>
        </w:rPr>
        <w:t xml:space="preserve"> Mistrust in Police. </w:t>
      </w:r>
      <w:r w:rsidRPr="00485DD6">
        <w:t xml:space="preserve">This item asks respondents whether they trust the police (1) a lot, (2) a fair amount, (3) not very much and (4) not at all. </w:t>
      </w:r>
    </w:p>
    <w:p w14:paraId="662E4A10" w14:textId="70D302A9" w:rsidR="00936FCA" w:rsidRPr="00485DD6" w:rsidRDefault="00B86891" w:rsidP="008B6437">
      <w:pPr>
        <w:spacing w:after="0" w:line="480" w:lineRule="auto"/>
        <w:contextualSpacing/>
        <w:jc w:val="both"/>
      </w:pPr>
      <w:r w:rsidRPr="00485DD6">
        <w:rPr>
          <w:i/>
        </w:rPr>
        <w:t xml:space="preserve">4. Fear of Crime. </w:t>
      </w:r>
      <w:r w:rsidRPr="00485DD6">
        <w:t>This item asked how worried respondents were about becoming a victim of crime</w:t>
      </w:r>
      <w:r w:rsidR="0035221B">
        <w:t>. T</w:t>
      </w:r>
      <w:r w:rsidRPr="00485DD6">
        <w:t xml:space="preserve">he item scale was (1) not at all worried (2) not very worried (3) fairly worried and (4) very worried. </w:t>
      </w:r>
    </w:p>
    <w:p w14:paraId="72BA5A42" w14:textId="77777777" w:rsidR="008B6437" w:rsidRPr="00485DD6" w:rsidRDefault="008B6437" w:rsidP="008B6437">
      <w:pPr>
        <w:spacing w:after="0" w:line="480" w:lineRule="auto"/>
        <w:contextualSpacing/>
        <w:jc w:val="both"/>
      </w:pPr>
    </w:p>
    <w:p w14:paraId="749E1E0A" w14:textId="77777777" w:rsidR="00C721E2" w:rsidRPr="00485DD6" w:rsidRDefault="00C721E2" w:rsidP="008B6437">
      <w:pPr>
        <w:spacing w:after="0" w:line="480" w:lineRule="auto"/>
        <w:contextualSpacing/>
        <w:jc w:val="both"/>
        <w:outlineLvl w:val="0"/>
        <w:rPr>
          <w:i/>
        </w:rPr>
      </w:pPr>
      <w:r w:rsidRPr="00485DD6">
        <w:rPr>
          <w:i/>
        </w:rPr>
        <w:t>Control Variables</w:t>
      </w:r>
    </w:p>
    <w:p w14:paraId="70F36708" w14:textId="5AA1BBA6" w:rsidR="00C721E2" w:rsidRPr="00485DD6" w:rsidRDefault="00C721E2" w:rsidP="008B6437">
      <w:pPr>
        <w:spacing w:after="0" w:line="480" w:lineRule="auto"/>
        <w:contextualSpacing/>
        <w:jc w:val="both"/>
        <w:rPr>
          <w:color w:val="1F497D" w:themeColor="text2"/>
        </w:rPr>
      </w:pPr>
      <w:r w:rsidRPr="00485DD6">
        <w:rPr>
          <w:color w:val="1F497D" w:themeColor="text2"/>
        </w:rPr>
        <w:t>Seven control variable</w:t>
      </w:r>
      <w:r w:rsidR="0035221B">
        <w:rPr>
          <w:color w:val="1F497D" w:themeColor="text2"/>
        </w:rPr>
        <w:t xml:space="preserve">s were included in the analyses, in </w:t>
      </w:r>
      <w:r w:rsidRPr="00485DD6">
        <w:rPr>
          <w:color w:val="1F497D" w:themeColor="text2"/>
        </w:rPr>
        <w:t xml:space="preserve">two </w:t>
      </w:r>
      <w:r w:rsidR="0035221B">
        <w:rPr>
          <w:color w:val="1F497D" w:themeColor="text2"/>
        </w:rPr>
        <w:t>categories</w:t>
      </w:r>
      <w:r w:rsidRPr="00485DD6">
        <w:rPr>
          <w:color w:val="1F497D" w:themeColor="text2"/>
        </w:rPr>
        <w:t>: demographic (ethnicity, gender, and age) and acculturation</w:t>
      </w:r>
      <w:r w:rsidR="00AE3BF1" w:rsidRPr="00485DD6">
        <w:rPr>
          <w:color w:val="1F497D" w:themeColor="text2"/>
        </w:rPr>
        <w:t xml:space="preserve"> experience </w:t>
      </w:r>
      <w:r w:rsidRPr="00485DD6">
        <w:rPr>
          <w:color w:val="1F497D" w:themeColor="text2"/>
        </w:rPr>
        <w:t xml:space="preserve">(co-ethnic friends, English language, harassment, and </w:t>
      </w:r>
      <w:r w:rsidR="0035221B" w:rsidRPr="00485DD6">
        <w:rPr>
          <w:color w:val="1F497D" w:themeColor="text2"/>
        </w:rPr>
        <w:t>neighbourhood</w:t>
      </w:r>
      <w:r w:rsidRPr="00485DD6">
        <w:rPr>
          <w:color w:val="1F497D" w:themeColor="text2"/>
        </w:rPr>
        <w:t xml:space="preserve"> dissatisfaction) variables. </w:t>
      </w:r>
    </w:p>
    <w:p w14:paraId="44C4926B" w14:textId="76600E6B" w:rsidR="00C721E2" w:rsidRPr="00485DD6" w:rsidRDefault="00C721E2" w:rsidP="008B6437">
      <w:pPr>
        <w:spacing w:after="0" w:line="480" w:lineRule="auto"/>
        <w:contextualSpacing/>
        <w:jc w:val="both"/>
      </w:pPr>
      <w:r w:rsidRPr="00485DD6">
        <w:t>1.</w:t>
      </w:r>
      <w:r w:rsidRPr="00485DD6">
        <w:rPr>
          <w:i/>
        </w:rPr>
        <w:t xml:space="preserve"> Ethnicity: </w:t>
      </w:r>
      <w:r w:rsidRPr="00485DD6">
        <w:t xml:space="preserve">Four dummy variables were created to represent White, Black, Asian, and Mixed races. </w:t>
      </w:r>
    </w:p>
    <w:p w14:paraId="4431FE18" w14:textId="5DB910DD" w:rsidR="00C721E2" w:rsidRPr="00485DD6" w:rsidRDefault="00C721E2" w:rsidP="008B6437">
      <w:pPr>
        <w:spacing w:after="0" w:line="480" w:lineRule="auto"/>
        <w:contextualSpacing/>
        <w:jc w:val="both"/>
      </w:pPr>
      <w:r w:rsidRPr="00485DD6">
        <w:t>2.</w:t>
      </w:r>
      <w:r w:rsidRPr="00485DD6">
        <w:rPr>
          <w:i/>
        </w:rPr>
        <w:t xml:space="preserve"> Gender</w:t>
      </w:r>
      <w:r w:rsidRPr="00485DD6">
        <w:t>: Males were coded as 1 and females were coded as 0.</w:t>
      </w:r>
    </w:p>
    <w:p w14:paraId="4CEDB5C9" w14:textId="25796D1C" w:rsidR="00C721E2" w:rsidRPr="00485DD6" w:rsidRDefault="00C721E2" w:rsidP="008B6437">
      <w:pPr>
        <w:spacing w:after="0" w:line="480" w:lineRule="auto"/>
        <w:contextualSpacing/>
        <w:jc w:val="both"/>
      </w:pPr>
      <w:r w:rsidRPr="00485DD6">
        <w:t>3.</w:t>
      </w:r>
      <w:r w:rsidRPr="00485DD6">
        <w:rPr>
          <w:i/>
        </w:rPr>
        <w:t xml:space="preserve"> Age:</w:t>
      </w:r>
      <w:r w:rsidRPr="00485DD6">
        <w:t xml:space="preserve"> Respondents who self-reported that their age ranged from 16-25 was coded as 1 and the </w:t>
      </w:r>
      <w:r w:rsidR="0035221B">
        <w:t xml:space="preserve">remainder (26-40) were coded </w:t>
      </w:r>
      <w:r w:rsidRPr="00485DD6">
        <w:t xml:space="preserve">0. The age range 16-25 represented young adult versus older adult age. </w:t>
      </w:r>
    </w:p>
    <w:p w14:paraId="5663BC68" w14:textId="484A3C7E" w:rsidR="00C721E2" w:rsidRPr="00485DD6" w:rsidRDefault="00C721E2" w:rsidP="008B6437">
      <w:pPr>
        <w:spacing w:after="0" w:line="480" w:lineRule="auto"/>
        <w:contextualSpacing/>
        <w:jc w:val="both"/>
      </w:pPr>
      <w:r w:rsidRPr="00485DD6">
        <w:t>4.</w:t>
      </w:r>
      <w:r w:rsidRPr="00485DD6">
        <w:rPr>
          <w:i/>
        </w:rPr>
        <w:t xml:space="preserve"> Harassment</w:t>
      </w:r>
      <w:r w:rsidRPr="00485DD6">
        <w:t xml:space="preserve"> (</w:t>
      </w:r>
      <w:r w:rsidRPr="00485DD6">
        <w:rPr>
          <w:rFonts w:ascii="Cambria" w:hAnsi="Cambria"/>
        </w:rPr>
        <w:t>α= 0.71)</w:t>
      </w:r>
      <w:r w:rsidRPr="00485DD6">
        <w:rPr>
          <w:i/>
        </w:rPr>
        <w:t xml:space="preserve">: </w:t>
      </w:r>
      <w:r w:rsidRPr="00485DD6">
        <w:t xml:space="preserve">this measure comprised the following 4 items:  (1)“How much of a problem is racial or religious harassment in this area?”; (2) “How worried are you </w:t>
      </w:r>
      <w:r w:rsidRPr="00485DD6">
        <w:lastRenderedPageBreak/>
        <w:t>about being subject to a physical a</w:t>
      </w:r>
      <w:r w:rsidR="00B76B32" w:rsidRPr="00485DD6">
        <w:t xml:space="preserve">ttack because of your skin </w:t>
      </w:r>
      <w:r w:rsidR="0035221B" w:rsidRPr="00485DD6">
        <w:t>colour</w:t>
      </w:r>
      <w:r w:rsidRPr="00485DD6">
        <w:t>, ethnic origin or religion?”; (3) “Thinking about anything that has happened in this local area</w:t>
      </w:r>
      <w:r w:rsidR="0035221B">
        <w:t>,</w:t>
      </w:r>
      <w:r w:rsidRPr="00485DD6">
        <w:t xml:space="preserve"> have you personally experienced haras</w:t>
      </w:r>
      <w:r w:rsidR="00B76B32" w:rsidRPr="00485DD6">
        <w:t xml:space="preserve">sment because of your skin </w:t>
      </w:r>
      <w:r w:rsidR="0035221B" w:rsidRPr="00485DD6">
        <w:t>colour</w:t>
      </w:r>
      <w:r w:rsidRPr="00485DD6">
        <w:t xml:space="preserve">, ethnic origin or religion in the last two years?” and (4) “In this local area, how much of a problem is racial or religious harassment even if it doesn’t affect you personally?” </w:t>
      </w:r>
    </w:p>
    <w:p w14:paraId="4B3FBA32" w14:textId="62FF8BCE" w:rsidR="00C721E2" w:rsidRPr="00485DD6" w:rsidRDefault="00C721E2" w:rsidP="008B6437">
      <w:pPr>
        <w:spacing w:after="0" w:line="480" w:lineRule="auto"/>
        <w:contextualSpacing/>
        <w:jc w:val="both"/>
      </w:pPr>
      <w:r w:rsidRPr="00485DD6">
        <w:rPr>
          <w:i/>
        </w:rPr>
        <w:t>5. Different ethnic friends</w:t>
      </w:r>
      <w:r w:rsidRPr="00485DD6">
        <w:t>: The item “What proportion of your friends are of the same ethnic group as you?” was used to assess whether the respondents’ friends were either (a) all the same, (b) more than half, (c) about half or (d) less than half; those who responded either (c) or (d) were coded as 1.</w:t>
      </w:r>
    </w:p>
    <w:p w14:paraId="66D6F6E4" w14:textId="161F1A06" w:rsidR="00C721E2" w:rsidRPr="00485DD6" w:rsidRDefault="00C721E2" w:rsidP="008B6437">
      <w:pPr>
        <w:spacing w:after="0" w:line="480" w:lineRule="auto"/>
        <w:contextualSpacing/>
        <w:jc w:val="both"/>
      </w:pPr>
      <w:r w:rsidRPr="00485DD6">
        <w:rPr>
          <w:i/>
        </w:rPr>
        <w:t>6. English</w:t>
      </w:r>
      <w:r w:rsidRPr="00485DD6">
        <w:t>: This item assessed whether the respondent</w:t>
      </w:r>
      <w:r w:rsidR="0035221B">
        <w:t>s</w:t>
      </w:r>
      <w:r w:rsidRPr="00485DD6">
        <w:t xml:space="preserve"> indicated </w:t>
      </w:r>
      <w:r w:rsidR="0035221B">
        <w:t xml:space="preserve">that </w:t>
      </w:r>
      <w:r w:rsidRPr="00485DD6">
        <w:t>their mai</w:t>
      </w:r>
      <w:r w:rsidR="00B76B32" w:rsidRPr="00485DD6">
        <w:t xml:space="preserve">n language was English (Yes=0 and </w:t>
      </w:r>
      <w:r w:rsidRPr="00485DD6">
        <w:t>No=1)</w:t>
      </w:r>
    </w:p>
    <w:p w14:paraId="5FCA63CA" w14:textId="7612B494" w:rsidR="00C721E2" w:rsidRPr="00485DD6" w:rsidRDefault="00C721E2" w:rsidP="008B6437">
      <w:pPr>
        <w:spacing w:after="0" w:line="480" w:lineRule="auto"/>
        <w:contextualSpacing/>
        <w:jc w:val="both"/>
      </w:pPr>
      <w:r w:rsidRPr="00485DD6">
        <w:rPr>
          <w:i/>
        </w:rPr>
        <w:t xml:space="preserve">7. </w:t>
      </w:r>
      <w:r w:rsidR="0035221B" w:rsidRPr="00485DD6">
        <w:rPr>
          <w:i/>
        </w:rPr>
        <w:t>Neighbourhood</w:t>
      </w:r>
      <w:r w:rsidRPr="00485DD6">
        <w:rPr>
          <w:i/>
        </w:rPr>
        <w:t xml:space="preserve"> dissatisfaction </w:t>
      </w:r>
      <w:r w:rsidRPr="00485DD6">
        <w:t>(</w:t>
      </w:r>
      <w:r w:rsidRPr="00485DD6">
        <w:rPr>
          <w:rFonts w:ascii="Cambria" w:hAnsi="Cambria"/>
        </w:rPr>
        <w:t>α=0.72)</w:t>
      </w:r>
      <w:r w:rsidRPr="00485DD6">
        <w:t xml:space="preserve">: The following items were combined to measure </w:t>
      </w:r>
      <w:r w:rsidR="0035221B" w:rsidRPr="00485DD6">
        <w:t>neighbourhood</w:t>
      </w:r>
      <w:r w:rsidRPr="00485DD6">
        <w:t xml:space="preserve"> dissatisfaction: how satisfied or dissatisfied are you with your local area as a plac</w:t>
      </w:r>
      <w:r w:rsidR="00AE3BF1" w:rsidRPr="00485DD6">
        <w:t>e to live?</w:t>
      </w:r>
      <w:r w:rsidRPr="00485DD6">
        <w:t xml:space="preserve">; how strongly do you belong to the </w:t>
      </w:r>
      <w:r w:rsidR="0035221B" w:rsidRPr="00485DD6">
        <w:t>neighbourhood</w:t>
      </w:r>
      <w:r w:rsidRPr="00485DD6">
        <w:t xml:space="preserve"> ; how strongly do you belong to the local area? The scale for all three items was from 1 (very strongly) to 4 (not at all strongly</w:t>
      </w:r>
      <w:r w:rsidRPr="00485DD6">
        <w:rPr>
          <w:rFonts w:ascii="Cambria" w:hAnsi="Cambria"/>
        </w:rPr>
        <w:t>).</w:t>
      </w:r>
    </w:p>
    <w:p w14:paraId="57134012" w14:textId="77777777" w:rsidR="00AA2450" w:rsidRPr="00485DD6" w:rsidRDefault="00AA2450" w:rsidP="008B6437">
      <w:pPr>
        <w:pStyle w:val="Heading5"/>
        <w:spacing w:before="0" w:beforeAutospacing="0" w:after="0" w:afterAutospacing="0" w:line="480" w:lineRule="auto"/>
        <w:contextualSpacing/>
        <w:jc w:val="both"/>
        <w:rPr>
          <w:rFonts w:ascii="Times New Roman" w:hAnsi="Times New Roman" w:cs="Times New Roman"/>
          <w:b w:val="0"/>
          <w:sz w:val="24"/>
          <w:szCs w:val="24"/>
        </w:rPr>
      </w:pPr>
    </w:p>
    <w:p w14:paraId="11FC928F" w14:textId="77777777" w:rsidR="00831892" w:rsidRPr="00485DD6" w:rsidRDefault="00831892" w:rsidP="008B6437">
      <w:pPr>
        <w:spacing w:after="0" w:line="480" w:lineRule="auto"/>
        <w:contextualSpacing/>
        <w:jc w:val="both"/>
        <w:outlineLvl w:val="0"/>
        <w:rPr>
          <w:i/>
        </w:rPr>
      </w:pPr>
      <w:r w:rsidRPr="00485DD6">
        <w:rPr>
          <w:i/>
        </w:rPr>
        <w:t>Plan of analysis</w:t>
      </w:r>
    </w:p>
    <w:p w14:paraId="218F329F" w14:textId="7934FFF3" w:rsidR="00831892" w:rsidRPr="00485DD6" w:rsidRDefault="00831892" w:rsidP="008B6437">
      <w:pPr>
        <w:widowControl w:val="0"/>
        <w:autoSpaceDE w:val="0"/>
        <w:autoSpaceDN w:val="0"/>
        <w:adjustRightInd w:val="0"/>
        <w:spacing w:after="0" w:line="480" w:lineRule="auto"/>
        <w:ind w:firstLine="720"/>
        <w:contextualSpacing/>
        <w:jc w:val="both"/>
      </w:pPr>
      <w:r w:rsidRPr="00485DD6">
        <w:t>Logistic regressions were primarily used to assess the unadjusted and adjusted strength of each relationship. The odds ratio (OR) was used as a measure of relationship strength.  The benefits of using ORs are that they are not subject to ceiling effects,</w:t>
      </w:r>
      <w:r w:rsidRPr="00485DD6">
        <w:rPr>
          <w:sz w:val="16"/>
          <w:szCs w:val="16"/>
        </w:rPr>
        <w:t xml:space="preserve"> </w:t>
      </w:r>
      <w:r w:rsidRPr="00485DD6">
        <w:t xml:space="preserve">nor are their predictive efficiencies affected by changes in </w:t>
      </w:r>
      <w:r w:rsidR="0035221B">
        <w:t>row or column totals</w:t>
      </w:r>
      <w:r w:rsidRPr="00485DD6">
        <w:t xml:space="preserve"> </w:t>
      </w:r>
      <w:r w:rsidRPr="00485DD6">
        <w:fldChar w:fldCharType="begin" w:fldLock="1"/>
      </w:r>
      <w:r w:rsidR="00F56BF0" w:rsidRPr="00485DD6">
        <w:instrText>ADDIN CSL_CITATION { "citationItems" : [ { "id" : "ITEM-1", "itemData" : { "DOI" : "10.1002/cbm.349", "ISSN" : "1471-2857", "author" : [ { "dropping-particle" : "", "family" : "Farrington", "given" : "David P", "non-dropping-particle" : "", "parse-names" : false, "suffix" : "" }, { "dropping-particle" : "", "family" : "Loeber", "given" : "Rolf", "non-dropping-particle" : "", "parse-names" : false, "suffix" : "" } ], "container-title" : "Criminal Behaviour and Mental Health", "id" : "ITEM-1", "issue" : "2", "issued" : { "date-parts" : [ [ "2000", "6" ] ] }, "page" : "100\u2013122", "publisher" : "Wiley Online Library", "title" : "Some benefits of dichotomization in psychiatric and criminological research", "type" : "article-journal", "volume" : "10" }, "uris" : [ "http://www.mendeley.com/documents/?uuid=12527a97-2c48-47c3-b8ef-2f6d2634d268" ] } ], "mendeley" : { "formattedCitation" : "(Farrington and Loeber, 2000)", "plainTextFormattedCitation" : "(Farrington and Loeber, 2000)", "previouslyFormattedCitation" : "(Farrington and Loeber, 2000)" }, "properties" : { "noteIndex" : 0 }, "schema" : "https://github.com/citation-style-language/schema/raw/master/csl-citation.json" }</w:instrText>
      </w:r>
      <w:r w:rsidRPr="00485DD6">
        <w:fldChar w:fldCharType="separate"/>
      </w:r>
      <w:r w:rsidRPr="00485DD6">
        <w:rPr>
          <w:noProof/>
        </w:rPr>
        <w:t>(Farrington and Loeber, 2000)</w:t>
      </w:r>
      <w:r w:rsidRPr="00485DD6">
        <w:fldChar w:fldCharType="end"/>
      </w:r>
      <w:r w:rsidRPr="00485DD6">
        <w:t xml:space="preserve">.  The purpose of this analysis was to examine to what extent generational </w:t>
      </w:r>
      <w:r w:rsidRPr="00485DD6">
        <w:lastRenderedPageBreak/>
        <w:t>status, controlling for other demographic variables</w:t>
      </w:r>
      <w:r w:rsidR="0035221B">
        <w:t>,</w:t>
      </w:r>
      <w:r w:rsidRPr="00485DD6">
        <w:t xml:space="preserve"> was related to pro-violence attitudes.  The OR also assessed the strength of the adjusted relationships between negative perceptions and pro-violence attitudes. </w:t>
      </w:r>
    </w:p>
    <w:p w14:paraId="0D95B9DC" w14:textId="49814958" w:rsidR="00831892" w:rsidRPr="00485DD6" w:rsidRDefault="00831892" w:rsidP="008B6437">
      <w:pPr>
        <w:widowControl w:val="0"/>
        <w:spacing w:after="0" w:line="480" w:lineRule="auto"/>
        <w:ind w:right="90" w:firstLine="720"/>
        <w:contextualSpacing/>
        <w:jc w:val="both"/>
      </w:pPr>
      <w:r w:rsidRPr="00485DD6">
        <w:t>To assess the strength of prospective mediators between generational status and pro-violence attit</w:t>
      </w:r>
      <w:r w:rsidR="00E605D1" w:rsidRPr="00485DD6">
        <w:t>udes, bootstrapping was used</w:t>
      </w:r>
      <w:r w:rsidRPr="00485DD6">
        <w:t xml:space="preserve">. </w:t>
      </w:r>
      <w:r w:rsidR="00AE3BF1" w:rsidRPr="00485DD6">
        <w:rPr>
          <w:color w:val="1F497D" w:themeColor="text2"/>
        </w:rPr>
        <w:t>Instead of</w:t>
      </w:r>
      <w:r w:rsidRPr="00485DD6">
        <w:rPr>
          <w:color w:val="1F497D" w:themeColor="text2"/>
        </w:rPr>
        <w:t xml:space="preserve"> the Sobel test</w:t>
      </w:r>
      <w:r w:rsidRPr="00485DD6">
        <w:t xml:space="preserve">, Preacher and Hayes </w:t>
      </w:r>
      <w:r w:rsidRPr="00485DD6">
        <w:fldChar w:fldCharType="begin" w:fldLock="1"/>
      </w:r>
      <w:r w:rsidR="00F56BF0" w:rsidRPr="00485DD6">
        <w:instrText>ADDIN CSL_CITATION { "citationItems" : [ { "id" : "ITEM-1", "itemData" : { "DOI" : "10.3758/BRM.40.3.879", "ISSN" : "1554-351X", "author" : [ { "dropping-particle" : "", "family" : "Preacher", "given" : "Kristopher J.", "non-dropping-particle" : "", "parse-names" : false, "suffix" : "" }, { "dropping-particle" : "", "family" : "Hayes", "given" : "Andrew F.", "non-dropping-particle" : "", "parse-names" : false, "suffix" : "" } ], "container-title" : "Behavior Research Methods", "id" : "ITEM-1", "issue" : "3", "issued" : { "date-parts" : [ [ "2008", "8" ] ] }, "page" : "879-891", "title" : "Asymptotic and resampling strategies for assessing and comparing indirect effects in multiple mediator models", "type" : "article-journal", "volume" : "40" }, "uris" : [ "http://www.mendeley.com/documents/?uuid=c4696b83-cc72-4da0-8834-be4df4227eb3" ] } ], "mendeley" : { "formattedCitation" : "(Preacher and Hayes, 2008)", "manualFormatting" : "(2008)", "plainTextFormattedCitation" : "(Preacher and Hayes, 2008)", "previouslyFormattedCitation" : "(Preacher and Hayes, 2008)" }, "properties" : { "noteIndex" : 0 }, "schema" : "https://github.com/citation-style-language/schema/raw/master/csl-citation.json" }</w:instrText>
      </w:r>
      <w:r w:rsidRPr="00485DD6">
        <w:fldChar w:fldCharType="separate"/>
      </w:r>
      <w:r w:rsidRPr="00485DD6">
        <w:rPr>
          <w:noProof/>
        </w:rPr>
        <w:t>(2008)</w:t>
      </w:r>
      <w:r w:rsidRPr="00485DD6">
        <w:fldChar w:fldCharType="end"/>
      </w:r>
      <w:r w:rsidRPr="00485DD6">
        <w:t xml:space="preserve"> suggested bootstrapping as a more precise estimate of mediation. Bootstrapping determines the significance of indirect effects through confidence intervals. This technique estimates the properties of the sampling distribution from the sample data by taking smaller samples from the data called “bootstrap samples”. The averages of these bootstrap samples are calculated and by taking many bootstrap samples, an estimation of the sampling distribution is produced </w:t>
      </w:r>
      <w:r w:rsidRPr="00485DD6">
        <w:fldChar w:fldCharType="begin" w:fldLock="1"/>
      </w:r>
      <w:r w:rsidR="00F56BF0" w:rsidRPr="00485DD6">
        <w:instrText>ADDIN CSL_CITATION { "citationItems" : [ { "id" : "ITEM-1", "itemData" : { "author" : [ { "dropping-particle" : "", "family" : "Field", "given" : "Andy", "non-dropping-particle" : "", "parse-names" : false, "suffix" : "" } ], "edition" : "3rd", "id" : "ITEM-1", "issued" : { "date-parts" : [ [ "2009" ] ] }, "publisher" : "Sage Publications", "publisher-place" : "London, Uk", "title" : "Discovering statistics using SPSS", "type" : "book" }, "uris" : [ "http://www.mendeley.com/documents/?uuid=302f6f37-72fe-410f-9e5b-79f0e3667678", "http://www.mendeley.com/documents/?uuid=95573ae5-96f4-4de2-b44e-626e34c9bf66" ] } ], "mendeley" : { "formattedCitation" : "(Field, 2009)", "manualFormatting" : "(Field, 2009, ", "plainTextFormattedCitation" : "(Field, 2009)", "previouslyFormattedCitation" : "(Field, 2009)" }, "properties" : { "noteIndex" : 0 }, "schema" : "https://github.com/citation-style-language/schema/raw/master/csl-citation.json" }</w:instrText>
      </w:r>
      <w:r w:rsidRPr="00485DD6">
        <w:fldChar w:fldCharType="separate"/>
      </w:r>
      <w:r w:rsidRPr="00485DD6">
        <w:rPr>
          <w:noProof/>
        </w:rPr>
        <w:t xml:space="preserve">(Field, 2009, </w:t>
      </w:r>
      <w:r w:rsidRPr="00485DD6">
        <w:fldChar w:fldCharType="end"/>
      </w:r>
      <w:r w:rsidRPr="00485DD6">
        <w:t xml:space="preserve">p. 163). This approximation of the sampling distribution allows for the construction of confidence intervals for the indirect effect </w:t>
      </w:r>
      <w:r w:rsidRPr="00485DD6">
        <w:fldChar w:fldCharType="begin" w:fldLock="1"/>
      </w:r>
      <w:r w:rsidR="00F56BF0" w:rsidRPr="00485DD6">
        <w:instrText>ADDIN CSL_CITATION { "citationItems" : [ { "id" : "ITEM-1", "itemData" : { "DOI" : "10.3758/BRM.40.3.879", "ISSN" : "1554-351X", "author" : [ { "dropping-particle" : "", "family" : "Preacher", "given" : "Kristopher J.", "non-dropping-particle" : "", "parse-names" : false, "suffix" : "" }, { "dropping-particle" : "", "family" : "Hayes", "given" : "Andrew F.", "non-dropping-particle" : "", "parse-names" : false, "suffix" : "" } ], "container-title" : "Behavior Research Methods", "id" : "ITEM-1", "issue" : "3", "issued" : { "date-parts" : [ [ "2008", "8" ] ] }, "page" : "879-891", "title" : "Asymptotic and resampling strategies for assessing and comparing indirect effects in multiple mediator models", "type" : "article-journal", "volume" : "40" }, "uris" : [ "http://www.mendeley.com/documents/?uuid=c4696b83-cc72-4da0-8834-be4df4227eb3" ] } ], "mendeley" : { "formattedCitation" : "(Preacher and Hayes, 2008)", "plainTextFormattedCitation" : "(Preacher and Hayes, 2008)", "previouslyFormattedCitation" : "(Preacher and Hayes, 2008)" }, "properties" : { "noteIndex" : 0 }, "schema" : "https://github.com/citation-style-language/schema/raw/master/csl-citation.json" }</w:instrText>
      </w:r>
      <w:r w:rsidRPr="00485DD6">
        <w:fldChar w:fldCharType="separate"/>
      </w:r>
      <w:r w:rsidRPr="00485DD6">
        <w:rPr>
          <w:noProof/>
        </w:rPr>
        <w:t>(Preacher and Hayes, 2008)</w:t>
      </w:r>
      <w:r w:rsidRPr="00485DD6">
        <w:fldChar w:fldCharType="end"/>
      </w:r>
      <w:r w:rsidRPr="00485DD6">
        <w:t xml:space="preserve">. This method is based on 5,000 bootstrapping resamples with a 95% confidence interval.  If zero (0) is contained within the confidence interval, the indirect effect is non-significant. </w:t>
      </w:r>
    </w:p>
    <w:p w14:paraId="31395FD5" w14:textId="77777777" w:rsidR="00581AD6" w:rsidRPr="00485DD6" w:rsidRDefault="00581AD6" w:rsidP="008B6437">
      <w:pPr>
        <w:widowControl w:val="0"/>
        <w:spacing w:after="0" w:line="480" w:lineRule="auto"/>
        <w:ind w:right="90" w:firstLine="720"/>
        <w:contextualSpacing/>
        <w:jc w:val="both"/>
      </w:pPr>
    </w:p>
    <w:p w14:paraId="03EA577E" w14:textId="77777777" w:rsidR="00581AD6" w:rsidRPr="00485DD6" w:rsidRDefault="00581AD6" w:rsidP="008B6437">
      <w:pPr>
        <w:spacing w:after="0" w:line="480" w:lineRule="auto"/>
        <w:contextualSpacing/>
        <w:jc w:val="both"/>
        <w:outlineLvl w:val="0"/>
        <w:rPr>
          <w:b/>
        </w:rPr>
      </w:pPr>
      <w:r w:rsidRPr="00485DD6">
        <w:rPr>
          <w:b/>
        </w:rPr>
        <w:t>Results</w:t>
      </w:r>
    </w:p>
    <w:p w14:paraId="502B37D1" w14:textId="77777777" w:rsidR="00581AD6" w:rsidRPr="00485DD6" w:rsidRDefault="00581AD6" w:rsidP="008B6437">
      <w:pPr>
        <w:spacing w:after="0" w:line="480" w:lineRule="auto"/>
        <w:contextualSpacing/>
        <w:jc w:val="both"/>
        <w:outlineLvl w:val="0"/>
        <w:rPr>
          <w:i/>
        </w:rPr>
      </w:pPr>
      <w:r w:rsidRPr="00485DD6">
        <w:rPr>
          <w:i/>
        </w:rPr>
        <w:t>Relationship between generational status and pro-violence</w:t>
      </w:r>
    </w:p>
    <w:p w14:paraId="25092BDD" w14:textId="113D9EFF" w:rsidR="00581AD6" w:rsidRPr="00485DD6" w:rsidRDefault="00581AD6" w:rsidP="00782475">
      <w:pPr>
        <w:spacing w:after="0" w:line="480" w:lineRule="auto"/>
        <w:ind w:firstLine="720"/>
        <w:contextualSpacing/>
        <w:jc w:val="both"/>
      </w:pPr>
      <w:r w:rsidRPr="00485DD6">
        <w:t>First, we establish whether generational status is significantly related to pro-violence atti</w:t>
      </w:r>
      <w:r w:rsidR="00AE3BF1" w:rsidRPr="00485DD6">
        <w:t>tudes. Table 2 reveals that 9.1</w:t>
      </w:r>
      <w:r w:rsidRPr="00485DD6">
        <w:t>% of first-generation immigrants have pro-violence attitudes compared to second (7.8%) generation immigrants and native-born</w:t>
      </w:r>
      <w:r w:rsidR="00782475">
        <w:t xml:space="preserve"> persons</w:t>
      </w:r>
      <w:r w:rsidRPr="00485DD6">
        <w:t xml:space="preserve"> (7.2%). Additionally, zero-order relationships show that being a first-generation immigrant was significantly and positively related to pro-violence attitudes (OR=1.26,</w:t>
      </w:r>
      <w:r w:rsidR="00EB5F4A" w:rsidRPr="00485DD6">
        <w:t xml:space="preserve"> </w:t>
      </w:r>
      <w:r w:rsidR="00EB5F4A" w:rsidRPr="00485DD6">
        <w:lastRenderedPageBreak/>
        <w:t xml:space="preserve">CI=1.04-1.52), whereas being native-born </w:t>
      </w:r>
      <w:r w:rsidRPr="00485DD6">
        <w:t xml:space="preserve">was inversely related to pro-violence attitudes (OR=0.82, CI=0.68-0.99). </w:t>
      </w:r>
    </w:p>
    <w:p w14:paraId="50B7D237" w14:textId="77777777" w:rsidR="00735537" w:rsidRPr="00485DD6" w:rsidRDefault="00581AD6" w:rsidP="008B6437">
      <w:pPr>
        <w:spacing w:after="0" w:line="480" w:lineRule="auto"/>
        <w:contextualSpacing/>
        <w:jc w:val="both"/>
      </w:pPr>
      <w:r w:rsidRPr="00485DD6">
        <w:tab/>
        <w:t xml:space="preserve">   </w:t>
      </w:r>
    </w:p>
    <w:p w14:paraId="7AD002E0" w14:textId="77777777" w:rsidR="00735537" w:rsidRPr="00485DD6" w:rsidRDefault="00735537" w:rsidP="008B6437">
      <w:pPr>
        <w:spacing w:after="0" w:line="480" w:lineRule="auto"/>
        <w:contextualSpacing/>
        <w:jc w:val="both"/>
      </w:pPr>
    </w:p>
    <w:p w14:paraId="190B3660" w14:textId="77777777" w:rsidR="00735537" w:rsidRPr="00485DD6" w:rsidRDefault="00735537" w:rsidP="008B6437">
      <w:pPr>
        <w:spacing w:after="0" w:line="480" w:lineRule="auto"/>
        <w:contextualSpacing/>
        <w:jc w:val="both"/>
      </w:pPr>
      <w:r w:rsidRPr="00485DD6">
        <w:t>TABLE 2. PREVALENCE AND STRENGTH OF RELATIONSHIP BETWEEN GENERATIONAL STATUS AND PRO-VIOLENCE ATTITUDES</w:t>
      </w:r>
    </w:p>
    <w:p w14:paraId="097C2625" w14:textId="77777777" w:rsidR="00735537" w:rsidRPr="00485DD6" w:rsidRDefault="00735537" w:rsidP="008B6437">
      <w:pPr>
        <w:spacing w:after="0" w:line="480" w:lineRule="auto"/>
        <w:contextualSpacing/>
        <w:jc w:val="both"/>
      </w:pPr>
    </w:p>
    <w:p w14:paraId="7AE2E52C" w14:textId="37086844" w:rsidR="00EB5F4A" w:rsidRPr="00485DD6" w:rsidRDefault="00581AD6" w:rsidP="008B6437">
      <w:pPr>
        <w:spacing w:after="0" w:line="480" w:lineRule="auto"/>
        <w:ind w:firstLine="720"/>
        <w:contextualSpacing/>
        <w:jc w:val="both"/>
      </w:pPr>
      <w:r w:rsidRPr="00485DD6">
        <w:t>When adjusting for these relationships, there was a signi</w:t>
      </w:r>
      <w:r w:rsidR="00EB5F4A" w:rsidRPr="00485DD6">
        <w:t xml:space="preserve">ficant difference between first- generation </w:t>
      </w:r>
      <w:r w:rsidR="00AE3BF1" w:rsidRPr="00485DD6">
        <w:t>and native</w:t>
      </w:r>
      <w:r w:rsidR="00EB5F4A" w:rsidRPr="00485DD6">
        <w:t>-born</w:t>
      </w:r>
      <w:r w:rsidRPr="00485DD6">
        <w:t xml:space="preserve"> groups (z-score=2.42). Because there were non- significant differences for the second-generation group, this group was excluded from further analyses; </w:t>
      </w:r>
    </w:p>
    <w:p w14:paraId="6BE47614" w14:textId="78300DB7" w:rsidR="00581AD6" w:rsidRPr="00485DD6" w:rsidRDefault="00581AD6" w:rsidP="008B6437">
      <w:pPr>
        <w:spacing w:after="0" w:line="480" w:lineRule="auto"/>
        <w:contextualSpacing/>
        <w:jc w:val="both"/>
      </w:pPr>
      <w:r w:rsidRPr="00485DD6">
        <w:t>the subsequent analyses examine</w:t>
      </w:r>
      <w:r w:rsidR="00EB5F4A" w:rsidRPr="00485DD6">
        <w:t>d</w:t>
      </w:r>
      <w:r w:rsidRPr="00485DD6">
        <w:t xml:space="preserve"> differences in pro-violence between only </w:t>
      </w:r>
      <w:r w:rsidR="00EB5F4A" w:rsidRPr="00485DD6">
        <w:t xml:space="preserve">the </w:t>
      </w:r>
      <w:r w:rsidRPr="00485DD6">
        <w:t>first</w:t>
      </w:r>
      <w:r w:rsidR="00EB5F4A" w:rsidRPr="00485DD6">
        <w:t>-generation</w:t>
      </w:r>
      <w:r w:rsidRPr="00485DD6">
        <w:t xml:space="preserve"> and </w:t>
      </w:r>
      <w:r w:rsidR="00EB5F4A" w:rsidRPr="00485DD6">
        <w:t>native-born groups</w:t>
      </w:r>
      <w:r w:rsidRPr="00485DD6">
        <w:t xml:space="preserve"> (N=4,949). Thus, the variable, </w:t>
      </w:r>
      <w:r w:rsidR="00EB5F4A" w:rsidRPr="00485DD6">
        <w:rPr>
          <w:i/>
        </w:rPr>
        <w:t>first-</w:t>
      </w:r>
      <w:r w:rsidRPr="00485DD6">
        <w:rPr>
          <w:i/>
        </w:rPr>
        <w:t>generation,</w:t>
      </w:r>
      <w:r w:rsidRPr="00485DD6">
        <w:t xml:space="preserve"> refers to wh</w:t>
      </w:r>
      <w:r w:rsidR="00EB5F4A" w:rsidRPr="00485DD6">
        <w:t xml:space="preserve">ether the respondent is a first-generation immigrant </w:t>
      </w:r>
      <w:r w:rsidR="00782475">
        <w:t xml:space="preserve">(1) </w:t>
      </w:r>
      <w:r w:rsidRPr="00485DD6">
        <w:t xml:space="preserve">or </w:t>
      </w:r>
      <w:r w:rsidR="00EB5F4A" w:rsidRPr="00485DD6">
        <w:t>native-born</w:t>
      </w:r>
      <w:r w:rsidR="00782475">
        <w:t xml:space="preserve"> (0)</w:t>
      </w:r>
      <w:r w:rsidRPr="00485DD6">
        <w:t>.</w:t>
      </w:r>
    </w:p>
    <w:p w14:paraId="44C1390D" w14:textId="55C491F7" w:rsidR="00581AD6" w:rsidRPr="00485DD6" w:rsidRDefault="00581AD6" w:rsidP="008B6437">
      <w:pPr>
        <w:spacing w:after="0" w:line="480" w:lineRule="auto"/>
        <w:contextualSpacing/>
        <w:jc w:val="both"/>
      </w:pPr>
      <w:r w:rsidRPr="00485DD6">
        <w:t xml:space="preserve"> </w:t>
      </w:r>
      <w:r w:rsidRPr="00485DD6">
        <w:tab/>
        <w:t xml:space="preserve">In Table </w:t>
      </w:r>
      <w:r w:rsidR="00EB5F4A" w:rsidRPr="00485DD6">
        <w:t>3, the prevalence</w:t>
      </w:r>
      <w:r w:rsidR="00782475">
        <w:t xml:space="preserve"> of</w:t>
      </w:r>
      <w:r w:rsidR="00EB5F4A" w:rsidRPr="00485DD6">
        <w:t xml:space="preserve"> each risk/protective factor is</w:t>
      </w:r>
      <w:r w:rsidRPr="00485DD6">
        <w:t xml:space="preserve"> presented within first-generation immigrants (N=2,238) and native-born</w:t>
      </w:r>
      <w:r w:rsidR="00AE3BF1" w:rsidRPr="00485DD6">
        <w:t xml:space="preserve"> individuals</w:t>
      </w:r>
      <w:r w:rsidRPr="00485DD6">
        <w:t xml:space="preserve"> (N=2,711). Compared to </w:t>
      </w:r>
      <w:r w:rsidR="00AE3BF1" w:rsidRPr="00485DD6">
        <w:t xml:space="preserve">the </w:t>
      </w:r>
      <w:r w:rsidRPr="00485DD6">
        <w:t>native-born, first-generation immigran</w:t>
      </w:r>
      <w:r w:rsidR="00782475">
        <w:t>ts are predominantly Asian (51.3% vs. 7.5%) and Black (22.6% vs. 5.2</w:t>
      </w:r>
      <w:r w:rsidR="00EB5F4A" w:rsidRPr="00485DD6">
        <w:t xml:space="preserve">%); the </w:t>
      </w:r>
      <w:r w:rsidRPr="00485DD6">
        <w:t xml:space="preserve">majority of this group </w:t>
      </w:r>
      <w:r w:rsidR="00782475">
        <w:t xml:space="preserve">(56.1%) </w:t>
      </w:r>
      <w:r w:rsidRPr="00485DD6">
        <w:t>self-reported a language other than English as thei</w:t>
      </w:r>
      <w:r w:rsidR="00EB5F4A" w:rsidRPr="00485DD6">
        <w:t>r main language. F</w:t>
      </w:r>
      <w:r w:rsidRPr="00485DD6">
        <w:t xml:space="preserve">irst-generation immigrants self-reported </w:t>
      </w:r>
      <w:r w:rsidR="00EB5F4A" w:rsidRPr="00485DD6">
        <w:t>a higher prevalence</w:t>
      </w:r>
      <w:r w:rsidRPr="00485DD6">
        <w:t xml:space="preserve"> in ha</w:t>
      </w:r>
      <w:r w:rsidR="00782475">
        <w:t>rassment (57.0% vs. 30.1</w:t>
      </w:r>
      <w:r w:rsidR="00EB5F4A" w:rsidRPr="00485DD6">
        <w:t>%), exclusion</w:t>
      </w:r>
      <w:r w:rsidR="00782475">
        <w:t xml:space="preserve"> (17.4% vs. 15.8</w:t>
      </w:r>
      <w:r w:rsidRPr="00485DD6">
        <w:t>%), and being fearful of becoming a vi</w:t>
      </w:r>
      <w:r w:rsidR="00782475">
        <w:t>ctim of crime (15.2% vs. 7.2</w:t>
      </w:r>
      <w:r w:rsidR="00EB5F4A" w:rsidRPr="00485DD6">
        <w:t>%), whereas</w:t>
      </w:r>
      <w:r w:rsidRPr="00485DD6">
        <w:t xml:space="preserve"> </w:t>
      </w:r>
      <w:r w:rsidR="00EB5F4A" w:rsidRPr="00485DD6">
        <w:t xml:space="preserve">the </w:t>
      </w:r>
      <w:r w:rsidRPr="00485DD6">
        <w:t xml:space="preserve">Native-born </w:t>
      </w:r>
      <w:r w:rsidR="00EB5F4A" w:rsidRPr="00485DD6">
        <w:t>group self-reported a higher prevalence</w:t>
      </w:r>
      <w:r w:rsidR="00782475">
        <w:t xml:space="preserve"> of distrusting the police (19.9% vs. 15.8</w:t>
      </w:r>
      <w:r w:rsidRPr="00485DD6">
        <w:t xml:space="preserve">%) and </w:t>
      </w:r>
      <w:r w:rsidR="00782475" w:rsidRPr="00485DD6">
        <w:t>neighbourhood</w:t>
      </w:r>
      <w:r w:rsidR="00782475">
        <w:t xml:space="preserve"> dissatisfaction (34.2% vs. 33.0</w:t>
      </w:r>
      <w:r w:rsidRPr="00485DD6">
        <w:t>%</w:t>
      </w:r>
      <w:r w:rsidR="00782475">
        <w:t>: not significant</w:t>
      </w:r>
      <w:r w:rsidRPr="00485DD6">
        <w:t xml:space="preserve">). For each </w:t>
      </w:r>
      <w:r w:rsidR="00EB5F4A" w:rsidRPr="00485DD6">
        <w:t xml:space="preserve">risk </w:t>
      </w:r>
      <w:r w:rsidRPr="00485DD6">
        <w:t xml:space="preserve">factor, </w:t>
      </w:r>
      <w:r w:rsidRPr="00485DD6">
        <w:lastRenderedPageBreak/>
        <w:t xml:space="preserve">there were significant differences between the two groups with the exception of </w:t>
      </w:r>
      <w:r w:rsidR="00782475" w:rsidRPr="00485DD6">
        <w:t>neighbourhood</w:t>
      </w:r>
      <w:r w:rsidRPr="00485DD6">
        <w:t xml:space="preserve"> dissatisfaction. </w:t>
      </w:r>
    </w:p>
    <w:p w14:paraId="43B68289" w14:textId="6C764935" w:rsidR="00581AD6" w:rsidRPr="00485DD6" w:rsidRDefault="00581AD6" w:rsidP="008B6437">
      <w:pPr>
        <w:spacing w:after="0" w:line="480" w:lineRule="auto"/>
        <w:contextualSpacing/>
        <w:jc w:val="both"/>
      </w:pPr>
      <w:r w:rsidRPr="00485DD6">
        <w:tab/>
        <w:t>As mentioned earlier, research</w:t>
      </w:r>
      <w:r w:rsidR="00AE3BF1" w:rsidRPr="00485DD6">
        <w:t xml:space="preserve"> on criminological risk factors for</w:t>
      </w:r>
      <w:r w:rsidRPr="00485DD6">
        <w:t xml:space="preserve"> between-group differences in violence seldom investigate generational status. Rather, ethnicity, age, and gender are </w:t>
      </w:r>
      <w:r w:rsidR="00782475">
        <w:t xml:space="preserve">studied </w:t>
      </w:r>
      <w:r w:rsidRPr="00485DD6">
        <w:t xml:space="preserve">prominently. To examine the extent to which generational status is related to pro-violence attitudes, Table 4 includes only the significant zero-order relationships between demographic factors and pro-violence attitudes in an adjusted model.  Three significant </w:t>
      </w:r>
      <w:r w:rsidR="00782475">
        <w:t>risk</w:t>
      </w:r>
      <w:r w:rsidRPr="00485DD6">
        <w:t xml:space="preserve"> factors (first-generation, adolescent age, and ethnicity) were simultaneously included into a logistic regression model. Being a first-generation immigrant (OR=1.39, CI=1.03-1.88) was significantly related </w:t>
      </w:r>
      <w:r w:rsidR="007521A2">
        <w:t>to pro-violence attitudes. B</w:t>
      </w:r>
      <w:r w:rsidRPr="00485DD6">
        <w:t xml:space="preserve">eing adolescent-aged (OR=1.96, CI=1.58-2.42) was also an important covariate.    </w:t>
      </w:r>
    </w:p>
    <w:p w14:paraId="2442E966" w14:textId="77777777" w:rsidR="00936FCA" w:rsidRPr="00485DD6" w:rsidRDefault="00936FCA" w:rsidP="008B6437">
      <w:pPr>
        <w:spacing w:after="0" w:line="480" w:lineRule="auto"/>
        <w:contextualSpacing/>
        <w:jc w:val="both"/>
        <w:outlineLvl w:val="0"/>
        <w:rPr>
          <w:i/>
        </w:rPr>
      </w:pPr>
    </w:p>
    <w:p w14:paraId="10127DD4" w14:textId="77777777" w:rsidR="00735537" w:rsidRPr="00485DD6" w:rsidRDefault="00735537" w:rsidP="008B6437">
      <w:pPr>
        <w:spacing w:after="0" w:line="480" w:lineRule="auto"/>
        <w:contextualSpacing/>
        <w:jc w:val="both"/>
      </w:pPr>
    </w:p>
    <w:p w14:paraId="3071F041" w14:textId="45AEF631" w:rsidR="00735537" w:rsidRPr="00485DD6" w:rsidRDefault="00735537" w:rsidP="008B6437">
      <w:pPr>
        <w:spacing w:after="0" w:line="480" w:lineRule="auto"/>
        <w:contextualSpacing/>
        <w:jc w:val="both"/>
      </w:pPr>
      <w:r w:rsidRPr="00485DD6">
        <w:t xml:space="preserve">TABLE 3. </w:t>
      </w:r>
      <w:r w:rsidR="00050770" w:rsidRPr="00050770">
        <w:rPr>
          <w:rFonts w:eastAsia="Times New Roman"/>
          <w:color w:val="000000"/>
          <w:lang w:val="en-US"/>
        </w:rPr>
        <w:t>PREVALENCE AND STRENGTH OF RELATIONSHIP BETWEEN RISK FACTORS AND FIRST-GENERATION IMMIGRANT STATUS VERSUS NATIVE-BORN</w:t>
      </w:r>
      <w:r w:rsidR="00050770" w:rsidRPr="00485DD6">
        <w:t xml:space="preserve"> </w:t>
      </w:r>
      <w:r w:rsidRPr="00485DD6">
        <w:t>(N=4,949)</w:t>
      </w:r>
    </w:p>
    <w:p w14:paraId="1E1AB6F8" w14:textId="77777777" w:rsidR="00735537" w:rsidRPr="00485DD6" w:rsidRDefault="00735537" w:rsidP="008B6437">
      <w:pPr>
        <w:spacing w:after="0" w:line="480" w:lineRule="auto"/>
        <w:contextualSpacing/>
        <w:jc w:val="both"/>
        <w:outlineLvl w:val="0"/>
        <w:rPr>
          <w:i/>
        </w:rPr>
      </w:pPr>
    </w:p>
    <w:p w14:paraId="01EA1B45" w14:textId="5FA11703" w:rsidR="00735537" w:rsidRPr="00485DD6" w:rsidRDefault="00735537" w:rsidP="008B6437">
      <w:pPr>
        <w:spacing w:after="0" w:line="480" w:lineRule="auto"/>
        <w:contextualSpacing/>
        <w:jc w:val="both"/>
      </w:pPr>
      <w:r w:rsidRPr="00485DD6">
        <w:t xml:space="preserve">TABLE 4.  ADJUSTED RELATIONSHIPS BETWEEN PRO-VIOLENCE ATTITUDES AND </w:t>
      </w:r>
      <w:r w:rsidR="00050770">
        <w:t xml:space="preserve">RISK </w:t>
      </w:r>
      <w:r w:rsidRPr="00485DD6">
        <w:t xml:space="preserve">FACTORS </w:t>
      </w:r>
    </w:p>
    <w:p w14:paraId="399479D4" w14:textId="77777777" w:rsidR="00735537" w:rsidRPr="00485DD6" w:rsidRDefault="00735537" w:rsidP="008B6437">
      <w:pPr>
        <w:spacing w:after="0" w:line="480" w:lineRule="auto"/>
        <w:contextualSpacing/>
        <w:jc w:val="both"/>
        <w:outlineLvl w:val="0"/>
        <w:rPr>
          <w:i/>
        </w:rPr>
      </w:pPr>
    </w:p>
    <w:p w14:paraId="61C87150" w14:textId="77777777" w:rsidR="00581AD6" w:rsidRPr="00485DD6" w:rsidRDefault="00581AD6" w:rsidP="008B6437">
      <w:pPr>
        <w:spacing w:after="0" w:line="480" w:lineRule="auto"/>
        <w:contextualSpacing/>
        <w:jc w:val="both"/>
        <w:outlineLvl w:val="0"/>
        <w:rPr>
          <w:i/>
        </w:rPr>
      </w:pPr>
      <w:r w:rsidRPr="00485DD6">
        <w:rPr>
          <w:i/>
        </w:rPr>
        <w:t>Mediation</w:t>
      </w:r>
    </w:p>
    <w:p w14:paraId="3600B2C4" w14:textId="7A788089" w:rsidR="00936FCA" w:rsidRPr="00485DD6" w:rsidRDefault="00581AD6" w:rsidP="008B6437">
      <w:pPr>
        <w:spacing w:after="0" w:line="480" w:lineRule="auto"/>
        <w:ind w:firstLine="720"/>
        <w:contextualSpacing/>
        <w:jc w:val="both"/>
      </w:pPr>
      <w:r w:rsidRPr="00485DD6">
        <w:t xml:space="preserve">To identify possible mediators, especially within negative perceptions, Table 5 uses Baron and Kenny’s (1986) mediation framework. In order to establish mediation </w:t>
      </w:r>
      <w:r w:rsidRPr="00485DD6">
        <w:lastRenderedPageBreak/>
        <w:t xml:space="preserve">between first generation and violent attitudes, the </w:t>
      </w:r>
      <w:r w:rsidR="007521A2">
        <w:t>following four conditions need</w:t>
      </w:r>
      <w:r w:rsidRPr="00485DD6">
        <w:t xml:space="preserve"> to be met: (1) being a first-generation immigrant should be related to pro-violence attitudes; (2) being a first-generation immigrant should be related to the prospective mediator; (3) the prospective meditator should be related to pro-violence attitudes</w:t>
      </w:r>
      <w:r w:rsidR="007521A2">
        <w:t>,</w:t>
      </w:r>
      <w:r w:rsidRPr="00485DD6">
        <w:t xml:space="preserve"> controlling for being a first-generation </w:t>
      </w:r>
    </w:p>
    <w:p w14:paraId="61B00638" w14:textId="2B917FC0" w:rsidR="00581AD6" w:rsidRPr="00485DD6" w:rsidRDefault="00581AD6" w:rsidP="008B6437">
      <w:pPr>
        <w:spacing w:after="0" w:line="480" w:lineRule="auto"/>
        <w:contextualSpacing/>
        <w:jc w:val="both"/>
      </w:pPr>
      <w:r w:rsidRPr="00485DD6">
        <w:t xml:space="preserve">immigrant; and (4) the strength of </w:t>
      </w:r>
      <w:r w:rsidR="007521A2">
        <w:t xml:space="preserve">relationship between </w:t>
      </w:r>
      <w:r w:rsidRPr="00485DD6">
        <w:t xml:space="preserve">being a first-generation immigrant </w:t>
      </w:r>
      <w:r w:rsidR="007521A2">
        <w:t xml:space="preserve">and pro-violence attitudes </w:t>
      </w:r>
      <w:r w:rsidRPr="00485DD6">
        <w:t xml:space="preserve">controlling for the possible mediator. </w:t>
      </w:r>
    </w:p>
    <w:p w14:paraId="38EB6B5C" w14:textId="4873F740" w:rsidR="00581AD6" w:rsidRPr="00485DD6" w:rsidRDefault="00581AD6" w:rsidP="008B6437">
      <w:pPr>
        <w:spacing w:after="0" w:line="480" w:lineRule="auto"/>
        <w:contextualSpacing/>
        <w:jc w:val="both"/>
      </w:pPr>
      <w:r w:rsidRPr="00485DD6">
        <w:tab/>
        <w:t xml:space="preserve">In Step 1, being a first-generation immigrant is significantly related to pro-violence attitudes (OR=1.29. CI=1.05-1.58). In Step 2, there are significant relationships between being a first-generation immigrant and the following 7 factors: having a high proportion of different ethnic friends (OR=3.80, CI=3.35-4.32), having a non-English main language (OR=39.04, CI=31.00-49.16), experiencing harassment (OR=3.08. CI=2.73-3.46), feeling excluded (OR=1.60, CI=1.36-1.88), </w:t>
      </w:r>
      <w:r w:rsidR="00C46516">
        <w:t>having</w:t>
      </w:r>
      <w:r w:rsidR="00EB5F4A" w:rsidRPr="00485DD6">
        <w:t xml:space="preserve"> no influence</w:t>
      </w:r>
      <w:r w:rsidRPr="00485DD6">
        <w:t xml:space="preserve"> (OR=0.71, CI=0.64-0.80), distrusting the police (OR=0.76, CI=0.65-0.88), and a fear of becoming a victim of crime (OR=2.31, CI=1.92-2.78). All four negative perceptions and harassment were significant. But </w:t>
      </w:r>
      <w:r w:rsidR="00C46516">
        <w:t>having</w:t>
      </w:r>
      <w:r w:rsidR="00EB5F4A" w:rsidRPr="00485DD6">
        <w:t xml:space="preserve"> no influence</w:t>
      </w:r>
      <w:r w:rsidRPr="00485DD6">
        <w:t xml:space="preserve"> and distrusting the police were negatively associated with being a first-generation immigrant.</w:t>
      </w:r>
    </w:p>
    <w:p w14:paraId="4990FF87" w14:textId="4EF2CC83" w:rsidR="00EB5F4A" w:rsidRPr="00485DD6" w:rsidRDefault="00581AD6" w:rsidP="008B6437">
      <w:pPr>
        <w:spacing w:after="0" w:line="480" w:lineRule="auto"/>
        <w:contextualSpacing/>
        <w:jc w:val="both"/>
      </w:pPr>
      <w:r w:rsidRPr="00485DD6">
        <w:tab/>
        <w:t xml:space="preserve">In Step 3, after controlling for being a first-generation immigrant, feeling excluded (OR=1.42, CI=1.09-1.85) and mistrust in the police (OR=2.11, CI=1.68-2.66) were </w:t>
      </w:r>
      <w:r w:rsidR="00C46516">
        <w:t xml:space="preserve">significantly </w:t>
      </w:r>
      <w:r w:rsidRPr="00485DD6">
        <w:t xml:space="preserve">related to pro-violence attitudes. Lastly, in Step 4, the strength of being a first-generation </w:t>
      </w:r>
      <w:r w:rsidR="00936FCA" w:rsidRPr="00485DD6">
        <w:t xml:space="preserve">immigrant was reduced when controlling for feeling excluded (OR=1.26, CI=1.02-1.55) and fearing becoming a victim of crime (OR=1.27, CI=1.03-1.56). </w:t>
      </w:r>
      <w:r w:rsidR="00C46516">
        <w:t>W</w:t>
      </w:r>
      <w:r w:rsidR="00936FCA" w:rsidRPr="00485DD6">
        <w:t>hen adjusting for</w:t>
      </w:r>
      <w:r w:rsidR="00C46516">
        <w:t xml:space="preserve"> </w:t>
      </w:r>
      <w:r w:rsidRPr="00485DD6">
        <w:t xml:space="preserve">different ethnic friends, </w:t>
      </w:r>
      <w:r w:rsidR="00C46516" w:rsidRPr="00485DD6">
        <w:t>neighbourhood</w:t>
      </w:r>
      <w:r w:rsidRPr="00485DD6">
        <w:t xml:space="preserve"> </w:t>
      </w:r>
      <w:r w:rsidR="00EB5F4A" w:rsidRPr="00485DD6">
        <w:t xml:space="preserve">dissatisfaction, </w:t>
      </w:r>
      <w:r w:rsidR="000F2EBA">
        <w:t>having</w:t>
      </w:r>
      <w:r w:rsidR="00EB5F4A" w:rsidRPr="00485DD6">
        <w:t xml:space="preserve"> </w:t>
      </w:r>
      <w:r w:rsidR="00EB5F4A" w:rsidRPr="00485DD6">
        <w:lastRenderedPageBreak/>
        <w:t xml:space="preserve">no influence, and mistrust in the police, the relationship between being a first-generation immigrant and having violent attitudes was significant, </w:t>
      </w:r>
      <w:r w:rsidR="000F2EBA">
        <w:t xml:space="preserve">but </w:t>
      </w:r>
      <w:r w:rsidR="00EB5F4A" w:rsidRPr="00485DD6">
        <w:t xml:space="preserve">these possible mediators </w:t>
      </w:r>
      <w:r w:rsidR="000F2EBA">
        <w:t>did not</w:t>
      </w:r>
      <w:r w:rsidR="00EB5F4A" w:rsidRPr="00485DD6">
        <w:t xml:space="preserve"> reduce the strength of the effect. Based on these findings, the only mediator that qualified according to the Baron and Kenny framework was feeling excluded</w:t>
      </w:r>
      <w:r w:rsidR="000F2EBA">
        <w:t>.</w:t>
      </w:r>
      <w:r w:rsidR="00EB5F4A" w:rsidRPr="00485DD6">
        <w:t xml:space="preserve"> </w:t>
      </w:r>
    </w:p>
    <w:p w14:paraId="304693DF" w14:textId="77777777" w:rsidR="00735537" w:rsidRPr="00485DD6" w:rsidRDefault="00735537" w:rsidP="008B6437">
      <w:pPr>
        <w:spacing w:after="0" w:line="480" w:lineRule="auto"/>
        <w:contextualSpacing/>
        <w:jc w:val="both"/>
      </w:pPr>
    </w:p>
    <w:p w14:paraId="078061D2" w14:textId="77777777" w:rsidR="00735537" w:rsidRPr="00485DD6" w:rsidRDefault="00735537" w:rsidP="008B6437">
      <w:pPr>
        <w:spacing w:line="480" w:lineRule="auto"/>
        <w:jc w:val="both"/>
      </w:pPr>
      <w:r w:rsidRPr="00485DD6">
        <w:t>TABLE 5. POSSIBLE MEDIATORS BETWEEN FIRST-GENERATION IMMIGRANT STATUS AND PRO-VIOLENCE ATTITUDES</w:t>
      </w:r>
    </w:p>
    <w:p w14:paraId="1EA3A868" w14:textId="77777777" w:rsidR="00735537" w:rsidRPr="00485DD6" w:rsidRDefault="00735537" w:rsidP="008B6437">
      <w:pPr>
        <w:spacing w:after="0" w:line="480" w:lineRule="auto"/>
        <w:contextualSpacing/>
        <w:jc w:val="both"/>
      </w:pPr>
    </w:p>
    <w:p w14:paraId="6B3331B0" w14:textId="3BD14CF5" w:rsidR="00936FCA" w:rsidRPr="00485DD6" w:rsidRDefault="00EB5F4A" w:rsidP="008B6437">
      <w:pPr>
        <w:spacing w:line="480" w:lineRule="auto"/>
        <w:ind w:firstLine="720"/>
        <w:jc w:val="both"/>
      </w:pPr>
      <w:r w:rsidRPr="00485DD6">
        <w:t>To confirm these findings, the bootstrapping</w:t>
      </w:r>
      <w:r w:rsidR="000F2EBA">
        <w:t xml:space="preserve"> method was used. Table 6 shows</w:t>
      </w:r>
      <w:r w:rsidRPr="00485DD6">
        <w:t xml:space="preserve"> that the indirect, direct, and total effects of the relationship between being a first-generation immigrant, </w:t>
      </w:r>
      <w:r w:rsidR="00E605D1" w:rsidRPr="00485DD6">
        <w:t>perceived exclusion</w:t>
      </w:r>
      <w:r w:rsidRPr="00485DD6">
        <w:t xml:space="preserve">, and having violent attitudes were significant. The reason is that 0 was not contained within the 95% CI (using the bias corrected and accelerated [BCA]). The strength of these effects, however, was small. </w:t>
      </w:r>
    </w:p>
    <w:p w14:paraId="2FA19DDF" w14:textId="77777777" w:rsidR="00735537" w:rsidRPr="00485DD6" w:rsidRDefault="00735537" w:rsidP="008B6437">
      <w:pPr>
        <w:spacing w:line="480" w:lineRule="auto"/>
        <w:ind w:firstLine="720"/>
        <w:jc w:val="both"/>
      </w:pPr>
    </w:p>
    <w:p w14:paraId="1D7BC0D6" w14:textId="0B8EF314" w:rsidR="00735537" w:rsidRPr="00485DD6" w:rsidRDefault="00735537" w:rsidP="008B6437">
      <w:pPr>
        <w:spacing w:line="480" w:lineRule="auto"/>
        <w:jc w:val="both"/>
      </w:pPr>
      <w:r w:rsidRPr="00485DD6">
        <w:t xml:space="preserve">TABLE 6. </w:t>
      </w:r>
      <w:r w:rsidR="00050770" w:rsidRPr="00050770">
        <w:rPr>
          <w:rFonts w:eastAsia="Times New Roman"/>
          <w:color w:val="000000"/>
          <w:lang w:val="en-US"/>
        </w:rPr>
        <w:t>FEELING EXCLUDED AS A MEDIATOR BETWEEN FIRST-GENERATION IMMIGRANT STATUS AND PRO-VIOLENCE ATTITUDES (N=4.949)</w:t>
      </w:r>
    </w:p>
    <w:p w14:paraId="1E0E12F6" w14:textId="3DE85175" w:rsidR="007A2D32" w:rsidRPr="00485DD6" w:rsidRDefault="007A2D32" w:rsidP="008B6437">
      <w:pPr>
        <w:pStyle w:val="Heading5"/>
        <w:spacing w:before="0" w:beforeAutospacing="0" w:after="0" w:afterAutospacing="0" w:line="480" w:lineRule="auto"/>
        <w:contextualSpacing/>
        <w:jc w:val="both"/>
        <w:rPr>
          <w:rFonts w:ascii="Times New Roman" w:hAnsi="Times New Roman" w:cs="Times New Roman"/>
          <w:color w:val="1F497D" w:themeColor="text2"/>
          <w:sz w:val="24"/>
          <w:szCs w:val="24"/>
        </w:rPr>
      </w:pPr>
      <w:r w:rsidRPr="00485DD6">
        <w:rPr>
          <w:rFonts w:ascii="Times New Roman" w:hAnsi="Times New Roman" w:cs="Times New Roman"/>
          <w:color w:val="1F497D" w:themeColor="text2"/>
          <w:sz w:val="24"/>
          <w:szCs w:val="24"/>
        </w:rPr>
        <w:t xml:space="preserve">Discussion </w:t>
      </w:r>
    </w:p>
    <w:p w14:paraId="14E781BC" w14:textId="1C9E18FA" w:rsidR="00DF5A4F" w:rsidRPr="00485DD6" w:rsidRDefault="00E82283" w:rsidP="008B6437">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The purpose of the present study was to investigate (1) whether differences in violence levels</w:t>
      </w:r>
      <w:r w:rsidR="00E605D1" w:rsidRPr="00485DD6">
        <w:rPr>
          <w:rFonts w:ascii="Times New Roman" w:hAnsi="Times New Roman" w:cs="Times New Roman"/>
          <w:b w:val="0"/>
          <w:color w:val="1F497D" w:themeColor="text2"/>
          <w:sz w:val="24"/>
          <w:szCs w:val="24"/>
        </w:rPr>
        <w:t xml:space="preserve"> between </w:t>
      </w:r>
      <w:r w:rsidR="002745BB" w:rsidRPr="00485DD6">
        <w:rPr>
          <w:rFonts w:ascii="Times New Roman" w:hAnsi="Times New Roman" w:cs="Times New Roman"/>
          <w:b w:val="0"/>
          <w:color w:val="1F497D" w:themeColor="text2"/>
          <w:sz w:val="24"/>
          <w:szCs w:val="24"/>
        </w:rPr>
        <w:t xml:space="preserve">different </w:t>
      </w:r>
      <w:r w:rsidR="00E605D1" w:rsidRPr="00485DD6">
        <w:rPr>
          <w:rFonts w:ascii="Times New Roman" w:hAnsi="Times New Roman" w:cs="Times New Roman"/>
          <w:b w:val="0"/>
          <w:color w:val="1F497D" w:themeColor="text2"/>
          <w:sz w:val="24"/>
          <w:szCs w:val="24"/>
        </w:rPr>
        <w:t xml:space="preserve">immigrant generational </w:t>
      </w:r>
      <w:r w:rsidR="002745BB" w:rsidRPr="00485DD6">
        <w:rPr>
          <w:rFonts w:ascii="Times New Roman" w:hAnsi="Times New Roman" w:cs="Times New Roman"/>
          <w:b w:val="0"/>
          <w:color w:val="1F497D" w:themeColor="text2"/>
          <w:sz w:val="24"/>
          <w:szCs w:val="24"/>
        </w:rPr>
        <w:t>statuses</w:t>
      </w:r>
      <w:r w:rsidRPr="00485DD6">
        <w:rPr>
          <w:rFonts w:ascii="Times New Roman" w:hAnsi="Times New Roman" w:cs="Times New Roman"/>
          <w:b w:val="0"/>
          <w:color w:val="1F497D" w:themeColor="text2"/>
          <w:sz w:val="24"/>
          <w:szCs w:val="24"/>
        </w:rPr>
        <w:t xml:space="preserve"> could be </w:t>
      </w:r>
      <w:r w:rsidR="000F2EBA">
        <w:rPr>
          <w:rFonts w:ascii="Times New Roman" w:hAnsi="Times New Roman" w:cs="Times New Roman"/>
          <w:b w:val="0"/>
          <w:color w:val="1F497D" w:themeColor="text2"/>
          <w:sz w:val="24"/>
          <w:szCs w:val="24"/>
        </w:rPr>
        <w:t>explained by reference to</w:t>
      </w:r>
      <w:r w:rsidRPr="00485DD6">
        <w:rPr>
          <w:rFonts w:ascii="Times New Roman" w:hAnsi="Times New Roman" w:cs="Times New Roman"/>
          <w:b w:val="0"/>
          <w:color w:val="1F497D" w:themeColor="text2"/>
          <w:sz w:val="24"/>
          <w:szCs w:val="24"/>
        </w:rPr>
        <w:t xml:space="preserve"> differences in negative perceptions and pro-violence attitudes and (2) </w:t>
      </w:r>
      <w:r w:rsidR="001C2554" w:rsidRPr="00485DD6">
        <w:rPr>
          <w:rFonts w:ascii="Times New Roman" w:hAnsi="Times New Roman" w:cs="Times New Roman"/>
          <w:b w:val="0"/>
          <w:color w:val="1F497D" w:themeColor="text2"/>
          <w:sz w:val="24"/>
          <w:szCs w:val="24"/>
        </w:rPr>
        <w:t xml:space="preserve">whether previous findings are applicable to the British context. </w:t>
      </w:r>
    </w:p>
    <w:p w14:paraId="6D8A001F" w14:textId="2EA5327E" w:rsidR="00727F66" w:rsidRPr="00485DD6" w:rsidRDefault="00B56D03" w:rsidP="000F2EBA">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lastRenderedPageBreak/>
        <w:t>Informed by the literature, w</w:t>
      </w:r>
      <w:r w:rsidR="001C2554" w:rsidRPr="00485DD6">
        <w:rPr>
          <w:rFonts w:ascii="Times New Roman" w:hAnsi="Times New Roman" w:cs="Times New Roman"/>
          <w:b w:val="0"/>
          <w:color w:val="1F497D" w:themeColor="text2"/>
          <w:sz w:val="24"/>
          <w:szCs w:val="24"/>
        </w:rPr>
        <w:t>e had theorized that the relationship between negative perception</w:t>
      </w:r>
      <w:r w:rsidR="007B4CEF" w:rsidRPr="00485DD6">
        <w:rPr>
          <w:rFonts w:ascii="Times New Roman" w:hAnsi="Times New Roman" w:cs="Times New Roman"/>
          <w:b w:val="0"/>
          <w:color w:val="1F497D" w:themeColor="text2"/>
          <w:sz w:val="24"/>
          <w:szCs w:val="24"/>
        </w:rPr>
        <w:t>s and pro-violence attitudes would be</w:t>
      </w:r>
      <w:r w:rsidR="001C2554" w:rsidRPr="00485DD6">
        <w:rPr>
          <w:rFonts w:ascii="Times New Roman" w:hAnsi="Times New Roman" w:cs="Times New Roman"/>
          <w:b w:val="0"/>
          <w:color w:val="1F497D" w:themeColor="text2"/>
          <w:sz w:val="24"/>
          <w:szCs w:val="24"/>
        </w:rPr>
        <w:t xml:space="preserve"> significant for second-gener</w:t>
      </w:r>
      <w:r w:rsidR="007B4CEF" w:rsidRPr="00485DD6">
        <w:rPr>
          <w:rFonts w:ascii="Times New Roman" w:hAnsi="Times New Roman" w:cs="Times New Roman"/>
          <w:b w:val="0"/>
          <w:color w:val="1F497D" w:themeColor="text2"/>
          <w:sz w:val="24"/>
          <w:szCs w:val="24"/>
        </w:rPr>
        <w:t xml:space="preserve">ation </w:t>
      </w:r>
      <w:r w:rsidR="000F2EBA">
        <w:rPr>
          <w:rFonts w:ascii="Times New Roman" w:hAnsi="Times New Roman" w:cs="Times New Roman"/>
          <w:b w:val="0"/>
          <w:color w:val="1F497D" w:themeColor="text2"/>
          <w:sz w:val="24"/>
          <w:szCs w:val="24"/>
        </w:rPr>
        <w:t>immigrants, and that pro-violence</w:t>
      </w:r>
      <w:r w:rsidR="007B4CEF" w:rsidRPr="00485DD6">
        <w:rPr>
          <w:rFonts w:ascii="Times New Roman" w:hAnsi="Times New Roman" w:cs="Times New Roman"/>
          <w:b w:val="0"/>
          <w:color w:val="1F497D" w:themeColor="text2"/>
          <w:sz w:val="24"/>
          <w:szCs w:val="24"/>
        </w:rPr>
        <w:t xml:space="preserve"> attitudes would be higher in this group compared to the first-generation immigrant</w:t>
      </w:r>
      <w:r w:rsidR="000F2EBA">
        <w:rPr>
          <w:rFonts w:ascii="Times New Roman" w:hAnsi="Times New Roman" w:cs="Times New Roman"/>
          <w:b w:val="0"/>
          <w:color w:val="1F497D" w:themeColor="text2"/>
          <w:sz w:val="24"/>
          <w:szCs w:val="24"/>
        </w:rPr>
        <w:t>s</w:t>
      </w:r>
      <w:r w:rsidR="007B4CEF" w:rsidRPr="00485DD6">
        <w:rPr>
          <w:rFonts w:ascii="Times New Roman" w:hAnsi="Times New Roman" w:cs="Times New Roman"/>
          <w:b w:val="0"/>
          <w:color w:val="1F497D" w:themeColor="text2"/>
          <w:sz w:val="24"/>
          <w:szCs w:val="24"/>
        </w:rPr>
        <w:t xml:space="preserve">. </w:t>
      </w:r>
      <w:r w:rsidRPr="00485DD6">
        <w:rPr>
          <w:rFonts w:ascii="Times New Roman" w:hAnsi="Times New Roman" w:cs="Times New Roman"/>
          <w:b w:val="0"/>
          <w:color w:val="1F497D" w:themeColor="text2"/>
          <w:sz w:val="24"/>
          <w:szCs w:val="24"/>
        </w:rPr>
        <w:t xml:space="preserve">But our </w:t>
      </w:r>
      <w:r w:rsidR="000A2B48" w:rsidRPr="00485DD6">
        <w:rPr>
          <w:rFonts w:ascii="Times New Roman" w:hAnsi="Times New Roman" w:cs="Times New Roman"/>
          <w:b w:val="0"/>
          <w:color w:val="1F497D" w:themeColor="text2"/>
          <w:sz w:val="24"/>
          <w:szCs w:val="24"/>
        </w:rPr>
        <w:t xml:space="preserve">main </w:t>
      </w:r>
      <w:r w:rsidRPr="00485DD6">
        <w:rPr>
          <w:rFonts w:ascii="Times New Roman" w:hAnsi="Times New Roman" w:cs="Times New Roman"/>
          <w:b w:val="0"/>
          <w:color w:val="1F497D" w:themeColor="text2"/>
          <w:sz w:val="24"/>
          <w:szCs w:val="24"/>
        </w:rPr>
        <w:t xml:space="preserve">findings showed the exact opposite: first-generation immigrants </w:t>
      </w:r>
      <w:r w:rsidR="000A2B48" w:rsidRPr="00485DD6">
        <w:rPr>
          <w:rFonts w:ascii="Times New Roman" w:hAnsi="Times New Roman" w:cs="Times New Roman"/>
          <w:b w:val="0"/>
          <w:color w:val="1F497D" w:themeColor="text2"/>
          <w:sz w:val="24"/>
          <w:szCs w:val="24"/>
        </w:rPr>
        <w:t xml:space="preserve">had a higher prevalence of pro-violence attitudes. Further, </w:t>
      </w:r>
      <w:r w:rsidR="000F2EBA">
        <w:rPr>
          <w:rFonts w:ascii="Times New Roman" w:hAnsi="Times New Roman" w:cs="Times New Roman"/>
          <w:b w:val="0"/>
          <w:color w:val="1F497D" w:themeColor="text2"/>
          <w:sz w:val="24"/>
          <w:szCs w:val="24"/>
        </w:rPr>
        <w:t>feeling excluded</w:t>
      </w:r>
      <w:r w:rsidR="000A2B48" w:rsidRPr="00485DD6">
        <w:rPr>
          <w:rFonts w:ascii="Times New Roman" w:hAnsi="Times New Roman" w:cs="Times New Roman"/>
          <w:b w:val="0"/>
          <w:color w:val="1F497D" w:themeColor="text2"/>
          <w:sz w:val="24"/>
          <w:szCs w:val="24"/>
        </w:rPr>
        <w:t xml:space="preserve"> from British society mediated this relationship. The unexpected finding contradicts previous findings that have consistently found that second-generation immigrants have higher violence levels and suffer from more risks for violence than first-generation immigrant</w:t>
      </w:r>
      <w:r w:rsidR="002745BB" w:rsidRPr="00485DD6">
        <w:rPr>
          <w:rFonts w:ascii="Times New Roman" w:hAnsi="Times New Roman" w:cs="Times New Roman"/>
          <w:b w:val="0"/>
          <w:color w:val="1F497D" w:themeColor="text2"/>
          <w:sz w:val="24"/>
          <w:szCs w:val="24"/>
        </w:rPr>
        <w:t>s</w:t>
      </w:r>
      <w:r w:rsidR="000F2EBA">
        <w:rPr>
          <w:rFonts w:ascii="Times New Roman" w:hAnsi="Times New Roman" w:cs="Times New Roman"/>
          <w:b w:val="0"/>
          <w:color w:val="1F497D" w:themeColor="text2"/>
          <w:sz w:val="24"/>
          <w:szCs w:val="24"/>
        </w:rPr>
        <w:t>.</w:t>
      </w:r>
    </w:p>
    <w:p w14:paraId="76AD6860" w14:textId="37E35583" w:rsidR="007D75A7" w:rsidRPr="00485DD6" w:rsidRDefault="00323953" w:rsidP="008B6437">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 xml:space="preserve">From their study of violence among Southeast Asian and Chinese youth, </w:t>
      </w:r>
      <w:r w:rsidRPr="00485DD6">
        <w:rPr>
          <w:rFonts w:ascii="Times New Roman" w:hAnsi="Times New Roman" w:cs="Times New Roman"/>
          <w:b w:val="0"/>
          <w:color w:val="1F497D" w:themeColor="text2"/>
          <w:sz w:val="24"/>
          <w:szCs w:val="24"/>
        </w:rPr>
        <w:fldChar w:fldCharType="begin" w:fldLock="1"/>
      </w:r>
      <w:r w:rsidRPr="00485DD6">
        <w:rPr>
          <w:rFonts w:ascii="Times New Roman" w:hAnsi="Times New Roman" w:cs="Times New Roman"/>
          <w:b w:val="0"/>
          <w:color w:val="1F497D" w:themeColor="text2"/>
          <w:sz w:val="24"/>
          <w:szCs w:val="24"/>
        </w:rPr>
        <w:instrText>ADDIN CSL_CITATION { "citationItems" : [ { "id" : "ITEM-1", "itemData" : { "PMID" : "16841183", "abstract" : "PURPOSE: To assess the effects of parents' experience of traumatic events on violence among Southeast Asian and Chinese youth. The study examines independent effects of parents' refugee camp experiences and immigration stress on serious or family/partner violence among youth. Findings contribute evidence on the intergenerational effects of community-level trauma that can help policy makers better integrate family and community strategies to reduce youth violence. METHODS: Obtained cross-sectional, face-to-face interview data including peer delinquency, parental engagement, parental discipline, serious violence, and family/partner violence from a sample of 329 Chinese and Southeast Asian adolescents. Measures of socioeconomic status, refugee status, and immigration stressors were collected from their respective parents. Data were analyzed using LISREL 8.54 for structural equation modeling. RESULTS: Findings show that parents' refugee status facilitated serious violence, and was fully mediated by peer delinquency and parental engagement, but for Vietnamese only. Parents' refugee status was also significantly related to family/partner violence, and mediated by peer delinquency. This relationship was not observed among the other Asian ethnic groups. The immigration stress variable had no significant effects on either serious violence or family/partner violence. CONCLUSIONS: Refugee communities may not transform easily into stereotypical immigrant Asian communities characterized by little youth violence. Results suggest that the refugee process, as experienced second-hand through the children of refugees, has a strong effect on externally oriented violence (serious violence) and on family/partner violence for particular subgroups. Therefore, community-oriented policy makers should join social workers in developing programs to address youth violence in Southeast Asian families and communities. Findings have implications for other forms of community trauma such as natural disasters.", "author" : [ { "dropping-particle" : "", "family" : "Spencer", "given" : "James H", "non-dropping-particle" : "", "parse-names" : false, "suffix" : "" }, { "dropping-particle" : "", "family" : "Le", "given" : "Thao N", "non-dropping-particle" : "", "parse-names" : false, "suffix" : "" } ], "container-title" : "Journal of Immigrant and Minority Health", "id" : "ITEM-1", "issue" : "4", "issued" : { "date-parts" : [ [ "2006" ] ] }, "page" : "359-368", "publisher" : "Germany: Springer", "title" : "Parent refugee status, immigration stressors, and Southeast Asian youth violence", "type" : "article-journal", "volume" : "8" }, "uris" : [ "http://www.mendeley.com/documents/?uuid=4bdf139d-83fd-4da0-a712-6c08a3dfd7da" ] } ], "mendeley" : { "formattedCitation" : "(Spencer and Le, 2006)", "manualFormatting" : "Spencer and  Le (2006)", "plainTextFormattedCitation" : "(Spencer and Le, 2006)", "previouslyFormattedCitation" : "(Spencer and Le, 2006)" }, "properties" : { "noteIndex" : 0 }, "schema" : "https://github.com/citation-style-language/schema/raw/master/csl-citation.json" }</w:instrText>
      </w:r>
      <w:r w:rsidRPr="00485DD6">
        <w:rPr>
          <w:rFonts w:ascii="Times New Roman" w:hAnsi="Times New Roman" w:cs="Times New Roman"/>
          <w:b w:val="0"/>
          <w:color w:val="1F497D" w:themeColor="text2"/>
          <w:sz w:val="24"/>
          <w:szCs w:val="24"/>
        </w:rPr>
        <w:fldChar w:fldCharType="separate"/>
      </w:r>
      <w:r w:rsidRPr="00485DD6">
        <w:rPr>
          <w:rFonts w:ascii="Times New Roman" w:hAnsi="Times New Roman" w:cs="Times New Roman"/>
          <w:b w:val="0"/>
          <w:noProof/>
          <w:color w:val="1F497D" w:themeColor="text2"/>
          <w:sz w:val="24"/>
          <w:szCs w:val="24"/>
        </w:rPr>
        <w:t>Spencer and  Le (2006)</w:t>
      </w:r>
      <w:r w:rsidRPr="00485DD6">
        <w:rPr>
          <w:rFonts w:ascii="Times New Roman" w:hAnsi="Times New Roman" w:cs="Times New Roman"/>
          <w:b w:val="0"/>
          <w:color w:val="1F497D" w:themeColor="text2"/>
          <w:sz w:val="24"/>
          <w:szCs w:val="24"/>
        </w:rPr>
        <w:fldChar w:fldCharType="end"/>
      </w:r>
      <w:r w:rsidR="001C2554" w:rsidRPr="00485DD6">
        <w:rPr>
          <w:rFonts w:ascii="Times New Roman" w:hAnsi="Times New Roman" w:cs="Times New Roman"/>
          <w:b w:val="0"/>
          <w:color w:val="1F497D" w:themeColor="text2"/>
          <w:sz w:val="24"/>
          <w:szCs w:val="24"/>
        </w:rPr>
        <w:t xml:space="preserve"> </w:t>
      </w:r>
      <w:r w:rsidRPr="00485DD6">
        <w:rPr>
          <w:rFonts w:ascii="Times New Roman" w:hAnsi="Times New Roman" w:cs="Times New Roman"/>
          <w:b w:val="0"/>
          <w:color w:val="1F497D" w:themeColor="text2"/>
          <w:sz w:val="24"/>
          <w:szCs w:val="24"/>
        </w:rPr>
        <w:t>concluded that parents’ traumatic refugee  experiences</w:t>
      </w:r>
      <w:r w:rsidR="007C1FDE" w:rsidRPr="00485DD6">
        <w:rPr>
          <w:rFonts w:ascii="Times New Roman" w:hAnsi="Times New Roman" w:cs="Times New Roman"/>
          <w:b w:val="0"/>
          <w:color w:val="1F497D" w:themeColor="text2"/>
          <w:sz w:val="24"/>
          <w:szCs w:val="24"/>
        </w:rPr>
        <w:t>, particularly among the Vietnamese,</w:t>
      </w:r>
      <w:r w:rsidRPr="00485DD6">
        <w:rPr>
          <w:rFonts w:ascii="Times New Roman" w:hAnsi="Times New Roman" w:cs="Times New Roman"/>
          <w:b w:val="0"/>
          <w:color w:val="1F497D" w:themeColor="text2"/>
          <w:sz w:val="24"/>
          <w:szCs w:val="24"/>
        </w:rPr>
        <w:t xml:space="preserve"> were felt indirectly by their children and </w:t>
      </w:r>
      <w:r w:rsidR="007C1FDE" w:rsidRPr="00485DD6">
        <w:rPr>
          <w:rFonts w:ascii="Times New Roman" w:hAnsi="Times New Roman" w:cs="Times New Roman"/>
          <w:b w:val="0"/>
          <w:color w:val="1F497D" w:themeColor="text2"/>
          <w:sz w:val="24"/>
          <w:szCs w:val="24"/>
        </w:rPr>
        <w:t xml:space="preserve">promoted their children’s engagement in serious violence. Although attitudes </w:t>
      </w:r>
      <w:r w:rsidR="00033BA6">
        <w:rPr>
          <w:rFonts w:ascii="Times New Roman" w:hAnsi="Times New Roman" w:cs="Times New Roman"/>
          <w:b w:val="0"/>
          <w:color w:val="1F497D" w:themeColor="text2"/>
          <w:sz w:val="24"/>
          <w:szCs w:val="24"/>
        </w:rPr>
        <w:t>supporting violence are</w:t>
      </w:r>
      <w:r w:rsidR="007C1FDE" w:rsidRPr="00485DD6">
        <w:rPr>
          <w:rFonts w:ascii="Times New Roman" w:hAnsi="Times New Roman" w:cs="Times New Roman"/>
          <w:b w:val="0"/>
          <w:color w:val="1F497D" w:themeColor="text2"/>
          <w:sz w:val="24"/>
          <w:szCs w:val="24"/>
        </w:rPr>
        <w:t xml:space="preserve"> associated with actual violence, the presen</w:t>
      </w:r>
      <w:r w:rsidR="002745BB" w:rsidRPr="00485DD6">
        <w:rPr>
          <w:rFonts w:ascii="Times New Roman" w:hAnsi="Times New Roman" w:cs="Times New Roman"/>
          <w:b w:val="0"/>
          <w:color w:val="1F497D" w:themeColor="text2"/>
          <w:sz w:val="24"/>
          <w:szCs w:val="24"/>
        </w:rPr>
        <w:t>t finding suggests that,</w:t>
      </w:r>
      <w:r w:rsidR="00DD5647" w:rsidRPr="00485DD6">
        <w:rPr>
          <w:rFonts w:ascii="Times New Roman" w:hAnsi="Times New Roman" w:cs="Times New Roman"/>
          <w:b w:val="0"/>
          <w:color w:val="1F497D" w:themeColor="text2"/>
          <w:sz w:val="24"/>
          <w:szCs w:val="24"/>
        </w:rPr>
        <w:t xml:space="preserve"> as a group,</w:t>
      </w:r>
      <w:r w:rsidR="007C1FDE" w:rsidRPr="00485DD6">
        <w:rPr>
          <w:rFonts w:ascii="Times New Roman" w:hAnsi="Times New Roman" w:cs="Times New Roman"/>
          <w:b w:val="0"/>
          <w:color w:val="1F497D" w:themeColor="text2"/>
          <w:sz w:val="24"/>
          <w:szCs w:val="24"/>
        </w:rPr>
        <w:t xml:space="preserve"> first-generation immigrants have negative perceptions towards the host society</w:t>
      </w:r>
      <w:r w:rsidR="00463D24" w:rsidRPr="00485DD6">
        <w:rPr>
          <w:rFonts w:ascii="Times New Roman" w:hAnsi="Times New Roman" w:cs="Times New Roman"/>
          <w:b w:val="0"/>
          <w:color w:val="1F497D" w:themeColor="text2"/>
          <w:sz w:val="24"/>
          <w:szCs w:val="24"/>
        </w:rPr>
        <w:t>,</w:t>
      </w:r>
      <w:r w:rsidR="007C1FDE" w:rsidRPr="00485DD6">
        <w:rPr>
          <w:rFonts w:ascii="Times New Roman" w:hAnsi="Times New Roman" w:cs="Times New Roman"/>
          <w:b w:val="0"/>
          <w:color w:val="1F497D" w:themeColor="text2"/>
          <w:sz w:val="24"/>
          <w:szCs w:val="24"/>
        </w:rPr>
        <w:t xml:space="preserve"> and</w:t>
      </w:r>
      <w:r w:rsidR="00463D24" w:rsidRPr="00485DD6">
        <w:rPr>
          <w:rFonts w:ascii="Times New Roman" w:hAnsi="Times New Roman" w:cs="Times New Roman"/>
          <w:b w:val="0"/>
          <w:color w:val="1F497D" w:themeColor="text2"/>
          <w:sz w:val="24"/>
          <w:szCs w:val="24"/>
        </w:rPr>
        <w:t xml:space="preserve"> as a result,</w:t>
      </w:r>
      <w:r w:rsidR="007C1FDE" w:rsidRPr="00485DD6">
        <w:rPr>
          <w:rFonts w:ascii="Times New Roman" w:hAnsi="Times New Roman" w:cs="Times New Roman"/>
          <w:b w:val="0"/>
          <w:color w:val="1F497D" w:themeColor="text2"/>
          <w:sz w:val="24"/>
          <w:szCs w:val="24"/>
        </w:rPr>
        <w:t xml:space="preserve"> </w:t>
      </w:r>
      <w:r w:rsidR="00033BA6" w:rsidRPr="00485DD6">
        <w:rPr>
          <w:rFonts w:ascii="Times New Roman" w:hAnsi="Times New Roman" w:cs="Times New Roman"/>
          <w:b w:val="0"/>
          <w:color w:val="1F497D" w:themeColor="text2"/>
          <w:sz w:val="24"/>
          <w:szCs w:val="24"/>
        </w:rPr>
        <w:t>harbour</w:t>
      </w:r>
      <w:r w:rsidR="007C1FDE" w:rsidRPr="00485DD6">
        <w:rPr>
          <w:rFonts w:ascii="Times New Roman" w:hAnsi="Times New Roman" w:cs="Times New Roman"/>
          <w:b w:val="0"/>
          <w:color w:val="1F497D" w:themeColor="text2"/>
          <w:sz w:val="24"/>
          <w:szCs w:val="24"/>
        </w:rPr>
        <w:t xml:space="preserve"> </w:t>
      </w:r>
      <w:r w:rsidR="00463D24" w:rsidRPr="00485DD6">
        <w:rPr>
          <w:rFonts w:ascii="Times New Roman" w:hAnsi="Times New Roman" w:cs="Times New Roman"/>
          <w:b w:val="0"/>
          <w:color w:val="1F497D" w:themeColor="text2"/>
          <w:sz w:val="24"/>
          <w:szCs w:val="24"/>
        </w:rPr>
        <w:t>violent attitudes. B</w:t>
      </w:r>
      <w:r w:rsidR="007C1FDE" w:rsidRPr="00485DD6">
        <w:rPr>
          <w:rFonts w:ascii="Times New Roman" w:hAnsi="Times New Roman" w:cs="Times New Roman"/>
          <w:b w:val="0"/>
          <w:color w:val="1F497D" w:themeColor="text2"/>
          <w:sz w:val="24"/>
          <w:szCs w:val="24"/>
        </w:rPr>
        <w:t xml:space="preserve">ut they do not </w:t>
      </w:r>
      <w:r w:rsidR="00033BA6">
        <w:rPr>
          <w:rFonts w:ascii="Times New Roman" w:hAnsi="Times New Roman" w:cs="Times New Roman"/>
          <w:b w:val="0"/>
          <w:color w:val="1F497D" w:themeColor="text2"/>
          <w:sz w:val="24"/>
          <w:szCs w:val="24"/>
        </w:rPr>
        <w:t>commit violence</w:t>
      </w:r>
      <w:r w:rsidR="007C1FDE" w:rsidRPr="00485DD6">
        <w:rPr>
          <w:rFonts w:ascii="Times New Roman" w:hAnsi="Times New Roman" w:cs="Times New Roman"/>
          <w:b w:val="0"/>
          <w:color w:val="1F497D" w:themeColor="text2"/>
          <w:sz w:val="24"/>
          <w:szCs w:val="24"/>
        </w:rPr>
        <w:t xml:space="preserve"> possibly because the protective effects of culture and community are stronger for this group than </w:t>
      </w:r>
      <w:r w:rsidR="007D75A7" w:rsidRPr="00485DD6">
        <w:rPr>
          <w:rFonts w:ascii="Times New Roman" w:hAnsi="Times New Roman" w:cs="Times New Roman"/>
          <w:b w:val="0"/>
          <w:color w:val="1F497D" w:themeColor="text2"/>
          <w:sz w:val="24"/>
          <w:szCs w:val="24"/>
        </w:rPr>
        <w:t xml:space="preserve">for </w:t>
      </w:r>
      <w:r w:rsidR="007C1FDE" w:rsidRPr="00485DD6">
        <w:rPr>
          <w:rFonts w:ascii="Times New Roman" w:hAnsi="Times New Roman" w:cs="Times New Roman"/>
          <w:b w:val="0"/>
          <w:color w:val="1F497D" w:themeColor="text2"/>
          <w:sz w:val="24"/>
          <w:szCs w:val="24"/>
        </w:rPr>
        <w:t>the s</w:t>
      </w:r>
      <w:r w:rsidR="00033BA6">
        <w:rPr>
          <w:rFonts w:ascii="Times New Roman" w:hAnsi="Times New Roman" w:cs="Times New Roman"/>
          <w:b w:val="0"/>
          <w:color w:val="1F497D" w:themeColor="text2"/>
          <w:sz w:val="24"/>
          <w:szCs w:val="24"/>
        </w:rPr>
        <w:t>econd-generation immigrants</w:t>
      </w:r>
      <w:r w:rsidR="007C1FDE" w:rsidRPr="00485DD6">
        <w:rPr>
          <w:rFonts w:ascii="Times New Roman" w:hAnsi="Times New Roman" w:cs="Times New Roman"/>
          <w:b w:val="0"/>
          <w:color w:val="1F497D" w:themeColor="text2"/>
          <w:sz w:val="24"/>
          <w:szCs w:val="24"/>
        </w:rPr>
        <w:t xml:space="preserve">. </w:t>
      </w:r>
      <w:r w:rsidR="007D75A7" w:rsidRPr="00485DD6">
        <w:rPr>
          <w:rFonts w:ascii="Times New Roman" w:hAnsi="Times New Roman" w:cs="Times New Roman"/>
          <w:b w:val="0"/>
          <w:color w:val="1F497D" w:themeColor="text2"/>
          <w:sz w:val="24"/>
          <w:szCs w:val="24"/>
        </w:rPr>
        <w:t xml:space="preserve">But as first and second generation immigrants both struggle with similar acculturation experiences, first-generation immigrant attitudes may fuel second-generation immigrant feelings of frustration, alienation, and anger, and the propensity to engage in actual violence. Pro-violence attitudes may not matter for second-generation immigrant violence, but they matter for first-generation immigrants and may indirectly affect the subsequent generation. </w:t>
      </w:r>
    </w:p>
    <w:p w14:paraId="28A1CC3D" w14:textId="59E3D3A2" w:rsidR="00C26ADB" w:rsidRPr="00485DD6" w:rsidRDefault="007D75A7" w:rsidP="008B6437">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lastRenderedPageBreak/>
        <w:t xml:space="preserve">Previous studies have demonstrated that parents’ </w:t>
      </w:r>
      <w:r w:rsidR="00575BDA" w:rsidRPr="00485DD6">
        <w:rPr>
          <w:rFonts w:ascii="Times New Roman" w:hAnsi="Times New Roman" w:cs="Times New Roman"/>
          <w:b w:val="0"/>
          <w:color w:val="1F497D" w:themeColor="text2"/>
          <w:sz w:val="24"/>
          <w:szCs w:val="24"/>
        </w:rPr>
        <w:t xml:space="preserve">anti-social </w:t>
      </w:r>
      <w:r w:rsidRPr="00485DD6">
        <w:rPr>
          <w:rFonts w:ascii="Times New Roman" w:hAnsi="Times New Roman" w:cs="Times New Roman"/>
          <w:b w:val="0"/>
          <w:color w:val="1F497D" w:themeColor="text2"/>
          <w:sz w:val="24"/>
          <w:szCs w:val="24"/>
        </w:rPr>
        <w:t>beliefs and attitudes</w:t>
      </w:r>
      <w:r w:rsidR="00575BDA" w:rsidRPr="00485DD6">
        <w:rPr>
          <w:rFonts w:ascii="Times New Roman" w:hAnsi="Times New Roman" w:cs="Times New Roman"/>
          <w:b w:val="0"/>
          <w:color w:val="1F497D" w:themeColor="text2"/>
          <w:sz w:val="24"/>
          <w:szCs w:val="24"/>
        </w:rPr>
        <w:t xml:space="preserve"> </w:t>
      </w:r>
      <w:r w:rsidR="00033BA6" w:rsidRPr="00485DD6">
        <w:rPr>
          <w:rFonts w:ascii="Times New Roman" w:hAnsi="Times New Roman" w:cs="Times New Roman"/>
          <w:b w:val="0"/>
          <w:color w:val="1F497D" w:themeColor="text2"/>
          <w:sz w:val="24"/>
          <w:szCs w:val="24"/>
        </w:rPr>
        <w:t>favourable</w:t>
      </w:r>
      <w:r w:rsidR="00575BDA" w:rsidRPr="00485DD6">
        <w:rPr>
          <w:rFonts w:ascii="Times New Roman" w:hAnsi="Times New Roman" w:cs="Times New Roman"/>
          <w:b w:val="0"/>
          <w:color w:val="1F497D" w:themeColor="text2"/>
          <w:sz w:val="24"/>
          <w:szCs w:val="24"/>
        </w:rPr>
        <w:t xml:space="preserve"> to violence</w:t>
      </w:r>
      <w:r w:rsidRPr="00485DD6">
        <w:rPr>
          <w:rFonts w:ascii="Times New Roman" w:hAnsi="Times New Roman" w:cs="Times New Roman"/>
          <w:b w:val="0"/>
          <w:color w:val="1F497D" w:themeColor="text2"/>
          <w:sz w:val="24"/>
          <w:szCs w:val="24"/>
        </w:rPr>
        <w:t xml:space="preserve"> increase their children’s risk for crime and violence involvement</w:t>
      </w:r>
      <w:r w:rsidR="00575BDA" w:rsidRPr="00485DD6">
        <w:rPr>
          <w:rFonts w:ascii="Times New Roman" w:hAnsi="Times New Roman" w:cs="Times New Roman"/>
          <w:b w:val="0"/>
          <w:color w:val="1F497D" w:themeColor="text2"/>
          <w:sz w:val="24"/>
          <w:szCs w:val="24"/>
        </w:rPr>
        <w:t xml:space="preserve"> </w:t>
      </w:r>
      <w:r w:rsidR="00575BDA" w:rsidRPr="00485DD6">
        <w:rPr>
          <w:rFonts w:ascii="Times New Roman" w:hAnsi="Times New Roman" w:cs="Times New Roman"/>
          <w:b w:val="0"/>
          <w:color w:val="1F497D" w:themeColor="text2"/>
          <w:sz w:val="24"/>
          <w:szCs w:val="24"/>
        </w:rPr>
        <w:fldChar w:fldCharType="begin" w:fldLock="1"/>
      </w:r>
      <w:r w:rsidR="00460AAA">
        <w:rPr>
          <w:rFonts w:ascii="Times New Roman" w:hAnsi="Times New Roman" w:cs="Times New Roman"/>
          <w:b w:val="0"/>
          <w:color w:val="1F497D" w:themeColor="text2"/>
          <w:sz w:val="24"/>
          <w:szCs w:val="24"/>
        </w:rPr>
        <w:instrText>ADDIN CSL_CITATION { "citationItems" : [ { "id" : "ITEM-1", "itemData" : { "author" : [ { "dropping-particle" : "", "family" : "Farrington", "given" : "David P", "non-dropping-particle" : "", "parse-names" : false, "suffix" : "" } ], "container-title" : "Taking stock of delinquency: An overview of findings from contemporary longitudinal studies", "editor" : [ { "dropping-particle" : "", "family" : "Thornberry", "given" : "Terence P", "non-dropping-particle" : "", "parse-names" : false, "suffix" : "" }, { "dropping-particle" : "", "family" : "Krohn", "given" : "Marvin D", "non-dropping-particle" : "", "parse-names" : false, "suffix" : "" } ], "id" : "ITEM-1", "issue" : "November", "issued" : { "date-parts" : [ [ "2001" ] ] }, "page" : "137-183", "publisher" : "Kluwer/Plenum", "publisher-place" : "New York", "title" : "Key results from the first forty years of the Cambridge Study in Delinquent Development", "type" : "chapter" }, "uris" : [ "http://www.mendeley.com/documents/?uuid=47f43041-88c3-4ba6-ac93-6dcb89fcac0b" ] }, { "id" : "ITEM-2", "itemData" : { "DOI" : "10.1177/0022427899036003003", "ISSN" : "0022-4278", "author" : [ { "dropping-particle" : "", "family" : "Hill", "given" : "Karl G", "non-dropping-particle" : "", "parse-names" : false, "suffix" : "" }, { "dropping-particle" : "", "family" : "Howell", "given" : "J. C.", "non-dropping-particle" : "", "parse-names" : false, "suffix" : "" }, { "dropping-particle" : "", "family" : "Hawkins", "given" : "J David", "non-dropping-particle" : "", "parse-names" : false, "suffix" : "" }, { "dropping-particle" : "", "family" : "Battin-Pearson", "given" : "S. R.", "non-dropping-particle" : "", "parse-names" : false, "suffix" : "" } ], "container-title" : "Journal of Research in Crime and Delinquency", "id" : "ITEM-2", "issue" : "3", "issued" : { "date-parts" : [ [ "1999", "8" ] ] }, "page" : "300-322", "title" : "Childhood risk factors for adolescent gang membership: Results from the Seattle Social Development Project", "type" : "article-journal", "volume" : "36" }, "uris" : [ "http://www.mendeley.com/documents/?uuid=02cd5d89-09b9-4f5a-8446-a3767b4cda83" ] }, { "id" : "ITEM-3", "itemData" : { "author" : [ { "dropping-particle" : "", "family" : "Wilson", "given" : "John J", "non-dropping-particle" : "", "parse-names" : false, "suffix" : "" }, { "dropping-particle" : "", "family" : "Hawkins", "given" : "J David", "non-dropping-particle" : "", "parse-names" : false, "suffix" : "" }, { "dropping-particle" : "", "family" : "Herrenkohl", "given" : "Todd I", "non-dropping-particle" : "", "parse-names" : false, "suffix" : "" }, { "dropping-particle" : "", "family" : "Farrington", "given" : "David P", "non-dropping-particle" : "", "parse-names" : false, "suffix" : "" }, { "dropping-particle" : "", "family" : "Brewer", "given" : "Devon", "non-dropping-particle" : "", "parse-names" : false, "suffix" : "" }, { "dropping-particle" : "", "family" : "Catalano", "given" : "Richard F", "non-dropping-particle" : "", "parse-names" : false, "suffix" : "" }, { "dropping-particle" : "", "family" : "Harachi", "given" : "Tracy W", "non-dropping-particle" : "", "parse-names" : false, "suffix" : "" } ], "id" : "ITEM-3", "issue" : "April", "issued" : { "date-parts" : [ [ "2000" ] ] }, "title" : "Predictors of Youth Violence", "type" : "report" }, "uris" : [ "http://www.mendeley.com/documents/?uuid=2216114d-8657-4702-a279-935dbe3e50b0" ] } ], "mendeley" : { "formattedCitation" : "(Farrington, 2001; Hill et al., 1999; Wilson et al., 2000)", "plainTextFormattedCitation" : "(Farrington, 2001; Hill et al., 1999; Wilson et al., 2000)", "previouslyFormattedCitation" : "(Farrington, 2001; Hill et al., 1999; Wilson et al., 2000)" }, "properties" : { "noteIndex" : 0 }, "schema" : "https://github.com/citation-style-language/schema/raw/master/csl-citation.json" }</w:instrText>
      </w:r>
      <w:r w:rsidR="00575BDA" w:rsidRPr="00485DD6">
        <w:rPr>
          <w:rFonts w:ascii="Times New Roman" w:hAnsi="Times New Roman" w:cs="Times New Roman"/>
          <w:b w:val="0"/>
          <w:color w:val="1F497D" w:themeColor="text2"/>
          <w:sz w:val="24"/>
          <w:szCs w:val="24"/>
        </w:rPr>
        <w:fldChar w:fldCharType="separate"/>
      </w:r>
      <w:r w:rsidR="00575BDA" w:rsidRPr="00485DD6">
        <w:rPr>
          <w:rFonts w:ascii="Times New Roman" w:hAnsi="Times New Roman" w:cs="Times New Roman"/>
          <w:b w:val="0"/>
          <w:noProof/>
          <w:color w:val="1F497D" w:themeColor="text2"/>
          <w:sz w:val="24"/>
          <w:szCs w:val="24"/>
        </w:rPr>
        <w:t>(Farrington, 2001; Hill et al., 1999; Wilson et al., 2000)</w:t>
      </w:r>
      <w:r w:rsidR="00575BDA" w:rsidRPr="00485DD6">
        <w:rPr>
          <w:rFonts w:ascii="Times New Roman" w:hAnsi="Times New Roman" w:cs="Times New Roman"/>
          <w:b w:val="0"/>
          <w:color w:val="1F497D" w:themeColor="text2"/>
          <w:sz w:val="24"/>
          <w:szCs w:val="24"/>
        </w:rPr>
        <w:fldChar w:fldCharType="end"/>
      </w:r>
      <w:r w:rsidRPr="00485DD6">
        <w:rPr>
          <w:rFonts w:ascii="Times New Roman" w:hAnsi="Times New Roman" w:cs="Times New Roman"/>
          <w:b w:val="0"/>
          <w:color w:val="1F497D" w:themeColor="text2"/>
          <w:sz w:val="24"/>
          <w:szCs w:val="24"/>
        </w:rPr>
        <w:t xml:space="preserve">. </w:t>
      </w:r>
      <w:r w:rsidR="00463D24" w:rsidRPr="00485DD6">
        <w:rPr>
          <w:rFonts w:ascii="Times New Roman" w:hAnsi="Times New Roman" w:cs="Times New Roman"/>
          <w:b w:val="0"/>
          <w:color w:val="1F497D" w:themeColor="text2"/>
          <w:sz w:val="24"/>
          <w:szCs w:val="24"/>
        </w:rPr>
        <w:t xml:space="preserve">But particularly for </w:t>
      </w:r>
      <w:r w:rsidR="00033BA6" w:rsidRPr="00485DD6">
        <w:rPr>
          <w:rFonts w:ascii="Times New Roman" w:hAnsi="Times New Roman" w:cs="Times New Roman"/>
          <w:b w:val="0"/>
          <w:color w:val="1F497D" w:themeColor="text2"/>
          <w:sz w:val="24"/>
          <w:szCs w:val="24"/>
        </w:rPr>
        <w:t>second-generation</w:t>
      </w:r>
      <w:r w:rsidR="00463D24" w:rsidRPr="00485DD6">
        <w:rPr>
          <w:rFonts w:ascii="Times New Roman" w:hAnsi="Times New Roman" w:cs="Times New Roman"/>
          <w:b w:val="0"/>
          <w:color w:val="1F497D" w:themeColor="text2"/>
          <w:sz w:val="24"/>
          <w:szCs w:val="24"/>
        </w:rPr>
        <w:t xml:space="preserve"> immigrants, the influence of this ris</w:t>
      </w:r>
      <w:r w:rsidR="00033BA6">
        <w:rPr>
          <w:rFonts w:ascii="Times New Roman" w:hAnsi="Times New Roman" w:cs="Times New Roman"/>
          <w:b w:val="0"/>
          <w:color w:val="1F497D" w:themeColor="text2"/>
          <w:sz w:val="24"/>
          <w:szCs w:val="24"/>
        </w:rPr>
        <w:t>k factor may be stronger than for</w:t>
      </w:r>
      <w:r w:rsidR="00463D24" w:rsidRPr="00485DD6">
        <w:rPr>
          <w:rFonts w:ascii="Times New Roman" w:hAnsi="Times New Roman" w:cs="Times New Roman"/>
          <w:b w:val="0"/>
          <w:color w:val="1F497D" w:themeColor="text2"/>
          <w:sz w:val="24"/>
          <w:szCs w:val="24"/>
        </w:rPr>
        <w:t xml:space="preserve"> other generational groups. </w:t>
      </w:r>
      <w:r w:rsidR="00463D24" w:rsidRPr="00485DD6">
        <w:rPr>
          <w:rFonts w:ascii="Times New Roman" w:hAnsi="Times New Roman" w:cs="Times New Roman"/>
          <w:b w:val="0"/>
          <w:color w:val="1F497D" w:themeColor="text2"/>
          <w:sz w:val="24"/>
          <w:szCs w:val="24"/>
        </w:rPr>
        <w:fldChar w:fldCharType="begin" w:fldLock="1"/>
      </w:r>
      <w:r w:rsidR="00AF5F1A">
        <w:rPr>
          <w:rFonts w:ascii="Times New Roman" w:hAnsi="Times New Roman" w:cs="Times New Roman"/>
          <w:b w:val="0"/>
          <w:color w:val="1F497D" w:themeColor="text2"/>
          <w:sz w:val="24"/>
          <w:szCs w:val="24"/>
        </w:rPr>
        <w:instrText>ADDIN CSL_CITATION { "citationItems" : [ { "id" : "ITEM-1", "itemData" : { "DOI" : "10.1111/j.1745-9125.2012.00273.x", "ISSN" : "00111384", "author" : [ { "dropping-particle" : "", "family" : "DiPietro", "given" : "Stephanie M", "non-dropping-particle" : "", "parse-names" : false, "suffix" : "" }, { "dropping-particle" : "", "family" : "McGloin", "given" : "Jean Marie", "non-dropping-particle" : "", "parse-names" : false, "suffix" : "" } ], "container-title" : "Criminology", "id" : "ITEM-1", "issue" : "3", "issued" : { "date-parts" : [ [ "2012", "8", "17" ] ] }, "page" : "711-742", "title" : "Differential susceptibility? Immigrant youth and peer influence", "type" : "article-journal", "volume" : "50" }, "uris" : [ "http://www.mendeley.com/documents/?uuid=f29aac39-eabe-4dbd-806e-63473b389920" ] } ], "mendeley" : { "formattedCitation" : "(DiPietro and McGloin, 2012)", "manualFormatting" : "DiPietro and McGloin (2012)", "plainTextFormattedCitation" : "(DiPietro and McGloin, 2012)", "previouslyFormattedCitation" : "(DiPietro and McGloin, 2012)" }, "properties" : { "noteIndex" : 0 }, "schema" : "https://github.com/citation-style-language/schema/raw/master/csl-citation.json" }</w:instrText>
      </w:r>
      <w:r w:rsidR="00463D24" w:rsidRPr="00485DD6">
        <w:rPr>
          <w:rFonts w:ascii="Times New Roman" w:hAnsi="Times New Roman" w:cs="Times New Roman"/>
          <w:b w:val="0"/>
          <w:color w:val="1F497D" w:themeColor="text2"/>
          <w:sz w:val="24"/>
          <w:szCs w:val="24"/>
        </w:rPr>
        <w:fldChar w:fldCharType="separate"/>
      </w:r>
      <w:r w:rsidR="00D559AC" w:rsidRPr="00485DD6">
        <w:rPr>
          <w:rFonts w:ascii="Times New Roman" w:hAnsi="Times New Roman" w:cs="Times New Roman"/>
          <w:b w:val="0"/>
          <w:noProof/>
          <w:color w:val="1F497D" w:themeColor="text2"/>
          <w:sz w:val="24"/>
          <w:szCs w:val="24"/>
        </w:rPr>
        <w:t>DiP</w:t>
      </w:r>
      <w:r w:rsidR="00033BA6">
        <w:rPr>
          <w:rFonts w:ascii="Times New Roman" w:hAnsi="Times New Roman" w:cs="Times New Roman"/>
          <w:b w:val="0"/>
          <w:noProof/>
          <w:color w:val="1F497D" w:themeColor="text2"/>
          <w:sz w:val="24"/>
          <w:szCs w:val="24"/>
        </w:rPr>
        <w:t>ietro and McG</w:t>
      </w:r>
      <w:r w:rsidR="00463D24" w:rsidRPr="00485DD6">
        <w:rPr>
          <w:rFonts w:ascii="Times New Roman" w:hAnsi="Times New Roman" w:cs="Times New Roman"/>
          <w:b w:val="0"/>
          <w:noProof/>
          <w:color w:val="1F497D" w:themeColor="text2"/>
          <w:sz w:val="24"/>
          <w:szCs w:val="24"/>
        </w:rPr>
        <w:t>loin (2012)</w:t>
      </w:r>
      <w:r w:rsidR="00463D24" w:rsidRPr="00485DD6">
        <w:rPr>
          <w:rFonts w:ascii="Times New Roman" w:hAnsi="Times New Roman" w:cs="Times New Roman"/>
          <w:b w:val="0"/>
          <w:color w:val="1F497D" w:themeColor="text2"/>
          <w:sz w:val="24"/>
          <w:szCs w:val="24"/>
        </w:rPr>
        <w:fldChar w:fldCharType="end"/>
      </w:r>
      <w:r w:rsidR="00463D24" w:rsidRPr="00485DD6">
        <w:rPr>
          <w:rFonts w:ascii="Times New Roman" w:hAnsi="Times New Roman" w:cs="Times New Roman"/>
          <w:b w:val="0"/>
          <w:color w:val="1F497D" w:themeColor="text2"/>
          <w:sz w:val="24"/>
          <w:szCs w:val="24"/>
        </w:rPr>
        <w:t xml:space="preserve"> observed that compared to non-immigrant youth, second-generation immigrant youth were faced with greater demands to help their parents with language barriers and </w:t>
      </w:r>
      <w:r w:rsidR="00DD5647" w:rsidRPr="00485DD6">
        <w:rPr>
          <w:rFonts w:ascii="Times New Roman" w:hAnsi="Times New Roman" w:cs="Times New Roman"/>
          <w:b w:val="0"/>
          <w:color w:val="1F497D" w:themeColor="text2"/>
          <w:sz w:val="24"/>
          <w:szCs w:val="24"/>
        </w:rPr>
        <w:t>to navigate American</w:t>
      </w:r>
      <w:r w:rsidR="006E38DB" w:rsidRPr="00485DD6">
        <w:rPr>
          <w:rFonts w:ascii="Times New Roman" w:hAnsi="Times New Roman" w:cs="Times New Roman"/>
          <w:b w:val="0"/>
          <w:color w:val="1F497D" w:themeColor="text2"/>
          <w:sz w:val="24"/>
          <w:szCs w:val="24"/>
        </w:rPr>
        <w:t xml:space="preserve"> culture. In addition, they took</w:t>
      </w:r>
      <w:r w:rsidR="00DD5647" w:rsidRPr="00485DD6">
        <w:rPr>
          <w:rFonts w:ascii="Times New Roman" w:hAnsi="Times New Roman" w:cs="Times New Roman"/>
          <w:b w:val="0"/>
          <w:color w:val="1F497D" w:themeColor="text2"/>
          <w:sz w:val="24"/>
          <w:szCs w:val="24"/>
        </w:rPr>
        <w:t xml:space="preserve"> on more adult responsibility </w:t>
      </w:r>
      <w:r w:rsidR="00DD5647" w:rsidRPr="00485DD6">
        <w:rPr>
          <w:rFonts w:ascii="Times New Roman" w:hAnsi="Times New Roman" w:cs="Times New Roman"/>
          <w:b w:val="0"/>
          <w:color w:val="1F497D" w:themeColor="text2"/>
          <w:sz w:val="24"/>
          <w:szCs w:val="24"/>
        </w:rPr>
        <w:fldChar w:fldCharType="begin" w:fldLock="1"/>
      </w:r>
      <w:r w:rsidR="001F6496" w:rsidRPr="00485DD6">
        <w:rPr>
          <w:rFonts w:ascii="Times New Roman" w:hAnsi="Times New Roman" w:cs="Times New Roman"/>
          <w:b w:val="0"/>
          <w:color w:val="1F497D" w:themeColor="text2"/>
          <w:sz w:val="24"/>
          <w:szCs w:val="24"/>
        </w:rPr>
        <w:instrText>ADDIN CSL_CITATION { "citationItems" : [ { "id" : "ITEM-1", "itemData" : { "author" : [ { "dropping-particle" : "", "family" : "Portes", "given" : "Alejandro", "non-dropping-particle" : "", "parse-names" : false, "suffix" : "" }, { "dropping-particle" : "", "family" : "Zhou", "given" : "Min", "non-dropping-particle" : "", "parse-names" : false, "suffix" : "" } ], "container-title" : "The annals of the American academy of \u2026", "id" : "ITEM-1", "issued" : { "date-parts" : [ [ "1993" ] ] }, "page" : "74-96", "title" : "The new second generation: Segmented assimilation and its variants", "type" : "article-journal", "volume" : "530" }, "uris" : [ "http://www.mendeley.com/documents/?uuid=4acc2ec8-10fb-436b-b43d-39114347f153" ] } ], "mendeley" : { "formattedCitation" : "(Portes and Zhou, 1993)", "plainTextFormattedCitation" : "(Portes and Zhou, 1993)", "previouslyFormattedCitation" : "(Portes and Zhou, 1993)" }, "properties" : { "noteIndex" : 0 }, "schema" : "https://github.com/citation-style-language/schema/raw/master/csl-citation.json" }</w:instrText>
      </w:r>
      <w:r w:rsidR="00DD5647" w:rsidRPr="00485DD6">
        <w:rPr>
          <w:rFonts w:ascii="Times New Roman" w:hAnsi="Times New Roman" w:cs="Times New Roman"/>
          <w:b w:val="0"/>
          <w:color w:val="1F497D" w:themeColor="text2"/>
          <w:sz w:val="24"/>
          <w:szCs w:val="24"/>
        </w:rPr>
        <w:fldChar w:fldCharType="separate"/>
      </w:r>
      <w:r w:rsidR="00DD5647" w:rsidRPr="00485DD6">
        <w:rPr>
          <w:rFonts w:ascii="Times New Roman" w:hAnsi="Times New Roman" w:cs="Times New Roman"/>
          <w:b w:val="0"/>
          <w:noProof/>
          <w:color w:val="1F497D" w:themeColor="text2"/>
          <w:sz w:val="24"/>
          <w:szCs w:val="24"/>
        </w:rPr>
        <w:t>(Portes and Zhou, 1993)</w:t>
      </w:r>
      <w:r w:rsidR="00DD5647" w:rsidRPr="00485DD6">
        <w:rPr>
          <w:rFonts w:ascii="Times New Roman" w:hAnsi="Times New Roman" w:cs="Times New Roman"/>
          <w:b w:val="0"/>
          <w:color w:val="1F497D" w:themeColor="text2"/>
          <w:sz w:val="24"/>
          <w:szCs w:val="24"/>
        </w:rPr>
        <w:fldChar w:fldCharType="end"/>
      </w:r>
      <w:r w:rsidR="00DD5647" w:rsidRPr="00485DD6">
        <w:rPr>
          <w:rFonts w:ascii="Times New Roman" w:hAnsi="Times New Roman" w:cs="Times New Roman"/>
          <w:b w:val="0"/>
          <w:color w:val="1F497D" w:themeColor="text2"/>
          <w:sz w:val="24"/>
          <w:szCs w:val="24"/>
        </w:rPr>
        <w:t xml:space="preserve">. Consequently, second-generation immigrant youth may spend more time in their parents’ “shoes,” understanding their daily struggles and burdens. Empathizing with their parents may make second-generation immigrants more susceptible to their parents’ attitudes because they are privy to their parents’ perspectives. </w:t>
      </w:r>
    </w:p>
    <w:p w14:paraId="39418411" w14:textId="276C64EE" w:rsidR="00857177" w:rsidRPr="00485DD6" w:rsidRDefault="00DD5647" w:rsidP="008B6437">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 xml:space="preserve">Combined with </w:t>
      </w:r>
      <w:r w:rsidR="001F6496" w:rsidRPr="00485DD6">
        <w:rPr>
          <w:rFonts w:ascii="Times New Roman" w:hAnsi="Times New Roman" w:cs="Times New Roman"/>
          <w:b w:val="0"/>
          <w:color w:val="1F497D" w:themeColor="text2"/>
          <w:sz w:val="24"/>
          <w:szCs w:val="24"/>
        </w:rPr>
        <w:t>second-generation immigrants’</w:t>
      </w:r>
      <w:r w:rsidRPr="00485DD6">
        <w:rPr>
          <w:rFonts w:ascii="Times New Roman" w:hAnsi="Times New Roman" w:cs="Times New Roman"/>
          <w:b w:val="0"/>
          <w:color w:val="1F497D" w:themeColor="text2"/>
          <w:sz w:val="24"/>
          <w:szCs w:val="24"/>
        </w:rPr>
        <w:t xml:space="preserve"> own struggles, </w:t>
      </w:r>
      <w:r w:rsidR="005677F6" w:rsidRPr="00485DD6">
        <w:rPr>
          <w:rFonts w:ascii="Times New Roman" w:hAnsi="Times New Roman" w:cs="Times New Roman"/>
          <w:b w:val="0"/>
          <w:color w:val="1F497D" w:themeColor="text2"/>
          <w:sz w:val="24"/>
          <w:szCs w:val="24"/>
        </w:rPr>
        <w:t>this intergenerational tr</w:t>
      </w:r>
      <w:r w:rsidR="00033BA6">
        <w:rPr>
          <w:rFonts w:ascii="Times New Roman" w:hAnsi="Times New Roman" w:cs="Times New Roman"/>
          <w:b w:val="0"/>
          <w:color w:val="1F497D" w:themeColor="text2"/>
          <w:sz w:val="24"/>
          <w:szCs w:val="24"/>
        </w:rPr>
        <w:t>ansmission of violence may progress</w:t>
      </w:r>
      <w:r w:rsidR="005677F6" w:rsidRPr="00485DD6">
        <w:rPr>
          <w:rFonts w:ascii="Times New Roman" w:hAnsi="Times New Roman" w:cs="Times New Roman"/>
          <w:b w:val="0"/>
          <w:color w:val="1F497D" w:themeColor="text2"/>
          <w:sz w:val="24"/>
          <w:szCs w:val="24"/>
        </w:rPr>
        <w:t xml:space="preserve"> from attitudes to action, and</w:t>
      </w:r>
      <w:r w:rsidR="001F6496" w:rsidRPr="00485DD6">
        <w:rPr>
          <w:rFonts w:ascii="Times New Roman" w:hAnsi="Times New Roman" w:cs="Times New Roman"/>
          <w:b w:val="0"/>
          <w:color w:val="1F497D" w:themeColor="text2"/>
          <w:sz w:val="24"/>
          <w:szCs w:val="24"/>
        </w:rPr>
        <w:t xml:space="preserve"> may </w:t>
      </w:r>
      <w:r w:rsidR="005677F6" w:rsidRPr="00485DD6">
        <w:rPr>
          <w:rFonts w:ascii="Times New Roman" w:hAnsi="Times New Roman" w:cs="Times New Roman"/>
          <w:b w:val="0"/>
          <w:color w:val="1F497D" w:themeColor="text2"/>
          <w:sz w:val="24"/>
          <w:szCs w:val="24"/>
        </w:rPr>
        <w:t>heighten</w:t>
      </w:r>
      <w:r w:rsidR="001F6496" w:rsidRPr="00485DD6">
        <w:rPr>
          <w:rFonts w:ascii="Times New Roman" w:hAnsi="Times New Roman" w:cs="Times New Roman"/>
          <w:b w:val="0"/>
          <w:color w:val="1F497D" w:themeColor="text2"/>
          <w:sz w:val="24"/>
          <w:szCs w:val="24"/>
        </w:rPr>
        <w:t xml:space="preserve"> </w:t>
      </w:r>
      <w:r w:rsidR="00033BA6">
        <w:rPr>
          <w:rFonts w:ascii="Times New Roman" w:hAnsi="Times New Roman" w:cs="Times New Roman"/>
          <w:b w:val="0"/>
          <w:color w:val="1F497D" w:themeColor="text2"/>
          <w:sz w:val="24"/>
          <w:szCs w:val="24"/>
        </w:rPr>
        <w:t>the risk of</w:t>
      </w:r>
      <w:r w:rsidR="005677F6" w:rsidRPr="00485DD6">
        <w:rPr>
          <w:rFonts w:ascii="Times New Roman" w:hAnsi="Times New Roman" w:cs="Times New Roman"/>
          <w:b w:val="0"/>
          <w:color w:val="1F497D" w:themeColor="text2"/>
          <w:sz w:val="24"/>
          <w:szCs w:val="24"/>
        </w:rPr>
        <w:t xml:space="preserve"> violence.</w:t>
      </w:r>
      <w:r w:rsidR="003F7808" w:rsidRPr="00485DD6">
        <w:rPr>
          <w:rFonts w:ascii="Times New Roman" w:hAnsi="Times New Roman" w:cs="Times New Roman"/>
          <w:b w:val="0"/>
          <w:color w:val="1F497D" w:themeColor="text2"/>
          <w:sz w:val="24"/>
          <w:szCs w:val="24"/>
        </w:rPr>
        <w:t xml:space="preserve"> </w:t>
      </w:r>
      <w:r w:rsidR="005677F6" w:rsidRPr="00485DD6">
        <w:rPr>
          <w:rFonts w:ascii="Times New Roman" w:hAnsi="Times New Roman" w:cs="Times New Roman"/>
          <w:b w:val="0"/>
          <w:color w:val="1F497D" w:themeColor="text2"/>
          <w:sz w:val="24"/>
          <w:szCs w:val="24"/>
        </w:rPr>
        <w:t xml:space="preserve">It </w:t>
      </w:r>
      <w:r w:rsidRPr="00485DD6">
        <w:rPr>
          <w:rFonts w:ascii="Times New Roman" w:hAnsi="Times New Roman" w:cs="Times New Roman"/>
          <w:b w:val="0"/>
          <w:color w:val="1F497D" w:themeColor="text2"/>
          <w:sz w:val="24"/>
          <w:szCs w:val="24"/>
        </w:rPr>
        <w:t xml:space="preserve">may </w:t>
      </w:r>
      <w:r w:rsidR="006E38DB" w:rsidRPr="00485DD6">
        <w:rPr>
          <w:rFonts w:ascii="Times New Roman" w:hAnsi="Times New Roman" w:cs="Times New Roman"/>
          <w:b w:val="0"/>
          <w:color w:val="1F497D" w:themeColor="text2"/>
          <w:sz w:val="24"/>
          <w:szCs w:val="24"/>
        </w:rPr>
        <w:t>partly</w:t>
      </w:r>
      <w:r w:rsidRPr="00485DD6">
        <w:rPr>
          <w:rFonts w:ascii="Times New Roman" w:hAnsi="Times New Roman" w:cs="Times New Roman"/>
          <w:b w:val="0"/>
          <w:color w:val="1F497D" w:themeColor="text2"/>
          <w:sz w:val="24"/>
          <w:szCs w:val="24"/>
        </w:rPr>
        <w:t xml:space="preserve"> explain the </w:t>
      </w:r>
      <w:r w:rsidR="003F7808" w:rsidRPr="00485DD6">
        <w:rPr>
          <w:rFonts w:ascii="Times New Roman" w:hAnsi="Times New Roman" w:cs="Times New Roman"/>
          <w:b w:val="0"/>
          <w:color w:val="1F497D" w:themeColor="text2"/>
          <w:sz w:val="24"/>
          <w:szCs w:val="24"/>
        </w:rPr>
        <w:t xml:space="preserve">differences in violence levels between first and second generation immigrant groups. </w:t>
      </w:r>
      <w:r w:rsidR="00B16AB4">
        <w:rPr>
          <w:rFonts w:ascii="Times New Roman" w:hAnsi="Times New Roman" w:cs="Times New Roman"/>
          <w:b w:val="0"/>
          <w:color w:val="1F497D" w:themeColor="text2"/>
          <w:sz w:val="24"/>
          <w:szCs w:val="24"/>
        </w:rPr>
        <w:t>But although the</w:t>
      </w:r>
      <w:r w:rsidR="00C26ADB" w:rsidRPr="00485DD6">
        <w:rPr>
          <w:rFonts w:ascii="Times New Roman" w:hAnsi="Times New Roman" w:cs="Times New Roman"/>
          <w:b w:val="0"/>
          <w:color w:val="1F497D" w:themeColor="text2"/>
          <w:sz w:val="24"/>
          <w:szCs w:val="24"/>
        </w:rPr>
        <w:t xml:space="preserve"> overall relationship between first-generation immigrant status, perceived exclusion, and </w:t>
      </w:r>
      <w:r w:rsidR="0018449B">
        <w:rPr>
          <w:rFonts w:ascii="Times New Roman" w:hAnsi="Times New Roman" w:cs="Times New Roman"/>
          <w:b w:val="0"/>
          <w:color w:val="1F497D" w:themeColor="text2"/>
          <w:sz w:val="24"/>
          <w:szCs w:val="24"/>
        </w:rPr>
        <w:t xml:space="preserve">pro-violence attitudes was </w:t>
      </w:r>
      <w:r w:rsidR="00B16AB4">
        <w:rPr>
          <w:rFonts w:ascii="Times New Roman" w:hAnsi="Times New Roman" w:cs="Times New Roman"/>
          <w:b w:val="0"/>
          <w:color w:val="1F497D" w:themeColor="text2"/>
          <w:sz w:val="24"/>
          <w:szCs w:val="24"/>
        </w:rPr>
        <w:t xml:space="preserve">small, it is established knowledge that pro-violence attitudes are predictive of actual violence. </w:t>
      </w:r>
      <w:r w:rsidR="00C26ADB" w:rsidRPr="00485DD6">
        <w:rPr>
          <w:rFonts w:ascii="Times New Roman" w:hAnsi="Times New Roman" w:cs="Times New Roman"/>
          <w:b w:val="0"/>
          <w:color w:val="1F497D" w:themeColor="text2"/>
          <w:sz w:val="24"/>
          <w:szCs w:val="24"/>
        </w:rPr>
        <w:t xml:space="preserve"> </w:t>
      </w:r>
    </w:p>
    <w:p w14:paraId="34DEDF30" w14:textId="78B5612C" w:rsidR="00DD5647" w:rsidRPr="00485DD6" w:rsidRDefault="00C26ADB" w:rsidP="008B6437">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 xml:space="preserve">The small effect </w:t>
      </w:r>
      <w:r w:rsidR="005677F6" w:rsidRPr="00485DD6">
        <w:rPr>
          <w:rFonts w:ascii="Times New Roman" w:hAnsi="Times New Roman" w:cs="Times New Roman"/>
          <w:b w:val="0"/>
          <w:color w:val="1F497D" w:themeColor="text2"/>
          <w:sz w:val="24"/>
          <w:szCs w:val="24"/>
        </w:rPr>
        <w:t xml:space="preserve">size </w:t>
      </w:r>
      <w:r w:rsidRPr="00485DD6">
        <w:rPr>
          <w:rFonts w:ascii="Times New Roman" w:hAnsi="Times New Roman" w:cs="Times New Roman"/>
          <w:b w:val="0"/>
          <w:color w:val="1F497D" w:themeColor="text2"/>
          <w:sz w:val="24"/>
          <w:szCs w:val="24"/>
        </w:rPr>
        <w:t xml:space="preserve">suggests that this relationship may not be as important </w:t>
      </w:r>
      <w:r w:rsidR="005677F6" w:rsidRPr="00485DD6">
        <w:rPr>
          <w:rFonts w:ascii="Times New Roman" w:hAnsi="Times New Roman" w:cs="Times New Roman"/>
          <w:b w:val="0"/>
          <w:color w:val="1F497D" w:themeColor="text2"/>
          <w:sz w:val="24"/>
          <w:szCs w:val="24"/>
        </w:rPr>
        <w:t xml:space="preserve">as other relationships relating to acculturation such as parent-child cultural conflicts, delinquent peers, and community disadvantages. What this relationship does show is that it is one small explanation in understanding the </w:t>
      </w:r>
      <w:r w:rsidR="00FA17CE" w:rsidRPr="00485DD6">
        <w:rPr>
          <w:rFonts w:ascii="Times New Roman" w:hAnsi="Times New Roman" w:cs="Times New Roman"/>
          <w:b w:val="0"/>
          <w:color w:val="1F497D" w:themeColor="text2"/>
          <w:sz w:val="24"/>
          <w:szCs w:val="24"/>
        </w:rPr>
        <w:t xml:space="preserve">complex dynamics and interactions that </w:t>
      </w:r>
      <w:r w:rsidR="00FA17CE" w:rsidRPr="00485DD6">
        <w:rPr>
          <w:rFonts w:ascii="Times New Roman" w:hAnsi="Times New Roman" w:cs="Times New Roman"/>
          <w:b w:val="0"/>
          <w:color w:val="1F497D" w:themeColor="text2"/>
          <w:sz w:val="24"/>
          <w:szCs w:val="24"/>
        </w:rPr>
        <w:lastRenderedPageBreak/>
        <w:t xml:space="preserve">produce the observed differences in violence between these generational immigrant groups. </w:t>
      </w:r>
      <w:r w:rsidR="002745BB" w:rsidRPr="00485DD6">
        <w:rPr>
          <w:rFonts w:ascii="Times New Roman" w:hAnsi="Times New Roman" w:cs="Times New Roman"/>
          <w:b w:val="0"/>
          <w:color w:val="1F497D" w:themeColor="text2"/>
          <w:sz w:val="24"/>
          <w:szCs w:val="24"/>
        </w:rPr>
        <w:t>F</w:t>
      </w:r>
      <w:r w:rsidR="00FA17CE" w:rsidRPr="00485DD6">
        <w:rPr>
          <w:rFonts w:ascii="Times New Roman" w:hAnsi="Times New Roman" w:cs="Times New Roman"/>
          <w:b w:val="0"/>
          <w:color w:val="1F497D" w:themeColor="text2"/>
          <w:sz w:val="24"/>
          <w:szCs w:val="24"/>
        </w:rPr>
        <w:t xml:space="preserve">ew studies have investigated negative perceptions for immigrant groups. </w:t>
      </w:r>
      <w:r w:rsidR="009D541A" w:rsidRPr="00485DD6">
        <w:rPr>
          <w:rFonts w:ascii="Times New Roman" w:hAnsi="Times New Roman" w:cs="Times New Roman"/>
          <w:b w:val="0"/>
          <w:color w:val="1F497D" w:themeColor="text2"/>
          <w:sz w:val="24"/>
          <w:szCs w:val="24"/>
        </w:rPr>
        <w:t xml:space="preserve">Many studies on acculturation and delinquency, for example, do not consider the actual process and </w:t>
      </w:r>
      <w:r w:rsidR="00CA5B0A" w:rsidRPr="00485DD6">
        <w:rPr>
          <w:rFonts w:ascii="Times New Roman" w:hAnsi="Times New Roman" w:cs="Times New Roman"/>
          <w:b w:val="0"/>
          <w:color w:val="1F497D" w:themeColor="text2"/>
          <w:sz w:val="24"/>
          <w:szCs w:val="24"/>
        </w:rPr>
        <w:t xml:space="preserve">do not </w:t>
      </w:r>
      <w:r w:rsidR="009D541A" w:rsidRPr="00485DD6">
        <w:rPr>
          <w:rFonts w:ascii="Times New Roman" w:hAnsi="Times New Roman" w:cs="Times New Roman"/>
          <w:b w:val="0"/>
          <w:color w:val="1F497D" w:themeColor="text2"/>
          <w:sz w:val="24"/>
          <w:szCs w:val="24"/>
        </w:rPr>
        <w:t xml:space="preserve">investigate the mechanisms of </w:t>
      </w:r>
      <w:r w:rsidR="00857177" w:rsidRPr="00485DD6">
        <w:rPr>
          <w:rFonts w:ascii="Times New Roman" w:hAnsi="Times New Roman" w:cs="Times New Roman"/>
          <w:b w:val="0"/>
          <w:color w:val="1F497D" w:themeColor="text2"/>
          <w:sz w:val="24"/>
          <w:szCs w:val="24"/>
        </w:rPr>
        <w:t>acculturation</w:t>
      </w:r>
      <w:r w:rsidR="0018449B">
        <w:rPr>
          <w:rFonts w:ascii="Times New Roman" w:hAnsi="Times New Roman" w:cs="Times New Roman"/>
          <w:b w:val="0"/>
          <w:color w:val="1F497D" w:themeColor="text2"/>
          <w:sz w:val="24"/>
          <w:szCs w:val="24"/>
        </w:rPr>
        <w:t xml:space="preserve"> that lead</w:t>
      </w:r>
      <w:r w:rsidR="009D541A" w:rsidRPr="00485DD6">
        <w:rPr>
          <w:rFonts w:ascii="Times New Roman" w:hAnsi="Times New Roman" w:cs="Times New Roman"/>
          <w:b w:val="0"/>
          <w:color w:val="1F497D" w:themeColor="text2"/>
          <w:sz w:val="24"/>
          <w:szCs w:val="24"/>
        </w:rPr>
        <w:t xml:space="preserve"> to criminal involvement; it is important to understand what </w:t>
      </w:r>
      <w:r w:rsidR="00CA5B0A" w:rsidRPr="00485DD6">
        <w:rPr>
          <w:rFonts w:ascii="Times New Roman" w:hAnsi="Times New Roman" w:cs="Times New Roman"/>
          <w:b w:val="0"/>
          <w:color w:val="1F497D" w:themeColor="text2"/>
          <w:sz w:val="24"/>
          <w:szCs w:val="24"/>
        </w:rPr>
        <w:t>are</w:t>
      </w:r>
      <w:r w:rsidR="009D541A" w:rsidRPr="00485DD6">
        <w:rPr>
          <w:rFonts w:ascii="Times New Roman" w:hAnsi="Times New Roman" w:cs="Times New Roman"/>
          <w:b w:val="0"/>
          <w:color w:val="1F497D" w:themeColor="text2"/>
          <w:sz w:val="24"/>
          <w:szCs w:val="24"/>
        </w:rPr>
        <w:t xml:space="preserve"> successful and unsuccessful </w:t>
      </w:r>
      <w:r w:rsidR="00CA5B0A" w:rsidRPr="00485DD6">
        <w:rPr>
          <w:rFonts w:ascii="Times New Roman" w:hAnsi="Times New Roman" w:cs="Times New Roman"/>
          <w:b w:val="0"/>
          <w:color w:val="1F497D" w:themeColor="text2"/>
          <w:sz w:val="24"/>
          <w:szCs w:val="24"/>
        </w:rPr>
        <w:t>processes</w:t>
      </w:r>
      <w:r w:rsidR="009D541A" w:rsidRPr="00485DD6">
        <w:rPr>
          <w:rFonts w:ascii="Times New Roman" w:hAnsi="Times New Roman" w:cs="Times New Roman"/>
          <w:b w:val="0"/>
          <w:color w:val="1F497D" w:themeColor="text2"/>
          <w:sz w:val="24"/>
          <w:szCs w:val="24"/>
        </w:rPr>
        <w:t xml:space="preserve"> and their consequences for violence</w:t>
      </w:r>
      <w:r w:rsidR="00CA5B0A" w:rsidRPr="00485DD6">
        <w:rPr>
          <w:rFonts w:ascii="Times New Roman" w:hAnsi="Times New Roman" w:cs="Times New Roman"/>
          <w:b w:val="0"/>
          <w:color w:val="1F497D" w:themeColor="text2"/>
          <w:sz w:val="24"/>
          <w:szCs w:val="24"/>
        </w:rPr>
        <w:t xml:space="preserve"> </w:t>
      </w:r>
      <w:r w:rsidR="00CA5B0A" w:rsidRPr="00485DD6">
        <w:rPr>
          <w:rFonts w:ascii="Times New Roman" w:hAnsi="Times New Roman" w:cs="Times New Roman"/>
          <w:b w:val="0"/>
          <w:color w:val="1F497D" w:themeColor="text2"/>
          <w:sz w:val="24"/>
          <w:szCs w:val="24"/>
        </w:rPr>
        <w:fldChar w:fldCharType="begin" w:fldLock="1"/>
      </w:r>
      <w:r w:rsidR="006E213C" w:rsidRPr="00485DD6">
        <w:rPr>
          <w:rFonts w:ascii="Times New Roman" w:hAnsi="Times New Roman" w:cs="Times New Roman"/>
          <w:b w:val="0"/>
          <w:color w:val="1F497D" w:themeColor="text2"/>
          <w:sz w:val="24"/>
          <w:szCs w:val="24"/>
        </w:rPr>
        <w:instrText>ADDIN CSL_CITATION { "citationItems" : [ { "id" : "ITEM-1", "itemData" : { "DOI" : "10.1111/j.1533-8525.2001.tb02405.x", "ISSN" : "0038-0253", "author" : [ { "dropping-particle" : "", "family" : "Nagasawa", "given" : "Richard", "non-dropping-particle" : "", "parse-names" : false, "suffix" : "" }, { "dropping-particle" : "", "family" : "Qian", "given" : "Zhenchao", "non-dropping-particle" : "", "parse-names" : false, "suffix" : "" }, { "dropping-particle" : "", "family" : "Wong", "given" : "Paul", "non-dropping-particle" : "", "parse-names" : false, "suffix" : "" } ], "container-title" : "The Sociological Quarterly", "id" : "ITEM-1", "issue" : "3", "issued" : { "date-parts" : [ [ "2001", "7" ] ] }, "page" : "351-372", "title" : "Theory of Segmented Assimilation and the Adoption of Marijuana Use and Delinquent Behavior By Asian Pacific Youth", "type" : "article-journal", "volume" : "42" }, "uris" : [ "http://www.mendeley.com/documents/?uuid=dd6088b9-fc0c-48a2-94c9-d41cac7c7061" ] } ], "mendeley" : { "formattedCitation" : "(Nagasawa et al., 2001)", "plainTextFormattedCitation" : "(Nagasawa et al., 2001)", "previouslyFormattedCitation" : "(Nagasawa et al., 2001)" }, "properties" : { "noteIndex" : 0 }, "schema" : "https://github.com/citation-style-language/schema/raw/master/csl-citation.json" }</w:instrText>
      </w:r>
      <w:r w:rsidR="00CA5B0A" w:rsidRPr="00485DD6">
        <w:rPr>
          <w:rFonts w:ascii="Times New Roman" w:hAnsi="Times New Roman" w:cs="Times New Roman"/>
          <w:b w:val="0"/>
          <w:color w:val="1F497D" w:themeColor="text2"/>
          <w:sz w:val="24"/>
          <w:szCs w:val="24"/>
        </w:rPr>
        <w:fldChar w:fldCharType="separate"/>
      </w:r>
      <w:r w:rsidR="00CA5B0A" w:rsidRPr="00485DD6">
        <w:rPr>
          <w:rFonts w:ascii="Times New Roman" w:hAnsi="Times New Roman" w:cs="Times New Roman"/>
          <w:b w:val="0"/>
          <w:noProof/>
          <w:color w:val="1F497D" w:themeColor="text2"/>
          <w:sz w:val="24"/>
          <w:szCs w:val="24"/>
        </w:rPr>
        <w:t>(Nagasawa et al., 2001)</w:t>
      </w:r>
      <w:r w:rsidR="00CA5B0A" w:rsidRPr="00485DD6">
        <w:rPr>
          <w:rFonts w:ascii="Times New Roman" w:hAnsi="Times New Roman" w:cs="Times New Roman"/>
          <w:b w:val="0"/>
          <w:color w:val="1F497D" w:themeColor="text2"/>
          <w:sz w:val="24"/>
          <w:szCs w:val="24"/>
        </w:rPr>
        <w:fldChar w:fldCharType="end"/>
      </w:r>
      <w:r w:rsidR="009D541A" w:rsidRPr="00485DD6">
        <w:rPr>
          <w:rFonts w:ascii="Times New Roman" w:hAnsi="Times New Roman" w:cs="Times New Roman"/>
          <w:b w:val="0"/>
          <w:color w:val="1F497D" w:themeColor="text2"/>
          <w:sz w:val="24"/>
          <w:szCs w:val="24"/>
        </w:rPr>
        <w:t xml:space="preserve">.   </w:t>
      </w:r>
      <w:r w:rsidR="005677F6" w:rsidRPr="00485DD6">
        <w:rPr>
          <w:rFonts w:ascii="Times New Roman" w:hAnsi="Times New Roman" w:cs="Times New Roman"/>
          <w:b w:val="0"/>
          <w:color w:val="1F497D" w:themeColor="text2"/>
          <w:sz w:val="24"/>
          <w:szCs w:val="24"/>
        </w:rPr>
        <w:t xml:space="preserve"> </w:t>
      </w:r>
    </w:p>
    <w:p w14:paraId="4E632217" w14:textId="00CC6551" w:rsidR="005677F6" w:rsidRDefault="00D74522" w:rsidP="008B6437">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 xml:space="preserve">The significance in young </w:t>
      </w:r>
      <w:r w:rsidR="001F6496" w:rsidRPr="00485DD6">
        <w:rPr>
          <w:rFonts w:ascii="Times New Roman" w:hAnsi="Times New Roman" w:cs="Times New Roman"/>
          <w:b w:val="0"/>
          <w:color w:val="1F497D" w:themeColor="text2"/>
          <w:sz w:val="24"/>
          <w:szCs w:val="24"/>
        </w:rPr>
        <w:t xml:space="preserve">adult </w:t>
      </w:r>
      <w:r w:rsidRPr="00485DD6">
        <w:rPr>
          <w:rFonts w:ascii="Times New Roman" w:hAnsi="Times New Roman" w:cs="Times New Roman"/>
          <w:b w:val="0"/>
          <w:color w:val="1F497D" w:themeColor="text2"/>
          <w:sz w:val="24"/>
          <w:szCs w:val="24"/>
        </w:rPr>
        <w:t xml:space="preserve">age and its stronger relationship to </w:t>
      </w:r>
      <w:r w:rsidR="001F6496" w:rsidRPr="00485DD6">
        <w:rPr>
          <w:rFonts w:ascii="Times New Roman" w:hAnsi="Times New Roman" w:cs="Times New Roman"/>
          <w:b w:val="0"/>
          <w:color w:val="1F497D" w:themeColor="text2"/>
          <w:sz w:val="24"/>
          <w:szCs w:val="24"/>
        </w:rPr>
        <w:t xml:space="preserve">pro-violence attitudes merits further investigation. Additionally, research investigating segmented assimilation theory and acculturation phenomena tend to have in mind first-generation immigrant parents and their second-generation immigrant </w:t>
      </w:r>
      <w:r w:rsidR="0065765D" w:rsidRPr="00485DD6">
        <w:rPr>
          <w:rFonts w:ascii="Times New Roman" w:hAnsi="Times New Roman" w:cs="Times New Roman"/>
          <w:b w:val="0"/>
          <w:color w:val="1F497D" w:themeColor="text2"/>
          <w:sz w:val="24"/>
          <w:szCs w:val="24"/>
        </w:rPr>
        <w:t>children; g</w:t>
      </w:r>
      <w:r w:rsidR="001F6496" w:rsidRPr="00485DD6">
        <w:rPr>
          <w:rFonts w:ascii="Times New Roman" w:hAnsi="Times New Roman" w:cs="Times New Roman"/>
          <w:b w:val="0"/>
          <w:color w:val="1F497D" w:themeColor="text2"/>
          <w:sz w:val="24"/>
          <w:szCs w:val="24"/>
        </w:rPr>
        <w:t>ang membership and violence are also youth and immigrant community problems. Compared</w:t>
      </w:r>
      <w:r w:rsidR="0065765D" w:rsidRPr="00485DD6">
        <w:rPr>
          <w:rFonts w:ascii="Times New Roman" w:hAnsi="Times New Roman" w:cs="Times New Roman"/>
          <w:b w:val="0"/>
          <w:color w:val="1F497D" w:themeColor="text2"/>
          <w:sz w:val="24"/>
          <w:szCs w:val="24"/>
        </w:rPr>
        <w:t xml:space="preserve"> to first-generation immigrant</w:t>
      </w:r>
      <w:r w:rsidR="001F6496" w:rsidRPr="00485DD6">
        <w:rPr>
          <w:rFonts w:ascii="Times New Roman" w:hAnsi="Times New Roman" w:cs="Times New Roman"/>
          <w:b w:val="0"/>
          <w:color w:val="1F497D" w:themeColor="text2"/>
          <w:sz w:val="24"/>
          <w:szCs w:val="24"/>
        </w:rPr>
        <w:t xml:space="preserve"> status, young adult age may be more of a factor relating to pro-violence attitudes</w:t>
      </w:r>
      <w:r w:rsidR="00B3435E" w:rsidRPr="00485DD6">
        <w:rPr>
          <w:rFonts w:ascii="Times New Roman" w:hAnsi="Times New Roman" w:cs="Times New Roman"/>
          <w:b w:val="0"/>
          <w:color w:val="1F497D" w:themeColor="text2"/>
          <w:sz w:val="24"/>
          <w:szCs w:val="24"/>
        </w:rPr>
        <w:t xml:space="preserve"> because, overall, when considering the </w:t>
      </w:r>
      <w:r w:rsidR="0065765D" w:rsidRPr="00485DD6">
        <w:rPr>
          <w:rFonts w:ascii="Times New Roman" w:hAnsi="Times New Roman" w:cs="Times New Roman"/>
          <w:b w:val="0"/>
          <w:color w:val="1F497D" w:themeColor="text2"/>
          <w:sz w:val="24"/>
          <w:szCs w:val="24"/>
        </w:rPr>
        <w:t xml:space="preserve">total </w:t>
      </w:r>
      <w:r w:rsidR="00B3435E" w:rsidRPr="00485DD6">
        <w:rPr>
          <w:rFonts w:ascii="Times New Roman" w:hAnsi="Times New Roman" w:cs="Times New Roman"/>
          <w:b w:val="0"/>
          <w:color w:val="1F497D" w:themeColor="text2"/>
          <w:sz w:val="24"/>
          <w:szCs w:val="24"/>
        </w:rPr>
        <w:t>popul</w:t>
      </w:r>
      <w:r w:rsidR="0065765D" w:rsidRPr="00485DD6">
        <w:rPr>
          <w:rFonts w:ascii="Times New Roman" w:hAnsi="Times New Roman" w:cs="Times New Roman"/>
          <w:b w:val="0"/>
          <w:color w:val="1F497D" w:themeColor="text2"/>
          <w:sz w:val="24"/>
          <w:szCs w:val="24"/>
        </w:rPr>
        <w:t>ation</w:t>
      </w:r>
      <w:r w:rsidR="00B3435E" w:rsidRPr="00485DD6">
        <w:rPr>
          <w:rFonts w:ascii="Times New Roman" w:hAnsi="Times New Roman" w:cs="Times New Roman"/>
          <w:b w:val="0"/>
          <w:color w:val="1F497D" w:themeColor="text2"/>
          <w:sz w:val="24"/>
          <w:szCs w:val="24"/>
        </w:rPr>
        <w:t xml:space="preserve">, teenagers and adolescents are at more risk to develop pro-violent attitudes and act on them. </w:t>
      </w:r>
      <w:r w:rsidR="0018449B">
        <w:rPr>
          <w:rFonts w:ascii="Times New Roman" w:hAnsi="Times New Roman" w:cs="Times New Roman"/>
          <w:b w:val="0"/>
          <w:color w:val="1F497D" w:themeColor="text2"/>
          <w:sz w:val="24"/>
          <w:szCs w:val="24"/>
        </w:rPr>
        <w:t xml:space="preserve">This may explain why first-generation immigrants do not commit violence because they tend to be older than second-generation immigrants. </w:t>
      </w:r>
    </w:p>
    <w:p w14:paraId="615DBE1B" w14:textId="77777777" w:rsidR="0018449B" w:rsidRPr="00485DD6" w:rsidRDefault="0018449B" w:rsidP="008B6437">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p>
    <w:p w14:paraId="37711F07" w14:textId="455E1193" w:rsidR="00B6489C" w:rsidRPr="00485DD6" w:rsidRDefault="00B6489C" w:rsidP="008B6437">
      <w:pPr>
        <w:pStyle w:val="Heading5"/>
        <w:spacing w:before="0" w:beforeAutospacing="0" w:after="0" w:afterAutospacing="0" w:line="480" w:lineRule="auto"/>
        <w:contextualSpacing/>
        <w:jc w:val="both"/>
        <w:rPr>
          <w:rFonts w:ascii="Times New Roman" w:hAnsi="Times New Roman" w:cs="Times New Roman"/>
          <w:b w:val="0"/>
          <w:i/>
          <w:color w:val="1F497D" w:themeColor="text2"/>
          <w:sz w:val="24"/>
          <w:szCs w:val="24"/>
        </w:rPr>
      </w:pPr>
      <w:r w:rsidRPr="00485DD6">
        <w:rPr>
          <w:rFonts w:ascii="Times New Roman" w:hAnsi="Times New Roman" w:cs="Times New Roman"/>
          <w:b w:val="0"/>
          <w:i/>
          <w:color w:val="1F497D" w:themeColor="text2"/>
          <w:sz w:val="24"/>
          <w:szCs w:val="24"/>
        </w:rPr>
        <w:t>Policy implications and future directions</w:t>
      </w:r>
    </w:p>
    <w:p w14:paraId="1B630351" w14:textId="38AA44C8" w:rsidR="002F42FB" w:rsidRPr="00485DD6" w:rsidRDefault="00B6489C" w:rsidP="008B6437">
      <w:pPr>
        <w:pStyle w:val="Heading5"/>
        <w:spacing w:before="0" w:beforeAutospacing="0" w:after="0" w:afterAutospacing="0" w:line="480" w:lineRule="auto"/>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ab/>
        <w:t xml:space="preserve">The present findings </w:t>
      </w:r>
      <w:r w:rsidR="0018449B">
        <w:rPr>
          <w:rFonts w:ascii="Times New Roman" w:hAnsi="Times New Roman" w:cs="Times New Roman"/>
          <w:b w:val="0"/>
          <w:color w:val="1F497D" w:themeColor="text2"/>
          <w:sz w:val="24"/>
          <w:szCs w:val="24"/>
        </w:rPr>
        <w:t>show</w:t>
      </w:r>
      <w:r w:rsidRPr="00485DD6">
        <w:rPr>
          <w:rFonts w:ascii="Times New Roman" w:hAnsi="Times New Roman" w:cs="Times New Roman"/>
          <w:b w:val="0"/>
          <w:color w:val="1F497D" w:themeColor="text2"/>
          <w:sz w:val="24"/>
          <w:szCs w:val="24"/>
        </w:rPr>
        <w:t xml:space="preserve"> the importance of understanding </w:t>
      </w:r>
      <w:r w:rsidR="002F42FB" w:rsidRPr="00485DD6">
        <w:rPr>
          <w:rFonts w:ascii="Times New Roman" w:hAnsi="Times New Roman" w:cs="Times New Roman"/>
          <w:b w:val="0"/>
          <w:color w:val="1F497D" w:themeColor="text2"/>
          <w:sz w:val="24"/>
          <w:szCs w:val="24"/>
        </w:rPr>
        <w:t xml:space="preserve">the mechanisms of acculturation, </w:t>
      </w:r>
      <w:r w:rsidR="0018449B">
        <w:rPr>
          <w:rFonts w:ascii="Times New Roman" w:hAnsi="Times New Roman" w:cs="Times New Roman"/>
          <w:b w:val="0"/>
          <w:color w:val="1F497D" w:themeColor="text2"/>
          <w:sz w:val="24"/>
          <w:szCs w:val="24"/>
        </w:rPr>
        <w:t xml:space="preserve">and </w:t>
      </w:r>
      <w:r w:rsidR="002F42FB" w:rsidRPr="00485DD6">
        <w:rPr>
          <w:rFonts w:ascii="Times New Roman" w:hAnsi="Times New Roman" w:cs="Times New Roman"/>
          <w:b w:val="0"/>
          <w:color w:val="1F497D" w:themeColor="text2"/>
          <w:sz w:val="24"/>
          <w:szCs w:val="24"/>
        </w:rPr>
        <w:t>how</w:t>
      </w:r>
      <w:r w:rsidR="0018449B">
        <w:rPr>
          <w:rFonts w:ascii="Times New Roman" w:hAnsi="Times New Roman" w:cs="Times New Roman"/>
          <w:b w:val="0"/>
          <w:color w:val="1F497D" w:themeColor="text2"/>
          <w:sz w:val="24"/>
          <w:szCs w:val="24"/>
        </w:rPr>
        <w:t xml:space="preserve"> they affect</w:t>
      </w:r>
      <w:r w:rsidRPr="00485DD6">
        <w:rPr>
          <w:rFonts w:ascii="Times New Roman" w:hAnsi="Times New Roman" w:cs="Times New Roman"/>
          <w:b w:val="0"/>
          <w:color w:val="1F497D" w:themeColor="text2"/>
          <w:sz w:val="24"/>
          <w:szCs w:val="24"/>
        </w:rPr>
        <w:t xml:space="preserve"> both first and second generation immigrants</w:t>
      </w:r>
      <w:r w:rsidR="0018449B">
        <w:rPr>
          <w:rFonts w:ascii="Times New Roman" w:hAnsi="Times New Roman" w:cs="Times New Roman"/>
          <w:b w:val="0"/>
          <w:color w:val="1F497D" w:themeColor="text2"/>
          <w:sz w:val="24"/>
          <w:szCs w:val="24"/>
        </w:rPr>
        <w:t>.</w:t>
      </w:r>
      <w:r w:rsidRPr="00485DD6">
        <w:rPr>
          <w:rFonts w:ascii="Times New Roman" w:hAnsi="Times New Roman" w:cs="Times New Roman"/>
          <w:b w:val="0"/>
          <w:color w:val="1F497D" w:themeColor="text2"/>
          <w:sz w:val="24"/>
          <w:szCs w:val="24"/>
        </w:rPr>
        <w:t xml:space="preserve"> </w:t>
      </w:r>
      <w:r w:rsidR="00E64887" w:rsidRPr="00485DD6">
        <w:rPr>
          <w:rFonts w:ascii="Times New Roman" w:hAnsi="Times New Roman" w:cs="Times New Roman"/>
          <w:b w:val="0"/>
          <w:color w:val="1F497D" w:themeColor="text2"/>
          <w:sz w:val="24"/>
          <w:szCs w:val="24"/>
        </w:rPr>
        <w:t xml:space="preserve">Despite the small effect size between first-generation immigrant status, perceived exclusion, and pro-violence attitudes, the study contributes knowledge </w:t>
      </w:r>
      <w:r w:rsidR="0018449B">
        <w:rPr>
          <w:rFonts w:ascii="Times New Roman" w:hAnsi="Times New Roman" w:cs="Times New Roman"/>
          <w:b w:val="0"/>
          <w:color w:val="1F497D" w:themeColor="text2"/>
          <w:sz w:val="24"/>
          <w:szCs w:val="24"/>
        </w:rPr>
        <w:t>other possible mechanisms through</w:t>
      </w:r>
      <w:r w:rsidR="00E64887" w:rsidRPr="00485DD6">
        <w:rPr>
          <w:rFonts w:ascii="Times New Roman" w:hAnsi="Times New Roman" w:cs="Times New Roman"/>
          <w:b w:val="0"/>
          <w:color w:val="1F497D" w:themeColor="text2"/>
          <w:sz w:val="24"/>
          <w:szCs w:val="24"/>
        </w:rPr>
        <w:t xml:space="preserve"> which violence risk is increased in immigrant groups and how these mechanisms </w:t>
      </w:r>
      <w:r w:rsidR="00E64887" w:rsidRPr="00485DD6">
        <w:rPr>
          <w:rFonts w:ascii="Times New Roman" w:hAnsi="Times New Roman" w:cs="Times New Roman"/>
          <w:b w:val="0"/>
          <w:color w:val="1F497D" w:themeColor="text2"/>
          <w:sz w:val="24"/>
          <w:szCs w:val="24"/>
        </w:rPr>
        <w:lastRenderedPageBreak/>
        <w:t>may operate in a context outside of the US, where this</w:t>
      </w:r>
      <w:r w:rsidR="002F42FB" w:rsidRPr="00485DD6">
        <w:rPr>
          <w:rFonts w:ascii="Times New Roman" w:hAnsi="Times New Roman" w:cs="Times New Roman"/>
          <w:b w:val="0"/>
          <w:color w:val="1F497D" w:themeColor="text2"/>
          <w:sz w:val="24"/>
          <w:szCs w:val="24"/>
        </w:rPr>
        <w:t xml:space="preserve"> type of </w:t>
      </w:r>
      <w:r w:rsidR="00E64887" w:rsidRPr="00485DD6">
        <w:rPr>
          <w:rFonts w:ascii="Times New Roman" w:hAnsi="Times New Roman" w:cs="Times New Roman"/>
          <w:b w:val="0"/>
          <w:color w:val="1F497D" w:themeColor="text2"/>
          <w:sz w:val="24"/>
          <w:szCs w:val="24"/>
        </w:rPr>
        <w:t xml:space="preserve"> research </w:t>
      </w:r>
      <w:r w:rsidR="0018449B">
        <w:rPr>
          <w:rFonts w:ascii="Times New Roman" w:hAnsi="Times New Roman" w:cs="Times New Roman"/>
          <w:b w:val="0"/>
          <w:color w:val="1F497D" w:themeColor="text2"/>
          <w:sz w:val="24"/>
          <w:szCs w:val="24"/>
        </w:rPr>
        <w:t>has mainly been conducted</w:t>
      </w:r>
      <w:r w:rsidR="00E64887" w:rsidRPr="00485DD6">
        <w:rPr>
          <w:rFonts w:ascii="Times New Roman" w:hAnsi="Times New Roman" w:cs="Times New Roman"/>
          <w:b w:val="0"/>
          <w:color w:val="1F497D" w:themeColor="text2"/>
          <w:sz w:val="24"/>
          <w:szCs w:val="24"/>
        </w:rPr>
        <w:t>.</w:t>
      </w:r>
    </w:p>
    <w:p w14:paraId="549D091F" w14:textId="2D4BC6F0" w:rsidR="002F42FB" w:rsidRPr="00485DD6" w:rsidRDefault="002F42FB" w:rsidP="008B6437">
      <w:pPr>
        <w:pStyle w:val="Heading5"/>
        <w:spacing w:before="0" w:beforeAutospacing="0" w:after="0" w:afterAutospacing="0" w:line="480" w:lineRule="auto"/>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ab/>
      </w:r>
      <w:r w:rsidR="00B8485F" w:rsidRPr="00485DD6">
        <w:rPr>
          <w:rFonts w:ascii="Times New Roman" w:hAnsi="Times New Roman" w:cs="Times New Roman"/>
          <w:b w:val="0"/>
          <w:color w:val="1F497D" w:themeColor="text2"/>
          <w:sz w:val="24"/>
          <w:szCs w:val="24"/>
        </w:rPr>
        <w:t>From the findings, r</w:t>
      </w:r>
      <w:r w:rsidRPr="00485DD6">
        <w:rPr>
          <w:rFonts w:ascii="Times New Roman" w:hAnsi="Times New Roman" w:cs="Times New Roman"/>
          <w:b w:val="0"/>
          <w:color w:val="1F497D" w:themeColor="text2"/>
          <w:sz w:val="24"/>
          <w:szCs w:val="24"/>
        </w:rPr>
        <w:t xml:space="preserve">esearchers and policy-makers </w:t>
      </w:r>
      <w:r w:rsidR="004E1EE5" w:rsidRPr="00485DD6">
        <w:rPr>
          <w:rFonts w:ascii="Times New Roman" w:hAnsi="Times New Roman" w:cs="Times New Roman"/>
          <w:b w:val="0"/>
          <w:color w:val="1F497D" w:themeColor="text2"/>
          <w:sz w:val="24"/>
          <w:szCs w:val="24"/>
        </w:rPr>
        <w:t>aiming</w:t>
      </w:r>
      <w:r w:rsidRPr="00485DD6">
        <w:rPr>
          <w:rFonts w:ascii="Times New Roman" w:hAnsi="Times New Roman" w:cs="Times New Roman"/>
          <w:b w:val="0"/>
          <w:color w:val="1F497D" w:themeColor="text2"/>
          <w:sz w:val="24"/>
          <w:szCs w:val="24"/>
        </w:rPr>
        <w:t xml:space="preserve"> to improve</w:t>
      </w:r>
      <w:r w:rsidR="0002217C" w:rsidRPr="00485DD6">
        <w:rPr>
          <w:rFonts w:ascii="Times New Roman" w:hAnsi="Times New Roman" w:cs="Times New Roman"/>
          <w:b w:val="0"/>
          <w:color w:val="1F497D" w:themeColor="text2"/>
          <w:sz w:val="24"/>
          <w:szCs w:val="24"/>
        </w:rPr>
        <w:t xml:space="preserve"> immigrant communities and </w:t>
      </w:r>
      <w:r w:rsidR="004E1EE5" w:rsidRPr="00485DD6">
        <w:rPr>
          <w:rFonts w:ascii="Times New Roman" w:hAnsi="Times New Roman" w:cs="Times New Roman"/>
          <w:b w:val="0"/>
          <w:color w:val="1F497D" w:themeColor="text2"/>
          <w:sz w:val="24"/>
          <w:szCs w:val="24"/>
        </w:rPr>
        <w:t xml:space="preserve">prevent violence within these communities will benefit from understanding </w:t>
      </w:r>
      <w:r w:rsidR="00B8485F" w:rsidRPr="00485DD6">
        <w:rPr>
          <w:rFonts w:ascii="Times New Roman" w:hAnsi="Times New Roman" w:cs="Times New Roman"/>
          <w:b w:val="0"/>
          <w:color w:val="1F497D" w:themeColor="text2"/>
          <w:sz w:val="24"/>
          <w:szCs w:val="24"/>
        </w:rPr>
        <w:t xml:space="preserve">the parental influences on immigrant children and the factors that improve these relationships. In these particular communities, parents </w:t>
      </w:r>
      <w:r w:rsidR="0018449B">
        <w:rPr>
          <w:rFonts w:ascii="Times New Roman" w:hAnsi="Times New Roman" w:cs="Times New Roman"/>
          <w:b w:val="0"/>
          <w:color w:val="1F497D" w:themeColor="text2"/>
          <w:sz w:val="24"/>
          <w:szCs w:val="24"/>
        </w:rPr>
        <w:t xml:space="preserve">and </w:t>
      </w:r>
      <w:r w:rsidR="0018449B" w:rsidRPr="00485DD6">
        <w:rPr>
          <w:rFonts w:ascii="Times New Roman" w:hAnsi="Times New Roman" w:cs="Times New Roman"/>
          <w:b w:val="0"/>
          <w:color w:val="1F497D" w:themeColor="text2"/>
          <w:sz w:val="24"/>
          <w:szCs w:val="24"/>
        </w:rPr>
        <w:t xml:space="preserve">the surrounding community network </w:t>
      </w:r>
      <w:r w:rsidR="00460AAA">
        <w:rPr>
          <w:rFonts w:ascii="Times New Roman" w:hAnsi="Times New Roman" w:cs="Times New Roman"/>
          <w:b w:val="0"/>
          <w:color w:val="1F497D" w:themeColor="text2"/>
          <w:sz w:val="24"/>
          <w:szCs w:val="24"/>
        </w:rPr>
        <w:t>provide support and bonds</w:t>
      </w:r>
      <w:r w:rsidR="00C91953" w:rsidRPr="00485DD6">
        <w:rPr>
          <w:rFonts w:ascii="Times New Roman" w:hAnsi="Times New Roman" w:cs="Times New Roman"/>
          <w:b w:val="0"/>
          <w:color w:val="1F497D" w:themeColor="text2"/>
          <w:sz w:val="24"/>
          <w:szCs w:val="24"/>
        </w:rPr>
        <w:t>. Strengthening these bonds and creating cultura</w:t>
      </w:r>
      <w:r w:rsidR="00460AAA">
        <w:rPr>
          <w:rFonts w:ascii="Times New Roman" w:hAnsi="Times New Roman" w:cs="Times New Roman"/>
          <w:b w:val="0"/>
          <w:color w:val="1F497D" w:themeColor="text2"/>
          <w:sz w:val="24"/>
          <w:szCs w:val="24"/>
        </w:rPr>
        <w:t>lly-sensitive means to access</w:t>
      </w:r>
      <w:r w:rsidR="00C91953" w:rsidRPr="00485DD6">
        <w:rPr>
          <w:rFonts w:ascii="Times New Roman" w:hAnsi="Times New Roman" w:cs="Times New Roman"/>
          <w:b w:val="0"/>
          <w:color w:val="1F497D" w:themeColor="text2"/>
          <w:sz w:val="24"/>
          <w:szCs w:val="24"/>
        </w:rPr>
        <w:t xml:space="preserve"> societal resources would reduce feelings of exclusion. Examples of </w:t>
      </w:r>
      <w:r w:rsidR="00050770" w:rsidRPr="00485DD6">
        <w:rPr>
          <w:rFonts w:ascii="Times New Roman" w:hAnsi="Times New Roman" w:cs="Times New Roman"/>
          <w:b w:val="0"/>
          <w:color w:val="1F497D" w:themeColor="text2"/>
          <w:sz w:val="24"/>
          <w:szCs w:val="24"/>
        </w:rPr>
        <w:t>culturally sensitive</w:t>
      </w:r>
      <w:r w:rsidR="00C91953" w:rsidRPr="00485DD6">
        <w:rPr>
          <w:rFonts w:ascii="Times New Roman" w:hAnsi="Times New Roman" w:cs="Times New Roman"/>
          <w:b w:val="0"/>
          <w:color w:val="1F497D" w:themeColor="text2"/>
          <w:sz w:val="24"/>
          <w:szCs w:val="24"/>
        </w:rPr>
        <w:t xml:space="preserve"> means would be accessible and affordable health care and mental health clinics where doctors and clinicians speak the immigrant community’s language and understand their cultural norms and beliefs. Another example is job </w:t>
      </w:r>
      <w:r w:rsidR="00460AAA" w:rsidRPr="00485DD6">
        <w:rPr>
          <w:rFonts w:ascii="Times New Roman" w:hAnsi="Times New Roman" w:cs="Times New Roman"/>
          <w:b w:val="0"/>
          <w:color w:val="1F497D" w:themeColor="text2"/>
          <w:sz w:val="24"/>
          <w:szCs w:val="24"/>
        </w:rPr>
        <w:t>centres</w:t>
      </w:r>
      <w:r w:rsidR="00C91953" w:rsidRPr="00485DD6">
        <w:rPr>
          <w:rFonts w:ascii="Times New Roman" w:hAnsi="Times New Roman" w:cs="Times New Roman"/>
          <w:b w:val="0"/>
          <w:color w:val="1F497D" w:themeColor="text2"/>
          <w:sz w:val="24"/>
          <w:szCs w:val="24"/>
        </w:rPr>
        <w:t xml:space="preserve"> that are considerate of the individual’s immigration circumstance</w:t>
      </w:r>
      <w:r w:rsidR="00460AAA">
        <w:rPr>
          <w:rFonts w:ascii="Times New Roman" w:hAnsi="Times New Roman" w:cs="Times New Roman"/>
          <w:b w:val="0"/>
          <w:color w:val="1F497D" w:themeColor="text2"/>
          <w:sz w:val="24"/>
          <w:szCs w:val="24"/>
        </w:rPr>
        <w:t>s</w:t>
      </w:r>
      <w:r w:rsidR="00C91953" w:rsidRPr="00485DD6">
        <w:rPr>
          <w:rFonts w:ascii="Times New Roman" w:hAnsi="Times New Roman" w:cs="Times New Roman"/>
          <w:b w:val="0"/>
          <w:color w:val="1F497D" w:themeColor="text2"/>
          <w:sz w:val="24"/>
          <w:szCs w:val="24"/>
        </w:rPr>
        <w:t xml:space="preserve">. These institutions could provide better support for immigrant communities, reducing the burdens of acculturation for first-generation immigrants, and reduce perceived exclusion from the host society.   </w:t>
      </w:r>
      <w:r w:rsidR="00B8485F" w:rsidRPr="00485DD6">
        <w:rPr>
          <w:rFonts w:ascii="Times New Roman" w:hAnsi="Times New Roman" w:cs="Times New Roman"/>
          <w:b w:val="0"/>
          <w:color w:val="1F497D" w:themeColor="text2"/>
          <w:sz w:val="24"/>
          <w:szCs w:val="24"/>
        </w:rPr>
        <w:t xml:space="preserve"> </w:t>
      </w:r>
      <w:r w:rsidR="004E1EE5" w:rsidRPr="00485DD6">
        <w:rPr>
          <w:rFonts w:ascii="Times New Roman" w:hAnsi="Times New Roman" w:cs="Times New Roman"/>
          <w:b w:val="0"/>
          <w:color w:val="1F497D" w:themeColor="text2"/>
          <w:sz w:val="24"/>
          <w:szCs w:val="24"/>
        </w:rPr>
        <w:t xml:space="preserve"> </w:t>
      </w:r>
      <w:r w:rsidRPr="00485DD6">
        <w:rPr>
          <w:rFonts w:ascii="Times New Roman" w:hAnsi="Times New Roman" w:cs="Times New Roman"/>
          <w:b w:val="0"/>
          <w:color w:val="1F497D" w:themeColor="text2"/>
          <w:sz w:val="24"/>
          <w:szCs w:val="24"/>
        </w:rPr>
        <w:t xml:space="preserve"> </w:t>
      </w:r>
    </w:p>
    <w:p w14:paraId="79F536B0" w14:textId="4E09B588" w:rsidR="004E1EE5" w:rsidRPr="00460AAA" w:rsidRDefault="00A33DAC" w:rsidP="00460AAA">
      <w:pPr>
        <w:pStyle w:val="Heading5"/>
        <w:spacing w:before="0" w:beforeAutospacing="0" w:after="0" w:afterAutospacing="0" w:line="480" w:lineRule="auto"/>
        <w:ind w:firstLine="720"/>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 xml:space="preserve"> </w:t>
      </w:r>
    </w:p>
    <w:p w14:paraId="5F8B6BF8" w14:textId="02B9F5D2" w:rsidR="002F42FB" w:rsidRPr="00485DD6" w:rsidRDefault="002F42FB" w:rsidP="008B6437">
      <w:pPr>
        <w:pStyle w:val="Heading5"/>
        <w:spacing w:before="0" w:beforeAutospacing="0" w:after="0" w:afterAutospacing="0" w:line="480" w:lineRule="auto"/>
        <w:contextualSpacing/>
        <w:jc w:val="both"/>
        <w:rPr>
          <w:rFonts w:ascii="Times New Roman" w:hAnsi="Times New Roman" w:cs="Times New Roman"/>
          <w:b w:val="0"/>
          <w:i/>
          <w:sz w:val="24"/>
          <w:szCs w:val="24"/>
        </w:rPr>
      </w:pPr>
      <w:r w:rsidRPr="00485DD6">
        <w:rPr>
          <w:rFonts w:ascii="Times New Roman" w:hAnsi="Times New Roman" w:cs="Times New Roman"/>
          <w:b w:val="0"/>
          <w:i/>
          <w:sz w:val="24"/>
          <w:szCs w:val="24"/>
        </w:rPr>
        <w:t>Limitations</w:t>
      </w:r>
    </w:p>
    <w:p w14:paraId="740F613C" w14:textId="7FBDAF4F" w:rsidR="006E213C" w:rsidRPr="00485DD6" w:rsidRDefault="002F42FB" w:rsidP="008B6437">
      <w:pPr>
        <w:spacing w:after="0" w:line="480" w:lineRule="auto"/>
        <w:ind w:firstLine="720"/>
        <w:contextualSpacing/>
        <w:jc w:val="both"/>
        <w:rPr>
          <w:color w:val="1F497D" w:themeColor="text2"/>
        </w:rPr>
      </w:pPr>
      <w:r w:rsidRPr="00485DD6">
        <w:t>The primary limitations of this study</w:t>
      </w:r>
      <w:r w:rsidR="00460AAA">
        <w:t xml:space="preserve"> are its cross-sectional design and</w:t>
      </w:r>
      <w:r w:rsidRPr="00485DD6">
        <w:t xml:space="preserve"> the lack of a measure </w:t>
      </w:r>
      <w:r w:rsidR="00460AAA">
        <w:t>of actual violence</w:t>
      </w:r>
      <w:r w:rsidRPr="00485DD6">
        <w:t xml:space="preserve">. A longitudinal design that </w:t>
      </w:r>
      <w:r w:rsidR="00460AAA">
        <w:t>follows</w:t>
      </w:r>
      <w:r w:rsidRPr="00485DD6">
        <w:t xml:space="preserve"> first-generation immigrant parents and their subsequent generations would have been ideal as it would establish whether pro-violence attitudes are transmitted from first-generation </w:t>
      </w:r>
      <w:r w:rsidR="005213ED" w:rsidRPr="00485DD6">
        <w:t xml:space="preserve">immigrant </w:t>
      </w:r>
      <w:r w:rsidRPr="00485DD6">
        <w:t>parent to second-generation</w:t>
      </w:r>
      <w:r w:rsidR="005213ED" w:rsidRPr="00485DD6">
        <w:t xml:space="preserve"> immigrant</w:t>
      </w:r>
      <w:r w:rsidRPr="00485DD6">
        <w:t xml:space="preserve"> child. With the current design, it is difficult to conclude with certainty that attitudes are passed down </w:t>
      </w:r>
      <w:r w:rsidR="005213ED" w:rsidRPr="00485DD6">
        <w:t>to second-generation immigrants</w:t>
      </w:r>
      <w:r w:rsidRPr="00485DD6">
        <w:rPr>
          <w:color w:val="1F497D" w:themeColor="text2"/>
        </w:rPr>
        <w:t xml:space="preserve">. </w:t>
      </w:r>
    </w:p>
    <w:p w14:paraId="5BC3130C" w14:textId="538A66A2" w:rsidR="002F42FB" w:rsidRDefault="00460AAA" w:rsidP="00460AAA">
      <w:pPr>
        <w:spacing w:after="0" w:line="480" w:lineRule="auto"/>
        <w:ind w:firstLine="720"/>
        <w:contextualSpacing/>
        <w:jc w:val="both"/>
      </w:pPr>
      <w:r>
        <w:lastRenderedPageBreak/>
        <w:t>Additionally, a measure of</w:t>
      </w:r>
      <w:r w:rsidR="00EC3537" w:rsidRPr="00485DD6">
        <w:t xml:space="preserve"> actual violence was missing from our study. This was because the Citizenship Survey did not include items measuring violence. Thus, the study </w:t>
      </w:r>
      <w:r>
        <w:t>can</w:t>
      </w:r>
      <w:r w:rsidR="00EC3537" w:rsidRPr="00485DD6">
        <w:t xml:space="preserve"> not state for certai</w:t>
      </w:r>
      <w:r>
        <w:t>n that pro-violence attitudes a</w:t>
      </w:r>
      <w:r w:rsidR="00EC3537" w:rsidRPr="00485DD6">
        <w:t xml:space="preserve">re directly related to violent acts. The </w:t>
      </w:r>
      <w:r>
        <w:t>previous</w:t>
      </w:r>
      <w:r w:rsidR="00EC3537" w:rsidRPr="00485DD6">
        <w:t xml:space="preserve"> literature, however, has shown evidence that attitudes favourable to violence are related to actual violence. It could also be </w:t>
      </w:r>
      <w:r>
        <w:t>suggested that pro-violence attitudes are</w:t>
      </w:r>
      <w:r w:rsidR="00EC3537" w:rsidRPr="00485DD6">
        <w:t xml:space="preserve"> used as a proxy for actual violence. But as the measure comprised only 1-item, ther</w:t>
      </w:r>
      <w:r>
        <w:t>e must be great</w:t>
      </w:r>
      <w:r w:rsidR="00EC3537" w:rsidRPr="00485DD6">
        <w:t xml:space="preserve"> caution in interpreting the results. More research is needed to replicate and elaborate upon these findings.</w:t>
      </w:r>
    </w:p>
    <w:p w14:paraId="2769DF54" w14:textId="77777777" w:rsidR="00460AAA" w:rsidRPr="00485DD6" w:rsidRDefault="00460AAA" w:rsidP="00460AAA">
      <w:pPr>
        <w:spacing w:after="0" w:line="480" w:lineRule="auto"/>
        <w:ind w:firstLine="720"/>
        <w:contextualSpacing/>
        <w:jc w:val="both"/>
      </w:pPr>
    </w:p>
    <w:p w14:paraId="2783BB0D" w14:textId="6748FD47" w:rsidR="002F42FB" w:rsidRPr="00485DD6" w:rsidRDefault="006E213C" w:rsidP="008B6437">
      <w:pPr>
        <w:pStyle w:val="Heading5"/>
        <w:spacing w:before="0" w:beforeAutospacing="0" w:after="0" w:afterAutospacing="0" w:line="480" w:lineRule="auto"/>
        <w:contextualSpacing/>
        <w:jc w:val="both"/>
        <w:rPr>
          <w:rFonts w:ascii="Times New Roman" w:hAnsi="Times New Roman" w:cs="Times New Roman"/>
          <w:b w:val="0"/>
          <w:i/>
          <w:sz w:val="24"/>
          <w:szCs w:val="24"/>
        </w:rPr>
      </w:pPr>
      <w:r w:rsidRPr="00485DD6">
        <w:rPr>
          <w:rFonts w:ascii="Times New Roman" w:hAnsi="Times New Roman" w:cs="Times New Roman"/>
          <w:b w:val="0"/>
          <w:i/>
          <w:sz w:val="24"/>
          <w:szCs w:val="24"/>
        </w:rPr>
        <w:t>Conclusions</w:t>
      </w:r>
    </w:p>
    <w:p w14:paraId="721E1865" w14:textId="4C4C3E0D" w:rsidR="00B3435E" w:rsidRPr="00485DD6" w:rsidRDefault="00B6489C" w:rsidP="008B6437">
      <w:pPr>
        <w:pStyle w:val="Heading5"/>
        <w:spacing w:before="0" w:beforeAutospacing="0" w:after="0" w:afterAutospacing="0" w:line="480" w:lineRule="auto"/>
        <w:contextualSpacing/>
        <w:jc w:val="both"/>
        <w:rPr>
          <w:rFonts w:ascii="Times New Roman" w:hAnsi="Times New Roman" w:cs="Times New Roman"/>
          <w:b w:val="0"/>
          <w:color w:val="1F497D" w:themeColor="text2"/>
          <w:sz w:val="24"/>
          <w:szCs w:val="24"/>
        </w:rPr>
      </w:pPr>
      <w:r w:rsidRPr="00485DD6">
        <w:rPr>
          <w:rFonts w:ascii="Times New Roman" w:hAnsi="Times New Roman" w:cs="Times New Roman"/>
          <w:b w:val="0"/>
          <w:color w:val="1F497D" w:themeColor="text2"/>
          <w:sz w:val="24"/>
          <w:szCs w:val="24"/>
        </w:rPr>
        <w:t xml:space="preserve">   </w:t>
      </w:r>
      <w:r w:rsidR="00B13FC7" w:rsidRPr="00485DD6">
        <w:rPr>
          <w:rFonts w:ascii="Times New Roman" w:hAnsi="Times New Roman" w:cs="Times New Roman"/>
          <w:b w:val="0"/>
          <w:color w:val="1F497D" w:themeColor="text2"/>
          <w:sz w:val="24"/>
          <w:szCs w:val="24"/>
        </w:rPr>
        <w:t xml:space="preserve">  </w:t>
      </w:r>
      <w:r w:rsidR="0086291B" w:rsidRPr="00485DD6">
        <w:rPr>
          <w:rFonts w:ascii="Times New Roman" w:hAnsi="Times New Roman" w:cs="Times New Roman"/>
          <w:b w:val="0"/>
          <w:color w:val="1F497D" w:themeColor="text2"/>
          <w:sz w:val="24"/>
          <w:szCs w:val="24"/>
        </w:rPr>
        <w:tab/>
        <w:t xml:space="preserve">As diversity is becoming a more common occurrence within societies, criminology must address differences in criminological phenomena between </w:t>
      </w:r>
      <w:r w:rsidR="00460AAA">
        <w:rPr>
          <w:rFonts w:ascii="Times New Roman" w:hAnsi="Times New Roman" w:cs="Times New Roman"/>
          <w:b w:val="0"/>
          <w:color w:val="1F497D" w:themeColor="text2"/>
          <w:sz w:val="24"/>
          <w:szCs w:val="24"/>
        </w:rPr>
        <w:t xml:space="preserve">diverse </w:t>
      </w:r>
      <w:r w:rsidR="0086291B" w:rsidRPr="00485DD6">
        <w:rPr>
          <w:rFonts w:ascii="Times New Roman" w:hAnsi="Times New Roman" w:cs="Times New Roman"/>
          <w:b w:val="0"/>
          <w:color w:val="1F497D" w:themeColor="text2"/>
          <w:sz w:val="24"/>
          <w:szCs w:val="24"/>
        </w:rPr>
        <w:t xml:space="preserve">groups. These between-group differences extend beyond gender and ethnic groups, and must consider aspects of culture and immigration </w:t>
      </w:r>
      <w:r w:rsidR="0086291B" w:rsidRPr="00485DD6">
        <w:rPr>
          <w:rFonts w:ascii="Times New Roman" w:hAnsi="Times New Roman" w:cs="Times New Roman"/>
          <w:b w:val="0"/>
          <w:color w:val="1F497D" w:themeColor="text2"/>
          <w:sz w:val="24"/>
          <w:szCs w:val="24"/>
        </w:rPr>
        <w:fldChar w:fldCharType="begin" w:fldLock="1"/>
      </w:r>
      <w:r w:rsidR="0086291B" w:rsidRPr="00485DD6">
        <w:rPr>
          <w:rFonts w:ascii="Times New Roman" w:hAnsi="Times New Roman" w:cs="Times New Roman"/>
          <w:b w:val="0"/>
          <w:color w:val="1F497D" w:themeColor="text2"/>
          <w:sz w:val="24"/>
          <w:szCs w:val="24"/>
        </w:rPr>
        <w:instrText>ADDIN CSL_CITATION { "citationItems" : [ { "id" : "ITEM-1", "itemData" : { "author" : [ { "dropping-particle" : "", "family" : "Junger-Tas", "given" : "Josine", "non-dropping-particle" : "", "parse-names" : false, "suffix" : "" } ], "container-title" : "European Journal on Criminal Policy and Research", "id" : "ITEM-1", "issue" : "1", "issued" : { "date-parts" : [ [ "2001" ] ] }, "page" : "5-29", "title" : "Ethnic-minorities, social integration, and crime", "type" : "article-journal", "volume" : "9" }, "uris" : [ "http://www.mendeley.com/documents/?uuid=567df167-c4b9-43ab-b66e-4471df6bee1e" ] } ], "mendeley" : { "formattedCitation" : "(Junger-Tas, 2001)", "plainTextFormattedCitation" : "(Junger-Tas, 2001)", "previouslyFormattedCitation" : "(Junger-Tas, 2001)" }, "properties" : { "noteIndex" : 0 }, "schema" : "https://github.com/citation-style-language/schema/raw/master/csl-citation.json" }</w:instrText>
      </w:r>
      <w:r w:rsidR="0086291B" w:rsidRPr="00485DD6">
        <w:rPr>
          <w:rFonts w:ascii="Times New Roman" w:hAnsi="Times New Roman" w:cs="Times New Roman"/>
          <w:b w:val="0"/>
          <w:color w:val="1F497D" w:themeColor="text2"/>
          <w:sz w:val="24"/>
          <w:szCs w:val="24"/>
        </w:rPr>
        <w:fldChar w:fldCharType="separate"/>
      </w:r>
      <w:r w:rsidR="0086291B" w:rsidRPr="00485DD6">
        <w:rPr>
          <w:rFonts w:ascii="Times New Roman" w:hAnsi="Times New Roman" w:cs="Times New Roman"/>
          <w:b w:val="0"/>
          <w:noProof/>
          <w:color w:val="1F497D" w:themeColor="text2"/>
          <w:sz w:val="24"/>
          <w:szCs w:val="24"/>
        </w:rPr>
        <w:t>(Junger-Tas, 2001)</w:t>
      </w:r>
      <w:r w:rsidR="0086291B" w:rsidRPr="00485DD6">
        <w:rPr>
          <w:rFonts w:ascii="Times New Roman" w:hAnsi="Times New Roman" w:cs="Times New Roman"/>
          <w:b w:val="0"/>
          <w:color w:val="1F497D" w:themeColor="text2"/>
          <w:sz w:val="24"/>
          <w:szCs w:val="24"/>
        </w:rPr>
        <w:fldChar w:fldCharType="end"/>
      </w:r>
      <w:r w:rsidR="0086291B" w:rsidRPr="00485DD6">
        <w:rPr>
          <w:rFonts w:ascii="Times New Roman" w:hAnsi="Times New Roman" w:cs="Times New Roman"/>
          <w:b w:val="0"/>
          <w:color w:val="1F497D" w:themeColor="text2"/>
          <w:sz w:val="24"/>
          <w:szCs w:val="24"/>
        </w:rPr>
        <w:t>.</w:t>
      </w:r>
      <w:r w:rsidR="00DA4066" w:rsidRPr="00485DD6">
        <w:rPr>
          <w:rFonts w:ascii="Times New Roman" w:hAnsi="Times New Roman" w:cs="Times New Roman"/>
          <w:b w:val="0"/>
          <w:color w:val="1F497D" w:themeColor="text2"/>
          <w:sz w:val="24"/>
          <w:szCs w:val="24"/>
        </w:rPr>
        <w:t xml:space="preserve"> </w:t>
      </w:r>
      <w:r w:rsidR="0060250A" w:rsidRPr="00485DD6">
        <w:rPr>
          <w:rFonts w:ascii="Times New Roman" w:hAnsi="Times New Roman" w:cs="Times New Roman"/>
          <w:b w:val="0"/>
          <w:color w:val="1F497D" w:themeColor="text2"/>
          <w:sz w:val="24"/>
          <w:szCs w:val="24"/>
        </w:rPr>
        <w:t>Immigration and immigrant groups are foun</w:t>
      </w:r>
      <w:r w:rsidR="00EE754B" w:rsidRPr="00485DD6">
        <w:rPr>
          <w:rFonts w:ascii="Times New Roman" w:hAnsi="Times New Roman" w:cs="Times New Roman"/>
          <w:b w:val="0"/>
          <w:color w:val="1F497D" w:themeColor="text2"/>
          <w:sz w:val="24"/>
          <w:szCs w:val="24"/>
        </w:rPr>
        <w:t xml:space="preserve">d in various societies. How </w:t>
      </w:r>
      <w:r w:rsidR="00460AAA">
        <w:rPr>
          <w:rFonts w:ascii="Times New Roman" w:hAnsi="Times New Roman" w:cs="Times New Roman"/>
          <w:b w:val="0"/>
          <w:color w:val="1F497D" w:themeColor="text2"/>
          <w:sz w:val="24"/>
          <w:szCs w:val="24"/>
        </w:rPr>
        <w:t>these groups</w:t>
      </w:r>
      <w:r w:rsidR="0060250A" w:rsidRPr="00485DD6">
        <w:rPr>
          <w:rFonts w:ascii="Times New Roman" w:hAnsi="Times New Roman" w:cs="Times New Roman"/>
          <w:b w:val="0"/>
          <w:color w:val="1F497D" w:themeColor="text2"/>
          <w:sz w:val="24"/>
          <w:szCs w:val="24"/>
        </w:rPr>
        <w:t xml:space="preserve"> adapt and change, and how known risks for violence interact with their unique experiences</w:t>
      </w:r>
      <w:r w:rsidR="00460AAA">
        <w:rPr>
          <w:rFonts w:ascii="Times New Roman" w:hAnsi="Times New Roman" w:cs="Times New Roman"/>
          <w:b w:val="0"/>
          <w:color w:val="1F497D" w:themeColor="text2"/>
          <w:sz w:val="24"/>
          <w:szCs w:val="24"/>
        </w:rPr>
        <w:t>,</w:t>
      </w:r>
      <w:r w:rsidR="0060250A" w:rsidRPr="00485DD6">
        <w:rPr>
          <w:rFonts w:ascii="Times New Roman" w:hAnsi="Times New Roman" w:cs="Times New Roman"/>
          <w:b w:val="0"/>
          <w:color w:val="1F497D" w:themeColor="text2"/>
          <w:sz w:val="24"/>
          <w:szCs w:val="24"/>
        </w:rPr>
        <w:t xml:space="preserve"> are important concerns to address in diverse and modern societies. Further investigation and replication of the present research will give better insight into the prevention of violence within immigrant communities. </w:t>
      </w:r>
    </w:p>
    <w:p w14:paraId="0C2BC923" w14:textId="77777777" w:rsidR="00542230" w:rsidRDefault="00542230" w:rsidP="0042145F">
      <w:pPr>
        <w:pStyle w:val="Heading5"/>
        <w:spacing w:after="0" w:line="480" w:lineRule="auto"/>
        <w:contextualSpacing/>
        <w:jc w:val="both"/>
        <w:rPr>
          <w:rFonts w:ascii="Times New Roman" w:hAnsi="Times New Roman" w:cs="Times New Roman"/>
          <w:b w:val="0"/>
          <w:sz w:val="24"/>
          <w:szCs w:val="24"/>
        </w:rPr>
      </w:pPr>
    </w:p>
    <w:p w14:paraId="0D1D672A" w14:textId="0CDC8D6D" w:rsidR="0060250A" w:rsidRPr="00485DD6" w:rsidRDefault="0060250A" w:rsidP="0042145F">
      <w:pPr>
        <w:pStyle w:val="Heading5"/>
        <w:spacing w:after="0" w:line="480" w:lineRule="auto"/>
        <w:contextualSpacing/>
        <w:jc w:val="both"/>
        <w:rPr>
          <w:rFonts w:ascii="Times New Roman" w:hAnsi="Times New Roman" w:cs="Times New Roman"/>
          <w:sz w:val="24"/>
          <w:szCs w:val="24"/>
        </w:rPr>
      </w:pPr>
      <w:r w:rsidRPr="00485DD6">
        <w:rPr>
          <w:rFonts w:ascii="Times New Roman" w:hAnsi="Times New Roman" w:cs="Times New Roman"/>
          <w:sz w:val="24"/>
          <w:szCs w:val="24"/>
        </w:rPr>
        <w:t>References</w:t>
      </w:r>
    </w:p>
    <w:p w14:paraId="6B08EC7A" w14:textId="41F929A1" w:rsidR="00AF5F1A" w:rsidRPr="00AF5F1A" w:rsidRDefault="0060250A" w:rsidP="00AF5F1A">
      <w:pPr>
        <w:pStyle w:val="NormalWeb"/>
        <w:spacing w:line="480" w:lineRule="auto"/>
        <w:ind w:left="480" w:hanging="480"/>
        <w:divId w:val="339357210"/>
        <w:rPr>
          <w:noProof/>
        </w:rPr>
      </w:pPr>
      <w:r w:rsidRPr="00485DD6">
        <w:rPr>
          <w:lang w:val="en-GB"/>
        </w:rPr>
        <w:fldChar w:fldCharType="begin" w:fldLock="1"/>
      </w:r>
      <w:r w:rsidRPr="00485DD6">
        <w:rPr>
          <w:lang w:val="en-GB"/>
        </w:rPr>
        <w:instrText xml:space="preserve">ADDIN Mendeley Bibliography CSL_BIBLIOGRAPHY </w:instrText>
      </w:r>
      <w:r w:rsidRPr="00485DD6">
        <w:rPr>
          <w:lang w:val="en-GB"/>
        </w:rPr>
        <w:fldChar w:fldCharType="separate"/>
      </w:r>
      <w:r w:rsidR="00AF5F1A" w:rsidRPr="00AF5F1A">
        <w:rPr>
          <w:noProof/>
        </w:rPr>
        <w:t xml:space="preserve">Akers, R.L. and Sellers, C.S. (2004), </w:t>
      </w:r>
      <w:r w:rsidR="00AF5F1A" w:rsidRPr="00AF5F1A">
        <w:rPr>
          <w:i/>
          <w:iCs/>
          <w:noProof/>
        </w:rPr>
        <w:t>Criminological theories: Introduction, evaluation, and application</w:t>
      </w:r>
      <w:r w:rsidR="00AF5F1A" w:rsidRPr="00AF5F1A">
        <w:rPr>
          <w:noProof/>
        </w:rPr>
        <w:t>, Roxbury, Los Angeles, US, 4thed.</w:t>
      </w:r>
    </w:p>
    <w:p w14:paraId="5064F277"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 xml:space="preserve">Baglivio, M.T., Jackowski, K., Greenwald, M. a. and Howell, J.C. (2014), “Serious, violent, and chronic juvenile offenders: A statewide analysis of prevalence and prediction of subsequent recidivism using risk and protectice factors”, </w:t>
      </w:r>
      <w:r w:rsidRPr="00AF5F1A">
        <w:rPr>
          <w:i/>
          <w:iCs/>
          <w:noProof/>
        </w:rPr>
        <w:t>Criminology &amp; Public Policy</w:t>
      </w:r>
      <w:r w:rsidRPr="00AF5F1A">
        <w:rPr>
          <w:noProof/>
        </w:rPr>
        <w:t>, Vol. 13 No. 1, pp. 1–34.</w:t>
      </w:r>
    </w:p>
    <w:p w14:paraId="4BB699AB" w14:textId="77777777" w:rsidR="00AF5F1A" w:rsidRPr="00AF5F1A" w:rsidRDefault="00AF5F1A" w:rsidP="00AF5F1A">
      <w:pPr>
        <w:pStyle w:val="NormalWeb"/>
        <w:spacing w:line="480" w:lineRule="auto"/>
        <w:ind w:left="480" w:hanging="480"/>
        <w:divId w:val="339357210"/>
        <w:rPr>
          <w:noProof/>
        </w:rPr>
      </w:pPr>
      <w:r w:rsidRPr="00AF5F1A">
        <w:rPr>
          <w:noProof/>
        </w:rPr>
        <w:t xml:space="preserve">Bersani, B.E. (2014a), “An examination of first and second generation immigrant offending trajectories”, </w:t>
      </w:r>
      <w:r w:rsidRPr="00AF5F1A">
        <w:rPr>
          <w:i/>
          <w:iCs/>
          <w:noProof/>
        </w:rPr>
        <w:t>Justice Quarterly</w:t>
      </w:r>
      <w:r w:rsidRPr="00AF5F1A">
        <w:rPr>
          <w:noProof/>
        </w:rPr>
        <w:t>, Routledge, Vol. 31 No. 2, pp. 315–343.</w:t>
      </w:r>
    </w:p>
    <w:p w14:paraId="3732182D" w14:textId="77777777" w:rsidR="00AF5F1A" w:rsidRPr="00AF5F1A" w:rsidRDefault="00AF5F1A" w:rsidP="00AF5F1A">
      <w:pPr>
        <w:pStyle w:val="NormalWeb"/>
        <w:spacing w:line="480" w:lineRule="auto"/>
        <w:ind w:left="480" w:hanging="480"/>
        <w:divId w:val="339357210"/>
        <w:rPr>
          <w:noProof/>
        </w:rPr>
      </w:pPr>
      <w:r w:rsidRPr="00AF5F1A">
        <w:rPr>
          <w:noProof/>
        </w:rPr>
        <w:t xml:space="preserve">Bersani, B.E. (2014b), “A game of catch-up? The offending experience of second-generation immigrants”, </w:t>
      </w:r>
      <w:r w:rsidRPr="00AF5F1A">
        <w:rPr>
          <w:i/>
          <w:iCs/>
          <w:noProof/>
        </w:rPr>
        <w:t>Crime &amp; Delinquency</w:t>
      </w:r>
      <w:r w:rsidRPr="00AF5F1A">
        <w:rPr>
          <w:noProof/>
        </w:rPr>
        <w:t>, Vol. 60 No. 1, pp. 60–84.</w:t>
      </w:r>
    </w:p>
    <w:p w14:paraId="17D65522" w14:textId="77777777" w:rsidR="00AF5F1A" w:rsidRPr="00AF5F1A" w:rsidRDefault="00AF5F1A" w:rsidP="00AF5F1A">
      <w:pPr>
        <w:pStyle w:val="NormalWeb"/>
        <w:spacing w:line="480" w:lineRule="auto"/>
        <w:ind w:left="480" w:hanging="480"/>
        <w:divId w:val="339357210"/>
        <w:rPr>
          <w:noProof/>
        </w:rPr>
      </w:pPr>
      <w:r w:rsidRPr="00AF5F1A">
        <w:rPr>
          <w:noProof/>
        </w:rPr>
        <w:t xml:space="preserve">Bersani, B.E., Loughran, T.A. and Piquero, A.R. (2014), “Comparing patterns and predictors of immigrant offending among a sample of adjudicated youth.”, </w:t>
      </w:r>
      <w:r w:rsidRPr="00AF5F1A">
        <w:rPr>
          <w:i/>
          <w:iCs/>
          <w:noProof/>
        </w:rPr>
        <w:t>Journal of Youth and Adolescence</w:t>
      </w:r>
      <w:r w:rsidRPr="00AF5F1A">
        <w:rPr>
          <w:noProof/>
        </w:rPr>
        <w:t>, Vol. 43, pp. 1914–1933.</w:t>
      </w:r>
    </w:p>
    <w:p w14:paraId="148CCA94" w14:textId="77777777" w:rsidR="00AF5F1A" w:rsidRPr="00AF5F1A" w:rsidRDefault="00AF5F1A" w:rsidP="00AF5F1A">
      <w:pPr>
        <w:pStyle w:val="NormalWeb"/>
        <w:spacing w:line="480" w:lineRule="auto"/>
        <w:ind w:left="480" w:hanging="480"/>
        <w:divId w:val="339357210"/>
        <w:rPr>
          <w:noProof/>
        </w:rPr>
      </w:pPr>
      <w:r w:rsidRPr="00AF5F1A">
        <w:rPr>
          <w:noProof/>
        </w:rPr>
        <w:t xml:space="preserve">Birman, D., Trickett, E. and Buchanan, R.M. (2005), “A Tale of Two Cities: Replication of a Study on the Acculturation and Adaptation of Immigrant Adolescents From the Former Soviet Union in a Different Community Context”, </w:t>
      </w:r>
      <w:r w:rsidRPr="00AF5F1A">
        <w:rPr>
          <w:i/>
          <w:iCs/>
          <w:noProof/>
        </w:rPr>
        <w:t>American Journal of Community Psychology</w:t>
      </w:r>
      <w:r w:rsidRPr="00AF5F1A">
        <w:rPr>
          <w:noProof/>
        </w:rPr>
        <w:t>, Vol. 35 No. 1-2, pp. 83–101.</w:t>
      </w:r>
    </w:p>
    <w:p w14:paraId="78443F58" w14:textId="77777777" w:rsidR="00AF5F1A" w:rsidRPr="00AF5F1A" w:rsidRDefault="00AF5F1A" w:rsidP="00AF5F1A">
      <w:pPr>
        <w:pStyle w:val="NormalWeb"/>
        <w:spacing w:line="480" w:lineRule="auto"/>
        <w:ind w:left="480" w:hanging="480"/>
        <w:divId w:val="339357210"/>
        <w:rPr>
          <w:noProof/>
        </w:rPr>
      </w:pPr>
      <w:r w:rsidRPr="00AF5F1A">
        <w:rPr>
          <w:noProof/>
        </w:rPr>
        <w:t xml:space="preserve">Bowling, B. (1993), “Racial harassment and the process of victimization: Conceptual and methodological implications for the local crime survey”, </w:t>
      </w:r>
      <w:r w:rsidRPr="00AF5F1A">
        <w:rPr>
          <w:i/>
          <w:iCs/>
          <w:noProof/>
        </w:rPr>
        <w:t>British Journal of Criminology</w:t>
      </w:r>
      <w:r w:rsidRPr="00AF5F1A">
        <w:rPr>
          <w:noProof/>
        </w:rPr>
        <w:t>, Vol. 33 No. 2, pp. 231–250.</w:t>
      </w:r>
    </w:p>
    <w:p w14:paraId="6D3EF9EB" w14:textId="77777777" w:rsidR="00AF5F1A" w:rsidRPr="00AF5F1A" w:rsidRDefault="00AF5F1A" w:rsidP="00AF5F1A">
      <w:pPr>
        <w:pStyle w:val="NormalWeb"/>
        <w:spacing w:line="480" w:lineRule="auto"/>
        <w:ind w:left="480" w:hanging="480"/>
        <w:divId w:val="339357210"/>
        <w:rPr>
          <w:noProof/>
        </w:rPr>
      </w:pPr>
      <w:r w:rsidRPr="00AF5F1A">
        <w:rPr>
          <w:noProof/>
        </w:rPr>
        <w:t>Bucerius, S.M. (2011), “Immigrants and crime”, in Tonry, M. (Ed.),</w:t>
      </w:r>
      <w:r w:rsidRPr="00AF5F1A">
        <w:rPr>
          <w:i/>
          <w:iCs/>
          <w:noProof/>
        </w:rPr>
        <w:t>The Oxford handbook of criminology</w:t>
      </w:r>
      <w:r w:rsidRPr="00AF5F1A">
        <w:rPr>
          <w:noProof/>
        </w:rPr>
        <w:t>, Oxford University Press, Oxford, UK, pp. 385–419.</w:t>
      </w:r>
    </w:p>
    <w:p w14:paraId="24069C64"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 xml:space="preserve">Bui, H. (2009), “Parent-child conflicts, school troubles, and differences in delinquency across immigration generations”, </w:t>
      </w:r>
      <w:r w:rsidRPr="00AF5F1A">
        <w:rPr>
          <w:i/>
          <w:iCs/>
          <w:noProof/>
        </w:rPr>
        <w:t>Crime &amp; Delinquency</w:t>
      </w:r>
      <w:r w:rsidRPr="00AF5F1A">
        <w:rPr>
          <w:noProof/>
        </w:rPr>
        <w:t>, Vol. 55 No. 3, pp. 412–441.</w:t>
      </w:r>
    </w:p>
    <w:p w14:paraId="2CAA7116" w14:textId="77777777" w:rsidR="00AF5F1A" w:rsidRPr="00AF5F1A" w:rsidRDefault="00AF5F1A" w:rsidP="00AF5F1A">
      <w:pPr>
        <w:pStyle w:val="NormalWeb"/>
        <w:spacing w:line="480" w:lineRule="auto"/>
        <w:ind w:left="480" w:hanging="480"/>
        <w:divId w:val="339357210"/>
        <w:rPr>
          <w:noProof/>
        </w:rPr>
      </w:pPr>
      <w:r w:rsidRPr="00AF5F1A">
        <w:rPr>
          <w:noProof/>
        </w:rPr>
        <w:t>Department for Communities and Local Government and Ipsos MORI. (2012), “Citizenship survey, 2010-2011 [computer file]”, UK Data Archive, Colchester, Essex, available at: http://dx.doi.org/10.5255/UKDA-SN-7111-1.</w:t>
      </w:r>
    </w:p>
    <w:p w14:paraId="21C11AC8" w14:textId="77777777" w:rsidR="00AF5F1A" w:rsidRPr="00AF5F1A" w:rsidRDefault="00AF5F1A" w:rsidP="00AF5F1A">
      <w:pPr>
        <w:pStyle w:val="NormalWeb"/>
        <w:spacing w:line="480" w:lineRule="auto"/>
        <w:ind w:left="480" w:hanging="480"/>
        <w:divId w:val="339357210"/>
        <w:rPr>
          <w:noProof/>
        </w:rPr>
      </w:pPr>
      <w:r w:rsidRPr="00AF5F1A">
        <w:rPr>
          <w:noProof/>
        </w:rPr>
        <w:t xml:space="preserve">DiPietro, S.M. and McGloin, J.M. (2012), “Differential susceptibility? Immigrant youth and peer influence”, </w:t>
      </w:r>
      <w:r w:rsidRPr="00AF5F1A">
        <w:rPr>
          <w:i/>
          <w:iCs/>
          <w:noProof/>
        </w:rPr>
        <w:t>Criminology</w:t>
      </w:r>
      <w:r w:rsidRPr="00AF5F1A">
        <w:rPr>
          <w:noProof/>
        </w:rPr>
        <w:t>, Vol. 50 No. 3, pp. 711–742.</w:t>
      </w:r>
    </w:p>
    <w:p w14:paraId="082D3091" w14:textId="77777777" w:rsidR="00AF5F1A" w:rsidRPr="00AF5F1A" w:rsidRDefault="00AF5F1A" w:rsidP="00AF5F1A">
      <w:pPr>
        <w:pStyle w:val="NormalWeb"/>
        <w:spacing w:line="480" w:lineRule="auto"/>
        <w:ind w:left="480" w:hanging="480"/>
        <w:divId w:val="339357210"/>
        <w:rPr>
          <w:noProof/>
        </w:rPr>
      </w:pPr>
      <w:r w:rsidRPr="00AF5F1A">
        <w:rPr>
          <w:noProof/>
        </w:rPr>
        <w:t xml:space="preserve">Dustman, C., Fabbri, F. and Preston, I. (2004), </w:t>
      </w:r>
      <w:r w:rsidRPr="00AF5F1A">
        <w:rPr>
          <w:i/>
          <w:iCs/>
          <w:noProof/>
        </w:rPr>
        <w:t>Racial harrassment, ethnic concentration and economic conditions</w:t>
      </w:r>
      <w:r w:rsidRPr="00AF5F1A">
        <w:rPr>
          <w:noProof/>
        </w:rPr>
        <w:t>.</w:t>
      </w:r>
    </w:p>
    <w:p w14:paraId="48ACF036" w14:textId="77777777" w:rsidR="00AF5F1A" w:rsidRPr="00AF5F1A" w:rsidRDefault="00AF5F1A" w:rsidP="00AF5F1A">
      <w:pPr>
        <w:pStyle w:val="NormalWeb"/>
        <w:spacing w:line="480" w:lineRule="auto"/>
        <w:ind w:left="480" w:hanging="480"/>
        <w:divId w:val="339357210"/>
        <w:rPr>
          <w:noProof/>
        </w:rPr>
      </w:pPr>
      <w:r w:rsidRPr="00AF5F1A">
        <w:rPr>
          <w:noProof/>
        </w:rPr>
        <w:t>Farrington, D.P. (2001), “Key results from the first forty years of the Cambridge Study in Delinquent Development”, in Thornberry, T.P. and Krohn, M.D. (Eds.),</w:t>
      </w:r>
      <w:r w:rsidRPr="00AF5F1A">
        <w:rPr>
          <w:i/>
          <w:iCs/>
          <w:noProof/>
        </w:rPr>
        <w:t>Taking stock of delinquency: An overview of findings from contemporary longitudinal studies</w:t>
      </w:r>
      <w:r w:rsidRPr="00AF5F1A">
        <w:rPr>
          <w:noProof/>
        </w:rPr>
        <w:t>, Kluwer/Plenum, New York, pp. 137–183.</w:t>
      </w:r>
    </w:p>
    <w:p w14:paraId="2D8810AC" w14:textId="77777777" w:rsidR="00AF5F1A" w:rsidRPr="00AF5F1A" w:rsidRDefault="00AF5F1A" w:rsidP="00AF5F1A">
      <w:pPr>
        <w:pStyle w:val="NormalWeb"/>
        <w:spacing w:line="480" w:lineRule="auto"/>
        <w:ind w:left="480" w:hanging="480"/>
        <w:divId w:val="339357210"/>
        <w:rPr>
          <w:noProof/>
        </w:rPr>
      </w:pPr>
      <w:r w:rsidRPr="00AF5F1A">
        <w:rPr>
          <w:noProof/>
        </w:rPr>
        <w:t xml:space="preserve">Farrington, D.P. and Hawkins, J.D. (1991), “Predicting participation, early onset and later persistence in officially recorded offending.”, </w:t>
      </w:r>
      <w:r w:rsidRPr="00AF5F1A">
        <w:rPr>
          <w:i/>
          <w:iCs/>
          <w:noProof/>
        </w:rPr>
        <w:t>Criminal Behaviour and Mental Health</w:t>
      </w:r>
      <w:r w:rsidRPr="00AF5F1A">
        <w:rPr>
          <w:noProof/>
        </w:rPr>
        <w:t>, Vol. 1 No. 1, pp. 1–33.</w:t>
      </w:r>
    </w:p>
    <w:p w14:paraId="57F47425" w14:textId="77777777" w:rsidR="00AF5F1A" w:rsidRPr="00AF5F1A" w:rsidRDefault="00AF5F1A" w:rsidP="00AF5F1A">
      <w:pPr>
        <w:pStyle w:val="NormalWeb"/>
        <w:spacing w:line="480" w:lineRule="auto"/>
        <w:ind w:left="480" w:hanging="480"/>
        <w:divId w:val="339357210"/>
        <w:rPr>
          <w:noProof/>
        </w:rPr>
      </w:pPr>
      <w:r w:rsidRPr="00AF5F1A">
        <w:rPr>
          <w:noProof/>
        </w:rPr>
        <w:t xml:space="preserve">Farrington, D.P. and Loeber, R. (2000), “Some benefits of dichotomization in psychiatric and criminological research”, </w:t>
      </w:r>
      <w:r w:rsidRPr="00AF5F1A">
        <w:rPr>
          <w:i/>
          <w:iCs/>
          <w:noProof/>
        </w:rPr>
        <w:t>Criminal Behaviour and Mental Health</w:t>
      </w:r>
      <w:r w:rsidRPr="00AF5F1A">
        <w:rPr>
          <w:noProof/>
        </w:rPr>
        <w:t>, Wiley Online Library, Vol. 10 No. 2, pp. 100–122.</w:t>
      </w:r>
    </w:p>
    <w:p w14:paraId="58188B3A"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Farrington, D.P., Loeber, R. and Stouthamer-Loeber, M. (2003), “How can the relationship between race and violence be explained?”, in Hawkins, D.F. (Ed.),</w:t>
      </w:r>
      <w:r w:rsidRPr="00AF5F1A">
        <w:rPr>
          <w:i/>
          <w:iCs/>
          <w:noProof/>
        </w:rPr>
        <w:t>Violent Crime: Assessing Race and Ethnic Differences</w:t>
      </w:r>
      <w:r w:rsidRPr="00AF5F1A">
        <w:rPr>
          <w:noProof/>
        </w:rPr>
        <w:t>, Cambridge University Press, Cambridge, UK, pp. 213–237.</w:t>
      </w:r>
    </w:p>
    <w:p w14:paraId="40A21D77" w14:textId="77777777" w:rsidR="00AF5F1A" w:rsidRPr="00AF5F1A" w:rsidRDefault="00AF5F1A" w:rsidP="00AF5F1A">
      <w:pPr>
        <w:pStyle w:val="NormalWeb"/>
        <w:spacing w:line="480" w:lineRule="auto"/>
        <w:ind w:left="480" w:hanging="480"/>
        <w:divId w:val="339357210"/>
        <w:rPr>
          <w:noProof/>
        </w:rPr>
      </w:pPr>
      <w:r w:rsidRPr="00AF5F1A">
        <w:rPr>
          <w:noProof/>
        </w:rPr>
        <w:t xml:space="preserve">Farrington, D.P., Ttofi, M.M. and Coid, J.W. (2009), “Development of adolescence-limited, late-onset, and persistent offenders from age 8 to age 48.”, </w:t>
      </w:r>
      <w:r w:rsidRPr="00AF5F1A">
        <w:rPr>
          <w:i/>
          <w:iCs/>
          <w:noProof/>
        </w:rPr>
        <w:t>Aggressive Behavior</w:t>
      </w:r>
      <w:r w:rsidRPr="00AF5F1A">
        <w:rPr>
          <w:noProof/>
        </w:rPr>
        <w:t>, Vol. 35 No. 2, pp. 150–63.</w:t>
      </w:r>
    </w:p>
    <w:p w14:paraId="26513F90" w14:textId="77777777" w:rsidR="00AF5F1A" w:rsidRPr="00AF5F1A" w:rsidRDefault="00AF5F1A" w:rsidP="00AF5F1A">
      <w:pPr>
        <w:pStyle w:val="NormalWeb"/>
        <w:spacing w:line="480" w:lineRule="auto"/>
        <w:ind w:left="480" w:hanging="480"/>
        <w:divId w:val="339357210"/>
        <w:rPr>
          <w:noProof/>
        </w:rPr>
      </w:pPr>
      <w:r w:rsidRPr="00AF5F1A">
        <w:rPr>
          <w:noProof/>
        </w:rPr>
        <w:t xml:space="preserve">Feldmeyer, B. (2009), “Immigration and violence: the offsetting effects of immigrant concentration on Latino violence”, </w:t>
      </w:r>
      <w:r w:rsidRPr="00AF5F1A">
        <w:rPr>
          <w:i/>
          <w:iCs/>
          <w:noProof/>
        </w:rPr>
        <w:t>Social Science Research</w:t>
      </w:r>
      <w:r w:rsidRPr="00AF5F1A">
        <w:rPr>
          <w:noProof/>
        </w:rPr>
        <w:t>, Vol. 38 No. 3, pp. 717–731.</w:t>
      </w:r>
    </w:p>
    <w:p w14:paraId="16004F48" w14:textId="336CAF56" w:rsidR="00AF5F1A" w:rsidRPr="00AF5F1A" w:rsidRDefault="00AF5F1A" w:rsidP="00AF5F1A">
      <w:pPr>
        <w:pStyle w:val="NormalWeb"/>
        <w:spacing w:line="480" w:lineRule="auto"/>
        <w:ind w:left="480" w:hanging="480"/>
        <w:divId w:val="339357210"/>
        <w:rPr>
          <w:noProof/>
        </w:rPr>
      </w:pPr>
      <w:r w:rsidRPr="00AF5F1A">
        <w:rPr>
          <w:noProof/>
        </w:rPr>
        <w:t xml:space="preserve">Field, A. (2009), </w:t>
      </w:r>
      <w:r w:rsidRPr="00AF5F1A">
        <w:rPr>
          <w:i/>
          <w:iCs/>
          <w:noProof/>
        </w:rPr>
        <w:t>Discovering statistics using SPSS</w:t>
      </w:r>
      <w:r w:rsidRPr="00AF5F1A">
        <w:rPr>
          <w:noProof/>
        </w:rPr>
        <w:t>, Sage Publications, London, Uk, 3</w:t>
      </w:r>
      <w:r w:rsidRPr="00AF5F1A">
        <w:rPr>
          <w:noProof/>
          <w:vertAlign w:val="superscript"/>
        </w:rPr>
        <w:t>rd</w:t>
      </w:r>
      <w:r>
        <w:rPr>
          <w:noProof/>
        </w:rPr>
        <w:t xml:space="preserve"> </w:t>
      </w:r>
      <w:r w:rsidRPr="00AF5F1A">
        <w:rPr>
          <w:noProof/>
        </w:rPr>
        <w:t>ed.</w:t>
      </w:r>
    </w:p>
    <w:p w14:paraId="24EE3A13" w14:textId="77777777" w:rsidR="00AF5F1A" w:rsidRPr="00AF5F1A" w:rsidRDefault="00AF5F1A" w:rsidP="00AF5F1A">
      <w:pPr>
        <w:pStyle w:val="NormalWeb"/>
        <w:spacing w:line="480" w:lineRule="auto"/>
        <w:ind w:left="480" w:hanging="480"/>
        <w:divId w:val="339357210"/>
        <w:rPr>
          <w:noProof/>
        </w:rPr>
      </w:pPr>
      <w:r w:rsidRPr="00AF5F1A">
        <w:rPr>
          <w:noProof/>
        </w:rPr>
        <w:t xml:space="preserve">Hagan, J., Levi, R. and Dinovitzer, R. (2008), “The symbolic violence of the crime-immigration nexus: Migrant mythologies in the Americas”, </w:t>
      </w:r>
      <w:r w:rsidRPr="00AF5F1A">
        <w:rPr>
          <w:i/>
          <w:iCs/>
          <w:noProof/>
        </w:rPr>
        <w:t>Criminology &amp; Public Policy</w:t>
      </w:r>
      <w:r w:rsidRPr="00AF5F1A">
        <w:rPr>
          <w:noProof/>
        </w:rPr>
        <w:t>, Vol. 7 No. 1, pp. 95–112.</w:t>
      </w:r>
    </w:p>
    <w:p w14:paraId="6236B83A" w14:textId="77777777" w:rsidR="00AF5F1A" w:rsidRPr="00AF5F1A" w:rsidRDefault="00AF5F1A" w:rsidP="00AF5F1A">
      <w:pPr>
        <w:pStyle w:val="NormalWeb"/>
        <w:spacing w:line="480" w:lineRule="auto"/>
        <w:ind w:left="480" w:hanging="480"/>
        <w:divId w:val="339357210"/>
        <w:rPr>
          <w:noProof/>
        </w:rPr>
      </w:pPr>
      <w:r w:rsidRPr="00AF5F1A">
        <w:rPr>
          <w:noProof/>
        </w:rPr>
        <w:t xml:space="preserve">Harris, C.T. and Feldmeyer, B. (2013), “Latino immigration and White, Black, and Latino violent crime: A comparison of traditional and non-traditional immigrant destinations.”, </w:t>
      </w:r>
      <w:r w:rsidRPr="00AF5F1A">
        <w:rPr>
          <w:i/>
          <w:iCs/>
          <w:noProof/>
        </w:rPr>
        <w:t>Social Science Research</w:t>
      </w:r>
      <w:r w:rsidRPr="00AF5F1A">
        <w:rPr>
          <w:noProof/>
        </w:rPr>
        <w:t>, Elsevier Inc., Vol. 42 No. 1, pp. 202–16.</w:t>
      </w:r>
    </w:p>
    <w:p w14:paraId="6846744A" w14:textId="77777777" w:rsidR="00AF5F1A" w:rsidRPr="00AF5F1A" w:rsidRDefault="00AF5F1A" w:rsidP="00AF5F1A">
      <w:pPr>
        <w:pStyle w:val="NormalWeb"/>
        <w:spacing w:line="480" w:lineRule="auto"/>
        <w:ind w:left="480" w:hanging="480"/>
        <w:divId w:val="339357210"/>
        <w:rPr>
          <w:noProof/>
        </w:rPr>
      </w:pPr>
      <w:r w:rsidRPr="00AF5F1A">
        <w:rPr>
          <w:noProof/>
        </w:rPr>
        <w:t xml:space="preserve">Hawkins, D.J., Herrenkohl, T.I., Farrington, D.P., Brewer, D., Catalano, R.F. and Harachi, T.W. (1998), “A review of predictors of youth violence”, in Loeber, R. and </w:t>
      </w:r>
      <w:r w:rsidRPr="00AF5F1A">
        <w:rPr>
          <w:noProof/>
        </w:rPr>
        <w:lastRenderedPageBreak/>
        <w:t>Farrington, D.P. (Eds.),</w:t>
      </w:r>
      <w:r w:rsidRPr="00AF5F1A">
        <w:rPr>
          <w:i/>
          <w:iCs/>
          <w:noProof/>
        </w:rPr>
        <w:t>Serious and violent juvenile offenders: Risk factors and successful interventions</w:t>
      </w:r>
      <w:r w:rsidRPr="00AF5F1A">
        <w:rPr>
          <w:noProof/>
        </w:rPr>
        <w:t>, Sage Publications Inc., Thousand Oaks, US, pp. 106–146.</w:t>
      </w:r>
    </w:p>
    <w:p w14:paraId="71E8384F" w14:textId="77777777" w:rsidR="00AF5F1A" w:rsidRPr="00AF5F1A" w:rsidRDefault="00AF5F1A" w:rsidP="00AF5F1A">
      <w:pPr>
        <w:pStyle w:val="NormalWeb"/>
        <w:spacing w:line="480" w:lineRule="auto"/>
        <w:ind w:left="480" w:hanging="480"/>
        <w:divId w:val="339357210"/>
        <w:rPr>
          <w:noProof/>
        </w:rPr>
      </w:pPr>
      <w:r w:rsidRPr="00AF5F1A">
        <w:rPr>
          <w:noProof/>
        </w:rPr>
        <w:t xml:space="preserve">Herrenkohl, T.I., Maguin, E., Hill, K.G., Hawkins, J.D., Abbott, R. and Catalano, R.F. (2000), “Developmental Risk Factors for Youth Violence”, </w:t>
      </w:r>
      <w:r w:rsidRPr="00AF5F1A">
        <w:rPr>
          <w:i/>
          <w:iCs/>
          <w:noProof/>
        </w:rPr>
        <w:t>Journal of Adolescent Health</w:t>
      </w:r>
      <w:r w:rsidRPr="00AF5F1A">
        <w:rPr>
          <w:noProof/>
        </w:rPr>
        <w:t>, Elsevier, Vol. 26 No. 3, pp. 176–186.</w:t>
      </w:r>
    </w:p>
    <w:p w14:paraId="74C53172" w14:textId="77777777" w:rsidR="00AF5F1A" w:rsidRPr="00AF5F1A" w:rsidRDefault="00AF5F1A" w:rsidP="00AF5F1A">
      <w:pPr>
        <w:pStyle w:val="NormalWeb"/>
        <w:spacing w:line="480" w:lineRule="auto"/>
        <w:ind w:left="480" w:hanging="480"/>
        <w:divId w:val="339357210"/>
        <w:rPr>
          <w:noProof/>
        </w:rPr>
      </w:pPr>
      <w:r w:rsidRPr="00AF5F1A">
        <w:rPr>
          <w:noProof/>
        </w:rPr>
        <w:t xml:space="preserve">Hill, K.G., Howell, J.C., Hawkins, J.D. and Battin-Pearson, S.R. (1999), “Childhood risk factors for adolescent gang membership: Results from the Seattle Social Development Project”, </w:t>
      </w:r>
      <w:r w:rsidRPr="00AF5F1A">
        <w:rPr>
          <w:i/>
          <w:iCs/>
          <w:noProof/>
        </w:rPr>
        <w:t>Journal of Research in Crime and Delinquency</w:t>
      </w:r>
      <w:r w:rsidRPr="00AF5F1A">
        <w:rPr>
          <w:noProof/>
        </w:rPr>
        <w:t>, Vol. 36 No. 3, pp. 300–322.</w:t>
      </w:r>
    </w:p>
    <w:p w14:paraId="4C06E144" w14:textId="77777777" w:rsidR="00AF5F1A" w:rsidRPr="00AF5F1A" w:rsidRDefault="00AF5F1A" w:rsidP="00AF5F1A">
      <w:pPr>
        <w:pStyle w:val="NormalWeb"/>
        <w:spacing w:line="480" w:lineRule="auto"/>
        <w:ind w:left="480" w:hanging="480"/>
        <w:divId w:val="339357210"/>
        <w:rPr>
          <w:noProof/>
        </w:rPr>
      </w:pPr>
      <w:r w:rsidRPr="00AF5F1A">
        <w:rPr>
          <w:noProof/>
        </w:rPr>
        <w:t xml:space="preserve">Hong, J.S. (2010), “Understanding Vietnamese youth gangs in America: An ecological systems analysis”, </w:t>
      </w:r>
      <w:r w:rsidRPr="00AF5F1A">
        <w:rPr>
          <w:i/>
          <w:iCs/>
          <w:noProof/>
        </w:rPr>
        <w:t>Aggression and Violent Behavior</w:t>
      </w:r>
      <w:r w:rsidRPr="00AF5F1A">
        <w:rPr>
          <w:noProof/>
        </w:rPr>
        <w:t>, Elsevier Ltd, Vol. 15 No. 4, pp. 253–260.</w:t>
      </w:r>
    </w:p>
    <w:p w14:paraId="3EFCDB79" w14:textId="77777777" w:rsidR="00AF5F1A" w:rsidRPr="00AF5F1A" w:rsidRDefault="00AF5F1A" w:rsidP="00AF5F1A">
      <w:pPr>
        <w:pStyle w:val="NormalWeb"/>
        <w:spacing w:line="480" w:lineRule="auto"/>
        <w:ind w:left="480" w:hanging="480"/>
        <w:divId w:val="339357210"/>
        <w:rPr>
          <w:noProof/>
        </w:rPr>
      </w:pPr>
      <w:r w:rsidRPr="00AF5F1A">
        <w:rPr>
          <w:noProof/>
        </w:rPr>
        <w:t xml:space="preserve">Hopkins, D.J. (2011), “National debates, local responses: the origins of local concern about immigration in Britain and the United States”, </w:t>
      </w:r>
      <w:r w:rsidRPr="00AF5F1A">
        <w:rPr>
          <w:i/>
          <w:iCs/>
          <w:noProof/>
        </w:rPr>
        <w:t>British Journal of Political Science</w:t>
      </w:r>
      <w:r w:rsidRPr="00AF5F1A">
        <w:rPr>
          <w:noProof/>
        </w:rPr>
        <w:t>, Vol. 41 No. 3, pp. 499–524.</w:t>
      </w:r>
    </w:p>
    <w:p w14:paraId="057C8EC5" w14:textId="77777777" w:rsidR="00AF5F1A" w:rsidRPr="00AF5F1A" w:rsidRDefault="00AF5F1A" w:rsidP="00AF5F1A">
      <w:pPr>
        <w:pStyle w:val="NormalWeb"/>
        <w:spacing w:line="480" w:lineRule="auto"/>
        <w:ind w:left="480" w:hanging="480"/>
        <w:divId w:val="339357210"/>
        <w:rPr>
          <w:noProof/>
        </w:rPr>
      </w:pPr>
      <w:r w:rsidRPr="00AF5F1A">
        <w:rPr>
          <w:noProof/>
        </w:rPr>
        <w:t xml:space="preserve">Jennings, W.G., Zgoba, K.M., Piquero, A.R. and Reingle, J.M. (2013), “Offending trajectories among native-born and foreign-born Hispanics to late middle age”, </w:t>
      </w:r>
      <w:r w:rsidRPr="00AF5F1A">
        <w:rPr>
          <w:i/>
          <w:iCs/>
          <w:noProof/>
        </w:rPr>
        <w:t>Sociological Inquiry</w:t>
      </w:r>
      <w:r w:rsidRPr="00AF5F1A">
        <w:rPr>
          <w:noProof/>
        </w:rPr>
        <w:t>, Vol. 83 No. 4, pp. 622–647.</w:t>
      </w:r>
    </w:p>
    <w:p w14:paraId="167DDEEE" w14:textId="77777777" w:rsidR="00AF5F1A" w:rsidRPr="00AF5F1A" w:rsidRDefault="00AF5F1A" w:rsidP="00AF5F1A">
      <w:pPr>
        <w:pStyle w:val="NormalWeb"/>
        <w:spacing w:line="480" w:lineRule="auto"/>
        <w:ind w:left="480" w:hanging="480"/>
        <w:divId w:val="339357210"/>
        <w:rPr>
          <w:noProof/>
        </w:rPr>
      </w:pPr>
      <w:r w:rsidRPr="00AF5F1A">
        <w:rPr>
          <w:noProof/>
        </w:rPr>
        <w:t xml:space="preserve">Junger-Tas, J. (2001), “Ethnic-minorities, social integration, and crime”, </w:t>
      </w:r>
      <w:r w:rsidRPr="00AF5F1A">
        <w:rPr>
          <w:i/>
          <w:iCs/>
          <w:noProof/>
        </w:rPr>
        <w:t>European Journal on Criminal Policy and Research</w:t>
      </w:r>
      <w:r w:rsidRPr="00AF5F1A">
        <w:rPr>
          <w:noProof/>
        </w:rPr>
        <w:t>, Vol. 9 No. 1, pp. 5–29.</w:t>
      </w:r>
    </w:p>
    <w:p w14:paraId="75DE0F3F"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Kautt, P. (2010), “Ethnic variation in crime-related experiences: A statistical comparison of Asian and Black responses on the British crime survey”, in Stillwell, J. and van Ham, M. (Eds.),</w:t>
      </w:r>
      <w:r w:rsidRPr="00AF5F1A">
        <w:rPr>
          <w:i/>
          <w:iCs/>
          <w:noProof/>
        </w:rPr>
        <w:t>Ethnicity and Integration</w:t>
      </w:r>
      <w:r w:rsidRPr="00AF5F1A">
        <w:rPr>
          <w:noProof/>
        </w:rPr>
        <w:t>, Springer Science, New York, US, pp. 251–268.</w:t>
      </w:r>
    </w:p>
    <w:p w14:paraId="62FBEC54" w14:textId="77777777" w:rsidR="00AF5F1A" w:rsidRPr="00AF5F1A" w:rsidRDefault="00AF5F1A" w:rsidP="00AF5F1A">
      <w:pPr>
        <w:pStyle w:val="NormalWeb"/>
        <w:spacing w:line="480" w:lineRule="auto"/>
        <w:ind w:left="480" w:hanging="480"/>
        <w:divId w:val="339357210"/>
        <w:rPr>
          <w:noProof/>
        </w:rPr>
      </w:pPr>
      <w:r w:rsidRPr="00AF5F1A">
        <w:rPr>
          <w:noProof/>
        </w:rPr>
        <w:t xml:space="preserve">Kubrin, C.E. and Ishizawa, H. (2012), “Why some immigrant neighborhoods are safer than others: Divergent findings from Los Angeles and Chicago”, </w:t>
      </w:r>
      <w:r w:rsidRPr="00AF5F1A">
        <w:rPr>
          <w:i/>
          <w:iCs/>
          <w:noProof/>
        </w:rPr>
        <w:t>The Annals of the American Academy of Political and Social Science</w:t>
      </w:r>
      <w:r w:rsidRPr="00AF5F1A">
        <w:rPr>
          <w:noProof/>
        </w:rPr>
        <w:t>, Vol. 641 No. 1, pp. 148–173.</w:t>
      </w:r>
    </w:p>
    <w:p w14:paraId="75A649E0" w14:textId="77777777" w:rsidR="00AF5F1A" w:rsidRPr="00AF5F1A" w:rsidRDefault="00AF5F1A" w:rsidP="00AF5F1A">
      <w:pPr>
        <w:pStyle w:val="NormalWeb"/>
        <w:spacing w:line="480" w:lineRule="auto"/>
        <w:ind w:left="480" w:hanging="480"/>
        <w:divId w:val="339357210"/>
        <w:rPr>
          <w:noProof/>
        </w:rPr>
      </w:pPr>
      <w:r w:rsidRPr="00AF5F1A">
        <w:rPr>
          <w:noProof/>
        </w:rPr>
        <w:t xml:space="preserve">Le, T.N. and Stockdale, G.D. (2008), “Acculturative dissonance, ethnic identity, and youth violence.”, </w:t>
      </w:r>
      <w:r w:rsidRPr="00AF5F1A">
        <w:rPr>
          <w:i/>
          <w:iCs/>
          <w:noProof/>
        </w:rPr>
        <w:t>Cultural diversity &amp; ethnic minority psychology</w:t>
      </w:r>
      <w:r w:rsidRPr="00AF5F1A">
        <w:rPr>
          <w:noProof/>
        </w:rPr>
        <w:t>, Vol. 14 No. 1, pp. 1–9.</w:t>
      </w:r>
    </w:p>
    <w:p w14:paraId="076CFDC8" w14:textId="77777777" w:rsidR="00AF5F1A" w:rsidRPr="00AF5F1A" w:rsidRDefault="00AF5F1A" w:rsidP="00AF5F1A">
      <w:pPr>
        <w:pStyle w:val="NormalWeb"/>
        <w:spacing w:line="480" w:lineRule="auto"/>
        <w:ind w:left="480" w:hanging="480"/>
        <w:divId w:val="339357210"/>
        <w:rPr>
          <w:noProof/>
        </w:rPr>
      </w:pPr>
      <w:r w:rsidRPr="00AF5F1A">
        <w:rPr>
          <w:noProof/>
        </w:rPr>
        <w:t xml:space="preserve">Lee, J.M., Steinberg, L. and Piquero, A.R. (2010), “Ethnic identity and attitudes toward the police among African American juvenile offenders”, </w:t>
      </w:r>
      <w:r w:rsidRPr="00AF5F1A">
        <w:rPr>
          <w:i/>
          <w:iCs/>
          <w:noProof/>
        </w:rPr>
        <w:t>Journal of Criminal Justice</w:t>
      </w:r>
      <w:r w:rsidRPr="00AF5F1A">
        <w:rPr>
          <w:noProof/>
        </w:rPr>
        <w:t>, Elsevier Ltd, Vol. 38 No. 4, pp. 781–789.</w:t>
      </w:r>
    </w:p>
    <w:p w14:paraId="7B50883E" w14:textId="77777777" w:rsidR="00AF5F1A" w:rsidRPr="00AF5F1A" w:rsidRDefault="00AF5F1A" w:rsidP="00AF5F1A">
      <w:pPr>
        <w:pStyle w:val="NormalWeb"/>
        <w:spacing w:line="480" w:lineRule="auto"/>
        <w:ind w:left="480" w:hanging="480"/>
        <w:divId w:val="339357210"/>
        <w:rPr>
          <w:noProof/>
        </w:rPr>
      </w:pPr>
      <w:r w:rsidRPr="00AF5F1A">
        <w:rPr>
          <w:noProof/>
        </w:rPr>
        <w:t>Lee, M.T. and Martinez, R. (2009), “Immigration reduces crime: an emerging scholarly consensus”, in Mcdonald, W.F. (Ed.),</w:t>
      </w:r>
      <w:r w:rsidRPr="00AF5F1A">
        <w:rPr>
          <w:i/>
          <w:iCs/>
          <w:noProof/>
        </w:rPr>
        <w:t>Immigration, Crime and Justice (Sociology of Crime, Law and Deviance, Volume 13)</w:t>
      </w:r>
      <w:r w:rsidRPr="00AF5F1A">
        <w:rPr>
          <w:noProof/>
        </w:rPr>
        <w:t>, Emerald Group Publishing Limited, Bingley, UK, pp. 3–16.</w:t>
      </w:r>
    </w:p>
    <w:p w14:paraId="5B87A144" w14:textId="77777777" w:rsidR="00AF5F1A" w:rsidRPr="00AF5F1A" w:rsidRDefault="00AF5F1A" w:rsidP="00AF5F1A">
      <w:pPr>
        <w:pStyle w:val="NormalWeb"/>
        <w:spacing w:line="480" w:lineRule="auto"/>
        <w:ind w:left="480" w:hanging="480"/>
        <w:divId w:val="339357210"/>
        <w:rPr>
          <w:noProof/>
        </w:rPr>
      </w:pPr>
      <w:r w:rsidRPr="00AF5F1A">
        <w:rPr>
          <w:noProof/>
        </w:rPr>
        <w:t xml:space="preserve">Lee, M.T. and Martinez, R.J. (2002), “Social disorganization revisited: Mapping the recent immigration and Black homicide relationship in Northern Miam”, </w:t>
      </w:r>
      <w:r w:rsidRPr="00AF5F1A">
        <w:rPr>
          <w:i/>
          <w:iCs/>
          <w:noProof/>
        </w:rPr>
        <w:t>Sociological Focus</w:t>
      </w:r>
      <w:r w:rsidRPr="00AF5F1A">
        <w:rPr>
          <w:noProof/>
        </w:rPr>
        <w:t>, Vol. 35 No. 4, pp. 363–380.</w:t>
      </w:r>
    </w:p>
    <w:p w14:paraId="7D429986"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 xml:space="preserve">Lösel, F. and Farrington, D.P. (2012), “Direct protective and buffering protective factors in the development of youth violence.”, </w:t>
      </w:r>
      <w:r w:rsidRPr="00AF5F1A">
        <w:rPr>
          <w:i/>
          <w:iCs/>
          <w:noProof/>
        </w:rPr>
        <w:t>American Journal of Preventive Medicine</w:t>
      </w:r>
      <w:r w:rsidRPr="00AF5F1A">
        <w:rPr>
          <w:noProof/>
        </w:rPr>
        <w:t>, Elsevier Inc., Vol. 43 No. 2S1, pp. S8–S23.</w:t>
      </w:r>
    </w:p>
    <w:p w14:paraId="7F089220" w14:textId="77777777" w:rsidR="00AF5F1A" w:rsidRPr="00AF5F1A" w:rsidRDefault="00AF5F1A" w:rsidP="00AF5F1A">
      <w:pPr>
        <w:pStyle w:val="NormalWeb"/>
        <w:spacing w:line="480" w:lineRule="auto"/>
        <w:ind w:left="480" w:hanging="480"/>
        <w:divId w:val="339357210"/>
        <w:rPr>
          <w:noProof/>
        </w:rPr>
      </w:pPr>
      <w:r w:rsidRPr="00AF5F1A">
        <w:rPr>
          <w:noProof/>
        </w:rPr>
        <w:t>Morenoff, J.D. and Astor, A. (2006), “Immigrant assimilation and crime: generational differences in youth violence in Chicago”, in Martinez, R. and Valenzuela, A. (Eds.),</w:t>
      </w:r>
      <w:r w:rsidRPr="00AF5F1A">
        <w:rPr>
          <w:i/>
          <w:iCs/>
          <w:noProof/>
        </w:rPr>
        <w:t>Immigration and Crime: Race, Ethnicity and Violence</w:t>
      </w:r>
      <w:r w:rsidRPr="00AF5F1A">
        <w:rPr>
          <w:noProof/>
        </w:rPr>
        <w:t>, New York University Press, New York, NY, pp. 36–63.</w:t>
      </w:r>
    </w:p>
    <w:p w14:paraId="06DADDEC" w14:textId="77777777" w:rsidR="00AF5F1A" w:rsidRPr="00AF5F1A" w:rsidRDefault="00AF5F1A" w:rsidP="00AF5F1A">
      <w:pPr>
        <w:pStyle w:val="NormalWeb"/>
        <w:spacing w:line="480" w:lineRule="auto"/>
        <w:ind w:left="480" w:hanging="480"/>
        <w:divId w:val="339357210"/>
        <w:rPr>
          <w:noProof/>
        </w:rPr>
      </w:pPr>
      <w:r w:rsidRPr="00AF5F1A">
        <w:rPr>
          <w:noProof/>
        </w:rPr>
        <w:t xml:space="preserve">Nagasawa, R., Qian, Z. and Wong, P. (2001), “Theory of Segmented Assimilation and the Adoption of Marijuana Use and Delinquent Behavior By Asian Pacific Youth”, </w:t>
      </w:r>
      <w:r w:rsidRPr="00AF5F1A">
        <w:rPr>
          <w:i/>
          <w:iCs/>
          <w:noProof/>
        </w:rPr>
        <w:t>The Sociological Quarterly</w:t>
      </w:r>
      <w:r w:rsidRPr="00AF5F1A">
        <w:rPr>
          <w:noProof/>
        </w:rPr>
        <w:t>, Vol. 42 No. 3, pp. 351–372.</w:t>
      </w:r>
    </w:p>
    <w:p w14:paraId="158069CC" w14:textId="77777777" w:rsidR="00AF5F1A" w:rsidRPr="00AF5F1A" w:rsidRDefault="00AF5F1A" w:rsidP="00AF5F1A">
      <w:pPr>
        <w:pStyle w:val="NormalWeb"/>
        <w:spacing w:line="480" w:lineRule="auto"/>
        <w:ind w:left="480" w:hanging="480"/>
        <w:divId w:val="339357210"/>
        <w:rPr>
          <w:noProof/>
        </w:rPr>
      </w:pPr>
      <w:r w:rsidRPr="00AF5F1A">
        <w:rPr>
          <w:noProof/>
        </w:rPr>
        <w:t>Office for National Statistics. (2011), “Census: Aggregate data (England and Wales) [computer file]”, available at: http://infuse.mimas.ac.uk.</w:t>
      </w:r>
    </w:p>
    <w:p w14:paraId="7A678063" w14:textId="77777777" w:rsidR="00AF5F1A" w:rsidRPr="00AF5F1A" w:rsidRDefault="00AF5F1A" w:rsidP="00AF5F1A">
      <w:pPr>
        <w:pStyle w:val="NormalWeb"/>
        <w:spacing w:line="480" w:lineRule="auto"/>
        <w:ind w:left="480" w:hanging="480"/>
        <w:divId w:val="339357210"/>
        <w:rPr>
          <w:noProof/>
        </w:rPr>
      </w:pPr>
      <w:r w:rsidRPr="00AF5F1A">
        <w:rPr>
          <w:noProof/>
        </w:rPr>
        <w:t>Office for National Statistics. (2013), “Migration statistics quarterly report”, available at: http://www.ons.gov.uk/ons/rel/ migration1/migration-statistics-quarterly-report/may-2013/index.html  .</w:t>
      </w:r>
    </w:p>
    <w:p w14:paraId="6FB54887" w14:textId="77777777" w:rsidR="00AF5F1A" w:rsidRPr="00AF5F1A" w:rsidRDefault="00AF5F1A" w:rsidP="00AF5F1A">
      <w:pPr>
        <w:pStyle w:val="NormalWeb"/>
        <w:spacing w:line="480" w:lineRule="auto"/>
        <w:ind w:left="480" w:hanging="480"/>
        <w:divId w:val="339357210"/>
        <w:rPr>
          <w:noProof/>
        </w:rPr>
      </w:pPr>
      <w:r w:rsidRPr="00AF5F1A">
        <w:rPr>
          <w:noProof/>
        </w:rPr>
        <w:t xml:space="preserve">Pauwels, L.J.R. and Svensson, R. (2013), “Violent Youth Group Involvement, Self-reported Offending and Victimisation: An Empirical Assessment of an Integrated Informal Control/Lifestyle Model”, </w:t>
      </w:r>
      <w:r w:rsidRPr="00AF5F1A">
        <w:rPr>
          <w:i/>
          <w:iCs/>
          <w:noProof/>
        </w:rPr>
        <w:t>European Journal on Criminal Policy and Research</w:t>
      </w:r>
      <w:r w:rsidRPr="00AF5F1A">
        <w:rPr>
          <w:noProof/>
        </w:rPr>
        <w:t>, Vol. 19 No. 4, pp. 369–386.</w:t>
      </w:r>
    </w:p>
    <w:p w14:paraId="18AC58E8"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Portes, A. (1995), “Economic sociology and the sociology of immigration: A conceptual overview”, in Portes, A. (Ed.),</w:t>
      </w:r>
      <w:r w:rsidRPr="00AF5F1A">
        <w:rPr>
          <w:i/>
          <w:iCs/>
          <w:noProof/>
        </w:rPr>
        <w:t>The economic sociology of immigration: Essays on networks, ethnicity, and entrepreneurship</w:t>
      </w:r>
      <w:r w:rsidRPr="00AF5F1A">
        <w:rPr>
          <w:noProof/>
        </w:rPr>
        <w:t>, Russell Sage Foundation, New York, US, pp. 1–41.</w:t>
      </w:r>
    </w:p>
    <w:p w14:paraId="26DB8B7B" w14:textId="77777777" w:rsidR="00AF5F1A" w:rsidRPr="00AF5F1A" w:rsidRDefault="00AF5F1A" w:rsidP="00AF5F1A">
      <w:pPr>
        <w:pStyle w:val="NormalWeb"/>
        <w:spacing w:line="480" w:lineRule="auto"/>
        <w:ind w:left="480" w:hanging="480"/>
        <w:divId w:val="339357210"/>
        <w:rPr>
          <w:noProof/>
        </w:rPr>
      </w:pPr>
      <w:r w:rsidRPr="00AF5F1A">
        <w:rPr>
          <w:noProof/>
        </w:rPr>
        <w:t xml:space="preserve">Portes, A., Fernández-Kelly, P. and Haller, W. (2009), “The Adaptation of the Immigrant Second Generation in America: Theoretical Overview and Recent Evidence.”, </w:t>
      </w:r>
      <w:r w:rsidRPr="00AF5F1A">
        <w:rPr>
          <w:i/>
          <w:iCs/>
          <w:noProof/>
        </w:rPr>
        <w:t>Journal of ethnic and migration studies</w:t>
      </w:r>
      <w:r w:rsidRPr="00AF5F1A">
        <w:rPr>
          <w:noProof/>
        </w:rPr>
        <w:t>, Vol. 35 No. 7, pp. 1077–1104.</w:t>
      </w:r>
    </w:p>
    <w:p w14:paraId="4F82C74C" w14:textId="77777777" w:rsidR="00AF5F1A" w:rsidRPr="00AF5F1A" w:rsidRDefault="00AF5F1A" w:rsidP="00AF5F1A">
      <w:pPr>
        <w:pStyle w:val="NormalWeb"/>
        <w:spacing w:line="480" w:lineRule="auto"/>
        <w:ind w:left="480" w:hanging="480"/>
        <w:divId w:val="339357210"/>
        <w:rPr>
          <w:noProof/>
        </w:rPr>
      </w:pPr>
      <w:r w:rsidRPr="00AF5F1A">
        <w:rPr>
          <w:noProof/>
        </w:rPr>
        <w:t xml:space="preserve">Portes, A. and Zhou, M. (1993), “The new second generation: Segmented assimilation and its variants”, </w:t>
      </w:r>
      <w:r w:rsidRPr="00AF5F1A">
        <w:rPr>
          <w:i/>
          <w:iCs/>
          <w:noProof/>
        </w:rPr>
        <w:t>The annals of the American academy of …</w:t>
      </w:r>
      <w:r w:rsidRPr="00AF5F1A">
        <w:rPr>
          <w:noProof/>
        </w:rPr>
        <w:t>, Vol. 530, pp. 74–96.</w:t>
      </w:r>
    </w:p>
    <w:p w14:paraId="672491BD" w14:textId="77777777" w:rsidR="00AF5F1A" w:rsidRPr="00AF5F1A" w:rsidRDefault="00AF5F1A" w:rsidP="00AF5F1A">
      <w:pPr>
        <w:pStyle w:val="NormalWeb"/>
        <w:spacing w:line="480" w:lineRule="auto"/>
        <w:ind w:left="480" w:hanging="480"/>
        <w:divId w:val="339357210"/>
        <w:rPr>
          <w:noProof/>
        </w:rPr>
      </w:pPr>
      <w:r w:rsidRPr="00AF5F1A">
        <w:rPr>
          <w:noProof/>
        </w:rPr>
        <w:t xml:space="preserve">Powell, D., Perreira, K.M. and Harris, K.M. (2010), “Trajectories of delinquency from adolescence to adulthood”, </w:t>
      </w:r>
      <w:r w:rsidRPr="00AF5F1A">
        <w:rPr>
          <w:i/>
          <w:iCs/>
          <w:noProof/>
        </w:rPr>
        <w:t>Youth &amp; Society</w:t>
      </w:r>
      <w:r w:rsidRPr="00AF5F1A">
        <w:rPr>
          <w:noProof/>
        </w:rPr>
        <w:t>, Vol. 41 No. 4, pp. 475–502.</w:t>
      </w:r>
    </w:p>
    <w:p w14:paraId="00F7E56B" w14:textId="77777777" w:rsidR="00AF5F1A" w:rsidRPr="00AF5F1A" w:rsidRDefault="00AF5F1A" w:rsidP="00AF5F1A">
      <w:pPr>
        <w:pStyle w:val="NormalWeb"/>
        <w:spacing w:line="480" w:lineRule="auto"/>
        <w:ind w:left="480" w:hanging="480"/>
        <w:divId w:val="339357210"/>
        <w:rPr>
          <w:noProof/>
        </w:rPr>
      </w:pPr>
      <w:r w:rsidRPr="00AF5F1A">
        <w:rPr>
          <w:noProof/>
        </w:rPr>
        <w:t xml:space="preserve">Preacher, K.J. and Hayes, A.F. (2008), “Asymptotic and resampling strategies for assessing and comparing indirect effects in multiple mediator models”, </w:t>
      </w:r>
      <w:r w:rsidRPr="00AF5F1A">
        <w:rPr>
          <w:i/>
          <w:iCs/>
          <w:noProof/>
        </w:rPr>
        <w:t>Behavior Research Methods</w:t>
      </w:r>
      <w:r w:rsidRPr="00AF5F1A">
        <w:rPr>
          <w:noProof/>
        </w:rPr>
        <w:t>, Vol. 40 No. 3, pp. 879–891.</w:t>
      </w:r>
    </w:p>
    <w:p w14:paraId="4128E09C" w14:textId="77777777" w:rsidR="00AF5F1A" w:rsidRPr="00AF5F1A" w:rsidRDefault="00AF5F1A" w:rsidP="00AF5F1A">
      <w:pPr>
        <w:pStyle w:val="NormalWeb"/>
        <w:spacing w:line="480" w:lineRule="auto"/>
        <w:ind w:left="480" w:hanging="480"/>
        <w:divId w:val="339357210"/>
        <w:rPr>
          <w:noProof/>
        </w:rPr>
      </w:pPr>
      <w:r w:rsidRPr="00AF5F1A">
        <w:rPr>
          <w:noProof/>
        </w:rPr>
        <w:t>Rumbaut, R.G. (1997), “Ties that bind: Immigration and immigrant families”, in Booth, A., Crouter, A.C. and Landale, N.S. (Eds.),</w:t>
      </w:r>
      <w:r w:rsidRPr="00AF5F1A">
        <w:rPr>
          <w:i/>
          <w:iCs/>
          <w:noProof/>
        </w:rPr>
        <w:t>Immigration and the family: Research and policy on U.S. immigrants</w:t>
      </w:r>
      <w:r w:rsidRPr="00AF5F1A">
        <w:rPr>
          <w:noProof/>
        </w:rPr>
        <w:t>, Lawrence Erlbaum Associates, Mahwah, US, pp. 3–46.</w:t>
      </w:r>
    </w:p>
    <w:p w14:paraId="583D96FD"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 xml:space="preserve">Rumbaut, R.G. and Ewing, W.A. (2007), </w:t>
      </w:r>
      <w:r w:rsidRPr="00AF5F1A">
        <w:rPr>
          <w:i/>
          <w:iCs/>
          <w:noProof/>
        </w:rPr>
        <w:t>The myth of immigrant criminality and the paradox of assimilation: Incarceration rates among native and foreign-born men</w:t>
      </w:r>
      <w:r w:rsidRPr="00AF5F1A">
        <w:rPr>
          <w:noProof/>
        </w:rPr>
        <w:t>, Washington, D.C.</w:t>
      </w:r>
    </w:p>
    <w:p w14:paraId="4DD656CE" w14:textId="77777777" w:rsidR="00AF5F1A" w:rsidRPr="00AF5F1A" w:rsidRDefault="00AF5F1A" w:rsidP="00AF5F1A">
      <w:pPr>
        <w:pStyle w:val="NormalWeb"/>
        <w:spacing w:line="480" w:lineRule="auto"/>
        <w:ind w:left="480" w:hanging="480"/>
        <w:divId w:val="339357210"/>
        <w:rPr>
          <w:noProof/>
        </w:rPr>
      </w:pPr>
      <w:r w:rsidRPr="00AF5F1A">
        <w:rPr>
          <w:noProof/>
        </w:rPr>
        <w:t>Rumbaut, R.G., Gonzales, R.G., Komaie, G., Morgan, C. V and Tafoya-Estrada, R. (2006), “Immigration and incarceration: Patterns and predictors of imprisonment among first- and second-generation young adults”, in Martinez, R. and Valenzuela, A. (Eds.),</w:t>
      </w:r>
      <w:r w:rsidRPr="00AF5F1A">
        <w:rPr>
          <w:i/>
          <w:iCs/>
          <w:noProof/>
        </w:rPr>
        <w:t>Immigration and Crime: Race, Ethnicity and Violence</w:t>
      </w:r>
      <w:r w:rsidRPr="00AF5F1A">
        <w:rPr>
          <w:noProof/>
        </w:rPr>
        <w:t>, New York University Press, New York, pp. 64–89.</w:t>
      </w:r>
    </w:p>
    <w:p w14:paraId="32CCF015" w14:textId="77777777" w:rsidR="00AF5F1A" w:rsidRPr="00AF5F1A" w:rsidRDefault="00AF5F1A" w:rsidP="00AF5F1A">
      <w:pPr>
        <w:pStyle w:val="NormalWeb"/>
        <w:spacing w:line="480" w:lineRule="auto"/>
        <w:ind w:left="480" w:hanging="480"/>
        <w:divId w:val="339357210"/>
        <w:rPr>
          <w:noProof/>
        </w:rPr>
      </w:pPr>
      <w:r w:rsidRPr="00AF5F1A">
        <w:rPr>
          <w:noProof/>
        </w:rPr>
        <w:t>Sampson, R. and Bean, L. (2006), “Cultural mechanisms and killing fields: A revised theory of community-level racial inequality”, in Peterson, R., Krivo, L. and Hagan, J. (Eds.),</w:t>
      </w:r>
      <w:r w:rsidRPr="00AF5F1A">
        <w:rPr>
          <w:i/>
          <w:iCs/>
          <w:noProof/>
        </w:rPr>
        <w:t>The many colors of crime: Inequalities of race, ethnicity and crime in America</w:t>
      </w:r>
      <w:r w:rsidRPr="00AF5F1A">
        <w:rPr>
          <w:noProof/>
        </w:rPr>
        <w:t>, New York University Press, New York, US, pp. 8–36.</w:t>
      </w:r>
    </w:p>
    <w:p w14:paraId="7B2327E6" w14:textId="77777777" w:rsidR="00AF5F1A" w:rsidRPr="00AF5F1A" w:rsidRDefault="00AF5F1A" w:rsidP="00AF5F1A">
      <w:pPr>
        <w:pStyle w:val="NormalWeb"/>
        <w:spacing w:line="480" w:lineRule="auto"/>
        <w:ind w:left="480" w:hanging="480"/>
        <w:divId w:val="339357210"/>
        <w:rPr>
          <w:noProof/>
        </w:rPr>
      </w:pPr>
      <w:r w:rsidRPr="00AF5F1A">
        <w:rPr>
          <w:noProof/>
        </w:rPr>
        <w:t xml:space="preserve">Sampson, R.J. (2008), “Rethinking crime and immigration”, </w:t>
      </w:r>
      <w:r w:rsidRPr="00AF5F1A">
        <w:rPr>
          <w:i/>
          <w:iCs/>
          <w:noProof/>
        </w:rPr>
        <w:t>Contexts</w:t>
      </w:r>
      <w:r w:rsidRPr="00AF5F1A">
        <w:rPr>
          <w:noProof/>
        </w:rPr>
        <w:t>, Vol. 7 No. 28, pp. 28–33.</w:t>
      </w:r>
    </w:p>
    <w:p w14:paraId="0EBE8D55" w14:textId="77777777" w:rsidR="00AF5F1A" w:rsidRPr="00AF5F1A" w:rsidRDefault="00AF5F1A" w:rsidP="00AF5F1A">
      <w:pPr>
        <w:pStyle w:val="NormalWeb"/>
        <w:spacing w:line="480" w:lineRule="auto"/>
        <w:ind w:left="480" w:hanging="480"/>
        <w:divId w:val="339357210"/>
        <w:rPr>
          <w:noProof/>
        </w:rPr>
      </w:pPr>
      <w:r w:rsidRPr="00AF5F1A">
        <w:rPr>
          <w:noProof/>
        </w:rPr>
        <w:t xml:space="preserve">Sampson, R.J., Morenoff, J.D. and Raudenbush, S. (2005), “Social anatomy of racial and ethnic disparities in violence.”, </w:t>
      </w:r>
      <w:r w:rsidRPr="00AF5F1A">
        <w:rPr>
          <w:i/>
          <w:iCs/>
          <w:noProof/>
        </w:rPr>
        <w:t>American journal of public health</w:t>
      </w:r>
      <w:r w:rsidRPr="00AF5F1A">
        <w:rPr>
          <w:noProof/>
        </w:rPr>
        <w:t>, Vol. 95 No. 2, pp. 224–32.</w:t>
      </w:r>
    </w:p>
    <w:p w14:paraId="3F40A336" w14:textId="77777777" w:rsidR="00AF5F1A" w:rsidRPr="00AF5F1A" w:rsidRDefault="00AF5F1A" w:rsidP="00AF5F1A">
      <w:pPr>
        <w:pStyle w:val="NormalWeb"/>
        <w:spacing w:line="480" w:lineRule="auto"/>
        <w:ind w:left="480" w:hanging="480"/>
        <w:divId w:val="339357210"/>
        <w:rPr>
          <w:noProof/>
        </w:rPr>
      </w:pPr>
      <w:r w:rsidRPr="00AF5F1A">
        <w:rPr>
          <w:noProof/>
        </w:rPr>
        <w:t xml:space="preserve">Sanders-Phillips, K. (2009), “Racial discrimination: a continuum of violence exposure for children of color”, </w:t>
      </w:r>
      <w:r w:rsidRPr="00AF5F1A">
        <w:rPr>
          <w:i/>
          <w:iCs/>
          <w:noProof/>
        </w:rPr>
        <w:t>Clinical Child and Family Psychology Review</w:t>
      </w:r>
      <w:r w:rsidRPr="00AF5F1A">
        <w:rPr>
          <w:noProof/>
        </w:rPr>
        <w:t>, Vol. 12 No. 2, pp. 174–95.</w:t>
      </w:r>
    </w:p>
    <w:p w14:paraId="2DC22456"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 xml:space="preserve">Spencer, J.H. and Le, T.N. (2006), “Parent refugee status, immigration stressors, and Southeast Asian youth violence”, </w:t>
      </w:r>
      <w:r w:rsidRPr="00AF5F1A">
        <w:rPr>
          <w:i/>
          <w:iCs/>
          <w:noProof/>
        </w:rPr>
        <w:t>Journal of Immigrant and Minority Health</w:t>
      </w:r>
      <w:r w:rsidRPr="00AF5F1A">
        <w:rPr>
          <w:noProof/>
        </w:rPr>
        <w:t>, Germany: Springer, Vol. 8 No. 4, pp. 359–368.</w:t>
      </w:r>
    </w:p>
    <w:p w14:paraId="0BF8C94B" w14:textId="77777777" w:rsidR="00AF5F1A" w:rsidRPr="00AF5F1A" w:rsidRDefault="00AF5F1A" w:rsidP="00AF5F1A">
      <w:pPr>
        <w:pStyle w:val="NormalWeb"/>
        <w:spacing w:line="480" w:lineRule="auto"/>
        <w:ind w:left="480" w:hanging="480"/>
        <w:divId w:val="339357210"/>
        <w:rPr>
          <w:noProof/>
        </w:rPr>
      </w:pPr>
      <w:r w:rsidRPr="00AF5F1A">
        <w:rPr>
          <w:noProof/>
        </w:rPr>
        <w:t xml:space="preserve">Titzmann, P.F., Raabe, T. and Silbereisen, R.K. (2008), “Risk and protective factors for delinquency among male adolescent immigrants at different stages of the acculturation process.”, </w:t>
      </w:r>
      <w:r w:rsidRPr="00AF5F1A">
        <w:rPr>
          <w:i/>
          <w:iCs/>
          <w:noProof/>
        </w:rPr>
        <w:t>International journal of psychology : Journal international de psychologie</w:t>
      </w:r>
      <w:r w:rsidRPr="00AF5F1A">
        <w:rPr>
          <w:noProof/>
        </w:rPr>
        <w:t>, Vol. 43 No. 1, pp. 19–31.</w:t>
      </w:r>
    </w:p>
    <w:p w14:paraId="624EF1C0" w14:textId="77777777" w:rsidR="00AF5F1A" w:rsidRPr="00AF5F1A" w:rsidRDefault="00AF5F1A" w:rsidP="00AF5F1A">
      <w:pPr>
        <w:pStyle w:val="NormalWeb"/>
        <w:spacing w:line="480" w:lineRule="auto"/>
        <w:ind w:left="480" w:hanging="480"/>
        <w:divId w:val="339357210"/>
        <w:rPr>
          <w:noProof/>
        </w:rPr>
      </w:pPr>
      <w:r w:rsidRPr="00AF5F1A">
        <w:rPr>
          <w:noProof/>
        </w:rPr>
        <w:t xml:space="preserve">Turjeman, H., Mesch, G. and Fishman, G. (2008), “Social identity, identity formation, and delinquency”, </w:t>
      </w:r>
      <w:r w:rsidRPr="00AF5F1A">
        <w:rPr>
          <w:i/>
          <w:iCs/>
          <w:noProof/>
        </w:rPr>
        <w:t>International Journal of Comparative Sociology</w:t>
      </w:r>
      <w:r w:rsidRPr="00AF5F1A">
        <w:rPr>
          <w:noProof/>
        </w:rPr>
        <w:t>, Vol. 49 No. 2-3, pp. 111–126.</w:t>
      </w:r>
    </w:p>
    <w:p w14:paraId="099D32BD" w14:textId="77777777" w:rsidR="00AF5F1A" w:rsidRPr="00AF5F1A" w:rsidRDefault="00AF5F1A" w:rsidP="00AF5F1A">
      <w:pPr>
        <w:pStyle w:val="NormalWeb"/>
        <w:spacing w:line="480" w:lineRule="auto"/>
        <w:ind w:left="480" w:hanging="480"/>
        <w:divId w:val="339357210"/>
        <w:rPr>
          <w:noProof/>
        </w:rPr>
      </w:pPr>
      <w:r w:rsidRPr="00AF5F1A">
        <w:rPr>
          <w:noProof/>
        </w:rPr>
        <w:t>Vigil, D. (2008), “Mexican migrants in gangs: A second-generation history”, in Gemert, F. van, Peterson, D. and Lien, I.-L. (Eds.),</w:t>
      </w:r>
      <w:r w:rsidRPr="00AF5F1A">
        <w:rPr>
          <w:i/>
          <w:iCs/>
          <w:noProof/>
        </w:rPr>
        <w:t>Street Gangs, migration and ethnicity</w:t>
      </w:r>
      <w:r w:rsidRPr="00AF5F1A">
        <w:rPr>
          <w:noProof/>
        </w:rPr>
        <w:t>, Willan Publishing, Portland, US, pp. 49–62.</w:t>
      </w:r>
    </w:p>
    <w:p w14:paraId="6EB023EC" w14:textId="77777777" w:rsidR="00AF5F1A" w:rsidRPr="00AF5F1A" w:rsidRDefault="00AF5F1A" w:rsidP="00AF5F1A">
      <w:pPr>
        <w:pStyle w:val="NormalWeb"/>
        <w:spacing w:line="480" w:lineRule="auto"/>
        <w:ind w:left="480" w:hanging="480"/>
        <w:divId w:val="339357210"/>
        <w:rPr>
          <w:noProof/>
        </w:rPr>
      </w:pPr>
      <w:r w:rsidRPr="00AF5F1A">
        <w:rPr>
          <w:noProof/>
        </w:rPr>
        <w:t xml:space="preserve">Wang, Y., Kim, S.Y., Anderson, E.R., Chia-Chen Chen, A. and Yan, N. (2012), “Parent–child acculturation discrepancy, perceived parental knowledge, peer deviance, and adolescent delinquency in Chinese immigrant families”, </w:t>
      </w:r>
      <w:r w:rsidRPr="00AF5F1A">
        <w:rPr>
          <w:i/>
          <w:iCs/>
          <w:noProof/>
        </w:rPr>
        <w:t>Journal of Youth and Adolescence</w:t>
      </w:r>
      <w:r w:rsidRPr="00AF5F1A">
        <w:rPr>
          <w:noProof/>
        </w:rPr>
        <w:t>, Vol. 41 No. 7, pp. 907–919.</w:t>
      </w:r>
    </w:p>
    <w:p w14:paraId="765EF577" w14:textId="77777777" w:rsidR="00AF5F1A" w:rsidRPr="00AF5F1A" w:rsidRDefault="00AF5F1A" w:rsidP="00AF5F1A">
      <w:pPr>
        <w:pStyle w:val="NormalWeb"/>
        <w:spacing w:line="480" w:lineRule="auto"/>
        <w:ind w:left="480" w:hanging="480"/>
        <w:divId w:val="339357210"/>
        <w:rPr>
          <w:noProof/>
        </w:rPr>
      </w:pPr>
      <w:r w:rsidRPr="00AF5F1A">
        <w:rPr>
          <w:noProof/>
        </w:rPr>
        <w:t xml:space="preserve">Webster, C. (2007), </w:t>
      </w:r>
      <w:r w:rsidRPr="00AF5F1A">
        <w:rPr>
          <w:i/>
          <w:iCs/>
          <w:noProof/>
        </w:rPr>
        <w:t>Understanding Race and Crime</w:t>
      </w:r>
      <w:r w:rsidRPr="00AF5F1A">
        <w:rPr>
          <w:noProof/>
        </w:rPr>
        <w:t>, Open University Press, New York, US.</w:t>
      </w:r>
    </w:p>
    <w:p w14:paraId="33FBC341" w14:textId="77777777" w:rsidR="00AF5F1A" w:rsidRPr="00AF5F1A" w:rsidRDefault="00AF5F1A" w:rsidP="00AF5F1A">
      <w:pPr>
        <w:pStyle w:val="NormalWeb"/>
        <w:spacing w:line="480" w:lineRule="auto"/>
        <w:ind w:left="480" w:hanging="480"/>
        <w:divId w:val="339357210"/>
        <w:rPr>
          <w:noProof/>
        </w:rPr>
      </w:pPr>
      <w:r w:rsidRPr="00AF5F1A">
        <w:rPr>
          <w:noProof/>
        </w:rPr>
        <w:lastRenderedPageBreak/>
        <w:t xml:space="preserve">Werner, E.E. and Smith, R.S. (2001), </w:t>
      </w:r>
      <w:r w:rsidRPr="00AF5F1A">
        <w:rPr>
          <w:i/>
          <w:iCs/>
          <w:noProof/>
        </w:rPr>
        <w:t>Journeys from childhood to midlife: Risk, resilience and recovery</w:t>
      </w:r>
      <w:r w:rsidRPr="00AF5F1A">
        <w:rPr>
          <w:noProof/>
        </w:rPr>
        <w:t>, Cornell University Press, Ithaca, US.</w:t>
      </w:r>
    </w:p>
    <w:p w14:paraId="5C7E532D" w14:textId="79DD32CB" w:rsidR="00AF5F1A" w:rsidRPr="00AF5F1A" w:rsidRDefault="00AF5F1A" w:rsidP="00AF5F1A">
      <w:pPr>
        <w:pStyle w:val="NormalWeb"/>
        <w:spacing w:line="480" w:lineRule="auto"/>
        <w:ind w:left="480" w:hanging="480"/>
        <w:divId w:val="339357210"/>
        <w:rPr>
          <w:noProof/>
        </w:rPr>
      </w:pPr>
      <w:r w:rsidRPr="00AF5F1A">
        <w:rPr>
          <w:noProof/>
        </w:rPr>
        <w:t xml:space="preserve">West, D.J. and Farrington, D.P. (1977), </w:t>
      </w:r>
      <w:r w:rsidRPr="00AF5F1A">
        <w:rPr>
          <w:i/>
          <w:iCs/>
          <w:noProof/>
        </w:rPr>
        <w:t>The delinquent way of life</w:t>
      </w:r>
      <w:r w:rsidR="00D74495">
        <w:rPr>
          <w:noProof/>
        </w:rPr>
        <w:t>, Heinemann</w:t>
      </w:r>
      <w:r w:rsidRPr="00AF5F1A">
        <w:rPr>
          <w:noProof/>
        </w:rPr>
        <w:t>, London, UK.</w:t>
      </w:r>
    </w:p>
    <w:p w14:paraId="7549D8E2" w14:textId="77777777" w:rsidR="00AF5F1A" w:rsidRPr="00AF5F1A" w:rsidRDefault="00AF5F1A" w:rsidP="00AF5F1A">
      <w:pPr>
        <w:pStyle w:val="NormalWeb"/>
        <w:spacing w:line="480" w:lineRule="auto"/>
        <w:ind w:left="480" w:hanging="480"/>
        <w:divId w:val="339357210"/>
        <w:rPr>
          <w:noProof/>
        </w:rPr>
      </w:pPr>
      <w:r w:rsidRPr="00AF5F1A">
        <w:rPr>
          <w:noProof/>
        </w:rPr>
        <w:t xml:space="preserve">Wikström, P.-O.H. and Svensson, R. (2008), “Why are English Youths More Violent Than Swedish Youths?: A Comparative Study of the Role of Crime Propensity, Lifestyles and Their Interactions in Two Cities”, </w:t>
      </w:r>
      <w:r w:rsidRPr="00AF5F1A">
        <w:rPr>
          <w:i/>
          <w:iCs/>
          <w:noProof/>
        </w:rPr>
        <w:t>European Journal of Criminology</w:t>
      </w:r>
      <w:r w:rsidRPr="00AF5F1A">
        <w:rPr>
          <w:noProof/>
        </w:rPr>
        <w:t>, Vol. 5 No. 3, pp. 309–330.</w:t>
      </w:r>
    </w:p>
    <w:p w14:paraId="2D1259C1" w14:textId="77777777" w:rsidR="00AF5F1A" w:rsidRPr="00AF5F1A" w:rsidRDefault="00AF5F1A" w:rsidP="00AF5F1A">
      <w:pPr>
        <w:pStyle w:val="NormalWeb"/>
        <w:spacing w:line="480" w:lineRule="auto"/>
        <w:ind w:left="480" w:hanging="480"/>
        <w:divId w:val="339357210"/>
        <w:rPr>
          <w:noProof/>
        </w:rPr>
      </w:pPr>
      <w:r w:rsidRPr="00AF5F1A">
        <w:rPr>
          <w:noProof/>
        </w:rPr>
        <w:t xml:space="preserve">Wilson, J.J., Hawkins, J.D., Herrenkohl, T.I., Farrington, D.P., Brewer, D., Catalano, R.F. and Harachi, T.W. (2000), </w:t>
      </w:r>
      <w:r w:rsidRPr="00AF5F1A">
        <w:rPr>
          <w:i/>
          <w:iCs/>
          <w:noProof/>
        </w:rPr>
        <w:t>Predictors of Youth Violence</w:t>
      </w:r>
      <w:r w:rsidRPr="00AF5F1A">
        <w:rPr>
          <w:noProof/>
        </w:rPr>
        <w:t>.</w:t>
      </w:r>
    </w:p>
    <w:p w14:paraId="3409FA23" w14:textId="77777777" w:rsidR="00AF5F1A" w:rsidRPr="00AF5F1A" w:rsidRDefault="00AF5F1A" w:rsidP="00AF5F1A">
      <w:pPr>
        <w:pStyle w:val="NormalWeb"/>
        <w:spacing w:line="480" w:lineRule="auto"/>
        <w:ind w:left="480" w:hanging="480"/>
        <w:divId w:val="339357210"/>
        <w:rPr>
          <w:noProof/>
        </w:rPr>
      </w:pPr>
      <w:r w:rsidRPr="00AF5F1A">
        <w:rPr>
          <w:noProof/>
        </w:rPr>
        <w:t xml:space="preserve">Xie, Y. and Greenman, E. (2011), “The social context of assimilation: testing implications of segmented assimilation theory.”, </w:t>
      </w:r>
      <w:r w:rsidRPr="00AF5F1A">
        <w:rPr>
          <w:i/>
          <w:iCs/>
          <w:noProof/>
        </w:rPr>
        <w:t>Social Science Research</w:t>
      </w:r>
      <w:r w:rsidRPr="00AF5F1A">
        <w:rPr>
          <w:noProof/>
        </w:rPr>
        <w:t>, Elsevier Inc., Vol. 40 No. 3, pp. 965–84.</w:t>
      </w:r>
    </w:p>
    <w:p w14:paraId="7DCDCCF4" w14:textId="77777777" w:rsidR="00AF5F1A" w:rsidRPr="00AF5F1A" w:rsidRDefault="00AF5F1A" w:rsidP="00AF5F1A">
      <w:pPr>
        <w:pStyle w:val="NormalWeb"/>
        <w:spacing w:line="480" w:lineRule="auto"/>
        <w:ind w:left="480" w:hanging="480"/>
        <w:divId w:val="339357210"/>
        <w:rPr>
          <w:noProof/>
        </w:rPr>
      </w:pPr>
      <w:r w:rsidRPr="00AF5F1A">
        <w:rPr>
          <w:noProof/>
        </w:rPr>
        <w:t xml:space="preserve">Yoon, E., Langrehr, K. and Ong, L.Z. (2011), “Content analysis of acculturation research in counseling and counseling psychology: a 22-year review.”, </w:t>
      </w:r>
      <w:r w:rsidRPr="00AF5F1A">
        <w:rPr>
          <w:i/>
          <w:iCs/>
          <w:noProof/>
        </w:rPr>
        <w:t>Journal of Counseling Psychology</w:t>
      </w:r>
      <w:r w:rsidRPr="00AF5F1A">
        <w:rPr>
          <w:noProof/>
        </w:rPr>
        <w:t>, Vol. 58 No. 1, pp. 83–96.</w:t>
      </w:r>
    </w:p>
    <w:p w14:paraId="5B3CAE57" w14:textId="77777777" w:rsidR="00AF5F1A" w:rsidRPr="00AF5F1A" w:rsidRDefault="00AF5F1A" w:rsidP="00AF5F1A">
      <w:pPr>
        <w:pStyle w:val="NormalWeb"/>
        <w:spacing w:line="480" w:lineRule="auto"/>
        <w:ind w:left="480" w:hanging="480"/>
        <w:divId w:val="339357210"/>
        <w:rPr>
          <w:noProof/>
        </w:rPr>
      </w:pPr>
      <w:r w:rsidRPr="00AF5F1A">
        <w:rPr>
          <w:noProof/>
        </w:rPr>
        <w:t xml:space="preserve">Zhou, M. and III Bankston, C.L. (1994), “Social capital and the adaptation of the second generation: The case of Vietnamese youth in New Orleans”, </w:t>
      </w:r>
      <w:r w:rsidRPr="00AF5F1A">
        <w:rPr>
          <w:i/>
          <w:iCs/>
          <w:noProof/>
        </w:rPr>
        <w:t>International Migration Review</w:t>
      </w:r>
      <w:r w:rsidRPr="00AF5F1A">
        <w:rPr>
          <w:noProof/>
        </w:rPr>
        <w:t>, Vol. 28 No. 4, pp. 821–845.</w:t>
      </w:r>
    </w:p>
    <w:p w14:paraId="2D39EDD5" w14:textId="59F6DFA2" w:rsidR="00AF5F1A" w:rsidRPr="00B16AB4" w:rsidRDefault="0060250A" w:rsidP="00AF5F1A">
      <w:pPr>
        <w:pStyle w:val="NormalWeb"/>
        <w:spacing w:line="480" w:lineRule="auto"/>
        <w:ind w:left="480" w:hanging="480"/>
        <w:divId w:val="1833712093"/>
        <w:rPr>
          <w:i/>
        </w:rPr>
      </w:pPr>
      <w:r w:rsidRPr="00485DD6">
        <w:rPr>
          <w:lang w:val="en-GB"/>
        </w:rPr>
        <w:fldChar w:fldCharType="end"/>
      </w:r>
    </w:p>
    <w:p w14:paraId="4624331E" w14:textId="5BC4D851" w:rsidR="00484A96" w:rsidRDefault="00484A96" w:rsidP="00484A96">
      <w:pPr>
        <w:divId w:val="1212186410"/>
      </w:pPr>
    </w:p>
    <w:p w14:paraId="75C9EBDF" w14:textId="77777777" w:rsidR="00484A96" w:rsidRDefault="00484A96" w:rsidP="00484A96">
      <w:pPr>
        <w:divId w:val="1212186410"/>
      </w:pPr>
    </w:p>
    <w:tbl>
      <w:tblPr>
        <w:tblpPr w:leftFromText="180" w:rightFromText="180" w:vertAnchor="text" w:horzAnchor="margin" w:tblpXSpec="center" w:tblpY="140"/>
        <w:tblW w:w="6593" w:type="dxa"/>
        <w:tblLook w:val="04A0" w:firstRow="1" w:lastRow="0" w:firstColumn="1" w:lastColumn="0" w:noHBand="0" w:noVBand="1"/>
      </w:tblPr>
      <w:tblGrid>
        <w:gridCol w:w="2131"/>
        <w:gridCol w:w="271"/>
        <w:gridCol w:w="2409"/>
        <w:gridCol w:w="271"/>
        <w:gridCol w:w="1240"/>
        <w:gridCol w:w="271"/>
      </w:tblGrid>
      <w:tr w:rsidR="00484A96" w:rsidRPr="00EF28DC" w14:paraId="4315C38E" w14:textId="77777777" w:rsidTr="00484A96">
        <w:trPr>
          <w:divId w:val="1212186410"/>
          <w:trHeight w:val="300"/>
        </w:trPr>
        <w:tc>
          <w:tcPr>
            <w:tcW w:w="6593" w:type="dxa"/>
            <w:gridSpan w:val="6"/>
            <w:tcBorders>
              <w:top w:val="nil"/>
              <w:left w:val="nil"/>
              <w:bottom w:val="single" w:sz="4" w:space="0" w:color="auto"/>
              <w:right w:val="nil"/>
            </w:tcBorders>
            <w:shd w:val="clear" w:color="000000" w:fill="FFFFFF"/>
            <w:noWrap/>
            <w:vAlign w:val="bottom"/>
            <w:hideMark/>
          </w:tcPr>
          <w:p w14:paraId="5E6AD261"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Table 1. Descriptive information for present study sample (N=5,938)</w:t>
            </w:r>
          </w:p>
        </w:tc>
      </w:tr>
      <w:tr w:rsidR="00484A96" w:rsidRPr="00EF28DC" w14:paraId="3F84F0CB"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34FC0324"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43114CC7"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single" w:sz="4" w:space="0" w:color="auto"/>
              <w:right w:val="nil"/>
            </w:tcBorders>
            <w:shd w:val="clear" w:color="000000" w:fill="FFFFFF"/>
            <w:noWrap/>
            <w:vAlign w:val="bottom"/>
            <w:hideMark/>
          </w:tcPr>
          <w:p w14:paraId="09BB39D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N</w:t>
            </w:r>
          </w:p>
        </w:tc>
        <w:tc>
          <w:tcPr>
            <w:tcW w:w="271" w:type="dxa"/>
            <w:tcBorders>
              <w:top w:val="nil"/>
              <w:left w:val="nil"/>
              <w:bottom w:val="nil"/>
              <w:right w:val="nil"/>
            </w:tcBorders>
            <w:shd w:val="clear" w:color="000000" w:fill="FFFFFF"/>
            <w:noWrap/>
            <w:vAlign w:val="bottom"/>
            <w:hideMark/>
          </w:tcPr>
          <w:p w14:paraId="6EA60AB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single" w:sz="4" w:space="0" w:color="auto"/>
              <w:right w:val="nil"/>
            </w:tcBorders>
            <w:shd w:val="clear" w:color="000000" w:fill="FFFFFF"/>
            <w:noWrap/>
            <w:vAlign w:val="bottom"/>
            <w:hideMark/>
          </w:tcPr>
          <w:p w14:paraId="72F6487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w:t>
            </w:r>
          </w:p>
        </w:tc>
        <w:tc>
          <w:tcPr>
            <w:tcW w:w="271" w:type="dxa"/>
            <w:tcBorders>
              <w:top w:val="nil"/>
              <w:left w:val="nil"/>
              <w:bottom w:val="nil"/>
              <w:right w:val="nil"/>
            </w:tcBorders>
            <w:shd w:val="clear" w:color="000000" w:fill="FFFFFF"/>
            <w:noWrap/>
            <w:vAlign w:val="bottom"/>
            <w:hideMark/>
          </w:tcPr>
          <w:p w14:paraId="6D465DA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4AB06547" w14:textId="77777777" w:rsidTr="00484A96">
        <w:trPr>
          <w:divId w:val="1212186410"/>
          <w:trHeight w:val="300"/>
        </w:trPr>
        <w:tc>
          <w:tcPr>
            <w:tcW w:w="2402" w:type="dxa"/>
            <w:gridSpan w:val="2"/>
            <w:tcBorders>
              <w:top w:val="nil"/>
              <w:left w:val="nil"/>
              <w:bottom w:val="nil"/>
              <w:right w:val="nil"/>
            </w:tcBorders>
            <w:shd w:val="clear" w:color="000000" w:fill="FFFFFF"/>
            <w:noWrap/>
            <w:vAlign w:val="bottom"/>
            <w:hideMark/>
          </w:tcPr>
          <w:p w14:paraId="6A167D13" w14:textId="77777777" w:rsidR="00484A96" w:rsidRPr="00EF28DC" w:rsidRDefault="00484A96" w:rsidP="00E22D45">
            <w:pPr>
              <w:rPr>
                <w:rFonts w:eastAsia="Times New Roman"/>
                <w:i/>
                <w:iCs/>
                <w:color w:val="000000"/>
                <w:sz w:val="22"/>
                <w:szCs w:val="22"/>
                <w:lang w:val="en-US"/>
              </w:rPr>
            </w:pPr>
            <w:r w:rsidRPr="00EF28DC">
              <w:rPr>
                <w:rFonts w:eastAsia="Times New Roman"/>
                <w:i/>
                <w:iCs/>
                <w:color w:val="000000"/>
                <w:sz w:val="22"/>
                <w:szCs w:val="22"/>
                <w:lang w:val="en-US"/>
              </w:rPr>
              <w:t>Generational status</w:t>
            </w:r>
          </w:p>
        </w:tc>
        <w:tc>
          <w:tcPr>
            <w:tcW w:w="2409" w:type="dxa"/>
            <w:tcBorders>
              <w:top w:val="nil"/>
              <w:left w:val="nil"/>
              <w:bottom w:val="nil"/>
              <w:right w:val="nil"/>
            </w:tcBorders>
            <w:shd w:val="clear" w:color="000000" w:fill="FFFFFF"/>
            <w:noWrap/>
            <w:vAlign w:val="bottom"/>
            <w:hideMark/>
          </w:tcPr>
          <w:p w14:paraId="7BC9403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72B1FAB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30EC0BE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6A90A90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0C81B61E"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6C2A2D6E"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First</w:t>
            </w:r>
          </w:p>
        </w:tc>
        <w:tc>
          <w:tcPr>
            <w:tcW w:w="271" w:type="dxa"/>
            <w:tcBorders>
              <w:top w:val="nil"/>
              <w:left w:val="nil"/>
              <w:bottom w:val="nil"/>
              <w:right w:val="nil"/>
            </w:tcBorders>
            <w:shd w:val="clear" w:color="000000" w:fill="FFFFFF"/>
            <w:noWrap/>
            <w:vAlign w:val="bottom"/>
            <w:hideMark/>
          </w:tcPr>
          <w:p w14:paraId="291DD098"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77D825F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2, 238</w:t>
            </w:r>
          </w:p>
        </w:tc>
        <w:tc>
          <w:tcPr>
            <w:tcW w:w="271" w:type="dxa"/>
            <w:tcBorders>
              <w:top w:val="nil"/>
              <w:left w:val="nil"/>
              <w:bottom w:val="nil"/>
              <w:right w:val="nil"/>
            </w:tcBorders>
            <w:shd w:val="clear" w:color="000000" w:fill="FFFFFF"/>
            <w:noWrap/>
            <w:vAlign w:val="bottom"/>
            <w:hideMark/>
          </w:tcPr>
          <w:p w14:paraId="3A35714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2F46ECF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37.69</w:t>
            </w:r>
          </w:p>
        </w:tc>
        <w:tc>
          <w:tcPr>
            <w:tcW w:w="271" w:type="dxa"/>
            <w:tcBorders>
              <w:top w:val="nil"/>
              <w:left w:val="nil"/>
              <w:bottom w:val="nil"/>
              <w:right w:val="nil"/>
            </w:tcBorders>
            <w:shd w:val="clear" w:color="000000" w:fill="FFFFFF"/>
            <w:noWrap/>
            <w:vAlign w:val="bottom"/>
            <w:hideMark/>
          </w:tcPr>
          <w:p w14:paraId="4EFE4AA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0A6B95B9"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67345624"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Second</w:t>
            </w:r>
          </w:p>
        </w:tc>
        <w:tc>
          <w:tcPr>
            <w:tcW w:w="271" w:type="dxa"/>
            <w:tcBorders>
              <w:top w:val="nil"/>
              <w:left w:val="nil"/>
              <w:bottom w:val="nil"/>
              <w:right w:val="nil"/>
            </w:tcBorders>
            <w:shd w:val="clear" w:color="000000" w:fill="FFFFFF"/>
            <w:noWrap/>
            <w:vAlign w:val="bottom"/>
            <w:hideMark/>
          </w:tcPr>
          <w:p w14:paraId="5DD99A9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000C61D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989</w:t>
            </w:r>
          </w:p>
        </w:tc>
        <w:tc>
          <w:tcPr>
            <w:tcW w:w="271" w:type="dxa"/>
            <w:tcBorders>
              <w:top w:val="nil"/>
              <w:left w:val="nil"/>
              <w:bottom w:val="nil"/>
              <w:right w:val="nil"/>
            </w:tcBorders>
            <w:shd w:val="clear" w:color="000000" w:fill="FFFFFF"/>
            <w:noWrap/>
            <w:vAlign w:val="bottom"/>
            <w:hideMark/>
          </w:tcPr>
          <w:p w14:paraId="7611ED1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28C1547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16.66</w:t>
            </w:r>
          </w:p>
        </w:tc>
        <w:tc>
          <w:tcPr>
            <w:tcW w:w="271" w:type="dxa"/>
            <w:tcBorders>
              <w:top w:val="nil"/>
              <w:left w:val="nil"/>
              <w:bottom w:val="nil"/>
              <w:right w:val="nil"/>
            </w:tcBorders>
            <w:shd w:val="clear" w:color="000000" w:fill="FFFFFF"/>
            <w:noWrap/>
            <w:vAlign w:val="bottom"/>
            <w:hideMark/>
          </w:tcPr>
          <w:p w14:paraId="1BD30B7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0F967AE1"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5C5B843E"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Native</w:t>
            </w:r>
          </w:p>
        </w:tc>
        <w:tc>
          <w:tcPr>
            <w:tcW w:w="271" w:type="dxa"/>
            <w:tcBorders>
              <w:top w:val="nil"/>
              <w:left w:val="nil"/>
              <w:bottom w:val="nil"/>
              <w:right w:val="nil"/>
            </w:tcBorders>
            <w:shd w:val="clear" w:color="000000" w:fill="FFFFFF"/>
            <w:noWrap/>
            <w:vAlign w:val="bottom"/>
            <w:hideMark/>
          </w:tcPr>
          <w:p w14:paraId="3DED148B"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4B39E00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2,711</w:t>
            </w:r>
          </w:p>
        </w:tc>
        <w:tc>
          <w:tcPr>
            <w:tcW w:w="271" w:type="dxa"/>
            <w:tcBorders>
              <w:top w:val="nil"/>
              <w:left w:val="nil"/>
              <w:bottom w:val="nil"/>
              <w:right w:val="nil"/>
            </w:tcBorders>
            <w:shd w:val="clear" w:color="000000" w:fill="FFFFFF"/>
            <w:noWrap/>
            <w:vAlign w:val="bottom"/>
            <w:hideMark/>
          </w:tcPr>
          <w:p w14:paraId="06553E7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0F4A631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45.66</w:t>
            </w:r>
          </w:p>
        </w:tc>
        <w:tc>
          <w:tcPr>
            <w:tcW w:w="271" w:type="dxa"/>
            <w:tcBorders>
              <w:top w:val="nil"/>
              <w:left w:val="nil"/>
              <w:bottom w:val="nil"/>
              <w:right w:val="nil"/>
            </w:tcBorders>
            <w:shd w:val="clear" w:color="000000" w:fill="FFFFFF"/>
            <w:noWrap/>
            <w:vAlign w:val="bottom"/>
            <w:hideMark/>
          </w:tcPr>
          <w:p w14:paraId="33C7B5C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4D4F5A71"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1AF4B174" w14:textId="77777777" w:rsidR="00484A96" w:rsidRPr="00EF28DC" w:rsidRDefault="00484A96" w:rsidP="00E22D45">
            <w:pPr>
              <w:rPr>
                <w:rFonts w:eastAsia="Times New Roman"/>
                <w:i/>
                <w:iCs/>
                <w:color w:val="000000"/>
                <w:sz w:val="22"/>
                <w:szCs w:val="22"/>
                <w:lang w:val="en-US"/>
              </w:rPr>
            </w:pPr>
            <w:r w:rsidRPr="00EF28DC">
              <w:rPr>
                <w:rFonts w:eastAsia="Times New Roman"/>
                <w:i/>
                <w:iCs/>
                <w:color w:val="000000"/>
                <w:sz w:val="22"/>
                <w:szCs w:val="22"/>
                <w:lang w:val="en-US"/>
              </w:rPr>
              <w:t>Gender</w:t>
            </w:r>
          </w:p>
        </w:tc>
        <w:tc>
          <w:tcPr>
            <w:tcW w:w="271" w:type="dxa"/>
            <w:tcBorders>
              <w:top w:val="nil"/>
              <w:left w:val="nil"/>
              <w:bottom w:val="nil"/>
              <w:right w:val="nil"/>
            </w:tcBorders>
            <w:shd w:val="clear" w:color="000000" w:fill="FFFFFF"/>
            <w:noWrap/>
            <w:vAlign w:val="bottom"/>
            <w:hideMark/>
          </w:tcPr>
          <w:p w14:paraId="38486CF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4D88C73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34FB5D8"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73FFD4A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388E7C9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462ABBD9"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784D7EDC"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Male</w:t>
            </w:r>
          </w:p>
        </w:tc>
        <w:tc>
          <w:tcPr>
            <w:tcW w:w="271" w:type="dxa"/>
            <w:tcBorders>
              <w:top w:val="nil"/>
              <w:left w:val="nil"/>
              <w:bottom w:val="nil"/>
              <w:right w:val="nil"/>
            </w:tcBorders>
            <w:shd w:val="clear" w:color="000000" w:fill="FFFFFF"/>
            <w:noWrap/>
            <w:vAlign w:val="bottom"/>
            <w:hideMark/>
          </w:tcPr>
          <w:p w14:paraId="5008A7A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77144A2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2,773</w:t>
            </w:r>
          </w:p>
        </w:tc>
        <w:tc>
          <w:tcPr>
            <w:tcW w:w="271" w:type="dxa"/>
            <w:tcBorders>
              <w:top w:val="nil"/>
              <w:left w:val="nil"/>
              <w:bottom w:val="nil"/>
              <w:right w:val="nil"/>
            </w:tcBorders>
            <w:shd w:val="clear" w:color="000000" w:fill="FFFFFF"/>
            <w:noWrap/>
            <w:vAlign w:val="bottom"/>
            <w:hideMark/>
          </w:tcPr>
          <w:p w14:paraId="606E3CA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001A5F7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46.7</w:t>
            </w:r>
          </w:p>
        </w:tc>
        <w:tc>
          <w:tcPr>
            <w:tcW w:w="271" w:type="dxa"/>
            <w:tcBorders>
              <w:top w:val="nil"/>
              <w:left w:val="nil"/>
              <w:bottom w:val="nil"/>
              <w:right w:val="nil"/>
            </w:tcBorders>
            <w:shd w:val="clear" w:color="000000" w:fill="FFFFFF"/>
            <w:noWrap/>
            <w:vAlign w:val="bottom"/>
            <w:hideMark/>
          </w:tcPr>
          <w:p w14:paraId="0ECC141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375E9DC7"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70755CB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Female</w:t>
            </w:r>
          </w:p>
        </w:tc>
        <w:tc>
          <w:tcPr>
            <w:tcW w:w="271" w:type="dxa"/>
            <w:tcBorders>
              <w:top w:val="nil"/>
              <w:left w:val="nil"/>
              <w:bottom w:val="nil"/>
              <w:right w:val="nil"/>
            </w:tcBorders>
            <w:shd w:val="clear" w:color="000000" w:fill="FFFFFF"/>
            <w:noWrap/>
            <w:vAlign w:val="bottom"/>
            <w:hideMark/>
          </w:tcPr>
          <w:p w14:paraId="61729F3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0552C67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3,165</w:t>
            </w:r>
          </w:p>
        </w:tc>
        <w:tc>
          <w:tcPr>
            <w:tcW w:w="271" w:type="dxa"/>
            <w:tcBorders>
              <w:top w:val="nil"/>
              <w:left w:val="nil"/>
              <w:bottom w:val="nil"/>
              <w:right w:val="nil"/>
            </w:tcBorders>
            <w:shd w:val="clear" w:color="000000" w:fill="FFFFFF"/>
            <w:noWrap/>
            <w:vAlign w:val="bottom"/>
            <w:hideMark/>
          </w:tcPr>
          <w:p w14:paraId="53939F2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614CE37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53.3</w:t>
            </w:r>
          </w:p>
        </w:tc>
        <w:tc>
          <w:tcPr>
            <w:tcW w:w="271" w:type="dxa"/>
            <w:tcBorders>
              <w:top w:val="nil"/>
              <w:left w:val="nil"/>
              <w:bottom w:val="nil"/>
              <w:right w:val="nil"/>
            </w:tcBorders>
            <w:shd w:val="clear" w:color="000000" w:fill="FFFFFF"/>
            <w:noWrap/>
            <w:vAlign w:val="bottom"/>
            <w:hideMark/>
          </w:tcPr>
          <w:p w14:paraId="5DC05A8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639E8367"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43D7AADE" w14:textId="77777777" w:rsidR="00484A96" w:rsidRPr="00EF28DC" w:rsidRDefault="00484A96" w:rsidP="00E22D45">
            <w:pPr>
              <w:rPr>
                <w:rFonts w:eastAsia="Times New Roman"/>
                <w:i/>
                <w:iCs/>
                <w:color w:val="000000"/>
                <w:sz w:val="22"/>
                <w:szCs w:val="22"/>
                <w:lang w:val="en-US"/>
              </w:rPr>
            </w:pPr>
            <w:r w:rsidRPr="00EF28DC">
              <w:rPr>
                <w:rFonts w:eastAsia="Times New Roman"/>
                <w:i/>
                <w:iCs/>
                <w:color w:val="000000"/>
                <w:sz w:val="22"/>
                <w:szCs w:val="22"/>
                <w:lang w:val="en-US"/>
              </w:rPr>
              <w:t>Ethnicity</w:t>
            </w:r>
          </w:p>
        </w:tc>
        <w:tc>
          <w:tcPr>
            <w:tcW w:w="271" w:type="dxa"/>
            <w:tcBorders>
              <w:top w:val="nil"/>
              <w:left w:val="nil"/>
              <w:bottom w:val="nil"/>
              <w:right w:val="nil"/>
            </w:tcBorders>
            <w:shd w:val="clear" w:color="000000" w:fill="FFFFFF"/>
            <w:noWrap/>
            <w:vAlign w:val="bottom"/>
            <w:hideMark/>
          </w:tcPr>
          <w:p w14:paraId="43C2DCBE"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259B338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4E15697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267C9BE8"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575CF4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3DA0C963"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5323FCBB"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Asian</w:t>
            </w:r>
          </w:p>
        </w:tc>
        <w:tc>
          <w:tcPr>
            <w:tcW w:w="271" w:type="dxa"/>
            <w:tcBorders>
              <w:top w:val="nil"/>
              <w:left w:val="nil"/>
              <w:bottom w:val="nil"/>
              <w:right w:val="nil"/>
            </w:tcBorders>
            <w:shd w:val="clear" w:color="000000" w:fill="FFFFFF"/>
            <w:noWrap/>
            <w:vAlign w:val="bottom"/>
            <w:hideMark/>
          </w:tcPr>
          <w:p w14:paraId="26A36482"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6553892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2,058</w:t>
            </w:r>
          </w:p>
        </w:tc>
        <w:tc>
          <w:tcPr>
            <w:tcW w:w="271" w:type="dxa"/>
            <w:tcBorders>
              <w:top w:val="nil"/>
              <w:left w:val="nil"/>
              <w:bottom w:val="nil"/>
              <w:right w:val="nil"/>
            </w:tcBorders>
            <w:shd w:val="clear" w:color="000000" w:fill="FFFFFF"/>
            <w:noWrap/>
            <w:vAlign w:val="bottom"/>
            <w:hideMark/>
          </w:tcPr>
          <w:p w14:paraId="50C139F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1FD8A2C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34.66</w:t>
            </w:r>
          </w:p>
        </w:tc>
        <w:tc>
          <w:tcPr>
            <w:tcW w:w="271" w:type="dxa"/>
            <w:tcBorders>
              <w:top w:val="nil"/>
              <w:left w:val="nil"/>
              <w:bottom w:val="nil"/>
              <w:right w:val="nil"/>
            </w:tcBorders>
            <w:shd w:val="clear" w:color="000000" w:fill="FFFFFF"/>
            <w:noWrap/>
            <w:vAlign w:val="bottom"/>
            <w:hideMark/>
          </w:tcPr>
          <w:p w14:paraId="54EA5A8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6AABA4A7"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5C5A9F99"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Caucasian</w:t>
            </w:r>
          </w:p>
        </w:tc>
        <w:tc>
          <w:tcPr>
            <w:tcW w:w="271" w:type="dxa"/>
            <w:tcBorders>
              <w:top w:val="nil"/>
              <w:left w:val="nil"/>
              <w:bottom w:val="nil"/>
              <w:right w:val="nil"/>
            </w:tcBorders>
            <w:shd w:val="clear" w:color="000000" w:fill="FFFFFF"/>
            <w:noWrap/>
            <w:vAlign w:val="bottom"/>
            <w:hideMark/>
          </w:tcPr>
          <w:p w14:paraId="1BA9991C"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5463898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2,403</w:t>
            </w:r>
          </w:p>
        </w:tc>
        <w:tc>
          <w:tcPr>
            <w:tcW w:w="271" w:type="dxa"/>
            <w:tcBorders>
              <w:top w:val="nil"/>
              <w:left w:val="nil"/>
              <w:bottom w:val="nil"/>
              <w:right w:val="nil"/>
            </w:tcBorders>
            <w:shd w:val="clear" w:color="000000" w:fill="FFFFFF"/>
            <w:noWrap/>
            <w:vAlign w:val="bottom"/>
            <w:hideMark/>
          </w:tcPr>
          <w:p w14:paraId="09A10A3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0212B77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40.47</w:t>
            </w:r>
          </w:p>
        </w:tc>
        <w:tc>
          <w:tcPr>
            <w:tcW w:w="271" w:type="dxa"/>
            <w:tcBorders>
              <w:top w:val="nil"/>
              <w:left w:val="nil"/>
              <w:bottom w:val="nil"/>
              <w:right w:val="nil"/>
            </w:tcBorders>
            <w:shd w:val="clear" w:color="000000" w:fill="FFFFFF"/>
            <w:noWrap/>
            <w:vAlign w:val="bottom"/>
            <w:hideMark/>
          </w:tcPr>
          <w:p w14:paraId="2314A93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06B4EF59"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55D88211"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Black</w:t>
            </w:r>
          </w:p>
        </w:tc>
        <w:tc>
          <w:tcPr>
            <w:tcW w:w="271" w:type="dxa"/>
            <w:tcBorders>
              <w:top w:val="nil"/>
              <w:left w:val="nil"/>
              <w:bottom w:val="nil"/>
              <w:right w:val="nil"/>
            </w:tcBorders>
            <w:shd w:val="clear" w:color="000000" w:fill="FFFFFF"/>
            <w:noWrap/>
            <w:vAlign w:val="bottom"/>
            <w:hideMark/>
          </w:tcPr>
          <w:p w14:paraId="6E02B97D"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7992DF2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829</w:t>
            </w:r>
          </w:p>
        </w:tc>
        <w:tc>
          <w:tcPr>
            <w:tcW w:w="271" w:type="dxa"/>
            <w:tcBorders>
              <w:top w:val="nil"/>
              <w:left w:val="nil"/>
              <w:bottom w:val="nil"/>
              <w:right w:val="nil"/>
            </w:tcBorders>
            <w:shd w:val="clear" w:color="000000" w:fill="FFFFFF"/>
            <w:noWrap/>
            <w:vAlign w:val="bottom"/>
            <w:hideMark/>
          </w:tcPr>
          <w:p w14:paraId="1287C6F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7DE9C06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13.96</w:t>
            </w:r>
          </w:p>
        </w:tc>
        <w:tc>
          <w:tcPr>
            <w:tcW w:w="271" w:type="dxa"/>
            <w:tcBorders>
              <w:top w:val="nil"/>
              <w:left w:val="nil"/>
              <w:bottom w:val="nil"/>
              <w:right w:val="nil"/>
            </w:tcBorders>
            <w:shd w:val="clear" w:color="000000" w:fill="FFFFFF"/>
            <w:noWrap/>
            <w:vAlign w:val="bottom"/>
            <w:hideMark/>
          </w:tcPr>
          <w:p w14:paraId="0B884B1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2871C645"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664EDBD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Other</w:t>
            </w:r>
          </w:p>
        </w:tc>
        <w:tc>
          <w:tcPr>
            <w:tcW w:w="271" w:type="dxa"/>
            <w:tcBorders>
              <w:top w:val="nil"/>
              <w:left w:val="nil"/>
              <w:bottom w:val="nil"/>
              <w:right w:val="nil"/>
            </w:tcBorders>
            <w:shd w:val="clear" w:color="000000" w:fill="FFFFFF"/>
            <w:noWrap/>
            <w:vAlign w:val="bottom"/>
            <w:hideMark/>
          </w:tcPr>
          <w:p w14:paraId="7A54648D"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12A25DD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648</w:t>
            </w:r>
          </w:p>
        </w:tc>
        <w:tc>
          <w:tcPr>
            <w:tcW w:w="271" w:type="dxa"/>
            <w:tcBorders>
              <w:top w:val="nil"/>
              <w:left w:val="nil"/>
              <w:bottom w:val="nil"/>
              <w:right w:val="nil"/>
            </w:tcBorders>
            <w:shd w:val="clear" w:color="000000" w:fill="FFFFFF"/>
            <w:noWrap/>
            <w:vAlign w:val="bottom"/>
            <w:hideMark/>
          </w:tcPr>
          <w:p w14:paraId="79F6310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74C2ECE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10.91</w:t>
            </w:r>
          </w:p>
        </w:tc>
        <w:tc>
          <w:tcPr>
            <w:tcW w:w="271" w:type="dxa"/>
            <w:tcBorders>
              <w:top w:val="nil"/>
              <w:left w:val="nil"/>
              <w:bottom w:val="nil"/>
              <w:right w:val="nil"/>
            </w:tcBorders>
            <w:shd w:val="clear" w:color="000000" w:fill="FFFFFF"/>
            <w:noWrap/>
            <w:vAlign w:val="bottom"/>
            <w:hideMark/>
          </w:tcPr>
          <w:p w14:paraId="7506FF0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77DFC383" w14:textId="77777777" w:rsidTr="00484A96">
        <w:trPr>
          <w:divId w:val="1212186410"/>
          <w:trHeight w:val="300"/>
        </w:trPr>
        <w:tc>
          <w:tcPr>
            <w:tcW w:w="2402" w:type="dxa"/>
            <w:gridSpan w:val="2"/>
            <w:tcBorders>
              <w:top w:val="nil"/>
              <w:left w:val="nil"/>
              <w:bottom w:val="nil"/>
              <w:right w:val="nil"/>
            </w:tcBorders>
            <w:shd w:val="clear" w:color="000000" w:fill="FFFFFF"/>
            <w:noWrap/>
            <w:vAlign w:val="bottom"/>
            <w:hideMark/>
          </w:tcPr>
          <w:p w14:paraId="2FD0171D"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Age M(SD), range</w:t>
            </w:r>
          </w:p>
        </w:tc>
        <w:tc>
          <w:tcPr>
            <w:tcW w:w="2409" w:type="dxa"/>
            <w:tcBorders>
              <w:top w:val="nil"/>
              <w:left w:val="nil"/>
              <w:bottom w:val="nil"/>
              <w:right w:val="nil"/>
            </w:tcBorders>
            <w:shd w:val="clear" w:color="000000" w:fill="FFFFFF"/>
            <w:noWrap/>
            <w:vAlign w:val="bottom"/>
            <w:hideMark/>
          </w:tcPr>
          <w:p w14:paraId="5D13896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29.72(6.85)</w:t>
            </w:r>
          </w:p>
        </w:tc>
        <w:tc>
          <w:tcPr>
            <w:tcW w:w="271" w:type="dxa"/>
            <w:tcBorders>
              <w:top w:val="nil"/>
              <w:left w:val="nil"/>
              <w:bottom w:val="nil"/>
              <w:right w:val="nil"/>
            </w:tcBorders>
            <w:shd w:val="clear" w:color="000000" w:fill="FFFFFF"/>
            <w:noWrap/>
            <w:vAlign w:val="bottom"/>
            <w:hideMark/>
          </w:tcPr>
          <w:p w14:paraId="518B146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5F9A810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16-40</w:t>
            </w:r>
          </w:p>
        </w:tc>
        <w:tc>
          <w:tcPr>
            <w:tcW w:w="271" w:type="dxa"/>
            <w:tcBorders>
              <w:top w:val="nil"/>
              <w:left w:val="nil"/>
              <w:bottom w:val="nil"/>
              <w:right w:val="nil"/>
            </w:tcBorders>
            <w:shd w:val="clear" w:color="000000" w:fill="FFFFFF"/>
            <w:noWrap/>
            <w:vAlign w:val="bottom"/>
            <w:hideMark/>
          </w:tcPr>
          <w:p w14:paraId="455563B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493D8F51" w14:textId="77777777" w:rsidTr="00484A96">
        <w:trPr>
          <w:divId w:val="1212186410"/>
          <w:trHeight w:val="300"/>
        </w:trPr>
        <w:tc>
          <w:tcPr>
            <w:tcW w:w="2131" w:type="dxa"/>
            <w:tcBorders>
              <w:top w:val="nil"/>
              <w:left w:val="nil"/>
              <w:bottom w:val="nil"/>
              <w:right w:val="nil"/>
            </w:tcBorders>
            <w:shd w:val="clear" w:color="000000" w:fill="FFFFFF"/>
            <w:noWrap/>
            <w:vAlign w:val="bottom"/>
            <w:hideMark/>
          </w:tcPr>
          <w:p w14:paraId="5E5C7CD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D2E0E83"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409" w:type="dxa"/>
            <w:tcBorders>
              <w:top w:val="nil"/>
              <w:left w:val="nil"/>
              <w:bottom w:val="nil"/>
              <w:right w:val="nil"/>
            </w:tcBorders>
            <w:shd w:val="clear" w:color="000000" w:fill="FFFFFF"/>
            <w:noWrap/>
            <w:vAlign w:val="bottom"/>
            <w:hideMark/>
          </w:tcPr>
          <w:p w14:paraId="0AEF793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200A8468"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240" w:type="dxa"/>
            <w:tcBorders>
              <w:top w:val="nil"/>
              <w:left w:val="nil"/>
              <w:bottom w:val="nil"/>
              <w:right w:val="nil"/>
            </w:tcBorders>
            <w:shd w:val="clear" w:color="000000" w:fill="FFFFFF"/>
            <w:noWrap/>
            <w:vAlign w:val="bottom"/>
            <w:hideMark/>
          </w:tcPr>
          <w:p w14:paraId="4E86578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2D9D14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bl>
    <w:p w14:paraId="59AFF50F" w14:textId="77777777" w:rsidR="00484A96" w:rsidRDefault="00484A96" w:rsidP="00484A96">
      <w:pPr>
        <w:divId w:val="1212186410"/>
      </w:pPr>
    </w:p>
    <w:p w14:paraId="4E592A19" w14:textId="77777777" w:rsidR="00484A96" w:rsidRDefault="00484A96" w:rsidP="00484A96">
      <w:pPr>
        <w:divId w:val="1212186410"/>
      </w:pPr>
    </w:p>
    <w:p w14:paraId="4DB0DF44" w14:textId="77777777" w:rsidR="00484A96" w:rsidRDefault="00484A96" w:rsidP="00484A96">
      <w:pPr>
        <w:divId w:val="1212186410"/>
      </w:pPr>
    </w:p>
    <w:p w14:paraId="157219E9" w14:textId="77777777" w:rsidR="00484A96" w:rsidRDefault="00484A96" w:rsidP="00484A96">
      <w:pPr>
        <w:divId w:val="1212186410"/>
      </w:pPr>
    </w:p>
    <w:p w14:paraId="5558A9D4" w14:textId="77777777" w:rsidR="00484A96" w:rsidRDefault="00484A96" w:rsidP="00484A96">
      <w:pPr>
        <w:divId w:val="1212186410"/>
      </w:pPr>
    </w:p>
    <w:p w14:paraId="45780DF8" w14:textId="77777777" w:rsidR="00484A96" w:rsidRDefault="00484A96" w:rsidP="00484A96">
      <w:pPr>
        <w:divId w:val="1212186410"/>
      </w:pPr>
    </w:p>
    <w:p w14:paraId="29BCC8C6" w14:textId="77777777" w:rsidR="00484A96" w:rsidRDefault="00484A96" w:rsidP="00484A96">
      <w:pPr>
        <w:divId w:val="1212186410"/>
      </w:pPr>
    </w:p>
    <w:p w14:paraId="4A6F1A10" w14:textId="77777777" w:rsidR="00484A96" w:rsidRDefault="00484A96" w:rsidP="00484A96">
      <w:pPr>
        <w:divId w:val="1212186410"/>
      </w:pPr>
    </w:p>
    <w:p w14:paraId="2347B241" w14:textId="77777777" w:rsidR="00484A96" w:rsidRDefault="00484A96" w:rsidP="00484A96">
      <w:pPr>
        <w:divId w:val="1212186410"/>
      </w:pPr>
    </w:p>
    <w:p w14:paraId="108E244F" w14:textId="77777777" w:rsidR="00484A96" w:rsidRDefault="00484A96" w:rsidP="00484A96">
      <w:pPr>
        <w:divId w:val="1212186410"/>
      </w:pPr>
    </w:p>
    <w:p w14:paraId="3813A31F" w14:textId="77777777" w:rsidR="00484A96" w:rsidRDefault="00484A96" w:rsidP="00484A96">
      <w:pPr>
        <w:divId w:val="1212186410"/>
      </w:pPr>
    </w:p>
    <w:p w14:paraId="6465AD7B" w14:textId="77777777" w:rsidR="00484A96" w:rsidRDefault="00484A96" w:rsidP="00484A96">
      <w:pPr>
        <w:divId w:val="1212186410"/>
      </w:pPr>
    </w:p>
    <w:p w14:paraId="2BBD43FE" w14:textId="77777777" w:rsidR="00484A96" w:rsidRDefault="00484A96" w:rsidP="00484A96">
      <w:pPr>
        <w:divId w:val="1212186410"/>
      </w:pPr>
    </w:p>
    <w:p w14:paraId="16E627DD" w14:textId="77777777" w:rsidR="00484A96" w:rsidRDefault="00484A96" w:rsidP="00484A96">
      <w:pPr>
        <w:divId w:val="1212186410"/>
      </w:pPr>
    </w:p>
    <w:p w14:paraId="169412CB" w14:textId="77777777" w:rsidR="00484A96" w:rsidRDefault="00484A96" w:rsidP="00484A96">
      <w:pPr>
        <w:divId w:val="1212186410"/>
      </w:pPr>
    </w:p>
    <w:p w14:paraId="49A1B07D" w14:textId="77777777" w:rsidR="00484A96" w:rsidRDefault="00484A96" w:rsidP="00484A96">
      <w:pPr>
        <w:divId w:val="1212186410"/>
      </w:pPr>
    </w:p>
    <w:p w14:paraId="5AFC94D5" w14:textId="77777777" w:rsidR="00484A96" w:rsidRDefault="00484A96" w:rsidP="00484A96">
      <w:pPr>
        <w:divId w:val="1212186410"/>
      </w:pPr>
    </w:p>
    <w:p w14:paraId="26E69F06" w14:textId="77777777" w:rsidR="00484A96" w:rsidRDefault="00484A96" w:rsidP="00484A96">
      <w:pPr>
        <w:divId w:val="1212186410"/>
      </w:pPr>
    </w:p>
    <w:p w14:paraId="786F7561" w14:textId="77777777" w:rsidR="00484A96" w:rsidRDefault="00484A96" w:rsidP="00484A96">
      <w:pPr>
        <w:divId w:val="1212186410"/>
      </w:pPr>
    </w:p>
    <w:p w14:paraId="66F70006" w14:textId="77777777" w:rsidR="00484A96" w:rsidRDefault="00484A96" w:rsidP="00484A96">
      <w:pPr>
        <w:divId w:val="1212186410"/>
      </w:pPr>
    </w:p>
    <w:p w14:paraId="2CC8D4B3" w14:textId="77777777" w:rsidR="00484A96" w:rsidRDefault="00484A96" w:rsidP="00484A96">
      <w:pPr>
        <w:divId w:val="1212186410"/>
      </w:pPr>
    </w:p>
    <w:p w14:paraId="2F94ADCC" w14:textId="77777777" w:rsidR="00484A96" w:rsidRDefault="00484A96" w:rsidP="00484A96">
      <w:pPr>
        <w:divId w:val="1212186410"/>
      </w:pPr>
    </w:p>
    <w:p w14:paraId="75DC2B9F" w14:textId="77777777" w:rsidR="00484A96" w:rsidRDefault="00484A96" w:rsidP="00484A96">
      <w:pPr>
        <w:divId w:val="1212186410"/>
      </w:pPr>
    </w:p>
    <w:p w14:paraId="738C37E3" w14:textId="004CB0D3" w:rsidR="00484A96" w:rsidRDefault="00484A96" w:rsidP="00484A96">
      <w:pPr>
        <w:divId w:val="1212186410"/>
        <w:sectPr w:rsidR="00484A96" w:rsidSect="00BF672E">
          <w:headerReference w:type="even" r:id="rId8"/>
          <w:headerReference w:type="default" r:id="rId9"/>
          <w:pgSz w:w="12240" w:h="15840"/>
          <w:pgMar w:top="1440" w:right="1800" w:bottom="1440" w:left="1800" w:header="720" w:footer="720" w:gutter="0"/>
          <w:cols w:space="720"/>
          <w:docGrid w:linePitch="360"/>
        </w:sectPr>
      </w:pPr>
    </w:p>
    <w:p w14:paraId="6548E6A4" w14:textId="77777777" w:rsidR="00484A96" w:rsidRDefault="00484A96" w:rsidP="00484A96">
      <w:pPr>
        <w:divId w:val="1212186410"/>
      </w:pPr>
    </w:p>
    <w:p w14:paraId="38C50010" w14:textId="77777777" w:rsidR="00484A96" w:rsidRDefault="00484A96" w:rsidP="00484A96">
      <w:pPr>
        <w:divId w:val="1212186410"/>
      </w:pPr>
    </w:p>
    <w:p w14:paraId="78A04186" w14:textId="77777777" w:rsidR="00484A96" w:rsidRDefault="00484A96" w:rsidP="00484A96">
      <w:pPr>
        <w:divId w:val="1212186410"/>
      </w:pPr>
    </w:p>
    <w:tbl>
      <w:tblPr>
        <w:tblpPr w:leftFromText="180" w:rightFromText="180" w:vertAnchor="text" w:horzAnchor="margin" w:tblpY="90"/>
        <w:tblW w:w="12314" w:type="dxa"/>
        <w:tblLook w:val="04A0" w:firstRow="1" w:lastRow="0" w:firstColumn="1" w:lastColumn="0" w:noHBand="0" w:noVBand="1"/>
      </w:tblPr>
      <w:tblGrid>
        <w:gridCol w:w="1704"/>
        <w:gridCol w:w="271"/>
        <w:gridCol w:w="904"/>
        <w:gridCol w:w="271"/>
        <w:gridCol w:w="2763"/>
        <w:gridCol w:w="271"/>
        <w:gridCol w:w="2362"/>
        <w:gridCol w:w="271"/>
        <w:gridCol w:w="1477"/>
        <w:gridCol w:w="2020"/>
      </w:tblGrid>
      <w:tr w:rsidR="00484A96" w:rsidRPr="00EF28DC" w14:paraId="0024A6CE" w14:textId="77777777" w:rsidTr="00484A96">
        <w:trPr>
          <w:divId w:val="1212186410"/>
          <w:trHeight w:val="300"/>
        </w:trPr>
        <w:tc>
          <w:tcPr>
            <w:tcW w:w="10294" w:type="dxa"/>
            <w:gridSpan w:val="9"/>
            <w:tcBorders>
              <w:top w:val="nil"/>
              <w:left w:val="nil"/>
              <w:bottom w:val="single" w:sz="4" w:space="0" w:color="auto"/>
              <w:right w:val="nil"/>
            </w:tcBorders>
            <w:shd w:val="clear" w:color="000000" w:fill="FFFFFF"/>
            <w:noWrap/>
            <w:vAlign w:val="bottom"/>
            <w:hideMark/>
          </w:tcPr>
          <w:p w14:paraId="36FE981C" w14:textId="77777777" w:rsidR="00484A96" w:rsidRPr="00EF28DC" w:rsidRDefault="00484A96" w:rsidP="00E22D45">
            <w:pPr>
              <w:rPr>
                <w:rFonts w:eastAsia="Times New Roman"/>
                <w:color w:val="000000"/>
                <w:sz w:val="22"/>
                <w:szCs w:val="22"/>
                <w:lang w:val="en-US"/>
              </w:rPr>
            </w:pPr>
            <w:r>
              <w:rPr>
                <w:rFonts w:eastAsia="Times New Roman"/>
                <w:color w:val="000000"/>
                <w:sz w:val="22"/>
                <w:szCs w:val="22"/>
                <w:lang w:val="en-US"/>
              </w:rPr>
              <w:t>Table 2. Prevalence</w:t>
            </w:r>
            <w:r w:rsidRPr="00EF28DC">
              <w:rPr>
                <w:rFonts w:eastAsia="Times New Roman"/>
                <w:color w:val="000000"/>
                <w:sz w:val="22"/>
                <w:szCs w:val="22"/>
                <w:lang w:val="en-US"/>
              </w:rPr>
              <w:t xml:space="preserve"> and strength of relationship between generational status and pro-violence attitudes</w:t>
            </w:r>
          </w:p>
        </w:tc>
        <w:tc>
          <w:tcPr>
            <w:tcW w:w="2020" w:type="dxa"/>
            <w:tcBorders>
              <w:top w:val="nil"/>
              <w:left w:val="nil"/>
              <w:bottom w:val="single" w:sz="4" w:space="0" w:color="auto"/>
              <w:right w:val="nil"/>
            </w:tcBorders>
            <w:shd w:val="clear" w:color="000000" w:fill="FFFFFF"/>
            <w:noWrap/>
            <w:vAlign w:val="bottom"/>
            <w:hideMark/>
          </w:tcPr>
          <w:p w14:paraId="601E295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0E6191E2" w14:textId="77777777" w:rsidTr="00484A96">
        <w:trPr>
          <w:divId w:val="1212186410"/>
          <w:trHeight w:val="510"/>
        </w:trPr>
        <w:tc>
          <w:tcPr>
            <w:tcW w:w="1704" w:type="dxa"/>
            <w:tcBorders>
              <w:top w:val="nil"/>
              <w:left w:val="nil"/>
              <w:bottom w:val="nil"/>
              <w:right w:val="nil"/>
            </w:tcBorders>
            <w:shd w:val="clear" w:color="000000" w:fill="FFFFFF"/>
            <w:noWrap/>
            <w:vAlign w:val="bottom"/>
            <w:hideMark/>
          </w:tcPr>
          <w:p w14:paraId="191FE928"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78405F79"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904" w:type="dxa"/>
            <w:tcBorders>
              <w:top w:val="nil"/>
              <w:left w:val="nil"/>
              <w:bottom w:val="single" w:sz="4" w:space="0" w:color="auto"/>
              <w:right w:val="nil"/>
            </w:tcBorders>
            <w:shd w:val="clear" w:color="000000" w:fill="FFFFFF"/>
            <w:noWrap/>
            <w:vAlign w:val="bottom"/>
            <w:hideMark/>
          </w:tcPr>
          <w:p w14:paraId="589B992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N</w:t>
            </w:r>
          </w:p>
        </w:tc>
        <w:tc>
          <w:tcPr>
            <w:tcW w:w="271" w:type="dxa"/>
            <w:tcBorders>
              <w:top w:val="nil"/>
              <w:left w:val="nil"/>
              <w:bottom w:val="nil"/>
              <w:right w:val="nil"/>
            </w:tcBorders>
            <w:shd w:val="clear" w:color="000000" w:fill="FFFFFF"/>
            <w:noWrap/>
            <w:vAlign w:val="bottom"/>
            <w:hideMark/>
          </w:tcPr>
          <w:p w14:paraId="644F444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63" w:type="dxa"/>
            <w:tcBorders>
              <w:top w:val="nil"/>
              <w:left w:val="nil"/>
              <w:bottom w:val="nil"/>
              <w:right w:val="nil"/>
            </w:tcBorders>
            <w:shd w:val="clear" w:color="000000" w:fill="FFFFFF"/>
            <w:noWrap/>
            <w:vAlign w:val="bottom"/>
            <w:hideMark/>
          </w:tcPr>
          <w:p w14:paraId="4FFC6E0E"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N and % Pro</w:t>
            </w:r>
            <w:r>
              <w:rPr>
                <w:rFonts w:eastAsia="Times New Roman"/>
                <w:color w:val="000000"/>
                <w:sz w:val="22"/>
                <w:szCs w:val="22"/>
                <w:u w:val="single"/>
                <w:lang w:val="en-US"/>
              </w:rPr>
              <w:t>-</w:t>
            </w:r>
            <w:r w:rsidRPr="00EF28DC">
              <w:rPr>
                <w:rFonts w:eastAsia="Times New Roman"/>
                <w:color w:val="000000"/>
                <w:sz w:val="22"/>
                <w:szCs w:val="22"/>
                <w:u w:val="single"/>
                <w:lang w:val="en-US"/>
              </w:rPr>
              <w:t>violent</w:t>
            </w:r>
          </w:p>
        </w:tc>
        <w:tc>
          <w:tcPr>
            <w:tcW w:w="271" w:type="dxa"/>
            <w:tcBorders>
              <w:top w:val="nil"/>
              <w:left w:val="nil"/>
              <w:bottom w:val="nil"/>
              <w:right w:val="nil"/>
            </w:tcBorders>
            <w:shd w:val="clear" w:color="000000" w:fill="FFFFFF"/>
            <w:noWrap/>
            <w:vAlign w:val="bottom"/>
            <w:hideMark/>
          </w:tcPr>
          <w:p w14:paraId="2216E36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362" w:type="dxa"/>
            <w:tcBorders>
              <w:top w:val="nil"/>
              <w:left w:val="nil"/>
              <w:bottom w:val="nil"/>
              <w:right w:val="nil"/>
            </w:tcBorders>
            <w:shd w:val="clear" w:color="000000" w:fill="FFFFFF"/>
            <w:noWrap/>
            <w:vAlign w:val="bottom"/>
            <w:hideMark/>
          </w:tcPr>
          <w:p w14:paraId="631DE756"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OR (95% CI)</w:t>
            </w:r>
          </w:p>
        </w:tc>
        <w:tc>
          <w:tcPr>
            <w:tcW w:w="271" w:type="dxa"/>
            <w:tcBorders>
              <w:top w:val="nil"/>
              <w:left w:val="nil"/>
              <w:bottom w:val="nil"/>
              <w:right w:val="nil"/>
            </w:tcBorders>
            <w:shd w:val="clear" w:color="000000" w:fill="FFFFFF"/>
            <w:noWrap/>
            <w:vAlign w:val="bottom"/>
            <w:hideMark/>
          </w:tcPr>
          <w:p w14:paraId="0D40CC0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3497" w:type="dxa"/>
            <w:gridSpan w:val="2"/>
            <w:tcBorders>
              <w:top w:val="single" w:sz="4" w:space="0" w:color="auto"/>
              <w:left w:val="nil"/>
              <w:bottom w:val="single" w:sz="4" w:space="0" w:color="auto"/>
              <w:right w:val="nil"/>
            </w:tcBorders>
            <w:shd w:val="clear" w:color="000000" w:fill="FFFFFF"/>
            <w:noWrap/>
            <w:vAlign w:val="bottom"/>
            <w:hideMark/>
          </w:tcPr>
          <w:p w14:paraId="09E0C13A"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 xml:space="preserve">        Difference in OR (z-score)</w:t>
            </w:r>
          </w:p>
        </w:tc>
      </w:tr>
      <w:tr w:rsidR="00484A96" w:rsidRPr="00EF28DC" w14:paraId="681FC98B" w14:textId="77777777" w:rsidTr="00484A96">
        <w:trPr>
          <w:divId w:val="1212186410"/>
          <w:trHeight w:val="300"/>
        </w:trPr>
        <w:tc>
          <w:tcPr>
            <w:tcW w:w="1975" w:type="dxa"/>
            <w:gridSpan w:val="2"/>
            <w:tcBorders>
              <w:top w:val="nil"/>
              <w:left w:val="nil"/>
              <w:bottom w:val="nil"/>
              <w:right w:val="nil"/>
            </w:tcBorders>
            <w:shd w:val="clear" w:color="000000" w:fill="FFFFFF"/>
            <w:noWrap/>
            <w:vAlign w:val="bottom"/>
            <w:hideMark/>
          </w:tcPr>
          <w:p w14:paraId="50264D56" w14:textId="77777777" w:rsidR="00484A96" w:rsidRPr="00EF28DC" w:rsidRDefault="00484A96" w:rsidP="00E22D45">
            <w:pPr>
              <w:rPr>
                <w:rFonts w:eastAsia="Times New Roman"/>
                <w:i/>
                <w:iCs/>
                <w:color w:val="000000"/>
                <w:sz w:val="22"/>
                <w:szCs w:val="22"/>
                <w:lang w:val="en-US"/>
              </w:rPr>
            </w:pPr>
            <w:r w:rsidRPr="00EF28DC">
              <w:rPr>
                <w:rFonts w:eastAsia="Times New Roman"/>
                <w:i/>
                <w:iCs/>
                <w:color w:val="000000"/>
                <w:sz w:val="22"/>
                <w:szCs w:val="22"/>
                <w:lang w:val="en-US"/>
              </w:rPr>
              <w:t>Generational status</w:t>
            </w:r>
          </w:p>
        </w:tc>
        <w:tc>
          <w:tcPr>
            <w:tcW w:w="904" w:type="dxa"/>
            <w:tcBorders>
              <w:top w:val="nil"/>
              <w:left w:val="nil"/>
              <w:bottom w:val="nil"/>
              <w:right w:val="nil"/>
            </w:tcBorders>
            <w:shd w:val="clear" w:color="000000" w:fill="FFFFFF"/>
            <w:noWrap/>
            <w:vAlign w:val="bottom"/>
            <w:hideMark/>
          </w:tcPr>
          <w:p w14:paraId="6871CBF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70AA6F8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63" w:type="dxa"/>
            <w:tcBorders>
              <w:top w:val="nil"/>
              <w:left w:val="nil"/>
              <w:bottom w:val="nil"/>
              <w:right w:val="nil"/>
            </w:tcBorders>
            <w:shd w:val="clear" w:color="000000" w:fill="FFFFFF"/>
            <w:noWrap/>
            <w:vAlign w:val="bottom"/>
            <w:hideMark/>
          </w:tcPr>
          <w:p w14:paraId="5585CC6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0900AD4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362" w:type="dxa"/>
            <w:tcBorders>
              <w:top w:val="nil"/>
              <w:left w:val="nil"/>
              <w:bottom w:val="nil"/>
              <w:right w:val="nil"/>
            </w:tcBorders>
            <w:shd w:val="clear" w:color="000000" w:fill="FFFFFF"/>
            <w:noWrap/>
            <w:vAlign w:val="bottom"/>
            <w:hideMark/>
          </w:tcPr>
          <w:p w14:paraId="7A04F07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2A89AD0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477" w:type="dxa"/>
            <w:tcBorders>
              <w:top w:val="nil"/>
              <w:left w:val="nil"/>
              <w:bottom w:val="nil"/>
              <w:right w:val="nil"/>
            </w:tcBorders>
            <w:shd w:val="clear" w:color="000000" w:fill="FFFFFF"/>
            <w:noWrap/>
            <w:vAlign w:val="bottom"/>
            <w:hideMark/>
          </w:tcPr>
          <w:p w14:paraId="7EBF5DAC"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vs. 2nd</w:t>
            </w:r>
          </w:p>
        </w:tc>
        <w:tc>
          <w:tcPr>
            <w:tcW w:w="2020" w:type="dxa"/>
            <w:tcBorders>
              <w:top w:val="nil"/>
              <w:left w:val="nil"/>
              <w:bottom w:val="nil"/>
              <w:right w:val="nil"/>
            </w:tcBorders>
            <w:shd w:val="clear" w:color="000000" w:fill="FFFFFF"/>
            <w:noWrap/>
            <w:vAlign w:val="bottom"/>
            <w:hideMark/>
          </w:tcPr>
          <w:p w14:paraId="0E798CEB"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vs. Native-born</w:t>
            </w:r>
          </w:p>
        </w:tc>
      </w:tr>
      <w:tr w:rsidR="00484A96" w:rsidRPr="00EF28DC" w14:paraId="32875AC9" w14:textId="77777777" w:rsidTr="00484A96">
        <w:trPr>
          <w:divId w:val="1212186410"/>
          <w:trHeight w:val="300"/>
        </w:trPr>
        <w:tc>
          <w:tcPr>
            <w:tcW w:w="1704" w:type="dxa"/>
            <w:tcBorders>
              <w:top w:val="nil"/>
              <w:left w:val="nil"/>
              <w:bottom w:val="nil"/>
              <w:right w:val="nil"/>
            </w:tcBorders>
            <w:shd w:val="clear" w:color="000000" w:fill="FFFFFF"/>
            <w:noWrap/>
            <w:vAlign w:val="bottom"/>
            <w:hideMark/>
          </w:tcPr>
          <w:p w14:paraId="2683BFDA"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First</w:t>
            </w:r>
          </w:p>
        </w:tc>
        <w:tc>
          <w:tcPr>
            <w:tcW w:w="271" w:type="dxa"/>
            <w:tcBorders>
              <w:top w:val="nil"/>
              <w:left w:val="nil"/>
              <w:bottom w:val="nil"/>
              <w:right w:val="nil"/>
            </w:tcBorders>
            <w:shd w:val="clear" w:color="000000" w:fill="FFFFFF"/>
            <w:noWrap/>
            <w:vAlign w:val="bottom"/>
            <w:hideMark/>
          </w:tcPr>
          <w:p w14:paraId="2763C652"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904" w:type="dxa"/>
            <w:tcBorders>
              <w:top w:val="nil"/>
              <w:left w:val="nil"/>
              <w:bottom w:val="nil"/>
              <w:right w:val="nil"/>
            </w:tcBorders>
            <w:shd w:val="clear" w:color="000000" w:fill="FFFFFF"/>
            <w:noWrap/>
            <w:vAlign w:val="bottom"/>
            <w:hideMark/>
          </w:tcPr>
          <w:p w14:paraId="39BBED2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xml:space="preserve">2, 238 </w:t>
            </w:r>
          </w:p>
        </w:tc>
        <w:tc>
          <w:tcPr>
            <w:tcW w:w="271" w:type="dxa"/>
            <w:tcBorders>
              <w:top w:val="nil"/>
              <w:left w:val="nil"/>
              <w:bottom w:val="nil"/>
              <w:right w:val="nil"/>
            </w:tcBorders>
            <w:shd w:val="clear" w:color="000000" w:fill="FFFFFF"/>
            <w:noWrap/>
            <w:vAlign w:val="bottom"/>
            <w:hideMark/>
          </w:tcPr>
          <w:p w14:paraId="79853E2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63" w:type="dxa"/>
            <w:tcBorders>
              <w:top w:val="nil"/>
              <w:left w:val="nil"/>
              <w:bottom w:val="nil"/>
              <w:right w:val="nil"/>
            </w:tcBorders>
            <w:shd w:val="clear" w:color="000000" w:fill="FFFFFF"/>
            <w:noWrap/>
            <w:vAlign w:val="bottom"/>
            <w:hideMark/>
          </w:tcPr>
          <w:p w14:paraId="07ADD08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204(9.12)</w:t>
            </w:r>
          </w:p>
        </w:tc>
        <w:tc>
          <w:tcPr>
            <w:tcW w:w="271" w:type="dxa"/>
            <w:tcBorders>
              <w:top w:val="nil"/>
              <w:left w:val="nil"/>
              <w:bottom w:val="nil"/>
              <w:right w:val="nil"/>
            </w:tcBorders>
            <w:shd w:val="clear" w:color="000000" w:fill="FFFFFF"/>
            <w:noWrap/>
            <w:vAlign w:val="bottom"/>
            <w:hideMark/>
          </w:tcPr>
          <w:p w14:paraId="3225C92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362" w:type="dxa"/>
            <w:tcBorders>
              <w:top w:val="nil"/>
              <w:left w:val="nil"/>
              <w:bottom w:val="nil"/>
              <w:right w:val="nil"/>
            </w:tcBorders>
            <w:shd w:val="clear" w:color="000000" w:fill="FFFFFF"/>
            <w:noWrap/>
            <w:vAlign w:val="bottom"/>
            <w:hideMark/>
          </w:tcPr>
          <w:p w14:paraId="6EA2852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1.26(1.04-1.52)*</w:t>
            </w:r>
          </w:p>
        </w:tc>
        <w:tc>
          <w:tcPr>
            <w:tcW w:w="271" w:type="dxa"/>
            <w:tcBorders>
              <w:top w:val="nil"/>
              <w:left w:val="nil"/>
              <w:bottom w:val="nil"/>
              <w:right w:val="nil"/>
            </w:tcBorders>
            <w:shd w:val="clear" w:color="000000" w:fill="FFFFFF"/>
            <w:noWrap/>
            <w:vAlign w:val="bottom"/>
            <w:hideMark/>
          </w:tcPr>
          <w:p w14:paraId="6BDC0F6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477" w:type="dxa"/>
            <w:tcBorders>
              <w:top w:val="nil"/>
              <w:left w:val="nil"/>
              <w:bottom w:val="nil"/>
              <w:right w:val="nil"/>
            </w:tcBorders>
            <w:shd w:val="clear" w:color="000000" w:fill="FFFFFF"/>
            <w:noWrap/>
            <w:vAlign w:val="bottom"/>
            <w:hideMark/>
          </w:tcPr>
          <w:p w14:paraId="7447A63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1.19(1.23)</w:t>
            </w:r>
          </w:p>
        </w:tc>
        <w:tc>
          <w:tcPr>
            <w:tcW w:w="2020" w:type="dxa"/>
            <w:tcBorders>
              <w:top w:val="nil"/>
              <w:left w:val="nil"/>
              <w:bottom w:val="nil"/>
              <w:right w:val="nil"/>
            </w:tcBorders>
            <w:shd w:val="clear" w:color="000000" w:fill="FFFFFF"/>
            <w:noWrap/>
            <w:vAlign w:val="bottom"/>
            <w:hideMark/>
          </w:tcPr>
          <w:p w14:paraId="7BC0E7B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1.29(2.42)*</w:t>
            </w:r>
          </w:p>
        </w:tc>
      </w:tr>
      <w:tr w:rsidR="00484A96" w:rsidRPr="00EF28DC" w14:paraId="21B2D0C4" w14:textId="77777777" w:rsidTr="00484A96">
        <w:trPr>
          <w:divId w:val="1212186410"/>
          <w:trHeight w:val="300"/>
        </w:trPr>
        <w:tc>
          <w:tcPr>
            <w:tcW w:w="1704" w:type="dxa"/>
            <w:tcBorders>
              <w:top w:val="nil"/>
              <w:left w:val="nil"/>
              <w:bottom w:val="nil"/>
              <w:right w:val="nil"/>
            </w:tcBorders>
            <w:shd w:val="clear" w:color="000000" w:fill="FFFFFF"/>
            <w:noWrap/>
            <w:vAlign w:val="bottom"/>
            <w:hideMark/>
          </w:tcPr>
          <w:p w14:paraId="0DB2A71E"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Second</w:t>
            </w:r>
          </w:p>
        </w:tc>
        <w:tc>
          <w:tcPr>
            <w:tcW w:w="271" w:type="dxa"/>
            <w:tcBorders>
              <w:top w:val="nil"/>
              <w:left w:val="nil"/>
              <w:bottom w:val="nil"/>
              <w:right w:val="nil"/>
            </w:tcBorders>
            <w:shd w:val="clear" w:color="000000" w:fill="FFFFFF"/>
            <w:noWrap/>
            <w:vAlign w:val="bottom"/>
            <w:hideMark/>
          </w:tcPr>
          <w:p w14:paraId="19C1D210"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904" w:type="dxa"/>
            <w:tcBorders>
              <w:top w:val="nil"/>
              <w:left w:val="nil"/>
              <w:bottom w:val="nil"/>
              <w:right w:val="nil"/>
            </w:tcBorders>
            <w:shd w:val="clear" w:color="000000" w:fill="FFFFFF"/>
            <w:noWrap/>
            <w:vAlign w:val="bottom"/>
            <w:hideMark/>
          </w:tcPr>
          <w:p w14:paraId="3BA4711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989</w:t>
            </w:r>
          </w:p>
        </w:tc>
        <w:tc>
          <w:tcPr>
            <w:tcW w:w="271" w:type="dxa"/>
            <w:tcBorders>
              <w:top w:val="nil"/>
              <w:left w:val="nil"/>
              <w:bottom w:val="nil"/>
              <w:right w:val="nil"/>
            </w:tcBorders>
            <w:shd w:val="clear" w:color="000000" w:fill="FFFFFF"/>
            <w:noWrap/>
            <w:vAlign w:val="bottom"/>
            <w:hideMark/>
          </w:tcPr>
          <w:p w14:paraId="2E92C7C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63" w:type="dxa"/>
            <w:tcBorders>
              <w:top w:val="nil"/>
              <w:left w:val="nil"/>
              <w:bottom w:val="nil"/>
              <w:right w:val="nil"/>
            </w:tcBorders>
            <w:shd w:val="clear" w:color="000000" w:fill="FFFFFF"/>
            <w:noWrap/>
            <w:vAlign w:val="bottom"/>
            <w:hideMark/>
          </w:tcPr>
          <w:p w14:paraId="50063FD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77(7.79)</w:t>
            </w:r>
          </w:p>
        </w:tc>
        <w:tc>
          <w:tcPr>
            <w:tcW w:w="271" w:type="dxa"/>
            <w:tcBorders>
              <w:top w:val="nil"/>
              <w:left w:val="nil"/>
              <w:bottom w:val="nil"/>
              <w:right w:val="nil"/>
            </w:tcBorders>
            <w:shd w:val="clear" w:color="000000" w:fill="FFFFFF"/>
            <w:noWrap/>
            <w:vAlign w:val="bottom"/>
            <w:hideMark/>
          </w:tcPr>
          <w:p w14:paraId="1ACCA15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362" w:type="dxa"/>
            <w:tcBorders>
              <w:top w:val="nil"/>
              <w:left w:val="nil"/>
              <w:bottom w:val="nil"/>
              <w:right w:val="nil"/>
            </w:tcBorders>
            <w:shd w:val="clear" w:color="000000" w:fill="FFFFFF"/>
            <w:noWrap/>
            <w:vAlign w:val="bottom"/>
            <w:hideMark/>
          </w:tcPr>
          <w:p w14:paraId="3756F00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0.96(0.74-1.24)</w:t>
            </w:r>
          </w:p>
        </w:tc>
        <w:tc>
          <w:tcPr>
            <w:tcW w:w="271" w:type="dxa"/>
            <w:tcBorders>
              <w:top w:val="nil"/>
              <w:left w:val="nil"/>
              <w:bottom w:val="nil"/>
              <w:right w:val="nil"/>
            </w:tcBorders>
            <w:shd w:val="clear" w:color="000000" w:fill="FFFFFF"/>
            <w:noWrap/>
            <w:vAlign w:val="bottom"/>
            <w:hideMark/>
          </w:tcPr>
          <w:p w14:paraId="1D424F4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477" w:type="dxa"/>
            <w:tcBorders>
              <w:top w:val="nil"/>
              <w:left w:val="nil"/>
              <w:bottom w:val="nil"/>
              <w:right w:val="nil"/>
            </w:tcBorders>
            <w:shd w:val="clear" w:color="000000" w:fill="FFFFFF"/>
            <w:noWrap/>
            <w:vAlign w:val="bottom"/>
            <w:hideMark/>
          </w:tcPr>
          <w:p w14:paraId="13E8F6E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020" w:type="dxa"/>
            <w:tcBorders>
              <w:top w:val="nil"/>
              <w:left w:val="nil"/>
              <w:bottom w:val="nil"/>
              <w:right w:val="nil"/>
            </w:tcBorders>
            <w:shd w:val="clear" w:color="000000" w:fill="FFFFFF"/>
            <w:noWrap/>
            <w:vAlign w:val="bottom"/>
            <w:hideMark/>
          </w:tcPr>
          <w:p w14:paraId="6B54725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1.08(0.57)</w:t>
            </w:r>
          </w:p>
        </w:tc>
      </w:tr>
      <w:tr w:rsidR="00484A96" w:rsidRPr="00EF28DC" w14:paraId="4B52EC66" w14:textId="77777777" w:rsidTr="00484A96">
        <w:trPr>
          <w:divId w:val="1212186410"/>
          <w:trHeight w:val="300"/>
        </w:trPr>
        <w:tc>
          <w:tcPr>
            <w:tcW w:w="1704" w:type="dxa"/>
            <w:tcBorders>
              <w:top w:val="nil"/>
              <w:left w:val="nil"/>
              <w:bottom w:val="nil"/>
              <w:right w:val="nil"/>
            </w:tcBorders>
            <w:shd w:val="clear" w:color="000000" w:fill="FFFFFF"/>
            <w:noWrap/>
            <w:vAlign w:val="bottom"/>
            <w:hideMark/>
          </w:tcPr>
          <w:p w14:paraId="63FFB75B"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Native-born</w:t>
            </w:r>
          </w:p>
        </w:tc>
        <w:tc>
          <w:tcPr>
            <w:tcW w:w="271" w:type="dxa"/>
            <w:tcBorders>
              <w:top w:val="nil"/>
              <w:left w:val="nil"/>
              <w:bottom w:val="nil"/>
              <w:right w:val="nil"/>
            </w:tcBorders>
            <w:shd w:val="clear" w:color="000000" w:fill="FFFFFF"/>
            <w:noWrap/>
            <w:vAlign w:val="bottom"/>
            <w:hideMark/>
          </w:tcPr>
          <w:p w14:paraId="642A1B30"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904" w:type="dxa"/>
            <w:tcBorders>
              <w:top w:val="nil"/>
              <w:left w:val="nil"/>
              <w:bottom w:val="nil"/>
              <w:right w:val="nil"/>
            </w:tcBorders>
            <w:shd w:val="clear" w:color="000000" w:fill="FFFFFF"/>
            <w:noWrap/>
            <w:vAlign w:val="bottom"/>
            <w:hideMark/>
          </w:tcPr>
          <w:p w14:paraId="3E61E75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2,711</w:t>
            </w:r>
          </w:p>
        </w:tc>
        <w:tc>
          <w:tcPr>
            <w:tcW w:w="271" w:type="dxa"/>
            <w:tcBorders>
              <w:top w:val="nil"/>
              <w:left w:val="nil"/>
              <w:bottom w:val="nil"/>
              <w:right w:val="nil"/>
            </w:tcBorders>
            <w:shd w:val="clear" w:color="000000" w:fill="FFFFFF"/>
            <w:noWrap/>
            <w:vAlign w:val="bottom"/>
            <w:hideMark/>
          </w:tcPr>
          <w:p w14:paraId="4CF3D0F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63" w:type="dxa"/>
            <w:tcBorders>
              <w:top w:val="nil"/>
              <w:left w:val="nil"/>
              <w:bottom w:val="nil"/>
              <w:right w:val="nil"/>
            </w:tcBorders>
            <w:shd w:val="clear" w:color="000000" w:fill="FFFFFF"/>
            <w:noWrap/>
            <w:vAlign w:val="bottom"/>
            <w:hideMark/>
          </w:tcPr>
          <w:p w14:paraId="40A45298"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196(7.23)</w:t>
            </w:r>
          </w:p>
        </w:tc>
        <w:tc>
          <w:tcPr>
            <w:tcW w:w="271" w:type="dxa"/>
            <w:tcBorders>
              <w:top w:val="nil"/>
              <w:left w:val="nil"/>
              <w:bottom w:val="nil"/>
              <w:right w:val="nil"/>
            </w:tcBorders>
            <w:shd w:val="clear" w:color="000000" w:fill="FFFFFF"/>
            <w:noWrap/>
            <w:vAlign w:val="bottom"/>
            <w:hideMark/>
          </w:tcPr>
          <w:p w14:paraId="7B017A4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362" w:type="dxa"/>
            <w:tcBorders>
              <w:top w:val="nil"/>
              <w:left w:val="nil"/>
              <w:bottom w:val="nil"/>
              <w:right w:val="nil"/>
            </w:tcBorders>
            <w:shd w:val="clear" w:color="000000" w:fill="FFFFFF"/>
            <w:noWrap/>
            <w:vAlign w:val="bottom"/>
            <w:hideMark/>
          </w:tcPr>
          <w:p w14:paraId="02BC75D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0.82(0.68-0.99)*</w:t>
            </w:r>
          </w:p>
        </w:tc>
        <w:tc>
          <w:tcPr>
            <w:tcW w:w="271" w:type="dxa"/>
            <w:tcBorders>
              <w:top w:val="nil"/>
              <w:left w:val="nil"/>
              <w:bottom w:val="nil"/>
              <w:right w:val="nil"/>
            </w:tcBorders>
            <w:shd w:val="clear" w:color="000000" w:fill="FFFFFF"/>
            <w:noWrap/>
            <w:vAlign w:val="bottom"/>
            <w:hideMark/>
          </w:tcPr>
          <w:p w14:paraId="1302A68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477" w:type="dxa"/>
            <w:tcBorders>
              <w:top w:val="nil"/>
              <w:left w:val="nil"/>
              <w:bottom w:val="nil"/>
              <w:right w:val="nil"/>
            </w:tcBorders>
            <w:shd w:val="clear" w:color="000000" w:fill="FFFFFF"/>
            <w:noWrap/>
            <w:vAlign w:val="bottom"/>
            <w:hideMark/>
          </w:tcPr>
          <w:p w14:paraId="67BB83E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020" w:type="dxa"/>
            <w:tcBorders>
              <w:top w:val="nil"/>
              <w:left w:val="nil"/>
              <w:bottom w:val="nil"/>
              <w:right w:val="nil"/>
            </w:tcBorders>
            <w:shd w:val="clear" w:color="000000" w:fill="FFFFFF"/>
            <w:noWrap/>
            <w:vAlign w:val="bottom"/>
            <w:hideMark/>
          </w:tcPr>
          <w:p w14:paraId="1FC107B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74B5E41C" w14:textId="77777777" w:rsidTr="00484A96">
        <w:trPr>
          <w:divId w:val="1212186410"/>
          <w:trHeight w:val="300"/>
        </w:trPr>
        <w:tc>
          <w:tcPr>
            <w:tcW w:w="1704" w:type="dxa"/>
            <w:tcBorders>
              <w:top w:val="nil"/>
              <w:left w:val="nil"/>
              <w:bottom w:val="nil"/>
              <w:right w:val="nil"/>
            </w:tcBorders>
            <w:shd w:val="clear" w:color="000000" w:fill="FFFFFF"/>
            <w:noWrap/>
            <w:vAlign w:val="bottom"/>
            <w:hideMark/>
          </w:tcPr>
          <w:p w14:paraId="4743DFDE"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1F0272F"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904" w:type="dxa"/>
            <w:tcBorders>
              <w:top w:val="nil"/>
              <w:left w:val="nil"/>
              <w:bottom w:val="nil"/>
              <w:right w:val="nil"/>
            </w:tcBorders>
            <w:shd w:val="clear" w:color="000000" w:fill="FFFFFF"/>
            <w:noWrap/>
            <w:vAlign w:val="bottom"/>
            <w:hideMark/>
          </w:tcPr>
          <w:p w14:paraId="451C004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5E4290B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63" w:type="dxa"/>
            <w:tcBorders>
              <w:top w:val="nil"/>
              <w:left w:val="nil"/>
              <w:bottom w:val="nil"/>
              <w:right w:val="nil"/>
            </w:tcBorders>
            <w:shd w:val="clear" w:color="000000" w:fill="FFFFFF"/>
            <w:noWrap/>
            <w:vAlign w:val="bottom"/>
            <w:hideMark/>
          </w:tcPr>
          <w:p w14:paraId="3AB65A7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00B8E0C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362" w:type="dxa"/>
            <w:tcBorders>
              <w:top w:val="nil"/>
              <w:left w:val="nil"/>
              <w:bottom w:val="nil"/>
              <w:right w:val="nil"/>
            </w:tcBorders>
            <w:shd w:val="clear" w:color="000000" w:fill="FFFFFF"/>
            <w:noWrap/>
            <w:vAlign w:val="bottom"/>
            <w:hideMark/>
          </w:tcPr>
          <w:p w14:paraId="4F949E9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395E93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477" w:type="dxa"/>
            <w:tcBorders>
              <w:top w:val="nil"/>
              <w:left w:val="nil"/>
              <w:bottom w:val="nil"/>
              <w:right w:val="nil"/>
            </w:tcBorders>
            <w:shd w:val="clear" w:color="000000" w:fill="FFFFFF"/>
            <w:noWrap/>
            <w:vAlign w:val="bottom"/>
            <w:hideMark/>
          </w:tcPr>
          <w:p w14:paraId="791FE14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020" w:type="dxa"/>
            <w:tcBorders>
              <w:top w:val="nil"/>
              <w:left w:val="nil"/>
              <w:bottom w:val="nil"/>
              <w:right w:val="nil"/>
            </w:tcBorders>
            <w:shd w:val="clear" w:color="000000" w:fill="FFFFFF"/>
            <w:noWrap/>
            <w:vAlign w:val="bottom"/>
            <w:hideMark/>
          </w:tcPr>
          <w:p w14:paraId="571250E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45A71B63" w14:textId="77777777" w:rsidTr="00484A96">
        <w:trPr>
          <w:divId w:val="1212186410"/>
          <w:trHeight w:val="300"/>
        </w:trPr>
        <w:tc>
          <w:tcPr>
            <w:tcW w:w="1975" w:type="dxa"/>
            <w:gridSpan w:val="2"/>
            <w:tcBorders>
              <w:top w:val="nil"/>
              <w:left w:val="nil"/>
              <w:bottom w:val="nil"/>
              <w:right w:val="nil"/>
            </w:tcBorders>
            <w:shd w:val="clear" w:color="000000" w:fill="FFFFFF"/>
            <w:noWrap/>
            <w:vAlign w:val="bottom"/>
            <w:hideMark/>
          </w:tcPr>
          <w:p w14:paraId="00FD099A" w14:textId="77777777" w:rsidR="00484A96" w:rsidRPr="00EF28DC" w:rsidRDefault="00484A96" w:rsidP="00E22D45">
            <w:pPr>
              <w:rPr>
                <w:rFonts w:eastAsia="Times New Roman"/>
                <w:color w:val="000000"/>
                <w:sz w:val="20"/>
                <w:szCs w:val="20"/>
                <w:lang w:val="en-US"/>
              </w:rPr>
            </w:pPr>
            <w:r w:rsidRPr="00EF28DC">
              <w:rPr>
                <w:rFonts w:eastAsia="Times New Roman"/>
                <w:color w:val="000000"/>
                <w:sz w:val="20"/>
                <w:szCs w:val="20"/>
                <w:lang w:val="en-US"/>
              </w:rPr>
              <w:t>*</w:t>
            </w:r>
            <w:r>
              <w:rPr>
                <w:rFonts w:eastAsia="Times New Roman"/>
                <w:color w:val="000000"/>
                <w:sz w:val="20"/>
                <w:szCs w:val="20"/>
                <w:lang w:val="en-US"/>
              </w:rPr>
              <w:t>p&lt;.05</w:t>
            </w:r>
          </w:p>
        </w:tc>
        <w:tc>
          <w:tcPr>
            <w:tcW w:w="904" w:type="dxa"/>
            <w:tcBorders>
              <w:top w:val="nil"/>
              <w:left w:val="nil"/>
              <w:bottom w:val="nil"/>
              <w:right w:val="nil"/>
            </w:tcBorders>
            <w:shd w:val="clear" w:color="000000" w:fill="FFFFFF"/>
            <w:noWrap/>
            <w:vAlign w:val="bottom"/>
            <w:hideMark/>
          </w:tcPr>
          <w:p w14:paraId="0665FD24"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1ACF74B"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63" w:type="dxa"/>
            <w:tcBorders>
              <w:top w:val="nil"/>
              <w:left w:val="nil"/>
              <w:bottom w:val="nil"/>
              <w:right w:val="nil"/>
            </w:tcBorders>
            <w:shd w:val="clear" w:color="000000" w:fill="FFFFFF"/>
            <w:noWrap/>
            <w:vAlign w:val="bottom"/>
            <w:hideMark/>
          </w:tcPr>
          <w:p w14:paraId="3397B379"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5DCCFE81"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362" w:type="dxa"/>
            <w:tcBorders>
              <w:top w:val="nil"/>
              <w:left w:val="nil"/>
              <w:bottom w:val="nil"/>
              <w:right w:val="nil"/>
            </w:tcBorders>
            <w:shd w:val="clear" w:color="000000" w:fill="FFFFFF"/>
            <w:noWrap/>
            <w:vAlign w:val="bottom"/>
            <w:hideMark/>
          </w:tcPr>
          <w:p w14:paraId="1C4C8D3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3FD1E4C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1477" w:type="dxa"/>
            <w:tcBorders>
              <w:top w:val="nil"/>
              <w:left w:val="nil"/>
              <w:bottom w:val="nil"/>
              <w:right w:val="nil"/>
            </w:tcBorders>
            <w:shd w:val="clear" w:color="000000" w:fill="FFFFFF"/>
            <w:noWrap/>
            <w:vAlign w:val="bottom"/>
            <w:hideMark/>
          </w:tcPr>
          <w:p w14:paraId="72425472"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020" w:type="dxa"/>
            <w:tcBorders>
              <w:top w:val="nil"/>
              <w:left w:val="nil"/>
              <w:bottom w:val="nil"/>
              <w:right w:val="nil"/>
            </w:tcBorders>
            <w:shd w:val="clear" w:color="000000" w:fill="FFFFFF"/>
            <w:noWrap/>
            <w:vAlign w:val="bottom"/>
            <w:hideMark/>
          </w:tcPr>
          <w:p w14:paraId="75AE956B"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r>
    </w:tbl>
    <w:p w14:paraId="36D285FF" w14:textId="77777777" w:rsidR="00484A96" w:rsidRDefault="00484A96" w:rsidP="00484A96">
      <w:pPr>
        <w:divId w:val="1212186410"/>
      </w:pPr>
    </w:p>
    <w:p w14:paraId="456B6A18" w14:textId="77777777" w:rsidR="00484A96" w:rsidRDefault="00484A96" w:rsidP="00484A96">
      <w:pPr>
        <w:divId w:val="1212186410"/>
      </w:pPr>
    </w:p>
    <w:p w14:paraId="44D1E81F" w14:textId="77777777" w:rsidR="00484A96" w:rsidRDefault="00484A96" w:rsidP="00484A96">
      <w:pPr>
        <w:divId w:val="1212186410"/>
      </w:pPr>
    </w:p>
    <w:p w14:paraId="43C2B917" w14:textId="77777777" w:rsidR="00484A96" w:rsidRDefault="00484A96" w:rsidP="00484A96">
      <w:pPr>
        <w:divId w:val="1212186410"/>
      </w:pPr>
    </w:p>
    <w:p w14:paraId="20437A4E" w14:textId="77777777" w:rsidR="00484A96" w:rsidRDefault="00484A96" w:rsidP="00484A96">
      <w:pPr>
        <w:divId w:val="1212186410"/>
      </w:pPr>
    </w:p>
    <w:p w14:paraId="57B7B8BC" w14:textId="77777777" w:rsidR="00484A96" w:rsidRDefault="00484A96" w:rsidP="00484A96">
      <w:pPr>
        <w:divId w:val="1212186410"/>
      </w:pPr>
    </w:p>
    <w:p w14:paraId="3E36D931" w14:textId="77777777" w:rsidR="00484A96" w:rsidRDefault="00484A96" w:rsidP="00484A96">
      <w:pPr>
        <w:divId w:val="1212186410"/>
      </w:pPr>
    </w:p>
    <w:p w14:paraId="5936FEEC" w14:textId="77777777" w:rsidR="00484A96" w:rsidRDefault="00484A96" w:rsidP="00484A96">
      <w:pPr>
        <w:divId w:val="1212186410"/>
      </w:pPr>
    </w:p>
    <w:p w14:paraId="2DDE8092" w14:textId="77777777" w:rsidR="00484A96" w:rsidRDefault="00484A96" w:rsidP="00484A96">
      <w:pPr>
        <w:divId w:val="1212186410"/>
      </w:pPr>
    </w:p>
    <w:p w14:paraId="4BF73CE7" w14:textId="77777777" w:rsidR="00484A96" w:rsidRDefault="00484A96" w:rsidP="00484A96">
      <w:pPr>
        <w:divId w:val="1212186410"/>
      </w:pPr>
    </w:p>
    <w:p w14:paraId="66E837EB" w14:textId="77777777" w:rsidR="00484A96" w:rsidRDefault="00484A96" w:rsidP="00484A96">
      <w:pPr>
        <w:divId w:val="1212186410"/>
      </w:pPr>
    </w:p>
    <w:p w14:paraId="75B60F94" w14:textId="77777777" w:rsidR="00484A96" w:rsidRDefault="00484A96" w:rsidP="00484A96">
      <w:pPr>
        <w:divId w:val="1212186410"/>
      </w:pPr>
    </w:p>
    <w:p w14:paraId="64809F78" w14:textId="77777777" w:rsidR="00484A96" w:rsidRDefault="00484A96" w:rsidP="00484A96">
      <w:pPr>
        <w:divId w:val="1212186410"/>
      </w:pPr>
    </w:p>
    <w:p w14:paraId="0ADDA4F2" w14:textId="4F6EC533" w:rsidR="00484A96" w:rsidRDefault="00484A96" w:rsidP="00484A96">
      <w:pPr>
        <w:divId w:val="1212186410"/>
      </w:pPr>
    </w:p>
    <w:tbl>
      <w:tblPr>
        <w:tblpPr w:leftFromText="180" w:rightFromText="180" w:vertAnchor="text" w:horzAnchor="margin" w:tblpXSpec="center" w:tblpY="-205"/>
        <w:tblW w:w="13388" w:type="dxa"/>
        <w:tblLook w:val="04A0" w:firstRow="1" w:lastRow="0" w:firstColumn="1" w:lastColumn="0" w:noHBand="0" w:noVBand="1"/>
      </w:tblPr>
      <w:tblGrid>
        <w:gridCol w:w="4419"/>
        <w:gridCol w:w="3046"/>
        <w:gridCol w:w="271"/>
        <w:gridCol w:w="2564"/>
        <w:gridCol w:w="271"/>
        <w:gridCol w:w="738"/>
        <w:gridCol w:w="271"/>
        <w:gridCol w:w="1537"/>
        <w:gridCol w:w="271"/>
      </w:tblGrid>
      <w:tr w:rsidR="00484A96" w:rsidRPr="00EF28DC" w14:paraId="4610F3DB" w14:textId="77777777" w:rsidTr="00484A96">
        <w:trPr>
          <w:divId w:val="1212186410"/>
          <w:trHeight w:val="483"/>
        </w:trPr>
        <w:tc>
          <w:tcPr>
            <w:tcW w:w="13388" w:type="dxa"/>
            <w:gridSpan w:val="9"/>
            <w:tcBorders>
              <w:top w:val="nil"/>
              <w:left w:val="nil"/>
              <w:bottom w:val="single" w:sz="4" w:space="0" w:color="auto"/>
              <w:right w:val="nil"/>
            </w:tcBorders>
            <w:shd w:val="clear" w:color="000000" w:fill="FFFFFF"/>
            <w:noWrap/>
            <w:vAlign w:val="bottom"/>
            <w:hideMark/>
          </w:tcPr>
          <w:p w14:paraId="740D876A" w14:textId="77777777" w:rsidR="00484A96" w:rsidRPr="00EF28DC" w:rsidRDefault="00484A96" w:rsidP="00E22D45">
            <w:pPr>
              <w:rPr>
                <w:rFonts w:eastAsia="Times New Roman"/>
                <w:color w:val="000000"/>
                <w:sz w:val="22"/>
                <w:szCs w:val="22"/>
                <w:lang w:val="en-US"/>
              </w:rPr>
            </w:pPr>
            <w:r>
              <w:rPr>
                <w:rFonts w:eastAsia="Times New Roman"/>
                <w:color w:val="000000"/>
                <w:sz w:val="22"/>
                <w:szCs w:val="22"/>
                <w:lang w:val="en-US"/>
              </w:rPr>
              <w:lastRenderedPageBreak/>
              <w:t>Table 3. Prevalence</w:t>
            </w:r>
            <w:r w:rsidRPr="00EF28DC">
              <w:rPr>
                <w:rFonts w:eastAsia="Times New Roman"/>
                <w:color w:val="000000"/>
                <w:sz w:val="22"/>
                <w:szCs w:val="22"/>
                <w:lang w:val="en-US"/>
              </w:rPr>
              <w:t xml:space="preserve"> </w:t>
            </w:r>
            <w:r>
              <w:rPr>
                <w:rFonts w:eastAsia="Times New Roman"/>
                <w:color w:val="000000"/>
                <w:sz w:val="22"/>
                <w:szCs w:val="22"/>
                <w:lang w:val="en-US"/>
              </w:rPr>
              <w:t xml:space="preserve">and strength of relationship between risk factors and first-generation immigrant status versus native-born </w:t>
            </w:r>
            <w:r w:rsidRPr="00EF28DC">
              <w:rPr>
                <w:rFonts w:eastAsia="Times New Roman"/>
                <w:color w:val="000000"/>
                <w:sz w:val="22"/>
                <w:szCs w:val="22"/>
                <w:lang w:val="en-US"/>
              </w:rPr>
              <w:t>(N=4,949)</w:t>
            </w:r>
          </w:p>
        </w:tc>
      </w:tr>
      <w:tr w:rsidR="00484A96" w:rsidRPr="00EF28DC" w14:paraId="1D4EA7AE"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1367E643"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3046" w:type="dxa"/>
            <w:tcBorders>
              <w:top w:val="nil"/>
              <w:left w:val="nil"/>
              <w:bottom w:val="nil"/>
              <w:right w:val="nil"/>
            </w:tcBorders>
            <w:shd w:val="clear" w:color="000000" w:fill="FFFFFF"/>
            <w:noWrap/>
            <w:vAlign w:val="bottom"/>
            <w:hideMark/>
          </w:tcPr>
          <w:p w14:paraId="13F959AE" w14:textId="77777777" w:rsidR="00484A96" w:rsidRPr="00EF28DC" w:rsidRDefault="00484A96" w:rsidP="00E22D45">
            <w:pPr>
              <w:ind w:left="-577" w:firstLine="577"/>
              <w:jc w:val="center"/>
              <w:rPr>
                <w:rFonts w:eastAsia="Times New Roman"/>
                <w:color w:val="000000"/>
                <w:sz w:val="22"/>
                <w:szCs w:val="22"/>
                <w:u w:val="single"/>
                <w:lang w:val="en-US"/>
              </w:rPr>
            </w:pPr>
            <w:r w:rsidRPr="00EF28DC">
              <w:rPr>
                <w:rFonts w:eastAsia="Times New Roman"/>
                <w:color w:val="000000"/>
                <w:sz w:val="22"/>
                <w:szCs w:val="22"/>
                <w:u w:val="single"/>
                <w:lang w:val="en-US"/>
              </w:rPr>
              <w:t>N(%) of first-generation</w:t>
            </w:r>
          </w:p>
        </w:tc>
        <w:tc>
          <w:tcPr>
            <w:tcW w:w="271" w:type="dxa"/>
            <w:tcBorders>
              <w:top w:val="nil"/>
              <w:left w:val="nil"/>
              <w:bottom w:val="nil"/>
              <w:right w:val="nil"/>
            </w:tcBorders>
            <w:shd w:val="clear" w:color="000000" w:fill="FFFFFF"/>
            <w:noWrap/>
            <w:vAlign w:val="bottom"/>
            <w:hideMark/>
          </w:tcPr>
          <w:p w14:paraId="5FF22AA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685BE6BE"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N(%) of native-born</w:t>
            </w:r>
          </w:p>
        </w:tc>
        <w:tc>
          <w:tcPr>
            <w:tcW w:w="271" w:type="dxa"/>
            <w:tcBorders>
              <w:top w:val="nil"/>
              <w:left w:val="nil"/>
              <w:bottom w:val="nil"/>
              <w:right w:val="nil"/>
            </w:tcBorders>
            <w:shd w:val="clear" w:color="000000" w:fill="FFFFFF"/>
            <w:noWrap/>
            <w:vAlign w:val="bottom"/>
            <w:hideMark/>
          </w:tcPr>
          <w:p w14:paraId="28AFF432" w14:textId="77777777" w:rsidR="00484A96" w:rsidRPr="00EF28DC" w:rsidRDefault="00484A96" w:rsidP="00E22D45">
            <w:pPr>
              <w:jc w:val="center"/>
              <w:rPr>
                <w:rFonts w:eastAsia="Times New Roman"/>
                <w:color w:val="000000"/>
                <w:sz w:val="22"/>
                <w:szCs w:val="22"/>
                <w:u w:val="single"/>
                <w:lang w:val="en-US"/>
              </w:rPr>
            </w:pPr>
          </w:p>
        </w:tc>
        <w:tc>
          <w:tcPr>
            <w:tcW w:w="738" w:type="dxa"/>
            <w:tcBorders>
              <w:top w:val="nil"/>
              <w:left w:val="nil"/>
              <w:bottom w:val="single" w:sz="4" w:space="0" w:color="auto"/>
              <w:right w:val="nil"/>
            </w:tcBorders>
            <w:shd w:val="clear" w:color="000000" w:fill="FFFFFF"/>
            <w:noWrap/>
            <w:vAlign w:val="bottom"/>
            <w:hideMark/>
          </w:tcPr>
          <w:p w14:paraId="0137EE98"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OR*</w:t>
            </w:r>
          </w:p>
        </w:tc>
        <w:tc>
          <w:tcPr>
            <w:tcW w:w="271" w:type="dxa"/>
            <w:tcBorders>
              <w:top w:val="nil"/>
              <w:left w:val="nil"/>
              <w:bottom w:val="nil"/>
              <w:right w:val="nil"/>
            </w:tcBorders>
            <w:shd w:val="clear" w:color="000000" w:fill="FFFFFF"/>
            <w:noWrap/>
            <w:vAlign w:val="bottom"/>
            <w:hideMark/>
          </w:tcPr>
          <w:p w14:paraId="59C8FB2F"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0E591C3C" w14:textId="77777777" w:rsidR="00484A96" w:rsidRPr="00EF28DC" w:rsidRDefault="00484A96" w:rsidP="00E22D45">
            <w:pPr>
              <w:jc w:val="center"/>
              <w:rPr>
                <w:rFonts w:eastAsia="Times New Roman"/>
                <w:color w:val="000000"/>
                <w:sz w:val="22"/>
                <w:szCs w:val="22"/>
                <w:u w:val="single"/>
                <w:lang w:val="en-US"/>
              </w:rPr>
            </w:pPr>
            <w:r w:rsidRPr="00EF28DC">
              <w:rPr>
                <w:rFonts w:eastAsia="Times New Roman"/>
                <w:color w:val="000000"/>
                <w:sz w:val="22"/>
                <w:szCs w:val="22"/>
                <w:u w:val="single"/>
                <w:lang w:val="en-US"/>
              </w:rPr>
              <w:t>95% CI</w:t>
            </w:r>
          </w:p>
        </w:tc>
        <w:tc>
          <w:tcPr>
            <w:tcW w:w="271" w:type="dxa"/>
            <w:tcBorders>
              <w:top w:val="nil"/>
              <w:left w:val="nil"/>
              <w:bottom w:val="nil"/>
              <w:right w:val="nil"/>
            </w:tcBorders>
            <w:shd w:val="clear" w:color="000000" w:fill="FFFFFF"/>
            <w:noWrap/>
            <w:vAlign w:val="bottom"/>
          </w:tcPr>
          <w:p w14:paraId="0B9CE6CB" w14:textId="77777777" w:rsidR="00484A96" w:rsidRPr="00EF28DC" w:rsidRDefault="00484A96" w:rsidP="00E22D45">
            <w:pPr>
              <w:jc w:val="center"/>
              <w:rPr>
                <w:rFonts w:eastAsia="Times New Roman"/>
                <w:color w:val="000000"/>
                <w:sz w:val="22"/>
                <w:szCs w:val="22"/>
                <w:u w:val="single"/>
                <w:lang w:val="en-US"/>
              </w:rPr>
            </w:pPr>
          </w:p>
        </w:tc>
      </w:tr>
      <w:tr w:rsidR="00484A96" w:rsidRPr="00EF28DC" w14:paraId="1F6564B0"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6D837EF2" w14:textId="77777777" w:rsidR="00484A96" w:rsidRPr="00EF28DC" w:rsidRDefault="00484A96" w:rsidP="00E22D45">
            <w:pPr>
              <w:rPr>
                <w:rFonts w:eastAsia="Times New Roman"/>
                <w:b/>
                <w:bCs/>
                <w:color w:val="000000"/>
                <w:sz w:val="22"/>
                <w:szCs w:val="22"/>
                <w:lang w:val="en-US"/>
              </w:rPr>
            </w:pPr>
            <w:r w:rsidRPr="00EF28DC">
              <w:rPr>
                <w:rFonts w:eastAsia="Times New Roman"/>
                <w:b/>
                <w:bCs/>
                <w:color w:val="000000"/>
                <w:sz w:val="22"/>
                <w:szCs w:val="22"/>
                <w:lang w:val="en-US"/>
              </w:rPr>
              <w:t>Demographics</w:t>
            </w:r>
          </w:p>
        </w:tc>
        <w:tc>
          <w:tcPr>
            <w:tcW w:w="3046" w:type="dxa"/>
            <w:tcBorders>
              <w:top w:val="nil"/>
              <w:left w:val="nil"/>
              <w:bottom w:val="nil"/>
              <w:right w:val="nil"/>
            </w:tcBorders>
            <w:shd w:val="clear" w:color="000000" w:fill="FFFFFF"/>
            <w:noWrap/>
            <w:vAlign w:val="bottom"/>
            <w:hideMark/>
          </w:tcPr>
          <w:p w14:paraId="68AA07B7" w14:textId="77777777" w:rsidR="00484A96" w:rsidRPr="00EF28DC" w:rsidRDefault="00484A96" w:rsidP="00E22D45">
            <w:pPr>
              <w:jc w:val="center"/>
              <w:rPr>
                <w:rFonts w:eastAsia="Times New Roman"/>
                <w:color w:val="000000"/>
                <w:sz w:val="22"/>
                <w:szCs w:val="22"/>
                <w:u w:val="single"/>
                <w:lang w:val="en-US"/>
              </w:rPr>
            </w:pPr>
          </w:p>
        </w:tc>
        <w:tc>
          <w:tcPr>
            <w:tcW w:w="271" w:type="dxa"/>
            <w:tcBorders>
              <w:top w:val="nil"/>
              <w:left w:val="nil"/>
              <w:bottom w:val="nil"/>
              <w:right w:val="nil"/>
            </w:tcBorders>
            <w:shd w:val="clear" w:color="auto" w:fill="auto"/>
            <w:noWrap/>
            <w:vAlign w:val="bottom"/>
            <w:hideMark/>
          </w:tcPr>
          <w:p w14:paraId="5DF6F6C8" w14:textId="77777777" w:rsidR="00484A96" w:rsidRPr="00EF28DC" w:rsidRDefault="00484A96" w:rsidP="00E22D45">
            <w:pPr>
              <w:jc w:val="center"/>
              <w:rPr>
                <w:rFonts w:eastAsia="Times New Roman"/>
                <w:color w:val="000000"/>
                <w:sz w:val="22"/>
                <w:szCs w:val="22"/>
                <w:lang w:val="en-US"/>
              </w:rPr>
            </w:pPr>
          </w:p>
        </w:tc>
        <w:tc>
          <w:tcPr>
            <w:tcW w:w="2564" w:type="dxa"/>
            <w:tcBorders>
              <w:top w:val="nil"/>
              <w:left w:val="nil"/>
              <w:bottom w:val="nil"/>
              <w:right w:val="nil"/>
            </w:tcBorders>
            <w:shd w:val="clear" w:color="000000" w:fill="FFFFFF"/>
            <w:noWrap/>
            <w:vAlign w:val="bottom"/>
            <w:hideMark/>
          </w:tcPr>
          <w:p w14:paraId="666647CC" w14:textId="77777777" w:rsidR="00484A96" w:rsidRPr="00EF28DC" w:rsidRDefault="00484A96" w:rsidP="00E22D45">
            <w:pPr>
              <w:jc w:val="center"/>
              <w:rPr>
                <w:rFonts w:eastAsia="Times New Roman"/>
                <w:color w:val="000000"/>
                <w:sz w:val="22"/>
                <w:szCs w:val="22"/>
                <w:u w:val="single"/>
                <w:lang w:val="en-US"/>
              </w:rPr>
            </w:pPr>
          </w:p>
        </w:tc>
        <w:tc>
          <w:tcPr>
            <w:tcW w:w="271" w:type="dxa"/>
            <w:tcBorders>
              <w:top w:val="nil"/>
              <w:left w:val="nil"/>
              <w:bottom w:val="nil"/>
              <w:right w:val="nil"/>
            </w:tcBorders>
            <w:shd w:val="clear" w:color="000000" w:fill="FFFFFF"/>
            <w:noWrap/>
            <w:vAlign w:val="bottom"/>
          </w:tcPr>
          <w:p w14:paraId="7CDD4196" w14:textId="77777777" w:rsidR="00484A96" w:rsidRPr="00EF28DC" w:rsidRDefault="00484A96" w:rsidP="00E22D45">
            <w:pPr>
              <w:jc w:val="center"/>
              <w:rPr>
                <w:rFonts w:eastAsia="Times New Roman"/>
                <w:color w:val="000000"/>
                <w:sz w:val="22"/>
                <w:szCs w:val="22"/>
                <w:u w:val="single"/>
                <w:lang w:val="en-US"/>
              </w:rPr>
            </w:pPr>
          </w:p>
        </w:tc>
        <w:tc>
          <w:tcPr>
            <w:tcW w:w="738" w:type="dxa"/>
            <w:tcBorders>
              <w:top w:val="nil"/>
              <w:left w:val="nil"/>
              <w:bottom w:val="nil"/>
              <w:right w:val="nil"/>
            </w:tcBorders>
            <w:shd w:val="clear" w:color="000000" w:fill="FFFFFF"/>
            <w:noWrap/>
            <w:vAlign w:val="bottom"/>
            <w:hideMark/>
          </w:tcPr>
          <w:p w14:paraId="4F2A0796" w14:textId="77777777" w:rsidR="00484A96" w:rsidRPr="00EF28DC" w:rsidRDefault="00484A96" w:rsidP="00E22D45">
            <w:pPr>
              <w:jc w:val="center"/>
              <w:rPr>
                <w:rFonts w:eastAsia="Times New Roman"/>
                <w:color w:val="000000"/>
                <w:sz w:val="22"/>
                <w:szCs w:val="22"/>
                <w:u w:val="single"/>
                <w:lang w:val="en-US"/>
              </w:rPr>
            </w:pPr>
          </w:p>
        </w:tc>
        <w:tc>
          <w:tcPr>
            <w:tcW w:w="271" w:type="dxa"/>
            <w:tcBorders>
              <w:top w:val="nil"/>
              <w:left w:val="nil"/>
              <w:bottom w:val="nil"/>
              <w:right w:val="nil"/>
            </w:tcBorders>
            <w:shd w:val="clear" w:color="000000" w:fill="FFFFFF"/>
            <w:noWrap/>
            <w:vAlign w:val="bottom"/>
            <w:hideMark/>
          </w:tcPr>
          <w:p w14:paraId="1A71D52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1C0AA324" w14:textId="77777777" w:rsidR="00484A96" w:rsidRPr="00EF28DC" w:rsidRDefault="00484A96" w:rsidP="00E22D45">
            <w:pPr>
              <w:jc w:val="center"/>
              <w:rPr>
                <w:rFonts w:eastAsia="Times New Roman"/>
                <w:color w:val="000000"/>
                <w:sz w:val="22"/>
                <w:szCs w:val="22"/>
                <w:u w:val="single"/>
                <w:lang w:val="en-US"/>
              </w:rPr>
            </w:pPr>
          </w:p>
        </w:tc>
        <w:tc>
          <w:tcPr>
            <w:tcW w:w="271" w:type="dxa"/>
            <w:tcBorders>
              <w:top w:val="nil"/>
              <w:left w:val="nil"/>
              <w:bottom w:val="nil"/>
              <w:right w:val="nil"/>
            </w:tcBorders>
            <w:shd w:val="clear" w:color="000000" w:fill="FFFFFF"/>
            <w:noWrap/>
            <w:vAlign w:val="bottom"/>
          </w:tcPr>
          <w:p w14:paraId="5F21667B" w14:textId="77777777" w:rsidR="00484A96" w:rsidRPr="00EF28DC" w:rsidRDefault="00484A96" w:rsidP="00E22D45">
            <w:pPr>
              <w:jc w:val="center"/>
              <w:rPr>
                <w:rFonts w:eastAsia="Times New Roman"/>
                <w:color w:val="000000"/>
                <w:sz w:val="22"/>
                <w:szCs w:val="22"/>
                <w:u w:val="single"/>
                <w:lang w:val="en-US"/>
              </w:rPr>
            </w:pPr>
          </w:p>
        </w:tc>
      </w:tr>
      <w:tr w:rsidR="00484A96" w:rsidRPr="00EF28DC" w14:paraId="08CDB009"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0FD46BEA"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Male</w:t>
            </w:r>
          </w:p>
        </w:tc>
        <w:tc>
          <w:tcPr>
            <w:tcW w:w="3046" w:type="dxa"/>
            <w:tcBorders>
              <w:top w:val="nil"/>
              <w:left w:val="nil"/>
              <w:bottom w:val="nil"/>
              <w:right w:val="nil"/>
            </w:tcBorders>
            <w:shd w:val="clear" w:color="000000" w:fill="FFFFFF"/>
            <w:noWrap/>
            <w:vAlign w:val="bottom"/>
            <w:hideMark/>
          </w:tcPr>
          <w:p w14:paraId="633C976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1,101(49.20)</w:t>
            </w:r>
          </w:p>
        </w:tc>
        <w:tc>
          <w:tcPr>
            <w:tcW w:w="271" w:type="dxa"/>
            <w:tcBorders>
              <w:top w:val="nil"/>
              <w:left w:val="nil"/>
              <w:bottom w:val="nil"/>
              <w:right w:val="nil"/>
            </w:tcBorders>
            <w:shd w:val="clear" w:color="000000" w:fill="FFFFFF"/>
            <w:noWrap/>
            <w:vAlign w:val="bottom"/>
            <w:hideMark/>
          </w:tcPr>
          <w:p w14:paraId="2689D28B"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105EDCD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1,196(44.12)</w:t>
            </w:r>
          </w:p>
        </w:tc>
        <w:tc>
          <w:tcPr>
            <w:tcW w:w="271" w:type="dxa"/>
            <w:tcBorders>
              <w:top w:val="nil"/>
              <w:left w:val="nil"/>
              <w:bottom w:val="nil"/>
              <w:right w:val="nil"/>
            </w:tcBorders>
            <w:shd w:val="clear" w:color="000000" w:fill="FFFFFF"/>
            <w:noWrap/>
            <w:vAlign w:val="bottom"/>
            <w:hideMark/>
          </w:tcPr>
          <w:p w14:paraId="224ADC6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2CF5388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1.23</w:t>
            </w:r>
          </w:p>
        </w:tc>
        <w:tc>
          <w:tcPr>
            <w:tcW w:w="271" w:type="dxa"/>
            <w:tcBorders>
              <w:top w:val="nil"/>
              <w:left w:val="nil"/>
              <w:bottom w:val="nil"/>
              <w:right w:val="nil"/>
            </w:tcBorders>
            <w:shd w:val="clear" w:color="000000" w:fill="FFFFFF"/>
            <w:noWrap/>
            <w:vAlign w:val="bottom"/>
            <w:hideMark/>
          </w:tcPr>
          <w:p w14:paraId="56864AD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78F2E67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1.10-1.37</w:t>
            </w:r>
          </w:p>
        </w:tc>
        <w:tc>
          <w:tcPr>
            <w:tcW w:w="271" w:type="dxa"/>
            <w:tcBorders>
              <w:top w:val="nil"/>
              <w:left w:val="nil"/>
              <w:bottom w:val="nil"/>
              <w:right w:val="nil"/>
            </w:tcBorders>
            <w:shd w:val="clear" w:color="000000" w:fill="FFFFFF"/>
            <w:noWrap/>
            <w:vAlign w:val="bottom"/>
            <w:hideMark/>
          </w:tcPr>
          <w:p w14:paraId="198119F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6E342FDF"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55E70F8D"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Adolescent age</w:t>
            </w:r>
          </w:p>
        </w:tc>
        <w:tc>
          <w:tcPr>
            <w:tcW w:w="3046" w:type="dxa"/>
            <w:tcBorders>
              <w:top w:val="nil"/>
              <w:left w:val="nil"/>
              <w:bottom w:val="nil"/>
              <w:right w:val="nil"/>
            </w:tcBorders>
            <w:shd w:val="clear" w:color="000000" w:fill="FFFFFF"/>
            <w:noWrap/>
            <w:vAlign w:val="bottom"/>
            <w:hideMark/>
          </w:tcPr>
          <w:p w14:paraId="1C4C7C9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508(22.70)</w:t>
            </w:r>
          </w:p>
        </w:tc>
        <w:tc>
          <w:tcPr>
            <w:tcW w:w="271" w:type="dxa"/>
            <w:tcBorders>
              <w:top w:val="nil"/>
              <w:left w:val="nil"/>
              <w:bottom w:val="nil"/>
              <w:right w:val="nil"/>
            </w:tcBorders>
            <w:shd w:val="clear" w:color="000000" w:fill="FFFFFF"/>
            <w:noWrap/>
            <w:vAlign w:val="bottom"/>
            <w:hideMark/>
          </w:tcPr>
          <w:p w14:paraId="3D54D46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7A65063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884(32.61)</w:t>
            </w:r>
          </w:p>
        </w:tc>
        <w:tc>
          <w:tcPr>
            <w:tcW w:w="271" w:type="dxa"/>
            <w:tcBorders>
              <w:top w:val="nil"/>
              <w:left w:val="nil"/>
              <w:bottom w:val="nil"/>
              <w:right w:val="nil"/>
            </w:tcBorders>
            <w:shd w:val="clear" w:color="000000" w:fill="FFFFFF"/>
            <w:noWrap/>
            <w:vAlign w:val="bottom"/>
            <w:hideMark/>
          </w:tcPr>
          <w:p w14:paraId="10ACA94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4AE5CF7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0.61</w:t>
            </w:r>
          </w:p>
        </w:tc>
        <w:tc>
          <w:tcPr>
            <w:tcW w:w="271" w:type="dxa"/>
            <w:tcBorders>
              <w:top w:val="nil"/>
              <w:left w:val="nil"/>
              <w:bottom w:val="nil"/>
              <w:right w:val="nil"/>
            </w:tcBorders>
            <w:shd w:val="clear" w:color="000000" w:fill="FFFFFF"/>
            <w:noWrap/>
            <w:vAlign w:val="bottom"/>
            <w:hideMark/>
          </w:tcPr>
          <w:p w14:paraId="6D560D68"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194D398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0.53-0.69</w:t>
            </w:r>
          </w:p>
        </w:tc>
        <w:tc>
          <w:tcPr>
            <w:tcW w:w="271" w:type="dxa"/>
            <w:tcBorders>
              <w:top w:val="nil"/>
              <w:left w:val="nil"/>
              <w:bottom w:val="nil"/>
              <w:right w:val="nil"/>
            </w:tcBorders>
            <w:shd w:val="clear" w:color="000000" w:fill="FFFFFF"/>
            <w:noWrap/>
            <w:vAlign w:val="bottom"/>
            <w:hideMark/>
          </w:tcPr>
          <w:p w14:paraId="42A5D048"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60443CC2"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631D766B" w14:textId="77777777" w:rsidR="00484A96" w:rsidRPr="00EF28DC" w:rsidRDefault="00484A96" w:rsidP="00E22D45">
            <w:pPr>
              <w:rPr>
                <w:rFonts w:eastAsia="Times New Roman"/>
                <w:i/>
                <w:iCs/>
                <w:color w:val="000000"/>
                <w:sz w:val="22"/>
                <w:szCs w:val="22"/>
                <w:lang w:val="en-US"/>
              </w:rPr>
            </w:pPr>
            <w:r w:rsidRPr="00EF28DC">
              <w:rPr>
                <w:rFonts w:eastAsia="Times New Roman"/>
                <w:i/>
                <w:iCs/>
                <w:color w:val="000000"/>
                <w:sz w:val="22"/>
                <w:szCs w:val="22"/>
                <w:lang w:val="en-US"/>
              </w:rPr>
              <w:t>Ethnicity</w:t>
            </w:r>
          </w:p>
        </w:tc>
        <w:tc>
          <w:tcPr>
            <w:tcW w:w="3046" w:type="dxa"/>
            <w:tcBorders>
              <w:top w:val="nil"/>
              <w:left w:val="nil"/>
              <w:bottom w:val="nil"/>
              <w:right w:val="nil"/>
            </w:tcBorders>
            <w:shd w:val="clear" w:color="000000" w:fill="FFFFFF"/>
            <w:noWrap/>
            <w:vAlign w:val="bottom"/>
            <w:hideMark/>
          </w:tcPr>
          <w:p w14:paraId="7C54E32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5F9C1C4C"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02F67FA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458B0C2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025EAEC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0564F5D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0D39281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64C4783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38912FA1"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34DBB791"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White</w:t>
            </w:r>
          </w:p>
        </w:tc>
        <w:tc>
          <w:tcPr>
            <w:tcW w:w="3046" w:type="dxa"/>
            <w:tcBorders>
              <w:top w:val="nil"/>
              <w:left w:val="nil"/>
              <w:bottom w:val="nil"/>
              <w:right w:val="nil"/>
            </w:tcBorders>
            <w:shd w:val="clear" w:color="000000" w:fill="FFFFFF"/>
            <w:noWrap/>
            <w:vAlign w:val="bottom"/>
            <w:hideMark/>
          </w:tcPr>
          <w:p w14:paraId="6C1E0E6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184(8.22)</w:t>
            </w:r>
          </w:p>
        </w:tc>
        <w:tc>
          <w:tcPr>
            <w:tcW w:w="271" w:type="dxa"/>
            <w:tcBorders>
              <w:top w:val="nil"/>
              <w:left w:val="nil"/>
              <w:bottom w:val="nil"/>
              <w:right w:val="nil"/>
            </w:tcBorders>
            <w:shd w:val="clear" w:color="000000" w:fill="FFFFFF"/>
            <w:noWrap/>
            <w:vAlign w:val="bottom"/>
            <w:hideMark/>
          </w:tcPr>
          <w:p w14:paraId="581AEE90" w14:textId="77777777" w:rsidR="00484A96" w:rsidRPr="00EF28DC" w:rsidRDefault="00484A96" w:rsidP="00E22D45">
            <w:pPr>
              <w:rPr>
                <w:rFonts w:eastAsia="Times New Roman"/>
                <w:i/>
                <w:iCs/>
                <w:color w:val="000000"/>
                <w:sz w:val="22"/>
                <w:szCs w:val="22"/>
                <w:lang w:val="en-US"/>
              </w:rPr>
            </w:pPr>
            <w:r w:rsidRPr="00EF28DC">
              <w:rPr>
                <w:rFonts w:eastAsia="Times New Roman"/>
                <w:i/>
                <w:iCs/>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1C3EFB3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2,190(80.78)</w:t>
            </w:r>
          </w:p>
        </w:tc>
        <w:tc>
          <w:tcPr>
            <w:tcW w:w="271" w:type="dxa"/>
            <w:tcBorders>
              <w:top w:val="nil"/>
              <w:left w:val="nil"/>
              <w:bottom w:val="nil"/>
              <w:right w:val="nil"/>
            </w:tcBorders>
            <w:shd w:val="clear" w:color="000000" w:fill="FFFFFF"/>
            <w:noWrap/>
            <w:vAlign w:val="bottom"/>
            <w:hideMark/>
          </w:tcPr>
          <w:p w14:paraId="3738D60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1A76E0D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0.02</w:t>
            </w:r>
          </w:p>
        </w:tc>
        <w:tc>
          <w:tcPr>
            <w:tcW w:w="271" w:type="dxa"/>
            <w:tcBorders>
              <w:top w:val="nil"/>
              <w:left w:val="nil"/>
              <w:bottom w:val="nil"/>
              <w:right w:val="nil"/>
            </w:tcBorders>
            <w:shd w:val="clear" w:color="000000" w:fill="FFFFFF"/>
            <w:noWrap/>
            <w:vAlign w:val="bottom"/>
            <w:hideMark/>
          </w:tcPr>
          <w:p w14:paraId="5D9BA6D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375B613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0.02-0.03</w:t>
            </w:r>
          </w:p>
        </w:tc>
        <w:tc>
          <w:tcPr>
            <w:tcW w:w="271" w:type="dxa"/>
            <w:tcBorders>
              <w:top w:val="nil"/>
              <w:left w:val="nil"/>
              <w:bottom w:val="nil"/>
              <w:right w:val="nil"/>
            </w:tcBorders>
            <w:shd w:val="clear" w:color="000000" w:fill="FFFFFF"/>
            <w:noWrap/>
            <w:vAlign w:val="bottom"/>
            <w:hideMark/>
          </w:tcPr>
          <w:p w14:paraId="47AC504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3C33D790"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34DCF9EC"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Asian</w:t>
            </w:r>
          </w:p>
        </w:tc>
        <w:tc>
          <w:tcPr>
            <w:tcW w:w="3046" w:type="dxa"/>
            <w:tcBorders>
              <w:top w:val="nil"/>
              <w:left w:val="nil"/>
              <w:bottom w:val="nil"/>
              <w:right w:val="nil"/>
            </w:tcBorders>
            <w:shd w:val="clear" w:color="000000" w:fill="FFFFFF"/>
            <w:noWrap/>
            <w:vAlign w:val="bottom"/>
            <w:hideMark/>
          </w:tcPr>
          <w:p w14:paraId="1C6CA2A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1,149(51.34)</w:t>
            </w:r>
          </w:p>
        </w:tc>
        <w:tc>
          <w:tcPr>
            <w:tcW w:w="271" w:type="dxa"/>
            <w:tcBorders>
              <w:top w:val="nil"/>
              <w:left w:val="nil"/>
              <w:bottom w:val="nil"/>
              <w:right w:val="nil"/>
            </w:tcBorders>
            <w:shd w:val="clear" w:color="000000" w:fill="FFFFFF"/>
            <w:noWrap/>
            <w:vAlign w:val="bottom"/>
            <w:hideMark/>
          </w:tcPr>
          <w:p w14:paraId="0EA9E62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26EEF9B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204(7.52)</w:t>
            </w:r>
          </w:p>
        </w:tc>
        <w:tc>
          <w:tcPr>
            <w:tcW w:w="271" w:type="dxa"/>
            <w:tcBorders>
              <w:top w:val="nil"/>
              <w:left w:val="nil"/>
              <w:bottom w:val="nil"/>
              <w:right w:val="nil"/>
            </w:tcBorders>
            <w:shd w:val="clear" w:color="000000" w:fill="FFFFFF"/>
            <w:noWrap/>
            <w:vAlign w:val="bottom"/>
            <w:hideMark/>
          </w:tcPr>
          <w:p w14:paraId="38EF17B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476D4B0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12.97</w:t>
            </w:r>
          </w:p>
        </w:tc>
        <w:tc>
          <w:tcPr>
            <w:tcW w:w="271" w:type="dxa"/>
            <w:tcBorders>
              <w:top w:val="nil"/>
              <w:left w:val="nil"/>
              <w:bottom w:val="nil"/>
              <w:right w:val="nil"/>
            </w:tcBorders>
            <w:shd w:val="clear" w:color="000000" w:fill="FFFFFF"/>
            <w:noWrap/>
            <w:vAlign w:val="bottom"/>
            <w:hideMark/>
          </w:tcPr>
          <w:p w14:paraId="46E32D7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14533E3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10.99-15.29</w:t>
            </w:r>
          </w:p>
        </w:tc>
        <w:tc>
          <w:tcPr>
            <w:tcW w:w="271" w:type="dxa"/>
            <w:tcBorders>
              <w:top w:val="nil"/>
              <w:left w:val="nil"/>
              <w:bottom w:val="nil"/>
              <w:right w:val="nil"/>
            </w:tcBorders>
            <w:shd w:val="clear" w:color="000000" w:fill="FFFFFF"/>
            <w:noWrap/>
            <w:vAlign w:val="bottom"/>
            <w:hideMark/>
          </w:tcPr>
          <w:p w14:paraId="5886889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707FB031"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2BE171B3"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Black</w:t>
            </w:r>
          </w:p>
        </w:tc>
        <w:tc>
          <w:tcPr>
            <w:tcW w:w="3046" w:type="dxa"/>
            <w:tcBorders>
              <w:top w:val="nil"/>
              <w:left w:val="nil"/>
              <w:bottom w:val="nil"/>
              <w:right w:val="nil"/>
            </w:tcBorders>
            <w:shd w:val="clear" w:color="000000" w:fill="FFFFFF"/>
            <w:noWrap/>
            <w:vAlign w:val="bottom"/>
            <w:hideMark/>
          </w:tcPr>
          <w:p w14:paraId="02D3B75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506(22.61)</w:t>
            </w:r>
          </w:p>
        </w:tc>
        <w:tc>
          <w:tcPr>
            <w:tcW w:w="271" w:type="dxa"/>
            <w:tcBorders>
              <w:top w:val="nil"/>
              <w:left w:val="nil"/>
              <w:bottom w:val="nil"/>
              <w:right w:val="nil"/>
            </w:tcBorders>
            <w:shd w:val="clear" w:color="000000" w:fill="FFFFFF"/>
            <w:noWrap/>
            <w:vAlign w:val="bottom"/>
            <w:hideMark/>
          </w:tcPr>
          <w:p w14:paraId="0F2C8FB8"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3B9251E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140(5.16)</w:t>
            </w:r>
          </w:p>
        </w:tc>
        <w:tc>
          <w:tcPr>
            <w:tcW w:w="271" w:type="dxa"/>
            <w:tcBorders>
              <w:top w:val="nil"/>
              <w:left w:val="nil"/>
              <w:bottom w:val="nil"/>
              <w:right w:val="nil"/>
            </w:tcBorders>
            <w:shd w:val="clear" w:color="000000" w:fill="FFFFFF"/>
            <w:noWrap/>
            <w:vAlign w:val="bottom"/>
            <w:hideMark/>
          </w:tcPr>
          <w:p w14:paraId="775CBD0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3BCD3CB1"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5.37</w:t>
            </w:r>
          </w:p>
        </w:tc>
        <w:tc>
          <w:tcPr>
            <w:tcW w:w="271" w:type="dxa"/>
            <w:tcBorders>
              <w:top w:val="nil"/>
              <w:left w:val="nil"/>
              <w:bottom w:val="nil"/>
              <w:right w:val="nil"/>
            </w:tcBorders>
            <w:shd w:val="clear" w:color="000000" w:fill="FFFFFF"/>
            <w:noWrap/>
            <w:vAlign w:val="bottom"/>
            <w:hideMark/>
          </w:tcPr>
          <w:p w14:paraId="4B9E292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0D9D37E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4.41-6.53</w:t>
            </w:r>
          </w:p>
        </w:tc>
        <w:tc>
          <w:tcPr>
            <w:tcW w:w="271" w:type="dxa"/>
            <w:tcBorders>
              <w:top w:val="nil"/>
              <w:left w:val="nil"/>
              <w:bottom w:val="nil"/>
              <w:right w:val="nil"/>
            </w:tcBorders>
            <w:shd w:val="clear" w:color="000000" w:fill="FFFFFF"/>
            <w:noWrap/>
            <w:vAlign w:val="bottom"/>
            <w:hideMark/>
          </w:tcPr>
          <w:p w14:paraId="63773D8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5A5F49D8"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6D972D53"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Other</w:t>
            </w:r>
          </w:p>
        </w:tc>
        <w:tc>
          <w:tcPr>
            <w:tcW w:w="3046" w:type="dxa"/>
            <w:tcBorders>
              <w:top w:val="nil"/>
              <w:left w:val="nil"/>
              <w:bottom w:val="nil"/>
              <w:right w:val="nil"/>
            </w:tcBorders>
            <w:shd w:val="clear" w:color="000000" w:fill="FFFFFF"/>
            <w:noWrap/>
            <w:vAlign w:val="bottom"/>
            <w:hideMark/>
          </w:tcPr>
          <w:p w14:paraId="5BB2CE2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399(17.83)</w:t>
            </w:r>
          </w:p>
        </w:tc>
        <w:tc>
          <w:tcPr>
            <w:tcW w:w="271" w:type="dxa"/>
            <w:tcBorders>
              <w:top w:val="nil"/>
              <w:left w:val="nil"/>
              <w:bottom w:val="nil"/>
              <w:right w:val="nil"/>
            </w:tcBorders>
            <w:shd w:val="clear" w:color="000000" w:fill="FFFFFF"/>
            <w:noWrap/>
            <w:vAlign w:val="bottom"/>
            <w:hideMark/>
          </w:tcPr>
          <w:p w14:paraId="759B7187"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675F2D3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177(6.53)</w:t>
            </w:r>
          </w:p>
        </w:tc>
        <w:tc>
          <w:tcPr>
            <w:tcW w:w="271" w:type="dxa"/>
            <w:tcBorders>
              <w:top w:val="nil"/>
              <w:left w:val="nil"/>
              <w:bottom w:val="nil"/>
              <w:right w:val="nil"/>
            </w:tcBorders>
            <w:shd w:val="clear" w:color="000000" w:fill="FFFFFF"/>
            <w:noWrap/>
            <w:vAlign w:val="bottom"/>
            <w:hideMark/>
          </w:tcPr>
          <w:p w14:paraId="4955B96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78B6368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3.11</w:t>
            </w:r>
          </w:p>
        </w:tc>
        <w:tc>
          <w:tcPr>
            <w:tcW w:w="271" w:type="dxa"/>
            <w:tcBorders>
              <w:top w:val="nil"/>
              <w:left w:val="nil"/>
              <w:bottom w:val="nil"/>
              <w:right w:val="nil"/>
            </w:tcBorders>
            <w:shd w:val="clear" w:color="000000" w:fill="FFFFFF"/>
            <w:noWrap/>
            <w:vAlign w:val="bottom"/>
            <w:hideMark/>
          </w:tcPr>
          <w:p w14:paraId="0157976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18588F68"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2.58-3.74</w:t>
            </w:r>
          </w:p>
        </w:tc>
        <w:tc>
          <w:tcPr>
            <w:tcW w:w="271" w:type="dxa"/>
            <w:tcBorders>
              <w:top w:val="nil"/>
              <w:left w:val="nil"/>
              <w:bottom w:val="nil"/>
              <w:right w:val="nil"/>
            </w:tcBorders>
            <w:shd w:val="clear" w:color="000000" w:fill="FFFFFF"/>
            <w:noWrap/>
            <w:vAlign w:val="bottom"/>
            <w:hideMark/>
          </w:tcPr>
          <w:p w14:paraId="188250B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3B5E7234"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14A0BEFF" w14:textId="77777777" w:rsidR="00484A96" w:rsidRPr="00EF28DC" w:rsidRDefault="00484A96" w:rsidP="00E22D45">
            <w:pPr>
              <w:rPr>
                <w:rFonts w:eastAsia="Times New Roman"/>
                <w:b/>
                <w:bCs/>
                <w:color w:val="000000"/>
                <w:sz w:val="22"/>
                <w:szCs w:val="22"/>
                <w:lang w:val="en-US"/>
              </w:rPr>
            </w:pPr>
            <w:r w:rsidRPr="00EF28DC">
              <w:rPr>
                <w:rFonts w:eastAsia="Times New Roman"/>
                <w:b/>
                <w:bCs/>
                <w:color w:val="000000"/>
                <w:sz w:val="22"/>
                <w:szCs w:val="22"/>
                <w:lang w:val="en-US"/>
              </w:rPr>
              <w:t>Lifestyle</w:t>
            </w:r>
          </w:p>
        </w:tc>
        <w:tc>
          <w:tcPr>
            <w:tcW w:w="3046" w:type="dxa"/>
            <w:tcBorders>
              <w:top w:val="nil"/>
              <w:left w:val="nil"/>
              <w:bottom w:val="nil"/>
              <w:right w:val="nil"/>
            </w:tcBorders>
            <w:shd w:val="clear" w:color="000000" w:fill="FFFFFF"/>
            <w:noWrap/>
            <w:vAlign w:val="bottom"/>
            <w:hideMark/>
          </w:tcPr>
          <w:p w14:paraId="75CBFE6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2DEC6182"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60657DD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30994AC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03D61AB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47CCC72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16023FF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6F5C1A0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7B834AA3"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315006A3"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Friends from different ethnic group</w:t>
            </w:r>
          </w:p>
        </w:tc>
        <w:tc>
          <w:tcPr>
            <w:tcW w:w="3046" w:type="dxa"/>
            <w:tcBorders>
              <w:top w:val="nil"/>
              <w:left w:val="nil"/>
              <w:bottom w:val="nil"/>
              <w:right w:val="nil"/>
            </w:tcBorders>
            <w:shd w:val="clear" w:color="000000" w:fill="FFFFFF"/>
            <w:noWrap/>
            <w:vAlign w:val="bottom"/>
            <w:hideMark/>
          </w:tcPr>
          <w:p w14:paraId="661B7B9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1,063(47.50)</w:t>
            </w:r>
          </w:p>
        </w:tc>
        <w:tc>
          <w:tcPr>
            <w:tcW w:w="271" w:type="dxa"/>
            <w:tcBorders>
              <w:top w:val="nil"/>
              <w:left w:val="nil"/>
              <w:bottom w:val="nil"/>
              <w:right w:val="nil"/>
            </w:tcBorders>
            <w:shd w:val="clear" w:color="000000" w:fill="FFFFFF"/>
            <w:noWrap/>
            <w:vAlign w:val="bottom"/>
            <w:hideMark/>
          </w:tcPr>
          <w:p w14:paraId="47608082" w14:textId="77777777" w:rsidR="00484A96" w:rsidRPr="00EF28DC" w:rsidRDefault="00484A96" w:rsidP="00E22D45">
            <w:pPr>
              <w:rPr>
                <w:rFonts w:eastAsia="Times New Roman"/>
                <w:b/>
                <w:bCs/>
                <w:color w:val="000000"/>
                <w:sz w:val="22"/>
                <w:szCs w:val="22"/>
                <w:lang w:val="en-US"/>
              </w:rPr>
            </w:pPr>
            <w:r w:rsidRPr="00EF28DC">
              <w:rPr>
                <w:rFonts w:eastAsia="Times New Roman"/>
                <w:b/>
                <w:bCs/>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5C2EC75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521(19.22)</w:t>
            </w:r>
          </w:p>
        </w:tc>
        <w:tc>
          <w:tcPr>
            <w:tcW w:w="271" w:type="dxa"/>
            <w:tcBorders>
              <w:top w:val="nil"/>
              <w:left w:val="nil"/>
              <w:bottom w:val="nil"/>
              <w:right w:val="nil"/>
            </w:tcBorders>
            <w:shd w:val="clear" w:color="000000" w:fill="FFFFFF"/>
            <w:noWrap/>
            <w:vAlign w:val="bottom"/>
            <w:hideMark/>
          </w:tcPr>
          <w:p w14:paraId="09A2B68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4240B23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3.80</w:t>
            </w:r>
          </w:p>
        </w:tc>
        <w:tc>
          <w:tcPr>
            <w:tcW w:w="271" w:type="dxa"/>
            <w:tcBorders>
              <w:top w:val="nil"/>
              <w:left w:val="nil"/>
              <w:bottom w:val="nil"/>
              <w:right w:val="nil"/>
            </w:tcBorders>
            <w:shd w:val="clear" w:color="000000" w:fill="FFFFFF"/>
            <w:noWrap/>
            <w:vAlign w:val="bottom"/>
            <w:hideMark/>
          </w:tcPr>
          <w:p w14:paraId="470257D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3FF0240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3.35-4.32</w:t>
            </w:r>
          </w:p>
        </w:tc>
        <w:tc>
          <w:tcPr>
            <w:tcW w:w="271" w:type="dxa"/>
            <w:tcBorders>
              <w:top w:val="nil"/>
              <w:left w:val="nil"/>
              <w:bottom w:val="nil"/>
              <w:right w:val="nil"/>
            </w:tcBorders>
            <w:shd w:val="clear" w:color="000000" w:fill="FFFFFF"/>
            <w:noWrap/>
            <w:vAlign w:val="bottom"/>
            <w:hideMark/>
          </w:tcPr>
          <w:p w14:paraId="7AA3DDD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55B43A3A"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76D34A0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Non-English main language</w:t>
            </w:r>
          </w:p>
        </w:tc>
        <w:tc>
          <w:tcPr>
            <w:tcW w:w="3046" w:type="dxa"/>
            <w:tcBorders>
              <w:top w:val="nil"/>
              <w:left w:val="nil"/>
              <w:bottom w:val="nil"/>
              <w:right w:val="nil"/>
            </w:tcBorders>
            <w:shd w:val="clear" w:color="000000" w:fill="FFFFFF"/>
            <w:noWrap/>
            <w:vAlign w:val="bottom"/>
            <w:hideMark/>
          </w:tcPr>
          <w:p w14:paraId="22CB96E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1,256(56.12)</w:t>
            </w:r>
          </w:p>
        </w:tc>
        <w:tc>
          <w:tcPr>
            <w:tcW w:w="271" w:type="dxa"/>
            <w:tcBorders>
              <w:top w:val="nil"/>
              <w:left w:val="nil"/>
              <w:bottom w:val="nil"/>
              <w:right w:val="nil"/>
            </w:tcBorders>
            <w:shd w:val="clear" w:color="000000" w:fill="FFFFFF"/>
            <w:noWrap/>
            <w:vAlign w:val="bottom"/>
            <w:hideMark/>
          </w:tcPr>
          <w:p w14:paraId="7769FEB3"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385D1BD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86(3.17)</w:t>
            </w:r>
          </w:p>
        </w:tc>
        <w:tc>
          <w:tcPr>
            <w:tcW w:w="271" w:type="dxa"/>
            <w:tcBorders>
              <w:top w:val="nil"/>
              <w:left w:val="nil"/>
              <w:bottom w:val="nil"/>
              <w:right w:val="nil"/>
            </w:tcBorders>
            <w:shd w:val="clear" w:color="000000" w:fill="FFFFFF"/>
            <w:noWrap/>
            <w:vAlign w:val="bottom"/>
            <w:hideMark/>
          </w:tcPr>
          <w:p w14:paraId="670259B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6039251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39.04</w:t>
            </w:r>
          </w:p>
        </w:tc>
        <w:tc>
          <w:tcPr>
            <w:tcW w:w="271" w:type="dxa"/>
            <w:tcBorders>
              <w:top w:val="nil"/>
              <w:left w:val="nil"/>
              <w:bottom w:val="nil"/>
              <w:right w:val="nil"/>
            </w:tcBorders>
            <w:shd w:val="clear" w:color="000000" w:fill="FFFFFF"/>
            <w:noWrap/>
            <w:vAlign w:val="bottom"/>
            <w:hideMark/>
          </w:tcPr>
          <w:p w14:paraId="0B519CA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54F2B72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31.00-49.16</w:t>
            </w:r>
          </w:p>
        </w:tc>
        <w:tc>
          <w:tcPr>
            <w:tcW w:w="271" w:type="dxa"/>
            <w:tcBorders>
              <w:top w:val="nil"/>
              <w:left w:val="nil"/>
              <w:bottom w:val="nil"/>
              <w:right w:val="nil"/>
            </w:tcBorders>
            <w:shd w:val="clear" w:color="000000" w:fill="FFFFFF"/>
            <w:noWrap/>
            <w:vAlign w:val="bottom"/>
            <w:hideMark/>
          </w:tcPr>
          <w:p w14:paraId="7E6A791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31541BA5"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7E2A9902" w14:textId="77777777" w:rsidR="00484A96" w:rsidRPr="00EF28DC" w:rsidRDefault="00484A96" w:rsidP="00E22D45">
            <w:pPr>
              <w:rPr>
                <w:rFonts w:eastAsia="Times New Roman"/>
                <w:color w:val="000000"/>
                <w:sz w:val="22"/>
                <w:szCs w:val="22"/>
                <w:lang w:val="en-US"/>
              </w:rPr>
            </w:pPr>
            <w:r>
              <w:rPr>
                <w:rFonts w:eastAsia="Times New Roman"/>
                <w:color w:val="000000"/>
                <w:sz w:val="22"/>
                <w:szCs w:val="22"/>
                <w:lang w:val="en-US"/>
              </w:rPr>
              <w:t>Neighbourhood</w:t>
            </w:r>
            <w:r w:rsidRPr="00EF28DC">
              <w:rPr>
                <w:rFonts w:eastAsia="Times New Roman"/>
                <w:color w:val="000000"/>
                <w:sz w:val="22"/>
                <w:szCs w:val="22"/>
                <w:lang w:val="en-US"/>
              </w:rPr>
              <w:t xml:space="preserve"> dissatisfaction</w:t>
            </w:r>
          </w:p>
        </w:tc>
        <w:tc>
          <w:tcPr>
            <w:tcW w:w="3046" w:type="dxa"/>
            <w:tcBorders>
              <w:top w:val="nil"/>
              <w:left w:val="nil"/>
              <w:bottom w:val="nil"/>
              <w:right w:val="nil"/>
            </w:tcBorders>
            <w:shd w:val="clear" w:color="000000" w:fill="FFFFFF"/>
            <w:noWrap/>
            <w:vAlign w:val="bottom"/>
            <w:hideMark/>
          </w:tcPr>
          <w:p w14:paraId="433CEF0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739(33.02)</w:t>
            </w:r>
          </w:p>
        </w:tc>
        <w:tc>
          <w:tcPr>
            <w:tcW w:w="271" w:type="dxa"/>
            <w:tcBorders>
              <w:top w:val="nil"/>
              <w:left w:val="nil"/>
              <w:bottom w:val="nil"/>
              <w:right w:val="nil"/>
            </w:tcBorders>
            <w:shd w:val="clear" w:color="000000" w:fill="FFFFFF"/>
            <w:noWrap/>
            <w:vAlign w:val="bottom"/>
            <w:hideMark/>
          </w:tcPr>
          <w:p w14:paraId="13AB42A7"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2C28C95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926(34.16)</w:t>
            </w:r>
          </w:p>
        </w:tc>
        <w:tc>
          <w:tcPr>
            <w:tcW w:w="271" w:type="dxa"/>
            <w:tcBorders>
              <w:top w:val="nil"/>
              <w:left w:val="nil"/>
              <w:bottom w:val="nil"/>
              <w:right w:val="nil"/>
            </w:tcBorders>
            <w:shd w:val="clear" w:color="000000" w:fill="FFFFFF"/>
            <w:noWrap/>
            <w:vAlign w:val="bottom"/>
            <w:hideMark/>
          </w:tcPr>
          <w:p w14:paraId="33C13C8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173B5DF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0.95</w:t>
            </w:r>
          </w:p>
        </w:tc>
        <w:tc>
          <w:tcPr>
            <w:tcW w:w="271" w:type="dxa"/>
            <w:tcBorders>
              <w:top w:val="nil"/>
              <w:left w:val="nil"/>
              <w:bottom w:val="nil"/>
              <w:right w:val="nil"/>
            </w:tcBorders>
            <w:shd w:val="clear" w:color="000000" w:fill="FFFFFF"/>
            <w:noWrap/>
            <w:vAlign w:val="bottom"/>
            <w:hideMark/>
          </w:tcPr>
          <w:p w14:paraId="5B9151B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70F85954"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0.84-1.07</w:t>
            </w:r>
          </w:p>
        </w:tc>
        <w:tc>
          <w:tcPr>
            <w:tcW w:w="271" w:type="dxa"/>
            <w:tcBorders>
              <w:top w:val="nil"/>
              <w:left w:val="nil"/>
              <w:bottom w:val="nil"/>
              <w:right w:val="nil"/>
            </w:tcBorders>
            <w:shd w:val="clear" w:color="000000" w:fill="FFFFFF"/>
            <w:noWrap/>
            <w:vAlign w:val="bottom"/>
            <w:hideMark/>
          </w:tcPr>
          <w:p w14:paraId="0287DDC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4258DC88"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02B5688E"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Harassment</w:t>
            </w:r>
          </w:p>
        </w:tc>
        <w:tc>
          <w:tcPr>
            <w:tcW w:w="3046" w:type="dxa"/>
            <w:tcBorders>
              <w:top w:val="nil"/>
              <w:left w:val="nil"/>
              <w:bottom w:val="nil"/>
              <w:right w:val="nil"/>
            </w:tcBorders>
            <w:shd w:val="clear" w:color="000000" w:fill="FFFFFF"/>
            <w:noWrap/>
            <w:vAlign w:val="bottom"/>
            <w:hideMark/>
          </w:tcPr>
          <w:p w14:paraId="0478D16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1,276(57.02)</w:t>
            </w:r>
          </w:p>
        </w:tc>
        <w:tc>
          <w:tcPr>
            <w:tcW w:w="271" w:type="dxa"/>
            <w:tcBorders>
              <w:top w:val="nil"/>
              <w:left w:val="nil"/>
              <w:bottom w:val="nil"/>
              <w:right w:val="nil"/>
            </w:tcBorders>
            <w:shd w:val="clear" w:color="000000" w:fill="FFFFFF"/>
            <w:noWrap/>
            <w:vAlign w:val="bottom"/>
            <w:hideMark/>
          </w:tcPr>
          <w:p w14:paraId="2A0515C9"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20219C8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817(30.14)</w:t>
            </w:r>
          </w:p>
        </w:tc>
        <w:tc>
          <w:tcPr>
            <w:tcW w:w="271" w:type="dxa"/>
            <w:tcBorders>
              <w:top w:val="nil"/>
              <w:left w:val="nil"/>
              <w:bottom w:val="nil"/>
              <w:right w:val="nil"/>
            </w:tcBorders>
            <w:shd w:val="clear" w:color="000000" w:fill="FFFFFF"/>
            <w:noWrap/>
            <w:vAlign w:val="bottom"/>
            <w:hideMark/>
          </w:tcPr>
          <w:p w14:paraId="447F7DF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6A10396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3.07</w:t>
            </w:r>
          </w:p>
        </w:tc>
        <w:tc>
          <w:tcPr>
            <w:tcW w:w="271" w:type="dxa"/>
            <w:tcBorders>
              <w:top w:val="nil"/>
              <w:left w:val="nil"/>
              <w:bottom w:val="nil"/>
              <w:right w:val="nil"/>
            </w:tcBorders>
            <w:shd w:val="clear" w:color="000000" w:fill="FFFFFF"/>
            <w:noWrap/>
            <w:vAlign w:val="bottom"/>
            <w:hideMark/>
          </w:tcPr>
          <w:p w14:paraId="0B77A76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085CB7C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2.73-3.46</w:t>
            </w:r>
          </w:p>
        </w:tc>
        <w:tc>
          <w:tcPr>
            <w:tcW w:w="271" w:type="dxa"/>
            <w:tcBorders>
              <w:top w:val="nil"/>
              <w:left w:val="nil"/>
              <w:bottom w:val="nil"/>
              <w:right w:val="nil"/>
            </w:tcBorders>
            <w:shd w:val="clear" w:color="000000" w:fill="FFFFFF"/>
            <w:noWrap/>
            <w:vAlign w:val="bottom"/>
            <w:hideMark/>
          </w:tcPr>
          <w:p w14:paraId="68027BE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6D5ECF4E"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66113867" w14:textId="77777777" w:rsidR="00484A96" w:rsidRPr="00EF28DC" w:rsidRDefault="00484A96" w:rsidP="00E22D45">
            <w:pPr>
              <w:rPr>
                <w:rFonts w:eastAsia="Times New Roman"/>
                <w:b/>
                <w:bCs/>
                <w:color w:val="000000"/>
                <w:sz w:val="22"/>
                <w:szCs w:val="22"/>
                <w:lang w:val="en-US"/>
              </w:rPr>
            </w:pPr>
            <w:r>
              <w:rPr>
                <w:rFonts w:eastAsia="Times New Roman"/>
                <w:b/>
                <w:bCs/>
                <w:color w:val="000000"/>
                <w:sz w:val="22"/>
                <w:szCs w:val="22"/>
                <w:lang w:val="en-US"/>
              </w:rPr>
              <w:t>Negative perceptions</w:t>
            </w:r>
          </w:p>
        </w:tc>
        <w:tc>
          <w:tcPr>
            <w:tcW w:w="3046" w:type="dxa"/>
            <w:tcBorders>
              <w:top w:val="nil"/>
              <w:left w:val="nil"/>
              <w:bottom w:val="nil"/>
              <w:right w:val="nil"/>
            </w:tcBorders>
            <w:shd w:val="clear" w:color="000000" w:fill="FFFFFF"/>
            <w:noWrap/>
            <w:vAlign w:val="bottom"/>
            <w:hideMark/>
          </w:tcPr>
          <w:p w14:paraId="3DADAFF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4B43994D" w14:textId="77777777" w:rsidR="00484A96" w:rsidRPr="00EF28DC" w:rsidRDefault="00484A96" w:rsidP="00E22D45">
            <w:pPr>
              <w:rPr>
                <w:rFonts w:eastAsia="Times New Roman"/>
                <w:b/>
                <w:bCs/>
                <w:color w:val="000000"/>
                <w:sz w:val="22"/>
                <w:szCs w:val="22"/>
                <w:lang w:val="en-US"/>
              </w:rPr>
            </w:pPr>
            <w:r w:rsidRPr="00EF28DC">
              <w:rPr>
                <w:rFonts w:eastAsia="Times New Roman"/>
                <w:b/>
                <w:bCs/>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7B5CF64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386059A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635B67E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44ADF0C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5FFA85F6"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28F22AC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47875FC6"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6943CF1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Exclusion</w:t>
            </w:r>
          </w:p>
        </w:tc>
        <w:tc>
          <w:tcPr>
            <w:tcW w:w="3046" w:type="dxa"/>
            <w:tcBorders>
              <w:top w:val="nil"/>
              <w:left w:val="nil"/>
              <w:bottom w:val="nil"/>
              <w:right w:val="nil"/>
            </w:tcBorders>
            <w:shd w:val="clear" w:color="000000" w:fill="FFFFFF"/>
            <w:noWrap/>
            <w:vAlign w:val="bottom"/>
            <w:hideMark/>
          </w:tcPr>
          <w:p w14:paraId="696C3A4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390(17.43)</w:t>
            </w:r>
          </w:p>
        </w:tc>
        <w:tc>
          <w:tcPr>
            <w:tcW w:w="271" w:type="dxa"/>
            <w:tcBorders>
              <w:top w:val="nil"/>
              <w:left w:val="nil"/>
              <w:bottom w:val="nil"/>
              <w:right w:val="nil"/>
            </w:tcBorders>
            <w:shd w:val="clear" w:color="000000" w:fill="FFFFFF"/>
            <w:noWrap/>
            <w:vAlign w:val="bottom"/>
            <w:hideMark/>
          </w:tcPr>
          <w:p w14:paraId="7803E9D0" w14:textId="77777777" w:rsidR="00484A96" w:rsidRPr="00EF28DC" w:rsidRDefault="00484A96" w:rsidP="00E22D45">
            <w:pPr>
              <w:rPr>
                <w:rFonts w:eastAsia="Times New Roman"/>
                <w:b/>
                <w:bCs/>
                <w:color w:val="000000"/>
                <w:sz w:val="22"/>
                <w:szCs w:val="22"/>
                <w:lang w:val="en-US"/>
              </w:rPr>
            </w:pPr>
            <w:r w:rsidRPr="00EF28DC">
              <w:rPr>
                <w:rFonts w:eastAsia="Times New Roman"/>
                <w:b/>
                <w:bCs/>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492DC9B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316(11.66)</w:t>
            </w:r>
          </w:p>
        </w:tc>
        <w:tc>
          <w:tcPr>
            <w:tcW w:w="271" w:type="dxa"/>
            <w:tcBorders>
              <w:top w:val="nil"/>
              <w:left w:val="nil"/>
              <w:bottom w:val="nil"/>
              <w:right w:val="nil"/>
            </w:tcBorders>
            <w:shd w:val="clear" w:color="000000" w:fill="FFFFFF"/>
            <w:noWrap/>
            <w:vAlign w:val="bottom"/>
            <w:hideMark/>
          </w:tcPr>
          <w:p w14:paraId="7CA08D1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365228E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1.60</w:t>
            </w:r>
          </w:p>
        </w:tc>
        <w:tc>
          <w:tcPr>
            <w:tcW w:w="271" w:type="dxa"/>
            <w:tcBorders>
              <w:top w:val="nil"/>
              <w:left w:val="nil"/>
              <w:bottom w:val="nil"/>
              <w:right w:val="nil"/>
            </w:tcBorders>
            <w:shd w:val="clear" w:color="000000" w:fill="FFFFFF"/>
            <w:noWrap/>
            <w:vAlign w:val="bottom"/>
            <w:hideMark/>
          </w:tcPr>
          <w:p w14:paraId="08F8664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3C77D63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1.36-1.88</w:t>
            </w:r>
          </w:p>
        </w:tc>
        <w:tc>
          <w:tcPr>
            <w:tcW w:w="271" w:type="dxa"/>
            <w:tcBorders>
              <w:top w:val="nil"/>
              <w:left w:val="nil"/>
              <w:bottom w:val="nil"/>
              <w:right w:val="nil"/>
            </w:tcBorders>
            <w:shd w:val="clear" w:color="000000" w:fill="FFFFFF"/>
            <w:noWrap/>
            <w:vAlign w:val="bottom"/>
            <w:hideMark/>
          </w:tcPr>
          <w:p w14:paraId="5C62709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398C3BF1"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2F720ADE"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lastRenderedPageBreak/>
              <w:t>No Influence</w:t>
            </w:r>
          </w:p>
        </w:tc>
        <w:tc>
          <w:tcPr>
            <w:tcW w:w="3046" w:type="dxa"/>
            <w:tcBorders>
              <w:top w:val="nil"/>
              <w:left w:val="nil"/>
              <w:bottom w:val="nil"/>
              <w:right w:val="nil"/>
            </w:tcBorders>
            <w:shd w:val="clear" w:color="000000" w:fill="FFFFFF"/>
            <w:noWrap/>
            <w:vAlign w:val="bottom"/>
            <w:hideMark/>
          </w:tcPr>
          <w:p w14:paraId="4517BB9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1,085(48.48)</w:t>
            </w:r>
          </w:p>
        </w:tc>
        <w:tc>
          <w:tcPr>
            <w:tcW w:w="271" w:type="dxa"/>
            <w:tcBorders>
              <w:top w:val="nil"/>
              <w:left w:val="nil"/>
              <w:bottom w:val="nil"/>
              <w:right w:val="nil"/>
            </w:tcBorders>
            <w:shd w:val="clear" w:color="000000" w:fill="FFFFFF"/>
            <w:noWrap/>
            <w:vAlign w:val="bottom"/>
            <w:hideMark/>
          </w:tcPr>
          <w:p w14:paraId="3A85757D"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2CF9152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1,545(56.99)</w:t>
            </w:r>
          </w:p>
        </w:tc>
        <w:tc>
          <w:tcPr>
            <w:tcW w:w="271" w:type="dxa"/>
            <w:tcBorders>
              <w:top w:val="nil"/>
              <w:left w:val="nil"/>
              <w:bottom w:val="nil"/>
              <w:right w:val="nil"/>
            </w:tcBorders>
            <w:shd w:val="clear" w:color="000000" w:fill="FFFFFF"/>
            <w:noWrap/>
            <w:vAlign w:val="bottom"/>
            <w:hideMark/>
          </w:tcPr>
          <w:p w14:paraId="6AAC48D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6E7410C3"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0.71</w:t>
            </w:r>
          </w:p>
        </w:tc>
        <w:tc>
          <w:tcPr>
            <w:tcW w:w="271" w:type="dxa"/>
            <w:tcBorders>
              <w:top w:val="nil"/>
              <w:left w:val="nil"/>
              <w:bottom w:val="nil"/>
              <w:right w:val="nil"/>
            </w:tcBorders>
            <w:shd w:val="clear" w:color="000000" w:fill="FFFFFF"/>
            <w:noWrap/>
            <w:vAlign w:val="bottom"/>
            <w:hideMark/>
          </w:tcPr>
          <w:p w14:paraId="75B3F7C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14369A7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0.63-0.79</w:t>
            </w:r>
          </w:p>
        </w:tc>
        <w:tc>
          <w:tcPr>
            <w:tcW w:w="271" w:type="dxa"/>
            <w:tcBorders>
              <w:top w:val="nil"/>
              <w:left w:val="nil"/>
              <w:bottom w:val="nil"/>
              <w:right w:val="nil"/>
            </w:tcBorders>
            <w:shd w:val="clear" w:color="000000" w:fill="FFFFFF"/>
            <w:noWrap/>
            <w:vAlign w:val="bottom"/>
            <w:hideMark/>
          </w:tcPr>
          <w:p w14:paraId="0DD1829B"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7B44AE15"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53E458E7"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Mistrust in police</w:t>
            </w:r>
          </w:p>
        </w:tc>
        <w:tc>
          <w:tcPr>
            <w:tcW w:w="3046" w:type="dxa"/>
            <w:tcBorders>
              <w:top w:val="nil"/>
              <w:left w:val="nil"/>
              <w:bottom w:val="nil"/>
              <w:right w:val="nil"/>
            </w:tcBorders>
            <w:shd w:val="clear" w:color="000000" w:fill="FFFFFF"/>
            <w:noWrap/>
            <w:vAlign w:val="bottom"/>
            <w:hideMark/>
          </w:tcPr>
          <w:p w14:paraId="7A33734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354(15.82)</w:t>
            </w:r>
          </w:p>
        </w:tc>
        <w:tc>
          <w:tcPr>
            <w:tcW w:w="271" w:type="dxa"/>
            <w:tcBorders>
              <w:top w:val="nil"/>
              <w:left w:val="nil"/>
              <w:bottom w:val="nil"/>
              <w:right w:val="nil"/>
            </w:tcBorders>
            <w:shd w:val="clear" w:color="000000" w:fill="FFFFFF"/>
            <w:noWrap/>
            <w:vAlign w:val="bottom"/>
            <w:hideMark/>
          </w:tcPr>
          <w:p w14:paraId="22DA5112"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2C64F72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538(19.85)</w:t>
            </w:r>
          </w:p>
        </w:tc>
        <w:tc>
          <w:tcPr>
            <w:tcW w:w="271" w:type="dxa"/>
            <w:tcBorders>
              <w:top w:val="nil"/>
              <w:left w:val="nil"/>
              <w:bottom w:val="nil"/>
              <w:right w:val="nil"/>
            </w:tcBorders>
            <w:shd w:val="clear" w:color="000000" w:fill="FFFFFF"/>
            <w:noWrap/>
            <w:vAlign w:val="bottom"/>
            <w:hideMark/>
          </w:tcPr>
          <w:p w14:paraId="386993CA"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45578E50"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0.76</w:t>
            </w:r>
          </w:p>
        </w:tc>
        <w:tc>
          <w:tcPr>
            <w:tcW w:w="271" w:type="dxa"/>
            <w:tcBorders>
              <w:top w:val="nil"/>
              <w:left w:val="nil"/>
              <w:bottom w:val="nil"/>
              <w:right w:val="nil"/>
            </w:tcBorders>
            <w:shd w:val="clear" w:color="000000" w:fill="FFFFFF"/>
            <w:noWrap/>
            <w:vAlign w:val="bottom"/>
            <w:hideMark/>
          </w:tcPr>
          <w:p w14:paraId="4AFB7C6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2CE0B0D2"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0.65-0.88</w:t>
            </w:r>
          </w:p>
        </w:tc>
        <w:tc>
          <w:tcPr>
            <w:tcW w:w="271" w:type="dxa"/>
            <w:tcBorders>
              <w:top w:val="nil"/>
              <w:left w:val="nil"/>
              <w:bottom w:val="nil"/>
              <w:right w:val="nil"/>
            </w:tcBorders>
            <w:shd w:val="clear" w:color="000000" w:fill="FFFFFF"/>
            <w:noWrap/>
            <w:vAlign w:val="bottom"/>
            <w:hideMark/>
          </w:tcPr>
          <w:p w14:paraId="42EC389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788DBC53" w14:textId="77777777" w:rsidTr="00484A96">
        <w:trPr>
          <w:divId w:val="1212186410"/>
          <w:trHeight w:val="322"/>
        </w:trPr>
        <w:tc>
          <w:tcPr>
            <w:tcW w:w="4419" w:type="dxa"/>
            <w:tcBorders>
              <w:top w:val="nil"/>
              <w:left w:val="nil"/>
              <w:bottom w:val="nil"/>
              <w:right w:val="nil"/>
            </w:tcBorders>
            <w:shd w:val="clear" w:color="000000" w:fill="FFFFFF"/>
            <w:noWrap/>
            <w:vAlign w:val="bottom"/>
            <w:hideMark/>
          </w:tcPr>
          <w:p w14:paraId="14D74DAC"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Fear of crime</w:t>
            </w:r>
          </w:p>
        </w:tc>
        <w:tc>
          <w:tcPr>
            <w:tcW w:w="3046" w:type="dxa"/>
            <w:tcBorders>
              <w:top w:val="nil"/>
              <w:left w:val="nil"/>
              <w:bottom w:val="nil"/>
              <w:right w:val="nil"/>
            </w:tcBorders>
            <w:shd w:val="clear" w:color="000000" w:fill="FFFFFF"/>
            <w:noWrap/>
            <w:vAlign w:val="bottom"/>
            <w:hideMark/>
          </w:tcPr>
          <w:p w14:paraId="22CB84A5"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341(15.24)</w:t>
            </w:r>
          </w:p>
        </w:tc>
        <w:tc>
          <w:tcPr>
            <w:tcW w:w="271" w:type="dxa"/>
            <w:tcBorders>
              <w:top w:val="nil"/>
              <w:left w:val="nil"/>
              <w:bottom w:val="nil"/>
              <w:right w:val="nil"/>
            </w:tcBorders>
            <w:shd w:val="clear" w:color="000000" w:fill="FFFFFF"/>
            <w:noWrap/>
            <w:vAlign w:val="bottom"/>
            <w:hideMark/>
          </w:tcPr>
          <w:p w14:paraId="74AC7A84"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17E50C39"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196(7.23)</w:t>
            </w:r>
          </w:p>
        </w:tc>
        <w:tc>
          <w:tcPr>
            <w:tcW w:w="271" w:type="dxa"/>
            <w:tcBorders>
              <w:top w:val="nil"/>
              <w:left w:val="nil"/>
              <w:bottom w:val="nil"/>
              <w:right w:val="nil"/>
            </w:tcBorders>
            <w:shd w:val="clear" w:color="auto" w:fill="auto"/>
            <w:noWrap/>
            <w:vAlign w:val="bottom"/>
            <w:hideMark/>
          </w:tcPr>
          <w:p w14:paraId="49129A55" w14:textId="77777777" w:rsidR="00484A96" w:rsidRPr="00EF28DC" w:rsidRDefault="00484A96" w:rsidP="00E22D45">
            <w:pPr>
              <w:rPr>
                <w:rFonts w:eastAsia="Times New Roman"/>
                <w:color w:val="000000"/>
                <w:sz w:val="22"/>
                <w:szCs w:val="22"/>
                <w:lang w:val="en-US"/>
              </w:rPr>
            </w:pPr>
          </w:p>
        </w:tc>
        <w:tc>
          <w:tcPr>
            <w:tcW w:w="738" w:type="dxa"/>
            <w:tcBorders>
              <w:top w:val="nil"/>
              <w:left w:val="nil"/>
              <w:bottom w:val="nil"/>
              <w:right w:val="nil"/>
            </w:tcBorders>
            <w:shd w:val="clear" w:color="000000" w:fill="FFFFFF"/>
            <w:noWrap/>
            <w:vAlign w:val="bottom"/>
            <w:hideMark/>
          </w:tcPr>
          <w:p w14:paraId="69B78E7C"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2.31</w:t>
            </w:r>
          </w:p>
        </w:tc>
        <w:tc>
          <w:tcPr>
            <w:tcW w:w="271" w:type="dxa"/>
            <w:tcBorders>
              <w:top w:val="nil"/>
              <w:left w:val="nil"/>
              <w:bottom w:val="nil"/>
              <w:right w:val="nil"/>
            </w:tcBorders>
            <w:shd w:val="clear" w:color="000000" w:fill="FFFFFF"/>
            <w:noWrap/>
            <w:vAlign w:val="bottom"/>
            <w:hideMark/>
          </w:tcPr>
          <w:p w14:paraId="41E2228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1B5496ED"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1.92-2.78</w:t>
            </w:r>
          </w:p>
        </w:tc>
        <w:tc>
          <w:tcPr>
            <w:tcW w:w="271" w:type="dxa"/>
            <w:tcBorders>
              <w:top w:val="nil"/>
              <w:left w:val="nil"/>
              <w:bottom w:val="nil"/>
              <w:right w:val="nil"/>
            </w:tcBorders>
            <w:shd w:val="clear" w:color="000000" w:fill="FFFFFF"/>
            <w:noWrap/>
            <w:vAlign w:val="bottom"/>
            <w:hideMark/>
          </w:tcPr>
          <w:p w14:paraId="172EC6C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r w:rsidR="00484A96" w:rsidRPr="00EF28DC" w14:paraId="78555654" w14:textId="77777777" w:rsidTr="00484A96">
        <w:trPr>
          <w:divId w:val="1212186410"/>
          <w:trHeight w:val="269"/>
        </w:trPr>
        <w:tc>
          <w:tcPr>
            <w:tcW w:w="4419" w:type="dxa"/>
            <w:tcBorders>
              <w:top w:val="nil"/>
              <w:left w:val="nil"/>
              <w:bottom w:val="nil"/>
              <w:right w:val="nil"/>
            </w:tcBorders>
            <w:shd w:val="clear" w:color="000000" w:fill="FFFFFF"/>
            <w:noWrap/>
            <w:vAlign w:val="bottom"/>
            <w:hideMark/>
          </w:tcPr>
          <w:p w14:paraId="707EC724"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3046" w:type="dxa"/>
            <w:tcBorders>
              <w:top w:val="nil"/>
              <w:left w:val="nil"/>
              <w:bottom w:val="nil"/>
              <w:right w:val="nil"/>
            </w:tcBorders>
            <w:shd w:val="clear" w:color="000000" w:fill="FFFFFF"/>
            <w:noWrap/>
            <w:vAlign w:val="bottom"/>
            <w:hideMark/>
          </w:tcPr>
          <w:p w14:paraId="4AAAAE2F"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0E90F8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5805685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62809138"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794FF359"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0B378DA7"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6D41FDE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7B7917E" w14:textId="77777777" w:rsidR="00484A96" w:rsidRPr="00EF28DC" w:rsidRDefault="00484A96" w:rsidP="00E22D45">
            <w:pPr>
              <w:jc w:val="center"/>
              <w:rPr>
                <w:rFonts w:eastAsia="Times New Roman"/>
                <w:color w:val="000000"/>
                <w:sz w:val="22"/>
                <w:szCs w:val="22"/>
                <w:lang w:val="en-US"/>
              </w:rPr>
            </w:pPr>
            <w:r w:rsidRPr="00EF28DC">
              <w:rPr>
                <w:rFonts w:eastAsia="Times New Roman"/>
                <w:color w:val="000000"/>
                <w:sz w:val="22"/>
                <w:szCs w:val="22"/>
                <w:lang w:val="en-US"/>
              </w:rPr>
              <w:t> </w:t>
            </w:r>
          </w:p>
        </w:tc>
      </w:tr>
    </w:tbl>
    <w:p w14:paraId="7CDDC042" w14:textId="77777777" w:rsidR="00484A96" w:rsidRDefault="00484A96" w:rsidP="00484A96">
      <w:pPr>
        <w:divId w:val="1212186410"/>
        <w:rPr>
          <w:rFonts w:eastAsia="Times New Roman"/>
          <w:color w:val="000000"/>
          <w:sz w:val="22"/>
          <w:szCs w:val="22"/>
          <w:lang w:val="en-US"/>
        </w:rPr>
        <w:sectPr w:rsidR="00484A96" w:rsidSect="00EF28DC">
          <w:pgSz w:w="15840" w:h="12240" w:orient="landscape"/>
          <w:pgMar w:top="1797" w:right="1440" w:bottom="1797" w:left="1440" w:header="720" w:footer="720" w:gutter="0"/>
          <w:cols w:space="720"/>
          <w:docGrid w:linePitch="360"/>
        </w:sectPr>
      </w:pPr>
    </w:p>
    <w:tbl>
      <w:tblPr>
        <w:tblpPr w:leftFromText="180" w:rightFromText="180" w:vertAnchor="text" w:horzAnchor="margin" w:tblpXSpec="center" w:tblpY="-205"/>
        <w:tblW w:w="13388" w:type="dxa"/>
        <w:tblLook w:val="04A0" w:firstRow="1" w:lastRow="0" w:firstColumn="1" w:lastColumn="0" w:noHBand="0" w:noVBand="1"/>
      </w:tblPr>
      <w:tblGrid>
        <w:gridCol w:w="4419"/>
        <w:gridCol w:w="3046"/>
        <w:gridCol w:w="271"/>
        <w:gridCol w:w="2564"/>
        <w:gridCol w:w="271"/>
        <w:gridCol w:w="738"/>
        <w:gridCol w:w="271"/>
        <w:gridCol w:w="1537"/>
        <w:gridCol w:w="271"/>
      </w:tblGrid>
      <w:tr w:rsidR="00484A96" w:rsidRPr="00EF28DC" w14:paraId="0C1CC661" w14:textId="77777777" w:rsidTr="00484A96">
        <w:trPr>
          <w:divId w:val="1212186410"/>
          <w:trHeight w:val="269"/>
        </w:trPr>
        <w:tc>
          <w:tcPr>
            <w:tcW w:w="4419" w:type="dxa"/>
            <w:tcBorders>
              <w:top w:val="nil"/>
              <w:left w:val="nil"/>
              <w:bottom w:val="nil"/>
              <w:right w:val="nil"/>
            </w:tcBorders>
            <w:shd w:val="clear" w:color="000000" w:fill="FFFFFF"/>
            <w:noWrap/>
            <w:vAlign w:val="bottom"/>
            <w:hideMark/>
          </w:tcPr>
          <w:p w14:paraId="6225ABF8"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3046" w:type="dxa"/>
            <w:tcBorders>
              <w:top w:val="nil"/>
              <w:left w:val="nil"/>
              <w:bottom w:val="nil"/>
              <w:right w:val="nil"/>
            </w:tcBorders>
            <w:shd w:val="clear" w:color="000000" w:fill="FFFFFF"/>
            <w:noWrap/>
            <w:vAlign w:val="bottom"/>
            <w:hideMark/>
          </w:tcPr>
          <w:p w14:paraId="5A433D02"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60884F7D"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564" w:type="dxa"/>
            <w:tcBorders>
              <w:top w:val="nil"/>
              <w:left w:val="nil"/>
              <w:bottom w:val="nil"/>
              <w:right w:val="nil"/>
            </w:tcBorders>
            <w:shd w:val="clear" w:color="000000" w:fill="FFFFFF"/>
            <w:noWrap/>
            <w:vAlign w:val="bottom"/>
            <w:hideMark/>
          </w:tcPr>
          <w:p w14:paraId="685E5F7A"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0781A8D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738" w:type="dxa"/>
            <w:tcBorders>
              <w:top w:val="nil"/>
              <w:left w:val="nil"/>
              <w:bottom w:val="nil"/>
              <w:right w:val="nil"/>
            </w:tcBorders>
            <w:shd w:val="clear" w:color="000000" w:fill="FFFFFF"/>
            <w:noWrap/>
            <w:vAlign w:val="bottom"/>
            <w:hideMark/>
          </w:tcPr>
          <w:p w14:paraId="1436C13B"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139FC3B6"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1537" w:type="dxa"/>
            <w:tcBorders>
              <w:top w:val="nil"/>
              <w:left w:val="nil"/>
              <w:bottom w:val="nil"/>
              <w:right w:val="nil"/>
            </w:tcBorders>
            <w:shd w:val="clear" w:color="000000" w:fill="FFFFFF"/>
            <w:noWrap/>
            <w:vAlign w:val="bottom"/>
            <w:hideMark/>
          </w:tcPr>
          <w:p w14:paraId="7323D755"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4108DD40" w14:textId="77777777" w:rsidR="00484A96" w:rsidRPr="00EF28DC" w:rsidRDefault="00484A96" w:rsidP="00E22D45">
            <w:pPr>
              <w:rPr>
                <w:rFonts w:eastAsia="Times New Roman"/>
                <w:color w:val="000000"/>
                <w:sz w:val="22"/>
                <w:szCs w:val="22"/>
                <w:lang w:val="en-US"/>
              </w:rPr>
            </w:pPr>
            <w:r w:rsidRPr="00EF28DC">
              <w:rPr>
                <w:rFonts w:eastAsia="Times New Roman"/>
                <w:color w:val="000000"/>
                <w:sz w:val="22"/>
                <w:szCs w:val="22"/>
                <w:lang w:val="en-US"/>
              </w:rPr>
              <w:t> </w:t>
            </w:r>
          </w:p>
        </w:tc>
      </w:tr>
    </w:tbl>
    <w:p w14:paraId="46F340D1" w14:textId="77777777" w:rsidR="00484A96" w:rsidRDefault="00484A96" w:rsidP="00484A96">
      <w:pPr>
        <w:divId w:val="1212186410"/>
      </w:pPr>
      <w:r w:rsidRPr="00EF28DC">
        <w:rPr>
          <w:rFonts w:eastAsia="Times New Roman"/>
          <w:color w:val="000000"/>
          <w:sz w:val="22"/>
          <w:szCs w:val="22"/>
          <w:lang w:val="en-US"/>
        </w:rPr>
        <w:t>*all odds ratios (OR) were significant at the p&lt;.001 level</w:t>
      </w:r>
      <w:r>
        <w:rPr>
          <w:rFonts w:eastAsia="Times New Roman"/>
          <w:color w:val="000000"/>
          <w:sz w:val="22"/>
          <w:szCs w:val="22"/>
          <w:lang w:val="en-US"/>
        </w:rPr>
        <w:t xml:space="preserve"> except for neighbourhood dissatisfaction</w:t>
      </w:r>
    </w:p>
    <w:p w14:paraId="7D0A79FF" w14:textId="77777777" w:rsidR="00484A96" w:rsidRDefault="00484A96" w:rsidP="00484A96">
      <w:pPr>
        <w:divId w:val="1212186410"/>
      </w:pPr>
    </w:p>
    <w:p w14:paraId="15F7374E" w14:textId="77777777" w:rsidR="00484A96" w:rsidRDefault="00484A96" w:rsidP="00484A96">
      <w:pPr>
        <w:divId w:val="1212186410"/>
        <w:sectPr w:rsidR="00484A96" w:rsidSect="00497C59">
          <w:type w:val="continuous"/>
          <w:pgSz w:w="15840" w:h="12240" w:orient="landscape"/>
          <w:pgMar w:top="1797" w:right="1440" w:bottom="1797" w:left="1440" w:header="720" w:footer="720" w:gutter="0"/>
          <w:cols w:space="720"/>
          <w:docGrid w:linePitch="360"/>
        </w:sectPr>
      </w:pPr>
    </w:p>
    <w:p w14:paraId="481174FE" w14:textId="77777777" w:rsidR="00484A96" w:rsidRDefault="00484A96" w:rsidP="00484A96">
      <w:pPr>
        <w:divId w:val="1212186410"/>
      </w:pPr>
    </w:p>
    <w:p w14:paraId="60C1FCF4" w14:textId="77777777" w:rsidR="00484A96" w:rsidRDefault="00484A96" w:rsidP="00484A96">
      <w:pPr>
        <w:divId w:val="1212186410"/>
      </w:pPr>
    </w:p>
    <w:p w14:paraId="0D11FDD3" w14:textId="77777777" w:rsidR="00484A96" w:rsidRDefault="00484A96" w:rsidP="00484A96">
      <w:pPr>
        <w:divId w:val="1212186410"/>
      </w:pPr>
    </w:p>
    <w:p w14:paraId="064351AF" w14:textId="77777777" w:rsidR="00484A96" w:rsidRDefault="00484A96" w:rsidP="00484A96">
      <w:pPr>
        <w:divId w:val="1212186410"/>
      </w:pPr>
    </w:p>
    <w:tbl>
      <w:tblPr>
        <w:tblpPr w:leftFromText="180" w:rightFromText="180" w:vertAnchor="text" w:horzAnchor="margin" w:tblpY="73"/>
        <w:tblW w:w="8148" w:type="dxa"/>
        <w:tblLook w:val="04A0" w:firstRow="1" w:lastRow="0" w:firstColumn="1" w:lastColumn="0" w:noHBand="0" w:noVBand="1"/>
      </w:tblPr>
      <w:tblGrid>
        <w:gridCol w:w="2285"/>
        <w:gridCol w:w="271"/>
        <w:gridCol w:w="1221"/>
        <w:gridCol w:w="1070"/>
        <w:gridCol w:w="1519"/>
        <w:gridCol w:w="1782"/>
      </w:tblGrid>
      <w:tr w:rsidR="00484A96" w:rsidRPr="00C90999" w14:paraId="4EAED7DF" w14:textId="77777777" w:rsidTr="00484A96">
        <w:trPr>
          <w:divId w:val="1212186410"/>
          <w:trHeight w:val="300"/>
        </w:trPr>
        <w:tc>
          <w:tcPr>
            <w:tcW w:w="8148" w:type="dxa"/>
            <w:gridSpan w:val="6"/>
            <w:tcBorders>
              <w:top w:val="nil"/>
              <w:left w:val="nil"/>
              <w:bottom w:val="nil"/>
              <w:right w:val="nil"/>
            </w:tcBorders>
            <w:shd w:val="clear" w:color="000000" w:fill="FFFFFF"/>
            <w:noWrap/>
            <w:vAlign w:val="bottom"/>
            <w:hideMark/>
          </w:tcPr>
          <w:p w14:paraId="5FA16BBB"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xml:space="preserve">Table 4. Adjusted relationships between pro-violence attitudes and </w:t>
            </w:r>
            <w:r>
              <w:rPr>
                <w:rFonts w:eastAsia="Times New Roman"/>
                <w:color w:val="000000"/>
                <w:sz w:val="22"/>
                <w:szCs w:val="22"/>
                <w:lang w:val="en-US"/>
              </w:rPr>
              <w:t xml:space="preserve">risk </w:t>
            </w:r>
            <w:r w:rsidRPr="00C90999">
              <w:rPr>
                <w:rFonts w:eastAsia="Times New Roman"/>
                <w:color w:val="000000"/>
                <w:sz w:val="22"/>
                <w:szCs w:val="22"/>
                <w:lang w:val="en-US"/>
              </w:rPr>
              <w:t xml:space="preserve">factors </w:t>
            </w:r>
          </w:p>
        </w:tc>
      </w:tr>
      <w:tr w:rsidR="00484A96" w:rsidRPr="00C90999" w14:paraId="37A187F8" w14:textId="77777777" w:rsidTr="00484A96">
        <w:trPr>
          <w:divId w:val="1212186410"/>
          <w:trHeight w:val="144"/>
        </w:trPr>
        <w:tc>
          <w:tcPr>
            <w:tcW w:w="3777" w:type="dxa"/>
            <w:gridSpan w:val="3"/>
            <w:tcBorders>
              <w:top w:val="nil"/>
              <w:left w:val="nil"/>
              <w:bottom w:val="single" w:sz="4" w:space="0" w:color="auto"/>
              <w:right w:val="nil"/>
            </w:tcBorders>
            <w:shd w:val="clear" w:color="000000" w:fill="FFFFFF"/>
            <w:noWrap/>
            <w:vAlign w:val="bottom"/>
            <w:hideMark/>
          </w:tcPr>
          <w:p w14:paraId="249C7848" w14:textId="77777777" w:rsidR="00484A96" w:rsidRPr="00C90999" w:rsidRDefault="00484A96" w:rsidP="00E22D45">
            <w:pPr>
              <w:rPr>
                <w:rFonts w:eastAsia="Times New Roman"/>
                <w:color w:val="000000"/>
                <w:sz w:val="22"/>
                <w:szCs w:val="22"/>
                <w:lang w:val="en-US"/>
              </w:rPr>
            </w:pPr>
          </w:p>
        </w:tc>
        <w:tc>
          <w:tcPr>
            <w:tcW w:w="1070" w:type="dxa"/>
            <w:tcBorders>
              <w:top w:val="nil"/>
              <w:left w:val="nil"/>
              <w:bottom w:val="single" w:sz="4" w:space="0" w:color="auto"/>
              <w:right w:val="nil"/>
            </w:tcBorders>
            <w:shd w:val="clear" w:color="000000" w:fill="FFFFFF"/>
            <w:noWrap/>
            <w:vAlign w:val="bottom"/>
            <w:hideMark/>
          </w:tcPr>
          <w:p w14:paraId="21BF15B6"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519" w:type="dxa"/>
            <w:tcBorders>
              <w:top w:val="nil"/>
              <w:left w:val="nil"/>
              <w:bottom w:val="single" w:sz="4" w:space="0" w:color="auto"/>
              <w:right w:val="nil"/>
            </w:tcBorders>
            <w:shd w:val="clear" w:color="000000" w:fill="FFFFFF"/>
            <w:noWrap/>
            <w:vAlign w:val="bottom"/>
            <w:hideMark/>
          </w:tcPr>
          <w:p w14:paraId="3AB0996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782" w:type="dxa"/>
            <w:tcBorders>
              <w:top w:val="nil"/>
              <w:left w:val="nil"/>
              <w:bottom w:val="single" w:sz="4" w:space="0" w:color="auto"/>
              <w:right w:val="nil"/>
            </w:tcBorders>
            <w:shd w:val="clear" w:color="000000" w:fill="FFFFFF"/>
            <w:noWrap/>
            <w:vAlign w:val="bottom"/>
            <w:hideMark/>
          </w:tcPr>
          <w:p w14:paraId="23F98CF6"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r>
      <w:tr w:rsidR="00484A96" w:rsidRPr="00C90999" w14:paraId="62EF4949" w14:textId="77777777" w:rsidTr="00484A96">
        <w:trPr>
          <w:divId w:val="1212186410"/>
          <w:trHeight w:val="405"/>
        </w:trPr>
        <w:tc>
          <w:tcPr>
            <w:tcW w:w="2285" w:type="dxa"/>
            <w:tcBorders>
              <w:top w:val="nil"/>
              <w:left w:val="nil"/>
              <w:bottom w:val="nil"/>
              <w:right w:val="nil"/>
            </w:tcBorders>
            <w:shd w:val="clear" w:color="000000" w:fill="FFFFFF"/>
            <w:noWrap/>
            <w:vAlign w:val="bottom"/>
            <w:hideMark/>
          </w:tcPr>
          <w:p w14:paraId="4AE9FD53" w14:textId="77777777" w:rsidR="00484A96" w:rsidRPr="00C90999" w:rsidRDefault="00484A96" w:rsidP="00E22D45">
            <w:pPr>
              <w:rPr>
                <w:rFonts w:eastAsia="Times New Roman"/>
                <w:b/>
                <w:bCs/>
                <w:color w:val="000000"/>
                <w:sz w:val="22"/>
                <w:szCs w:val="22"/>
                <w:lang w:val="en-US"/>
              </w:rPr>
            </w:pPr>
            <w:r>
              <w:rPr>
                <w:rFonts w:eastAsia="Times New Roman"/>
                <w:b/>
                <w:bCs/>
                <w:color w:val="000000"/>
                <w:sz w:val="22"/>
                <w:szCs w:val="22"/>
                <w:lang w:val="en-US"/>
              </w:rPr>
              <w:t xml:space="preserve">Risk </w:t>
            </w:r>
            <w:r w:rsidRPr="00C90999">
              <w:rPr>
                <w:rFonts w:eastAsia="Times New Roman"/>
                <w:b/>
                <w:bCs/>
                <w:color w:val="000000"/>
                <w:sz w:val="22"/>
                <w:szCs w:val="22"/>
                <w:lang w:val="en-US"/>
              </w:rPr>
              <w:t>Factor</w:t>
            </w:r>
          </w:p>
        </w:tc>
        <w:tc>
          <w:tcPr>
            <w:tcW w:w="271" w:type="dxa"/>
            <w:tcBorders>
              <w:top w:val="nil"/>
              <w:left w:val="nil"/>
              <w:bottom w:val="nil"/>
              <w:right w:val="nil"/>
            </w:tcBorders>
            <w:shd w:val="clear" w:color="000000" w:fill="FFFFFF"/>
            <w:noWrap/>
            <w:vAlign w:val="bottom"/>
            <w:hideMark/>
          </w:tcPr>
          <w:p w14:paraId="0DA836E4"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221" w:type="dxa"/>
            <w:tcBorders>
              <w:top w:val="nil"/>
              <w:left w:val="nil"/>
              <w:bottom w:val="nil"/>
              <w:right w:val="nil"/>
            </w:tcBorders>
            <w:shd w:val="clear" w:color="000000" w:fill="FFFFFF"/>
            <w:noWrap/>
            <w:vAlign w:val="bottom"/>
            <w:hideMark/>
          </w:tcPr>
          <w:p w14:paraId="094E8539" w14:textId="77777777" w:rsidR="00484A96" w:rsidRPr="00C90999" w:rsidRDefault="00484A96" w:rsidP="00E22D45">
            <w:pPr>
              <w:jc w:val="center"/>
              <w:rPr>
                <w:rFonts w:eastAsia="Times New Roman"/>
                <w:color w:val="000000"/>
                <w:sz w:val="22"/>
                <w:szCs w:val="22"/>
                <w:u w:val="single"/>
                <w:lang w:val="en-US"/>
              </w:rPr>
            </w:pPr>
            <w:r w:rsidRPr="00C90999">
              <w:rPr>
                <w:rFonts w:eastAsia="Times New Roman"/>
                <w:color w:val="000000"/>
                <w:sz w:val="22"/>
                <w:szCs w:val="22"/>
                <w:u w:val="single"/>
                <w:lang w:val="en-US"/>
              </w:rPr>
              <w:t>B</w:t>
            </w:r>
          </w:p>
        </w:tc>
        <w:tc>
          <w:tcPr>
            <w:tcW w:w="1070" w:type="dxa"/>
            <w:tcBorders>
              <w:top w:val="nil"/>
              <w:left w:val="nil"/>
              <w:bottom w:val="nil"/>
              <w:right w:val="nil"/>
            </w:tcBorders>
            <w:shd w:val="clear" w:color="000000" w:fill="FFFFFF"/>
            <w:noWrap/>
            <w:vAlign w:val="bottom"/>
            <w:hideMark/>
          </w:tcPr>
          <w:p w14:paraId="24599E9F" w14:textId="77777777" w:rsidR="00484A96" w:rsidRPr="00C90999" w:rsidRDefault="00484A96" w:rsidP="00E22D45">
            <w:pPr>
              <w:jc w:val="center"/>
              <w:rPr>
                <w:rFonts w:eastAsia="Times New Roman"/>
                <w:color w:val="000000"/>
                <w:sz w:val="22"/>
                <w:szCs w:val="22"/>
                <w:u w:val="single"/>
                <w:lang w:val="en-US"/>
              </w:rPr>
            </w:pPr>
            <w:r w:rsidRPr="00C90999">
              <w:rPr>
                <w:rFonts w:eastAsia="Times New Roman"/>
                <w:color w:val="000000"/>
                <w:sz w:val="22"/>
                <w:szCs w:val="22"/>
                <w:u w:val="single"/>
                <w:lang w:val="en-US"/>
              </w:rPr>
              <w:t>SE</w:t>
            </w:r>
          </w:p>
        </w:tc>
        <w:tc>
          <w:tcPr>
            <w:tcW w:w="1519" w:type="dxa"/>
            <w:tcBorders>
              <w:top w:val="nil"/>
              <w:left w:val="nil"/>
              <w:bottom w:val="nil"/>
              <w:right w:val="nil"/>
            </w:tcBorders>
            <w:shd w:val="clear" w:color="000000" w:fill="FFFFFF"/>
            <w:noWrap/>
            <w:vAlign w:val="bottom"/>
            <w:hideMark/>
          </w:tcPr>
          <w:p w14:paraId="1D26F51B" w14:textId="77777777" w:rsidR="00484A96" w:rsidRPr="00C90999" w:rsidRDefault="00484A96" w:rsidP="00E22D45">
            <w:pPr>
              <w:jc w:val="center"/>
              <w:rPr>
                <w:rFonts w:eastAsia="Times New Roman"/>
                <w:color w:val="000000"/>
                <w:sz w:val="22"/>
                <w:szCs w:val="22"/>
                <w:u w:val="single"/>
                <w:lang w:val="en-US"/>
              </w:rPr>
            </w:pPr>
            <w:r w:rsidRPr="00C90999">
              <w:rPr>
                <w:rFonts w:eastAsia="Times New Roman"/>
                <w:color w:val="000000"/>
                <w:sz w:val="22"/>
                <w:szCs w:val="22"/>
                <w:u w:val="single"/>
                <w:lang w:val="en-US"/>
              </w:rPr>
              <w:t>OR</w:t>
            </w:r>
          </w:p>
        </w:tc>
        <w:tc>
          <w:tcPr>
            <w:tcW w:w="1782" w:type="dxa"/>
            <w:tcBorders>
              <w:top w:val="nil"/>
              <w:left w:val="nil"/>
              <w:bottom w:val="nil"/>
              <w:right w:val="nil"/>
            </w:tcBorders>
            <w:shd w:val="clear" w:color="000000" w:fill="FFFFFF"/>
            <w:noWrap/>
            <w:vAlign w:val="bottom"/>
            <w:hideMark/>
          </w:tcPr>
          <w:p w14:paraId="7A95E140" w14:textId="77777777" w:rsidR="00484A96" w:rsidRPr="00C90999" w:rsidRDefault="00484A96" w:rsidP="00E22D45">
            <w:pPr>
              <w:jc w:val="center"/>
              <w:rPr>
                <w:rFonts w:eastAsia="Times New Roman"/>
                <w:color w:val="000000"/>
                <w:sz w:val="22"/>
                <w:szCs w:val="22"/>
                <w:u w:val="single"/>
                <w:lang w:val="en-US"/>
              </w:rPr>
            </w:pPr>
            <w:r w:rsidRPr="00C90999">
              <w:rPr>
                <w:rFonts w:eastAsia="Times New Roman"/>
                <w:color w:val="000000"/>
                <w:sz w:val="22"/>
                <w:szCs w:val="22"/>
                <w:u w:val="single"/>
                <w:lang w:val="en-US"/>
              </w:rPr>
              <w:t>95% CI</w:t>
            </w:r>
          </w:p>
        </w:tc>
      </w:tr>
      <w:tr w:rsidR="00484A96" w:rsidRPr="00C90999" w14:paraId="07CD3660" w14:textId="77777777" w:rsidTr="00484A96">
        <w:trPr>
          <w:divId w:val="1212186410"/>
          <w:trHeight w:val="300"/>
        </w:trPr>
        <w:tc>
          <w:tcPr>
            <w:tcW w:w="2556" w:type="dxa"/>
            <w:gridSpan w:val="2"/>
            <w:tcBorders>
              <w:top w:val="nil"/>
              <w:left w:val="nil"/>
              <w:bottom w:val="nil"/>
              <w:right w:val="nil"/>
            </w:tcBorders>
            <w:shd w:val="clear" w:color="000000" w:fill="FFFFFF"/>
            <w:noWrap/>
            <w:vAlign w:val="bottom"/>
            <w:hideMark/>
          </w:tcPr>
          <w:p w14:paraId="10DB6B3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First-generation</w:t>
            </w:r>
          </w:p>
        </w:tc>
        <w:tc>
          <w:tcPr>
            <w:tcW w:w="1221" w:type="dxa"/>
            <w:tcBorders>
              <w:top w:val="nil"/>
              <w:left w:val="nil"/>
              <w:bottom w:val="nil"/>
              <w:right w:val="nil"/>
            </w:tcBorders>
            <w:shd w:val="clear" w:color="000000" w:fill="FFFFFF"/>
            <w:noWrap/>
            <w:vAlign w:val="bottom"/>
            <w:hideMark/>
          </w:tcPr>
          <w:p w14:paraId="4CAD9DF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0.332</w:t>
            </w:r>
          </w:p>
        </w:tc>
        <w:tc>
          <w:tcPr>
            <w:tcW w:w="1070" w:type="dxa"/>
            <w:tcBorders>
              <w:top w:val="nil"/>
              <w:left w:val="nil"/>
              <w:bottom w:val="nil"/>
              <w:right w:val="nil"/>
            </w:tcBorders>
            <w:shd w:val="clear" w:color="000000" w:fill="FFFFFF"/>
            <w:noWrap/>
            <w:vAlign w:val="bottom"/>
            <w:hideMark/>
          </w:tcPr>
          <w:p w14:paraId="3B92A76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0.153</w:t>
            </w:r>
          </w:p>
        </w:tc>
        <w:tc>
          <w:tcPr>
            <w:tcW w:w="1519" w:type="dxa"/>
            <w:tcBorders>
              <w:top w:val="nil"/>
              <w:left w:val="nil"/>
              <w:bottom w:val="nil"/>
              <w:right w:val="nil"/>
            </w:tcBorders>
            <w:shd w:val="clear" w:color="000000" w:fill="FFFFFF"/>
            <w:noWrap/>
            <w:vAlign w:val="bottom"/>
            <w:hideMark/>
          </w:tcPr>
          <w:p w14:paraId="042E33D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1.39*</w:t>
            </w:r>
          </w:p>
        </w:tc>
        <w:tc>
          <w:tcPr>
            <w:tcW w:w="1782" w:type="dxa"/>
            <w:tcBorders>
              <w:top w:val="nil"/>
              <w:left w:val="nil"/>
              <w:bottom w:val="nil"/>
              <w:right w:val="nil"/>
            </w:tcBorders>
            <w:shd w:val="clear" w:color="000000" w:fill="FFFFFF"/>
            <w:noWrap/>
            <w:vAlign w:val="bottom"/>
            <w:hideMark/>
          </w:tcPr>
          <w:p w14:paraId="7B87121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1.03-1.88</w:t>
            </w:r>
          </w:p>
        </w:tc>
      </w:tr>
      <w:tr w:rsidR="00484A96" w:rsidRPr="00C90999" w14:paraId="59D70F7C" w14:textId="77777777" w:rsidTr="00484A96">
        <w:trPr>
          <w:divId w:val="1212186410"/>
          <w:trHeight w:val="300"/>
        </w:trPr>
        <w:tc>
          <w:tcPr>
            <w:tcW w:w="2556" w:type="dxa"/>
            <w:gridSpan w:val="2"/>
            <w:tcBorders>
              <w:top w:val="nil"/>
              <w:left w:val="nil"/>
              <w:bottom w:val="nil"/>
              <w:right w:val="nil"/>
            </w:tcBorders>
            <w:shd w:val="clear" w:color="000000" w:fill="FFFFFF"/>
            <w:noWrap/>
            <w:vAlign w:val="bottom"/>
            <w:hideMark/>
          </w:tcPr>
          <w:p w14:paraId="66ABC1D6"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Adolescent age</w:t>
            </w:r>
          </w:p>
        </w:tc>
        <w:tc>
          <w:tcPr>
            <w:tcW w:w="1221" w:type="dxa"/>
            <w:tcBorders>
              <w:top w:val="nil"/>
              <w:left w:val="nil"/>
              <w:bottom w:val="nil"/>
              <w:right w:val="nil"/>
            </w:tcBorders>
            <w:shd w:val="clear" w:color="000000" w:fill="FFFFFF"/>
            <w:noWrap/>
            <w:vAlign w:val="bottom"/>
            <w:hideMark/>
          </w:tcPr>
          <w:p w14:paraId="66381B16"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0.673</w:t>
            </w:r>
          </w:p>
        </w:tc>
        <w:tc>
          <w:tcPr>
            <w:tcW w:w="1070" w:type="dxa"/>
            <w:tcBorders>
              <w:top w:val="nil"/>
              <w:left w:val="nil"/>
              <w:bottom w:val="nil"/>
              <w:right w:val="nil"/>
            </w:tcBorders>
            <w:shd w:val="clear" w:color="000000" w:fill="FFFFFF"/>
            <w:noWrap/>
            <w:vAlign w:val="bottom"/>
            <w:hideMark/>
          </w:tcPr>
          <w:p w14:paraId="11740DD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0.109</w:t>
            </w:r>
          </w:p>
        </w:tc>
        <w:tc>
          <w:tcPr>
            <w:tcW w:w="1519" w:type="dxa"/>
            <w:tcBorders>
              <w:top w:val="nil"/>
              <w:left w:val="nil"/>
              <w:bottom w:val="nil"/>
              <w:right w:val="nil"/>
            </w:tcBorders>
            <w:shd w:val="clear" w:color="000000" w:fill="FFFFFF"/>
            <w:noWrap/>
            <w:vAlign w:val="bottom"/>
            <w:hideMark/>
          </w:tcPr>
          <w:p w14:paraId="2C4475D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1.96***</w:t>
            </w:r>
          </w:p>
        </w:tc>
        <w:tc>
          <w:tcPr>
            <w:tcW w:w="1782" w:type="dxa"/>
            <w:tcBorders>
              <w:top w:val="nil"/>
              <w:left w:val="nil"/>
              <w:bottom w:val="nil"/>
              <w:right w:val="nil"/>
            </w:tcBorders>
            <w:shd w:val="clear" w:color="000000" w:fill="FFFFFF"/>
            <w:noWrap/>
            <w:vAlign w:val="bottom"/>
            <w:hideMark/>
          </w:tcPr>
          <w:p w14:paraId="596A3098"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1.58-2.42</w:t>
            </w:r>
          </w:p>
        </w:tc>
      </w:tr>
      <w:tr w:rsidR="00484A96" w:rsidRPr="00C90999" w14:paraId="5D0F0540" w14:textId="77777777" w:rsidTr="00484A96">
        <w:trPr>
          <w:divId w:val="1212186410"/>
          <w:trHeight w:val="300"/>
        </w:trPr>
        <w:tc>
          <w:tcPr>
            <w:tcW w:w="2285" w:type="dxa"/>
            <w:tcBorders>
              <w:top w:val="nil"/>
              <w:left w:val="nil"/>
              <w:bottom w:val="nil"/>
              <w:right w:val="nil"/>
            </w:tcBorders>
            <w:shd w:val="clear" w:color="000000" w:fill="FFFFFF"/>
            <w:noWrap/>
            <w:vAlign w:val="bottom"/>
            <w:hideMark/>
          </w:tcPr>
          <w:p w14:paraId="2A79E0D7"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Ethnicity</w:t>
            </w:r>
            <w:r w:rsidRPr="00C90999">
              <w:rPr>
                <w:rFonts w:ascii="MS Mincho" w:eastAsia="MS Mincho" w:hAnsi="MS Mincho" w:cs="MS Mincho"/>
                <w:color w:val="000000"/>
                <w:sz w:val="22"/>
                <w:szCs w:val="22"/>
                <w:lang w:val="en-US"/>
              </w:rPr>
              <w:t>✚</w:t>
            </w:r>
          </w:p>
        </w:tc>
        <w:tc>
          <w:tcPr>
            <w:tcW w:w="271" w:type="dxa"/>
            <w:tcBorders>
              <w:top w:val="nil"/>
              <w:left w:val="nil"/>
              <w:bottom w:val="nil"/>
              <w:right w:val="nil"/>
            </w:tcBorders>
            <w:shd w:val="clear" w:color="000000" w:fill="FFFFFF"/>
            <w:noWrap/>
            <w:vAlign w:val="bottom"/>
            <w:hideMark/>
          </w:tcPr>
          <w:p w14:paraId="20B354F3"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221" w:type="dxa"/>
            <w:tcBorders>
              <w:top w:val="nil"/>
              <w:left w:val="nil"/>
              <w:bottom w:val="nil"/>
              <w:right w:val="nil"/>
            </w:tcBorders>
            <w:shd w:val="clear" w:color="000000" w:fill="FFFFFF"/>
            <w:noWrap/>
            <w:vAlign w:val="bottom"/>
            <w:hideMark/>
          </w:tcPr>
          <w:p w14:paraId="1ACEB4A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070" w:type="dxa"/>
            <w:tcBorders>
              <w:top w:val="nil"/>
              <w:left w:val="nil"/>
              <w:bottom w:val="nil"/>
              <w:right w:val="nil"/>
            </w:tcBorders>
            <w:shd w:val="clear" w:color="000000" w:fill="FFFFFF"/>
            <w:noWrap/>
            <w:vAlign w:val="bottom"/>
            <w:hideMark/>
          </w:tcPr>
          <w:p w14:paraId="06F49A3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519" w:type="dxa"/>
            <w:tcBorders>
              <w:top w:val="nil"/>
              <w:left w:val="nil"/>
              <w:bottom w:val="nil"/>
              <w:right w:val="nil"/>
            </w:tcBorders>
            <w:shd w:val="clear" w:color="000000" w:fill="FFFFFF"/>
            <w:noWrap/>
            <w:vAlign w:val="bottom"/>
            <w:hideMark/>
          </w:tcPr>
          <w:p w14:paraId="70CC46D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782" w:type="dxa"/>
            <w:tcBorders>
              <w:top w:val="nil"/>
              <w:left w:val="nil"/>
              <w:bottom w:val="nil"/>
              <w:right w:val="nil"/>
            </w:tcBorders>
            <w:shd w:val="clear" w:color="000000" w:fill="FFFFFF"/>
            <w:noWrap/>
            <w:vAlign w:val="bottom"/>
            <w:hideMark/>
          </w:tcPr>
          <w:p w14:paraId="67C71F7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r>
      <w:tr w:rsidR="00484A96" w:rsidRPr="00C90999" w14:paraId="01D0ED3E" w14:textId="77777777" w:rsidTr="00484A96">
        <w:trPr>
          <w:divId w:val="1212186410"/>
          <w:trHeight w:val="300"/>
        </w:trPr>
        <w:tc>
          <w:tcPr>
            <w:tcW w:w="2285" w:type="dxa"/>
            <w:tcBorders>
              <w:top w:val="nil"/>
              <w:left w:val="nil"/>
              <w:bottom w:val="nil"/>
              <w:right w:val="nil"/>
            </w:tcBorders>
            <w:shd w:val="clear" w:color="000000" w:fill="FFFFFF"/>
            <w:noWrap/>
            <w:vAlign w:val="bottom"/>
            <w:hideMark/>
          </w:tcPr>
          <w:p w14:paraId="24494D1B"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Asian</w:t>
            </w:r>
          </w:p>
        </w:tc>
        <w:tc>
          <w:tcPr>
            <w:tcW w:w="271" w:type="dxa"/>
            <w:tcBorders>
              <w:top w:val="nil"/>
              <w:left w:val="nil"/>
              <w:bottom w:val="nil"/>
              <w:right w:val="nil"/>
            </w:tcBorders>
            <w:shd w:val="clear" w:color="000000" w:fill="FFFFFF"/>
            <w:noWrap/>
            <w:vAlign w:val="bottom"/>
            <w:hideMark/>
          </w:tcPr>
          <w:p w14:paraId="2B1FCB0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221" w:type="dxa"/>
            <w:tcBorders>
              <w:top w:val="nil"/>
              <w:left w:val="nil"/>
              <w:bottom w:val="nil"/>
              <w:right w:val="nil"/>
            </w:tcBorders>
            <w:shd w:val="clear" w:color="000000" w:fill="FFFFFF"/>
            <w:noWrap/>
            <w:vAlign w:val="bottom"/>
            <w:hideMark/>
          </w:tcPr>
          <w:p w14:paraId="7DBC39D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-0.004</w:t>
            </w:r>
          </w:p>
        </w:tc>
        <w:tc>
          <w:tcPr>
            <w:tcW w:w="1070" w:type="dxa"/>
            <w:tcBorders>
              <w:top w:val="nil"/>
              <w:left w:val="nil"/>
              <w:bottom w:val="nil"/>
              <w:right w:val="nil"/>
            </w:tcBorders>
            <w:shd w:val="clear" w:color="000000" w:fill="FFFFFF"/>
            <w:noWrap/>
            <w:vAlign w:val="bottom"/>
            <w:hideMark/>
          </w:tcPr>
          <w:p w14:paraId="39048BD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0.171</w:t>
            </w:r>
          </w:p>
        </w:tc>
        <w:tc>
          <w:tcPr>
            <w:tcW w:w="1519" w:type="dxa"/>
            <w:tcBorders>
              <w:top w:val="nil"/>
              <w:left w:val="nil"/>
              <w:bottom w:val="nil"/>
              <w:right w:val="nil"/>
            </w:tcBorders>
            <w:shd w:val="clear" w:color="000000" w:fill="FFFFFF"/>
            <w:noWrap/>
            <w:vAlign w:val="bottom"/>
            <w:hideMark/>
          </w:tcPr>
          <w:p w14:paraId="7E762FC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0.99</w:t>
            </w:r>
          </w:p>
        </w:tc>
        <w:tc>
          <w:tcPr>
            <w:tcW w:w="1782" w:type="dxa"/>
            <w:tcBorders>
              <w:top w:val="nil"/>
              <w:left w:val="nil"/>
              <w:bottom w:val="nil"/>
              <w:right w:val="nil"/>
            </w:tcBorders>
            <w:shd w:val="clear" w:color="000000" w:fill="FFFFFF"/>
            <w:noWrap/>
            <w:vAlign w:val="bottom"/>
            <w:hideMark/>
          </w:tcPr>
          <w:p w14:paraId="1714536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0.71-1.39</w:t>
            </w:r>
          </w:p>
        </w:tc>
      </w:tr>
      <w:tr w:rsidR="00484A96" w:rsidRPr="00C90999" w14:paraId="0AB2BAD7" w14:textId="77777777" w:rsidTr="00484A96">
        <w:trPr>
          <w:divId w:val="1212186410"/>
          <w:trHeight w:val="300"/>
        </w:trPr>
        <w:tc>
          <w:tcPr>
            <w:tcW w:w="2285" w:type="dxa"/>
            <w:tcBorders>
              <w:top w:val="nil"/>
              <w:left w:val="nil"/>
              <w:bottom w:val="nil"/>
              <w:right w:val="nil"/>
            </w:tcBorders>
            <w:shd w:val="clear" w:color="000000" w:fill="FFFFFF"/>
            <w:noWrap/>
            <w:vAlign w:val="bottom"/>
            <w:hideMark/>
          </w:tcPr>
          <w:p w14:paraId="472A0DEF"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Black</w:t>
            </w:r>
          </w:p>
        </w:tc>
        <w:tc>
          <w:tcPr>
            <w:tcW w:w="271" w:type="dxa"/>
            <w:tcBorders>
              <w:top w:val="nil"/>
              <w:left w:val="nil"/>
              <w:bottom w:val="nil"/>
              <w:right w:val="nil"/>
            </w:tcBorders>
            <w:shd w:val="clear" w:color="000000" w:fill="FFFFFF"/>
            <w:noWrap/>
            <w:vAlign w:val="bottom"/>
            <w:hideMark/>
          </w:tcPr>
          <w:p w14:paraId="33655C53"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221" w:type="dxa"/>
            <w:tcBorders>
              <w:top w:val="nil"/>
              <w:left w:val="nil"/>
              <w:bottom w:val="nil"/>
              <w:right w:val="nil"/>
            </w:tcBorders>
            <w:shd w:val="clear" w:color="000000" w:fill="FFFFFF"/>
            <w:noWrap/>
            <w:vAlign w:val="bottom"/>
            <w:hideMark/>
          </w:tcPr>
          <w:p w14:paraId="5293A61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-0.016</w:t>
            </w:r>
          </w:p>
        </w:tc>
        <w:tc>
          <w:tcPr>
            <w:tcW w:w="1070" w:type="dxa"/>
            <w:tcBorders>
              <w:top w:val="nil"/>
              <w:left w:val="nil"/>
              <w:bottom w:val="nil"/>
              <w:right w:val="nil"/>
            </w:tcBorders>
            <w:shd w:val="clear" w:color="000000" w:fill="FFFFFF"/>
            <w:noWrap/>
            <w:vAlign w:val="bottom"/>
            <w:hideMark/>
          </w:tcPr>
          <w:p w14:paraId="05583E5E"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0.194</w:t>
            </w:r>
          </w:p>
        </w:tc>
        <w:tc>
          <w:tcPr>
            <w:tcW w:w="1519" w:type="dxa"/>
            <w:tcBorders>
              <w:top w:val="nil"/>
              <w:left w:val="nil"/>
              <w:bottom w:val="nil"/>
              <w:right w:val="nil"/>
            </w:tcBorders>
            <w:shd w:val="clear" w:color="000000" w:fill="FFFFFF"/>
            <w:noWrap/>
            <w:vAlign w:val="bottom"/>
            <w:hideMark/>
          </w:tcPr>
          <w:p w14:paraId="255D467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0.98</w:t>
            </w:r>
          </w:p>
        </w:tc>
        <w:tc>
          <w:tcPr>
            <w:tcW w:w="1782" w:type="dxa"/>
            <w:tcBorders>
              <w:top w:val="nil"/>
              <w:left w:val="nil"/>
              <w:bottom w:val="nil"/>
              <w:right w:val="nil"/>
            </w:tcBorders>
            <w:shd w:val="clear" w:color="000000" w:fill="FFFFFF"/>
            <w:noWrap/>
            <w:vAlign w:val="bottom"/>
            <w:hideMark/>
          </w:tcPr>
          <w:p w14:paraId="0665CE94"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0.67-1.44</w:t>
            </w:r>
          </w:p>
        </w:tc>
      </w:tr>
      <w:tr w:rsidR="00484A96" w:rsidRPr="00C90999" w14:paraId="0115C3CE" w14:textId="77777777" w:rsidTr="00484A96">
        <w:trPr>
          <w:divId w:val="1212186410"/>
          <w:trHeight w:val="300"/>
        </w:trPr>
        <w:tc>
          <w:tcPr>
            <w:tcW w:w="2285" w:type="dxa"/>
            <w:tcBorders>
              <w:top w:val="nil"/>
              <w:left w:val="nil"/>
              <w:bottom w:val="nil"/>
              <w:right w:val="nil"/>
            </w:tcBorders>
            <w:shd w:val="clear" w:color="000000" w:fill="FFFFFF"/>
            <w:noWrap/>
            <w:vAlign w:val="bottom"/>
            <w:hideMark/>
          </w:tcPr>
          <w:p w14:paraId="05B690FE"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Other</w:t>
            </w:r>
          </w:p>
        </w:tc>
        <w:tc>
          <w:tcPr>
            <w:tcW w:w="271" w:type="dxa"/>
            <w:tcBorders>
              <w:top w:val="nil"/>
              <w:left w:val="nil"/>
              <w:bottom w:val="nil"/>
              <w:right w:val="nil"/>
            </w:tcBorders>
            <w:shd w:val="clear" w:color="000000" w:fill="FFFFFF"/>
            <w:noWrap/>
            <w:vAlign w:val="bottom"/>
            <w:hideMark/>
          </w:tcPr>
          <w:p w14:paraId="47E50D4E"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221" w:type="dxa"/>
            <w:tcBorders>
              <w:top w:val="nil"/>
              <w:left w:val="nil"/>
              <w:bottom w:val="nil"/>
              <w:right w:val="nil"/>
            </w:tcBorders>
            <w:shd w:val="clear" w:color="000000" w:fill="FFFFFF"/>
            <w:noWrap/>
            <w:vAlign w:val="bottom"/>
            <w:hideMark/>
          </w:tcPr>
          <w:p w14:paraId="393C498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0.01</w:t>
            </w:r>
          </w:p>
        </w:tc>
        <w:tc>
          <w:tcPr>
            <w:tcW w:w="1070" w:type="dxa"/>
            <w:tcBorders>
              <w:top w:val="nil"/>
              <w:left w:val="nil"/>
              <w:bottom w:val="nil"/>
              <w:right w:val="nil"/>
            </w:tcBorders>
            <w:shd w:val="clear" w:color="000000" w:fill="FFFFFF"/>
            <w:noWrap/>
            <w:vAlign w:val="bottom"/>
            <w:hideMark/>
          </w:tcPr>
          <w:p w14:paraId="58DE3C0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0.192</w:t>
            </w:r>
          </w:p>
        </w:tc>
        <w:tc>
          <w:tcPr>
            <w:tcW w:w="1519" w:type="dxa"/>
            <w:tcBorders>
              <w:top w:val="nil"/>
              <w:left w:val="nil"/>
              <w:bottom w:val="nil"/>
              <w:right w:val="nil"/>
            </w:tcBorders>
            <w:shd w:val="clear" w:color="000000" w:fill="FFFFFF"/>
            <w:noWrap/>
            <w:vAlign w:val="bottom"/>
            <w:hideMark/>
          </w:tcPr>
          <w:p w14:paraId="60B1ACE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1.01</w:t>
            </w:r>
          </w:p>
        </w:tc>
        <w:tc>
          <w:tcPr>
            <w:tcW w:w="1782" w:type="dxa"/>
            <w:tcBorders>
              <w:top w:val="nil"/>
              <w:left w:val="nil"/>
              <w:bottom w:val="nil"/>
              <w:right w:val="nil"/>
            </w:tcBorders>
            <w:shd w:val="clear" w:color="000000" w:fill="FFFFFF"/>
            <w:noWrap/>
            <w:vAlign w:val="bottom"/>
            <w:hideMark/>
          </w:tcPr>
          <w:p w14:paraId="1B4354B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0.69-1.47</w:t>
            </w:r>
          </w:p>
        </w:tc>
      </w:tr>
      <w:tr w:rsidR="00484A96" w:rsidRPr="00C90999" w14:paraId="147F0BD8" w14:textId="77777777" w:rsidTr="00484A96">
        <w:trPr>
          <w:divId w:val="1212186410"/>
          <w:trHeight w:val="480"/>
        </w:trPr>
        <w:tc>
          <w:tcPr>
            <w:tcW w:w="2556" w:type="dxa"/>
            <w:gridSpan w:val="2"/>
            <w:tcBorders>
              <w:top w:val="nil"/>
              <w:left w:val="nil"/>
              <w:bottom w:val="nil"/>
              <w:right w:val="nil"/>
            </w:tcBorders>
            <w:shd w:val="clear" w:color="000000" w:fill="FFFFFF"/>
            <w:noWrap/>
            <w:vAlign w:val="bottom"/>
            <w:hideMark/>
          </w:tcPr>
          <w:p w14:paraId="3B0568B6" w14:textId="77777777" w:rsidR="00484A96" w:rsidRPr="00C90999" w:rsidRDefault="00484A96" w:rsidP="00E22D45">
            <w:pPr>
              <w:rPr>
                <w:rFonts w:eastAsia="Times New Roman"/>
                <w:color w:val="000000"/>
                <w:sz w:val="20"/>
                <w:szCs w:val="20"/>
                <w:lang w:val="en-US"/>
              </w:rPr>
            </w:pPr>
            <w:r w:rsidRPr="00C90999">
              <w:rPr>
                <w:rFonts w:eastAsia="Times New Roman"/>
                <w:color w:val="000000"/>
                <w:sz w:val="20"/>
                <w:szCs w:val="20"/>
                <w:lang w:val="en-US"/>
              </w:rPr>
              <w:t>*p&lt;.05, **p&lt;.01, ***p&lt;.001</w:t>
            </w:r>
          </w:p>
        </w:tc>
        <w:tc>
          <w:tcPr>
            <w:tcW w:w="1221" w:type="dxa"/>
            <w:tcBorders>
              <w:top w:val="nil"/>
              <w:left w:val="nil"/>
              <w:bottom w:val="nil"/>
              <w:right w:val="nil"/>
            </w:tcBorders>
            <w:shd w:val="clear" w:color="000000" w:fill="FFFFFF"/>
            <w:noWrap/>
            <w:vAlign w:val="bottom"/>
            <w:hideMark/>
          </w:tcPr>
          <w:p w14:paraId="598EF4C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070" w:type="dxa"/>
            <w:tcBorders>
              <w:top w:val="nil"/>
              <w:left w:val="nil"/>
              <w:bottom w:val="nil"/>
              <w:right w:val="nil"/>
            </w:tcBorders>
            <w:shd w:val="clear" w:color="000000" w:fill="FFFFFF"/>
            <w:noWrap/>
            <w:vAlign w:val="bottom"/>
            <w:hideMark/>
          </w:tcPr>
          <w:p w14:paraId="5C510906"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519" w:type="dxa"/>
            <w:tcBorders>
              <w:top w:val="nil"/>
              <w:left w:val="nil"/>
              <w:bottom w:val="nil"/>
              <w:right w:val="nil"/>
            </w:tcBorders>
            <w:shd w:val="clear" w:color="000000" w:fill="FFFFFF"/>
            <w:noWrap/>
            <w:vAlign w:val="bottom"/>
            <w:hideMark/>
          </w:tcPr>
          <w:p w14:paraId="2BD414C1"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782" w:type="dxa"/>
            <w:tcBorders>
              <w:top w:val="nil"/>
              <w:left w:val="nil"/>
              <w:bottom w:val="nil"/>
              <w:right w:val="nil"/>
            </w:tcBorders>
            <w:shd w:val="clear" w:color="000000" w:fill="FFFFFF"/>
            <w:noWrap/>
            <w:vAlign w:val="bottom"/>
            <w:hideMark/>
          </w:tcPr>
          <w:p w14:paraId="022D075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r>
      <w:tr w:rsidR="00484A96" w:rsidRPr="00C90999" w14:paraId="2B71EC65" w14:textId="77777777" w:rsidTr="00484A96">
        <w:trPr>
          <w:divId w:val="1212186410"/>
          <w:trHeight w:val="300"/>
        </w:trPr>
        <w:tc>
          <w:tcPr>
            <w:tcW w:w="3777" w:type="dxa"/>
            <w:gridSpan w:val="3"/>
            <w:tcBorders>
              <w:top w:val="nil"/>
              <w:left w:val="nil"/>
              <w:bottom w:val="nil"/>
              <w:right w:val="nil"/>
            </w:tcBorders>
            <w:shd w:val="clear" w:color="000000" w:fill="FFFFFF"/>
            <w:noWrap/>
            <w:vAlign w:val="bottom"/>
            <w:hideMark/>
          </w:tcPr>
          <w:p w14:paraId="68F60747" w14:textId="77777777" w:rsidR="00484A96" w:rsidRPr="00C90999" w:rsidRDefault="00484A96" w:rsidP="00E22D45">
            <w:pPr>
              <w:rPr>
                <w:rFonts w:eastAsia="Times New Roman"/>
                <w:color w:val="000000"/>
                <w:sz w:val="20"/>
                <w:szCs w:val="20"/>
                <w:lang w:val="en-US"/>
              </w:rPr>
            </w:pPr>
            <w:r w:rsidRPr="00C90999">
              <w:rPr>
                <w:rFonts w:ascii="MS Mincho" w:eastAsia="MS Mincho" w:hAnsi="MS Mincho" w:cs="MS Mincho"/>
                <w:color w:val="000000"/>
                <w:sz w:val="20"/>
                <w:szCs w:val="20"/>
                <w:lang w:val="en-US"/>
              </w:rPr>
              <w:t>✚</w:t>
            </w:r>
            <w:r>
              <w:rPr>
                <w:rFonts w:eastAsia="Times New Roman"/>
                <w:color w:val="000000"/>
                <w:sz w:val="20"/>
                <w:szCs w:val="20"/>
                <w:lang w:val="en-US"/>
              </w:rPr>
              <w:t xml:space="preserve">White as reference </w:t>
            </w:r>
            <w:r w:rsidRPr="00C90999">
              <w:rPr>
                <w:rFonts w:eastAsia="Times New Roman"/>
                <w:color w:val="000000"/>
                <w:sz w:val="20"/>
                <w:szCs w:val="20"/>
                <w:lang w:val="en-US"/>
              </w:rPr>
              <w:t>category</w:t>
            </w:r>
          </w:p>
          <w:p w14:paraId="41822D46"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070" w:type="dxa"/>
            <w:tcBorders>
              <w:top w:val="nil"/>
              <w:left w:val="nil"/>
              <w:bottom w:val="nil"/>
              <w:right w:val="nil"/>
            </w:tcBorders>
            <w:shd w:val="clear" w:color="000000" w:fill="FFFFFF"/>
            <w:noWrap/>
            <w:vAlign w:val="bottom"/>
            <w:hideMark/>
          </w:tcPr>
          <w:p w14:paraId="3A0FA149"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519" w:type="dxa"/>
            <w:tcBorders>
              <w:top w:val="nil"/>
              <w:left w:val="nil"/>
              <w:bottom w:val="nil"/>
              <w:right w:val="nil"/>
            </w:tcBorders>
            <w:shd w:val="clear" w:color="000000" w:fill="FFFFFF"/>
            <w:noWrap/>
            <w:vAlign w:val="bottom"/>
            <w:hideMark/>
          </w:tcPr>
          <w:p w14:paraId="04AB329B"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782" w:type="dxa"/>
            <w:tcBorders>
              <w:top w:val="nil"/>
              <w:left w:val="nil"/>
              <w:bottom w:val="nil"/>
              <w:right w:val="nil"/>
            </w:tcBorders>
            <w:shd w:val="clear" w:color="000000" w:fill="FFFFFF"/>
            <w:noWrap/>
            <w:vAlign w:val="bottom"/>
            <w:hideMark/>
          </w:tcPr>
          <w:p w14:paraId="36C129EB"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r>
    </w:tbl>
    <w:p w14:paraId="4C86B83B" w14:textId="77777777" w:rsidR="00484A96" w:rsidRDefault="00484A96" w:rsidP="00484A96">
      <w:pPr>
        <w:divId w:val="1212186410"/>
      </w:pPr>
    </w:p>
    <w:p w14:paraId="67568B98" w14:textId="77777777" w:rsidR="00484A96" w:rsidRDefault="00484A96" w:rsidP="00484A96">
      <w:pPr>
        <w:divId w:val="1212186410"/>
      </w:pPr>
    </w:p>
    <w:p w14:paraId="7E363017" w14:textId="77777777" w:rsidR="00484A96" w:rsidRDefault="00484A96" w:rsidP="00484A96">
      <w:pPr>
        <w:divId w:val="1212186410"/>
      </w:pPr>
    </w:p>
    <w:p w14:paraId="7FDFD571" w14:textId="77777777" w:rsidR="00484A96" w:rsidRDefault="00484A96" w:rsidP="00484A96">
      <w:pPr>
        <w:divId w:val="1212186410"/>
      </w:pPr>
    </w:p>
    <w:p w14:paraId="490C5041" w14:textId="77777777" w:rsidR="00484A96" w:rsidRDefault="00484A96" w:rsidP="00484A96">
      <w:pPr>
        <w:divId w:val="1212186410"/>
      </w:pPr>
    </w:p>
    <w:p w14:paraId="786F9F5B" w14:textId="77777777" w:rsidR="00484A96" w:rsidRDefault="00484A96" w:rsidP="00484A96">
      <w:pPr>
        <w:divId w:val="1212186410"/>
      </w:pPr>
    </w:p>
    <w:p w14:paraId="6D416CC7" w14:textId="77777777" w:rsidR="00484A96" w:rsidRDefault="00484A96" w:rsidP="00484A96">
      <w:pPr>
        <w:divId w:val="1212186410"/>
      </w:pPr>
    </w:p>
    <w:p w14:paraId="01F6FEEA" w14:textId="77777777" w:rsidR="00484A96" w:rsidRDefault="00484A96" w:rsidP="00484A96">
      <w:pPr>
        <w:divId w:val="1212186410"/>
      </w:pPr>
    </w:p>
    <w:p w14:paraId="7B9E0AC8" w14:textId="77777777" w:rsidR="00484A96" w:rsidRDefault="00484A96" w:rsidP="00484A96">
      <w:pPr>
        <w:divId w:val="1212186410"/>
      </w:pPr>
    </w:p>
    <w:p w14:paraId="79108833" w14:textId="77777777" w:rsidR="00484A96" w:rsidRDefault="00484A96" w:rsidP="00484A96">
      <w:pPr>
        <w:divId w:val="1212186410"/>
      </w:pPr>
    </w:p>
    <w:p w14:paraId="0A4612E1" w14:textId="77777777" w:rsidR="00484A96" w:rsidRDefault="00484A96" w:rsidP="00484A96">
      <w:pPr>
        <w:divId w:val="1212186410"/>
      </w:pPr>
    </w:p>
    <w:p w14:paraId="3D4EE913" w14:textId="77777777" w:rsidR="00484A96" w:rsidRDefault="00484A96" w:rsidP="00484A96">
      <w:pPr>
        <w:divId w:val="1212186410"/>
      </w:pPr>
    </w:p>
    <w:p w14:paraId="1750659B" w14:textId="77777777" w:rsidR="00484A96" w:rsidRDefault="00484A96" w:rsidP="00484A96">
      <w:pPr>
        <w:divId w:val="1212186410"/>
      </w:pPr>
    </w:p>
    <w:p w14:paraId="0256ADC6" w14:textId="77777777" w:rsidR="00484A96" w:rsidRDefault="00484A96" w:rsidP="00484A96">
      <w:pPr>
        <w:divId w:val="1212186410"/>
      </w:pPr>
    </w:p>
    <w:p w14:paraId="52553CD3" w14:textId="77777777" w:rsidR="00484A96" w:rsidRDefault="00484A96" w:rsidP="00484A96">
      <w:pPr>
        <w:divId w:val="1212186410"/>
      </w:pPr>
    </w:p>
    <w:p w14:paraId="2B0B57D4" w14:textId="77777777" w:rsidR="00484A96" w:rsidRDefault="00484A96" w:rsidP="00484A96">
      <w:pPr>
        <w:divId w:val="1212186410"/>
      </w:pPr>
    </w:p>
    <w:p w14:paraId="6D351D14" w14:textId="77777777" w:rsidR="00484A96" w:rsidRDefault="00484A96" w:rsidP="00484A96">
      <w:pPr>
        <w:divId w:val="1212186410"/>
      </w:pPr>
    </w:p>
    <w:p w14:paraId="29A989E5" w14:textId="77777777" w:rsidR="00484A96" w:rsidRDefault="00484A96" w:rsidP="00484A96">
      <w:pPr>
        <w:divId w:val="1212186410"/>
      </w:pPr>
    </w:p>
    <w:p w14:paraId="681BD2F5" w14:textId="77777777" w:rsidR="00484A96" w:rsidRDefault="00484A96" w:rsidP="00484A96">
      <w:pPr>
        <w:divId w:val="1212186410"/>
      </w:pPr>
    </w:p>
    <w:p w14:paraId="0E78E6C3" w14:textId="77777777" w:rsidR="00484A96" w:rsidRDefault="00484A96" w:rsidP="00484A96">
      <w:pPr>
        <w:divId w:val="1212186410"/>
      </w:pPr>
    </w:p>
    <w:p w14:paraId="1AABF648" w14:textId="5B1745E4" w:rsidR="00484A96" w:rsidRPr="00A47ACF" w:rsidRDefault="00484A96" w:rsidP="00484A96">
      <w:pPr>
        <w:divId w:val="1212186410"/>
      </w:pPr>
    </w:p>
    <w:p w14:paraId="5213D76F" w14:textId="77777777" w:rsidR="00484A96" w:rsidRDefault="00484A96" w:rsidP="00484A96">
      <w:pPr>
        <w:divId w:val="1212186410"/>
        <w:sectPr w:rsidR="00484A96" w:rsidSect="00C90999">
          <w:pgSz w:w="12240" w:h="15840"/>
          <w:pgMar w:top="1440" w:right="1797" w:bottom="1440" w:left="1797" w:header="720" w:footer="720" w:gutter="0"/>
          <w:cols w:space="720"/>
          <w:docGrid w:linePitch="360"/>
        </w:sectPr>
      </w:pPr>
    </w:p>
    <w:tbl>
      <w:tblPr>
        <w:tblpPr w:leftFromText="180" w:rightFromText="180" w:vertAnchor="text" w:horzAnchor="margin" w:tblpXSpec="center" w:tblpY="-429"/>
        <w:tblW w:w="14543" w:type="dxa"/>
        <w:tblLook w:val="04A0" w:firstRow="1" w:lastRow="0" w:firstColumn="1" w:lastColumn="0" w:noHBand="0" w:noVBand="1"/>
      </w:tblPr>
      <w:tblGrid>
        <w:gridCol w:w="622"/>
        <w:gridCol w:w="8275"/>
        <w:gridCol w:w="1006"/>
        <w:gridCol w:w="1502"/>
        <w:gridCol w:w="1444"/>
        <w:gridCol w:w="1694"/>
      </w:tblGrid>
      <w:tr w:rsidR="00484A96" w:rsidRPr="00C90999" w14:paraId="18D7126B" w14:textId="77777777" w:rsidTr="00484A96">
        <w:trPr>
          <w:divId w:val="1212186410"/>
          <w:trHeight w:val="347"/>
        </w:trPr>
        <w:tc>
          <w:tcPr>
            <w:tcW w:w="8897" w:type="dxa"/>
            <w:gridSpan w:val="2"/>
            <w:tcBorders>
              <w:top w:val="nil"/>
              <w:left w:val="nil"/>
              <w:bottom w:val="single" w:sz="4" w:space="0" w:color="auto"/>
              <w:right w:val="nil"/>
            </w:tcBorders>
            <w:shd w:val="clear" w:color="000000" w:fill="FFFFFF"/>
            <w:noWrap/>
            <w:vAlign w:val="bottom"/>
            <w:hideMark/>
          </w:tcPr>
          <w:p w14:paraId="5E3CAEC4" w14:textId="77777777" w:rsidR="00484A96" w:rsidRPr="00C90999" w:rsidRDefault="00484A96" w:rsidP="00E22D45">
            <w:pPr>
              <w:ind w:right="-458"/>
              <w:rPr>
                <w:rFonts w:eastAsia="Times New Roman"/>
                <w:color w:val="000000"/>
                <w:sz w:val="22"/>
                <w:szCs w:val="22"/>
                <w:lang w:val="en-US"/>
              </w:rPr>
            </w:pPr>
            <w:r w:rsidRPr="00C90999">
              <w:rPr>
                <w:rFonts w:eastAsia="Times New Roman"/>
                <w:color w:val="000000"/>
                <w:sz w:val="22"/>
                <w:szCs w:val="22"/>
                <w:lang w:val="en-US"/>
              </w:rPr>
              <w:lastRenderedPageBreak/>
              <w:t>Table</w:t>
            </w:r>
            <w:r>
              <w:rPr>
                <w:rFonts w:eastAsia="Times New Roman"/>
                <w:color w:val="000000"/>
                <w:sz w:val="22"/>
                <w:szCs w:val="22"/>
                <w:lang w:val="en-US"/>
              </w:rPr>
              <w:t xml:space="preserve"> 5. Possible mediators between </w:t>
            </w:r>
            <w:r w:rsidRPr="00C90999">
              <w:rPr>
                <w:rFonts w:eastAsia="Times New Roman"/>
                <w:color w:val="000000"/>
                <w:sz w:val="22"/>
                <w:szCs w:val="22"/>
                <w:lang w:val="en-US"/>
              </w:rPr>
              <w:t>first-generation im</w:t>
            </w:r>
            <w:r>
              <w:rPr>
                <w:rFonts w:eastAsia="Times New Roman"/>
                <w:color w:val="000000"/>
                <w:sz w:val="22"/>
                <w:szCs w:val="22"/>
                <w:lang w:val="en-US"/>
              </w:rPr>
              <w:t xml:space="preserve">migrant status and pro-violence </w:t>
            </w:r>
            <w:r w:rsidRPr="00C90999">
              <w:rPr>
                <w:rFonts w:eastAsia="Times New Roman"/>
                <w:color w:val="000000"/>
                <w:sz w:val="22"/>
                <w:szCs w:val="22"/>
                <w:lang w:val="en-US"/>
              </w:rPr>
              <w:t>attitudes</w:t>
            </w:r>
          </w:p>
        </w:tc>
        <w:tc>
          <w:tcPr>
            <w:tcW w:w="1006" w:type="dxa"/>
            <w:tcBorders>
              <w:top w:val="nil"/>
              <w:left w:val="nil"/>
              <w:bottom w:val="single" w:sz="4" w:space="0" w:color="auto"/>
              <w:right w:val="nil"/>
            </w:tcBorders>
            <w:shd w:val="clear" w:color="000000" w:fill="FFFFFF"/>
            <w:noWrap/>
            <w:vAlign w:val="bottom"/>
            <w:hideMark/>
          </w:tcPr>
          <w:p w14:paraId="59096F31"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502" w:type="dxa"/>
            <w:tcBorders>
              <w:top w:val="nil"/>
              <w:left w:val="nil"/>
              <w:bottom w:val="single" w:sz="4" w:space="0" w:color="auto"/>
              <w:right w:val="nil"/>
            </w:tcBorders>
            <w:shd w:val="clear" w:color="000000" w:fill="FFFFFF"/>
            <w:noWrap/>
            <w:vAlign w:val="bottom"/>
            <w:hideMark/>
          </w:tcPr>
          <w:p w14:paraId="59FB8A68"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444" w:type="dxa"/>
            <w:tcBorders>
              <w:top w:val="nil"/>
              <w:left w:val="nil"/>
              <w:bottom w:val="single" w:sz="4" w:space="0" w:color="auto"/>
              <w:right w:val="nil"/>
            </w:tcBorders>
            <w:shd w:val="clear" w:color="000000" w:fill="FFFFFF"/>
            <w:noWrap/>
            <w:vAlign w:val="bottom"/>
            <w:hideMark/>
          </w:tcPr>
          <w:p w14:paraId="21F9AF4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694" w:type="dxa"/>
            <w:tcBorders>
              <w:top w:val="nil"/>
              <w:left w:val="nil"/>
              <w:bottom w:val="single" w:sz="4" w:space="0" w:color="auto"/>
              <w:right w:val="nil"/>
            </w:tcBorders>
            <w:shd w:val="clear" w:color="000000" w:fill="FFFFFF"/>
            <w:noWrap/>
            <w:vAlign w:val="bottom"/>
            <w:hideMark/>
          </w:tcPr>
          <w:p w14:paraId="02C69F3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r>
      <w:tr w:rsidR="00484A96" w:rsidRPr="00C90999" w14:paraId="0FBB19F3"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0DEA5C02"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72D867A1"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1006" w:type="dxa"/>
            <w:tcBorders>
              <w:top w:val="nil"/>
              <w:left w:val="nil"/>
              <w:bottom w:val="nil"/>
              <w:right w:val="nil"/>
            </w:tcBorders>
            <w:shd w:val="clear" w:color="000000" w:fill="FFFFFF"/>
            <w:noWrap/>
            <w:vAlign w:val="bottom"/>
            <w:hideMark/>
          </w:tcPr>
          <w:p w14:paraId="730C807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502" w:type="dxa"/>
            <w:tcBorders>
              <w:top w:val="nil"/>
              <w:left w:val="nil"/>
              <w:bottom w:val="nil"/>
              <w:right w:val="nil"/>
            </w:tcBorders>
            <w:shd w:val="clear" w:color="000000" w:fill="FFFFFF"/>
            <w:noWrap/>
            <w:vAlign w:val="bottom"/>
            <w:hideMark/>
          </w:tcPr>
          <w:p w14:paraId="41A8AA7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444" w:type="dxa"/>
            <w:tcBorders>
              <w:top w:val="nil"/>
              <w:left w:val="nil"/>
              <w:bottom w:val="nil"/>
              <w:right w:val="nil"/>
            </w:tcBorders>
            <w:shd w:val="clear" w:color="000000" w:fill="FFFFFF"/>
            <w:noWrap/>
            <w:vAlign w:val="bottom"/>
            <w:hideMark/>
          </w:tcPr>
          <w:p w14:paraId="7E9FBC3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694" w:type="dxa"/>
            <w:tcBorders>
              <w:top w:val="nil"/>
              <w:left w:val="nil"/>
              <w:bottom w:val="nil"/>
              <w:right w:val="nil"/>
            </w:tcBorders>
            <w:shd w:val="clear" w:color="000000" w:fill="FFFFFF"/>
            <w:noWrap/>
            <w:vAlign w:val="bottom"/>
            <w:hideMark/>
          </w:tcPr>
          <w:p w14:paraId="5103896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r>
      <w:tr w:rsidR="00484A96" w:rsidRPr="00C90999" w14:paraId="4E3C16D3" w14:textId="77777777" w:rsidTr="00484A96">
        <w:trPr>
          <w:divId w:val="1212186410"/>
          <w:trHeight w:val="383"/>
        </w:trPr>
        <w:tc>
          <w:tcPr>
            <w:tcW w:w="622" w:type="dxa"/>
            <w:tcBorders>
              <w:top w:val="nil"/>
              <w:left w:val="nil"/>
              <w:bottom w:val="single" w:sz="4" w:space="0" w:color="auto"/>
              <w:right w:val="nil"/>
            </w:tcBorders>
            <w:shd w:val="clear" w:color="000000" w:fill="FFFFFF"/>
            <w:noWrap/>
            <w:vAlign w:val="bottom"/>
            <w:hideMark/>
          </w:tcPr>
          <w:p w14:paraId="17DF377A"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Step</w:t>
            </w:r>
          </w:p>
        </w:tc>
        <w:tc>
          <w:tcPr>
            <w:tcW w:w="8275" w:type="dxa"/>
            <w:tcBorders>
              <w:top w:val="nil"/>
              <w:left w:val="nil"/>
              <w:bottom w:val="single" w:sz="4" w:space="0" w:color="auto"/>
              <w:right w:val="nil"/>
            </w:tcBorders>
            <w:shd w:val="clear" w:color="000000" w:fill="FFFFFF"/>
            <w:noWrap/>
            <w:vAlign w:val="bottom"/>
            <w:hideMark/>
          </w:tcPr>
          <w:p w14:paraId="695FFFA3"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Risk/protective factor</w:t>
            </w:r>
          </w:p>
        </w:tc>
        <w:tc>
          <w:tcPr>
            <w:tcW w:w="1006" w:type="dxa"/>
            <w:tcBorders>
              <w:top w:val="nil"/>
              <w:left w:val="nil"/>
              <w:bottom w:val="single" w:sz="4" w:space="0" w:color="auto"/>
              <w:right w:val="nil"/>
            </w:tcBorders>
            <w:shd w:val="clear" w:color="000000" w:fill="FFFFFF"/>
            <w:noWrap/>
            <w:vAlign w:val="bottom"/>
            <w:hideMark/>
          </w:tcPr>
          <w:p w14:paraId="22DEF286"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B</w:t>
            </w:r>
          </w:p>
        </w:tc>
        <w:tc>
          <w:tcPr>
            <w:tcW w:w="1502" w:type="dxa"/>
            <w:tcBorders>
              <w:top w:val="nil"/>
              <w:left w:val="nil"/>
              <w:bottom w:val="single" w:sz="4" w:space="0" w:color="auto"/>
              <w:right w:val="nil"/>
            </w:tcBorders>
            <w:shd w:val="clear" w:color="000000" w:fill="FFFFFF"/>
            <w:noWrap/>
            <w:vAlign w:val="bottom"/>
            <w:hideMark/>
          </w:tcPr>
          <w:p w14:paraId="5E0ABE24"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SE</w:t>
            </w:r>
          </w:p>
        </w:tc>
        <w:tc>
          <w:tcPr>
            <w:tcW w:w="1444" w:type="dxa"/>
            <w:tcBorders>
              <w:top w:val="nil"/>
              <w:left w:val="nil"/>
              <w:bottom w:val="single" w:sz="4" w:space="0" w:color="auto"/>
              <w:right w:val="nil"/>
            </w:tcBorders>
            <w:shd w:val="clear" w:color="000000" w:fill="FFFFFF"/>
            <w:noWrap/>
            <w:vAlign w:val="bottom"/>
            <w:hideMark/>
          </w:tcPr>
          <w:p w14:paraId="5D2D658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OR</w:t>
            </w:r>
          </w:p>
        </w:tc>
        <w:tc>
          <w:tcPr>
            <w:tcW w:w="1694" w:type="dxa"/>
            <w:tcBorders>
              <w:top w:val="nil"/>
              <w:left w:val="nil"/>
              <w:bottom w:val="single" w:sz="4" w:space="0" w:color="auto"/>
              <w:right w:val="nil"/>
            </w:tcBorders>
            <w:shd w:val="clear" w:color="000000" w:fill="FFFFFF"/>
            <w:noWrap/>
            <w:vAlign w:val="bottom"/>
            <w:hideMark/>
          </w:tcPr>
          <w:p w14:paraId="319C24C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95% CI</w:t>
            </w:r>
          </w:p>
        </w:tc>
      </w:tr>
      <w:tr w:rsidR="00484A96" w:rsidRPr="00C90999" w14:paraId="033BA4F8" w14:textId="77777777" w:rsidTr="00484A96">
        <w:trPr>
          <w:divId w:val="1212186410"/>
          <w:trHeight w:val="535"/>
        </w:trPr>
        <w:tc>
          <w:tcPr>
            <w:tcW w:w="622" w:type="dxa"/>
            <w:tcBorders>
              <w:top w:val="nil"/>
              <w:left w:val="nil"/>
              <w:bottom w:val="nil"/>
              <w:right w:val="nil"/>
            </w:tcBorders>
            <w:shd w:val="clear" w:color="000000" w:fill="FFFFFF"/>
            <w:noWrap/>
            <w:vAlign w:val="bottom"/>
            <w:hideMark/>
          </w:tcPr>
          <w:p w14:paraId="72447464"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w:t>
            </w:r>
          </w:p>
        </w:tc>
        <w:tc>
          <w:tcPr>
            <w:tcW w:w="8275" w:type="dxa"/>
            <w:tcBorders>
              <w:top w:val="nil"/>
              <w:left w:val="nil"/>
              <w:bottom w:val="nil"/>
              <w:right w:val="nil"/>
            </w:tcBorders>
            <w:shd w:val="clear" w:color="000000" w:fill="FFFFFF"/>
            <w:noWrap/>
            <w:vAlign w:val="bottom"/>
            <w:hideMark/>
          </w:tcPr>
          <w:p w14:paraId="47321511"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First (1st) -&gt; pro-violence attitudes</w:t>
            </w:r>
          </w:p>
        </w:tc>
        <w:tc>
          <w:tcPr>
            <w:tcW w:w="1006" w:type="dxa"/>
            <w:tcBorders>
              <w:top w:val="nil"/>
              <w:left w:val="nil"/>
              <w:bottom w:val="nil"/>
              <w:right w:val="nil"/>
            </w:tcBorders>
            <w:shd w:val="clear" w:color="000000" w:fill="FFFFFF"/>
            <w:noWrap/>
            <w:vAlign w:val="bottom"/>
            <w:hideMark/>
          </w:tcPr>
          <w:p w14:paraId="675F070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0.252</w:t>
            </w:r>
          </w:p>
        </w:tc>
        <w:tc>
          <w:tcPr>
            <w:tcW w:w="1502" w:type="dxa"/>
            <w:tcBorders>
              <w:top w:val="nil"/>
              <w:left w:val="nil"/>
              <w:bottom w:val="nil"/>
              <w:right w:val="nil"/>
            </w:tcBorders>
            <w:shd w:val="clear" w:color="000000" w:fill="FFFFFF"/>
            <w:noWrap/>
            <w:vAlign w:val="bottom"/>
            <w:hideMark/>
          </w:tcPr>
          <w:p w14:paraId="439CF62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0.104</w:t>
            </w:r>
          </w:p>
        </w:tc>
        <w:tc>
          <w:tcPr>
            <w:tcW w:w="1444" w:type="dxa"/>
            <w:tcBorders>
              <w:top w:val="nil"/>
              <w:left w:val="nil"/>
              <w:bottom w:val="nil"/>
              <w:right w:val="nil"/>
            </w:tcBorders>
            <w:shd w:val="clear" w:color="000000" w:fill="FFFFFF"/>
            <w:noWrap/>
            <w:vAlign w:val="bottom"/>
            <w:hideMark/>
          </w:tcPr>
          <w:p w14:paraId="779B030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1.29*</w:t>
            </w:r>
          </w:p>
        </w:tc>
        <w:tc>
          <w:tcPr>
            <w:tcW w:w="1694" w:type="dxa"/>
            <w:tcBorders>
              <w:top w:val="nil"/>
              <w:left w:val="nil"/>
              <w:bottom w:val="nil"/>
              <w:right w:val="nil"/>
            </w:tcBorders>
            <w:shd w:val="clear" w:color="000000" w:fill="FFFFFF"/>
            <w:noWrap/>
            <w:vAlign w:val="bottom"/>
            <w:hideMark/>
          </w:tcPr>
          <w:p w14:paraId="10CF7EAE"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1.05-1.58</w:t>
            </w:r>
          </w:p>
        </w:tc>
      </w:tr>
      <w:tr w:rsidR="00484A96" w:rsidRPr="00C90999" w14:paraId="78F62935"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223463B6"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2</w:t>
            </w:r>
          </w:p>
        </w:tc>
        <w:tc>
          <w:tcPr>
            <w:tcW w:w="8275" w:type="dxa"/>
            <w:tcBorders>
              <w:top w:val="nil"/>
              <w:left w:val="nil"/>
              <w:bottom w:val="nil"/>
              <w:right w:val="nil"/>
            </w:tcBorders>
            <w:shd w:val="clear" w:color="000000" w:fill="FFFFFF"/>
            <w:noWrap/>
            <w:vAlign w:val="bottom"/>
            <w:hideMark/>
          </w:tcPr>
          <w:p w14:paraId="4EE1F7A3"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Different ethnic friends</w:t>
            </w:r>
          </w:p>
        </w:tc>
        <w:tc>
          <w:tcPr>
            <w:tcW w:w="1006" w:type="dxa"/>
            <w:tcBorders>
              <w:top w:val="nil"/>
              <w:left w:val="nil"/>
              <w:bottom w:val="nil"/>
              <w:right w:val="nil"/>
            </w:tcBorders>
            <w:shd w:val="clear" w:color="000000" w:fill="FFFFFF"/>
            <w:noWrap/>
            <w:vAlign w:val="bottom"/>
            <w:hideMark/>
          </w:tcPr>
          <w:p w14:paraId="4DE613B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1.336</w:t>
            </w:r>
          </w:p>
        </w:tc>
        <w:tc>
          <w:tcPr>
            <w:tcW w:w="1502" w:type="dxa"/>
            <w:tcBorders>
              <w:top w:val="nil"/>
              <w:left w:val="nil"/>
              <w:bottom w:val="nil"/>
              <w:right w:val="nil"/>
            </w:tcBorders>
            <w:shd w:val="clear" w:color="000000" w:fill="FFFFFF"/>
            <w:noWrap/>
            <w:vAlign w:val="bottom"/>
            <w:hideMark/>
          </w:tcPr>
          <w:p w14:paraId="0E90063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0.065</w:t>
            </w:r>
          </w:p>
        </w:tc>
        <w:tc>
          <w:tcPr>
            <w:tcW w:w="1444" w:type="dxa"/>
            <w:tcBorders>
              <w:top w:val="nil"/>
              <w:left w:val="nil"/>
              <w:bottom w:val="nil"/>
              <w:right w:val="nil"/>
            </w:tcBorders>
            <w:shd w:val="clear" w:color="000000" w:fill="FFFFFF"/>
            <w:noWrap/>
            <w:vAlign w:val="bottom"/>
            <w:hideMark/>
          </w:tcPr>
          <w:p w14:paraId="464C1E1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3.80***</w:t>
            </w:r>
          </w:p>
        </w:tc>
        <w:tc>
          <w:tcPr>
            <w:tcW w:w="1694" w:type="dxa"/>
            <w:tcBorders>
              <w:top w:val="nil"/>
              <w:left w:val="nil"/>
              <w:bottom w:val="nil"/>
              <w:right w:val="nil"/>
            </w:tcBorders>
            <w:shd w:val="clear" w:color="000000" w:fill="FFFFFF"/>
            <w:noWrap/>
            <w:vAlign w:val="bottom"/>
            <w:hideMark/>
          </w:tcPr>
          <w:p w14:paraId="712A25B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3.35-4.32</w:t>
            </w:r>
          </w:p>
        </w:tc>
      </w:tr>
      <w:tr w:rsidR="00484A96" w:rsidRPr="00C90999" w14:paraId="5538434F"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1697D1F7"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595EA002"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Non-English main language</w:t>
            </w:r>
          </w:p>
        </w:tc>
        <w:tc>
          <w:tcPr>
            <w:tcW w:w="1006" w:type="dxa"/>
            <w:tcBorders>
              <w:top w:val="nil"/>
              <w:left w:val="nil"/>
              <w:bottom w:val="nil"/>
              <w:right w:val="nil"/>
            </w:tcBorders>
            <w:shd w:val="clear" w:color="000000" w:fill="FFFFFF"/>
            <w:noWrap/>
            <w:vAlign w:val="bottom"/>
            <w:hideMark/>
          </w:tcPr>
          <w:p w14:paraId="1E2D5E2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3.665</w:t>
            </w:r>
          </w:p>
        </w:tc>
        <w:tc>
          <w:tcPr>
            <w:tcW w:w="1502" w:type="dxa"/>
            <w:tcBorders>
              <w:top w:val="nil"/>
              <w:left w:val="nil"/>
              <w:bottom w:val="nil"/>
              <w:right w:val="nil"/>
            </w:tcBorders>
            <w:shd w:val="clear" w:color="000000" w:fill="FFFFFF"/>
            <w:noWrap/>
            <w:vAlign w:val="bottom"/>
            <w:hideMark/>
          </w:tcPr>
          <w:p w14:paraId="4D82719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0.118</w:t>
            </w:r>
          </w:p>
        </w:tc>
        <w:tc>
          <w:tcPr>
            <w:tcW w:w="1444" w:type="dxa"/>
            <w:tcBorders>
              <w:top w:val="nil"/>
              <w:left w:val="nil"/>
              <w:bottom w:val="nil"/>
              <w:right w:val="nil"/>
            </w:tcBorders>
            <w:shd w:val="clear" w:color="000000" w:fill="FFFFFF"/>
            <w:noWrap/>
            <w:vAlign w:val="bottom"/>
            <w:hideMark/>
          </w:tcPr>
          <w:p w14:paraId="204D4D48"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39.04***</w:t>
            </w:r>
          </w:p>
        </w:tc>
        <w:tc>
          <w:tcPr>
            <w:tcW w:w="1694" w:type="dxa"/>
            <w:tcBorders>
              <w:top w:val="nil"/>
              <w:left w:val="nil"/>
              <w:bottom w:val="nil"/>
              <w:right w:val="nil"/>
            </w:tcBorders>
            <w:shd w:val="clear" w:color="000000" w:fill="FFFFFF"/>
            <w:noWrap/>
            <w:vAlign w:val="bottom"/>
            <w:hideMark/>
          </w:tcPr>
          <w:p w14:paraId="509A944E"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31.00-49.16</w:t>
            </w:r>
          </w:p>
        </w:tc>
      </w:tr>
      <w:tr w:rsidR="00484A96" w:rsidRPr="00C90999" w14:paraId="7F4D883E"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6A7B18C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0F722D10"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xml:space="preserve">1st -&gt; </w:t>
            </w:r>
            <w:r>
              <w:rPr>
                <w:rFonts w:eastAsia="Times New Roman"/>
                <w:color w:val="000000"/>
                <w:sz w:val="22"/>
                <w:szCs w:val="22"/>
                <w:lang w:val="en-US"/>
              </w:rPr>
              <w:t>Neighbourhood</w:t>
            </w:r>
            <w:r w:rsidRPr="00C90999">
              <w:rPr>
                <w:rFonts w:eastAsia="Times New Roman"/>
                <w:color w:val="000000"/>
                <w:sz w:val="22"/>
                <w:szCs w:val="22"/>
                <w:lang w:val="en-US"/>
              </w:rPr>
              <w:t xml:space="preserve"> dissatisfaction</w:t>
            </w:r>
          </w:p>
        </w:tc>
        <w:tc>
          <w:tcPr>
            <w:tcW w:w="1006" w:type="dxa"/>
            <w:tcBorders>
              <w:top w:val="nil"/>
              <w:left w:val="nil"/>
              <w:bottom w:val="nil"/>
              <w:right w:val="nil"/>
            </w:tcBorders>
            <w:shd w:val="clear" w:color="000000" w:fill="FFFFFF"/>
            <w:noWrap/>
            <w:vAlign w:val="bottom"/>
            <w:hideMark/>
          </w:tcPr>
          <w:p w14:paraId="2A377D14"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-0.051</w:t>
            </w:r>
          </w:p>
        </w:tc>
        <w:tc>
          <w:tcPr>
            <w:tcW w:w="1502" w:type="dxa"/>
            <w:tcBorders>
              <w:top w:val="nil"/>
              <w:left w:val="nil"/>
              <w:bottom w:val="nil"/>
              <w:right w:val="nil"/>
            </w:tcBorders>
            <w:shd w:val="clear" w:color="000000" w:fill="FFFFFF"/>
            <w:noWrap/>
            <w:vAlign w:val="bottom"/>
            <w:hideMark/>
          </w:tcPr>
          <w:p w14:paraId="2DC63FE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0.061</w:t>
            </w:r>
          </w:p>
        </w:tc>
        <w:tc>
          <w:tcPr>
            <w:tcW w:w="1444" w:type="dxa"/>
            <w:tcBorders>
              <w:top w:val="nil"/>
              <w:left w:val="nil"/>
              <w:bottom w:val="nil"/>
              <w:right w:val="nil"/>
            </w:tcBorders>
            <w:shd w:val="clear" w:color="000000" w:fill="FFFFFF"/>
            <w:noWrap/>
            <w:vAlign w:val="bottom"/>
            <w:hideMark/>
          </w:tcPr>
          <w:p w14:paraId="298F7B3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0.95</w:t>
            </w:r>
          </w:p>
        </w:tc>
        <w:tc>
          <w:tcPr>
            <w:tcW w:w="1694" w:type="dxa"/>
            <w:tcBorders>
              <w:top w:val="nil"/>
              <w:left w:val="nil"/>
              <w:bottom w:val="nil"/>
              <w:right w:val="nil"/>
            </w:tcBorders>
            <w:shd w:val="clear" w:color="000000" w:fill="FFFFFF"/>
            <w:noWrap/>
            <w:vAlign w:val="bottom"/>
            <w:hideMark/>
          </w:tcPr>
          <w:p w14:paraId="0077643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0.84-1.07</w:t>
            </w:r>
          </w:p>
        </w:tc>
      </w:tr>
      <w:tr w:rsidR="00484A96" w:rsidRPr="00C90999" w14:paraId="040D938D"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5C70BE0A"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6C377340"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Harassment</w:t>
            </w:r>
          </w:p>
        </w:tc>
        <w:tc>
          <w:tcPr>
            <w:tcW w:w="1006" w:type="dxa"/>
            <w:tcBorders>
              <w:top w:val="nil"/>
              <w:left w:val="nil"/>
              <w:bottom w:val="nil"/>
              <w:right w:val="nil"/>
            </w:tcBorders>
            <w:shd w:val="clear" w:color="000000" w:fill="FFFFFF"/>
            <w:noWrap/>
            <w:vAlign w:val="bottom"/>
            <w:hideMark/>
          </w:tcPr>
          <w:p w14:paraId="264D547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1.123</w:t>
            </w:r>
          </w:p>
        </w:tc>
        <w:tc>
          <w:tcPr>
            <w:tcW w:w="1502" w:type="dxa"/>
            <w:tcBorders>
              <w:top w:val="nil"/>
              <w:left w:val="nil"/>
              <w:bottom w:val="nil"/>
              <w:right w:val="nil"/>
            </w:tcBorders>
            <w:shd w:val="clear" w:color="000000" w:fill="FFFFFF"/>
            <w:noWrap/>
            <w:vAlign w:val="bottom"/>
            <w:hideMark/>
          </w:tcPr>
          <w:p w14:paraId="7FAF0B2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0.06</w:t>
            </w:r>
          </w:p>
        </w:tc>
        <w:tc>
          <w:tcPr>
            <w:tcW w:w="1444" w:type="dxa"/>
            <w:tcBorders>
              <w:top w:val="nil"/>
              <w:left w:val="nil"/>
              <w:bottom w:val="nil"/>
              <w:right w:val="nil"/>
            </w:tcBorders>
            <w:shd w:val="clear" w:color="000000" w:fill="FFFFFF"/>
            <w:noWrap/>
            <w:vAlign w:val="bottom"/>
            <w:hideMark/>
          </w:tcPr>
          <w:p w14:paraId="794C163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3.08***</w:t>
            </w:r>
          </w:p>
        </w:tc>
        <w:tc>
          <w:tcPr>
            <w:tcW w:w="1694" w:type="dxa"/>
            <w:tcBorders>
              <w:top w:val="nil"/>
              <w:left w:val="nil"/>
              <w:bottom w:val="nil"/>
              <w:right w:val="nil"/>
            </w:tcBorders>
            <w:shd w:val="clear" w:color="000000" w:fill="FFFFFF"/>
            <w:noWrap/>
            <w:vAlign w:val="bottom"/>
            <w:hideMark/>
          </w:tcPr>
          <w:p w14:paraId="76FDDCD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2.73-3.46</w:t>
            </w:r>
          </w:p>
        </w:tc>
      </w:tr>
      <w:tr w:rsidR="00484A96" w:rsidRPr="00C90999" w14:paraId="5B95419B"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17E2364E"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5C4A1D02"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Exclusion</w:t>
            </w:r>
          </w:p>
        </w:tc>
        <w:tc>
          <w:tcPr>
            <w:tcW w:w="1006" w:type="dxa"/>
            <w:tcBorders>
              <w:top w:val="nil"/>
              <w:left w:val="nil"/>
              <w:bottom w:val="nil"/>
              <w:right w:val="nil"/>
            </w:tcBorders>
            <w:shd w:val="clear" w:color="000000" w:fill="FFFFFF"/>
            <w:noWrap/>
            <w:vAlign w:val="bottom"/>
            <w:hideMark/>
          </w:tcPr>
          <w:p w14:paraId="2247CB4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0.47</w:t>
            </w:r>
          </w:p>
        </w:tc>
        <w:tc>
          <w:tcPr>
            <w:tcW w:w="1502" w:type="dxa"/>
            <w:tcBorders>
              <w:top w:val="nil"/>
              <w:left w:val="nil"/>
              <w:bottom w:val="nil"/>
              <w:right w:val="nil"/>
            </w:tcBorders>
            <w:shd w:val="clear" w:color="000000" w:fill="FFFFFF"/>
            <w:noWrap/>
            <w:vAlign w:val="bottom"/>
            <w:hideMark/>
          </w:tcPr>
          <w:p w14:paraId="374EAF7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0.082</w:t>
            </w:r>
          </w:p>
        </w:tc>
        <w:tc>
          <w:tcPr>
            <w:tcW w:w="1444" w:type="dxa"/>
            <w:tcBorders>
              <w:top w:val="nil"/>
              <w:left w:val="nil"/>
              <w:bottom w:val="nil"/>
              <w:right w:val="nil"/>
            </w:tcBorders>
            <w:shd w:val="clear" w:color="000000" w:fill="FFFFFF"/>
            <w:noWrap/>
            <w:vAlign w:val="bottom"/>
            <w:hideMark/>
          </w:tcPr>
          <w:p w14:paraId="60AF7E44"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1.60***</w:t>
            </w:r>
          </w:p>
        </w:tc>
        <w:tc>
          <w:tcPr>
            <w:tcW w:w="1694" w:type="dxa"/>
            <w:tcBorders>
              <w:top w:val="nil"/>
              <w:left w:val="nil"/>
              <w:bottom w:val="nil"/>
              <w:right w:val="nil"/>
            </w:tcBorders>
            <w:shd w:val="clear" w:color="000000" w:fill="FFFFFF"/>
            <w:noWrap/>
            <w:vAlign w:val="bottom"/>
            <w:hideMark/>
          </w:tcPr>
          <w:p w14:paraId="478BDC7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1.36-1.88</w:t>
            </w:r>
          </w:p>
        </w:tc>
      </w:tr>
      <w:tr w:rsidR="00484A96" w:rsidRPr="00C90999" w14:paraId="5BF3EDB2"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0802ADA1"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69CBB68D"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No Influence</w:t>
            </w:r>
          </w:p>
        </w:tc>
        <w:tc>
          <w:tcPr>
            <w:tcW w:w="1006" w:type="dxa"/>
            <w:tcBorders>
              <w:top w:val="nil"/>
              <w:left w:val="nil"/>
              <w:bottom w:val="nil"/>
              <w:right w:val="nil"/>
            </w:tcBorders>
            <w:shd w:val="clear" w:color="000000" w:fill="FFFFFF"/>
            <w:noWrap/>
            <w:vAlign w:val="bottom"/>
            <w:hideMark/>
          </w:tcPr>
          <w:p w14:paraId="472740D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-0.342</w:t>
            </w:r>
          </w:p>
        </w:tc>
        <w:tc>
          <w:tcPr>
            <w:tcW w:w="1502" w:type="dxa"/>
            <w:tcBorders>
              <w:top w:val="nil"/>
              <w:left w:val="nil"/>
              <w:bottom w:val="nil"/>
              <w:right w:val="nil"/>
            </w:tcBorders>
            <w:shd w:val="clear" w:color="000000" w:fill="FFFFFF"/>
            <w:noWrap/>
            <w:vAlign w:val="bottom"/>
            <w:hideMark/>
          </w:tcPr>
          <w:p w14:paraId="47EFA7D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0.057</w:t>
            </w:r>
          </w:p>
        </w:tc>
        <w:tc>
          <w:tcPr>
            <w:tcW w:w="1444" w:type="dxa"/>
            <w:tcBorders>
              <w:top w:val="nil"/>
              <w:left w:val="nil"/>
              <w:bottom w:val="nil"/>
              <w:right w:val="nil"/>
            </w:tcBorders>
            <w:shd w:val="clear" w:color="000000" w:fill="FFFFFF"/>
            <w:noWrap/>
            <w:vAlign w:val="bottom"/>
            <w:hideMark/>
          </w:tcPr>
          <w:p w14:paraId="5005AE61"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0.71***</w:t>
            </w:r>
          </w:p>
        </w:tc>
        <w:tc>
          <w:tcPr>
            <w:tcW w:w="1694" w:type="dxa"/>
            <w:tcBorders>
              <w:top w:val="nil"/>
              <w:left w:val="nil"/>
              <w:bottom w:val="nil"/>
              <w:right w:val="nil"/>
            </w:tcBorders>
            <w:shd w:val="clear" w:color="000000" w:fill="FFFFFF"/>
            <w:noWrap/>
            <w:vAlign w:val="bottom"/>
            <w:hideMark/>
          </w:tcPr>
          <w:p w14:paraId="04FF9496"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0.64-0.80</w:t>
            </w:r>
          </w:p>
        </w:tc>
      </w:tr>
      <w:tr w:rsidR="00484A96" w:rsidRPr="00C90999" w14:paraId="2D6D5E69"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37F2B023"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745C0CD2"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Mistrust in police</w:t>
            </w:r>
          </w:p>
        </w:tc>
        <w:tc>
          <w:tcPr>
            <w:tcW w:w="1006" w:type="dxa"/>
            <w:tcBorders>
              <w:top w:val="nil"/>
              <w:left w:val="nil"/>
              <w:bottom w:val="nil"/>
              <w:right w:val="nil"/>
            </w:tcBorders>
            <w:shd w:val="clear" w:color="000000" w:fill="FFFFFF"/>
            <w:noWrap/>
            <w:vAlign w:val="bottom"/>
            <w:hideMark/>
          </w:tcPr>
          <w:p w14:paraId="0A64D9E4"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-0.276</w:t>
            </w:r>
          </w:p>
        </w:tc>
        <w:tc>
          <w:tcPr>
            <w:tcW w:w="1502" w:type="dxa"/>
            <w:tcBorders>
              <w:top w:val="nil"/>
              <w:left w:val="nil"/>
              <w:bottom w:val="nil"/>
              <w:right w:val="nil"/>
            </w:tcBorders>
            <w:shd w:val="clear" w:color="000000" w:fill="FFFFFF"/>
            <w:noWrap/>
            <w:vAlign w:val="bottom"/>
            <w:hideMark/>
          </w:tcPr>
          <w:p w14:paraId="5A07AE3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0.075</w:t>
            </w:r>
          </w:p>
        </w:tc>
        <w:tc>
          <w:tcPr>
            <w:tcW w:w="1444" w:type="dxa"/>
            <w:tcBorders>
              <w:top w:val="nil"/>
              <w:left w:val="nil"/>
              <w:bottom w:val="nil"/>
              <w:right w:val="nil"/>
            </w:tcBorders>
            <w:shd w:val="clear" w:color="000000" w:fill="FFFFFF"/>
            <w:noWrap/>
            <w:vAlign w:val="bottom"/>
            <w:hideMark/>
          </w:tcPr>
          <w:p w14:paraId="73B311C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0.76***</w:t>
            </w:r>
          </w:p>
        </w:tc>
        <w:tc>
          <w:tcPr>
            <w:tcW w:w="1694" w:type="dxa"/>
            <w:tcBorders>
              <w:top w:val="nil"/>
              <w:left w:val="nil"/>
              <w:bottom w:val="nil"/>
              <w:right w:val="nil"/>
            </w:tcBorders>
            <w:shd w:val="clear" w:color="000000" w:fill="FFFFFF"/>
            <w:noWrap/>
            <w:vAlign w:val="bottom"/>
            <w:hideMark/>
          </w:tcPr>
          <w:p w14:paraId="37BECA8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0.65-0.88</w:t>
            </w:r>
          </w:p>
        </w:tc>
      </w:tr>
      <w:tr w:rsidR="00484A96" w:rsidRPr="00C90999" w14:paraId="32BAE856"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57CBBE28"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3E4AE078"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Fear of crime</w:t>
            </w:r>
          </w:p>
        </w:tc>
        <w:tc>
          <w:tcPr>
            <w:tcW w:w="1006" w:type="dxa"/>
            <w:tcBorders>
              <w:top w:val="nil"/>
              <w:left w:val="nil"/>
              <w:bottom w:val="nil"/>
              <w:right w:val="nil"/>
            </w:tcBorders>
            <w:shd w:val="clear" w:color="000000" w:fill="FFFFFF"/>
            <w:noWrap/>
            <w:vAlign w:val="bottom"/>
            <w:hideMark/>
          </w:tcPr>
          <w:p w14:paraId="5992309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0.836</w:t>
            </w:r>
          </w:p>
        </w:tc>
        <w:tc>
          <w:tcPr>
            <w:tcW w:w="1502" w:type="dxa"/>
            <w:tcBorders>
              <w:top w:val="nil"/>
              <w:left w:val="nil"/>
              <w:bottom w:val="nil"/>
              <w:right w:val="nil"/>
            </w:tcBorders>
            <w:shd w:val="clear" w:color="000000" w:fill="FFFFFF"/>
            <w:noWrap/>
            <w:vAlign w:val="bottom"/>
            <w:hideMark/>
          </w:tcPr>
          <w:p w14:paraId="585DDD6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0.095</w:t>
            </w:r>
          </w:p>
        </w:tc>
        <w:tc>
          <w:tcPr>
            <w:tcW w:w="1444" w:type="dxa"/>
            <w:tcBorders>
              <w:top w:val="nil"/>
              <w:left w:val="nil"/>
              <w:bottom w:val="nil"/>
              <w:right w:val="nil"/>
            </w:tcBorders>
            <w:shd w:val="clear" w:color="000000" w:fill="FFFFFF"/>
            <w:noWrap/>
            <w:vAlign w:val="bottom"/>
            <w:hideMark/>
          </w:tcPr>
          <w:p w14:paraId="2403912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2.31***</w:t>
            </w:r>
          </w:p>
        </w:tc>
        <w:tc>
          <w:tcPr>
            <w:tcW w:w="1694" w:type="dxa"/>
            <w:tcBorders>
              <w:top w:val="nil"/>
              <w:left w:val="nil"/>
              <w:bottom w:val="nil"/>
              <w:right w:val="nil"/>
            </w:tcBorders>
            <w:shd w:val="clear" w:color="000000" w:fill="FFFFFF"/>
            <w:noWrap/>
            <w:vAlign w:val="bottom"/>
            <w:hideMark/>
          </w:tcPr>
          <w:p w14:paraId="37E3A19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1.92-2.78</w:t>
            </w:r>
          </w:p>
        </w:tc>
      </w:tr>
      <w:tr w:rsidR="00484A96" w:rsidRPr="00C90999" w14:paraId="752BD3A4"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476FF3D9"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3</w:t>
            </w:r>
          </w:p>
        </w:tc>
        <w:tc>
          <w:tcPr>
            <w:tcW w:w="8275" w:type="dxa"/>
            <w:tcBorders>
              <w:top w:val="nil"/>
              <w:left w:val="nil"/>
              <w:bottom w:val="nil"/>
              <w:right w:val="nil"/>
            </w:tcBorders>
            <w:shd w:val="clear" w:color="000000" w:fill="FFFFFF"/>
            <w:noWrap/>
            <w:vAlign w:val="bottom"/>
            <w:hideMark/>
          </w:tcPr>
          <w:p w14:paraId="2CEAA60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Different ethnic friends -&gt; pro-violence attitudes (cf. 1st)</w:t>
            </w:r>
          </w:p>
        </w:tc>
        <w:tc>
          <w:tcPr>
            <w:tcW w:w="1006" w:type="dxa"/>
            <w:tcBorders>
              <w:top w:val="nil"/>
              <w:left w:val="nil"/>
              <w:bottom w:val="nil"/>
              <w:right w:val="nil"/>
            </w:tcBorders>
            <w:shd w:val="clear" w:color="000000" w:fill="FFFFFF"/>
            <w:noWrap/>
            <w:vAlign w:val="bottom"/>
            <w:hideMark/>
          </w:tcPr>
          <w:p w14:paraId="40F0E88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-0.008</w:t>
            </w:r>
          </w:p>
        </w:tc>
        <w:tc>
          <w:tcPr>
            <w:tcW w:w="1502" w:type="dxa"/>
            <w:tcBorders>
              <w:top w:val="nil"/>
              <w:left w:val="nil"/>
              <w:bottom w:val="nil"/>
              <w:right w:val="nil"/>
            </w:tcBorders>
            <w:shd w:val="clear" w:color="000000" w:fill="FFFFFF"/>
            <w:noWrap/>
            <w:vAlign w:val="bottom"/>
            <w:hideMark/>
          </w:tcPr>
          <w:p w14:paraId="7514AE5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0.116</w:t>
            </w:r>
          </w:p>
        </w:tc>
        <w:tc>
          <w:tcPr>
            <w:tcW w:w="1444" w:type="dxa"/>
            <w:tcBorders>
              <w:top w:val="nil"/>
              <w:left w:val="nil"/>
              <w:bottom w:val="nil"/>
              <w:right w:val="nil"/>
            </w:tcBorders>
            <w:shd w:val="clear" w:color="000000" w:fill="FFFFFF"/>
            <w:noWrap/>
            <w:vAlign w:val="bottom"/>
            <w:hideMark/>
          </w:tcPr>
          <w:p w14:paraId="357268F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0.99</w:t>
            </w:r>
          </w:p>
        </w:tc>
        <w:tc>
          <w:tcPr>
            <w:tcW w:w="1694" w:type="dxa"/>
            <w:tcBorders>
              <w:top w:val="nil"/>
              <w:left w:val="nil"/>
              <w:bottom w:val="nil"/>
              <w:right w:val="nil"/>
            </w:tcBorders>
            <w:shd w:val="clear" w:color="000000" w:fill="FFFFFF"/>
            <w:noWrap/>
            <w:vAlign w:val="bottom"/>
            <w:hideMark/>
          </w:tcPr>
          <w:p w14:paraId="0131F90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0.79-1.25</w:t>
            </w:r>
          </w:p>
        </w:tc>
      </w:tr>
      <w:tr w:rsidR="00484A96" w:rsidRPr="00C90999" w14:paraId="29E39287"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2D6320B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4EEA94F2"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Non-English main language -&gt;  pro-violence attitudes (cf. 1st)</w:t>
            </w:r>
          </w:p>
        </w:tc>
        <w:tc>
          <w:tcPr>
            <w:tcW w:w="1006" w:type="dxa"/>
            <w:tcBorders>
              <w:top w:val="nil"/>
              <w:left w:val="nil"/>
              <w:bottom w:val="nil"/>
              <w:right w:val="nil"/>
            </w:tcBorders>
            <w:shd w:val="clear" w:color="000000" w:fill="FFFFFF"/>
            <w:noWrap/>
            <w:vAlign w:val="bottom"/>
            <w:hideMark/>
          </w:tcPr>
          <w:p w14:paraId="1860F5E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0.26</w:t>
            </w:r>
          </w:p>
        </w:tc>
        <w:tc>
          <w:tcPr>
            <w:tcW w:w="1502" w:type="dxa"/>
            <w:tcBorders>
              <w:top w:val="nil"/>
              <w:left w:val="nil"/>
              <w:bottom w:val="nil"/>
              <w:right w:val="nil"/>
            </w:tcBorders>
            <w:shd w:val="clear" w:color="000000" w:fill="FFFFFF"/>
            <w:noWrap/>
            <w:vAlign w:val="bottom"/>
            <w:hideMark/>
          </w:tcPr>
          <w:p w14:paraId="5AC6B7F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0.14</w:t>
            </w:r>
          </w:p>
        </w:tc>
        <w:tc>
          <w:tcPr>
            <w:tcW w:w="1444" w:type="dxa"/>
            <w:tcBorders>
              <w:top w:val="nil"/>
              <w:left w:val="nil"/>
              <w:bottom w:val="nil"/>
              <w:right w:val="nil"/>
            </w:tcBorders>
            <w:shd w:val="clear" w:color="000000" w:fill="FFFFFF"/>
            <w:noWrap/>
            <w:vAlign w:val="bottom"/>
            <w:hideMark/>
          </w:tcPr>
          <w:p w14:paraId="148D8F0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1.30</w:t>
            </w:r>
          </w:p>
        </w:tc>
        <w:tc>
          <w:tcPr>
            <w:tcW w:w="1694" w:type="dxa"/>
            <w:tcBorders>
              <w:top w:val="nil"/>
              <w:left w:val="nil"/>
              <w:bottom w:val="nil"/>
              <w:right w:val="nil"/>
            </w:tcBorders>
            <w:shd w:val="clear" w:color="000000" w:fill="FFFFFF"/>
            <w:noWrap/>
            <w:vAlign w:val="bottom"/>
            <w:hideMark/>
          </w:tcPr>
          <w:p w14:paraId="15B3B2E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0.98-1.71</w:t>
            </w:r>
          </w:p>
        </w:tc>
      </w:tr>
      <w:tr w:rsidR="00484A96" w:rsidRPr="00C90999" w14:paraId="1B274977"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1A78FE84"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2EC8CDA5" w14:textId="77777777" w:rsidR="00484A96" w:rsidRPr="00C90999" w:rsidRDefault="00484A96" w:rsidP="00E22D45">
            <w:pPr>
              <w:rPr>
                <w:rFonts w:eastAsia="Times New Roman"/>
                <w:color w:val="000000"/>
                <w:sz w:val="22"/>
                <w:szCs w:val="22"/>
                <w:lang w:val="en-US"/>
              </w:rPr>
            </w:pPr>
            <w:r>
              <w:rPr>
                <w:rFonts w:eastAsia="Times New Roman"/>
                <w:color w:val="000000"/>
                <w:sz w:val="22"/>
                <w:szCs w:val="22"/>
                <w:lang w:val="en-US"/>
              </w:rPr>
              <w:t>Neighbourhood</w:t>
            </w:r>
            <w:r w:rsidRPr="00C90999">
              <w:rPr>
                <w:rFonts w:eastAsia="Times New Roman"/>
                <w:color w:val="000000"/>
                <w:sz w:val="22"/>
                <w:szCs w:val="22"/>
                <w:lang w:val="en-US"/>
              </w:rPr>
              <w:t xml:space="preserve"> dissatisfaction -&gt;  pro-violence attitudes (cf. 1st)</w:t>
            </w:r>
          </w:p>
        </w:tc>
        <w:tc>
          <w:tcPr>
            <w:tcW w:w="1006" w:type="dxa"/>
            <w:tcBorders>
              <w:top w:val="nil"/>
              <w:left w:val="nil"/>
              <w:bottom w:val="nil"/>
              <w:right w:val="nil"/>
            </w:tcBorders>
            <w:shd w:val="clear" w:color="000000" w:fill="FFFFFF"/>
            <w:noWrap/>
            <w:vAlign w:val="bottom"/>
            <w:hideMark/>
          </w:tcPr>
          <w:p w14:paraId="6885F58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0.081</w:t>
            </w:r>
          </w:p>
        </w:tc>
        <w:tc>
          <w:tcPr>
            <w:tcW w:w="1502" w:type="dxa"/>
            <w:tcBorders>
              <w:top w:val="nil"/>
              <w:left w:val="nil"/>
              <w:bottom w:val="nil"/>
              <w:right w:val="nil"/>
            </w:tcBorders>
            <w:shd w:val="clear" w:color="000000" w:fill="FFFFFF"/>
            <w:noWrap/>
            <w:vAlign w:val="bottom"/>
            <w:hideMark/>
          </w:tcPr>
          <w:p w14:paraId="762A0E6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0.109</w:t>
            </w:r>
          </w:p>
        </w:tc>
        <w:tc>
          <w:tcPr>
            <w:tcW w:w="1444" w:type="dxa"/>
            <w:tcBorders>
              <w:top w:val="nil"/>
              <w:left w:val="nil"/>
              <w:bottom w:val="nil"/>
              <w:right w:val="nil"/>
            </w:tcBorders>
            <w:shd w:val="clear" w:color="000000" w:fill="FFFFFF"/>
            <w:noWrap/>
            <w:vAlign w:val="bottom"/>
            <w:hideMark/>
          </w:tcPr>
          <w:p w14:paraId="467803C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1.08</w:t>
            </w:r>
          </w:p>
        </w:tc>
        <w:tc>
          <w:tcPr>
            <w:tcW w:w="1694" w:type="dxa"/>
            <w:tcBorders>
              <w:top w:val="nil"/>
              <w:left w:val="nil"/>
              <w:bottom w:val="nil"/>
              <w:right w:val="nil"/>
            </w:tcBorders>
            <w:shd w:val="clear" w:color="000000" w:fill="FFFFFF"/>
            <w:noWrap/>
            <w:vAlign w:val="bottom"/>
            <w:hideMark/>
          </w:tcPr>
          <w:p w14:paraId="05369CB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0.88-1.34</w:t>
            </w:r>
          </w:p>
        </w:tc>
      </w:tr>
      <w:tr w:rsidR="00484A96" w:rsidRPr="00C90999" w14:paraId="641FF1B3"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4D3A0F0E"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47606819"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Harassment -&gt;  pro-violence attitudes (cf. 1st)</w:t>
            </w:r>
          </w:p>
        </w:tc>
        <w:tc>
          <w:tcPr>
            <w:tcW w:w="1006" w:type="dxa"/>
            <w:tcBorders>
              <w:top w:val="nil"/>
              <w:left w:val="nil"/>
              <w:bottom w:val="nil"/>
              <w:right w:val="nil"/>
            </w:tcBorders>
            <w:shd w:val="clear" w:color="000000" w:fill="FFFFFF"/>
            <w:noWrap/>
            <w:vAlign w:val="bottom"/>
            <w:hideMark/>
          </w:tcPr>
          <w:p w14:paraId="5886630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0.185</w:t>
            </w:r>
          </w:p>
        </w:tc>
        <w:tc>
          <w:tcPr>
            <w:tcW w:w="1502" w:type="dxa"/>
            <w:tcBorders>
              <w:top w:val="nil"/>
              <w:left w:val="nil"/>
              <w:bottom w:val="nil"/>
              <w:right w:val="nil"/>
            </w:tcBorders>
            <w:shd w:val="clear" w:color="000000" w:fill="FFFFFF"/>
            <w:noWrap/>
            <w:vAlign w:val="bottom"/>
            <w:hideMark/>
          </w:tcPr>
          <w:p w14:paraId="36918BC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0.109</w:t>
            </w:r>
          </w:p>
        </w:tc>
        <w:tc>
          <w:tcPr>
            <w:tcW w:w="1444" w:type="dxa"/>
            <w:tcBorders>
              <w:top w:val="nil"/>
              <w:left w:val="nil"/>
              <w:bottom w:val="nil"/>
              <w:right w:val="nil"/>
            </w:tcBorders>
            <w:shd w:val="clear" w:color="000000" w:fill="FFFFFF"/>
            <w:noWrap/>
            <w:vAlign w:val="bottom"/>
            <w:hideMark/>
          </w:tcPr>
          <w:p w14:paraId="08AC771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w:t>
            </w:r>
          </w:p>
        </w:tc>
        <w:tc>
          <w:tcPr>
            <w:tcW w:w="1694" w:type="dxa"/>
            <w:tcBorders>
              <w:top w:val="nil"/>
              <w:left w:val="nil"/>
              <w:bottom w:val="nil"/>
              <w:right w:val="nil"/>
            </w:tcBorders>
            <w:shd w:val="clear" w:color="000000" w:fill="FFFFFF"/>
            <w:noWrap/>
            <w:vAlign w:val="bottom"/>
            <w:hideMark/>
          </w:tcPr>
          <w:p w14:paraId="5B6245E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0.97-1.49</w:t>
            </w:r>
          </w:p>
        </w:tc>
      </w:tr>
      <w:tr w:rsidR="00484A96" w:rsidRPr="00C90999" w14:paraId="72633E15"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388850DF"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6093439E"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Exclusion -&gt;  pro-violence attitudes (cf. 1st)</w:t>
            </w:r>
          </w:p>
        </w:tc>
        <w:tc>
          <w:tcPr>
            <w:tcW w:w="1006" w:type="dxa"/>
            <w:tcBorders>
              <w:top w:val="nil"/>
              <w:left w:val="nil"/>
              <w:bottom w:val="nil"/>
              <w:right w:val="nil"/>
            </w:tcBorders>
            <w:shd w:val="clear" w:color="000000" w:fill="FFFFFF"/>
            <w:noWrap/>
            <w:vAlign w:val="bottom"/>
            <w:hideMark/>
          </w:tcPr>
          <w:p w14:paraId="0C95DE9E"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0.351</w:t>
            </w:r>
          </w:p>
        </w:tc>
        <w:tc>
          <w:tcPr>
            <w:tcW w:w="1502" w:type="dxa"/>
            <w:tcBorders>
              <w:top w:val="nil"/>
              <w:left w:val="nil"/>
              <w:bottom w:val="nil"/>
              <w:right w:val="nil"/>
            </w:tcBorders>
            <w:shd w:val="clear" w:color="000000" w:fill="FFFFFF"/>
            <w:noWrap/>
            <w:vAlign w:val="bottom"/>
            <w:hideMark/>
          </w:tcPr>
          <w:p w14:paraId="6C89FB2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0.135</w:t>
            </w:r>
          </w:p>
        </w:tc>
        <w:tc>
          <w:tcPr>
            <w:tcW w:w="1444" w:type="dxa"/>
            <w:tcBorders>
              <w:top w:val="nil"/>
              <w:left w:val="nil"/>
              <w:bottom w:val="nil"/>
              <w:right w:val="nil"/>
            </w:tcBorders>
            <w:shd w:val="clear" w:color="000000" w:fill="FFFFFF"/>
            <w:noWrap/>
            <w:vAlign w:val="bottom"/>
            <w:hideMark/>
          </w:tcPr>
          <w:p w14:paraId="0476253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1.42**</w:t>
            </w:r>
          </w:p>
        </w:tc>
        <w:tc>
          <w:tcPr>
            <w:tcW w:w="1694" w:type="dxa"/>
            <w:tcBorders>
              <w:top w:val="nil"/>
              <w:left w:val="nil"/>
              <w:bottom w:val="nil"/>
              <w:right w:val="nil"/>
            </w:tcBorders>
            <w:shd w:val="clear" w:color="000000" w:fill="FFFFFF"/>
            <w:noWrap/>
            <w:vAlign w:val="bottom"/>
            <w:hideMark/>
          </w:tcPr>
          <w:p w14:paraId="437ECBF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1.09-1.85</w:t>
            </w:r>
          </w:p>
        </w:tc>
      </w:tr>
      <w:tr w:rsidR="00484A96" w:rsidRPr="00C90999" w14:paraId="30A24E00"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6451A1CA"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2AB8AD7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No Influence -&gt;  pro-violence attitudes (cf. 1st)</w:t>
            </w:r>
          </w:p>
        </w:tc>
        <w:tc>
          <w:tcPr>
            <w:tcW w:w="1006" w:type="dxa"/>
            <w:tcBorders>
              <w:top w:val="nil"/>
              <w:left w:val="nil"/>
              <w:bottom w:val="nil"/>
              <w:right w:val="nil"/>
            </w:tcBorders>
            <w:shd w:val="clear" w:color="000000" w:fill="FFFFFF"/>
            <w:noWrap/>
            <w:vAlign w:val="bottom"/>
            <w:hideMark/>
          </w:tcPr>
          <w:p w14:paraId="09E32AA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0.004</w:t>
            </w:r>
          </w:p>
        </w:tc>
        <w:tc>
          <w:tcPr>
            <w:tcW w:w="1502" w:type="dxa"/>
            <w:tcBorders>
              <w:top w:val="nil"/>
              <w:left w:val="nil"/>
              <w:bottom w:val="nil"/>
              <w:right w:val="nil"/>
            </w:tcBorders>
            <w:shd w:val="clear" w:color="000000" w:fill="FFFFFF"/>
            <w:noWrap/>
            <w:vAlign w:val="bottom"/>
            <w:hideMark/>
          </w:tcPr>
          <w:p w14:paraId="6AE76D7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0.105</w:t>
            </w:r>
          </w:p>
        </w:tc>
        <w:tc>
          <w:tcPr>
            <w:tcW w:w="1444" w:type="dxa"/>
            <w:tcBorders>
              <w:top w:val="nil"/>
              <w:left w:val="nil"/>
              <w:bottom w:val="nil"/>
              <w:right w:val="nil"/>
            </w:tcBorders>
            <w:shd w:val="clear" w:color="000000" w:fill="FFFFFF"/>
            <w:noWrap/>
            <w:vAlign w:val="bottom"/>
            <w:hideMark/>
          </w:tcPr>
          <w:p w14:paraId="4B5FDF5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1.00</w:t>
            </w:r>
          </w:p>
        </w:tc>
        <w:tc>
          <w:tcPr>
            <w:tcW w:w="1694" w:type="dxa"/>
            <w:tcBorders>
              <w:top w:val="nil"/>
              <w:left w:val="nil"/>
              <w:bottom w:val="nil"/>
              <w:right w:val="nil"/>
            </w:tcBorders>
            <w:shd w:val="clear" w:color="000000" w:fill="FFFFFF"/>
            <w:noWrap/>
            <w:vAlign w:val="bottom"/>
            <w:hideMark/>
          </w:tcPr>
          <w:p w14:paraId="38084741"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0.82-1.23</w:t>
            </w:r>
          </w:p>
        </w:tc>
      </w:tr>
      <w:tr w:rsidR="00484A96" w:rsidRPr="00C90999" w14:paraId="35ECB061"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5D97111E"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lastRenderedPageBreak/>
              <w:t> </w:t>
            </w:r>
          </w:p>
        </w:tc>
        <w:tc>
          <w:tcPr>
            <w:tcW w:w="8275" w:type="dxa"/>
            <w:tcBorders>
              <w:top w:val="nil"/>
              <w:left w:val="nil"/>
              <w:bottom w:val="nil"/>
              <w:right w:val="nil"/>
            </w:tcBorders>
            <w:shd w:val="clear" w:color="000000" w:fill="FFFFFF"/>
            <w:noWrap/>
            <w:vAlign w:val="bottom"/>
            <w:hideMark/>
          </w:tcPr>
          <w:p w14:paraId="077891CE"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Mistrust in police -&gt;  pro-violence attitudes (cf. 1st)</w:t>
            </w:r>
          </w:p>
        </w:tc>
        <w:tc>
          <w:tcPr>
            <w:tcW w:w="1006" w:type="dxa"/>
            <w:tcBorders>
              <w:top w:val="nil"/>
              <w:left w:val="nil"/>
              <w:bottom w:val="nil"/>
              <w:right w:val="nil"/>
            </w:tcBorders>
            <w:shd w:val="clear" w:color="000000" w:fill="FFFFFF"/>
            <w:noWrap/>
            <w:vAlign w:val="bottom"/>
            <w:hideMark/>
          </w:tcPr>
          <w:p w14:paraId="377E408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0.748</w:t>
            </w:r>
          </w:p>
        </w:tc>
        <w:tc>
          <w:tcPr>
            <w:tcW w:w="1502" w:type="dxa"/>
            <w:tcBorders>
              <w:top w:val="nil"/>
              <w:left w:val="nil"/>
              <w:bottom w:val="nil"/>
              <w:right w:val="nil"/>
            </w:tcBorders>
            <w:shd w:val="clear" w:color="000000" w:fill="FFFFFF"/>
            <w:noWrap/>
            <w:vAlign w:val="bottom"/>
            <w:hideMark/>
          </w:tcPr>
          <w:p w14:paraId="017DAFA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0.117</w:t>
            </w:r>
          </w:p>
        </w:tc>
        <w:tc>
          <w:tcPr>
            <w:tcW w:w="1444" w:type="dxa"/>
            <w:tcBorders>
              <w:top w:val="nil"/>
              <w:left w:val="nil"/>
              <w:bottom w:val="nil"/>
              <w:right w:val="nil"/>
            </w:tcBorders>
            <w:shd w:val="clear" w:color="000000" w:fill="FFFFFF"/>
            <w:noWrap/>
            <w:vAlign w:val="bottom"/>
            <w:hideMark/>
          </w:tcPr>
          <w:p w14:paraId="4DC8F0F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2.11***</w:t>
            </w:r>
          </w:p>
        </w:tc>
        <w:tc>
          <w:tcPr>
            <w:tcW w:w="1694" w:type="dxa"/>
            <w:tcBorders>
              <w:top w:val="nil"/>
              <w:left w:val="nil"/>
              <w:bottom w:val="nil"/>
              <w:right w:val="nil"/>
            </w:tcBorders>
            <w:shd w:val="clear" w:color="000000" w:fill="FFFFFF"/>
            <w:noWrap/>
            <w:vAlign w:val="bottom"/>
            <w:hideMark/>
          </w:tcPr>
          <w:p w14:paraId="30CFFB6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1.68-2.66</w:t>
            </w:r>
          </w:p>
        </w:tc>
      </w:tr>
      <w:tr w:rsidR="00484A96" w:rsidRPr="00C90999" w14:paraId="0F4F583A"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54374CC8"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688982C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Fear of crime -&gt;  pro-violence attitudes (cf. 1st)</w:t>
            </w:r>
          </w:p>
        </w:tc>
        <w:tc>
          <w:tcPr>
            <w:tcW w:w="1006" w:type="dxa"/>
            <w:tcBorders>
              <w:top w:val="nil"/>
              <w:left w:val="nil"/>
              <w:bottom w:val="nil"/>
              <w:right w:val="nil"/>
            </w:tcBorders>
            <w:shd w:val="clear" w:color="000000" w:fill="FFFFFF"/>
            <w:noWrap/>
            <w:vAlign w:val="bottom"/>
            <w:hideMark/>
          </w:tcPr>
          <w:p w14:paraId="7E6BCCC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0.177</w:t>
            </w:r>
          </w:p>
        </w:tc>
        <w:tc>
          <w:tcPr>
            <w:tcW w:w="1502" w:type="dxa"/>
            <w:tcBorders>
              <w:top w:val="nil"/>
              <w:left w:val="nil"/>
              <w:bottom w:val="nil"/>
              <w:right w:val="nil"/>
            </w:tcBorders>
            <w:shd w:val="clear" w:color="000000" w:fill="FFFFFF"/>
            <w:noWrap/>
            <w:vAlign w:val="bottom"/>
            <w:hideMark/>
          </w:tcPr>
          <w:p w14:paraId="089B29F6"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0.158</w:t>
            </w:r>
          </w:p>
        </w:tc>
        <w:tc>
          <w:tcPr>
            <w:tcW w:w="1444" w:type="dxa"/>
            <w:tcBorders>
              <w:top w:val="nil"/>
              <w:left w:val="nil"/>
              <w:bottom w:val="nil"/>
              <w:right w:val="nil"/>
            </w:tcBorders>
            <w:shd w:val="clear" w:color="000000" w:fill="FFFFFF"/>
            <w:noWrap/>
            <w:vAlign w:val="bottom"/>
            <w:hideMark/>
          </w:tcPr>
          <w:p w14:paraId="43A58308"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1.19</w:t>
            </w:r>
          </w:p>
        </w:tc>
        <w:tc>
          <w:tcPr>
            <w:tcW w:w="1694" w:type="dxa"/>
            <w:tcBorders>
              <w:top w:val="nil"/>
              <w:left w:val="nil"/>
              <w:bottom w:val="nil"/>
              <w:right w:val="nil"/>
            </w:tcBorders>
            <w:shd w:val="clear" w:color="000000" w:fill="FFFFFF"/>
            <w:noWrap/>
            <w:vAlign w:val="bottom"/>
            <w:hideMark/>
          </w:tcPr>
          <w:p w14:paraId="3FA09A61"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0.88-1.63</w:t>
            </w:r>
          </w:p>
        </w:tc>
      </w:tr>
      <w:tr w:rsidR="00484A96" w:rsidRPr="00C90999" w14:paraId="2BE68A31"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71F86C81"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4</w:t>
            </w:r>
          </w:p>
        </w:tc>
        <w:tc>
          <w:tcPr>
            <w:tcW w:w="8275" w:type="dxa"/>
            <w:tcBorders>
              <w:top w:val="nil"/>
              <w:left w:val="nil"/>
              <w:bottom w:val="nil"/>
              <w:right w:val="nil"/>
            </w:tcBorders>
            <w:shd w:val="clear" w:color="000000" w:fill="FFFFFF"/>
            <w:noWrap/>
            <w:vAlign w:val="bottom"/>
            <w:hideMark/>
          </w:tcPr>
          <w:p w14:paraId="62677CF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 different ethnic friends)</w:t>
            </w:r>
          </w:p>
        </w:tc>
        <w:tc>
          <w:tcPr>
            <w:tcW w:w="1006" w:type="dxa"/>
            <w:tcBorders>
              <w:top w:val="nil"/>
              <w:left w:val="nil"/>
              <w:bottom w:val="nil"/>
              <w:right w:val="nil"/>
            </w:tcBorders>
            <w:shd w:val="clear" w:color="000000" w:fill="FFFFFF"/>
            <w:noWrap/>
            <w:vAlign w:val="bottom"/>
            <w:hideMark/>
          </w:tcPr>
          <w:p w14:paraId="3732AD9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0.254</w:t>
            </w:r>
          </w:p>
        </w:tc>
        <w:tc>
          <w:tcPr>
            <w:tcW w:w="1502" w:type="dxa"/>
            <w:tcBorders>
              <w:top w:val="nil"/>
              <w:left w:val="nil"/>
              <w:bottom w:val="nil"/>
              <w:right w:val="nil"/>
            </w:tcBorders>
            <w:shd w:val="clear" w:color="000000" w:fill="FFFFFF"/>
            <w:noWrap/>
            <w:vAlign w:val="bottom"/>
            <w:hideMark/>
          </w:tcPr>
          <w:p w14:paraId="2E3A056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0.109</w:t>
            </w:r>
          </w:p>
        </w:tc>
        <w:tc>
          <w:tcPr>
            <w:tcW w:w="1444" w:type="dxa"/>
            <w:tcBorders>
              <w:top w:val="nil"/>
              <w:left w:val="nil"/>
              <w:bottom w:val="nil"/>
              <w:right w:val="nil"/>
            </w:tcBorders>
            <w:shd w:val="clear" w:color="000000" w:fill="FFFFFF"/>
            <w:noWrap/>
            <w:vAlign w:val="bottom"/>
            <w:hideMark/>
          </w:tcPr>
          <w:p w14:paraId="02EDCC7C"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1.29*</w:t>
            </w:r>
          </w:p>
        </w:tc>
        <w:tc>
          <w:tcPr>
            <w:tcW w:w="1694" w:type="dxa"/>
            <w:tcBorders>
              <w:top w:val="nil"/>
              <w:left w:val="nil"/>
              <w:bottom w:val="nil"/>
              <w:right w:val="nil"/>
            </w:tcBorders>
            <w:shd w:val="clear" w:color="000000" w:fill="FFFFFF"/>
            <w:noWrap/>
            <w:vAlign w:val="bottom"/>
            <w:hideMark/>
          </w:tcPr>
          <w:p w14:paraId="77CA6DE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1.04-1.60</w:t>
            </w:r>
          </w:p>
        </w:tc>
      </w:tr>
      <w:tr w:rsidR="00484A96" w:rsidRPr="00C90999" w14:paraId="34F9B0D8"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4650336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0DD183DD"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w:t>
            </w:r>
            <w:r>
              <w:rPr>
                <w:rFonts w:eastAsia="Times New Roman"/>
                <w:color w:val="000000"/>
                <w:sz w:val="22"/>
                <w:szCs w:val="22"/>
                <w:lang w:val="en-US"/>
              </w:rPr>
              <w:t xml:space="preserve"> </w:t>
            </w:r>
            <w:r w:rsidRPr="00C90999">
              <w:rPr>
                <w:rFonts w:eastAsia="Times New Roman"/>
                <w:color w:val="000000"/>
                <w:sz w:val="22"/>
                <w:szCs w:val="22"/>
                <w:lang w:val="en-US"/>
              </w:rPr>
              <w:t>non-English main language)</w:t>
            </w:r>
          </w:p>
        </w:tc>
        <w:tc>
          <w:tcPr>
            <w:tcW w:w="1006" w:type="dxa"/>
            <w:tcBorders>
              <w:top w:val="nil"/>
              <w:left w:val="nil"/>
              <w:bottom w:val="nil"/>
              <w:right w:val="nil"/>
            </w:tcBorders>
            <w:shd w:val="clear" w:color="000000" w:fill="FFFFFF"/>
            <w:noWrap/>
            <w:vAlign w:val="bottom"/>
            <w:hideMark/>
          </w:tcPr>
          <w:p w14:paraId="39BC6FA8"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0.109</w:t>
            </w:r>
          </w:p>
        </w:tc>
        <w:tc>
          <w:tcPr>
            <w:tcW w:w="1502" w:type="dxa"/>
            <w:tcBorders>
              <w:top w:val="nil"/>
              <w:left w:val="nil"/>
              <w:bottom w:val="nil"/>
              <w:right w:val="nil"/>
            </w:tcBorders>
            <w:shd w:val="clear" w:color="000000" w:fill="FFFFFF"/>
            <w:noWrap/>
            <w:vAlign w:val="bottom"/>
            <w:hideMark/>
          </w:tcPr>
          <w:p w14:paraId="0D14469E"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0.132</w:t>
            </w:r>
          </w:p>
        </w:tc>
        <w:tc>
          <w:tcPr>
            <w:tcW w:w="1444" w:type="dxa"/>
            <w:tcBorders>
              <w:top w:val="nil"/>
              <w:left w:val="nil"/>
              <w:bottom w:val="nil"/>
              <w:right w:val="nil"/>
            </w:tcBorders>
            <w:shd w:val="clear" w:color="000000" w:fill="FFFFFF"/>
            <w:noWrap/>
            <w:vAlign w:val="bottom"/>
            <w:hideMark/>
          </w:tcPr>
          <w:p w14:paraId="5DE5D2E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1.12</w:t>
            </w:r>
          </w:p>
        </w:tc>
        <w:tc>
          <w:tcPr>
            <w:tcW w:w="1694" w:type="dxa"/>
            <w:tcBorders>
              <w:top w:val="nil"/>
              <w:left w:val="nil"/>
              <w:bottom w:val="nil"/>
              <w:right w:val="nil"/>
            </w:tcBorders>
            <w:shd w:val="clear" w:color="000000" w:fill="FFFFFF"/>
            <w:noWrap/>
            <w:vAlign w:val="bottom"/>
            <w:hideMark/>
          </w:tcPr>
          <w:p w14:paraId="54D97210"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0.86-1.44</w:t>
            </w:r>
          </w:p>
        </w:tc>
      </w:tr>
      <w:tr w:rsidR="00484A96" w:rsidRPr="00C90999" w14:paraId="7626881B"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6A0230E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711BC17F"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xml:space="preserve">1st -&gt; pro-violence attitudes (cf. </w:t>
            </w:r>
            <w:r>
              <w:rPr>
                <w:rFonts w:eastAsia="Times New Roman"/>
                <w:color w:val="000000"/>
                <w:sz w:val="22"/>
                <w:szCs w:val="22"/>
                <w:lang w:val="en-US"/>
              </w:rPr>
              <w:t>neighbourhood</w:t>
            </w:r>
            <w:r w:rsidRPr="00C90999">
              <w:rPr>
                <w:rFonts w:eastAsia="Times New Roman"/>
                <w:color w:val="000000"/>
                <w:sz w:val="22"/>
                <w:szCs w:val="22"/>
                <w:lang w:val="en-US"/>
              </w:rPr>
              <w:t xml:space="preserve"> dissatisfaction)</w:t>
            </w:r>
          </w:p>
        </w:tc>
        <w:tc>
          <w:tcPr>
            <w:tcW w:w="1006" w:type="dxa"/>
            <w:tcBorders>
              <w:top w:val="nil"/>
              <w:left w:val="nil"/>
              <w:bottom w:val="nil"/>
              <w:right w:val="nil"/>
            </w:tcBorders>
            <w:shd w:val="clear" w:color="000000" w:fill="FFFFFF"/>
            <w:noWrap/>
            <w:vAlign w:val="bottom"/>
            <w:hideMark/>
          </w:tcPr>
          <w:p w14:paraId="50DB1754"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0.253</w:t>
            </w:r>
          </w:p>
        </w:tc>
        <w:tc>
          <w:tcPr>
            <w:tcW w:w="1502" w:type="dxa"/>
            <w:tcBorders>
              <w:top w:val="nil"/>
              <w:left w:val="nil"/>
              <w:bottom w:val="nil"/>
              <w:right w:val="nil"/>
            </w:tcBorders>
            <w:shd w:val="clear" w:color="000000" w:fill="FFFFFF"/>
            <w:noWrap/>
            <w:vAlign w:val="bottom"/>
            <w:hideMark/>
          </w:tcPr>
          <w:p w14:paraId="001AC47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0.104</w:t>
            </w:r>
          </w:p>
        </w:tc>
        <w:tc>
          <w:tcPr>
            <w:tcW w:w="1444" w:type="dxa"/>
            <w:tcBorders>
              <w:top w:val="nil"/>
              <w:left w:val="nil"/>
              <w:bottom w:val="nil"/>
              <w:right w:val="nil"/>
            </w:tcBorders>
            <w:shd w:val="clear" w:color="000000" w:fill="FFFFFF"/>
            <w:noWrap/>
            <w:vAlign w:val="bottom"/>
            <w:hideMark/>
          </w:tcPr>
          <w:p w14:paraId="1DEFBFA1"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1.29*</w:t>
            </w:r>
          </w:p>
        </w:tc>
        <w:tc>
          <w:tcPr>
            <w:tcW w:w="1694" w:type="dxa"/>
            <w:tcBorders>
              <w:top w:val="nil"/>
              <w:left w:val="nil"/>
              <w:bottom w:val="nil"/>
              <w:right w:val="nil"/>
            </w:tcBorders>
            <w:shd w:val="clear" w:color="000000" w:fill="FFFFFF"/>
            <w:noWrap/>
            <w:vAlign w:val="bottom"/>
            <w:hideMark/>
          </w:tcPr>
          <w:p w14:paraId="1197586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1.05-1.58</w:t>
            </w:r>
          </w:p>
        </w:tc>
      </w:tr>
      <w:tr w:rsidR="00484A96" w:rsidRPr="00C90999" w14:paraId="1F640BBE"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3F407237"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266A6BF1"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w:t>
            </w:r>
            <w:r>
              <w:rPr>
                <w:rFonts w:eastAsia="Times New Roman"/>
                <w:color w:val="000000"/>
                <w:sz w:val="22"/>
                <w:szCs w:val="22"/>
                <w:lang w:val="en-US"/>
              </w:rPr>
              <w:t xml:space="preserve"> </w:t>
            </w:r>
            <w:r w:rsidRPr="00C90999">
              <w:rPr>
                <w:rFonts w:eastAsia="Times New Roman"/>
                <w:color w:val="000000"/>
                <w:sz w:val="22"/>
                <w:szCs w:val="22"/>
                <w:lang w:val="en-US"/>
              </w:rPr>
              <w:t>harassment)</w:t>
            </w:r>
          </w:p>
        </w:tc>
        <w:tc>
          <w:tcPr>
            <w:tcW w:w="1006" w:type="dxa"/>
            <w:tcBorders>
              <w:top w:val="nil"/>
              <w:left w:val="nil"/>
              <w:bottom w:val="nil"/>
              <w:right w:val="nil"/>
            </w:tcBorders>
            <w:shd w:val="clear" w:color="000000" w:fill="FFFFFF"/>
            <w:noWrap/>
            <w:vAlign w:val="bottom"/>
            <w:hideMark/>
          </w:tcPr>
          <w:p w14:paraId="5BBBCCB9"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0.202</w:t>
            </w:r>
          </w:p>
        </w:tc>
        <w:tc>
          <w:tcPr>
            <w:tcW w:w="1502" w:type="dxa"/>
            <w:tcBorders>
              <w:top w:val="nil"/>
              <w:left w:val="nil"/>
              <w:bottom w:val="nil"/>
              <w:right w:val="nil"/>
            </w:tcBorders>
            <w:shd w:val="clear" w:color="000000" w:fill="FFFFFF"/>
            <w:noWrap/>
            <w:vAlign w:val="bottom"/>
            <w:hideMark/>
          </w:tcPr>
          <w:p w14:paraId="4EA9BCAF"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0.108</w:t>
            </w:r>
          </w:p>
        </w:tc>
        <w:tc>
          <w:tcPr>
            <w:tcW w:w="1444" w:type="dxa"/>
            <w:tcBorders>
              <w:top w:val="nil"/>
              <w:left w:val="nil"/>
              <w:bottom w:val="nil"/>
              <w:right w:val="nil"/>
            </w:tcBorders>
            <w:shd w:val="clear" w:color="000000" w:fill="FFFFFF"/>
            <w:noWrap/>
            <w:vAlign w:val="bottom"/>
            <w:hideMark/>
          </w:tcPr>
          <w:p w14:paraId="60B8597E"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1.22</w:t>
            </w:r>
          </w:p>
        </w:tc>
        <w:tc>
          <w:tcPr>
            <w:tcW w:w="1694" w:type="dxa"/>
            <w:tcBorders>
              <w:top w:val="nil"/>
              <w:left w:val="nil"/>
              <w:bottom w:val="nil"/>
              <w:right w:val="nil"/>
            </w:tcBorders>
            <w:shd w:val="clear" w:color="000000" w:fill="FFFFFF"/>
            <w:noWrap/>
            <w:vAlign w:val="bottom"/>
            <w:hideMark/>
          </w:tcPr>
          <w:p w14:paraId="1B4E2166"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0.99-1.51</w:t>
            </w:r>
          </w:p>
        </w:tc>
      </w:tr>
      <w:tr w:rsidR="00484A96" w:rsidRPr="00C90999" w14:paraId="1308A1C0"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5C2328A7"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4BDB6416"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 exclusion)</w:t>
            </w:r>
          </w:p>
        </w:tc>
        <w:tc>
          <w:tcPr>
            <w:tcW w:w="1006" w:type="dxa"/>
            <w:tcBorders>
              <w:top w:val="nil"/>
              <w:left w:val="nil"/>
              <w:bottom w:val="nil"/>
              <w:right w:val="nil"/>
            </w:tcBorders>
            <w:shd w:val="clear" w:color="000000" w:fill="FFFFFF"/>
            <w:noWrap/>
            <w:vAlign w:val="bottom"/>
            <w:hideMark/>
          </w:tcPr>
          <w:p w14:paraId="3A9B7C8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0.23</w:t>
            </w:r>
          </w:p>
        </w:tc>
        <w:tc>
          <w:tcPr>
            <w:tcW w:w="1502" w:type="dxa"/>
            <w:tcBorders>
              <w:top w:val="nil"/>
              <w:left w:val="nil"/>
              <w:bottom w:val="nil"/>
              <w:right w:val="nil"/>
            </w:tcBorders>
            <w:shd w:val="clear" w:color="000000" w:fill="FFFFFF"/>
            <w:noWrap/>
            <w:vAlign w:val="bottom"/>
            <w:hideMark/>
          </w:tcPr>
          <w:p w14:paraId="7A052D64"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0.105</w:t>
            </w:r>
          </w:p>
        </w:tc>
        <w:tc>
          <w:tcPr>
            <w:tcW w:w="1444" w:type="dxa"/>
            <w:tcBorders>
              <w:top w:val="nil"/>
              <w:left w:val="nil"/>
              <w:bottom w:val="nil"/>
              <w:right w:val="nil"/>
            </w:tcBorders>
            <w:shd w:val="clear" w:color="000000" w:fill="FFFFFF"/>
            <w:noWrap/>
            <w:vAlign w:val="bottom"/>
            <w:hideMark/>
          </w:tcPr>
          <w:p w14:paraId="33AB5A2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1.26*</w:t>
            </w:r>
          </w:p>
        </w:tc>
        <w:tc>
          <w:tcPr>
            <w:tcW w:w="1694" w:type="dxa"/>
            <w:tcBorders>
              <w:top w:val="nil"/>
              <w:left w:val="nil"/>
              <w:bottom w:val="nil"/>
              <w:right w:val="nil"/>
            </w:tcBorders>
            <w:shd w:val="clear" w:color="000000" w:fill="FFFFFF"/>
            <w:noWrap/>
            <w:vAlign w:val="bottom"/>
            <w:hideMark/>
          </w:tcPr>
          <w:p w14:paraId="4FAF4C2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1.02-1.55</w:t>
            </w:r>
          </w:p>
        </w:tc>
      </w:tr>
      <w:tr w:rsidR="00484A96" w:rsidRPr="00C90999" w14:paraId="0600435C"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4D31FDB8"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11DF53D0"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 no Influence)</w:t>
            </w:r>
          </w:p>
        </w:tc>
        <w:tc>
          <w:tcPr>
            <w:tcW w:w="1006" w:type="dxa"/>
            <w:tcBorders>
              <w:top w:val="nil"/>
              <w:left w:val="nil"/>
              <w:bottom w:val="nil"/>
              <w:right w:val="nil"/>
            </w:tcBorders>
            <w:shd w:val="clear" w:color="000000" w:fill="FFFFFF"/>
            <w:noWrap/>
            <w:vAlign w:val="bottom"/>
            <w:hideMark/>
          </w:tcPr>
          <w:p w14:paraId="3F9F0F7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0.253</w:t>
            </w:r>
          </w:p>
        </w:tc>
        <w:tc>
          <w:tcPr>
            <w:tcW w:w="1502" w:type="dxa"/>
            <w:tcBorders>
              <w:top w:val="nil"/>
              <w:left w:val="nil"/>
              <w:bottom w:val="nil"/>
              <w:right w:val="nil"/>
            </w:tcBorders>
            <w:shd w:val="clear" w:color="000000" w:fill="FFFFFF"/>
            <w:noWrap/>
            <w:vAlign w:val="bottom"/>
            <w:hideMark/>
          </w:tcPr>
          <w:p w14:paraId="5421AF0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0.105</w:t>
            </w:r>
          </w:p>
        </w:tc>
        <w:tc>
          <w:tcPr>
            <w:tcW w:w="1444" w:type="dxa"/>
            <w:tcBorders>
              <w:top w:val="nil"/>
              <w:left w:val="nil"/>
              <w:bottom w:val="nil"/>
              <w:right w:val="nil"/>
            </w:tcBorders>
            <w:shd w:val="clear" w:color="000000" w:fill="FFFFFF"/>
            <w:noWrap/>
            <w:vAlign w:val="bottom"/>
            <w:hideMark/>
          </w:tcPr>
          <w:p w14:paraId="2B43CAF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1.29*</w:t>
            </w:r>
          </w:p>
        </w:tc>
        <w:tc>
          <w:tcPr>
            <w:tcW w:w="1694" w:type="dxa"/>
            <w:tcBorders>
              <w:top w:val="nil"/>
              <w:left w:val="nil"/>
              <w:bottom w:val="nil"/>
              <w:right w:val="nil"/>
            </w:tcBorders>
            <w:shd w:val="clear" w:color="000000" w:fill="FFFFFF"/>
            <w:noWrap/>
            <w:vAlign w:val="bottom"/>
            <w:hideMark/>
          </w:tcPr>
          <w:p w14:paraId="62CDA358"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1.05-1.58</w:t>
            </w:r>
          </w:p>
        </w:tc>
      </w:tr>
      <w:tr w:rsidR="00484A96" w:rsidRPr="00C90999" w14:paraId="728A56C5"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5324D279"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46AB52AF"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 mistrust in police)</w:t>
            </w:r>
          </w:p>
        </w:tc>
        <w:tc>
          <w:tcPr>
            <w:tcW w:w="1006" w:type="dxa"/>
            <w:tcBorders>
              <w:top w:val="nil"/>
              <w:left w:val="nil"/>
              <w:bottom w:val="nil"/>
              <w:right w:val="nil"/>
            </w:tcBorders>
            <w:shd w:val="clear" w:color="000000" w:fill="FFFFFF"/>
            <w:noWrap/>
            <w:vAlign w:val="bottom"/>
            <w:hideMark/>
          </w:tcPr>
          <w:p w14:paraId="358FDE8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0.291</w:t>
            </w:r>
          </w:p>
        </w:tc>
        <w:tc>
          <w:tcPr>
            <w:tcW w:w="1502" w:type="dxa"/>
            <w:tcBorders>
              <w:top w:val="nil"/>
              <w:left w:val="nil"/>
              <w:bottom w:val="nil"/>
              <w:right w:val="nil"/>
            </w:tcBorders>
            <w:shd w:val="clear" w:color="000000" w:fill="FFFFFF"/>
            <w:noWrap/>
            <w:vAlign w:val="bottom"/>
            <w:hideMark/>
          </w:tcPr>
          <w:p w14:paraId="6B591B3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0.105</w:t>
            </w:r>
          </w:p>
        </w:tc>
        <w:tc>
          <w:tcPr>
            <w:tcW w:w="1444" w:type="dxa"/>
            <w:tcBorders>
              <w:top w:val="nil"/>
              <w:left w:val="nil"/>
              <w:bottom w:val="nil"/>
              <w:right w:val="nil"/>
            </w:tcBorders>
            <w:shd w:val="clear" w:color="000000" w:fill="FFFFFF"/>
            <w:noWrap/>
            <w:vAlign w:val="bottom"/>
            <w:hideMark/>
          </w:tcPr>
          <w:p w14:paraId="5476DB76"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1.34**</w:t>
            </w:r>
          </w:p>
        </w:tc>
        <w:tc>
          <w:tcPr>
            <w:tcW w:w="1694" w:type="dxa"/>
            <w:tcBorders>
              <w:top w:val="nil"/>
              <w:left w:val="nil"/>
              <w:bottom w:val="nil"/>
              <w:right w:val="nil"/>
            </w:tcBorders>
            <w:shd w:val="clear" w:color="000000" w:fill="FFFFFF"/>
            <w:noWrap/>
            <w:vAlign w:val="bottom"/>
            <w:hideMark/>
          </w:tcPr>
          <w:p w14:paraId="6ECE11B6"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1.09-1.64</w:t>
            </w:r>
          </w:p>
        </w:tc>
      </w:tr>
      <w:tr w:rsidR="00484A96" w:rsidRPr="00C90999" w14:paraId="6B55D6DC"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402FB3E2"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0114C9B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 fear of crime)</w:t>
            </w:r>
          </w:p>
        </w:tc>
        <w:tc>
          <w:tcPr>
            <w:tcW w:w="1006" w:type="dxa"/>
            <w:tcBorders>
              <w:top w:val="nil"/>
              <w:left w:val="nil"/>
              <w:bottom w:val="nil"/>
              <w:right w:val="nil"/>
            </w:tcBorders>
            <w:shd w:val="clear" w:color="000000" w:fill="FFFFFF"/>
            <w:noWrap/>
            <w:vAlign w:val="bottom"/>
            <w:hideMark/>
          </w:tcPr>
          <w:p w14:paraId="158BE29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0.237</w:t>
            </w:r>
          </w:p>
        </w:tc>
        <w:tc>
          <w:tcPr>
            <w:tcW w:w="1502" w:type="dxa"/>
            <w:tcBorders>
              <w:top w:val="nil"/>
              <w:left w:val="nil"/>
              <w:bottom w:val="nil"/>
              <w:right w:val="nil"/>
            </w:tcBorders>
            <w:shd w:val="clear" w:color="000000" w:fill="FFFFFF"/>
            <w:noWrap/>
            <w:vAlign w:val="bottom"/>
            <w:hideMark/>
          </w:tcPr>
          <w:p w14:paraId="3280F55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0.105</w:t>
            </w:r>
          </w:p>
        </w:tc>
        <w:tc>
          <w:tcPr>
            <w:tcW w:w="1444" w:type="dxa"/>
            <w:tcBorders>
              <w:top w:val="nil"/>
              <w:left w:val="nil"/>
              <w:bottom w:val="nil"/>
              <w:right w:val="nil"/>
            </w:tcBorders>
            <w:shd w:val="clear" w:color="000000" w:fill="FFFFFF"/>
            <w:noWrap/>
            <w:vAlign w:val="bottom"/>
            <w:hideMark/>
          </w:tcPr>
          <w:p w14:paraId="1851670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1.27*</w:t>
            </w:r>
          </w:p>
        </w:tc>
        <w:tc>
          <w:tcPr>
            <w:tcW w:w="1694" w:type="dxa"/>
            <w:tcBorders>
              <w:top w:val="nil"/>
              <w:left w:val="nil"/>
              <w:bottom w:val="nil"/>
              <w:right w:val="nil"/>
            </w:tcBorders>
            <w:shd w:val="clear" w:color="000000" w:fill="FFFFFF"/>
            <w:noWrap/>
            <w:vAlign w:val="bottom"/>
            <w:hideMark/>
          </w:tcPr>
          <w:p w14:paraId="05E989B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1.03-1.56</w:t>
            </w:r>
          </w:p>
        </w:tc>
      </w:tr>
      <w:tr w:rsidR="00484A96" w:rsidRPr="00C90999" w14:paraId="5DD83F1A" w14:textId="77777777" w:rsidTr="00484A96">
        <w:trPr>
          <w:divId w:val="1212186410"/>
          <w:trHeight w:val="264"/>
        </w:trPr>
        <w:tc>
          <w:tcPr>
            <w:tcW w:w="622" w:type="dxa"/>
            <w:tcBorders>
              <w:top w:val="nil"/>
              <w:left w:val="nil"/>
              <w:bottom w:val="nil"/>
              <w:right w:val="nil"/>
            </w:tcBorders>
            <w:shd w:val="clear" w:color="000000" w:fill="FFFFFF"/>
            <w:noWrap/>
            <w:vAlign w:val="bottom"/>
            <w:hideMark/>
          </w:tcPr>
          <w:p w14:paraId="5720AB25"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 </w:t>
            </w:r>
          </w:p>
        </w:tc>
        <w:tc>
          <w:tcPr>
            <w:tcW w:w="8275" w:type="dxa"/>
            <w:tcBorders>
              <w:top w:val="nil"/>
              <w:left w:val="nil"/>
              <w:bottom w:val="nil"/>
              <w:right w:val="nil"/>
            </w:tcBorders>
            <w:shd w:val="clear" w:color="000000" w:fill="FFFFFF"/>
            <w:noWrap/>
            <w:vAlign w:val="bottom"/>
            <w:hideMark/>
          </w:tcPr>
          <w:p w14:paraId="1B529E5C" w14:textId="77777777" w:rsidR="00484A96" w:rsidRPr="00C90999" w:rsidRDefault="00484A96" w:rsidP="00E22D45">
            <w:pPr>
              <w:rPr>
                <w:rFonts w:eastAsia="Times New Roman"/>
                <w:color w:val="000000"/>
                <w:sz w:val="22"/>
                <w:szCs w:val="22"/>
                <w:lang w:val="en-US"/>
              </w:rPr>
            </w:pPr>
            <w:r w:rsidRPr="00C90999">
              <w:rPr>
                <w:rFonts w:eastAsia="Times New Roman"/>
                <w:color w:val="000000"/>
                <w:sz w:val="22"/>
                <w:szCs w:val="22"/>
                <w:lang w:val="en-US"/>
              </w:rPr>
              <w:t>1st -&gt; pro-violence attitudes (cf. 6 variables)</w:t>
            </w:r>
          </w:p>
        </w:tc>
        <w:tc>
          <w:tcPr>
            <w:tcW w:w="1006" w:type="dxa"/>
            <w:tcBorders>
              <w:top w:val="nil"/>
              <w:left w:val="nil"/>
              <w:bottom w:val="nil"/>
              <w:right w:val="nil"/>
            </w:tcBorders>
            <w:shd w:val="clear" w:color="000000" w:fill="FFFFFF"/>
            <w:noWrap/>
            <w:vAlign w:val="bottom"/>
            <w:hideMark/>
          </w:tcPr>
          <w:p w14:paraId="4B91E2D3"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0.282</w:t>
            </w:r>
          </w:p>
        </w:tc>
        <w:tc>
          <w:tcPr>
            <w:tcW w:w="1502" w:type="dxa"/>
            <w:tcBorders>
              <w:top w:val="nil"/>
              <w:left w:val="nil"/>
              <w:bottom w:val="nil"/>
              <w:right w:val="nil"/>
            </w:tcBorders>
            <w:shd w:val="clear" w:color="000000" w:fill="FFFFFF"/>
            <w:noWrap/>
            <w:vAlign w:val="bottom"/>
            <w:hideMark/>
          </w:tcPr>
          <w:p w14:paraId="36B7835B"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0.111</w:t>
            </w:r>
          </w:p>
        </w:tc>
        <w:tc>
          <w:tcPr>
            <w:tcW w:w="1444" w:type="dxa"/>
            <w:tcBorders>
              <w:top w:val="nil"/>
              <w:left w:val="nil"/>
              <w:bottom w:val="nil"/>
              <w:right w:val="nil"/>
            </w:tcBorders>
            <w:shd w:val="clear" w:color="000000" w:fill="FFFFFF"/>
            <w:noWrap/>
            <w:vAlign w:val="bottom"/>
            <w:hideMark/>
          </w:tcPr>
          <w:p w14:paraId="3937179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1.33*</w:t>
            </w:r>
          </w:p>
        </w:tc>
        <w:tc>
          <w:tcPr>
            <w:tcW w:w="1694" w:type="dxa"/>
            <w:tcBorders>
              <w:top w:val="nil"/>
              <w:left w:val="nil"/>
              <w:bottom w:val="nil"/>
              <w:right w:val="nil"/>
            </w:tcBorders>
            <w:shd w:val="clear" w:color="000000" w:fill="FFFFFF"/>
            <w:noWrap/>
            <w:vAlign w:val="bottom"/>
            <w:hideMark/>
          </w:tcPr>
          <w:p w14:paraId="119009E5"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1.07-1.65</w:t>
            </w:r>
          </w:p>
        </w:tc>
      </w:tr>
      <w:tr w:rsidR="00484A96" w:rsidRPr="00C90999" w14:paraId="5136542A" w14:textId="77777777" w:rsidTr="00484A96">
        <w:trPr>
          <w:divId w:val="1212186410"/>
          <w:trHeight w:val="397"/>
        </w:trPr>
        <w:tc>
          <w:tcPr>
            <w:tcW w:w="8897" w:type="dxa"/>
            <w:gridSpan w:val="2"/>
            <w:tcBorders>
              <w:top w:val="nil"/>
              <w:left w:val="nil"/>
              <w:bottom w:val="nil"/>
              <w:right w:val="nil"/>
            </w:tcBorders>
            <w:shd w:val="clear" w:color="000000" w:fill="FFFFFF"/>
            <w:noWrap/>
            <w:vAlign w:val="bottom"/>
            <w:hideMark/>
          </w:tcPr>
          <w:p w14:paraId="4BF9A907" w14:textId="77777777" w:rsidR="00484A96" w:rsidRPr="00C90999" w:rsidRDefault="00484A96" w:rsidP="00E22D45">
            <w:pPr>
              <w:rPr>
                <w:rFonts w:eastAsia="Times New Roman"/>
                <w:color w:val="000000"/>
                <w:sz w:val="20"/>
                <w:szCs w:val="20"/>
                <w:lang w:val="en-US"/>
              </w:rPr>
            </w:pPr>
            <w:r w:rsidRPr="00C90999">
              <w:rPr>
                <w:rFonts w:eastAsia="Times New Roman"/>
                <w:color w:val="000000"/>
                <w:sz w:val="20"/>
                <w:szCs w:val="20"/>
                <w:lang w:val="en-US"/>
              </w:rPr>
              <w:t>*p&lt;.05, **p&lt;.01, ***p&lt;.001 ; cf= controlling for ; CI = confidence interval</w:t>
            </w:r>
          </w:p>
        </w:tc>
        <w:tc>
          <w:tcPr>
            <w:tcW w:w="1006" w:type="dxa"/>
            <w:tcBorders>
              <w:top w:val="nil"/>
              <w:left w:val="nil"/>
              <w:bottom w:val="nil"/>
              <w:right w:val="nil"/>
            </w:tcBorders>
            <w:shd w:val="clear" w:color="000000" w:fill="FFFFFF"/>
            <w:noWrap/>
            <w:vAlign w:val="bottom"/>
            <w:hideMark/>
          </w:tcPr>
          <w:p w14:paraId="43D6508D"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502" w:type="dxa"/>
            <w:tcBorders>
              <w:top w:val="nil"/>
              <w:left w:val="nil"/>
              <w:bottom w:val="nil"/>
              <w:right w:val="nil"/>
            </w:tcBorders>
            <w:shd w:val="clear" w:color="000000" w:fill="FFFFFF"/>
            <w:noWrap/>
            <w:vAlign w:val="bottom"/>
            <w:hideMark/>
          </w:tcPr>
          <w:p w14:paraId="0FDD175A"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444" w:type="dxa"/>
            <w:tcBorders>
              <w:top w:val="nil"/>
              <w:left w:val="nil"/>
              <w:bottom w:val="nil"/>
              <w:right w:val="nil"/>
            </w:tcBorders>
            <w:shd w:val="clear" w:color="000000" w:fill="FFFFFF"/>
            <w:noWrap/>
            <w:vAlign w:val="bottom"/>
            <w:hideMark/>
          </w:tcPr>
          <w:p w14:paraId="2FD5A147"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c>
          <w:tcPr>
            <w:tcW w:w="1694" w:type="dxa"/>
            <w:tcBorders>
              <w:top w:val="nil"/>
              <w:left w:val="nil"/>
              <w:bottom w:val="nil"/>
              <w:right w:val="nil"/>
            </w:tcBorders>
            <w:shd w:val="clear" w:color="000000" w:fill="FFFFFF"/>
            <w:noWrap/>
            <w:vAlign w:val="bottom"/>
            <w:hideMark/>
          </w:tcPr>
          <w:p w14:paraId="3198E282" w14:textId="77777777" w:rsidR="00484A96" w:rsidRPr="00C90999" w:rsidRDefault="00484A96" w:rsidP="00E22D45">
            <w:pPr>
              <w:jc w:val="center"/>
              <w:rPr>
                <w:rFonts w:eastAsia="Times New Roman"/>
                <w:color w:val="000000"/>
                <w:sz w:val="22"/>
                <w:szCs w:val="22"/>
                <w:lang w:val="en-US"/>
              </w:rPr>
            </w:pPr>
            <w:r w:rsidRPr="00C90999">
              <w:rPr>
                <w:rFonts w:eastAsia="Times New Roman"/>
                <w:color w:val="000000"/>
                <w:sz w:val="22"/>
                <w:szCs w:val="22"/>
                <w:lang w:val="en-US"/>
              </w:rPr>
              <w:t> </w:t>
            </w:r>
          </w:p>
        </w:tc>
      </w:tr>
    </w:tbl>
    <w:p w14:paraId="2C47BF47" w14:textId="77777777" w:rsidR="00484A96" w:rsidRPr="00A47ACF" w:rsidRDefault="00484A96" w:rsidP="00484A96">
      <w:pPr>
        <w:divId w:val="1212186410"/>
      </w:pPr>
    </w:p>
    <w:p w14:paraId="5781CF79" w14:textId="77777777" w:rsidR="00484A96" w:rsidRDefault="00484A96" w:rsidP="00484A96">
      <w:pPr>
        <w:divId w:val="1212186410"/>
        <w:sectPr w:rsidR="00484A96" w:rsidSect="00C90999">
          <w:pgSz w:w="15840" w:h="12240" w:orient="landscape"/>
          <w:pgMar w:top="1797" w:right="1440" w:bottom="1797" w:left="1440" w:header="720" w:footer="720" w:gutter="0"/>
          <w:cols w:space="720"/>
          <w:docGrid w:linePitch="360"/>
        </w:sectPr>
      </w:pPr>
    </w:p>
    <w:p w14:paraId="2A013624" w14:textId="77777777" w:rsidR="00484A96" w:rsidRPr="00A47ACF" w:rsidRDefault="00484A96" w:rsidP="00484A96">
      <w:pPr>
        <w:divId w:val="1212186410"/>
      </w:pPr>
    </w:p>
    <w:p w14:paraId="0B86CD1C" w14:textId="77777777" w:rsidR="00484A96" w:rsidRPr="00A47ACF" w:rsidRDefault="00484A96" w:rsidP="00484A96">
      <w:pPr>
        <w:divId w:val="1212186410"/>
      </w:pPr>
    </w:p>
    <w:p w14:paraId="4D777055" w14:textId="77777777" w:rsidR="00484A96" w:rsidRPr="00A47ACF" w:rsidRDefault="00484A96" w:rsidP="00484A96">
      <w:pPr>
        <w:divId w:val="1212186410"/>
      </w:pPr>
    </w:p>
    <w:p w14:paraId="7A1D3974" w14:textId="77777777" w:rsidR="00484A96" w:rsidRPr="00A47ACF" w:rsidRDefault="00484A96" w:rsidP="00484A96">
      <w:pPr>
        <w:divId w:val="1212186410"/>
      </w:pPr>
    </w:p>
    <w:tbl>
      <w:tblPr>
        <w:tblpPr w:leftFromText="180" w:rightFromText="180" w:vertAnchor="page" w:horzAnchor="page" w:tblpX="2269" w:tblpY="2698"/>
        <w:tblW w:w="11740" w:type="dxa"/>
        <w:tblLook w:val="04A0" w:firstRow="1" w:lastRow="0" w:firstColumn="1" w:lastColumn="0" w:noHBand="0" w:noVBand="1"/>
      </w:tblPr>
      <w:tblGrid>
        <w:gridCol w:w="1835"/>
        <w:gridCol w:w="2487"/>
        <w:gridCol w:w="271"/>
        <w:gridCol w:w="1017"/>
        <w:gridCol w:w="271"/>
        <w:gridCol w:w="1173"/>
        <w:gridCol w:w="1510"/>
        <w:gridCol w:w="1124"/>
        <w:gridCol w:w="2052"/>
      </w:tblGrid>
      <w:tr w:rsidR="00484A96" w:rsidRPr="00DF4491" w14:paraId="709FB4C4" w14:textId="77777777" w:rsidTr="00484A96">
        <w:trPr>
          <w:divId w:val="1212186410"/>
          <w:trHeight w:val="101"/>
        </w:trPr>
        <w:tc>
          <w:tcPr>
            <w:tcW w:w="11740" w:type="dxa"/>
            <w:gridSpan w:val="9"/>
            <w:tcBorders>
              <w:top w:val="nil"/>
              <w:left w:val="nil"/>
              <w:bottom w:val="nil"/>
              <w:right w:val="nil"/>
            </w:tcBorders>
            <w:shd w:val="clear" w:color="000000" w:fill="FFFFFF"/>
            <w:noWrap/>
            <w:vAlign w:val="bottom"/>
            <w:hideMark/>
          </w:tcPr>
          <w:p w14:paraId="4E320968" w14:textId="77777777" w:rsidR="00484A96" w:rsidRPr="00DF4491" w:rsidRDefault="00484A96" w:rsidP="00E22D45">
            <w:pPr>
              <w:rPr>
                <w:rFonts w:eastAsia="Times New Roman"/>
                <w:color w:val="000000"/>
                <w:sz w:val="22"/>
                <w:szCs w:val="22"/>
                <w:lang w:val="en-US"/>
              </w:rPr>
            </w:pPr>
            <w:r w:rsidRPr="00DF4491">
              <w:rPr>
                <w:rFonts w:eastAsia="Times New Roman"/>
                <w:color w:val="000000"/>
                <w:sz w:val="22"/>
                <w:szCs w:val="22"/>
                <w:lang w:val="en-US"/>
              </w:rPr>
              <w:t xml:space="preserve">Table 6. </w:t>
            </w:r>
            <w:r>
              <w:rPr>
                <w:rFonts w:eastAsia="Times New Roman"/>
                <w:color w:val="000000"/>
                <w:sz w:val="22"/>
                <w:szCs w:val="22"/>
                <w:lang w:val="en-US"/>
              </w:rPr>
              <w:t>Feeling excluded as a mediator</w:t>
            </w:r>
            <w:r w:rsidRPr="00DF4491">
              <w:rPr>
                <w:rFonts w:eastAsia="Times New Roman"/>
                <w:color w:val="000000"/>
                <w:sz w:val="22"/>
                <w:szCs w:val="22"/>
                <w:lang w:val="en-US"/>
              </w:rPr>
              <w:t xml:space="preserve"> between first-generation immigrant status and pro-violence attitudes</w:t>
            </w:r>
            <w:r>
              <w:rPr>
                <w:rFonts w:eastAsia="Times New Roman"/>
                <w:color w:val="000000"/>
                <w:sz w:val="22"/>
                <w:szCs w:val="22"/>
                <w:lang w:val="en-US"/>
              </w:rPr>
              <w:t xml:space="preserve"> (N=4.949)</w:t>
            </w:r>
          </w:p>
        </w:tc>
      </w:tr>
      <w:tr w:rsidR="00484A96" w:rsidRPr="00DF4491" w14:paraId="3FE2502B" w14:textId="77777777" w:rsidTr="00484A96">
        <w:trPr>
          <w:divId w:val="1212186410"/>
          <w:trHeight w:val="101"/>
        </w:trPr>
        <w:tc>
          <w:tcPr>
            <w:tcW w:w="4593" w:type="dxa"/>
            <w:gridSpan w:val="3"/>
            <w:tcBorders>
              <w:top w:val="nil"/>
              <w:left w:val="nil"/>
              <w:bottom w:val="single" w:sz="4" w:space="0" w:color="auto"/>
              <w:right w:val="nil"/>
            </w:tcBorders>
            <w:shd w:val="clear" w:color="000000" w:fill="FFFFFF"/>
            <w:noWrap/>
            <w:vAlign w:val="bottom"/>
            <w:hideMark/>
          </w:tcPr>
          <w:p w14:paraId="39E6C92D" w14:textId="77777777" w:rsidR="00484A96" w:rsidRPr="00DF4491" w:rsidRDefault="00484A96" w:rsidP="00E22D45">
            <w:pPr>
              <w:rPr>
                <w:rFonts w:eastAsia="Times New Roman"/>
                <w:color w:val="000000"/>
                <w:sz w:val="22"/>
                <w:szCs w:val="22"/>
                <w:lang w:val="en-US"/>
              </w:rPr>
            </w:pPr>
          </w:p>
        </w:tc>
        <w:tc>
          <w:tcPr>
            <w:tcW w:w="1017" w:type="dxa"/>
            <w:tcBorders>
              <w:top w:val="nil"/>
              <w:left w:val="nil"/>
              <w:bottom w:val="single" w:sz="4" w:space="0" w:color="auto"/>
              <w:right w:val="nil"/>
            </w:tcBorders>
            <w:shd w:val="clear" w:color="000000" w:fill="FFFFFF"/>
            <w:noWrap/>
            <w:vAlign w:val="bottom"/>
            <w:hideMark/>
          </w:tcPr>
          <w:p w14:paraId="65C0947E"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71" w:type="dxa"/>
            <w:tcBorders>
              <w:top w:val="nil"/>
              <w:left w:val="nil"/>
              <w:bottom w:val="single" w:sz="4" w:space="0" w:color="auto"/>
              <w:right w:val="nil"/>
            </w:tcBorders>
            <w:shd w:val="clear" w:color="000000" w:fill="FFFFFF"/>
            <w:noWrap/>
            <w:vAlign w:val="bottom"/>
            <w:hideMark/>
          </w:tcPr>
          <w:p w14:paraId="280D9B1D"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73" w:type="dxa"/>
            <w:tcBorders>
              <w:top w:val="nil"/>
              <w:left w:val="nil"/>
              <w:bottom w:val="single" w:sz="4" w:space="0" w:color="auto"/>
              <w:right w:val="nil"/>
            </w:tcBorders>
            <w:shd w:val="clear" w:color="000000" w:fill="FFFFFF"/>
            <w:noWrap/>
            <w:vAlign w:val="bottom"/>
            <w:hideMark/>
          </w:tcPr>
          <w:p w14:paraId="2D046C3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510" w:type="dxa"/>
            <w:tcBorders>
              <w:top w:val="nil"/>
              <w:left w:val="nil"/>
              <w:bottom w:val="single" w:sz="4" w:space="0" w:color="auto"/>
              <w:right w:val="nil"/>
            </w:tcBorders>
            <w:shd w:val="clear" w:color="000000" w:fill="FFFFFF"/>
            <w:noWrap/>
            <w:vAlign w:val="bottom"/>
            <w:hideMark/>
          </w:tcPr>
          <w:p w14:paraId="1DB97605"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single" w:sz="4" w:space="0" w:color="auto"/>
              <w:right w:val="nil"/>
            </w:tcBorders>
            <w:shd w:val="clear" w:color="000000" w:fill="FFFFFF"/>
            <w:noWrap/>
            <w:vAlign w:val="bottom"/>
            <w:hideMark/>
          </w:tcPr>
          <w:p w14:paraId="6EF15C14"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052" w:type="dxa"/>
            <w:tcBorders>
              <w:top w:val="nil"/>
              <w:left w:val="nil"/>
              <w:bottom w:val="single" w:sz="4" w:space="0" w:color="auto"/>
              <w:right w:val="nil"/>
            </w:tcBorders>
            <w:shd w:val="clear" w:color="000000" w:fill="FFFFFF"/>
            <w:noWrap/>
            <w:vAlign w:val="bottom"/>
            <w:hideMark/>
          </w:tcPr>
          <w:p w14:paraId="3C66694C"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4047FF82" w14:textId="77777777" w:rsidTr="00484A96">
        <w:trPr>
          <w:divId w:val="1212186410"/>
          <w:trHeight w:val="360"/>
        </w:trPr>
        <w:tc>
          <w:tcPr>
            <w:tcW w:w="1835" w:type="dxa"/>
            <w:tcBorders>
              <w:top w:val="nil"/>
              <w:left w:val="nil"/>
              <w:bottom w:val="nil"/>
              <w:right w:val="nil"/>
            </w:tcBorders>
            <w:shd w:val="clear" w:color="000000" w:fill="FFFFFF"/>
            <w:noWrap/>
            <w:vAlign w:val="bottom"/>
            <w:hideMark/>
          </w:tcPr>
          <w:p w14:paraId="682A4701"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487" w:type="dxa"/>
            <w:tcBorders>
              <w:top w:val="nil"/>
              <w:left w:val="nil"/>
              <w:bottom w:val="nil"/>
              <w:right w:val="nil"/>
            </w:tcBorders>
            <w:shd w:val="clear" w:color="000000" w:fill="FFFFFF"/>
            <w:noWrap/>
            <w:vAlign w:val="bottom"/>
            <w:hideMark/>
          </w:tcPr>
          <w:p w14:paraId="38F2D2D9"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568F8E5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017" w:type="dxa"/>
            <w:tcBorders>
              <w:top w:val="nil"/>
              <w:left w:val="nil"/>
              <w:bottom w:val="nil"/>
              <w:right w:val="nil"/>
            </w:tcBorders>
            <w:shd w:val="clear" w:color="000000" w:fill="FFFFFF"/>
            <w:noWrap/>
            <w:vAlign w:val="bottom"/>
            <w:hideMark/>
          </w:tcPr>
          <w:p w14:paraId="5C55AD8C"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5DEFC84C"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73" w:type="dxa"/>
            <w:tcBorders>
              <w:top w:val="nil"/>
              <w:left w:val="nil"/>
              <w:bottom w:val="single" w:sz="4" w:space="0" w:color="auto"/>
              <w:right w:val="nil"/>
            </w:tcBorders>
            <w:shd w:val="clear" w:color="000000" w:fill="FFFFFF"/>
            <w:noWrap/>
            <w:vAlign w:val="bottom"/>
            <w:hideMark/>
          </w:tcPr>
          <w:p w14:paraId="52E3EFCA"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510" w:type="dxa"/>
            <w:tcBorders>
              <w:top w:val="nil"/>
              <w:left w:val="nil"/>
              <w:bottom w:val="single" w:sz="4" w:space="0" w:color="auto"/>
              <w:right w:val="nil"/>
            </w:tcBorders>
            <w:shd w:val="clear" w:color="000000" w:fill="FFFFFF"/>
            <w:noWrap/>
            <w:vAlign w:val="bottom"/>
            <w:hideMark/>
          </w:tcPr>
          <w:p w14:paraId="0D72EC9B"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95% CI</w:t>
            </w:r>
            <w:r w:rsidRPr="00DF4491">
              <w:rPr>
                <w:rFonts w:eastAsia="Times New Roman"/>
                <w:color w:val="000000"/>
                <w:sz w:val="22"/>
                <w:szCs w:val="22"/>
                <w:vertAlign w:val="superscript"/>
                <w:lang w:val="en-US"/>
              </w:rPr>
              <w:t>1</w:t>
            </w:r>
          </w:p>
        </w:tc>
        <w:tc>
          <w:tcPr>
            <w:tcW w:w="1124" w:type="dxa"/>
            <w:tcBorders>
              <w:top w:val="nil"/>
              <w:left w:val="nil"/>
              <w:bottom w:val="single" w:sz="4" w:space="0" w:color="auto"/>
              <w:right w:val="nil"/>
            </w:tcBorders>
            <w:shd w:val="clear" w:color="auto" w:fill="auto"/>
            <w:noWrap/>
            <w:vAlign w:val="bottom"/>
            <w:hideMark/>
          </w:tcPr>
          <w:p w14:paraId="0CEBB015" w14:textId="77777777" w:rsidR="00484A96" w:rsidRPr="00DF4491" w:rsidRDefault="00484A96" w:rsidP="00E22D45">
            <w:pPr>
              <w:rPr>
                <w:rFonts w:eastAsia="Times New Roman"/>
                <w:color w:val="000000"/>
                <w:sz w:val="22"/>
                <w:szCs w:val="22"/>
                <w:lang w:val="en-US"/>
              </w:rPr>
            </w:pPr>
            <w:r w:rsidRPr="00DF4491">
              <w:rPr>
                <w:rFonts w:eastAsia="Times New Roman"/>
                <w:color w:val="000000"/>
                <w:sz w:val="22"/>
                <w:szCs w:val="22"/>
                <w:lang w:val="en-US"/>
              </w:rPr>
              <w:t> </w:t>
            </w:r>
          </w:p>
        </w:tc>
        <w:tc>
          <w:tcPr>
            <w:tcW w:w="2052" w:type="dxa"/>
            <w:tcBorders>
              <w:top w:val="nil"/>
              <w:left w:val="nil"/>
              <w:bottom w:val="nil"/>
              <w:right w:val="nil"/>
            </w:tcBorders>
            <w:shd w:val="clear" w:color="000000" w:fill="FFFFFF"/>
            <w:noWrap/>
            <w:vAlign w:val="bottom"/>
            <w:hideMark/>
          </w:tcPr>
          <w:p w14:paraId="48CECAD4"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6067438C" w14:textId="77777777" w:rsidTr="00484A96">
        <w:trPr>
          <w:divId w:val="1212186410"/>
          <w:trHeight w:val="300"/>
        </w:trPr>
        <w:tc>
          <w:tcPr>
            <w:tcW w:w="1835" w:type="dxa"/>
            <w:tcBorders>
              <w:top w:val="nil"/>
              <w:left w:val="nil"/>
              <w:bottom w:val="nil"/>
              <w:right w:val="nil"/>
            </w:tcBorders>
            <w:shd w:val="clear" w:color="000000" w:fill="FFFFFF"/>
            <w:noWrap/>
            <w:vAlign w:val="bottom"/>
            <w:hideMark/>
          </w:tcPr>
          <w:p w14:paraId="2521E58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487" w:type="dxa"/>
            <w:tcBorders>
              <w:top w:val="nil"/>
              <w:left w:val="nil"/>
              <w:bottom w:val="single" w:sz="4" w:space="0" w:color="auto"/>
              <w:right w:val="nil"/>
            </w:tcBorders>
            <w:shd w:val="clear" w:color="000000" w:fill="FFFFFF"/>
            <w:noWrap/>
            <w:vAlign w:val="bottom"/>
            <w:hideMark/>
          </w:tcPr>
          <w:p w14:paraId="207075CB"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Point estimate</w:t>
            </w:r>
          </w:p>
        </w:tc>
        <w:tc>
          <w:tcPr>
            <w:tcW w:w="271" w:type="dxa"/>
            <w:tcBorders>
              <w:top w:val="nil"/>
              <w:left w:val="nil"/>
              <w:bottom w:val="nil"/>
              <w:right w:val="nil"/>
            </w:tcBorders>
            <w:shd w:val="clear" w:color="000000" w:fill="FFFFFF"/>
            <w:noWrap/>
            <w:vAlign w:val="bottom"/>
            <w:hideMark/>
          </w:tcPr>
          <w:p w14:paraId="1563B43B"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017" w:type="dxa"/>
            <w:tcBorders>
              <w:top w:val="nil"/>
              <w:left w:val="nil"/>
              <w:bottom w:val="single" w:sz="4" w:space="0" w:color="auto"/>
              <w:right w:val="nil"/>
            </w:tcBorders>
            <w:shd w:val="clear" w:color="000000" w:fill="FFFFFF"/>
            <w:noWrap/>
            <w:vAlign w:val="bottom"/>
            <w:hideMark/>
          </w:tcPr>
          <w:p w14:paraId="2D05F9DA"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SE</w:t>
            </w:r>
          </w:p>
        </w:tc>
        <w:tc>
          <w:tcPr>
            <w:tcW w:w="271" w:type="dxa"/>
            <w:tcBorders>
              <w:top w:val="nil"/>
              <w:left w:val="nil"/>
              <w:bottom w:val="nil"/>
              <w:right w:val="nil"/>
            </w:tcBorders>
            <w:shd w:val="clear" w:color="000000" w:fill="FFFFFF"/>
            <w:noWrap/>
            <w:vAlign w:val="bottom"/>
            <w:hideMark/>
          </w:tcPr>
          <w:p w14:paraId="594EDF6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73" w:type="dxa"/>
            <w:tcBorders>
              <w:top w:val="nil"/>
              <w:left w:val="nil"/>
              <w:bottom w:val="single" w:sz="4" w:space="0" w:color="auto"/>
              <w:right w:val="nil"/>
            </w:tcBorders>
            <w:shd w:val="clear" w:color="000000" w:fill="FFFFFF"/>
            <w:noWrap/>
            <w:vAlign w:val="bottom"/>
            <w:hideMark/>
          </w:tcPr>
          <w:p w14:paraId="41DE8ADA"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Lower</w:t>
            </w:r>
          </w:p>
        </w:tc>
        <w:tc>
          <w:tcPr>
            <w:tcW w:w="1510" w:type="dxa"/>
            <w:tcBorders>
              <w:top w:val="nil"/>
              <w:left w:val="nil"/>
              <w:bottom w:val="nil"/>
              <w:right w:val="nil"/>
            </w:tcBorders>
            <w:shd w:val="clear" w:color="000000" w:fill="FFFFFF"/>
            <w:noWrap/>
            <w:vAlign w:val="bottom"/>
            <w:hideMark/>
          </w:tcPr>
          <w:p w14:paraId="1181ABC2"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single" w:sz="4" w:space="0" w:color="auto"/>
              <w:right w:val="nil"/>
            </w:tcBorders>
            <w:shd w:val="clear" w:color="000000" w:fill="FFFFFF"/>
            <w:noWrap/>
            <w:vAlign w:val="bottom"/>
            <w:hideMark/>
          </w:tcPr>
          <w:p w14:paraId="36A6EDCB"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Upper</w:t>
            </w:r>
          </w:p>
        </w:tc>
        <w:tc>
          <w:tcPr>
            <w:tcW w:w="2052" w:type="dxa"/>
            <w:tcBorders>
              <w:top w:val="nil"/>
              <w:left w:val="nil"/>
              <w:bottom w:val="nil"/>
              <w:right w:val="nil"/>
            </w:tcBorders>
            <w:shd w:val="clear" w:color="000000" w:fill="FFFFFF"/>
            <w:noWrap/>
            <w:vAlign w:val="bottom"/>
            <w:hideMark/>
          </w:tcPr>
          <w:p w14:paraId="3CFD670D"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4B1F7FE8" w14:textId="77777777" w:rsidTr="00484A96">
        <w:trPr>
          <w:divId w:val="1212186410"/>
          <w:trHeight w:val="300"/>
        </w:trPr>
        <w:tc>
          <w:tcPr>
            <w:tcW w:w="1835" w:type="dxa"/>
            <w:tcBorders>
              <w:top w:val="nil"/>
              <w:left w:val="nil"/>
              <w:bottom w:val="nil"/>
              <w:right w:val="nil"/>
            </w:tcBorders>
            <w:shd w:val="clear" w:color="000000" w:fill="FFFFFF"/>
            <w:noWrap/>
            <w:vAlign w:val="bottom"/>
            <w:hideMark/>
          </w:tcPr>
          <w:p w14:paraId="74974C4A" w14:textId="77777777" w:rsidR="00484A96" w:rsidRPr="00DF4491" w:rsidRDefault="00484A96" w:rsidP="00E22D45">
            <w:pPr>
              <w:rPr>
                <w:rFonts w:eastAsia="Times New Roman"/>
                <w:b/>
                <w:bCs/>
                <w:color w:val="000000"/>
                <w:sz w:val="22"/>
                <w:szCs w:val="22"/>
                <w:lang w:val="en-US"/>
              </w:rPr>
            </w:pPr>
            <w:r w:rsidRPr="00DF4491">
              <w:rPr>
                <w:rFonts w:eastAsia="Times New Roman"/>
                <w:b/>
                <w:bCs/>
                <w:color w:val="000000"/>
                <w:sz w:val="22"/>
                <w:szCs w:val="22"/>
                <w:lang w:val="en-US"/>
              </w:rPr>
              <w:t>Exclusion</w:t>
            </w:r>
          </w:p>
        </w:tc>
        <w:tc>
          <w:tcPr>
            <w:tcW w:w="2487" w:type="dxa"/>
            <w:tcBorders>
              <w:top w:val="nil"/>
              <w:left w:val="nil"/>
              <w:bottom w:val="nil"/>
              <w:right w:val="nil"/>
            </w:tcBorders>
            <w:shd w:val="clear" w:color="000000" w:fill="FFFFFF"/>
            <w:noWrap/>
            <w:vAlign w:val="bottom"/>
            <w:hideMark/>
          </w:tcPr>
          <w:p w14:paraId="6B56AB71"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76FBF1ED"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017" w:type="dxa"/>
            <w:tcBorders>
              <w:top w:val="nil"/>
              <w:left w:val="nil"/>
              <w:bottom w:val="nil"/>
              <w:right w:val="nil"/>
            </w:tcBorders>
            <w:shd w:val="clear" w:color="000000" w:fill="FFFFFF"/>
            <w:noWrap/>
            <w:vAlign w:val="bottom"/>
            <w:hideMark/>
          </w:tcPr>
          <w:p w14:paraId="3A7D163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71" w:type="dxa"/>
            <w:tcBorders>
              <w:top w:val="nil"/>
              <w:left w:val="nil"/>
              <w:bottom w:val="nil"/>
              <w:right w:val="nil"/>
            </w:tcBorders>
            <w:shd w:val="clear" w:color="000000" w:fill="FFFFFF"/>
            <w:noWrap/>
            <w:vAlign w:val="bottom"/>
            <w:hideMark/>
          </w:tcPr>
          <w:p w14:paraId="6BCB402E"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73" w:type="dxa"/>
            <w:tcBorders>
              <w:top w:val="nil"/>
              <w:left w:val="nil"/>
              <w:bottom w:val="nil"/>
              <w:right w:val="nil"/>
            </w:tcBorders>
            <w:shd w:val="clear" w:color="000000" w:fill="FFFFFF"/>
            <w:noWrap/>
            <w:vAlign w:val="bottom"/>
            <w:hideMark/>
          </w:tcPr>
          <w:p w14:paraId="6F6A27FC"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510" w:type="dxa"/>
            <w:tcBorders>
              <w:top w:val="nil"/>
              <w:left w:val="nil"/>
              <w:bottom w:val="nil"/>
              <w:right w:val="nil"/>
            </w:tcBorders>
            <w:shd w:val="clear" w:color="000000" w:fill="FFFFFF"/>
            <w:noWrap/>
            <w:vAlign w:val="bottom"/>
            <w:hideMark/>
          </w:tcPr>
          <w:p w14:paraId="568CD160"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nil"/>
              <w:right w:val="nil"/>
            </w:tcBorders>
            <w:shd w:val="clear" w:color="000000" w:fill="FFFFFF"/>
            <w:noWrap/>
            <w:vAlign w:val="bottom"/>
            <w:hideMark/>
          </w:tcPr>
          <w:p w14:paraId="73494031"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052" w:type="dxa"/>
            <w:tcBorders>
              <w:top w:val="nil"/>
              <w:left w:val="nil"/>
              <w:bottom w:val="nil"/>
              <w:right w:val="nil"/>
            </w:tcBorders>
            <w:shd w:val="clear" w:color="000000" w:fill="FFFFFF"/>
            <w:noWrap/>
            <w:vAlign w:val="bottom"/>
            <w:hideMark/>
          </w:tcPr>
          <w:p w14:paraId="5C307C5A"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60E550B7" w14:textId="77777777" w:rsidTr="00484A96">
        <w:trPr>
          <w:divId w:val="1212186410"/>
          <w:trHeight w:val="300"/>
        </w:trPr>
        <w:tc>
          <w:tcPr>
            <w:tcW w:w="1835" w:type="dxa"/>
            <w:tcBorders>
              <w:top w:val="nil"/>
              <w:left w:val="nil"/>
              <w:bottom w:val="nil"/>
              <w:right w:val="nil"/>
            </w:tcBorders>
            <w:shd w:val="clear" w:color="000000" w:fill="FFFFFF"/>
            <w:noWrap/>
            <w:vAlign w:val="bottom"/>
            <w:hideMark/>
          </w:tcPr>
          <w:p w14:paraId="127AC0C0" w14:textId="77777777" w:rsidR="00484A96" w:rsidRPr="00DF4491" w:rsidRDefault="00484A96" w:rsidP="00E22D45">
            <w:pPr>
              <w:rPr>
                <w:rFonts w:eastAsia="Times New Roman"/>
                <w:color w:val="000000"/>
                <w:sz w:val="22"/>
                <w:szCs w:val="22"/>
                <w:lang w:val="en-US"/>
              </w:rPr>
            </w:pPr>
            <w:r w:rsidRPr="00DF4491">
              <w:rPr>
                <w:rFonts w:eastAsia="Times New Roman"/>
                <w:color w:val="000000"/>
                <w:sz w:val="22"/>
                <w:szCs w:val="22"/>
                <w:lang w:val="en-US"/>
              </w:rPr>
              <w:t>Indirect</w:t>
            </w:r>
          </w:p>
        </w:tc>
        <w:tc>
          <w:tcPr>
            <w:tcW w:w="2487" w:type="dxa"/>
            <w:tcBorders>
              <w:top w:val="nil"/>
              <w:left w:val="nil"/>
              <w:bottom w:val="nil"/>
              <w:right w:val="nil"/>
            </w:tcBorders>
            <w:shd w:val="clear" w:color="000000" w:fill="FFFFFF"/>
            <w:noWrap/>
            <w:vAlign w:val="bottom"/>
            <w:hideMark/>
          </w:tcPr>
          <w:p w14:paraId="0A413495"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0.009*</w:t>
            </w:r>
          </w:p>
        </w:tc>
        <w:tc>
          <w:tcPr>
            <w:tcW w:w="271" w:type="dxa"/>
            <w:tcBorders>
              <w:top w:val="nil"/>
              <w:left w:val="nil"/>
              <w:bottom w:val="nil"/>
              <w:right w:val="nil"/>
            </w:tcBorders>
            <w:shd w:val="clear" w:color="000000" w:fill="FFFFFF"/>
            <w:noWrap/>
            <w:vAlign w:val="bottom"/>
            <w:hideMark/>
          </w:tcPr>
          <w:p w14:paraId="028AFFC4"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017" w:type="dxa"/>
            <w:tcBorders>
              <w:top w:val="nil"/>
              <w:left w:val="nil"/>
              <w:bottom w:val="nil"/>
              <w:right w:val="nil"/>
            </w:tcBorders>
            <w:shd w:val="clear" w:color="000000" w:fill="FFFFFF"/>
            <w:noWrap/>
            <w:vAlign w:val="bottom"/>
            <w:hideMark/>
          </w:tcPr>
          <w:p w14:paraId="2982A832"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0.004</w:t>
            </w:r>
          </w:p>
        </w:tc>
        <w:tc>
          <w:tcPr>
            <w:tcW w:w="271" w:type="dxa"/>
            <w:tcBorders>
              <w:top w:val="nil"/>
              <w:left w:val="nil"/>
              <w:bottom w:val="nil"/>
              <w:right w:val="nil"/>
            </w:tcBorders>
            <w:shd w:val="clear" w:color="000000" w:fill="FFFFFF"/>
            <w:noWrap/>
            <w:vAlign w:val="bottom"/>
            <w:hideMark/>
          </w:tcPr>
          <w:p w14:paraId="147B3D2B"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73" w:type="dxa"/>
            <w:tcBorders>
              <w:top w:val="nil"/>
              <w:left w:val="nil"/>
              <w:bottom w:val="nil"/>
              <w:right w:val="nil"/>
            </w:tcBorders>
            <w:shd w:val="clear" w:color="000000" w:fill="FFFFFF"/>
            <w:noWrap/>
            <w:vAlign w:val="bottom"/>
            <w:hideMark/>
          </w:tcPr>
          <w:p w14:paraId="56E64B2C"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0.002</w:t>
            </w:r>
          </w:p>
        </w:tc>
        <w:tc>
          <w:tcPr>
            <w:tcW w:w="1510" w:type="dxa"/>
            <w:tcBorders>
              <w:top w:val="nil"/>
              <w:left w:val="nil"/>
              <w:bottom w:val="nil"/>
              <w:right w:val="nil"/>
            </w:tcBorders>
            <w:shd w:val="clear" w:color="000000" w:fill="FFFFFF"/>
            <w:noWrap/>
            <w:vAlign w:val="bottom"/>
            <w:hideMark/>
          </w:tcPr>
          <w:p w14:paraId="5BDECBCC"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nil"/>
              <w:right w:val="nil"/>
            </w:tcBorders>
            <w:shd w:val="clear" w:color="000000" w:fill="FFFFFF"/>
            <w:noWrap/>
            <w:vAlign w:val="bottom"/>
            <w:hideMark/>
          </w:tcPr>
          <w:p w14:paraId="0D3D31C5"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0.017</w:t>
            </w:r>
          </w:p>
        </w:tc>
        <w:tc>
          <w:tcPr>
            <w:tcW w:w="2052" w:type="dxa"/>
            <w:tcBorders>
              <w:top w:val="nil"/>
              <w:left w:val="nil"/>
              <w:bottom w:val="nil"/>
              <w:right w:val="nil"/>
            </w:tcBorders>
            <w:shd w:val="clear" w:color="000000" w:fill="FFFFFF"/>
            <w:noWrap/>
            <w:vAlign w:val="bottom"/>
            <w:hideMark/>
          </w:tcPr>
          <w:p w14:paraId="7FAB122D"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4E20C96A" w14:textId="77777777" w:rsidTr="00484A96">
        <w:trPr>
          <w:divId w:val="1212186410"/>
          <w:trHeight w:val="300"/>
        </w:trPr>
        <w:tc>
          <w:tcPr>
            <w:tcW w:w="1835" w:type="dxa"/>
            <w:tcBorders>
              <w:top w:val="nil"/>
              <w:left w:val="nil"/>
              <w:bottom w:val="nil"/>
              <w:right w:val="nil"/>
            </w:tcBorders>
            <w:shd w:val="clear" w:color="000000" w:fill="FFFFFF"/>
            <w:noWrap/>
            <w:vAlign w:val="bottom"/>
            <w:hideMark/>
          </w:tcPr>
          <w:p w14:paraId="58566CCC" w14:textId="77777777" w:rsidR="00484A96" w:rsidRPr="00DF4491" w:rsidRDefault="00484A96" w:rsidP="00E22D45">
            <w:pPr>
              <w:rPr>
                <w:rFonts w:eastAsia="Times New Roman"/>
                <w:color w:val="000000"/>
                <w:sz w:val="22"/>
                <w:szCs w:val="22"/>
                <w:lang w:val="en-US"/>
              </w:rPr>
            </w:pPr>
            <w:r w:rsidRPr="00DF4491">
              <w:rPr>
                <w:rFonts w:eastAsia="Times New Roman"/>
                <w:color w:val="000000"/>
                <w:sz w:val="22"/>
                <w:szCs w:val="22"/>
                <w:lang w:val="en-US"/>
              </w:rPr>
              <w:t>Direct</w:t>
            </w:r>
          </w:p>
        </w:tc>
        <w:tc>
          <w:tcPr>
            <w:tcW w:w="2487" w:type="dxa"/>
            <w:tcBorders>
              <w:top w:val="nil"/>
              <w:left w:val="nil"/>
              <w:bottom w:val="nil"/>
              <w:right w:val="nil"/>
            </w:tcBorders>
            <w:shd w:val="clear" w:color="000000" w:fill="FFFFFF"/>
            <w:noWrap/>
            <w:vAlign w:val="bottom"/>
            <w:hideMark/>
          </w:tcPr>
          <w:p w14:paraId="0698B2AB"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0.063*</w:t>
            </w:r>
          </w:p>
        </w:tc>
        <w:tc>
          <w:tcPr>
            <w:tcW w:w="271" w:type="dxa"/>
            <w:tcBorders>
              <w:top w:val="nil"/>
              <w:left w:val="nil"/>
              <w:bottom w:val="nil"/>
              <w:right w:val="nil"/>
            </w:tcBorders>
            <w:shd w:val="clear" w:color="000000" w:fill="FFFFFF"/>
            <w:noWrap/>
            <w:vAlign w:val="bottom"/>
            <w:hideMark/>
          </w:tcPr>
          <w:p w14:paraId="2B0AF475"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017" w:type="dxa"/>
            <w:tcBorders>
              <w:top w:val="nil"/>
              <w:left w:val="nil"/>
              <w:bottom w:val="nil"/>
              <w:right w:val="nil"/>
            </w:tcBorders>
            <w:shd w:val="clear" w:color="000000" w:fill="FFFFFF"/>
            <w:noWrap/>
            <w:vAlign w:val="bottom"/>
            <w:hideMark/>
          </w:tcPr>
          <w:p w14:paraId="5E50F808"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0.029</w:t>
            </w:r>
          </w:p>
        </w:tc>
        <w:tc>
          <w:tcPr>
            <w:tcW w:w="271" w:type="dxa"/>
            <w:tcBorders>
              <w:top w:val="nil"/>
              <w:left w:val="nil"/>
              <w:bottom w:val="nil"/>
              <w:right w:val="nil"/>
            </w:tcBorders>
            <w:shd w:val="clear" w:color="000000" w:fill="FFFFFF"/>
            <w:noWrap/>
            <w:vAlign w:val="bottom"/>
            <w:hideMark/>
          </w:tcPr>
          <w:p w14:paraId="63482857"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73" w:type="dxa"/>
            <w:tcBorders>
              <w:top w:val="nil"/>
              <w:left w:val="nil"/>
              <w:bottom w:val="nil"/>
              <w:right w:val="nil"/>
            </w:tcBorders>
            <w:shd w:val="clear" w:color="000000" w:fill="FFFFFF"/>
            <w:noWrap/>
            <w:vAlign w:val="bottom"/>
            <w:hideMark/>
          </w:tcPr>
          <w:p w14:paraId="62407ED9"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0.006</w:t>
            </w:r>
          </w:p>
        </w:tc>
        <w:tc>
          <w:tcPr>
            <w:tcW w:w="1510" w:type="dxa"/>
            <w:tcBorders>
              <w:top w:val="nil"/>
              <w:left w:val="nil"/>
              <w:bottom w:val="nil"/>
              <w:right w:val="nil"/>
            </w:tcBorders>
            <w:shd w:val="clear" w:color="000000" w:fill="FFFFFF"/>
            <w:noWrap/>
            <w:vAlign w:val="bottom"/>
            <w:hideMark/>
          </w:tcPr>
          <w:p w14:paraId="5F4F4497"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nil"/>
              <w:right w:val="nil"/>
            </w:tcBorders>
            <w:shd w:val="clear" w:color="000000" w:fill="FFFFFF"/>
            <w:noWrap/>
            <w:vAlign w:val="bottom"/>
            <w:hideMark/>
          </w:tcPr>
          <w:p w14:paraId="7F07350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0.120</w:t>
            </w:r>
          </w:p>
        </w:tc>
        <w:tc>
          <w:tcPr>
            <w:tcW w:w="2052" w:type="dxa"/>
            <w:tcBorders>
              <w:top w:val="nil"/>
              <w:left w:val="nil"/>
              <w:bottom w:val="nil"/>
              <w:right w:val="nil"/>
            </w:tcBorders>
            <w:shd w:val="clear" w:color="000000" w:fill="FFFFFF"/>
            <w:noWrap/>
            <w:vAlign w:val="bottom"/>
            <w:hideMark/>
          </w:tcPr>
          <w:p w14:paraId="528B8958"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49DD924C" w14:textId="77777777" w:rsidTr="00484A96">
        <w:trPr>
          <w:divId w:val="1212186410"/>
          <w:trHeight w:val="300"/>
        </w:trPr>
        <w:tc>
          <w:tcPr>
            <w:tcW w:w="1835" w:type="dxa"/>
            <w:tcBorders>
              <w:top w:val="nil"/>
              <w:left w:val="nil"/>
              <w:bottom w:val="nil"/>
              <w:right w:val="nil"/>
            </w:tcBorders>
            <w:shd w:val="clear" w:color="000000" w:fill="FFFFFF"/>
            <w:noWrap/>
            <w:vAlign w:val="bottom"/>
            <w:hideMark/>
          </w:tcPr>
          <w:p w14:paraId="5ADBB62E" w14:textId="77777777" w:rsidR="00484A96" w:rsidRPr="00DF4491" w:rsidRDefault="00484A96" w:rsidP="00E22D45">
            <w:pPr>
              <w:rPr>
                <w:rFonts w:eastAsia="Times New Roman"/>
                <w:color w:val="000000"/>
                <w:sz w:val="22"/>
                <w:szCs w:val="22"/>
                <w:lang w:val="en-US"/>
              </w:rPr>
            </w:pPr>
            <w:r w:rsidRPr="00DF4491">
              <w:rPr>
                <w:rFonts w:eastAsia="Times New Roman"/>
                <w:color w:val="000000"/>
                <w:sz w:val="22"/>
                <w:szCs w:val="22"/>
                <w:lang w:val="en-US"/>
              </w:rPr>
              <w:t>Total</w:t>
            </w:r>
          </w:p>
        </w:tc>
        <w:tc>
          <w:tcPr>
            <w:tcW w:w="2487" w:type="dxa"/>
            <w:tcBorders>
              <w:top w:val="nil"/>
              <w:left w:val="nil"/>
              <w:bottom w:val="nil"/>
              <w:right w:val="nil"/>
            </w:tcBorders>
            <w:shd w:val="clear" w:color="000000" w:fill="FFFFFF"/>
            <w:noWrap/>
            <w:vAlign w:val="bottom"/>
            <w:hideMark/>
          </w:tcPr>
          <w:p w14:paraId="39E8F846"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0.072*</w:t>
            </w:r>
          </w:p>
        </w:tc>
        <w:tc>
          <w:tcPr>
            <w:tcW w:w="271" w:type="dxa"/>
            <w:tcBorders>
              <w:top w:val="nil"/>
              <w:left w:val="nil"/>
              <w:bottom w:val="nil"/>
              <w:right w:val="nil"/>
            </w:tcBorders>
            <w:shd w:val="clear" w:color="000000" w:fill="FFFFFF"/>
            <w:noWrap/>
            <w:vAlign w:val="bottom"/>
            <w:hideMark/>
          </w:tcPr>
          <w:p w14:paraId="39896F0B"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017" w:type="dxa"/>
            <w:tcBorders>
              <w:top w:val="nil"/>
              <w:left w:val="nil"/>
              <w:bottom w:val="nil"/>
              <w:right w:val="nil"/>
            </w:tcBorders>
            <w:shd w:val="clear" w:color="000000" w:fill="FFFFFF"/>
            <w:noWrap/>
            <w:vAlign w:val="bottom"/>
            <w:hideMark/>
          </w:tcPr>
          <w:p w14:paraId="6875DC20"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0.029</w:t>
            </w:r>
          </w:p>
        </w:tc>
        <w:tc>
          <w:tcPr>
            <w:tcW w:w="271" w:type="dxa"/>
            <w:tcBorders>
              <w:top w:val="nil"/>
              <w:left w:val="nil"/>
              <w:bottom w:val="nil"/>
              <w:right w:val="nil"/>
            </w:tcBorders>
            <w:shd w:val="clear" w:color="000000" w:fill="FFFFFF"/>
            <w:noWrap/>
            <w:vAlign w:val="bottom"/>
            <w:hideMark/>
          </w:tcPr>
          <w:p w14:paraId="0C8A9D62"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73" w:type="dxa"/>
            <w:tcBorders>
              <w:top w:val="nil"/>
              <w:left w:val="nil"/>
              <w:bottom w:val="nil"/>
              <w:right w:val="nil"/>
            </w:tcBorders>
            <w:shd w:val="clear" w:color="000000" w:fill="FFFFFF"/>
            <w:noWrap/>
            <w:vAlign w:val="bottom"/>
            <w:hideMark/>
          </w:tcPr>
          <w:p w14:paraId="3CC45F57"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0.015</w:t>
            </w:r>
          </w:p>
        </w:tc>
        <w:tc>
          <w:tcPr>
            <w:tcW w:w="1510" w:type="dxa"/>
            <w:tcBorders>
              <w:top w:val="nil"/>
              <w:left w:val="nil"/>
              <w:bottom w:val="nil"/>
              <w:right w:val="nil"/>
            </w:tcBorders>
            <w:shd w:val="clear" w:color="000000" w:fill="FFFFFF"/>
            <w:noWrap/>
            <w:vAlign w:val="bottom"/>
            <w:hideMark/>
          </w:tcPr>
          <w:p w14:paraId="548A62EC"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nil"/>
              <w:right w:val="nil"/>
            </w:tcBorders>
            <w:shd w:val="clear" w:color="000000" w:fill="FFFFFF"/>
            <w:noWrap/>
            <w:vAlign w:val="bottom"/>
            <w:hideMark/>
          </w:tcPr>
          <w:p w14:paraId="5C01DB2A"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0.127</w:t>
            </w:r>
          </w:p>
        </w:tc>
        <w:tc>
          <w:tcPr>
            <w:tcW w:w="2052" w:type="dxa"/>
            <w:tcBorders>
              <w:top w:val="nil"/>
              <w:left w:val="nil"/>
              <w:bottom w:val="nil"/>
              <w:right w:val="nil"/>
            </w:tcBorders>
            <w:shd w:val="clear" w:color="000000" w:fill="FFFFFF"/>
            <w:noWrap/>
            <w:vAlign w:val="bottom"/>
            <w:hideMark/>
          </w:tcPr>
          <w:p w14:paraId="4E41B585"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07E82E4F" w14:textId="77777777" w:rsidTr="00484A96">
        <w:trPr>
          <w:divId w:val="1212186410"/>
          <w:trHeight w:val="645"/>
        </w:trPr>
        <w:tc>
          <w:tcPr>
            <w:tcW w:w="5610" w:type="dxa"/>
            <w:gridSpan w:val="4"/>
            <w:tcBorders>
              <w:top w:val="nil"/>
              <w:left w:val="nil"/>
              <w:bottom w:val="nil"/>
              <w:right w:val="nil"/>
            </w:tcBorders>
            <w:shd w:val="clear" w:color="000000" w:fill="FFFFFF"/>
            <w:noWrap/>
            <w:vAlign w:val="bottom"/>
            <w:hideMark/>
          </w:tcPr>
          <w:p w14:paraId="5442456D" w14:textId="77777777" w:rsidR="00484A96" w:rsidRPr="00DF4491" w:rsidRDefault="00484A96" w:rsidP="00E22D45">
            <w:pPr>
              <w:rPr>
                <w:rFonts w:eastAsia="Times New Roman"/>
                <w:color w:val="000000"/>
                <w:sz w:val="20"/>
                <w:szCs w:val="20"/>
                <w:lang w:val="en-US"/>
              </w:rPr>
            </w:pPr>
            <w:r w:rsidRPr="00DF4491">
              <w:rPr>
                <w:rFonts w:eastAsia="Times New Roman"/>
                <w:color w:val="000000"/>
                <w:sz w:val="20"/>
                <w:szCs w:val="20"/>
                <w:vertAlign w:val="superscript"/>
                <w:lang w:val="en-US"/>
              </w:rPr>
              <w:t xml:space="preserve">1 </w:t>
            </w:r>
            <w:r w:rsidRPr="00DF4491">
              <w:rPr>
                <w:rFonts w:eastAsia="Times New Roman"/>
                <w:color w:val="000000"/>
                <w:sz w:val="20"/>
                <w:szCs w:val="20"/>
                <w:lang w:val="en-US"/>
              </w:rPr>
              <w:t>bias corrected and accelerated confidence interval</w:t>
            </w:r>
          </w:p>
        </w:tc>
        <w:tc>
          <w:tcPr>
            <w:tcW w:w="271" w:type="dxa"/>
            <w:tcBorders>
              <w:top w:val="nil"/>
              <w:left w:val="nil"/>
              <w:bottom w:val="nil"/>
              <w:right w:val="nil"/>
            </w:tcBorders>
            <w:shd w:val="clear" w:color="000000" w:fill="FFFFFF"/>
            <w:noWrap/>
            <w:vAlign w:val="bottom"/>
            <w:hideMark/>
          </w:tcPr>
          <w:p w14:paraId="0D6E3BF2" w14:textId="77777777" w:rsidR="00484A96" w:rsidRPr="00DF4491" w:rsidRDefault="00484A96" w:rsidP="00E22D45">
            <w:pPr>
              <w:jc w:val="center"/>
              <w:rPr>
                <w:rFonts w:eastAsia="Times New Roman"/>
                <w:color w:val="000000"/>
                <w:sz w:val="20"/>
                <w:szCs w:val="20"/>
                <w:lang w:val="en-US"/>
              </w:rPr>
            </w:pPr>
            <w:r w:rsidRPr="00DF4491">
              <w:rPr>
                <w:rFonts w:eastAsia="Times New Roman"/>
                <w:color w:val="000000"/>
                <w:sz w:val="20"/>
                <w:szCs w:val="20"/>
                <w:lang w:val="en-US"/>
              </w:rPr>
              <w:t> </w:t>
            </w:r>
          </w:p>
        </w:tc>
        <w:tc>
          <w:tcPr>
            <w:tcW w:w="1173" w:type="dxa"/>
            <w:tcBorders>
              <w:top w:val="nil"/>
              <w:left w:val="nil"/>
              <w:bottom w:val="nil"/>
              <w:right w:val="nil"/>
            </w:tcBorders>
            <w:shd w:val="clear" w:color="000000" w:fill="FFFFFF"/>
            <w:noWrap/>
            <w:vAlign w:val="bottom"/>
            <w:hideMark/>
          </w:tcPr>
          <w:p w14:paraId="58FE621E"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510" w:type="dxa"/>
            <w:tcBorders>
              <w:top w:val="nil"/>
              <w:left w:val="nil"/>
              <w:bottom w:val="nil"/>
              <w:right w:val="nil"/>
            </w:tcBorders>
            <w:shd w:val="clear" w:color="000000" w:fill="FFFFFF"/>
            <w:noWrap/>
            <w:vAlign w:val="bottom"/>
            <w:hideMark/>
          </w:tcPr>
          <w:p w14:paraId="3207035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nil"/>
              <w:right w:val="nil"/>
            </w:tcBorders>
            <w:shd w:val="clear" w:color="000000" w:fill="FFFFFF"/>
            <w:noWrap/>
            <w:vAlign w:val="bottom"/>
            <w:hideMark/>
          </w:tcPr>
          <w:p w14:paraId="5219319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052" w:type="dxa"/>
            <w:tcBorders>
              <w:top w:val="nil"/>
              <w:left w:val="nil"/>
              <w:bottom w:val="nil"/>
              <w:right w:val="nil"/>
            </w:tcBorders>
            <w:shd w:val="clear" w:color="000000" w:fill="FFFFFF"/>
            <w:noWrap/>
            <w:vAlign w:val="bottom"/>
            <w:hideMark/>
          </w:tcPr>
          <w:p w14:paraId="2B917FFF"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r w:rsidR="00484A96" w:rsidRPr="00DF4491" w14:paraId="3A8FCA72" w14:textId="77777777" w:rsidTr="00484A96">
        <w:trPr>
          <w:divId w:val="1212186410"/>
          <w:trHeight w:val="225"/>
        </w:trPr>
        <w:tc>
          <w:tcPr>
            <w:tcW w:w="4322" w:type="dxa"/>
            <w:gridSpan w:val="2"/>
            <w:tcBorders>
              <w:top w:val="nil"/>
              <w:left w:val="nil"/>
              <w:bottom w:val="nil"/>
              <w:right w:val="nil"/>
            </w:tcBorders>
            <w:shd w:val="clear" w:color="000000" w:fill="FFFFFF"/>
            <w:noWrap/>
            <w:vAlign w:val="bottom"/>
            <w:hideMark/>
          </w:tcPr>
          <w:p w14:paraId="714549EA" w14:textId="77777777" w:rsidR="00484A96" w:rsidRPr="00DF4491" w:rsidRDefault="00484A96" w:rsidP="00E22D45">
            <w:pPr>
              <w:rPr>
                <w:rFonts w:eastAsia="Times New Roman"/>
                <w:color w:val="000000"/>
                <w:sz w:val="20"/>
                <w:szCs w:val="20"/>
                <w:lang w:val="en-US"/>
              </w:rPr>
            </w:pPr>
            <w:r w:rsidRPr="00DF4491">
              <w:rPr>
                <w:rFonts w:eastAsia="Times New Roman"/>
                <w:color w:val="000000"/>
                <w:sz w:val="20"/>
                <w:szCs w:val="20"/>
                <w:lang w:val="en-US"/>
              </w:rPr>
              <w:t xml:space="preserve">* </w:t>
            </w:r>
            <w:r>
              <w:rPr>
                <w:rFonts w:eastAsia="Times New Roman"/>
                <w:color w:val="000000"/>
                <w:sz w:val="20"/>
                <w:szCs w:val="20"/>
                <w:lang w:val="en-US"/>
              </w:rPr>
              <w:t>p&lt;.05</w:t>
            </w:r>
          </w:p>
        </w:tc>
        <w:tc>
          <w:tcPr>
            <w:tcW w:w="271" w:type="dxa"/>
            <w:tcBorders>
              <w:top w:val="nil"/>
              <w:left w:val="nil"/>
              <w:bottom w:val="nil"/>
              <w:right w:val="nil"/>
            </w:tcBorders>
            <w:shd w:val="clear" w:color="000000" w:fill="FFFFFF"/>
            <w:noWrap/>
            <w:vAlign w:val="bottom"/>
            <w:hideMark/>
          </w:tcPr>
          <w:p w14:paraId="0A317F36" w14:textId="77777777" w:rsidR="00484A96" w:rsidRPr="00DF4491" w:rsidRDefault="00484A96" w:rsidP="00E22D45">
            <w:pPr>
              <w:jc w:val="center"/>
              <w:rPr>
                <w:rFonts w:eastAsia="Times New Roman"/>
                <w:color w:val="000000"/>
                <w:sz w:val="20"/>
                <w:szCs w:val="20"/>
                <w:lang w:val="en-US"/>
              </w:rPr>
            </w:pPr>
            <w:r w:rsidRPr="00DF4491">
              <w:rPr>
                <w:rFonts w:eastAsia="Times New Roman"/>
                <w:color w:val="000000"/>
                <w:sz w:val="20"/>
                <w:szCs w:val="20"/>
                <w:lang w:val="en-US"/>
              </w:rPr>
              <w:t> </w:t>
            </w:r>
          </w:p>
        </w:tc>
        <w:tc>
          <w:tcPr>
            <w:tcW w:w="1017" w:type="dxa"/>
            <w:tcBorders>
              <w:top w:val="nil"/>
              <w:left w:val="nil"/>
              <w:bottom w:val="nil"/>
              <w:right w:val="nil"/>
            </w:tcBorders>
            <w:shd w:val="clear" w:color="000000" w:fill="FFFFFF"/>
            <w:noWrap/>
            <w:vAlign w:val="bottom"/>
            <w:hideMark/>
          </w:tcPr>
          <w:p w14:paraId="27E9EEFE" w14:textId="77777777" w:rsidR="00484A96" w:rsidRPr="00DF4491" w:rsidRDefault="00484A96" w:rsidP="00E22D45">
            <w:pPr>
              <w:jc w:val="center"/>
              <w:rPr>
                <w:rFonts w:eastAsia="Times New Roman"/>
                <w:color w:val="000000"/>
                <w:sz w:val="20"/>
                <w:szCs w:val="20"/>
                <w:lang w:val="en-US"/>
              </w:rPr>
            </w:pPr>
            <w:r w:rsidRPr="00DF4491">
              <w:rPr>
                <w:rFonts w:eastAsia="Times New Roman"/>
                <w:color w:val="000000"/>
                <w:sz w:val="20"/>
                <w:szCs w:val="20"/>
                <w:lang w:val="en-US"/>
              </w:rPr>
              <w:t> </w:t>
            </w:r>
          </w:p>
        </w:tc>
        <w:tc>
          <w:tcPr>
            <w:tcW w:w="271" w:type="dxa"/>
            <w:tcBorders>
              <w:top w:val="nil"/>
              <w:left w:val="nil"/>
              <w:bottom w:val="nil"/>
              <w:right w:val="nil"/>
            </w:tcBorders>
            <w:shd w:val="clear" w:color="000000" w:fill="FFFFFF"/>
            <w:noWrap/>
            <w:vAlign w:val="bottom"/>
            <w:hideMark/>
          </w:tcPr>
          <w:p w14:paraId="54825ED6" w14:textId="77777777" w:rsidR="00484A96" w:rsidRPr="00DF4491" w:rsidRDefault="00484A96" w:rsidP="00E22D45">
            <w:pPr>
              <w:jc w:val="center"/>
              <w:rPr>
                <w:rFonts w:eastAsia="Times New Roman"/>
                <w:color w:val="000000"/>
                <w:sz w:val="20"/>
                <w:szCs w:val="20"/>
                <w:lang w:val="en-US"/>
              </w:rPr>
            </w:pPr>
            <w:r w:rsidRPr="00DF4491">
              <w:rPr>
                <w:rFonts w:eastAsia="Times New Roman"/>
                <w:color w:val="000000"/>
                <w:sz w:val="20"/>
                <w:szCs w:val="20"/>
                <w:lang w:val="en-US"/>
              </w:rPr>
              <w:t> </w:t>
            </w:r>
          </w:p>
        </w:tc>
        <w:tc>
          <w:tcPr>
            <w:tcW w:w="1173" w:type="dxa"/>
            <w:tcBorders>
              <w:top w:val="nil"/>
              <w:left w:val="nil"/>
              <w:bottom w:val="nil"/>
              <w:right w:val="nil"/>
            </w:tcBorders>
            <w:shd w:val="clear" w:color="000000" w:fill="FFFFFF"/>
            <w:noWrap/>
            <w:vAlign w:val="bottom"/>
            <w:hideMark/>
          </w:tcPr>
          <w:p w14:paraId="287D2C68"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510" w:type="dxa"/>
            <w:tcBorders>
              <w:top w:val="nil"/>
              <w:left w:val="nil"/>
              <w:bottom w:val="nil"/>
              <w:right w:val="nil"/>
            </w:tcBorders>
            <w:shd w:val="clear" w:color="000000" w:fill="FFFFFF"/>
            <w:noWrap/>
            <w:vAlign w:val="bottom"/>
            <w:hideMark/>
          </w:tcPr>
          <w:p w14:paraId="651D6480"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1124" w:type="dxa"/>
            <w:tcBorders>
              <w:top w:val="nil"/>
              <w:left w:val="nil"/>
              <w:bottom w:val="nil"/>
              <w:right w:val="nil"/>
            </w:tcBorders>
            <w:shd w:val="clear" w:color="000000" w:fill="FFFFFF"/>
            <w:noWrap/>
            <w:vAlign w:val="bottom"/>
            <w:hideMark/>
          </w:tcPr>
          <w:p w14:paraId="33A570B8"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c>
          <w:tcPr>
            <w:tcW w:w="2052" w:type="dxa"/>
            <w:tcBorders>
              <w:top w:val="nil"/>
              <w:left w:val="nil"/>
              <w:bottom w:val="nil"/>
              <w:right w:val="nil"/>
            </w:tcBorders>
            <w:shd w:val="clear" w:color="000000" w:fill="FFFFFF"/>
            <w:noWrap/>
            <w:vAlign w:val="bottom"/>
            <w:hideMark/>
          </w:tcPr>
          <w:p w14:paraId="6CE22419" w14:textId="77777777" w:rsidR="00484A96" w:rsidRPr="00DF4491" w:rsidRDefault="00484A96" w:rsidP="00E22D45">
            <w:pPr>
              <w:jc w:val="center"/>
              <w:rPr>
                <w:rFonts w:eastAsia="Times New Roman"/>
                <w:color w:val="000000"/>
                <w:sz w:val="22"/>
                <w:szCs w:val="22"/>
                <w:lang w:val="en-US"/>
              </w:rPr>
            </w:pPr>
            <w:r w:rsidRPr="00DF4491">
              <w:rPr>
                <w:rFonts w:eastAsia="Times New Roman"/>
                <w:color w:val="000000"/>
                <w:sz w:val="22"/>
                <w:szCs w:val="22"/>
                <w:lang w:val="en-US"/>
              </w:rPr>
              <w:t> </w:t>
            </w:r>
          </w:p>
        </w:tc>
      </w:tr>
    </w:tbl>
    <w:p w14:paraId="39563887" w14:textId="77777777" w:rsidR="00484A96" w:rsidRPr="00A47ACF" w:rsidRDefault="00484A96" w:rsidP="00484A96">
      <w:pPr>
        <w:divId w:val="1212186410"/>
      </w:pPr>
    </w:p>
    <w:p w14:paraId="3BC366F7" w14:textId="77777777" w:rsidR="00484A96" w:rsidRPr="00A47ACF" w:rsidRDefault="00484A96" w:rsidP="00484A96">
      <w:pPr>
        <w:divId w:val="1212186410"/>
      </w:pPr>
    </w:p>
    <w:p w14:paraId="5251D5FD" w14:textId="77777777" w:rsidR="00484A96" w:rsidRPr="00A47ACF" w:rsidRDefault="00484A96" w:rsidP="00484A96">
      <w:pPr>
        <w:divId w:val="1212186410"/>
      </w:pPr>
    </w:p>
    <w:p w14:paraId="288B36F5" w14:textId="77777777" w:rsidR="00484A96" w:rsidRPr="00A47ACF" w:rsidRDefault="00484A96" w:rsidP="00484A96">
      <w:pPr>
        <w:divId w:val="1212186410"/>
      </w:pPr>
    </w:p>
    <w:p w14:paraId="7FC82BFE" w14:textId="77777777" w:rsidR="00484A96" w:rsidRPr="00A47ACF" w:rsidRDefault="00484A96" w:rsidP="00484A96">
      <w:pPr>
        <w:divId w:val="1212186410"/>
      </w:pPr>
    </w:p>
    <w:p w14:paraId="3D4CAB0E" w14:textId="77777777" w:rsidR="00484A96" w:rsidRPr="00A47ACF" w:rsidRDefault="00484A96" w:rsidP="00484A96">
      <w:pPr>
        <w:divId w:val="1212186410"/>
      </w:pPr>
    </w:p>
    <w:p w14:paraId="414B149F" w14:textId="77777777" w:rsidR="00484A96" w:rsidRPr="00A47ACF" w:rsidRDefault="00484A96" w:rsidP="00484A96">
      <w:pPr>
        <w:divId w:val="1212186410"/>
      </w:pPr>
    </w:p>
    <w:p w14:paraId="7862FE1C" w14:textId="77777777" w:rsidR="00484A96" w:rsidRPr="00A47ACF" w:rsidRDefault="00484A96" w:rsidP="00484A96">
      <w:pPr>
        <w:divId w:val="1212186410"/>
      </w:pPr>
    </w:p>
    <w:p w14:paraId="08BB7D06" w14:textId="77777777" w:rsidR="00484A96" w:rsidRPr="00A47ACF" w:rsidRDefault="00484A96" w:rsidP="00484A96">
      <w:pPr>
        <w:divId w:val="1212186410"/>
      </w:pPr>
    </w:p>
    <w:p w14:paraId="1BB8049B" w14:textId="77777777" w:rsidR="00484A96" w:rsidRPr="00A47ACF" w:rsidRDefault="00484A96" w:rsidP="00484A96">
      <w:pPr>
        <w:divId w:val="1212186410"/>
      </w:pPr>
    </w:p>
    <w:p w14:paraId="7D957556" w14:textId="77777777" w:rsidR="00484A96" w:rsidRPr="00A47ACF" w:rsidRDefault="00484A96" w:rsidP="00484A96">
      <w:pPr>
        <w:divId w:val="1212186410"/>
      </w:pPr>
    </w:p>
    <w:p w14:paraId="0DF38578" w14:textId="1AFFC462" w:rsidR="00484A96" w:rsidRDefault="00484A96" w:rsidP="00EE635E">
      <w:pPr>
        <w:pStyle w:val="NormalWeb"/>
        <w:spacing w:line="480" w:lineRule="auto"/>
        <w:ind w:left="480" w:hanging="480"/>
        <w:divId w:val="1212186410"/>
        <w:rPr>
          <w:b/>
          <w:lang w:val="en-GB"/>
        </w:rPr>
      </w:pPr>
    </w:p>
    <w:p w14:paraId="0512F25B" w14:textId="280ED52E" w:rsidR="00484A96" w:rsidRPr="00485DD6" w:rsidRDefault="00484A96" w:rsidP="00484A96">
      <w:pPr>
        <w:pStyle w:val="NormalWeb"/>
        <w:spacing w:line="480" w:lineRule="auto"/>
        <w:divId w:val="1212186410"/>
        <w:rPr>
          <w:b/>
          <w:lang w:val="en-GB"/>
        </w:rPr>
      </w:pPr>
    </w:p>
    <w:sectPr w:rsidR="00484A96" w:rsidRPr="00485DD6" w:rsidSect="00484A9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ED2D5" w14:textId="77777777" w:rsidR="009130BD" w:rsidRDefault="009130BD" w:rsidP="00CB3776">
      <w:pPr>
        <w:spacing w:after="0" w:line="240" w:lineRule="auto"/>
      </w:pPr>
      <w:r>
        <w:separator/>
      </w:r>
    </w:p>
  </w:endnote>
  <w:endnote w:type="continuationSeparator" w:id="0">
    <w:p w14:paraId="2D7B201C" w14:textId="77777777" w:rsidR="009130BD" w:rsidRDefault="009130BD" w:rsidP="00CB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FCCB" w14:textId="77777777" w:rsidR="009130BD" w:rsidRDefault="009130BD" w:rsidP="00CB3776">
      <w:pPr>
        <w:spacing w:after="0" w:line="240" w:lineRule="auto"/>
      </w:pPr>
      <w:r>
        <w:separator/>
      </w:r>
    </w:p>
  </w:footnote>
  <w:footnote w:type="continuationSeparator" w:id="0">
    <w:p w14:paraId="52882CA3" w14:textId="77777777" w:rsidR="009130BD" w:rsidRDefault="009130BD" w:rsidP="00CB3776">
      <w:pPr>
        <w:spacing w:after="0" w:line="240" w:lineRule="auto"/>
      </w:pPr>
      <w:r>
        <w:continuationSeparator/>
      </w:r>
    </w:p>
  </w:footnote>
  <w:footnote w:id="1">
    <w:p w14:paraId="7F83CF77" w14:textId="6806753C" w:rsidR="007B0542" w:rsidRPr="00812844" w:rsidRDefault="007B0542" w:rsidP="008A0535">
      <w:pPr>
        <w:pStyle w:val="FootnoteText"/>
      </w:pPr>
      <w:r w:rsidRPr="006C0D23">
        <w:rPr>
          <w:rStyle w:val="FootnoteReference"/>
          <w:color w:val="1F497D" w:themeColor="text2"/>
        </w:rPr>
        <w:footnoteRef/>
      </w:r>
      <w:r w:rsidRPr="006C0D23">
        <w:rPr>
          <w:color w:val="1F497D" w:themeColor="text2"/>
        </w:rPr>
        <w:t xml:space="preserve"> First generation</w:t>
      </w:r>
      <w:r>
        <w:rPr>
          <w:color w:val="1F497D" w:themeColor="text2"/>
        </w:rPr>
        <w:t xml:space="preserve"> refers to those born outside</w:t>
      </w:r>
      <w:r w:rsidRPr="006C0D23">
        <w:rPr>
          <w:color w:val="1F497D" w:themeColor="text2"/>
        </w:rPr>
        <w:t xml:space="preserve"> the host country with foreign-born parents; second-generation refers to those born in the host country with at least one foreign-born parent</w:t>
      </w:r>
      <w:r>
        <w:rPr>
          <w:color w:val="1F497D" w:themeColor="text2"/>
        </w:rPr>
        <w:t>; native-born refers to those who, including their parents, were born in the host country</w:t>
      </w:r>
      <w:r w:rsidRPr="006C0D23">
        <w:rPr>
          <w:color w:val="1F497D" w:themeColor="text2"/>
        </w:rPr>
        <w:t xml:space="preserve"> </w:t>
      </w:r>
      <w:r w:rsidRPr="006C0D23">
        <w:rPr>
          <w:color w:val="1F497D" w:themeColor="text2"/>
        </w:rPr>
        <w:fldChar w:fldCharType="begin" w:fldLock="1"/>
      </w:r>
      <w:r>
        <w:rPr>
          <w:color w:val="1F497D" w:themeColor="text2"/>
        </w:rPr>
        <w:instrText>ADDIN CSL_CITATION { "citationItems" : [ { "id" : "ITEM-1", "itemData" : { "author" : [ { "dropping-particle" : "", "family" : "Rumbaut", "given" : "Rub\u00e9n G", "non-dropping-particle" : "", "parse-names" : false, "suffix" : "" }, { "dropping-particle" : "", "family" : "Ewing", "given" : "Walter A", "non-dropping-particle" : "", "parse-names" : false, "suffix" : "" } ], "id" : "ITEM-1", "issued" : { "date-parts" : [ [ "2007" ] ] }, "publisher-place" : "Washington, D.C.", "title" : "The myth of immigrant criminality and the paradox of assimilation: Incarceration rates among native and foreign-born men", "type" : "report" }, "uris" : [ "http://www.mendeley.com/documents/?uuid=4b18ab93-a6bc-458a-9dbe-37009aeab6ac" ] } ], "mendeley" : { "formattedCitation" : "(Rumbaut and Ewing, 2007)", "plainTextFormattedCitation" : "(Rumbaut and Ewing, 2007)", "previouslyFormattedCitation" : "(Rumbaut and Ewing, 2007)" }, "properties" : { "noteIndex" : 0 }, "schema" : "https://github.com/citation-style-language/schema/raw/master/csl-citation.json" }</w:instrText>
      </w:r>
      <w:r w:rsidRPr="006C0D23">
        <w:rPr>
          <w:color w:val="1F497D" w:themeColor="text2"/>
        </w:rPr>
        <w:fldChar w:fldCharType="separate"/>
      </w:r>
      <w:r w:rsidRPr="006C0D23">
        <w:rPr>
          <w:noProof/>
          <w:color w:val="1F497D" w:themeColor="text2"/>
        </w:rPr>
        <w:t>(Rumbaut and Ewing, 2007)</w:t>
      </w:r>
      <w:r w:rsidRPr="006C0D23">
        <w:rPr>
          <w:color w:val="1F497D" w:themeColor="text2"/>
        </w:rPr>
        <w:fldChar w:fldCharType="end"/>
      </w:r>
      <w:r w:rsidRPr="006C0D23">
        <w:rPr>
          <w:color w:val="1F497D" w:themeColor="text2"/>
        </w:rPr>
        <w:t>.</w:t>
      </w:r>
    </w:p>
  </w:footnote>
  <w:footnote w:id="2">
    <w:p w14:paraId="0F782EF7" w14:textId="1F132217" w:rsidR="007B0542" w:rsidRPr="004A014E" w:rsidRDefault="007B0542">
      <w:pPr>
        <w:pStyle w:val="FootnoteText"/>
        <w:rPr>
          <w:lang w:val="en-US"/>
        </w:rPr>
      </w:pPr>
      <w:r>
        <w:rPr>
          <w:rStyle w:val="FootnoteReference"/>
        </w:rPr>
        <w:footnoteRef/>
      </w:r>
      <w:r>
        <w:t xml:space="preserve"> </w:t>
      </w:r>
      <w:r>
        <w:rPr>
          <w:lang w:val="en-US"/>
        </w:rPr>
        <w:t xml:space="preserve">Weights are applied to samples in order to account for sample bias; using them makes the sample more representative of the population. </w:t>
      </w:r>
    </w:p>
  </w:footnote>
  <w:footnote w:id="3">
    <w:p w14:paraId="52788FC9" w14:textId="5EDDFDCC" w:rsidR="007B0542" w:rsidRDefault="007B0542">
      <w:pPr>
        <w:pStyle w:val="FootnoteText"/>
      </w:pPr>
      <w:r w:rsidRPr="00B76B32">
        <w:rPr>
          <w:rStyle w:val="FootnoteReference"/>
          <w:color w:val="1F497D" w:themeColor="text2"/>
        </w:rPr>
        <w:footnoteRef/>
      </w:r>
      <w:r w:rsidRPr="00B76B32">
        <w:rPr>
          <w:color w:val="1F497D" w:themeColor="text2"/>
        </w:rPr>
        <w:t xml:space="preserve"> Unlike in the US, Asians in the UK specifically refer to those of South Asian ancestry (e.g., Indians, Sri Lankans, Pakistanis, and Bangladeshis).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6BEF" w14:textId="77777777" w:rsidR="00484A96" w:rsidRDefault="00484A96" w:rsidP="00D527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0AE3B" w14:textId="77777777" w:rsidR="00484A96" w:rsidRDefault="00484A96" w:rsidP="00A47A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FFFE" w14:textId="7390A82F" w:rsidR="00484A96" w:rsidRDefault="00484A96" w:rsidP="00D527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A5F">
      <w:rPr>
        <w:rStyle w:val="PageNumber"/>
        <w:noProof/>
      </w:rPr>
      <w:t>1</w:t>
    </w:r>
    <w:r>
      <w:rPr>
        <w:rStyle w:val="PageNumber"/>
      </w:rPr>
      <w:fldChar w:fldCharType="end"/>
    </w:r>
  </w:p>
  <w:p w14:paraId="27A39EDF" w14:textId="77777777" w:rsidR="00484A96" w:rsidRDefault="00484A96" w:rsidP="00A47ACF">
    <w:pPr>
      <w:pStyle w:val="Header"/>
      <w:ind w:right="360"/>
      <w:jc w:val="right"/>
    </w:pPr>
    <w:r>
      <w:t xml:space="preserve">FIRST-GENERATION IMMIGRANTS, JACPR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23315"/>
      <w:docPartObj>
        <w:docPartGallery w:val="Page Numbers (Top of Page)"/>
        <w:docPartUnique/>
      </w:docPartObj>
    </w:sdtPr>
    <w:sdtEndPr>
      <w:rPr>
        <w:noProof/>
      </w:rPr>
    </w:sdtEndPr>
    <w:sdtContent>
      <w:p w14:paraId="01364DD1" w14:textId="5D39F4CF" w:rsidR="007B0542" w:rsidRDefault="007B0542">
        <w:pPr>
          <w:pStyle w:val="Header"/>
          <w:jc w:val="right"/>
        </w:pPr>
        <w:r>
          <w:fldChar w:fldCharType="begin"/>
        </w:r>
        <w:r>
          <w:instrText xml:space="preserve"> PAGE   \* MERGEFORMAT </w:instrText>
        </w:r>
        <w:r>
          <w:fldChar w:fldCharType="separate"/>
        </w:r>
        <w:r w:rsidR="005F7A5F">
          <w:rPr>
            <w:noProof/>
          </w:rPr>
          <w:t>41</w:t>
        </w:r>
        <w:r>
          <w:rPr>
            <w:noProof/>
          </w:rPr>
          <w:fldChar w:fldCharType="end"/>
        </w:r>
      </w:p>
    </w:sdtContent>
  </w:sdt>
  <w:p w14:paraId="1B540140" w14:textId="77777777" w:rsidR="007B0542" w:rsidRDefault="007B0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445D6"/>
    <w:multiLevelType w:val="hybridMultilevel"/>
    <w:tmpl w:val="50B47682"/>
    <w:lvl w:ilvl="0" w:tplc="9FC83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76"/>
    <w:rsid w:val="0001699B"/>
    <w:rsid w:val="0002217C"/>
    <w:rsid w:val="000310E5"/>
    <w:rsid w:val="00032AFB"/>
    <w:rsid w:val="00033BA6"/>
    <w:rsid w:val="0003451F"/>
    <w:rsid w:val="00042AA5"/>
    <w:rsid w:val="00050770"/>
    <w:rsid w:val="00051505"/>
    <w:rsid w:val="000527EF"/>
    <w:rsid w:val="000737EE"/>
    <w:rsid w:val="00073A97"/>
    <w:rsid w:val="00092A56"/>
    <w:rsid w:val="000967A6"/>
    <w:rsid w:val="000A2B48"/>
    <w:rsid w:val="000A435C"/>
    <w:rsid w:val="000A5EAD"/>
    <w:rsid w:val="000B3B59"/>
    <w:rsid w:val="000C432E"/>
    <w:rsid w:val="000D2CA1"/>
    <w:rsid w:val="000D6EB4"/>
    <w:rsid w:val="000F10A1"/>
    <w:rsid w:val="000F2806"/>
    <w:rsid w:val="000F2EBA"/>
    <w:rsid w:val="0011230A"/>
    <w:rsid w:val="00114C13"/>
    <w:rsid w:val="0011536B"/>
    <w:rsid w:val="00116CE5"/>
    <w:rsid w:val="00120C88"/>
    <w:rsid w:val="001443FB"/>
    <w:rsid w:val="001515A8"/>
    <w:rsid w:val="00161AA1"/>
    <w:rsid w:val="001658BF"/>
    <w:rsid w:val="001723C8"/>
    <w:rsid w:val="00180932"/>
    <w:rsid w:val="0018130E"/>
    <w:rsid w:val="0018449B"/>
    <w:rsid w:val="001B4500"/>
    <w:rsid w:val="001C241D"/>
    <w:rsid w:val="001C2554"/>
    <w:rsid w:val="001F427A"/>
    <w:rsid w:val="001F6496"/>
    <w:rsid w:val="00204795"/>
    <w:rsid w:val="002535D1"/>
    <w:rsid w:val="002745BB"/>
    <w:rsid w:val="00294ABF"/>
    <w:rsid w:val="002A3300"/>
    <w:rsid w:val="002B529B"/>
    <w:rsid w:val="002C3559"/>
    <w:rsid w:val="002E4617"/>
    <w:rsid w:val="002F0C58"/>
    <w:rsid w:val="002F42FB"/>
    <w:rsid w:val="002F4BC2"/>
    <w:rsid w:val="00302A9D"/>
    <w:rsid w:val="00303C05"/>
    <w:rsid w:val="00304F26"/>
    <w:rsid w:val="0031273E"/>
    <w:rsid w:val="00313AA7"/>
    <w:rsid w:val="00323953"/>
    <w:rsid w:val="003505F4"/>
    <w:rsid w:val="0035221B"/>
    <w:rsid w:val="00363D91"/>
    <w:rsid w:val="003818E2"/>
    <w:rsid w:val="003848CB"/>
    <w:rsid w:val="003A2EB9"/>
    <w:rsid w:val="003B2230"/>
    <w:rsid w:val="003F7808"/>
    <w:rsid w:val="0042145F"/>
    <w:rsid w:val="0042764C"/>
    <w:rsid w:val="00444827"/>
    <w:rsid w:val="00450162"/>
    <w:rsid w:val="00452333"/>
    <w:rsid w:val="00460AAA"/>
    <w:rsid w:val="00463D24"/>
    <w:rsid w:val="00465D32"/>
    <w:rsid w:val="00470C05"/>
    <w:rsid w:val="00484A96"/>
    <w:rsid w:val="00485DD6"/>
    <w:rsid w:val="004A014E"/>
    <w:rsid w:val="004A2082"/>
    <w:rsid w:val="004A3634"/>
    <w:rsid w:val="004E1EE5"/>
    <w:rsid w:val="004F6905"/>
    <w:rsid w:val="005036AE"/>
    <w:rsid w:val="005061DD"/>
    <w:rsid w:val="005213ED"/>
    <w:rsid w:val="00530B75"/>
    <w:rsid w:val="00537580"/>
    <w:rsid w:val="00542230"/>
    <w:rsid w:val="00542844"/>
    <w:rsid w:val="0055483D"/>
    <w:rsid w:val="005677F6"/>
    <w:rsid w:val="005738F0"/>
    <w:rsid w:val="00574C57"/>
    <w:rsid w:val="00575BDA"/>
    <w:rsid w:val="00581AD6"/>
    <w:rsid w:val="00587AC9"/>
    <w:rsid w:val="005D001F"/>
    <w:rsid w:val="005D5A03"/>
    <w:rsid w:val="005D6A0D"/>
    <w:rsid w:val="005D7731"/>
    <w:rsid w:val="005E33A0"/>
    <w:rsid w:val="005F38A7"/>
    <w:rsid w:val="005F7010"/>
    <w:rsid w:val="005F7141"/>
    <w:rsid w:val="005F7A5F"/>
    <w:rsid w:val="0060250A"/>
    <w:rsid w:val="00644786"/>
    <w:rsid w:val="00653ECE"/>
    <w:rsid w:val="0065765D"/>
    <w:rsid w:val="00661219"/>
    <w:rsid w:val="00666F17"/>
    <w:rsid w:val="006700B5"/>
    <w:rsid w:val="0068040F"/>
    <w:rsid w:val="00684E03"/>
    <w:rsid w:val="006A0102"/>
    <w:rsid w:val="006A2904"/>
    <w:rsid w:val="006C0D23"/>
    <w:rsid w:val="006E213C"/>
    <w:rsid w:val="006E38DB"/>
    <w:rsid w:val="007128BD"/>
    <w:rsid w:val="00722576"/>
    <w:rsid w:val="00727F66"/>
    <w:rsid w:val="00735537"/>
    <w:rsid w:val="00736D7B"/>
    <w:rsid w:val="00743086"/>
    <w:rsid w:val="007521A2"/>
    <w:rsid w:val="00753D23"/>
    <w:rsid w:val="00774DBB"/>
    <w:rsid w:val="00775461"/>
    <w:rsid w:val="007759E0"/>
    <w:rsid w:val="0078080B"/>
    <w:rsid w:val="00782475"/>
    <w:rsid w:val="00790672"/>
    <w:rsid w:val="007A2D32"/>
    <w:rsid w:val="007A6F0D"/>
    <w:rsid w:val="007B0542"/>
    <w:rsid w:val="007B4CEF"/>
    <w:rsid w:val="007C1FDE"/>
    <w:rsid w:val="007D1A3B"/>
    <w:rsid w:val="007D75A7"/>
    <w:rsid w:val="007E694C"/>
    <w:rsid w:val="007F7C11"/>
    <w:rsid w:val="00806C4B"/>
    <w:rsid w:val="00810288"/>
    <w:rsid w:val="00812844"/>
    <w:rsid w:val="00831892"/>
    <w:rsid w:val="00850CD8"/>
    <w:rsid w:val="00851A0A"/>
    <w:rsid w:val="00857177"/>
    <w:rsid w:val="0085786E"/>
    <w:rsid w:val="0086291B"/>
    <w:rsid w:val="00872836"/>
    <w:rsid w:val="00886174"/>
    <w:rsid w:val="008968A6"/>
    <w:rsid w:val="008A0535"/>
    <w:rsid w:val="008A2EDB"/>
    <w:rsid w:val="008B45B2"/>
    <w:rsid w:val="008B6437"/>
    <w:rsid w:val="008C581B"/>
    <w:rsid w:val="008D681E"/>
    <w:rsid w:val="008E16CF"/>
    <w:rsid w:val="00900AC0"/>
    <w:rsid w:val="009130BD"/>
    <w:rsid w:val="009343BB"/>
    <w:rsid w:val="00936FCA"/>
    <w:rsid w:val="009374A1"/>
    <w:rsid w:val="009414FF"/>
    <w:rsid w:val="00975BCD"/>
    <w:rsid w:val="00983B6A"/>
    <w:rsid w:val="00985FA6"/>
    <w:rsid w:val="009C0757"/>
    <w:rsid w:val="009C32D0"/>
    <w:rsid w:val="009C6A98"/>
    <w:rsid w:val="009D00C5"/>
    <w:rsid w:val="009D104F"/>
    <w:rsid w:val="009D3495"/>
    <w:rsid w:val="009D41B9"/>
    <w:rsid w:val="009D541A"/>
    <w:rsid w:val="00A31F7B"/>
    <w:rsid w:val="00A33DAC"/>
    <w:rsid w:val="00A41F60"/>
    <w:rsid w:val="00A50AAB"/>
    <w:rsid w:val="00A57D5A"/>
    <w:rsid w:val="00A62DAF"/>
    <w:rsid w:val="00A646D9"/>
    <w:rsid w:val="00A653EA"/>
    <w:rsid w:val="00A67425"/>
    <w:rsid w:val="00AA2450"/>
    <w:rsid w:val="00AB04D6"/>
    <w:rsid w:val="00AC3F5C"/>
    <w:rsid w:val="00AE3BF1"/>
    <w:rsid w:val="00AE4438"/>
    <w:rsid w:val="00AF341D"/>
    <w:rsid w:val="00AF5F1A"/>
    <w:rsid w:val="00B0140B"/>
    <w:rsid w:val="00B11849"/>
    <w:rsid w:val="00B13FC7"/>
    <w:rsid w:val="00B16AB4"/>
    <w:rsid w:val="00B17FE1"/>
    <w:rsid w:val="00B30503"/>
    <w:rsid w:val="00B328DA"/>
    <w:rsid w:val="00B3435E"/>
    <w:rsid w:val="00B34891"/>
    <w:rsid w:val="00B54AAC"/>
    <w:rsid w:val="00B55566"/>
    <w:rsid w:val="00B55824"/>
    <w:rsid w:val="00B55E1C"/>
    <w:rsid w:val="00B56D03"/>
    <w:rsid w:val="00B6489C"/>
    <w:rsid w:val="00B76B32"/>
    <w:rsid w:val="00B77BF9"/>
    <w:rsid w:val="00B8485F"/>
    <w:rsid w:val="00B862DA"/>
    <w:rsid w:val="00B866B4"/>
    <w:rsid w:val="00B86891"/>
    <w:rsid w:val="00B92274"/>
    <w:rsid w:val="00C14C5E"/>
    <w:rsid w:val="00C237C3"/>
    <w:rsid w:val="00C26ADB"/>
    <w:rsid w:val="00C331FD"/>
    <w:rsid w:val="00C355DA"/>
    <w:rsid w:val="00C41747"/>
    <w:rsid w:val="00C46516"/>
    <w:rsid w:val="00C468CA"/>
    <w:rsid w:val="00C50121"/>
    <w:rsid w:val="00C51FEF"/>
    <w:rsid w:val="00C53836"/>
    <w:rsid w:val="00C53FF4"/>
    <w:rsid w:val="00C71953"/>
    <w:rsid w:val="00C721E2"/>
    <w:rsid w:val="00C91953"/>
    <w:rsid w:val="00C9288C"/>
    <w:rsid w:val="00C97889"/>
    <w:rsid w:val="00CA5B0A"/>
    <w:rsid w:val="00CB3776"/>
    <w:rsid w:val="00CB3E4E"/>
    <w:rsid w:val="00CC1A37"/>
    <w:rsid w:val="00CC27C6"/>
    <w:rsid w:val="00CE3FDE"/>
    <w:rsid w:val="00CF221E"/>
    <w:rsid w:val="00D033D0"/>
    <w:rsid w:val="00D14463"/>
    <w:rsid w:val="00D305C1"/>
    <w:rsid w:val="00D45B2B"/>
    <w:rsid w:val="00D54165"/>
    <w:rsid w:val="00D559AC"/>
    <w:rsid w:val="00D65F24"/>
    <w:rsid w:val="00D74495"/>
    <w:rsid w:val="00D74522"/>
    <w:rsid w:val="00D840A4"/>
    <w:rsid w:val="00D93C8F"/>
    <w:rsid w:val="00D957E6"/>
    <w:rsid w:val="00D95F3E"/>
    <w:rsid w:val="00DA4066"/>
    <w:rsid w:val="00DB4262"/>
    <w:rsid w:val="00DC39CD"/>
    <w:rsid w:val="00DD44EE"/>
    <w:rsid w:val="00DD5647"/>
    <w:rsid w:val="00DD57C7"/>
    <w:rsid w:val="00DF533B"/>
    <w:rsid w:val="00DF5A4F"/>
    <w:rsid w:val="00DF689B"/>
    <w:rsid w:val="00E05F9C"/>
    <w:rsid w:val="00E605D1"/>
    <w:rsid w:val="00E64887"/>
    <w:rsid w:val="00E7342A"/>
    <w:rsid w:val="00E80AC2"/>
    <w:rsid w:val="00E82283"/>
    <w:rsid w:val="00E9456E"/>
    <w:rsid w:val="00EB49EE"/>
    <w:rsid w:val="00EB5F4A"/>
    <w:rsid w:val="00EC3537"/>
    <w:rsid w:val="00ED20CD"/>
    <w:rsid w:val="00ED7AE6"/>
    <w:rsid w:val="00EE05C1"/>
    <w:rsid w:val="00EE635E"/>
    <w:rsid w:val="00EE754B"/>
    <w:rsid w:val="00EF720B"/>
    <w:rsid w:val="00F03C18"/>
    <w:rsid w:val="00F03F3E"/>
    <w:rsid w:val="00F336F3"/>
    <w:rsid w:val="00F36E3C"/>
    <w:rsid w:val="00F44D76"/>
    <w:rsid w:val="00F56BF0"/>
    <w:rsid w:val="00F61062"/>
    <w:rsid w:val="00F82EFB"/>
    <w:rsid w:val="00FA17CE"/>
    <w:rsid w:val="00FA6C62"/>
    <w:rsid w:val="00FB3B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45015F"/>
  <w15:docId w15:val="{A7E01072-39D4-467A-B92F-52CA46F0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ED7AE6"/>
    <w:pPr>
      <w:spacing w:before="100" w:beforeAutospacing="1" w:after="100" w:afterAutospacing="1" w:line="240" w:lineRule="auto"/>
      <w:outlineLvl w:val="4"/>
    </w:pPr>
    <w:rPr>
      <w:rFonts w:ascii="Times" w:eastAsiaTheme="minorEastAsia" w:hAnsi="Time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3776"/>
    <w:pPr>
      <w:spacing w:after="0" w:line="240" w:lineRule="auto"/>
    </w:pPr>
    <w:rPr>
      <w:sz w:val="20"/>
      <w:szCs w:val="20"/>
    </w:rPr>
  </w:style>
  <w:style w:type="character" w:customStyle="1" w:styleId="FootnoteTextChar">
    <w:name w:val="Footnote Text Char"/>
    <w:basedOn w:val="DefaultParagraphFont"/>
    <w:link w:val="FootnoteText"/>
    <w:uiPriority w:val="99"/>
    <w:rsid w:val="00CB3776"/>
    <w:rPr>
      <w:sz w:val="20"/>
      <w:szCs w:val="20"/>
    </w:rPr>
  </w:style>
  <w:style w:type="character" w:styleId="FootnoteReference">
    <w:name w:val="footnote reference"/>
    <w:basedOn w:val="DefaultParagraphFont"/>
    <w:uiPriority w:val="99"/>
    <w:unhideWhenUsed/>
    <w:rsid w:val="00CB3776"/>
    <w:rPr>
      <w:vertAlign w:val="superscript"/>
    </w:rPr>
  </w:style>
  <w:style w:type="paragraph" w:styleId="Header">
    <w:name w:val="header"/>
    <w:basedOn w:val="Normal"/>
    <w:link w:val="HeaderChar"/>
    <w:uiPriority w:val="99"/>
    <w:unhideWhenUsed/>
    <w:rsid w:val="00CB3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76"/>
  </w:style>
  <w:style w:type="paragraph" w:styleId="Footer">
    <w:name w:val="footer"/>
    <w:basedOn w:val="Normal"/>
    <w:link w:val="FooterChar"/>
    <w:uiPriority w:val="99"/>
    <w:unhideWhenUsed/>
    <w:rsid w:val="00CB3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76"/>
  </w:style>
  <w:style w:type="character" w:styleId="Strong">
    <w:name w:val="Strong"/>
    <w:basedOn w:val="DefaultParagraphFont"/>
    <w:uiPriority w:val="22"/>
    <w:qFormat/>
    <w:rsid w:val="007A6F0D"/>
    <w:rPr>
      <w:b/>
      <w:bCs/>
    </w:rPr>
  </w:style>
  <w:style w:type="character" w:customStyle="1" w:styleId="Heading5Char">
    <w:name w:val="Heading 5 Char"/>
    <w:basedOn w:val="DefaultParagraphFont"/>
    <w:link w:val="Heading5"/>
    <w:uiPriority w:val="9"/>
    <w:rsid w:val="00ED7AE6"/>
    <w:rPr>
      <w:rFonts w:ascii="Times" w:eastAsiaTheme="minorEastAsia" w:hAnsi="Times" w:cstheme="minorBidi"/>
      <w:b/>
      <w:bCs/>
      <w:sz w:val="20"/>
      <w:szCs w:val="20"/>
    </w:rPr>
  </w:style>
  <w:style w:type="paragraph" w:styleId="ListParagraph">
    <w:name w:val="List Paragraph"/>
    <w:basedOn w:val="Normal"/>
    <w:uiPriority w:val="34"/>
    <w:qFormat/>
    <w:rsid w:val="00AA2450"/>
    <w:pPr>
      <w:spacing w:after="0" w:line="240" w:lineRule="auto"/>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60250A"/>
    <w:pPr>
      <w:spacing w:before="100" w:beforeAutospacing="1" w:after="100" w:afterAutospacing="1" w:line="240" w:lineRule="auto"/>
    </w:pPr>
    <w:rPr>
      <w:rFonts w:eastAsiaTheme="minorEastAsia"/>
      <w:lang w:val="en-US"/>
    </w:rPr>
  </w:style>
  <w:style w:type="character" w:styleId="PageNumber">
    <w:name w:val="page number"/>
    <w:basedOn w:val="DefaultParagraphFont"/>
    <w:uiPriority w:val="99"/>
    <w:semiHidden/>
    <w:unhideWhenUsed/>
    <w:rsid w:val="0048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96104">
      <w:bodyDiv w:val="1"/>
      <w:marLeft w:val="0"/>
      <w:marRight w:val="0"/>
      <w:marTop w:val="0"/>
      <w:marBottom w:val="0"/>
      <w:divBdr>
        <w:top w:val="none" w:sz="0" w:space="0" w:color="auto"/>
        <w:left w:val="none" w:sz="0" w:space="0" w:color="auto"/>
        <w:bottom w:val="none" w:sz="0" w:space="0" w:color="auto"/>
        <w:right w:val="none" w:sz="0" w:space="0" w:color="auto"/>
      </w:divBdr>
      <w:divsChild>
        <w:div w:id="989751016">
          <w:marLeft w:val="0"/>
          <w:marRight w:val="0"/>
          <w:marTop w:val="0"/>
          <w:marBottom w:val="0"/>
          <w:divBdr>
            <w:top w:val="none" w:sz="0" w:space="0" w:color="auto"/>
            <w:left w:val="none" w:sz="0" w:space="0" w:color="auto"/>
            <w:bottom w:val="none" w:sz="0" w:space="0" w:color="auto"/>
            <w:right w:val="none" w:sz="0" w:space="0" w:color="auto"/>
          </w:divBdr>
          <w:divsChild>
            <w:div w:id="32315534">
              <w:marLeft w:val="0"/>
              <w:marRight w:val="0"/>
              <w:marTop w:val="0"/>
              <w:marBottom w:val="0"/>
              <w:divBdr>
                <w:top w:val="none" w:sz="0" w:space="0" w:color="auto"/>
                <w:left w:val="none" w:sz="0" w:space="0" w:color="auto"/>
                <w:bottom w:val="none" w:sz="0" w:space="0" w:color="auto"/>
                <w:right w:val="none" w:sz="0" w:space="0" w:color="auto"/>
              </w:divBdr>
              <w:divsChild>
                <w:div w:id="1796604679">
                  <w:marLeft w:val="0"/>
                  <w:marRight w:val="0"/>
                  <w:marTop w:val="0"/>
                  <w:marBottom w:val="0"/>
                  <w:divBdr>
                    <w:top w:val="none" w:sz="0" w:space="0" w:color="auto"/>
                    <w:left w:val="none" w:sz="0" w:space="0" w:color="auto"/>
                    <w:bottom w:val="none" w:sz="0" w:space="0" w:color="auto"/>
                    <w:right w:val="none" w:sz="0" w:space="0" w:color="auto"/>
                  </w:divBdr>
                  <w:divsChild>
                    <w:div w:id="739445929">
                      <w:marLeft w:val="0"/>
                      <w:marRight w:val="0"/>
                      <w:marTop w:val="0"/>
                      <w:marBottom w:val="0"/>
                      <w:divBdr>
                        <w:top w:val="none" w:sz="0" w:space="0" w:color="auto"/>
                        <w:left w:val="none" w:sz="0" w:space="0" w:color="auto"/>
                        <w:bottom w:val="none" w:sz="0" w:space="0" w:color="auto"/>
                        <w:right w:val="none" w:sz="0" w:space="0" w:color="auto"/>
                      </w:divBdr>
                      <w:divsChild>
                        <w:div w:id="1928688795">
                          <w:marLeft w:val="0"/>
                          <w:marRight w:val="0"/>
                          <w:marTop w:val="0"/>
                          <w:marBottom w:val="0"/>
                          <w:divBdr>
                            <w:top w:val="none" w:sz="0" w:space="0" w:color="auto"/>
                            <w:left w:val="none" w:sz="0" w:space="0" w:color="auto"/>
                            <w:bottom w:val="none" w:sz="0" w:space="0" w:color="auto"/>
                            <w:right w:val="none" w:sz="0" w:space="0" w:color="auto"/>
                          </w:divBdr>
                          <w:divsChild>
                            <w:div w:id="1212186410">
                              <w:marLeft w:val="0"/>
                              <w:marRight w:val="0"/>
                              <w:marTop w:val="0"/>
                              <w:marBottom w:val="0"/>
                              <w:divBdr>
                                <w:top w:val="none" w:sz="0" w:space="0" w:color="auto"/>
                                <w:left w:val="none" w:sz="0" w:space="0" w:color="auto"/>
                                <w:bottom w:val="none" w:sz="0" w:space="0" w:color="auto"/>
                                <w:right w:val="none" w:sz="0" w:space="0" w:color="auto"/>
                              </w:divBdr>
                              <w:divsChild>
                                <w:div w:id="1833712093">
                                  <w:marLeft w:val="0"/>
                                  <w:marRight w:val="0"/>
                                  <w:marTop w:val="0"/>
                                  <w:marBottom w:val="0"/>
                                  <w:divBdr>
                                    <w:top w:val="none" w:sz="0" w:space="0" w:color="auto"/>
                                    <w:left w:val="none" w:sz="0" w:space="0" w:color="auto"/>
                                    <w:bottom w:val="none" w:sz="0" w:space="0" w:color="auto"/>
                                    <w:right w:val="none" w:sz="0" w:space="0" w:color="auto"/>
                                  </w:divBdr>
                                  <w:divsChild>
                                    <w:div w:id="3393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09164-7E96-4766-8DA0-B70E3F62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26332</Words>
  <Characters>150096</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Andrew Taylor</cp:lastModifiedBy>
  <cp:revision>2</cp:revision>
  <dcterms:created xsi:type="dcterms:W3CDTF">2017-03-31T15:23:00Z</dcterms:created>
  <dcterms:modified xsi:type="dcterms:W3CDTF">2017-03-31T15:23:00Z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16th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16th edition (full note)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16th edition (note)</vt:lpwstr>
  </property>
  <property fmtid="{D5CDD505-2E9C-101B-9397-08002B2CF9AE}" pid="15" name="Mendeley Recent Style Id 6_1">
    <vt:lpwstr>http://www.zotero.org/styles/emerald-harvard</vt:lpwstr>
  </property>
  <property fmtid="{D5CDD505-2E9C-101B-9397-08002B2CF9AE}" pid="16" name="Mendeley Recent Style Name 6_1">
    <vt:lpwstr>Emerald journals (Harvard)</vt:lpwstr>
  </property>
  <property fmtid="{D5CDD505-2E9C-101B-9397-08002B2CF9AE}" pid="17" name="Mendeley Recent Style Id 7_1">
    <vt:lpwstr>http://www.zotero.org/styles/harvard1</vt:lpwstr>
  </property>
  <property fmtid="{D5CDD505-2E9C-101B-9397-08002B2CF9AE}" pid="18" name="Mendeley Recent Style Name 7_1">
    <vt:lpwstr>Harvard Reference format 1 (author-date)</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y fmtid="{D5CDD505-2E9C-101B-9397-08002B2CF9AE}" pid="23" name="Mendeley Citation Style_1">
    <vt:lpwstr>http://www.zotero.org/styles/emerald-harvard</vt:lpwstr>
  </property>
  <property fmtid="{D5CDD505-2E9C-101B-9397-08002B2CF9AE}" pid="24" name="Mendeley User Name_1">
    <vt:lpwstr>lb444@cam.ac.uk@www.mendeley.com</vt:lpwstr>
  </property>
</Properties>
</file>