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74" w:rsidRDefault="00026250" w:rsidP="00E67CEE">
      <w:pPr>
        <w:jc w:val="both"/>
        <w:rPr>
          <w:b/>
          <w:sz w:val="20"/>
          <w:szCs w:val="20"/>
        </w:rPr>
      </w:pPr>
      <w:proofErr w:type="spellStart"/>
      <w:r>
        <w:rPr>
          <w:b/>
          <w:sz w:val="20"/>
          <w:szCs w:val="20"/>
        </w:rPr>
        <w:t>P</w:t>
      </w:r>
      <w:r w:rsidR="002C2374" w:rsidRPr="002C2374">
        <w:rPr>
          <w:b/>
          <w:sz w:val="20"/>
          <w:szCs w:val="20"/>
        </w:rPr>
        <w:t>otentialism</w:t>
      </w:r>
      <w:proofErr w:type="spellEnd"/>
      <w:r w:rsidR="002C2374" w:rsidRPr="002C2374">
        <w:rPr>
          <w:b/>
          <w:sz w:val="20"/>
          <w:szCs w:val="20"/>
        </w:rPr>
        <w:t xml:space="preserve"> in education</w:t>
      </w:r>
    </w:p>
    <w:p w:rsidR="00E16BEE" w:rsidRDefault="00E16BEE" w:rsidP="00E67CEE">
      <w:pPr>
        <w:jc w:val="both"/>
        <w:rPr>
          <w:sz w:val="20"/>
          <w:szCs w:val="20"/>
        </w:rPr>
      </w:pPr>
      <w:r>
        <w:rPr>
          <w:sz w:val="20"/>
          <w:szCs w:val="20"/>
        </w:rPr>
        <w:t xml:space="preserve">Joris </w:t>
      </w:r>
      <w:proofErr w:type="spellStart"/>
      <w:r>
        <w:rPr>
          <w:sz w:val="20"/>
          <w:szCs w:val="20"/>
        </w:rPr>
        <w:t>Vlieghe</w:t>
      </w:r>
      <w:proofErr w:type="spellEnd"/>
    </w:p>
    <w:p w:rsidR="00E16BEE" w:rsidRDefault="00E16BEE" w:rsidP="00E67CEE">
      <w:pPr>
        <w:jc w:val="both"/>
        <w:rPr>
          <w:sz w:val="20"/>
          <w:szCs w:val="20"/>
        </w:rPr>
      </w:pPr>
      <w:r>
        <w:rPr>
          <w:sz w:val="20"/>
          <w:szCs w:val="20"/>
        </w:rPr>
        <w:t>Publisher version of this article:</w:t>
      </w:r>
    </w:p>
    <w:p w:rsidR="002C2374" w:rsidRDefault="001F377E" w:rsidP="00E67CEE">
      <w:pPr>
        <w:jc w:val="both"/>
        <w:rPr>
          <w:sz w:val="20"/>
          <w:szCs w:val="20"/>
        </w:rPr>
      </w:pPr>
      <w:hyperlink r:id="rId4" w:history="1">
        <w:r w:rsidRPr="00C22531">
          <w:rPr>
            <w:rStyle w:val="Hyperlink"/>
            <w:sz w:val="20"/>
            <w:szCs w:val="20"/>
          </w:rPr>
          <w:t>http://www.tandfonline.com/doi/full/10.1080/17449642.2016.1240388</w:t>
        </w:r>
      </w:hyperlink>
      <w:bookmarkStart w:id="0" w:name="_GoBack"/>
      <w:bookmarkEnd w:id="0"/>
    </w:p>
    <w:p w:rsidR="001F377E" w:rsidRDefault="001F377E" w:rsidP="00E67CEE">
      <w:pPr>
        <w:jc w:val="both"/>
        <w:rPr>
          <w:sz w:val="20"/>
          <w:szCs w:val="20"/>
        </w:rPr>
      </w:pPr>
    </w:p>
    <w:p w:rsidR="001F377E" w:rsidRPr="002C2374" w:rsidRDefault="001F377E" w:rsidP="00E67CEE">
      <w:pPr>
        <w:jc w:val="both"/>
        <w:rPr>
          <w:sz w:val="20"/>
          <w:szCs w:val="20"/>
        </w:rPr>
      </w:pPr>
    </w:p>
    <w:p w:rsidR="006A6E2F" w:rsidRPr="002C2374" w:rsidRDefault="00934BED" w:rsidP="00E67CEE">
      <w:pPr>
        <w:jc w:val="both"/>
        <w:rPr>
          <w:sz w:val="20"/>
          <w:szCs w:val="20"/>
        </w:rPr>
      </w:pPr>
      <w:r w:rsidRPr="002C2374">
        <w:rPr>
          <w:sz w:val="20"/>
          <w:szCs w:val="20"/>
        </w:rPr>
        <w:t xml:space="preserve">The following articles are based on papers that were presented during a symposium held in the Philosophy of Education Network of the ECER </w:t>
      </w:r>
      <w:r w:rsidR="00877F97" w:rsidRPr="002C2374">
        <w:rPr>
          <w:sz w:val="20"/>
          <w:szCs w:val="20"/>
        </w:rPr>
        <w:t xml:space="preserve">Conference </w:t>
      </w:r>
      <w:r w:rsidRPr="002C2374">
        <w:rPr>
          <w:sz w:val="20"/>
          <w:szCs w:val="20"/>
        </w:rPr>
        <w:t>(European Conference for Educational Research) at Dublin</w:t>
      </w:r>
      <w:r w:rsidR="00E67CEE">
        <w:rPr>
          <w:sz w:val="20"/>
          <w:szCs w:val="20"/>
        </w:rPr>
        <w:t xml:space="preserve">, </w:t>
      </w:r>
      <w:r w:rsidRPr="002C2374">
        <w:rPr>
          <w:sz w:val="20"/>
          <w:szCs w:val="20"/>
        </w:rPr>
        <w:t>23-26 September</w:t>
      </w:r>
      <w:r w:rsidR="00E67CEE">
        <w:rPr>
          <w:sz w:val="20"/>
          <w:szCs w:val="20"/>
        </w:rPr>
        <w:t xml:space="preserve"> 2016</w:t>
      </w:r>
      <w:r w:rsidRPr="002C2374">
        <w:rPr>
          <w:sz w:val="20"/>
          <w:szCs w:val="20"/>
        </w:rPr>
        <w:t>. Here, five scholars from all over the world</w:t>
      </w:r>
      <w:r w:rsidR="00446004">
        <w:rPr>
          <w:sz w:val="20"/>
          <w:szCs w:val="20"/>
        </w:rPr>
        <w:t>,</w:t>
      </w:r>
      <w:r w:rsidRPr="002C2374">
        <w:rPr>
          <w:sz w:val="20"/>
          <w:szCs w:val="20"/>
        </w:rPr>
        <w:t xml:space="preserve"> addressed the issue of </w:t>
      </w:r>
      <w:proofErr w:type="spellStart"/>
      <w:r w:rsidRPr="00E67CEE">
        <w:rPr>
          <w:i/>
          <w:sz w:val="20"/>
          <w:szCs w:val="20"/>
        </w:rPr>
        <w:t>potentialism</w:t>
      </w:r>
      <w:proofErr w:type="spellEnd"/>
      <w:r w:rsidRPr="002C2374">
        <w:rPr>
          <w:sz w:val="20"/>
          <w:szCs w:val="20"/>
        </w:rPr>
        <w:t xml:space="preserve"> in education. </w:t>
      </w:r>
      <w:r w:rsidR="001668E8" w:rsidRPr="002C2374">
        <w:rPr>
          <w:sz w:val="20"/>
          <w:szCs w:val="20"/>
        </w:rPr>
        <w:t xml:space="preserve">This neologism is meant to describe and articulate a particular understanding of education which is loosely inspired by the work of Giorgio </w:t>
      </w:r>
      <w:proofErr w:type="spellStart"/>
      <w:r w:rsidR="001668E8" w:rsidRPr="002C2374">
        <w:rPr>
          <w:sz w:val="20"/>
          <w:szCs w:val="20"/>
        </w:rPr>
        <w:t>Agamben</w:t>
      </w:r>
      <w:proofErr w:type="spellEnd"/>
      <w:r w:rsidR="006A6E2F" w:rsidRPr="002C2374">
        <w:rPr>
          <w:sz w:val="20"/>
          <w:szCs w:val="20"/>
        </w:rPr>
        <w:t xml:space="preserve"> (1999)</w:t>
      </w:r>
      <w:r w:rsidR="001668E8" w:rsidRPr="002C2374">
        <w:rPr>
          <w:sz w:val="20"/>
          <w:szCs w:val="20"/>
        </w:rPr>
        <w:t xml:space="preserve"> on potentiality – a philosopher who plays a significant role in </w:t>
      </w:r>
      <w:r w:rsidR="00877F97" w:rsidRPr="002C2374">
        <w:rPr>
          <w:sz w:val="20"/>
          <w:szCs w:val="20"/>
        </w:rPr>
        <w:t>the</w:t>
      </w:r>
      <w:r w:rsidR="001668E8" w:rsidRPr="002C2374">
        <w:rPr>
          <w:sz w:val="20"/>
          <w:szCs w:val="20"/>
        </w:rPr>
        <w:t xml:space="preserve"> work</w:t>
      </w:r>
      <w:r w:rsidR="00877F97" w:rsidRPr="002C2374">
        <w:rPr>
          <w:sz w:val="20"/>
          <w:szCs w:val="20"/>
        </w:rPr>
        <w:t xml:space="preserve"> of the authors of the papers published in this is</w:t>
      </w:r>
      <w:r w:rsidR="006A6E2F" w:rsidRPr="002C2374">
        <w:rPr>
          <w:sz w:val="20"/>
          <w:szCs w:val="20"/>
        </w:rPr>
        <w:t>s</w:t>
      </w:r>
      <w:r w:rsidR="00877F97" w:rsidRPr="002C2374">
        <w:rPr>
          <w:sz w:val="20"/>
          <w:szCs w:val="20"/>
        </w:rPr>
        <w:t>ue</w:t>
      </w:r>
      <w:r w:rsidR="001668E8" w:rsidRPr="002C2374">
        <w:rPr>
          <w:sz w:val="20"/>
          <w:szCs w:val="20"/>
        </w:rPr>
        <w:t xml:space="preserve">. </w:t>
      </w:r>
    </w:p>
    <w:p w:rsidR="00934BED" w:rsidRPr="002C2374" w:rsidRDefault="001E3FAD" w:rsidP="00E67CEE">
      <w:pPr>
        <w:jc w:val="both"/>
        <w:rPr>
          <w:sz w:val="20"/>
          <w:szCs w:val="20"/>
        </w:rPr>
      </w:pPr>
      <w:r w:rsidRPr="002C2374">
        <w:rPr>
          <w:sz w:val="20"/>
          <w:szCs w:val="20"/>
        </w:rPr>
        <w:t xml:space="preserve">To give a first indication of what </w:t>
      </w:r>
      <w:proofErr w:type="spellStart"/>
      <w:r w:rsidRPr="002C2374">
        <w:rPr>
          <w:sz w:val="20"/>
          <w:szCs w:val="20"/>
        </w:rPr>
        <w:t>potentialism</w:t>
      </w:r>
      <w:proofErr w:type="spellEnd"/>
      <w:r w:rsidRPr="002C2374">
        <w:rPr>
          <w:sz w:val="20"/>
          <w:szCs w:val="20"/>
        </w:rPr>
        <w:t xml:space="preserve"> is all about, it might be worthwhile to recall</w:t>
      </w:r>
      <w:r w:rsidR="00877F97" w:rsidRPr="002C2374">
        <w:rPr>
          <w:sz w:val="20"/>
          <w:szCs w:val="20"/>
        </w:rPr>
        <w:t xml:space="preserve">, with </w:t>
      </w:r>
      <w:r w:rsidR="00934BED" w:rsidRPr="002C2374">
        <w:rPr>
          <w:sz w:val="20"/>
          <w:szCs w:val="20"/>
        </w:rPr>
        <w:t xml:space="preserve">Klaus </w:t>
      </w:r>
      <w:proofErr w:type="spellStart"/>
      <w:r w:rsidR="00934BED" w:rsidRPr="002C2374">
        <w:rPr>
          <w:sz w:val="20"/>
          <w:szCs w:val="20"/>
        </w:rPr>
        <w:t>Mollenhauer</w:t>
      </w:r>
      <w:proofErr w:type="spellEnd"/>
      <w:r w:rsidR="00934BED" w:rsidRPr="002C2374">
        <w:rPr>
          <w:sz w:val="20"/>
          <w:szCs w:val="20"/>
        </w:rPr>
        <w:t xml:space="preserve"> (2013), that in the archaic societies preceding the invention of the school in the Classical Greek Era there were, strictly speaking, </w:t>
      </w:r>
      <w:r w:rsidR="00934BED" w:rsidRPr="002C2374">
        <w:rPr>
          <w:i/>
          <w:sz w:val="20"/>
          <w:szCs w:val="20"/>
        </w:rPr>
        <w:t>no educational questions</w:t>
      </w:r>
      <w:r w:rsidR="00934BED" w:rsidRPr="002C2374">
        <w:rPr>
          <w:sz w:val="20"/>
          <w:szCs w:val="20"/>
        </w:rPr>
        <w:t xml:space="preserve">. Before that time, upbringing consisted solely in initiating and socializing </w:t>
      </w:r>
      <w:r w:rsidR="00E67CEE">
        <w:rPr>
          <w:sz w:val="20"/>
          <w:szCs w:val="20"/>
        </w:rPr>
        <w:t>the new generation</w:t>
      </w:r>
      <w:r w:rsidR="00E67CEE" w:rsidRPr="002C2374">
        <w:rPr>
          <w:sz w:val="20"/>
          <w:szCs w:val="20"/>
        </w:rPr>
        <w:t xml:space="preserve"> </w:t>
      </w:r>
      <w:r w:rsidR="00934BED" w:rsidRPr="002C2374">
        <w:rPr>
          <w:sz w:val="20"/>
          <w:szCs w:val="20"/>
        </w:rPr>
        <w:t xml:space="preserve">into a given order of things. This is because societal life in archaic times was organized in ways that </w:t>
      </w:r>
      <w:r w:rsidR="00877F97" w:rsidRPr="002C2374">
        <w:rPr>
          <w:sz w:val="20"/>
          <w:szCs w:val="20"/>
        </w:rPr>
        <w:t>were</w:t>
      </w:r>
      <w:r w:rsidR="00934BED" w:rsidRPr="002C2374">
        <w:rPr>
          <w:sz w:val="20"/>
          <w:szCs w:val="20"/>
        </w:rPr>
        <w:t xml:space="preserve"> seen as naturally given, i.e. as unchangeable. Therefore, the sole commitment of the existing generation consisted of introducing </w:t>
      </w:r>
      <w:r w:rsidR="00E67CEE" w:rsidRPr="002C2374">
        <w:rPr>
          <w:sz w:val="20"/>
          <w:szCs w:val="20"/>
        </w:rPr>
        <w:t xml:space="preserve">newcomers </w:t>
      </w:r>
      <w:r w:rsidR="00934BED" w:rsidRPr="002C2374">
        <w:rPr>
          <w:sz w:val="20"/>
          <w:szCs w:val="20"/>
        </w:rPr>
        <w:t xml:space="preserve">into a fixed order of things, and leading them to their one and only destination. Since then, it has become conceivable to </w:t>
      </w:r>
      <w:r w:rsidR="00877F97" w:rsidRPr="002C2374">
        <w:rPr>
          <w:sz w:val="20"/>
          <w:szCs w:val="20"/>
        </w:rPr>
        <w:t>understand</w:t>
      </w:r>
      <w:r w:rsidR="00934BED" w:rsidRPr="002C2374">
        <w:rPr>
          <w:sz w:val="20"/>
          <w:szCs w:val="20"/>
        </w:rPr>
        <w:t xml:space="preserve"> education </w:t>
      </w:r>
      <w:r w:rsidR="00877F97" w:rsidRPr="002C2374">
        <w:rPr>
          <w:sz w:val="20"/>
          <w:szCs w:val="20"/>
        </w:rPr>
        <w:t xml:space="preserve">in terms of </w:t>
      </w:r>
      <w:r w:rsidR="00934BED" w:rsidRPr="002C2374">
        <w:rPr>
          <w:sz w:val="20"/>
          <w:szCs w:val="20"/>
        </w:rPr>
        <w:t xml:space="preserve">the possibility of a (deep) </w:t>
      </w:r>
      <w:r w:rsidR="00934BED" w:rsidRPr="002C2374">
        <w:rPr>
          <w:i/>
          <w:sz w:val="20"/>
          <w:szCs w:val="20"/>
        </w:rPr>
        <w:t>transformation</w:t>
      </w:r>
      <w:r w:rsidR="00934BED" w:rsidRPr="002C2374">
        <w:rPr>
          <w:sz w:val="20"/>
          <w:szCs w:val="20"/>
        </w:rPr>
        <w:t xml:space="preserve"> of who we are – i.e. in terms of (sometimes unpredictable) changes in the way in which we give shape to our individual and collective lives. As such, educational processes cannot be understood without taking into account this profound capacity for change. The question remains, however, </w:t>
      </w:r>
      <w:r w:rsidR="00934BED" w:rsidRPr="002C2374">
        <w:rPr>
          <w:i/>
          <w:sz w:val="20"/>
          <w:szCs w:val="20"/>
        </w:rPr>
        <w:t>how</w:t>
      </w:r>
      <w:r w:rsidR="00934BED" w:rsidRPr="002C2374">
        <w:rPr>
          <w:sz w:val="20"/>
          <w:szCs w:val="20"/>
        </w:rPr>
        <w:t xml:space="preserve"> to theorize this capacity.</w:t>
      </w:r>
    </w:p>
    <w:p w:rsidR="006A6E2F" w:rsidRPr="002C2374" w:rsidRDefault="00934BED" w:rsidP="00E67CEE">
      <w:pPr>
        <w:jc w:val="both"/>
        <w:rPr>
          <w:sz w:val="20"/>
          <w:szCs w:val="20"/>
        </w:rPr>
      </w:pPr>
      <w:r w:rsidRPr="002C2374">
        <w:rPr>
          <w:sz w:val="20"/>
          <w:szCs w:val="20"/>
        </w:rPr>
        <w:t xml:space="preserve">In recent times this has typically happened in terms of </w:t>
      </w:r>
      <w:r w:rsidRPr="002C2374">
        <w:rPr>
          <w:i/>
          <w:sz w:val="20"/>
          <w:szCs w:val="20"/>
        </w:rPr>
        <w:t>development</w:t>
      </w:r>
      <w:r w:rsidRPr="002C2374">
        <w:rPr>
          <w:sz w:val="20"/>
          <w:szCs w:val="20"/>
        </w:rPr>
        <w:t xml:space="preserve"> and </w:t>
      </w:r>
      <w:r w:rsidRPr="002C2374">
        <w:rPr>
          <w:i/>
          <w:sz w:val="20"/>
          <w:szCs w:val="20"/>
        </w:rPr>
        <w:t>self-realization</w:t>
      </w:r>
      <w:r w:rsidRPr="002C2374">
        <w:rPr>
          <w:sz w:val="20"/>
          <w:szCs w:val="20"/>
        </w:rPr>
        <w:t>. This way of looking at education goes together with the growing impact and importance of psychological, medical and neuroscientific paradigms on the one hand, and with the ‘</w:t>
      </w:r>
      <w:proofErr w:type="spellStart"/>
      <w:r w:rsidRPr="002C2374">
        <w:rPr>
          <w:sz w:val="20"/>
          <w:szCs w:val="20"/>
        </w:rPr>
        <w:t>learnification</w:t>
      </w:r>
      <w:proofErr w:type="spellEnd"/>
      <w:r w:rsidRPr="002C2374">
        <w:rPr>
          <w:sz w:val="20"/>
          <w:szCs w:val="20"/>
        </w:rPr>
        <w:t xml:space="preserve">’ of society on the other hand (Cf. </w:t>
      </w:r>
      <w:proofErr w:type="spellStart"/>
      <w:r w:rsidRPr="002C2374">
        <w:rPr>
          <w:sz w:val="20"/>
          <w:szCs w:val="20"/>
        </w:rPr>
        <w:t>Biesta</w:t>
      </w:r>
      <w:proofErr w:type="spellEnd"/>
      <w:r w:rsidRPr="002C2374">
        <w:rPr>
          <w:sz w:val="20"/>
          <w:szCs w:val="20"/>
        </w:rPr>
        <w:t xml:space="preserve"> 2010). </w:t>
      </w:r>
      <w:r w:rsidR="00877F97" w:rsidRPr="002C2374">
        <w:rPr>
          <w:sz w:val="20"/>
          <w:szCs w:val="20"/>
        </w:rPr>
        <w:t>The</w:t>
      </w:r>
      <w:r w:rsidRPr="002C2374">
        <w:rPr>
          <w:sz w:val="20"/>
          <w:szCs w:val="20"/>
        </w:rPr>
        <w:t xml:space="preserve"> </w:t>
      </w:r>
      <w:r w:rsidR="00877F97" w:rsidRPr="002C2374">
        <w:rPr>
          <w:sz w:val="20"/>
          <w:szCs w:val="20"/>
        </w:rPr>
        <w:t>articles</w:t>
      </w:r>
      <w:r w:rsidRPr="002C2374">
        <w:rPr>
          <w:sz w:val="20"/>
          <w:szCs w:val="20"/>
        </w:rPr>
        <w:t xml:space="preserve"> </w:t>
      </w:r>
      <w:r w:rsidR="00877F97" w:rsidRPr="002C2374">
        <w:rPr>
          <w:sz w:val="20"/>
          <w:szCs w:val="20"/>
        </w:rPr>
        <w:t>included in this issue</w:t>
      </w:r>
      <w:r w:rsidRPr="002C2374">
        <w:rPr>
          <w:sz w:val="20"/>
          <w:szCs w:val="20"/>
        </w:rPr>
        <w:t xml:space="preserve"> try to take an alternative and more radical route. With </w:t>
      </w:r>
      <w:proofErr w:type="spellStart"/>
      <w:r w:rsidRPr="002C2374">
        <w:rPr>
          <w:sz w:val="20"/>
          <w:szCs w:val="20"/>
        </w:rPr>
        <w:t>Agamben</w:t>
      </w:r>
      <w:proofErr w:type="spellEnd"/>
      <w:r w:rsidRPr="002C2374">
        <w:rPr>
          <w:sz w:val="20"/>
          <w:szCs w:val="20"/>
        </w:rPr>
        <w:t xml:space="preserve"> (1999), it can be shown that development and self-realization don’t pertain to real transformation. This is because these definitions of education are predicated upon a particular ontology which regards the non-deterministic side of (human) existence in terms of the actualization of possibilities which are already given and which </w:t>
      </w:r>
      <w:r w:rsidR="00E67CEE">
        <w:rPr>
          <w:sz w:val="20"/>
          <w:szCs w:val="20"/>
        </w:rPr>
        <w:t>therefore</w:t>
      </w:r>
      <w:r w:rsidRPr="002C2374">
        <w:rPr>
          <w:sz w:val="20"/>
          <w:szCs w:val="20"/>
        </w:rPr>
        <w:t xml:space="preserve"> </w:t>
      </w:r>
      <w:r w:rsidR="00E67CEE">
        <w:rPr>
          <w:sz w:val="20"/>
          <w:szCs w:val="20"/>
        </w:rPr>
        <w:t>fully define, and limit, the direction in which we can change</w:t>
      </w:r>
      <w:r w:rsidRPr="002C2374">
        <w:rPr>
          <w:sz w:val="20"/>
          <w:szCs w:val="20"/>
        </w:rPr>
        <w:t>.</w:t>
      </w:r>
      <w:r w:rsidR="006A6E2F" w:rsidRPr="002C2374">
        <w:rPr>
          <w:sz w:val="20"/>
          <w:szCs w:val="20"/>
        </w:rPr>
        <w:t xml:space="preserve"> </w:t>
      </w:r>
      <w:r w:rsidRPr="002C2374">
        <w:rPr>
          <w:sz w:val="20"/>
          <w:szCs w:val="20"/>
        </w:rPr>
        <w:t xml:space="preserve">Over and against this, </w:t>
      </w:r>
      <w:proofErr w:type="spellStart"/>
      <w:r w:rsidRPr="002C2374">
        <w:rPr>
          <w:sz w:val="20"/>
          <w:szCs w:val="20"/>
        </w:rPr>
        <w:t>Agamben</w:t>
      </w:r>
      <w:proofErr w:type="spellEnd"/>
      <w:r w:rsidRPr="002C2374">
        <w:rPr>
          <w:sz w:val="20"/>
          <w:szCs w:val="20"/>
        </w:rPr>
        <w:t xml:space="preserve"> has tried to conceive of (human) existence in terms of </w:t>
      </w:r>
      <w:r w:rsidRPr="002C2374">
        <w:rPr>
          <w:i/>
          <w:sz w:val="20"/>
          <w:szCs w:val="20"/>
        </w:rPr>
        <w:t>potentiality</w:t>
      </w:r>
      <w:r w:rsidRPr="002C2374">
        <w:rPr>
          <w:sz w:val="20"/>
          <w:szCs w:val="20"/>
        </w:rPr>
        <w:t xml:space="preserve">, i.e. a capacity for </w:t>
      </w:r>
      <w:r w:rsidR="00E67CEE">
        <w:rPr>
          <w:sz w:val="20"/>
          <w:szCs w:val="20"/>
        </w:rPr>
        <w:t>transformation</w:t>
      </w:r>
      <w:r w:rsidRPr="002C2374">
        <w:rPr>
          <w:sz w:val="20"/>
          <w:szCs w:val="20"/>
        </w:rPr>
        <w:t xml:space="preserve"> which is never exhausted by the full realization (possession, appropriation) of predefined, unique possibilities. Because of the predominance of discourses which reduce education to processes of learning and development, </w:t>
      </w:r>
      <w:r w:rsidR="006A6E2F" w:rsidRPr="002C2374">
        <w:rPr>
          <w:sz w:val="20"/>
          <w:szCs w:val="20"/>
        </w:rPr>
        <w:t xml:space="preserve">the </w:t>
      </w:r>
      <w:r w:rsidR="00446004">
        <w:rPr>
          <w:sz w:val="20"/>
          <w:szCs w:val="20"/>
        </w:rPr>
        <w:t>contributors to</w:t>
      </w:r>
      <w:r w:rsidR="006A6E2F" w:rsidRPr="002C2374">
        <w:rPr>
          <w:sz w:val="20"/>
          <w:szCs w:val="20"/>
        </w:rPr>
        <w:t xml:space="preserve"> the </w:t>
      </w:r>
      <w:proofErr w:type="spellStart"/>
      <w:r w:rsidR="006A6E2F" w:rsidRPr="002C2374">
        <w:rPr>
          <w:sz w:val="20"/>
          <w:szCs w:val="20"/>
        </w:rPr>
        <w:t>potentialism</w:t>
      </w:r>
      <w:proofErr w:type="spellEnd"/>
      <w:r w:rsidR="006A6E2F" w:rsidRPr="002C2374">
        <w:rPr>
          <w:sz w:val="20"/>
          <w:szCs w:val="20"/>
        </w:rPr>
        <w:t xml:space="preserve"> symposium</w:t>
      </w:r>
      <w:r w:rsidRPr="002C2374">
        <w:rPr>
          <w:sz w:val="20"/>
          <w:szCs w:val="20"/>
        </w:rPr>
        <w:t xml:space="preserve"> believe it is of the utmost importance to invent a new way of looking at what is at stake in education. Tentatively, </w:t>
      </w:r>
      <w:r w:rsidR="006A6E2F" w:rsidRPr="002C2374">
        <w:rPr>
          <w:sz w:val="20"/>
          <w:szCs w:val="20"/>
        </w:rPr>
        <w:t>they have</w:t>
      </w:r>
      <w:r w:rsidRPr="002C2374">
        <w:rPr>
          <w:sz w:val="20"/>
          <w:szCs w:val="20"/>
        </w:rPr>
        <w:t xml:space="preserve"> propose</w:t>
      </w:r>
      <w:r w:rsidR="00E67CEE">
        <w:rPr>
          <w:sz w:val="20"/>
          <w:szCs w:val="20"/>
        </w:rPr>
        <w:t>d</w:t>
      </w:r>
      <w:r w:rsidRPr="002C2374">
        <w:rPr>
          <w:sz w:val="20"/>
          <w:szCs w:val="20"/>
        </w:rPr>
        <w:t xml:space="preserve"> to call this new approach </w:t>
      </w:r>
      <w:proofErr w:type="spellStart"/>
      <w:r w:rsidRPr="00E67CEE">
        <w:rPr>
          <w:sz w:val="20"/>
          <w:szCs w:val="20"/>
        </w:rPr>
        <w:t>potentialism</w:t>
      </w:r>
      <w:proofErr w:type="spellEnd"/>
      <w:r w:rsidRPr="002C2374">
        <w:rPr>
          <w:sz w:val="20"/>
          <w:szCs w:val="20"/>
        </w:rPr>
        <w:t>.</w:t>
      </w:r>
    </w:p>
    <w:p w:rsidR="002C2374" w:rsidRDefault="006A6E2F" w:rsidP="00E67CEE">
      <w:pPr>
        <w:jc w:val="both"/>
        <w:rPr>
          <w:sz w:val="20"/>
          <w:szCs w:val="20"/>
        </w:rPr>
      </w:pPr>
      <w:r w:rsidRPr="002C2374">
        <w:rPr>
          <w:sz w:val="20"/>
          <w:szCs w:val="20"/>
        </w:rPr>
        <w:t xml:space="preserve">The articles presented here develop ideas that illustrate what a </w:t>
      </w:r>
      <w:proofErr w:type="spellStart"/>
      <w:r w:rsidRPr="002C2374">
        <w:rPr>
          <w:sz w:val="20"/>
          <w:szCs w:val="20"/>
        </w:rPr>
        <w:t>potentialist</w:t>
      </w:r>
      <w:proofErr w:type="spellEnd"/>
      <w:r w:rsidRPr="002C2374">
        <w:rPr>
          <w:sz w:val="20"/>
          <w:szCs w:val="20"/>
        </w:rPr>
        <w:t xml:space="preserve"> approach could consist of. The first two articles, by Tyson Lewis and Igor </w:t>
      </w:r>
      <w:proofErr w:type="spellStart"/>
      <w:r w:rsidRPr="002C2374">
        <w:rPr>
          <w:sz w:val="20"/>
          <w:szCs w:val="20"/>
        </w:rPr>
        <w:t>Jasinski</w:t>
      </w:r>
      <w:proofErr w:type="spellEnd"/>
      <w:r w:rsidRPr="002C2374">
        <w:rPr>
          <w:sz w:val="20"/>
          <w:szCs w:val="20"/>
        </w:rPr>
        <w:t xml:space="preserve">, address the philosophical problems that are behind a reduction of potentiality to the actualization of an already defined/fixed set of possibilities. They also sketch what an alternative conception might look like, and </w:t>
      </w:r>
      <w:r w:rsidR="00FF568F">
        <w:rPr>
          <w:sz w:val="20"/>
          <w:szCs w:val="20"/>
        </w:rPr>
        <w:t>search</w:t>
      </w:r>
      <w:r w:rsidRPr="002C2374">
        <w:rPr>
          <w:sz w:val="20"/>
          <w:szCs w:val="20"/>
        </w:rPr>
        <w:t xml:space="preserve"> for a new vocabulary to deal with true newness in education. The next two articles zoom in on concrete educational practices. Joris </w:t>
      </w:r>
      <w:proofErr w:type="spellStart"/>
      <w:r w:rsidRPr="002C2374">
        <w:rPr>
          <w:sz w:val="20"/>
          <w:szCs w:val="20"/>
        </w:rPr>
        <w:t>Vlieghe’s</w:t>
      </w:r>
      <w:proofErr w:type="spellEnd"/>
      <w:r w:rsidRPr="002C2374">
        <w:rPr>
          <w:sz w:val="20"/>
          <w:szCs w:val="20"/>
        </w:rPr>
        <w:t xml:space="preserve"> </w:t>
      </w:r>
      <w:r w:rsidR="002C2374" w:rsidRPr="002C2374">
        <w:rPr>
          <w:sz w:val="20"/>
          <w:szCs w:val="20"/>
        </w:rPr>
        <w:t>article</w:t>
      </w:r>
      <w:r w:rsidRPr="002C2374">
        <w:rPr>
          <w:sz w:val="20"/>
          <w:szCs w:val="20"/>
        </w:rPr>
        <w:t xml:space="preserve"> fleshes out the educational meaning of </w:t>
      </w:r>
      <w:r w:rsidR="00174710">
        <w:rPr>
          <w:sz w:val="20"/>
          <w:szCs w:val="20"/>
        </w:rPr>
        <w:t>tiredness</w:t>
      </w:r>
      <w:r w:rsidRPr="002C2374">
        <w:rPr>
          <w:sz w:val="20"/>
          <w:szCs w:val="20"/>
        </w:rPr>
        <w:t xml:space="preserve"> in terms of (</w:t>
      </w:r>
      <w:proofErr w:type="spellStart"/>
      <w:r w:rsidRPr="002C2374">
        <w:rPr>
          <w:sz w:val="20"/>
          <w:szCs w:val="20"/>
        </w:rPr>
        <w:t>im</w:t>
      </w:r>
      <w:proofErr w:type="spellEnd"/>
      <w:r w:rsidRPr="002C2374">
        <w:rPr>
          <w:sz w:val="20"/>
          <w:szCs w:val="20"/>
        </w:rPr>
        <w:t>)</w:t>
      </w:r>
      <w:r w:rsidR="002C2374" w:rsidRPr="002C2374">
        <w:rPr>
          <w:sz w:val="20"/>
          <w:szCs w:val="20"/>
        </w:rPr>
        <w:t xml:space="preserve">potentiality. In </w:t>
      </w:r>
      <w:proofErr w:type="spellStart"/>
      <w:r w:rsidR="002C2374" w:rsidRPr="002C2374">
        <w:rPr>
          <w:sz w:val="20"/>
          <w:szCs w:val="20"/>
        </w:rPr>
        <w:t>Florelle</w:t>
      </w:r>
      <w:proofErr w:type="spellEnd"/>
      <w:r w:rsidR="002C2374" w:rsidRPr="002C2374">
        <w:rPr>
          <w:sz w:val="20"/>
          <w:szCs w:val="20"/>
        </w:rPr>
        <w:t xml:space="preserve"> </w:t>
      </w:r>
      <w:proofErr w:type="spellStart"/>
      <w:r w:rsidR="002C2374" w:rsidRPr="002C2374">
        <w:rPr>
          <w:sz w:val="20"/>
          <w:szCs w:val="20"/>
        </w:rPr>
        <w:t>D’Hoest’s</w:t>
      </w:r>
      <w:proofErr w:type="spellEnd"/>
      <w:r w:rsidR="002C2374" w:rsidRPr="002C2374">
        <w:rPr>
          <w:sz w:val="20"/>
          <w:szCs w:val="20"/>
        </w:rPr>
        <w:t xml:space="preserve"> contribution</w:t>
      </w:r>
      <w:r w:rsidR="00174710">
        <w:rPr>
          <w:sz w:val="20"/>
          <w:szCs w:val="20"/>
        </w:rPr>
        <w:t>,</w:t>
      </w:r>
      <w:r w:rsidR="002C2374" w:rsidRPr="002C2374">
        <w:rPr>
          <w:sz w:val="20"/>
          <w:szCs w:val="20"/>
        </w:rPr>
        <w:t xml:space="preserve"> a </w:t>
      </w:r>
      <w:proofErr w:type="spellStart"/>
      <w:r w:rsidR="002C2374" w:rsidRPr="002C2374">
        <w:rPr>
          <w:sz w:val="20"/>
          <w:szCs w:val="20"/>
        </w:rPr>
        <w:t>potential</w:t>
      </w:r>
      <w:r w:rsidR="00FF568F">
        <w:rPr>
          <w:sz w:val="20"/>
          <w:szCs w:val="20"/>
        </w:rPr>
        <w:t>ist</w:t>
      </w:r>
      <w:proofErr w:type="spellEnd"/>
      <w:r w:rsidR="00FF568F">
        <w:rPr>
          <w:sz w:val="20"/>
          <w:szCs w:val="20"/>
        </w:rPr>
        <w:t xml:space="preserve"> acc</w:t>
      </w:r>
      <w:r w:rsidR="002C2374" w:rsidRPr="002C2374">
        <w:rPr>
          <w:sz w:val="20"/>
          <w:szCs w:val="20"/>
        </w:rPr>
        <w:t xml:space="preserve">ount of teaching philosophy in secondary schools is offered. Although these </w:t>
      </w:r>
      <w:r w:rsidR="00446004">
        <w:rPr>
          <w:sz w:val="20"/>
          <w:szCs w:val="20"/>
        </w:rPr>
        <w:t>contributions are all</w:t>
      </w:r>
      <w:r w:rsidR="002C2374" w:rsidRPr="002C2374">
        <w:rPr>
          <w:sz w:val="20"/>
          <w:szCs w:val="20"/>
        </w:rPr>
        <w:t xml:space="preserve"> </w:t>
      </w:r>
      <w:proofErr w:type="spellStart"/>
      <w:r w:rsidR="002C2374" w:rsidRPr="002C2374">
        <w:rPr>
          <w:sz w:val="20"/>
          <w:szCs w:val="20"/>
        </w:rPr>
        <w:t>Agamben</w:t>
      </w:r>
      <w:r w:rsidR="00446004">
        <w:rPr>
          <w:sz w:val="20"/>
          <w:szCs w:val="20"/>
        </w:rPr>
        <w:t>ian</w:t>
      </w:r>
      <w:proofErr w:type="spellEnd"/>
      <w:r w:rsidR="00446004">
        <w:rPr>
          <w:sz w:val="20"/>
          <w:szCs w:val="20"/>
        </w:rPr>
        <w:t xml:space="preserve"> qua inspiration</w:t>
      </w:r>
      <w:r w:rsidR="002C2374" w:rsidRPr="002C2374">
        <w:rPr>
          <w:sz w:val="20"/>
          <w:szCs w:val="20"/>
        </w:rPr>
        <w:t xml:space="preserve">, they also </w:t>
      </w:r>
      <w:r w:rsidR="00446004">
        <w:rPr>
          <w:sz w:val="20"/>
          <w:szCs w:val="20"/>
        </w:rPr>
        <w:t>rely on</w:t>
      </w:r>
      <w:r w:rsidR="002C2374" w:rsidRPr="002C2374">
        <w:rPr>
          <w:sz w:val="20"/>
          <w:szCs w:val="20"/>
        </w:rPr>
        <w:t xml:space="preserve"> other </w:t>
      </w:r>
      <w:r w:rsidR="00FF568F">
        <w:rPr>
          <w:sz w:val="20"/>
          <w:szCs w:val="20"/>
        </w:rPr>
        <w:t>thinkers</w:t>
      </w:r>
      <w:r w:rsidR="002C2374" w:rsidRPr="002C2374">
        <w:rPr>
          <w:sz w:val="20"/>
          <w:szCs w:val="20"/>
        </w:rPr>
        <w:t xml:space="preserve"> (e.g. classical phenomenologists and Gilles </w:t>
      </w:r>
      <w:proofErr w:type="spellStart"/>
      <w:r w:rsidR="002C2374" w:rsidRPr="002C2374">
        <w:rPr>
          <w:sz w:val="20"/>
          <w:szCs w:val="20"/>
        </w:rPr>
        <w:t>Deleuze</w:t>
      </w:r>
      <w:proofErr w:type="spellEnd"/>
      <w:r w:rsidR="002C2374" w:rsidRPr="002C2374">
        <w:rPr>
          <w:sz w:val="20"/>
          <w:szCs w:val="20"/>
        </w:rPr>
        <w:t xml:space="preserve">) who might be considered as </w:t>
      </w:r>
      <w:r w:rsidR="00FF568F">
        <w:rPr>
          <w:sz w:val="20"/>
          <w:szCs w:val="20"/>
        </w:rPr>
        <w:t xml:space="preserve">equally </w:t>
      </w:r>
      <w:r w:rsidR="002C2374" w:rsidRPr="002C2374">
        <w:rPr>
          <w:sz w:val="20"/>
          <w:szCs w:val="20"/>
        </w:rPr>
        <w:t xml:space="preserve">important resources. It was an explicit aim of the symposium to explore which authors and theoretical stances can be used as a background for developing </w:t>
      </w:r>
      <w:r w:rsidR="00446004">
        <w:rPr>
          <w:sz w:val="20"/>
          <w:szCs w:val="20"/>
        </w:rPr>
        <w:t xml:space="preserve">a </w:t>
      </w:r>
      <w:proofErr w:type="spellStart"/>
      <w:r w:rsidR="00446004">
        <w:rPr>
          <w:sz w:val="20"/>
          <w:szCs w:val="20"/>
        </w:rPr>
        <w:t>potentialist</w:t>
      </w:r>
      <w:proofErr w:type="spellEnd"/>
      <w:r w:rsidR="002C2374" w:rsidRPr="002C2374">
        <w:rPr>
          <w:sz w:val="20"/>
          <w:szCs w:val="20"/>
        </w:rPr>
        <w:t xml:space="preserve"> </w:t>
      </w:r>
      <w:r w:rsidR="002C2374" w:rsidRPr="002C2374">
        <w:rPr>
          <w:sz w:val="20"/>
          <w:szCs w:val="20"/>
        </w:rPr>
        <w:lastRenderedPageBreak/>
        <w:t xml:space="preserve">approach.  The last </w:t>
      </w:r>
      <w:r w:rsidR="00446004">
        <w:rPr>
          <w:sz w:val="20"/>
          <w:szCs w:val="20"/>
        </w:rPr>
        <w:t>contribution</w:t>
      </w:r>
      <w:r w:rsidR="002C2374" w:rsidRPr="002C2374">
        <w:rPr>
          <w:sz w:val="20"/>
          <w:szCs w:val="20"/>
        </w:rPr>
        <w:t xml:space="preserve">, by </w:t>
      </w:r>
      <w:proofErr w:type="spellStart"/>
      <w:r w:rsidR="002C2374" w:rsidRPr="002C2374">
        <w:rPr>
          <w:sz w:val="20"/>
          <w:szCs w:val="20"/>
        </w:rPr>
        <w:t>SunInn</w:t>
      </w:r>
      <w:proofErr w:type="spellEnd"/>
      <w:r w:rsidR="002C2374" w:rsidRPr="002C2374">
        <w:rPr>
          <w:sz w:val="20"/>
          <w:szCs w:val="20"/>
        </w:rPr>
        <w:t xml:space="preserve"> </w:t>
      </w:r>
      <w:r w:rsidR="00174710">
        <w:rPr>
          <w:sz w:val="20"/>
          <w:szCs w:val="20"/>
        </w:rPr>
        <w:t>Y</w:t>
      </w:r>
      <w:r w:rsidR="002C2374" w:rsidRPr="002C2374">
        <w:rPr>
          <w:sz w:val="20"/>
          <w:szCs w:val="20"/>
        </w:rPr>
        <w:t xml:space="preserve">un, draws out interconnections, parallels and differences between the various contributions, and raises critical points and challenges to </w:t>
      </w:r>
      <w:proofErr w:type="spellStart"/>
      <w:r w:rsidR="002C2374" w:rsidRPr="002C2374">
        <w:rPr>
          <w:sz w:val="20"/>
          <w:szCs w:val="20"/>
        </w:rPr>
        <w:t>potentialism</w:t>
      </w:r>
      <w:proofErr w:type="spellEnd"/>
      <w:r w:rsidR="002C2374" w:rsidRPr="002C2374">
        <w:rPr>
          <w:sz w:val="20"/>
          <w:szCs w:val="20"/>
        </w:rPr>
        <w:t xml:space="preserve"> in education. The participants of the symposium are particularly grateful to her for </w:t>
      </w:r>
      <w:r w:rsidR="00174710">
        <w:rPr>
          <w:sz w:val="20"/>
          <w:szCs w:val="20"/>
        </w:rPr>
        <w:t xml:space="preserve">delivering </w:t>
      </w:r>
      <w:r w:rsidR="002C2374" w:rsidRPr="002C2374">
        <w:rPr>
          <w:sz w:val="20"/>
          <w:szCs w:val="20"/>
        </w:rPr>
        <w:t>an excellent and very detailed response to their papers.</w:t>
      </w:r>
    </w:p>
    <w:p w:rsidR="006B5AA3" w:rsidRPr="002C2374" w:rsidRDefault="006B5AA3" w:rsidP="00E67CEE">
      <w:pPr>
        <w:jc w:val="both"/>
        <w:rPr>
          <w:sz w:val="20"/>
          <w:szCs w:val="20"/>
        </w:rPr>
      </w:pPr>
    </w:p>
    <w:p w:rsidR="002C2374" w:rsidRPr="002C2374" w:rsidRDefault="002C2374" w:rsidP="00E67CEE">
      <w:pPr>
        <w:jc w:val="both"/>
        <w:rPr>
          <w:b/>
          <w:sz w:val="20"/>
          <w:szCs w:val="20"/>
        </w:rPr>
      </w:pPr>
      <w:r w:rsidRPr="002C2374">
        <w:rPr>
          <w:b/>
          <w:sz w:val="20"/>
          <w:szCs w:val="20"/>
        </w:rPr>
        <w:t>References</w:t>
      </w:r>
    </w:p>
    <w:p w:rsidR="00934BED" w:rsidRPr="002C2374" w:rsidRDefault="00934BED" w:rsidP="00E67CEE">
      <w:pPr>
        <w:pStyle w:val="Predeterminado"/>
        <w:jc w:val="both"/>
        <w:rPr>
          <w:rFonts w:asciiTheme="minorHAnsi" w:hAnsiTheme="minorHAnsi"/>
          <w:sz w:val="20"/>
          <w:szCs w:val="20"/>
        </w:rPr>
      </w:pPr>
      <w:r w:rsidRPr="002C2374">
        <w:rPr>
          <w:rFonts w:asciiTheme="minorHAnsi" w:hAnsiTheme="minorHAnsi"/>
          <w:sz w:val="20"/>
          <w:szCs w:val="20"/>
        </w:rPr>
        <w:t xml:space="preserve">Agamben, Giorgio (1999). </w:t>
      </w:r>
      <w:r w:rsidRPr="002C2374">
        <w:rPr>
          <w:rFonts w:asciiTheme="minorHAnsi" w:hAnsiTheme="minorHAnsi"/>
          <w:i/>
          <w:sz w:val="20"/>
          <w:szCs w:val="20"/>
        </w:rPr>
        <w:t xml:space="preserve">Potentialities. Collected essays in philosophy </w:t>
      </w:r>
      <w:r w:rsidRPr="002C2374">
        <w:rPr>
          <w:rFonts w:asciiTheme="minorHAnsi" w:hAnsiTheme="minorHAnsi"/>
          <w:sz w:val="20"/>
          <w:szCs w:val="20"/>
        </w:rPr>
        <w:t>(D. Heller-Roazen, Trans.). Stanford: Stanford University Press.</w:t>
      </w:r>
    </w:p>
    <w:p w:rsidR="00934BED" w:rsidRPr="002C2374" w:rsidRDefault="00934BED" w:rsidP="00E67CEE">
      <w:pPr>
        <w:pStyle w:val="Predeterminado"/>
        <w:jc w:val="both"/>
        <w:rPr>
          <w:rFonts w:asciiTheme="minorHAnsi" w:hAnsiTheme="minorHAnsi"/>
          <w:sz w:val="20"/>
          <w:szCs w:val="20"/>
          <w:lang w:val="en-GB"/>
        </w:rPr>
      </w:pPr>
      <w:proofErr w:type="spellStart"/>
      <w:r w:rsidRPr="002C2374">
        <w:rPr>
          <w:rFonts w:asciiTheme="minorHAnsi" w:hAnsiTheme="minorHAnsi"/>
          <w:sz w:val="20"/>
          <w:szCs w:val="20"/>
          <w:lang w:val="en-GB"/>
        </w:rPr>
        <w:t>Biesta</w:t>
      </w:r>
      <w:proofErr w:type="spellEnd"/>
      <w:r w:rsidRPr="002C2374">
        <w:rPr>
          <w:rFonts w:asciiTheme="minorHAnsi" w:hAnsiTheme="minorHAnsi"/>
          <w:sz w:val="20"/>
          <w:szCs w:val="20"/>
          <w:lang w:val="en-GB"/>
        </w:rPr>
        <w:t xml:space="preserve">, G.J.J. (2010). </w:t>
      </w:r>
      <w:r w:rsidRPr="002C2374">
        <w:rPr>
          <w:rFonts w:asciiTheme="minorHAnsi" w:hAnsiTheme="minorHAnsi"/>
          <w:i/>
          <w:iCs/>
          <w:sz w:val="20"/>
          <w:szCs w:val="20"/>
          <w:lang w:val="en-GB"/>
        </w:rPr>
        <w:t xml:space="preserve">Good Education in an Age of Measurement. </w:t>
      </w:r>
      <w:r w:rsidRPr="002C2374">
        <w:rPr>
          <w:rFonts w:asciiTheme="minorHAnsi" w:hAnsiTheme="minorHAnsi"/>
          <w:sz w:val="20"/>
          <w:szCs w:val="20"/>
          <w:lang w:val="en-GB"/>
        </w:rPr>
        <w:t>Boulder (CO): Paradigm Publishers</w:t>
      </w:r>
    </w:p>
    <w:p w:rsidR="00934BED" w:rsidRDefault="00934BED" w:rsidP="00E67CEE">
      <w:pPr>
        <w:pStyle w:val="Predeterminado"/>
        <w:jc w:val="both"/>
        <w:rPr>
          <w:rFonts w:asciiTheme="minorHAnsi" w:hAnsiTheme="minorHAnsi"/>
          <w:sz w:val="20"/>
          <w:szCs w:val="20"/>
          <w:lang w:val="de-DE"/>
        </w:rPr>
      </w:pPr>
      <w:r w:rsidRPr="002C2374">
        <w:rPr>
          <w:rFonts w:asciiTheme="minorHAnsi" w:hAnsiTheme="minorHAnsi"/>
          <w:sz w:val="20"/>
          <w:szCs w:val="20"/>
          <w:lang w:val="de-DE"/>
        </w:rPr>
        <w:t xml:space="preserve">Mollenhauer, K. (2013). </w:t>
      </w:r>
      <w:r w:rsidRPr="002C2374">
        <w:rPr>
          <w:rFonts w:asciiTheme="minorHAnsi" w:hAnsiTheme="minorHAnsi"/>
          <w:i/>
          <w:sz w:val="20"/>
          <w:szCs w:val="20"/>
          <w:lang w:val="de-DE"/>
        </w:rPr>
        <w:t xml:space="preserve">Forgotten Connections: On Culture and Upbringing </w:t>
      </w:r>
      <w:r w:rsidRPr="002C2374">
        <w:rPr>
          <w:rFonts w:asciiTheme="minorHAnsi" w:hAnsiTheme="minorHAnsi"/>
          <w:sz w:val="20"/>
          <w:szCs w:val="20"/>
          <w:lang w:val="de-DE"/>
        </w:rPr>
        <w:t>(N. Friesen, Trans.). London: Routledge</w:t>
      </w:r>
    </w:p>
    <w:p w:rsidR="007677B8" w:rsidRDefault="007677B8" w:rsidP="00E67CEE">
      <w:pPr>
        <w:jc w:val="both"/>
      </w:pPr>
    </w:p>
    <w:sectPr w:rsidR="007677B8" w:rsidSect="007677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applyBreakingRules/>
    <w:compatSetting w:name="compatibilityMode" w:uri="http://schemas.microsoft.com/office/word" w:val="12"/>
  </w:compat>
  <w:rsids>
    <w:rsidRoot w:val="00934BED"/>
    <w:rsid w:val="00026250"/>
    <w:rsid w:val="00113465"/>
    <w:rsid w:val="001668E8"/>
    <w:rsid w:val="00174710"/>
    <w:rsid w:val="001D5087"/>
    <w:rsid w:val="001E3FAD"/>
    <w:rsid w:val="001F377E"/>
    <w:rsid w:val="002C2374"/>
    <w:rsid w:val="00446004"/>
    <w:rsid w:val="006A6E2F"/>
    <w:rsid w:val="006B5AA3"/>
    <w:rsid w:val="007677B8"/>
    <w:rsid w:val="00877F97"/>
    <w:rsid w:val="00934BED"/>
    <w:rsid w:val="00E16BEE"/>
    <w:rsid w:val="00E67CEE"/>
    <w:rsid w:val="00FF56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5E88"/>
  <w15:docId w15:val="{1B78F1BD-D1C9-474A-BDA6-2501A21C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934BED"/>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redeterminado">
    <w:name w:val="Predeterminado"/>
    <w:rsid w:val="00934BED"/>
    <w:pPr>
      <w:widowControl w:val="0"/>
      <w:tabs>
        <w:tab w:val="left" w:pos="709"/>
      </w:tabs>
      <w:suppressAutoHyphens/>
    </w:pPr>
    <w:rPr>
      <w:rFonts w:ascii="Liberation Serif" w:eastAsia="Droid Sans Fallback" w:hAnsi="Liberation Serif" w:cs="FreeSans"/>
      <w:sz w:val="24"/>
      <w:szCs w:val="24"/>
      <w:lang w:val="es-ES" w:eastAsia="zh-CN" w:bidi="hi-IN"/>
    </w:rPr>
  </w:style>
  <w:style w:type="character" w:styleId="Hyperlink">
    <w:name w:val="Hyperlink"/>
    <w:basedOn w:val="Standaardalinea-lettertype"/>
    <w:uiPriority w:val="99"/>
    <w:unhideWhenUsed/>
    <w:rsid w:val="001F3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andfonline.com/doi/full/10.1080/17449642.2016.1240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4384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dc:creator>
  <cp:keywords/>
  <dc:description/>
  <cp:lastModifiedBy>Joris</cp:lastModifiedBy>
  <cp:revision>2</cp:revision>
  <dcterms:created xsi:type="dcterms:W3CDTF">2016-11-10T22:36:00Z</dcterms:created>
  <dcterms:modified xsi:type="dcterms:W3CDTF">2016-11-10T22:36:00Z</dcterms:modified>
</cp:coreProperties>
</file>