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F0E" w:rsidRPr="00E971E6" w:rsidRDefault="00A76F0E" w:rsidP="00A76F0E">
      <w:pPr>
        <w:pStyle w:val="AT"/>
        <w:spacing w:line="480" w:lineRule="auto"/>
        <w:rPr>
          <w:color w:val="auto"/>
        </w:rPr>
      </w:pPr>
      <w:r w:rsidRPr="00E971E6">
        <w:rPr>
          <w:color w:val="auto"/>
        </w:rPr>
        <w:t>Can Microfinance Alleviate Poverty? A Mixed-Methods Study in Rural Pakistan</w:t>
      </w:r>
    </w:p>
    <w:p w:rsidR="00A76F0E" w:rsidRPr="00E971E6" w:rsidRDefault="00A76F0E" w:rsidP="00A76F0E">
      <w:pPr>
        <w:pStyle w:val="AU"/>
        <w:spacing w:line="480" w:lineRule="auto"/>
        <w:rPr>
          <w:b/>
          <w:color w:val="auto"/>
        </w:rPr>
      </w:pPr>
      <w:r w:rsidRPr="00E971E6">
        <w:rPr>
          <w:b/>
          <w:color w:val="auto"/>
        </w:rPr>
        <w:t>Asad K. Ghalib</w:t>
      </w:r>
    </w:p>
    <w:p w:rsidR="00A76F0E" w:rsidRPr="00E971E6" w:rsidRDefault="00A76F0E" w:rsidP="00A76F0E">
      <w:pPr>
        <w:pStyle w:val="AF"/>
        <w:spacing w:line="480" w:lineRule="auto"/>
      </w:pPr>
      <w:r w:rsidRPr="00E971E6">
        <w:t>Liverpool Hope University, UK; University of Manchester, UK</w:t>
      </w:r>
    </w:p>
    <w:p w:rsidR="00A76F0E" w:rsidRPr="00E971E6" w:rsidRDefault="00A76F0E" w:rsidP="00A76F0E">
      <w:pPr>
        <w:pStyle w:val="ABKWH"/>
        <w:spacing w:line="480" w:lineRule="auto"/>
        <w:rPr>
          <w:b/>
          <w:color w:val="auto"/>
        </w:rPr>
      </w:pPr>
      <w:r w:rsidRPr="00E971E6">
        <w:rPr>
          <w:b/>
          <w:color w:val="auto"/>
        </w:rPr>
        <w:t>Discipline</w:t>
      </w:r>
    </w:p>
    <w:p w:rsidR="00A76F0E" w:rsidRPr="00E971E6" w:rsidRDefault="00A76F0E" w:rsidP="00A76F0E">
      <w:pPr>
        <w:pStyle w:val="ABKW"/>
        <w:spacing w:line="480" w:lineRule="auto"/>
      </w:pPr>
      <w:r w:rsidRPr="00E971E6">
        <w:t>Economics [D16]</w:t>
      </w:r>
      <w:r>
        <w:t>,</w:t>
      </w:r>
      <w:r w:rsidRPr="00153834">
        <w:t xml:space="preserve"> </w:t>
      </w:r>
      <w:r w:rsidRPr="00E971E6">
        <w:t>Social Policy and Public Policy [D6]</w:t>
      </w:r>
    </w:p>
    <w:p w:rsidR="00A76F0E" w:rsidRPr="00E971E6" w:rsidRDefault="00A76F0E" w:rsidP="00A76F0E">
      <w:pPr>
        <w:pStyle w:val="ABKWH"/>
        <w:spacing w:line="480" w:lineRule="auto"/>
        <w:rPr>
          <w:b/>
          <w:color w:val="auto"/>
        </w:rPr>
      </w:pPr>
      <w:r w:rsidRPr="00E971E6">
        <w:rPr>
          <w:b/>
          <w:color w:val="auto"/>
        </w:rPr>
        <w:t>Academic Level</w:t>
      </w:r>
    </w:p>
    <w:p w:rsidR="00A76F0E" w:rsidRPr="00E971E6" w:rsidRDefault="00A76F0E" w:rsidP="00A76F0E">
      <w:pPr>
        <w:pStyle w:val="ABKW"/>
        <w:spacing w:line="480" w:lineRule="auto"/>
      </w:pPr>
      <w:r w:rsidRPr="00E971E6">
        <w:t>Advanced Undergraduate</w:t>
      </w:r>
      <w:r>
        <w:t>, Postgraduate</w:t>
      </w:r>
    </w:p>
    <w:p w:rsidR="00A76F0E" w:rsidRPr="00E971E6" w:rsidRDefault="00A76F0E" w:rsidP="00A76F0E">
      <w:pPr>
        <w:pStyle w:val="ABKWH"/>
        <w:spacing w:line="480" w:lineRule="auto"/>
        <w:rPr>
          <w:b/>
          <w:color w:val="auto"/>
        </w:rPr>
      </w:pPr>
      <w:r w:rsidRPr="00E971E6">
        <w:rPr>
          <w:b/>
          <w:color w:val="auto"/>
        </w:rPr>
        <w:t>Contributor Biography</w:t>
      </w:r>
    </w:p>
    <w:p w:rsidR="00A76F0E" w:rsidRPr="00E971E6" w:rsidRDefault="00A76F0E" w:rsidP="00A76F0E">
      <w:pPr>
        <w:pStyle w:val="ABKW"/>
        <w:spacing w:line="480" w:lineRule="auto"/>
      </w:pPr>
      <w:r w:rsidRPr="00E971E6">
        <w:rPr>
          <w:b/>
        </w:rPr>
        <w:t>Asad K. Ghalib</w:t>
      </w:r>
      <w:r w:rsidRPr="00153834">
        <w:t xml:space="preserve"> </w:t>
      </w:r>
      <w:r w:rsidRPr="00E971E6">
        <w:t xml:space="preserve">is a lecturer in management sciences in the Business School at Liverpool Hope University and an </w:t>
      </w:r>
      <w:r>
        <w:t xml:space="preserve">Honorary Fellow of the Global </w:t>
      </w:r>
      <w:r>
        <w:t xml:space="preserve">Development </w:t>
      </w:r>
      <w:r w:rsidRPr="00E971E6">
        <w:t>Institute</w:t>
      </w:r>
      <w:r w:rsidRPr="00E971E6">
        <w:t xml:space="preserve"> at The University of Manchester, UK. Previously, he has held various positions with a number of international research and academic institutes around the world. His principal research interests lie broadly within international development and more specifically in issues related to various models, methods, and techniques related to gauging the socioeconomic impact of social protection models.</w:t>
      </w:r>
    </w:p>
    <w:p w:rsidR="00A76F0E" w:rsidRPr="00E971E6" w:rsidRDefault="00A76F0E" w:rsidP="00A76F0E">
      <w:pPr>
        <w:pStyle w:val="ABKWH"/>
        <w:spacing w:line="480" w:lineRule="auto"/>
        <w:rPr>
          <w:b/>
          <w:color w:val="auto"/>
        </w:rPr>
      </w:pPr>
      <w:r w:rsidRPr="00E971E6">
        <w:rPr>
          <w:b/>
          <w:color w:val="auto"/>
        </w:rPr>
        <w:t>Abstract</w:t>
      </w:r>
    </w:p>
    <w:p w:rsidR="00A76F0E" w:rsidRPr="00E971E6" w:rsidRDefault="00A76F0E" w:rsidP="00A76F0E">
      <w:pPr>
        <w:pStyle w:val="ABKW"/>
        <w:spacing w:line="480" w:lineRule="auto"/>
      </w:pPr>
      <w:r w:rsidRPr="00E971E6">
        <w:lastRenderedPageBreak/>
        <w:t>I embarked on a doctoral study in 2006 to assess two things: first, which categories of the poor are being served by microfinance institutions: are they the very poor, middle poor, or less poor ones? Second, whether household access to microfinance reduces poverty, and if so, to what extent and across which dimensions of well</w:t>
      </w:r>
      <w:r w:rsidRPr="00153834">
        <w:t>-</w:t>
      </w:r>
      <w:r w:rsidRPr="00E971E6">
        <w:t>being. The study was based on direct observations and primary data gathered from semi-structured interviews of 1,132 households across 11 districts in the rural areas of the province of Punjab in Pakistan. Methodologically, the research employed a quasi-experimental research design which employed data collected by interviewing both borrower (treatment) and non-borrower (control) households. Sample selection biases were controlled by matching propensity scores.</w:t>
      </w:r>
    </w:p>
    <w:p w:rsidR="00A76F0E" w:rsidRPr="00E971E6" w:rsidRDefault="00A76F0E" w:rsidP="00A76F0E">
      <w:pPr>
        <w:pStyle w:val="ABKW"/>
        <w:spacing w:line="480" w:lineRule="auto"/>
      </w:pPr>
      <w:r w:rsidRPr="00E971E6">
        <w:t>This case discusses the limitations of using either qualitative or quantitative data alone to interpret survey responses and observations from the field. It explains how and why the mixed-methods approach offers a solution to this predicament. The case study develops further to provide a detailed account of how the mixed-methods approach was used to collect, analyze, and interpret qualitative and quantitative data. Within mixed methods, the case goes on to explain the triangulation approach to analyzing data. It also discusses, among other aspects, the significance of pilot testing a survey instrument prior to launching a full-scale survey.</w:t>
      </w:r>
    </w:p>
    <w:p w:rsidR="00A76F0E" w:rsidRPr="00E971E6" w:rsidRDefault="00A76F0E" w:rsidP="00A76F0E">
      <w:pPr>
        <w:pStyle w:val="ABKWH"/>
        <w:spacing w:line="480" w:lineRule="auto"/>
        <w:rPr>
          <w:b/>
          <w:color w:val="auto"/>
        </w:rPr>
      </w:pPr>
      <w:r w:rsidRPr="00E971E6">
        <w:rPr>
          <w:b/>
          <w:color w:val="auto"/>
        </w:rPr>
        <w:t>Learning Outcomes</w:t>
      </w:r>
    </w:p>
    <w:p w:rsidR="00A76F0E" w:rsidRPr="00E971E6" w:rsidRDefault="00A76F0E" w:rsidP="00A76F0E">
      <w:pPr>
        <w:pStyle w:val="ABKW"/>
        <w:spacing w:line="480" w:lineRule="auto"/>
      </w:pPr>
      <w:r w:rsidRPr="00E971E6">
        <w:t>By the end of the case, students should be able to</w:t>
      </w:r>
    </w:p>
    <w:p w:rsidR="00A76F0E" w:rsidRPr="00E971E6" w:rsidRDefault="00A76F0E" w:rsidP="00A76F0E">
      <w:pPr>
        <w:pStyle w:val="BL"/>
        <w:spacing w:line="480" w:lineRule="auto"/>
        <w:rPr>
          <w:color w:val="auto"/>
        </w:rPr>
      </w:pPr>
      <w:r w:rsidRPr="00E971E6">
        <w:rPr>
          <w:color w:val="auto"/>
        </w:rPr>
        <w:t>• Have a better understanding of the rationale behind using mixed methods</w:t>
      </w:r>
    </w:p>
    <w:p w:rsidR="00A76F0E" w:rsidRPr="00E971E6" w:rsidRDefault="00A76F0E" w:rsidP="00A76F0E">
      <w:pPr>
        <w:pStyle w:val="BL"/>
        <w:spacing w:line="480" w:lineRule="auto"/>
        <w:rPr>
          <w:color w:val="auto"/>
        </w:rPr>
      </w:pPr>
      <w:r w:rsidRPr="00E971E6">
        <w:rPr>
          <w:color w:val="auto"/>
        </w:rPr>
        <w:t>• Comprehend the limitations faced by using either quantitative or qualitative methods in research</w:t>
      </w:r>
    </w:p>
    <w:p w:rsidR="00A76F0E" w:rsidRPr="00E971E6" w:rsidRDefault="00A76F0E" w:rsidP="00A76F0E">
      <w:pPr>
        <w:pStyle w:val="BL"/>
        <w:spacing w:line="480" w:lineRule="auto"/>
        <w:rPr>
          <w:color w:val="auto"/>
        </w:rPr>
      </w:pPr>
      <w:r w:rsidRPr="00E971E6">
        <w:rPr>
          <w:color w:val="auto"/>
        </w:rPr>
        <w:lastRenderedPageBreak/>
        <w:t>• Appreciate the use of both quantitative and qualitative methods to form a well-rounded opinion of the study in question</w:t>
      </w:r>
    </w:p>
    <w:p w:rsidR="00A76F0E" w:rsidRPr="00E971E6" w:rsidRDefault="00A76F0E" w:rsidP="00A76F0E">
      <w:pPr>
        <w:pStyle w:val="BL"/>
        <w:spacing w:line="480" w:lineRule="auto"/>
        <w:rPr>
          <w:color w:val="auto"/>
        </w:rPr>
      </w:pPr>
      <w:r w:rsidRPr="00E971E6">
        <w:rPr>
          <w:color w:val="auto"/>
        </w:rPr>
        <w:t>• Have a</w:t>
      </w:r>
      <w:r>
        <w:rPr>
          <w:color w:val="auto"/>
        </w:rPr>
        <w:t>n understanding</w:t>
      </w:r>
      <w:r w:rsidRPr="00E971E6">
        <w:rPr>
          <w:color w:val="auto"/>
        </w:rPr>
        <w:t xml:space="preserve"> of </w:t>
      </w:r>
      <w:r>
        <w:rPr>
          <w:color w:val="auto"/>
        </w:rPr>
        <w:t>the basic</w:t>
      </w:r>
      <w:r w:rsidRPr="00E971E6">
        <w:rPr>
          <w:color w:val="auto"/>
        </w:rPr>
        <w:t xml:space="preserve"> mixed-methods designs and a detailed knowledge of how </w:t>
      </w:r>
      <w:r>
        <w:rPr>
          <w:color w:val="auto"/>
        </w:rPr>
        <w:t xml:space="preserve">and why </w:t>
      </w:r>
      <w:r w:rsidRPr="00E971E6">
        <w:rPr>
          <w:color w:val="auto"/>
        </w:rPr>
        <w:t>triangulation is applied</w:t>
      </w:r>
    </w:p>
    <w:p w:rsidR="00A76F0E" w:rsidRPr="00E971E6" w:rsidRDefault="00A76F0E" w:rsidP="00A76F0E">
      <w:pPr>
        <w:pStyle w:val="BL"/>
        <w:spacing w:line="480" w:lineRule="auto"/>
        <w:rPr>
          <w:color w:val="auto"/>
        </w:rPr>
      </w:pPr>
      <w:r w:rsidRPr="00E971E6">
        <w:rPr>
          <w:color w:val="auto"/>
        </w:rPr>
        <w:t>• Understand and appreciate the importance of pilot testing a questionnaire before launching a full-scale survey in the field</w:t>
      </w:r>
    </w:p>
    <w:p w:rsidR="00A76F0E" w:rsidRPr="00E971E6" w:rsidRDefault="00A76F0E" w:rsidP="00A76F0E">
      <w:pPr>
        <w:pStyle w:val="ABKWH"/>
        <w:spacing w:line="480" w:lineRule="auto"/>
        <w:rPr>
          <w:b/>
          <w:color w:val="auto"/>
        </w:rPr>
      </w:pPr>
      <w:r w:rsidRPr="00E971E6">
        <w:rPr>
          <w:b/>
          <w:color w:val="auto"/>
        </w:rPr>
        <w:t>Case Study</w:t>
      </w:r>
    </w:p>
    <w:p w:rsidR="00A76F0E" w:rsidRPr="00E971E6" w:rsidRDefault="00A76F0E" w:rsidP="00A76F0E">
      <w:pPr>
        <w:pStyle w:val="H1"/>
        <w:spacing w:line="480" w:lineRule="auto"/>
        <w:jc w:val="center"/>
        <w:rPr>
          <w:b/>
          <w:color w:val="auto"/>
        </w:rPr>
      </w:pPr>
      <w:r w:rsidRPr="00E971E6">
        <w:rPr>
          <w:b/>
          <w:color w:val="auto"/>
        </w:rPr>
        <w:t>Research Objectives and Practicalities</w:t>
      </w:r>
    </w:p>
    <w:p w:rsidR="00A76F0E" w:rsidRPr="00E971E6" w:rsidRDefault="00A76F0E" w:rsidP="00A76F0E">
      <w:pPr>
        <w:pStyle w:val="TEXT"/>
        <w:spacing w:line="480" w:lineRule="auto"/>
      </w:pPr>
      <w:r w:rsidRPr="00E971E6">
        <w:t>In this study, I set out to explore two things: first, to assess which types of the poor are being served by microfinance institutions (MFIs): are they the very poor, middle poor, or less poor households. The second research objective was to assess whether household access to microfinance reduces poverty, and if so, to what extent and across which dimensions of well</w:t>
      </w:r>
      <w:r w:rsidRPr="00153834">
        <w:t>-</w:t>
      </w:r>
      <w:r w:rsidRPr="00E971E6">
        <w:t>being. The study was based on empirical data and first-hand observations that I gathered from carrying out semi-structured interviews conducted across over a thousand households spread across 11 districts in rural areas of Punjab in Pakistan. The fieldwork for this research project was carried out between October 2007 and November 2009.</w:t>
      </w:r>
    </w:p>
    <w:p w:rsidR="00A76F0E" w:rsidRPr="00E971E6" w:rsidRDefault="00A76F0E" w:rsidP="00A76F0E">
      <w:pPr>
        <w:pStyle w:val="H1"/>
        <w:spacing w:line="480" w:lineRule="auto"/>
        <w:jc w:val="center"/>
        <w:rPr>
          <w:b/>
          <w:color w:val="auto"/>
        </w:rPr>
      </w:pPr>
      <w:r w:rsidRPr="00E971E6">
        <w:rPr>
          <w:b/>
          <w:color w:val="auto"/>
        </w:rPr>
        <w:t>Microfinance, Poverty, and Pakistan</w:t>
      </w:r>
    </w:p>
    <w:p w:rsidR="00A76F0E" w:rsidRPr="00E971E6" w:rsidRDefault="00A76F0E" w:rsidP="00A76F0E">
      <w:pPr>
        <w:pStyle w:val="TEXT"/>
        <w:spacing w:line="480" w:lineRule="auto"/>
      </w:pPr>
      <w:r w:rsidRPr="00E971E6">
        <w:t xml:space="preserve">Poor households in many developing countries cannot easily access formal financial services. As a result, they resort to other alternative modes as a means to meet their finance requirements, one of which is microfinance. This model is based on the belief that despite having no collateral or </w:t>
      </w:r>
      <w:r w:rsidRPr="00E971E6">
        <w:lastRenderedPageBreak/>
        <w:t>credit history, the poor are still “credit-worthy” and their livelihoods can be improved if they are provided access to small and affordable loans along with other related financial services such as insurance and savings.</w:t>
      </w:r>
    </w:p>
    <w:p w:rsidR="00A76F0E" w:rsidRPr="00E971E6" w:rsidRDefault="00A76F0E" w:rsidP="00A76F0E">
      <w:pPr>
        <w:pStyle w:val="TEXTIND"/>
        <w:spacing w:line="480" w:lineRule="auto"/>
      </w:pPr>
      <w:r w:rsidRPr="00E971E6">
        <w:t>A number of empirical studies have been carried out in order to assess the impact of borrowing from MFIs on borrowers’ livelihoods. Researchers have come up with mixed findings: some studies show that households have moved out of poverty by borrowing loans and establishing small businesses, others have concluded that some borrowers have actually been driven deeper into poverty by obtaining such loans, and some studies have claimed that microfinance has not brought about much difference to their lives.</w:t>
      </w:r>
    </w:p>
    <w:p w:rsidR="00A76F0E" w:rsidRPr="00E971E6" w:rsidRDefault="00A76F0E" w:rsidP="00A76F0E">
      <w:pPr>
        <w:pStyle w:val="TEXTIND"/>
        <w:spacing w:line="480" w:lineRule="auto"/>
      </w:pPr>
      <w:r w:rsidRPr="00E971E6">
        <w:t xml:space="preserve">In Pakistan, a predominant portion of the population resides in rural areas with a heavy dependence on agriculture as a means of making a living. A number of studies have shown that a large portion of the poor are underserved by the formal financial sector. There are </w:t>
      </w:r>
      <w:r>
        <w:t>very few</w:t>
      </w:r>
      <w:r w:rsidRPr="00E971E6">
        <w:t xml:space="preserve"> branches of mainstream banks in remote areas, and even if there are any, the poor are excluded and underserved due to a number of reasons: lack of collateral, no documented credit history, the banks being averse to lending to them due to a high default risk, high costs of running operations in remote rural areas, and so on. Given the country’s large rural population, there is significant potential for scaling up formal financial services in Pakistan.</w:t>
      </w:r>
    </w:p>
    <w:p w:rsidR="00A76F0E" w:rsidRPr="00E971E6" w:rsidRDefault="00A76F0E" w:rsidP="00A76F0E">
      <w:pPr>
        <w:pStyle w:val="H1"/>
        <w:spacing w:line="480" w:lineRule="auto"/>
        <w:jc w:val="center"/>
        <w:rPr>
          <w:b/>
          <w:color w:val="auto"/>
        </w:rPr>
      </w:pPr>
      <w:r w:rsidRPr="00E971E6">
        <w:rPr>
          <w:b/>
          <w:color w:val="auto"/>
        </w:rPr>
        <w:t>Assessing Depth of Program Outreach and Impact: Design Overview</w:t>
      </w:r>
    </w:p>
    <w:p w:rsidR="00A76F0E" w:rsidRPr="00E971E6" w:rsidRDefault="00A76F0E" w:rsidP="00A76F0E">
      <w:pPr>
        <w:pStyle w:val="TEXT"/>
        <w:spacing w:line="480" w:lineRule="auto"/>
      </w:pPr>
      <w:r w:rsidRPr="00E971E6">
        <w:t xml:space="preserve">I selected the quasi-experimental research design to carry out this empirical study. This type of design is usually employed to estimate the causal impact of an intervention on its target </w:t>
      </w:r>
      <w:r w:rsidRPr="00E971E6">
        <w:lastRenderedPageBreak/>
        <w:t>population. In its most common form, this design makes use of treatment and control groups. Briefly, the design is modeled as follows: to begin with, it employs two sets of people, both from roughly the same type of dwellings and living in broadly identical economic and social conditions. The only difference is that one set of individuals (the program group) is subjected to microfinance intervention, while participants of the other (control) group are not subjected to any lending (the treatment). After a given period of time, the program borrowers start to show signs of improvement in terms of household income, expenditure, literacy, health, consumption patterns, household and business assets, and so on. Subjects of the control group, on the contrary, continue (theoretically, at least) to lead lives as before. The differences between the two groups measured across an agreed and identified set of variables and indicators portray the impact that has taken place as a result of the microfinance intervention. Needless to say, there will be a wide range of factors that come into play, and socioeconomic impact being a highly complex phenomenon is not an entity that can be quantified so easily. A host of other external factors have to be recognized and appreciated that come into play which may impact favorably or negatively toward the quasi-experiment.</w:t>
      </w:r>
    </w:p>
    <w:p w:rsidR="00A76F0E" w:rsidRPr="00E971E6" w:rsidRDefault="00A76F0E" w:rsidP="00A76F0E">
      <w:pPr>
        <w:pStyle w:val="TEXTIND"/>
        <w:spacing w:line="480" w:lineRule="auto"/>
      </w:pPr>
      <w:r w:rsidRPr="00E971E6">
        <w:t xml:space="preserve">The methodology applied was not designed or intended to provide information on the households’ absolute levels of poverty but to develop a poverty index of all the sample households. As argued by Henry, Sharma, Lapenu, and Zeller (2003), the ensuing poverty index provides a tool to calibrate </w:t>
      </w:r>
      <w:r w:rsidRPr="00E971E6">
        <w:rPr>
          <w:i/>
          <w:iCs/>
        </w:rPr>
        <w:t>relative</w:t>
      </w:r>
      <w:r w:rsidRPr="00E971E6">
        <w:t xml:space="preserve"> poverty—the extent to which a household is </w:t>
      </w:r>
      <w:r w:rsidRPr="00E971E6">
        <w:rPr>
          <w:i/>
          <w:iCs/>
        </w:rPr>
        <w:t>worse off</w:t>
      </w:r>
      <w:r w:rsidRPr="00E971E6">
        <w:t xml:space="preserve"> or </w:t>
      </w:r>
      <w:r w:rsidRPr="00E971E6">
        <w:rPr>
          <w:i/>
          <w:iCs/>
        </w:rPr>
        <w:t>better off</w:t>
      </w:r>
      <w:r w:rsidRPr="00E971E6">
        <w:t xml:space="preserve"> compared to the other households within the surveyed sample. Once relative poverty levels are ascertained, the poverty index can be constructed, with which the depth of outreach can be subsequently determined. The impact on borrowers’ livelihoods, on the other hand, is </w:t>
      </w:r>
      <w:r w:rsidRPr="00E971E6">
        <w:lastRenderedPageBreak/>
        <w:t>measured by means of a series of statistical analyses that assess whether or not borrowers fare relatively better than non-borrowers across the same rural dwellings.</w:t>
      </w:r>
    </w:p>
    <w:p w:rsidR="00A76F0E" w:rsidRPr="00E971E6" w:rsidRDefault="00A76F0E" w:rsidP="00A76F0E">
      <w:pPr>
        <w:pStyle w:val="H1"/>
        <w:spacing w:line="480" w:lineRule="auto"/>
        <w:jc w:val="center"/>
        <w:rPr>
          <w:b/>
          <w:color w:val="auto"/>
        </w:rPr>
      </w:pPr>
      <w:r w:rsidRPr="00E971E6">
        <w:rPr>
          <w:b/>
          <w:color w:val="auto"/>
        </w:rPr>
        <w:t>The Mixed-Methods Approach to Inquiry</w:t>
      </w:r>
    </w:p>
    <w:p w:rsidR="00A76F0E" w:rsidRPr="00E971E6" w:rsidRDefault="00A76F0E" w:rsidP="00A76F0E">
      <w:pPr>
        <w:pStyle w:val="TEXT"/>
        <w:spacing w:line="480" w:lineRule="auto"/>
      </w:pPr>
      <w:r w:rsidRPr="00E971E6">
        <w:t>In order to fully comprehend the richness and complexity of the various dimensions of respondents’ livelihoods, I felt it was necessary to study it from more than one standpoint. Mixed-methods research is an approach to inquiry that combines both qualitative and quantitative forms of data. As argued by Creswell and Plano Clark (20</w:t>
      </w:r>
      <w:r>
        <w:t>11</w:t>
      </w:r>
      <w:r w:rsidRPr="00E971E6">
        <w:t xml:space="preserve">), this method resides in the </w:t>
      </w:r>
      <w:r w:rsidRPr="00153834">
        <w:t>“</w:t>
      </w:r>
      <w:r w:rsidRPr="00E971E6">
        <w:rPr>
          <w:i/>
          <w:iCs/>
        </w:rPr>
        <w:t>middle of the continuum</w:t>
      </w:r>
      <w:r w:rsidRPr="00153834">
        <w:t>”</w:t>
      </w:r>
      <w:r w:rsidRPr="00E971E6">
        <w:t xml:space="preserve"> because it incorporates elements of both qualitative and quantitative approaches. They state that mixed-methods research is based on the premise that it provides a better understanding of research problems than applying either approaches alone, thus offsetting the weaknesses of each research technique used separately. Consequently, this method seems to have strengths which are greater than the individual methods (qualitative and quantitative) being applied alone and thus provides a more comprehensive and rigorous approach toward studying a research problem. This helps build a more robust and accurate picture to comprehend the totality of the investigation being carried out.</w:t>
      </w:r>
    </w:p>
    <w:p w:rsidR="00A76F0E" w:rsidRPr="00E971E6" w:rsidRDefault="00A76F0E" w:rsidP="00A76F0E">
      <w:pPr>
        <w:pStyle w:val="TEXTIND"/>
        <w:spacing w:line="480" w:lineRule="auto"/>
      </w:pPr>
      <w:r w:rsidRPr="00E971E6">
        <w:t>Given that both quantitative and qualitative data were required for the study, a number of tools and methods were applied to collect it. I administered a field instrument in the form of a detailed semi-structured interview. The types of data captured by these questionnaires are stated in the sections that follow. A number of focus groups were also held which, along with participant observation, generated a substantial amount of qualitative information about participants’ livelihoods.</w:t>
      </w:r>
    </w:p>
    <w:p w:rsidR="00A76F0E" w:rsidRPr="00E971E6" w:rsidRDefault="00A76F0E" w:rsidP="00A76F0E">
      <w:pPr>
        <w:pStyle w:val="H1"/>
        <w:spacing w:line="480" w:lineRule="auto"/>
        <w:jc w:val="center"/>
        <w:rPr>
          <w:b/>
          <w:color w:val="auto"/>
        </w:rPr>
      </w:pPr>
      <w:r w:rsidRPr="00E971E6">
        <w:rPr>
          <w:b/>
          <w:color w:val="auto"/>
        </w:rPr>
        <w:lastRenderedPageBreak/>
        <w:t>Selecting a Mixed-Methods Design: The Convergen</w:t>
      </w:r>
      <w:r>
        <w:rPr>
          <w:b/>
          <w:color w:val="auto"/>
        </w:rPr>
        <w:t>t Parallel Design</w:t>
      </w:r>
    </w:p>
    <w:p w:rsidR="00A76F0E" w:rsidRPr="00E971E6" w:rsidRDefault="00A76F0E" w:rsidP="00A76F0E">
      <w:pPr>
        <w:pStyle w:val="TEXT"/>
        <w:spacing w:line="480" w:lineRule="auto"/>
      </w:pPr>
      <w:r w:rsidRPr="00E971E6">
        <w:t xml:space="preserve">Of the </w:t>
      </w:r>
      <w:r>
        <w:t>three basic</w:t>
      </w:r>
      <w:r w:rsidRPr="00E971E6">
        <w:t xml:space="preserve"> mixed-methods designs </w:t>
      </w:r>
      <w:r>
        <w:t xml:space="preserve">proposed by Creswell (2015) convergent parallel, </w:t>
      </w:r>
      <w:r w:rsidRPr="00E971E6">
        <w:t>explanatory</w:t>
      </w:r>
      <w:r>
        <w:t xml:space="preserve"> </w:t>
      </w:r>
      <w:r>
        <w:t xml:space="preserve">sequential </w:t>
      </w:r>
      <w:r w:rsidRPr="00E971E6">
        <w:t>and</w:t>
      </w:r>
      <w:r w:rsidRPr="00E971E6">
        <w:t xml:space="preserve"> exploratory</w:t>
      </w:r>
      <w:r>
        <w:t xml:space="preserve"> sequential</w:t>
      </w:r>
      <w:r w:rsidRPr="00E971E6">
        <w:t xml:space="preserve">), I used the </w:t>
      </w:r>
      <w:r w:rsidRPr="00731BD4">
        <w:rPr>
          <w:i/>
        </w:rPr>
        <w:t>convergent parallel</w:t>
      </w:r>
      <w:r w:rsidRPr="00E971E6" w:rsidDel="00136B50">
        <w:rPr>
          <w:i/>
          <w:iCs/>
        </w:rPr>
        <w:t xml:space="preserve"> </w:t>
      </w:r>
      <w:r w:rsidRPr="00E971E6">
        <w:t xml:space="preserve">design. </w:t>
      </w:r>
      <w:r>
        <w:t xml:space="preserve">This design helps us to triangulate qualitative and quantitative data. </w:t>
      </w:r>
      <w:r w:rsidRPr="00E971E6">
        <w:t>Saunders, Lewis, and Thornhill (20</w:t>
      </w:r>
      <w:r>
        <w:t>16</w:t>
      </w:r>
      <w:r w:rsidRPr="00E971E6">
        <w:t>) refer to triangulation as the use of different data collection methods within one study in order to ensure that the data are telling you what you think they are telling you. Jick (1979), on the other hand, argues that this design is largely a vehicle for cross-validation as two or more distinct methods are found to be congruent and yield comparable data, and it also tends to provide researchers with several important opportunities as it allows them to be more confident about their results. The effectiveness of triangulation rests on the premise that the weaknesses in each single method (if used on its own) will be compensated by the counterbalancing strengths of the other.</w:t>
      </w:r>
    </w:p>
    <w:p w:rsidR="00A76F0E" w:rsidRDefault="00A76F0E" w:rsidP="00A76F0E">
      <w:pPr>
        <w:pStyle w:val="TEXTIND"/>
        <w:spacing w:line="480" w:lineRule="auto"/>
      </w:pPr>
      <w:r w:rsidRPr="00E971E6">
        <w:t>Following this model, quantitative and qualitative data were collected and analyzed separately on the same phenomenon and then the different results were merged (by comparing and contrasting) during the interpretation. This enabled direct comparison and contrast of quantitative statistical results with qualitative findings and to validate or expand quantitative results with qualitative data (Figure 1).</w:t>
      </w:r>
    </w:p>
    <w:p w:rsidR="000E5E36" w:rsidRDefault="000E5E36" w:rsidP="00A76F0E">
      <w:pPr>
        <w:pStyle w:val="TEXTIND"/>
        <w:spacing w:line="480" w:lineRule="auto"/>
      </w:pPr>
    </w:p>
    <w:p w:rsidR="000E5E36" w:rsidRDefault="000E5E36" w:rsidP="00A76F0E">
      <w:pPr>
        <w:pStyle w:val="TEXTIND"/>
        <w:spacing w:line="480" w:lineRule="auto"/>
      </w:pPr>
    </w:p>
    <w:p w:rsidR="000E5E36" w:rsidRDefault="000E5E36" w:rsidP="00A76F0E">
      <w:pPr>
        <w:pStyle w:val="TEXTIND"/>
        <w:spacing w:line="480" w:lineRule="auto"/>
      </w:pPr>
      <w:r>
        <w:rPr>
          <w:b/>
          <w:noProof/>
          <w:sz w:val="32"/>
          <w:lang w:eastAsia="en-GB"/>
        </w:rPr>
        <mc:AlternateContent>
          <mc:Choice Requires="wpg">
            <w:drawing>
              <wp:anchor distT="0" distB="0" distL="114300" distR="114300" simplePos="0" relativeHeight="251659264" behindDoc="0" locked="0" layoutInCell="1" allowOverlap="1" wp14:anchorId="1AE3F338" wp14:editId="35F669E9">
                <wp:simplePos x="0" y="0"/>
                <wp:positionH relativeFrom="column">
                  <wp:posOffset>1685536</wp:posOffset>
                </wp:positionH>
                <wp:positionV relativeFrom="paragraph">
                  <wp:posOffset>94615</wp:posOffset>
                </wp:positionV>
                <wp:extent cx="3313707" cy="4117782"/>
                <wp:effectExtent l="0" t="0" r="1270" b="0"/>
                <wp:wrapNone/>
                <wp:docPr id="2" name="Group 2"/>
                <wp:cNvGraphicFramePr/>
                <a:graphic xmlns:a="http://schemas.openxmlformats.org/drawingml/2006/main">
                  <a:graphicData uri="http://schemas.microsoft.com/office/word/2010/wordprocessingGroup">
                    <wpg:wgp>
                      <wpg:cNvGrpSpPr/>
                      <wpg:grpSpPr>
                        <a:xfrm>
                          <a:off x="0" y="0"/>
                          <a:ext cx="3313707" cy="4117782"/>
                          <a:chOff x="0" y="0"/>
                          <a:chExt cx="3313707" cy="4117782"/>
                        </a:xfrm>
                      </wpg:grpSpPr>
                      <wps:wsp>
                        <wps:cNvPr id="636" name="Line 114"/>
                        <wps:cNvCnPr/>
                        <wps:spPr bwMode="auto">
                          <a:xfrm flipH="1">
                            <a:off x="1685677" y="2003729"/>
                            <a:ext cx="524510" cy="626745"/>
                          </a:xfrm>
                          <a:prstGeom prst="line">
                            <a:avLst/>
                          </a:prstGeom>
                          <a:noFill/>
                          <a:ln w="38100">
                            <a:solidFill>
                              <a:schemeClr val="bg1">
                                <a:lumMod val="65000"/>
                              </a:schemeClr>
                            </a:solidFill>
                            <a:round/>
                            <a:headEnd/>
                            <a:tailEnd type="triangle" w="med" len="med"/>
                          </a:ln>
                          <a:extLst>
                            <a:ext uri="{909E8E84-426E-40DD-AFC4-6F175D3DCCD1}">
                              <a14:hiddenFill xmlns:a14="http://schemas.microsoft.com/office/drawing/2010/main">
                                <a:noFill/>
                              </a14:hiddenFill>
                            </a:ext>
                          </a:extLst>
                        </wps:spPr>
                        <wps:bodyPr/>
                      </wps:wsp>
                      <wps:wsp>
                        <wps:cNvPr id="637" name="Line 115"/>
                        <wps:cNvCnPr/>
                        <wps:spPr bwMode="auto">
                          <a:xfrm>
                            <a:off x="1081378" y="1995777"/>
                            <a:ext cx="500380" cy="635635"/>
                          </a:xfrm>
                          <a:prstGeom prst="line">
                            <a:avLst/>
                          </a:prstGeom>
                          <a:noFill/>
                          <a:ln w="38100">
                            <a:solidFill>
                              <a:schemeClr val="bg1">
                                <a:lumMod val="65000"/>
                              </a:schemeClr>
                            </a:solidFill>
                            <a:round/>
                            <a:headEnd/>
                            <a:tailEnd type="triangle" w="med" len="med"/>
                          </a:ln>
                          <a:extLst>
                            <a:ext uri="{909E8E84-426E-40DD-AFC4-6F175D3DCCD1}">
                              <a14:hiddenFill xmlns:a14="http://schemas.microsoft.com/office/drawing/2010/main">
                                <a:noFill/>
                              </a14:hiddenFill>
                            </a:ext>
                          </a:extLst>
                        </wps:spPr>
                        <wps:bodyPr/>
                      </wps:wsp>
                      <wps:wsp>
                        <wps:cNvPr id="623" name="Text Box 101"/>
                        <wps:cNvSpPr txBox="1">
                          <a:spLocks noChangeArrowheads="1"/>
                        </wps:cNvSpPr>
                        <wps:spPr bwMode="auto">
                          <a:xfrm>
                            <a:off x="1144988" y="3546282"/>
                            <a:ext cx="1028700" cy="571500"/>
                          </a:xfrm>
                          <a:prstGeom prst="rect">
                            <a:avLst/>
                          </a:prstGeom>
                          <a:solidFill>
                            <a:srgbClr val="C0C0C0"/>
                          </a:solidFill>
                          <a:ln w="9525">
                            <a:noFill/>
                            <a:miter lim="800000"/>
                            <a:headEnd/>
                            <a:tailEnd/>
                          </a:ln>
                          <a:effectLst/>
                        </wps:spPr>
                        <wps:txbx>
                          <w:txbxContent>
                            <w:p w:rsidR="000E5E36" w:rsidRPr="00DA21E0" w:rsidRDefault="000E5E36" w:rsidP="000E5E36">
                              <w:pPr>
                                <w:spacing w:after="0"/>
                                <w:jc w:val="center"/>
                                <w:rPr>
                                  <w:rFonts w:ascii="Arial" w:hAnsi="Arial" w:cs="Arial"/>
                                  <w:b/>
                                  <w:bCs/>
                                  <w:sz w:val="18"/>
                                  <w:szCs w:val="18"/>
                                </w:rPr>
                              </w:pPr>
                              <w:r w:rsidRPr="00DA21E0">
                                <w:rPr>
                                  <w:rFonts w:ascii="Arial" w:hAnsi="Arial" w:cs="Arial"/>
                                  <w:b/>
                                  <w:bCs/>
                                  <w:sz w:val="18"/>
                                  <w:szCs w:val="18"/>
                                </w:rPr>
                                <w:t>Interpretation</w:t>
                              </w:r>
                              <w:r>
                                <w:rPr>
                                  <w:rFonts w:ascii="Arial" w:hAnsi="Arial" w:cs="Arial"/>
                                  <w:b/>
                                  <w:bCs/>
                                  <w:sz w:val="18"/>
                                  <w:szCs w:val="18"/>
                                </w:rPr>
                                <w:t>:</w:t>
                              </w:r>
                              <w:r w:rsidRPr="00DA21E0">
                                <w:rPr>
                                  <w:rFonts w:ascii="Arial" w:hAnsi="Arial" w:cs="Arial"/>
                                  <w:b/>
                                  <w:bCs/>
                                  <w:sz w:val="18"/>
                                  <w:szCs w:val="18"/>
                                </w:rPr>
                                <w:t xml:space="preserve"> </w:t>
                              </w:r>
                            </w:p>
                            <w:p w:rsidR="000E5E36" w:rsidRPr="00DA21E0" w:rsidRDefault="000E5E36" w:rsidP="000E5E36">
                              <w:pPr>
                                <w:spacing w:after="0"/>
                                <w:jc w:val="center"/>
                                <w:rPr>
                                  <w:rFonts w:ascii="Arial" w:hAnsi="Arial" w:cs="Arial"/>
                                  <w:b/>
                                  <w:bCs/>
                                  <w:sz w:val="18"/>
                                  <w:szCs w:val="18"/>
                                </w:rPr>
                              </w:pPr>
                              <w:r w:rsidRPr="00DA21E0">
                                <w:rPr>
                                  <w:rFonts w:ascii="Arial" w:hAnsi="Arial" w:cs="Arial"/>
                                  <w:b/>
                                  <w:bCs/>
                                  <w:sz w:val="18"/>
                                  <w:szCs w:val="18"/>
                                </w:rPr>
                                <w:t>Quantitative + Qualitative</w:t>
                              </w:r>
                            </w:p>
                          </w:txbxContent>
                        </wps:txbx>
                        <wps:bodyPr rot="0" vert="horz" wrap="square" lIns="91440" tIns="45720" rIns="91440" bIns="45720" anchor="t" anchorCtr="0" upright="1">
                          <a:noAutofit/>
                        </wps:bodyPr>
                      </wps:wsp>
                      <wps:wsp>
                        <wps:cNvPr id="624" name="Text Box 102"/>
                        <wps:cNvSpPr txBox="1">
                          <a:spLocks noChangeArrowheads="1"/>
                        </wps:cNvSpPr>
                        <wps:spPr bwMode="auto">
                          <a:xfrm>
                            <a:off x="1144988" y="2631882"/>
                            <a:ext cx="1028700" cy="571500"/>
                          </a:xfrm>
                          <a:prstGeom prst="rect">
                            <a:avLst/>
                          </a:prstGeom>
                          <a:solidFill>
                            <a:srgbClr val="C0C0C0"/>
                          </a:solidFill>
                          <a:ln w="9525">
                            <a:noFill/>
                            <a:miter lim="800000"/>
                            <a:headEnd/>
                            <a:tailEnd/>
                          </a:ln>
                          <a:effectLst/>
                        </wps:spPr>
                        <wps:txbx>
                          <w:txbxContent>
                            <w:p w:rsidR="000E5E36" w:rsidRDefault="000E5E36" w:rsidP="000E5E36">
                              <w:pPr>
                                <w:spacing w:after="0"/>
                                <w:jc w:val="center"/>
                                <w:rPr>
                                  <w:rFonts w:ascii="Arial" w:hAnsi="Arial" w:cs="Arial"/>
                                  <w:b/>
                                  <w:bCs/>
                                  <w:sz w:val="16"/>
                                  <w:szCs w:val="20"/>
                                </w:rPr>
                              </w:pPr>
                              <w:r w:rsidRPr="00DA21E0">
                                <w:rPr>
                                  <w:rFonts w:ascii="Arial" w:hAnsi="Arial" w:cs="Arial"/>
                                  <w:b/>
                                  <w:bCs/>
                                  <w:sz w:val="18"/>
                                  <w:szCs w:val="20"/>
                                </w:rPr>
                                <w:t>Comparison and</w:t>
                              </w:r>
                            </w:p>
                            <w:p w:rsidR="000E5E36" w:rsidRPr="00DA21E0" w:rsidRDefault="000E5E36" w:rsidP="000E5E36">
                              <w:pPr>
                                <w:spacing w:after="0"/>
                                <w:jc w:val="center"/>
                                <w:rPr>
                                  <w:rFonts w:ascii="Arial" w:hAnsi="Arial" w:cs="Arial"/>
                                  <w:b/>
                                  <w:bCs/>
                                  <w:sz w:val="18"/>
                                  <w:szCs w:val="20"/>
                                </w:rPr>
                              </w:pPr>
                              <w:r w:rsidRPr="00DA21E0">
                                <w:rPr>
                                  <w:rFonts w:ascii="Arial" w:hAnsi="Arial" w:cs="Arial"/>
                                  <w:b/>
                                  <w:bCs/>
                                  <w:sz w:val="18"/>
                                  <w:szCs w:val="20"/>
                                </w:rPr>
                                <w:t>Contrast</w:t>
                              </w:r>
                            </w:p>
                          </w:txbxContent>
                        </wps:txbx>
                        <wps:bodyPr rot="0" vert="horz" wrap="square" lIns="91440" tIns="45720" rIns="91440" bIns="45720" anchor="t" anchorCtr="0" upright="1">
                          <a:noAutofit/>
                        </wps:bodyPr>
                      </wps:wsp>
                      <wps:wsp>
                        <wps:cNvPr id="625" name="Text Box 103"/>
                        <wps:cNvSpPr txBox="1">
                          <a:spLocks noChangeArrowheads="1"/>
                        </wps:cNvSpPr>
                        <wps:spPr bwMode="auto">
                          <a:xfrm>
                            <a:off x="0" y="0"/>
                            <a:ext cx="1143000" cy="457200"/>
                          </a:xfrm>
                          <a:prstGeom prst="rect">
                            <a:avLst/>
                          </a:prstGeom>
                          <a:solidFill>
                            <a:srgbClr val="C0C0C0"/>
                          </a:solidFill>
                          <a:ln w="9525">
                            <a:noFill/>
                            <a:miter lim="800000"/>
                            <a:headEnd/>
                            <a:tailEnd/>
                          </a:ln>
                          <a:effectLst/>
                        </wps:spPr>
                        <wps:txb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QUANTITATIVE data collection</w:t>
                              </w:r>
                            </w:p>
                          </w:txbxContent>
                        </wps:txbx>
                        <wps:bodyPr rot="0" vert="horz" wrap="square" lIns="91440" tIns="45720" rIns="91440" bIns="45720" anchor="t" anchorCtr="0" upright="1">
                          <a:noAutofit/>
                        </wps:bodyPr>
                      </wps:wsp>
                      <wps:wsp>
                        <wps:cNvPr id="626" name="Text Box 104"/>
                        <wps:cNvSpPr txBox="1">
                          <a:spLocks noChangeArrowheads="1"/>
                        </wps:cNvSpPr>
                        <wps:spPr bwMode="auto">
                          <a:xfrm>
                            <a:off x="0" y="803082"/>
                            <a:ext cx="1143000" cy="457200"/>
                          </a:xfrm>
                          <a:prstGeom prst="rect">
                            <a:avLst/>
                          </a:prstGeom>
                          <a:solidFill>
                            <a:srgbClr val="C0C0C0"/>
                          </a:solidFill>
                          <a:ln w="9525">
                            <a:noFill/>
                            <a:miter lim="800000"/>
                            <a:headEnd/>
                            <a:tailEnd/>
                          </a:ln>
                          <a:effectLst/>
                        </wps:spPr>
                        <wps:txb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QUANTITATIVE data analysis</w:t>
                              </w:r>
                            </w:p>
                          </w:txbxContent>
                        </wps:txbx>
                        <wps:bodyPr rot="0" vert="horz" wrap="square" lIns="91440" tIns="45720" rIns="91440" bIns="45720" anchor="t" anchorCtr="0" upright="1">
                          <a:noAutofit/>
                        </wps:bodyPr>
                      </wps:wsp>
                      <wps:wsp>
                        <wps:cNvPr id="627" name="Text Box 105"/>
                        <wps:cNvSpPr txBox="1">
                          <a:spLocks noChangeArrowheads="1"/>
                        </wps:cNvSpPr>
                        <wps:spPr bwMode="auto">
                          <a:xfrm>
                            <a:off x="2170707" y="0"/>
                            <a:ext cx="1143000" cy="457200"/>
                          </a:xfrm>
                          <a:prstGeom prst="rect">
                            <a:avLst/>
                          </a:prstGeom>
                          <a:solidFill>
                            <a:srgbClr val="C0C0C0"/>
                          </a:solidFill>
                          <a:ln w="9525">
                            <a:noFill/>
                            <a:miter lim="800000"/>
                            <a:headEnd/>
                            <a:tailEnd/>
                          </a:ln>
                          <a:effectLst/>
                        </wps:spPr>
                        <wps:txb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QUALITATIVE data collection</w:t>
                              </w:r>
                            </w:p>
                          </w:txbxContent>
                        </wps:txbx>
                        <wps:bodyPr rot="0" vert="horz" wrap="square" lIns="91440" tIns="45720" rIns="91440" bIns="45720" anchor="t" anchorCtr="0" upright="1">
                          <a:noAutofit/>
                        </wps:bodyPr>
                      </wps:wsp>
                      <wps:wsp>
                        <wps:cNvPr id="628" name="Text Box 106"/>
                        <wps:cNvSpPr txBox="1">
                          <a:spLocks noChangeArrowheads="1"/>
                        </wps:cNvSpPr>
                        <wps:spPr bwMode="auto">
                          <a:xfrm>
                            <a:off x="2170707" y="1598212"/>
                            <a:ext cx="1143000" cy="457200"/>
                          </a:xfrm>
                          <a:prstGeom prst="rect">
                            <a:avLst/>
                          </a:prstGeom>
                          <a:solidFill>
                            <a:srgbClr val="C0C0C0"/>
                          </a:solidFill>
                          <a:ln w="9525">
                            <a:noFill/>
                            <a:miter lim="800000"/>
                            <a:headEnd/>
                            <a:tailEnd/>
                          </a:ln>
                          <a:effectLst/>
                        </wps:spPr>
                        <wps:txb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QUALITATIVE results</w:t>
                              </w:r>
                            </w:p>
                          </w:txbxContent>
                        </wps:txbx>
                        <wps:bodyPr rot="0" vert="horz" wrap="square" lIns="91440" tIns="45720" rIns="91440" bIns="45720" anchor="t" anchorCtr="0" upright="1">
                          <a:noAutofit/>
                        </wps:bodyPr>
                      </wps:wsp>
                      <wps:wsp>
                        <wps:cNvPr id="629" name="Text Box 107"/>
                        <wps:cNvSpPr txBox="1">
                          <a:spLocks noChangeArrowheads="1"/>
                        </wps:cNvSpPr>
                        <wps:spPr bwMode="auto">
                          <a:xfrm>
                            <a:off x="0" y="1598212"/>
                            <a:ext cx="1143000" cy="457200"/>
                          </a:xfrm>
                          <a:prstGeom prst="rect">
                            <a:avLst/>
                          </a:prstGeom>
                          <a:solidFill>
                            <a:srgbClr val="C0C0C0"/>
                          </a:solidFill>
                          <a:ln w="9525">
                            <a:noFill/>
                            <a:miter lim="800000"/>
                            <a:headEnd/>
                            <a:tailEnd/>
                          </a:ln>
                          <a:effectLst/>
                        </wps:spPr>
                        <wps:txb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QUANTITATIVE results</w:t>
                              </w:r>
                            </w:p>
                          </w:txbxContent>
                        </wps:txbx>
                        <wps:bodyPr rot="0" vert="horz" wrap="square" lIns="91440" tIns="45720" rIns="91440" bIns="45720" anchor="t" anchorCtr="0" upright="1">
                          <a:noAutofit/>
                        </wps:bodyPr>
                      </wps:wsp>
                      <wps:wsp>
                        <wps:cNvPr id="630" name="Text Box 108"/>
                        <wps:cNvSpPr txBox="1">
                          <a:spLocks noChangeArrowheads="1"/>
                        </wps:cNvSpPr>
                        <wps:spPr bwMode="auto">
                          <a:xfrm>
                            <a:off x="2170707" y="803082"/>
                            <a:ext cx="1143000" cy="457200"/>
                          </a:xfrm>
                          <a:prstGeom prst="rect">
                            <a:avLst/>
                          </a:prstGeom>
                          <a:solidFill>
                            <a:srgbClr val="C0C0C0"/>
                          </a:solidFill>
                          <a:ln w="9525">
                            <a:noFill/>
                            <a:miter lim="800000"/>
                            <a:headEnd/>
                            <a:tailEnd/>
                          </a:ln>
                          <a:effectLst/>
                        </wps:spPr>
                        <wps:txb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QUALITATIVE data analysis</w:t>
                              </w:r>
                            </w:p>
                          </w:txbxContent>
                        </wps:txbx>
                        <wps:bodyPr rot="0" vert="horz" wrap="square" lIns="91440" tIns="45720" rIns="91440" bIns="45720" anchor="t" anchorCtr="0" upright="1">
                          <a:noAutofit/>
                        </wps:bodyPr>
                      </wps:wsp>
                      <wps:wsp>
                        <wps:cNvPr id="631" name="Line 109"/>
                        <wps:cNvCnPr/>
                        <wps:spPr bwMode="auto">
                          <a:xfrm>
                            <a:off x="572494" y="453224"/>
                            <a:ext cx="0" cy="342900"/>
                          </a:xfrm>
                          <a:prstGeom prst="line">
                            <a:avLst/>
                          </a:prstGeom>
                          <a:noFill/>
                          <a:ln w="38100">
                            <a:solidFill>
                              <a:schemeClr val="bg1">
                                <a:lumMod val="65000"/>
                              </a:schemeClr>
                            </a:solidFill>
                            <a:round/>
                            <a:headEnd/>
                            <a:tailEnd type="triangle" w="med" len="med"/>
                          </a:ln>
                          <a:extLst>
                            <a:ext uri="{909E8E84-426E-40DD-AFC4-6F175D3DCCD1}">
                              <a14:hiddenFill xmlns:a14="http://schemas.microsoft.com/office/drawing/2010/main">
                                <a:noFill/>
                              </a14:hiddenFill>
                            </a:ext>
                          </a:extLst>
                        </wps:spPr>
                        <wps:bodyPr/>
                      </wps:wsp>
                      <wps:wsp>
                        <wps:cNvPr id="632" name="Line 110"/>
                        <wps:cNvCnPr/>
                        <wps:spPr bwMode="auto">
                          <a:xfrm>
                            <a:off x="1677726" y="3196424"/>
                            <a:ext cx="0" cy="342900"/>
                          </a:xfrm>
                          <a:prstGeom prst="line">
                            <a:avLst/>
                          </a:prstGeom>
                          <a:noFill/>
                          <a:ln w="38100">
                            <a:solidFill>
                              <a:schemeClr val="bg1">
                                <a:lumMod val="65000"/>
                              </a:schemeClr>
                            </a:solidFill>
                            <a:round/>
                            <a:headEnd/>
                            <a:tailEnd type="triangle" w="med" len="med"/>
                          </a:ln>
                          <a:extLst>
                            <a:ext uri="{909E8E84-426E-40DD-AFC4-6F175D3DCCD1}">
                              <a14:hiddenFill xmlns:a14="http://schemas.microsoft.com/office/drawing/2010/main">
                                <a:noFill/>
                              </a14:hiddenFill>
                            </a:ext>
                          </a:extLst>
                        </wps:spPr>
                        <wps:bodyPr/>
                      </wps:wsp>
                      <wps:wsp>
                        <wps:cNvPr id="633" name="Line 111"/>
                        <wps:cNvCnPr/>
                        <wps:spPr bwMode="auto">
                          <a:xfrm>
                            <a:off x="572494" y="1256306"/>
                            <a:ext cx="0" cy="342900"/>
                          </a:xfrm>
                          <a:prstGeom prst="line">
                            <a:avLst/>
                          </a:prstGeom>
                          <a:noFill/>
                          <a:ln w="38100">
                            <a:solidFill>
                              <a:schemeClr val="bg1">
                                <a:lumMod val="65000"/>
                              </a:schemeClr>
                            </a:solidFill>
                            <a:round/>
                            <a:headEnd/>
                            <a:tailEnd type="triangle" w="med" len="med"/>
                          </a:ln>
                          <a:extLst>
                            <a:ext uri="{909E8E84-426E-40DD-AFC4-6F175D3DCCD1}">
                              <a14:hiddenFill xmlns:a14="http://schemas.microsoft.com/office/drawing/2010/main">
                                <a:noFill/>
                              </a14:hiddenFill>
                            </a:ext>
                          </a:extLst>
                        </wps:spPr>
                        <wps:bodyPr/>
                      </wps:wsp>
                      <wps:wsp>
                        <wps:cNvPr id="634" name="Line 112"/>
                        <wps:cNvCnPr/>
                        <wps:spPr bwMode="auto">
                          <a:xfrm>
                            <a:off x="2743200" y="1256306"/>
                            <a:ext cx="0" cy="342900"/>
                          </a:xfrm>
                          <a:prstGeom prst="line">
                            <a:avLst/>
                          </a:prstGeom>
                          <a:noFill/>
                          <a:ln w="38100">
                            <a:solidFill>
                              <a:schemeClr val="bg1">
                                <a:lumMod val="65000"/>
                              </a:schemeClr>
                            </a:solidFill>
                            <a:round/>
                            <a:headEnd/>
                            <a:tailEnd type="triangle" w="med" len="med"/>
                          </a:ln>
                          <a:extLst>
                            <a:ext uri="{909E8E84-426E-40DD-AFC4-6F175D3DCCD1}">
                              <a14:hiddenFill xmlns:a14="http://schemas.microsoft.com/office/drawing/2010/main">
                                <a:noFill/>
                              </a14:hiddenFill>
                            </a:ext>
                          </a:extLst>
                        </wps:spPr>
                        <wps:bodyPr/>
                      </wps:wsp>
                      <wps:wsp>
                        <wps:cNvPr id="635" name="Line 113"/>
                        <wps:cNvCnPr/>
                        <wps:spPr bwMode="auto">
                          <a:xfrm>
                            <a:off x="2743200" y="453224"/>
                            <a:ext cx="0" cy="342900"/>
                          </a:xfrm>
                          <a:prstGeom prst="line">
                            <a:avLst/>
                          </a:prstGeom>
                          <a:noFill/>
                          <a:ln w="38100">
                            <a:solidFill>
                              <a:schemeClr val="bg1">
                                <a:lumMod val="6500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AE3F338" id="Group 2" o:spid="_x0000_s1026" style="position:absolute;left:0;text-align:left;margin-left:132.7pt;margin-top:7.45pt;width:260.9pt;height:324.25pt;z-index:251659264" coordsize="33137,4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">
                <v:line id="Line 114" o:spid="_x0000_s1027" style="position:absolute;flip:x;visibility:visible;mso-wrap-style:square" from="16856,20037" to="22101,2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" strokecolor="#a5a5a5 [2092]" strokeweight="3pt">
                  <v:stroke endarrow="block"/>
                </v:line>
                <v:line id="Line 115" o:spid="_x0000_s1028" style="position:absolute;visibility:visible;mso-wrap-style:square" from="10813,19957" to="15817,2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" strokecolor="#a5a5a5 [2092]" strokeweight="3pt">
                  <v:stroke endarrow="block"/>
                </v:line>
                <v:shapetype id="_x0000_t202" coordsize="21600,21600" o:spt="202" path="m,l,21600r21600,l21600,xe">
                  <v:stroke joinstyle="miter"/>
                  <v:path gradientshapeok="t" o:connecttype="rect"/>
                </v:shapetype>
                <v:shape id="Text Box 101" o:spid="_x0000_s1029" type="#_x0000_t202" style="position:absolute;left:11449;top:35462;width:1028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" fillcolor="silver" stroked="f">
                  <v:textbox>
                    <w:txbxContent>
                      <w:p w:rsidR="000E5E36" w:rsidRPr="00DA21E0" w:rsidRDefault="000E5E36" w:rsidP="000E5E36">
                        <w:pPr>
                          <w:spacing w:after="0"/>
                          <w:jc w:val="center"/>
                          <w:rPr>
                            <w:rFonts w:ascii="Arial" w:hAnsi="Arial" w:cs="Arial"/>
                            <w:b/>
                            <w:bCs/>
                            <w:sz w:val="18"/>
                            <w:szCs w:val="18"/>
                          </w:rPr>
                        </w:pPr>
                        <w:r w:rsidRPr="00DA21E0">
                          <w:rPr>
                            <w:rFonts w:ascii="Arial" w:hAnsi="Arial" w:cs="Arial"/>
                            <w:b/>
                            <w:bCs/>
                            <w:sz w:val="18"/>
                            <w:szCs w:val="18"/>
                          </w:rPr>
                          <w:t>Interpretation</w:t>
                        </w:r>
                        <w:r>
                          <w:rPr>
                            <w:rFonts w:ascii="Arial" w:hAnsi="Arial" w:cs="Arial"/>
                            <w:b/>
                            <w:bCs/>
                            <w:sz w:val="18"/>
                            <w:szCs w:val="18"/>
                          </w:rPr>
                          <w:t>:</w:t>
                        </w:r>
                        <w:r w:rsidRPr="00DA21E0">
                          <w:rPr>
                            <w:rFonts w:ascii="Arial" w:hAnsi="Arial" w:cs="Arial"/>
                            <w:b/>
                            <w:bCs/>
                            <w:sz w:val="18"/>
                            <w:szCs w:val="18"/>
                          </w:rPr>
                          <w:t xml:space="preserve"> </w:t>
                        </w:r>
                      </w:p>
                      <w:p w:rsidR="000E5E36" w:rsidRPr="00DA21E0" w:rsidRDefault="000E5E36" w:rsidP="000E5E36">
                        <w:pPr>
                          <w:spacing w:after="0"/>
                          <w:jc w:val="center"/>
                          <w:rPr>
                            <w:rFonts w:ascii="Arial" w:hAnsi="Arial" w:cs="Arial"/>
                            <w:b/>
                            <w:bCs/>
                            <w:sz w:val="18"/>
                            <w:szCs w:val="18"/>
                          </w:rPr>
                        </w:pPr>
                        <w:r w:rsidRPr="00DA21E0">
                          <w:rPr>
                            <w:rFonts w:ascii="Arial" w:hAnsi="Arial" w:cs="Arial"/>
                            <w:b/>
                            <w:bCs/>
                            <w:sz w:val="18"/>
                            <w:szCs w:val="18"/>
                          </w:rPr>
                          <w:t>Quantitative + Qualitative</w:t>
                        </w:r>
                      </w:p>
                    </w:txbxContent>
                  </v:textbox>
                </v:shape>
                <v:shape id="Text Box 102" o:spid="_x0000_s1030" type="#_x0000_t202" style="position:absolute;left:11449;top:26318;width:1028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" fillcolor="silver" stroked="f">
                  <v:textbox>
                    <w:txbxContent>
                      <w:p w:rsidR="000E5E36" w:rsidRDefault="000E5E36" w:rsidP="000E5E36">
                        <w:pPr>
                          <w:spacing w:after="0"/>
                          <w:jc w:val="center"/>
                          <w:rPr>
                            <w:rFonts w:ascii="Arial" w:hAnsi="Arial" w:cs="Arial"/>
                            <w:b/>
                            <w:bCs/>
                            <w:sz w:val="16"/>
                            <w:szCs w:val="20"/>
                          </w:rPr>
                        </w:pPr>
                        <w:r w:rsidRPr="00DA21E0">
                          <w:rPr>
                            <w:rFonts w:ascii="Arial" w:hAnsi="Arial" w:cs="Arial"/>
                            <w:b/>
                            <w:bCs/>
                            <w:sz w:val="18"/>
                            <w:szCs w:val="20"/>
                          </w:rPr>
                          <w:t>Comparison and</w:t>
                        </w:r>
                      </w:p>
                      <w:p w:rsidR="000E5E36" w:rsidRPr="00DA21E0" w:rsidRDefault="000E5E36" w:rsidP="000E5E36">
                        <w:pPr>
                          <w:spacing w:after="0"/>
                          <w:jc w:val="center"/>
                          <w:rPr>
                            <w:rFonts w:ascii="Arial" w:hAnsi="Arial" w:cs="Arial"/>
                            <w:b/>
                            <w:bCs/>
                            <w:sz w:val="18"/>
                            <w:szCs w:val="20"/>
                          </w:rPr>
                        </w:pPr>
                        <w:r w:rsidRPr="00DA21E0">
                          <w:rPr>
                            <w:rFonts w:ascii="Arial" w:hAnsi="Arial" w:cs="Arial"/>
                            <w:b/>
                            <w:bCs/>
                            <w:sz w:val="18"/>
                            <w:szCs w:val="20"/>
                          </w:rPr>
                          <w:t>Contrast</w:t>
                        </w:r>
                      </w:p>
                    </w:txbxContent>
                  </v:textbox>
                </v:shape>
                <v:shape id="Text Box 103" o:spid="_x0000_s1031" type="#_x0000_t202" style="position:absolute;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" fillcolor="silver" stroked="f">
                  <v:textbo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QUANTITATIVE data collection</w:t>
                        </w:r>
                      </w:p>
                    </w:txbxContent>
                  </v:textbox>
                </v:shape>
                <v:shape id="Text Box 104" o:spid="_x0000_s1032" type="#_x0000_t202" style="position:absolute;top:8030;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" fillcolor="silver" stroked="f">
                  <v:textbo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QUANTITATIVE data analysis</w:t>
                        </w:r>
                      </w:p>
                    </w:txbxContent>
                  </v:textbox>
                </v:shape>
                <v:shape id="Text Box 105" o:spid="_x0000_s1033" type="#_x0000_t202" style="position:absolute;left:21707;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" fillcolor="silver" stroked="f">
                  <v:textbo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QUALITATIVE data collection</w:t>
                        </w:r>
                      </w:p>
                    </w:txbxContent>
                  </v:textbox>
                </v:shape>
                <v:shape id="Text Box 106" o:spid="_x0000_s1034" type="#_x0000_t202" style="position:absolute;left:21707;top:15982;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" fillcolor="silver" stroked="f">
                  <v:textbo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QUALITATIVE results</w:t>
                        </w:r>
                      </w:p>
                    </w:txbxContent>
                  </v:textbox>
                </v:shape>
                <v:shape id="Text Box 107" o:spid="_x0000_s1035" type="#_x0000_t202" style="position:absolute;top:15982;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" fillcolor="silver" stroked="f">
                  <v:textbo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QUANTITATIVE results</w:t>
                        </w:r>
                      </w:p>
                    </w:txbxContent>
                  </v:textbox>
                </v:shape>
                <v:shape id="Text Box 108" o:spid="_x0000_s1036" type="#_x0000_t202" style="position:absolute;left:21707;top:8030;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" fillcolor="silver" stroked="f">
                  <v:textbox>
                    <w:txbxContent>
                      <w:p w:rsidR="000E5E36" w:rsidRPr="00DA21E0" w:rsidRDefault="000E5E36" w:rsidP="000E5E36">
                        <w:pPr>
                          <w:jc w:val="center"/>
                          <w:rPr>
                            <w:rFonts w:ascii="Arial" w:hAnsi="Arial" w:cs="Arial"/>
                            <w:b/>
                            <w:bCs/>
                            <w:sz w:val="18"/>
                            <w:szCs w:val="20"/>
                          </w:rPr>
                        </w:pPr>
                        <w:r w:rsidRPr="00DA21E0">
                          <w:rPr>
                            <w:rFonts w:ascii="Arial" w:hAnsi="Arial" w:cs="Arial"/>
                            <w:b/>
                            <w:bCs/>
                            <w:sz w:val="18"/>
                            <w:szCs w:val="20"/>
                          </w:rPr>
                          <w:t>QUALITATIVE data analysis</w:t>
                        </w:r>
                      </w:p>
                    </w:txbxContent>
                  </v:textbox>
                </v:shape>
                <v:line id="Line 109" o:spid="_x0000_s1037" style="position:absolute;visibility:visible;mso-wrap-style:square" from="5724,4532" to="5724,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" strokecolor="#a5a5a5 [2092]" strokeweight="3pt">
                  <v:stroke endarrow="block"/>
                </v:line>
                <v:line id="Line 110" o:spid="_x0000_s1038" style="position:absolute;visibility:visible;mso-wrap-style:square" from="16777,31964" to="16777,3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" strokecolor="#a5a5a5 [2092]" strokeweight="3pt">
                  <v:stroke endarrow="block"/>
                </v:line>
                <v:line id="Line 111" o:spid="_x0000_s1039" style="position:absolute;visibility:visible;mso-wrap-style:square" from="5724,12563" to="5724,1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" strokecolor="#a5a5a5 [2092]" strokeweight="3pt">
                  <v:stroke endarrow="block"/>
                </v:line>
                <v:line id="Line 112" o:spid="_x0000_s1040" style="position:absolute;visibility:visible;mso-wrap-style:square" from="27432,12563" to="27432,1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" strokecolor="#a5a5a5 [2092]" strokeweight="3pt">
                  <v:stroke endarrow="block"/>
                </v:line>
                <v:line id="Line 113" o:spid="_x0000_s1041" style="position:absolute;visibility:visible;mso-wrap-style:square" from="27432,4532" to="27432,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" strokecolor="#a5a5a5 [2092]" strokeweight="3pt">
                  <v:stroke endarrow="block"/>
                </v:line>
              </v:group>
            </w:pict>
          </mc:Fallback>
        </mc:AlternateContent>
      </w:r>
    </w:p>
    <w:p w:rsidR="000E5E36" w:rsidRDefault="000E5E36" w:rsidP="00A76F0E">
      <w:pPr>
        <w:pStyle w:val="TEXTIND"/>
        <w:spacing w:line="480" w:lineRule="auto"/>
      </w:pPr>
    </w:p>
    <w:p w:rsidR="000E5E36" w:rsidRDefault="000E5E36" w:rsidP="00A76F0E">
      <w:pPr>
        <w:pStyle w:val="TEXTIND"/>
        <w:spacing w:line="480" w:lineRule="auto"/>
      </w:pPr>
    </w:p>
    <w:p w:rsidR="000E5E36" w:rsidRDefault="000E5E36" w:rsidP="00A76F0E">
      <w:pPr>
        <w:pStyle w:val="TEXTIND"/>
        <w:spacing w:line="480" w:lineRule="auto"/>
      </w:pPr>
    </w:p>
    <w:p w:rsidR="000E5E36" w:rsidRDefault="000E5E36" w:rsidP="00A76F0E">
      <w:pPr>
        <w:pStyle w:val="TEXTIND"/>
        <w:spacing w:line="480" w:lineRule="auto"/>
      </w:pPr>
    </w:p>
    <w:p w:rsidR="000E5E36" w:rsidRDefault="000E5E36" w:rsidP="00A76F0E">
      <w:pPr>
        <w:pStyle w:val="TEXTIND"/>
        <w:spacing w:line="480" w:lineRule="auto"/>
      </w:pPr>
    </w:p>
    <w:p w:rsidR="000E5E36" w:rsidRDefault="000E5E36" w:rsidP="00A76F0E">
      <w:pPr>
        <w:pStyle w:val="TEXTIND"/>
        <w:spacing w:line="480" w:lineRule="auto"/>
      </w:pPr>
    </w:p>
    <w:p w:rsidR="000E5E36" w:rsidRDefault="000E5E36" w:rsidP="00A76F0E">
      <w:pPr>
        <w:pStyle w:val="TEXTIND"/>
        <w:spacing w:line="480" w:lineRule="auto"/>
      </w:pPr>
    </w:p>
    <w:p w:rsidR="000E5E36" w:rsidRDefault="000E5E36" w:rsidP="00A76F0E">
      <w:pPr>
        <w:pStyle w:val="TEXTIND"/>
        <w:spacing w:line="480" w:lineRule="auto"/>
      </w:pPr>
    </w:p>
    <w:p w:rsidR="00A76F0E" w:rsidRPr="000E5E36" w:rsidRDefault="00A76F0E" w:rsidP="000E5E36">
      <w:pPr>
        <w:pStyle w:val="CPB"/>
        <w:spacing w:line="480" w:lineRule="auto"/>
        <w:jc w:val="center"/>
        <w:rPr>
          <w:b/>
          <w:color w:val="auto"/>
        </w:rPr>
      </w:pPr>
      <w:r w:rsidRPr="000E5E36">
        <w:rPr>
          <w:b/>
          <w:color w:val="auto"/>
          <w:bdr w:val="none" w:sz="0" w:space="0" w:color="auto" w:frame="1"/>
        </w:rPr>
        <w:t>Figure 1</w:t>
      </w:r>
      <w:r w:rsidRPr="000E5E36">
        <w:rPr>
          <w:b/>
          <w:color w:val="auto"/>
        </w:rPr>
        <w:t>. The Conve</w:t>
      </w:r>
      <w:bookmarkStart w:id="0" w:name="_GoBack"/>
      <w:bookmarkEnd w:id="0"/>
      <w:r w:rsidRPr="000E5E36">
        <w:rPr>
          <w:b/>
          <w:color w:val="auto"/>
        </w:rPr>
        <w:t>rgent Parallel Design</w:t>
      </w:r>
    </w:p>
    <w:p w:rsidR="00A76F0E" w:rsidRPr="00E971E6" w:rsidRDefault="00A76F0E" w:rsidP="00A76F0E">
      <w:pPr>
        <w:pStyle w:val="CPSO"/>
        <w:spacing w:line="480" w:lineRule="auto"/>
        <w:rPr>
          <w:color w:val="auto"/>
        </w:rPr>
      </w:pPr>
      <w:r w:rsidRPr="00E971E6">
        <w:rPr>
          <w:color w:val="auto"/>
        </w:rPr>
        <w:lastRenderedPageBreak/>
        <w:t>Description: A figure showing how the convergen</w:t>
      </w:r>
      <w:r>
        <w:rPr>
          <w:color w:val="auto"/>
        </w:rPr>
        <w:t>t parallel design</w:t>
      </w:r>
      <w:r w:rsidRPr="00E971E6">
        <w:rPr>
          <w:color w:val="auto"/>
        </w:rPr>
        <w:t xml:space="preserve"> works. Both quantitative and qualitative data are collected and analyzed simultaneously. At the final stage, both types of data are compared and contrasted to interpret findings and draw conclusions about the survey.</w:t>
      </w:r>
    </w:p>
    <w:p w:rsidR="00A76F0E" w:rsidRPr="00E971E6" w:rsidRDefault="00A76F0E" w:rsidP="00A76F0E">
      <w:pPr>
        <w:pStyle w:val="CPSO"/>
        <w:spacing w:line="480" w:lineRule="auto"/>
        <w:rPr>
          <w:color w:val="auto"/>
        </w:rPr>
      </w:pPr>
      <w:r w:rsidRPr="00E971E6">
        <w:rPr>
          <w:color w:val="auto"/>
        </w:rPr>
        <w:t xml:space="preserve">Source: Adapted from </w:t>
      </w:r>
      <w:r w:rsidRPr="00E971E6">
        <w:rPr>
          <w:color w:val="auto"/>
          <w:bdr w:val="none" w:sz="0" w:space="0" w:color="auto" w:frame="1"/>
        </w:rPr>
        <w:t>Creswell and Plano Clark (20</w:t>
      </w:r>
      <w:r>
        <w:rPr>
          <w:color w:val="auto"/>
          <w:bdr w:val="none" w:sz="0" w:space="0" w:color="auto" w:frame="1"/>
        </w:rPr>
        <w:t>11</w:t>
      </w:r>
      <w:r w:rsidRPr="00E971E6">
        <w:rPr>
          <w:color w:val="auto"/>
          <w:bdr w:val="none" w:sz="0" w:space="0" w:color="auto" w:frame="1"/>
        </w:rPr>
        <w:t>)</w:t>
      </w:r>
      <w:r w:rsidRPr="00E971E6">
        <w:rPr>
          <w:color w:val="auto"/>
        </w:rPr>
        <w:t>.</w:t>
      </w:r>
    </w:p>
    <w:p w:rsidR="00A76F0E" w:rsidRPr="00E971E6" w:rsidRDefault="00A76F0E" w:rsidP="00A76F0E">
      <w:pPr>
        <w:pStyle w:val="TEXTIND"/>
        <w:spacing w:line="480" w:lineRule="auto"/>
      </w:pPr>
      <w:r w:rsidRPr="00E971E6">
        <w:t>During interviews conducted for this study, for instance, I made concurrent direct observation, which I employed to validate data collected during interviews. As most of the interviewing took place inside respondents’ homes, it was easier to physically verify certain household assets as interviewees gave the quantity and price. This was especially important for livestock, as the price of some of the buffalo and cows, for instance, could run into several thousands of rupees, depending on the breed.</w:t>
      </w:r>
    </w:p>
    <w:p w:rsidR="00A76F0E" w:rsidRPr="00E971E6" w:rsidRDefault="00A76F0E" w:rsidP="00A76F0E">
      <w:pPr>
        <w:pStyle w:val="TEXTIND"/>
        <w:spacing w:line="480" w:lineRule="auto"/>
      </w:pPr>
      <w:r w:rsidRPr="00E971E6">
        <w:t>Focus groups tend to generate a lot of qualitative data at a very rapid pace (which is why I used an electronic recording device apart from taking notes). I paid special attention to how the group participants reacted to certain arguments raised (among themselves) regarding issues such as interest rates, installments, and loan usage. It was observed that some respondents, who were otherwise shy and hesitant in talking during interviews, became suddenly charged with the atmosphere of the group discussion, and the resulting conversation enabled cross-checking of what they had earlier expressed. The interpretation of results, therefore, was based on data collected from interviews, notes, and transcriptions from focus group discussions, direct observation, and cross-validation.</w:t>
      </w:r>
    </w:p>
    <w:p w:rsidR="00A76F0E" w:rsidRPr="00E971E6" w:rsidRDefault="00A76F0E" w:rsidP="00A76F0E">
      <w:pPr>
        <w:pStyle w:val="H1"/>
        <w:spacing w:line="480" w:lineRule="auto"/>
        <w:jc w:val="center"/>
        <w:rPr>
          <w:b/>
          <w:color w:val="auto"/>
        </w:rPr>
      </w:pPr>
      <w:r w:rsidRPr="00E971E6">
        <w:rPr>
          <w:b/>
          <w:color w:val="auto"/>
        </w:rPr>
        <w:t>Designing the Questionnaire: Selection and Choice of Indicators Applied</w:t>
      </w:r>
    </w:p>
    <w:p w:rsidR="00A76F0E" w:rsidRPr="00E971E6" w:rsidRDefault="00A76F0E" w:rsidP="00A76F0E">
      <w:pPr>
        <w:pStyle w:val="TEXT"/>
        <w:spacing w:line="480" w:lineRule="auto"/>
      </w:pPr>
      <w:r w:rsidRPr="00E971E6">
        <w:lastRenderedPageBreak/>
        <w:t>In the sections above, I identified semi-structured questionnaires as the primary instrument employed to gather field data. According to Bryman (2004), in social research, interviews tend to capture information on the respondents’ own behaviors or that of others as well as attitudes, norms, beliefs, and values. As discussed earlier, a substantial part of the data-gathering process was accomplished through face-to-face interviewing by means of a semi-structured questionnaire, which comprised both closed and open-ended questions. Certain indicators were classified into broad categories of rural livelihoods. These variables can be considered as the vehicles or the channels through which the actual process of impact takes place in development-related initiatives. Indicators that are selected to determine impact refer to measurable changes to borrowers’ livelihoods resulting from development initiatives instigated by third-sector organizations, non-governmental organizations (NGOs), or MFIs. Broadly speaking, these variables pertain predominantly to indicators proposed by various institutions in an attempt to set forth a standardized and measurable set of indexes that determine human well-being in a society. This research principally explores the “harder” and more tangible facets of impact as opposed to aspects such as gender and social well-being. However, owing to the intricacy of human behavior and the complexity of outside elements or “externalities” such as sociopolitical and socioeconomic factors that come into play, it is difficult to identify a set of variables and indicators that are universally acceptable, applicable, and appropriate.</w:t>
      </w:r>
    </w:p>
    <w:p w:rsidR="00A76F0E" w:rsidRPr="00E971E6" w:rsidRDefault="00A76F0E" w:rsidP="00A76F0E">
      <w:pPr>
        <w:pStyle w:val="TEXTIND"/>
        <w:spacing w:line="480" w:lineRule="auto"/>
      </w:pPr>
      <w:r w:rsidRPr="00E971E6">
        <w:t>Poverty is multidimensional, which makes it necessary to have representative indicators that can accurately recognize, represent, and characterize the poverty level of a typical household. Relying on only one (e.g., income or assets alone) or even just a few indicators can seriously skew and distort the picture of the multidimensional nature of poverty.</w:t>
      </w:r>
    </w:p>
    <w:p w:rsidR="00A76F0E" w:rsidRPr="00E971E6" w:rsidRDefault="00A76F0E" w:rsidP="00A76F0E">
      <w:pPr>
        <w:pStyle w:val="TEXTIND"/>
        <w:spacing w:line="480" w:lineRule="auto"/>
      </w:pPr>
      <w:r w:rsidRPr="00E971E6">
        <w:lastRenderedPageBreak/>
        <w:t>This study classifies livelihoods across four dimensions, the characteristics of which are captured by a number of indicators. Briefly explained in the following lines are the four major dimensions into which respective indicators were divided:</w:t>
      </w:r>
    </w:p>
    <w:p w:rsidR="00A76F0E" w:rsidRPr="00E971E6" w:rsidRDefault="00A76F0E" w:rsidP="00A76F0E">
      <w:pPr>
        <w:pStyle w:val="NL"/>
        <w:spacing w:line="480" w:lineRule="auto"/>
        <w:rPr>
          <w:color w:val="auto"/>
        </w:rPr>
      </w:pPr>
      <w:r w:rsidRPr="00153834">
        <w:rPr>
          <w:color w:val="auto"/>
        </w:rPr>
        <w:t xml:space="preserve">1. </w:t>
      </w:r>
      <w:r w:rsidRPr="00153834">
        <w:rPr>
          <w:bCs/>
          <w:i/>
          <w:iCs/>
          <w:color w:val="auto"/>
        </w:rPr>
        <w:t>Human resources</w:t>
      </w:r>
      <w:r w:rsidRPr="00153834">
        <w:rPr>
          <w:color w:val="auto"/>
        </w:rPr>
        <w:t>.</w:t>
      </w:r>
      <w:r w:rsidRPr="00E971E6">
        <w:rPr>
          <w:color w:val="auto"/>
        </w:rPr>
        <w:t xml:space="preserve"> Perhaps, </w:t>
      </w:r>
      <w:r w:rsidRPr="00153834">
        <w:rPr>
          <w:color w:val="auto"/>
        </w:rPr>
        <w:t>one</w:t>
      </w:r>
      <w:r w:rsidRPr="00E971E6">
        <w:rPr>
          <w:color w:val="auto"/>
        </w:rPr>
        <w:t xml:space="preserve"> of the most detailed sections of the questionnaire, this part attempts to capture the demographic characteristics of households and their relationship to the earning capacity and overall well-being of individuals concerned. Aspects such as adult and children’s literacy, adults’ occupation, and number of children are covered in this section.</w:t>
      </w:r>
    </w:p>
    <w:p w:rsidR="00A76F0E" w:rsidRPr="00E971E6" w:rsidRDefault="00A76F0E" w:rsidP="00A76F0E">
      <w:pPr>
        <w:pStyle w:val="NL"/>
        <w:spacing w:line="480" w:lineRule="auto"/>
        <w:rPr>
          <w:color w:val="auto"/>
        </w:rPr>
      </w:pPr>
      <w:r w:rsidRPr="00153834">
        <w:rPr>
          <w:color w:val="auto"/>
        </w:rPr>
        <w:t>2.</w:t>
      </w:r>
      <w:r w:rsidRPr="00153834">
        <w:rPr>
          <w:bCs/>
          <w:i/>
          <w:iCs/>
          <w:color w:val="auto"/>
        </w:rPr>
        <w:t xml:space="preserve"> Dwelling-related indicators</w:t>
      </w:r>
      <w:r w:rsidRPr="00153834">
        <w:rPr>
          <w:color w:val="auto"/>
        </w:rPr>
        <w:t>.</w:t>
      </w:r>
      <w:r w:rsidRPr="00E971E6">
        <w:rPr>
          <w:color w:val="auto"/>
        </w:rPr>
        <w:t xml:space="preserve"> Indicators in this dimension tend to capture the dynamics that relate to fulfillment of basic needs by assessing the quality of housing and living conditions. Questions relate to house ownership, number of rooms in the house, source of water supply, type of toilet, bathroom waste disposal, energy for lighting in the house, type of fuel used for cooking, and type/material used for floor, exterior walls, and roof.</w:t>
      </w:r>
    </w:p>
    <w:p w:rsidR="00A76F0E" w:rsidRPr="00E971E6" w:rsidRDefault="00A76F0E" w:rsidP="00A76F0E">
      <w:pPr>
        <w:pStyle w:val="NL"/>
        <w:spacing w:line="480" w:lineRule="auto"/>
        <w:rPr>
          <w:color w:val="auto"/>
        </w:rPr>
      </w:pPr>
      <w:r w:rsidRPr="00153834">
        <w:rPr>
          <w:color w:val="auto"/>
        </w:rPr>
        <w:t xml:space="preserve">3. </w:t>
      </w:r>
      <w:r w:rsidRPr="00153834">
        <w:rPr>
          <w:bCs/>
          <w:i/>
          <w:iCs/>
          <w:color w:val="auto"/>
        </w:rPr>
        <w:t>Food security and vulnerability</w:t>
      </w:r>
      <w:r w:rsidRPr="00153834">
        <w:rPr>
          <w:color w:val="auto"/>
        </w:rPr>
        <w:t>.</w:t>
      </w:r>
      <w:r w:rsidRPr="00E971E6">
        <w:rPr>
          <w:color w:val="auto"/>
        </w:rPr>
        <w:t xml:space="preserve"> This dimension captures how well the household copes with food-related aspects such as number of days when </w:t>
      </w:r>
      <w:r w:rsidRPr="00E971E6">
        <w:rPr>
          <w:i/>
          <w:iCs/>
          <w:color w:val="auto"/>
        </w:rPr>
        <w:t>staple</w:t>
      </w:r>
      <w:r w:rsidRPr="00E971E6">
        <w:rPr>
          <w:color w:val="auto"/>
        </w:rPr>
        <w:t xml:space="preserve"> and </w:t>
      </w:r>
      <w:r w:rsidRPr="00E971E6">
        <w:rPr>
          <w:i/>
          <w:iCs/>
          <w:color w:val="auto"/>
        </w:rPr>
        <w:t>luxury</w:t>
      </w:r>
      <w:r w:rsidRPr="00E971E6">
        <w:rPr>
          <w:color w:val="auto"/>
        </w:rPr>
        <w:t xml:space="preserve"> food items are consumed.</w:t>
      </w:r>
    </w:p>
    <w:p w:rsidR="00A76F0E" w:rsidRPr="00E971E6" w:rsidRDefault="00A76F0E" w:rsidP="00A76F0E">
      <w:pPr>
        <w:pStyle w:val="NL"/>
        <w:spacing w:line="480" w:lineRule="auto"/>
        <w:rPr>
          <w:color w:val="auto"/>
        </w:rPr>
      </w:pPr>
      <w:r w:rsidRPr="00153834">
        <w:rPr>
          <w:color w:val="auto"/>
        </w:rPr>
        <w:t xml:space="preserve">4. </w:t>
      </w:r>
      <w:r w:rsidRPr="00153834">
        <w:rPr>
          <w:bCs/>
          <w:i/>
          <w:iCs/>
          <w:color w:val="auto"/>
        </w:rPr>
        <w:t>Ownership of household assets</w:t>
      </w:r>
      <w:r w:rsidRPr="00153834">
        <w:rPr>
          <w:color w:val="auto"/>
        </w:rPr>
        <w:t>.</w:t>
      </w:r>
      <w:r w:rsidRPr="00E971E6">
        <w:rPr>
          <w:color w:val="auto"/>
        </w:rPr>
        <w:t xml:space="preserve"> Information is gathered regarding household assets in </w:t>
      </w:r>
      <w:r w:rsidRPr="00153834">
        <w:rPr>
          <w:color w:val="auto"/>
        </w:rPr>
        <w:t>three</w:t>
      </w:r>
      <w:r w:rsidRPr="00E971E6">
        <w:rPr>
          <w:color w:val="auto"/>
        </w:rPr>
        <w:t xml:space="preserve"> categories: appliances and electronics, livestock, and transportation-related assets.</w:t>
      </w:r>
    </w:p>
    <w:p w:rsidR="00A76F0E" w:rsidRPr="00E971E6" w:rsidRDefault="00A76F0E" w:rsidP="00A76F0E">
      <w:pPr>
        <w:pStyle w:val="TEXTIND"/>
        <w:spacing w:line="480" w:lineRule="auto"/>
      </w:pPr>
      <w:r w:rsidRPr="00E971E6">
        <w:t xml:space="preserve">Dimensions were first identified and later screened to select those which are the strongest and have the capability to distinguish between relative levels of poverty. The choice of these variables for the calculation of the poverty scores was based on their global acceptability as indicators of poverty according to the CGAP </w:t>
      </w:r>
      <w:r w:rsidRPr="00731BD4">
        <w:t>(the Consultative Group to Assist the Poor)</w:t>
      </w:r>
      <w:r w:rsidRPr="00E971E6">
        <w:t xml:space="preserve"> poverty assessment tool put forth by Henry et al. Due to the multidimensional nature of poverty, this approach is very sensitive in discriminating among different levels of poverty among both borrower and non-borrower households.</w:t>
      </w:r>
    </w:p>
    <w:p w:rsidR="00A76F0E" w:rsidRPr="00E971E6" w:rsidRDefault="00A76F0E" w:rsidP="00A76F0E">
      <w:pPr>
        <w:pStyle w:val="H1"/>
        <w:spacing w:line="480" w:lineRule="auto"/>
        <w:jc w:val="center"/>
        <w:rPr>
          <w:b/>
          <w:color w:val="auto"/>
        </w:rPr>
      </w:pPr>
      <w:r w:rsidRPr="00E971E6">
        <w:rPr>
          <w:b/>
          <w:color w:val="auto"/>
        </w:rPr>
        <w:lastRenderedPageBreak/>
        <w:t>Pilot Testing the Questionnaire</w:t>
      </w:r>
    </w:p>
    <w:p w:rsidR="00A76F0E" w:rsidRPr="00E971E6" w:rsidRDefault="00A76F0E" w:rsidP="00A76F0E">
      <w:pPr>
        <w:pStyle w:val="TEXT"/>
        <w:spacing w:line="480" w:lineRule="auto"/>
      </w:pPr>
      <w:r w:rsidRPr="00E971E6">
        <w:t>I had read a lot about the significance of pilot testing the questionnaire, but had always felt that it would be unnecessary as I have very carefully worded and formulated my questions. Regardless, I decided to carry out a small number of pilot tests before embarking in the field for full-scale interviews.</w:t>
      </w:r>
    </w:p>
    <w:p w:rsidR="00A76F0E" w:rsidRPr="00E971E6" w:rsidRDefault="00A76F0E" w:rsidP="00A76F0E">
      <w:pPr>
        <w:pStyle w:val="TEXTIND"/>
        <w:spacing w:line="480" w:lineRule="auto"/>
      </w:pPr>
      <w:r w:rsidRPr="00E971E6">
        <w:t>After the first few pilot interviews, I realized that the process could assist me in testing the effectiveness of the questions in capturing required indicators of relative well-being. Testing also assists in cross-checking the validity of questions for implementation in the field and acts as a trial of the survey instrument prior to full execution by identifying weak areas.</w:t>
      </w:r>
    </w:p>
    <w:p w:rsidR="00A76F0E" w:rsidRPr="00E971E6" w:rsidRDefault="00A76F0E" w:rsidP="00A76F0E">
      <w:pPr>
        <w:pStyle w:val="TEXTIND"/>
        <w:spacing w:line="480" w:lineRule="auto"/>
      </w:pPr>
      <w:r w:rsidRPr="00E971E6">
        <w:t>Consequently, a number of indicators were altered in order to meet research objectives, to control for local specificities, and to ensure that they fully captured and reflected relative well-being and poverty levels of both groups of households. Indicators such as those relating to highly contextual and subjective responses were also subsequently dropped from the final field instrument.</w:t>
      </w:r>
    </w:p>
    <w:p w:rsidR="00A76F0E" w:rsidRPr="00E971E6" w:rsidRDefault="00A76F0E" w:rsidP="00A76F0E">
      <w:pPr>
        <w:pStyle w:val="TEXTIND"/>
        <w:spacing w:line="480" w:lineRule="auto"/>
      </w:pPr>
      <w:r w:rsidRPr="00E971E6">
        <w:t>The questionnaire initially contained questions that were designed to capture any savings held by both groups of respondents. During the pilot testing phase, I discovered that very few people had savings accounts with mainstream financial institutions. In fact, even savings held with MFIs were almost non-existent, as requirements of most lenders for saving a specific amount each month were non-mandatory. In response to the savings-related questions, however, respondents mentioned saving via Rotating Savings and Credit Associations (ROSCA</w:t>
      </w:r>
      <w:r w:rsidRPr="00153834">
        <w:t>s</w:t>
      </w:r>
      <w:r w:rsidRPr="00E971E6">
        <w:t xml:space="preserve">), a popular and effective saving method in rural areas around the world. As a result, I tailored the </w:t>
      </w:r>
      <w:r w:rsidRPr="00E971E6">
        <w:lastRenderedPageBreak/>
        <w:t>questions to capture information specific to this dimension, concerning monthly payment toward the scheme, how much they would get at their turn in the ballot, total amount of payments being made toward the program, total amounts if participating in multiple schemes, and so on.</w:t>
      </w:r>
    </w:p>
    <w:p w:rsidR="00A76F0E" w:rsidRPr="00E971E6" w:rsidRDefault="00A76F0E" w:rsidP="00A76F0E">
      <w:pPr>
        <w:pStyle w:val="TEXTIND"/>
        <w:spacing w:line="480" w:lineRule="auto"/>
      </w:pPr>
      <w:r w:rsidRPr="00E971E6">
        <w:t>Similarly, the initial version contained certain asset-related questions that I removed after the pilot interviews, as it became evident that they did not seem to effectively reflect relative poverty or well-being levels of respondents. I also removed questions about beds, mattresses, and fans as most households possessed them, and they seemed to fail in distinguishing relative poverty levels. While in the field, I observed that mobile phones are a good and effective indicator of relative well-being, which induced me to include questions of both ownership and the price of mobile phone handsets in the household.</w:t>
      </w:r>
    </w:p>
    <w:p w:rsidR="00A76F0E" w:rsidRPr="00E971E6" w:rsidRDefault="00A76F0E" w:rsidP="00A76F0E">
      <w:pPr>
        <w:pStyle w:val="TEXTIND"/>
        <w:spacing w:line="480" w:lineRule="auto"/>
      </w:pPr>
      <w:r w:rsidRPr="00E971E6">
        <w:t>One of the four dimensions related to food security and vulnerability and was designed to capture how well each household copes with food-related aspects. Preliminary versions of the questionnaire contained detailed questions such as consumption of eggs, meat, vegetables, lentils, fish, rice, and dairy products. Initial testing of the questionnaire showed that it was very time-consuming and cumbersome for respondents to recall food items in such detail with the accuracy required for effective analysis and interpretation of household food consumption patterns. I revised the questions by grouping food consumption into two broad categories: staple and luxury food items. I found the recall period to be most accurate within the 7 days immediately preceding the date of interview. The final field instrument therefore comprised questions about staple and luxury food items consumed during the last 7 days, excluding any festival periods and patterns of frequency of purchasing storable food items such as rice and wheat.</w:t>
      </w:r>
    </w:p>
    <w:p w:rsidR="00A76F0E" w:rsidRPr="00E971E6" w:rsidRDefault="00A76F0E" w:rsidP="00A76F0E">
      <w:pPr>
        <w:pStyle w:val="H1"/>
        <w:spacing w:line="480" w:lineRule="auto"/>
        <w:jc w:val="center"/>
        <w:rPr>
          <w:b/>
          <w:color w:val="auto"/>
        </w:rPr>
      </w:pPr>
      <w:r w:rsidRPr="00E971E6">
        <w:rPr>
          <w:b/>
          <w:color w:val="auto"/>
        </w:rPr>
        <w:lastRenderedPageBreak/>
        <w:t>Selecting the Sample</w:t>
      </w:r>
    </w:p>
    <w:p w:rsidR="00A76F0E" w:rsidRPr="00E971E6" w:rsidRDefault="00A76F0E" w:rsidP="00A76F0E">
      <w:pPr>
        <w:pStyle w:val="TEXT"/>
        <w:spacing w:line="480" w:lineRule="auto"/>
      </w:pPr>
      <w:r w:rsidRPr="00E971E6">
        <w:t>In order to select households (as units of survey), I used the multistage sampling method in a four-stage random selection process. In the first stage, I selected 11 of the 36 districts from the entire province. These districts were picked systematically as opposed to random selection in order to control for social and economic disparities that occur across the province within various districts and tehsils. This process ensured that the selected districts represented maximum and diverse geographical regions of the entire province. Starting from the North of the province, districts were selected toward the East, West, and South. In the second stage, I randomly selected at least one tehsil from each identified district. The third stage comprised picking at least two villages from the selected tehsils, and in the fourth and final stage, participating and non-participating households were randomly selected for interviews. The size of the sample drawn from each village varied according to the population, but efforts were made to keep a balance of the borrower and non-borrower households so as to obtain a representative portrayal of each village covered in the survey. By combining these different sampling methods, I was able to make a representative selection from the sample universe.</w:t>
      </w:r>
    </w:p>
    <w:p w:rsidR="00A76F0E" w:rsidRPr="00E971E6" w:rsidRDefault="00A76F0E" w:rsidP="00A76F0E">
      <w:pPr>
        <w:pStyle w:val="H1"/>
        <w:spacing w:line="480" w:lineRule="auto"/>
        <w:jc w:val="center"/>
        <w:rPr>
          <w:b/>
          <w:color w:val="auto"/>
        </w:rPr>
      </w:pPr>
      <w:r w:rsidRPr="00E971E6">
        <w:rPr>
          <w:b/>
          <w:color w:val="auto"/>
        </w:rPr>
        <w:t>Survey Findings</w:t>
      </w:r>
    </w:p>
    <w:p w:rsidR="00A76F0E" w:rsidRPr="00E971E6" w:rsidRDefault="00A76F0E" w:rsidP="00A76F0E">
      <w:pPr>
        <w:pStyle w:val="TEXT"/>
        <w:spacing w:line="480" w:lineRule="auto"/>
      </w:pPr>
      <w:r w:rsidRPr="00E971E6">
        <w:t xml:space="preserve">The survey revealed that borrowers fare better in most of the indicators across various dimensions of relative household well-being. The degree of the difference across both groups was substantial as well as statistically significant in some indicators and weak and insignificant in others. For instance, borrowers’ household income and expenditure were observed to be better than non-borrowers, and they also performed better in terms of livestock, participation in savings </w:t>
      </w:r>
      <w:r w:rsidRPr="00E971E6">
        <w:lastRenderedPageBreak/>
        <w:t>schemes, and owning greater overall value of household assets. In the case of dwelling-related indicators, borrowers had better quality floors, roofs, walls, and water supply, although non-borrowers seemed to use better quality cooking fuel and had improved waste-water disposal systems. Borrowers were also found to consume better quality food and held more stocks of storable staple foods.</w:t>
      </w:r>
    </w:p>
    <w:p w:rsidR="00A76F0E" w:rsidRPr="00E971E6" w:rsidRDefault="00A76F0E" w:rsidP="00A76F0E">
      <w:pPr>
        <w:pStyle w:val="TEXTIND"/>
        <w:spacing w:line="480" w:lineRule="auto"/>
      </w:pPr>
      <w:r w:rsidRPr="00E971E6">
        <w:t>The most prominent and statistically significant differences between both groups favored borrowers, as they seemed to show better results in accumulating savings, owning televisions, spending on health</w:t>
      </w:r>
      <w:r w:rsidRPr="00153834">
        <w:t xml:space="preserve"> </w:t>
      </w:r>
      <w:r w:rsidRPr="00E971E6">
        <w:t>care, earning more, and spending more on clothing and footwear. Overall, borrowers were seen to be better in around 70% of the indicators across which comparisons were made. It can be inferred that borrowers were able to increase household income by investing more in productive assets, such as livestock or sewing machines; this income was either saved for future investment or was consumed in the form of “luxury” foods or for stocking staple food items, or was spent on health</w:t>
      </w:r>
      <w:r w:rsidRPr="00153834">
        <w:t xml:space="preserve"> </w:t>
      </w:r>
      <w:r w:rsidRPr="00E971E6">
        <w:t>care. Given the persistence of poverty and vulnerability in rural Pakistan, the results show that microfinance can be used as an effective measure in alleviating poverty in the country (Ghalib, Malki, &amp; Imai, 2015).</w:t>
      </w:r>
    </w:p>
    <w:p w:rsidR="00A76F0E" w:rsidRPr="00E971E6" w:rsidRDefault="00A76F0E" w:rsidP="00A76F0E">
      <w:pPr>
        <w:pStyle w:val="H1"/>
        <w:spacing w:line="480" w:lineRule="auto"/>
        <w:jc w:val="center"/>
        <w:rPr>
          <w:b/>
          <w:color w:val="auto"/>
        </w:rPr>
      </w:pPr>
      <w:r w:rsidRPr="00E971E6">
        <w:rPr>
          <w:b/>
          <w:color w:val="auto"/>
        </w:rPr>
        <w:t>Conclusion and a Methodological Overview of Mixing Methods</w:t>
      </w:r>
    </w:p>
    <w:p w:rsidR="00A76F0E" w:rsidRPr="00E971E6" w:rsidRDefault="00A76F0E" w:rsidP="00A76F0E">
      <w:pPr>
        <w:pStyle w:val="TEXT"/>
        <w:spacing w:line="480" w:lineRule="auto"/>
      </w:pPr>
      <w:r w:rsidRPr="00E971E6">
        <w:t xml:space="preserve">For this study, I used semi-structured interviews administered at the household level, along with focus group discussions and ethnographic observations to triangulate qualitative and quantitative data collected in the field. These different but complementary research methods provided both the breadth and depth of understanding. Creswell and Plano Clark state that the primary purpose </w:t>
      </w:r>
      <w:r w:rsidRPr="00E971E6">
        <w:lastRenderedPageBreak/>
        <w:t xml:space="preserve">of this design is to obtain “different but complementary” data on the same topic, which is why researchers use this model when they want to compare results or to validate, confirm, or corroborate quantitative results with qualitative findings. What people say during interviews can be substantiated by what data analyses show and what was actually observed in the field, and vice versa. Given the application of various quantitative and qualitative research techniques used during the course of this research, triangulation and </w:t>
      </w:r>
      <w:r>
        <w:t xml:space="preserve">its application through the </w:t>
      </w:r>
      <w:r w:rsidRPr="00E971E6">
        <w:t xml:space="preserve">convergence </w:t>
      </w:r>
      <w:r>
        <w:t xml:space="preserve">parallel </w:t>
      </w:r>
      <w:r w:rsidRPr="00E971E6">
        <w:t>model proved particularly instrumental in reaching a well-informed analysis and interpretation of the data collected.</w:t>
      </w:r>
    </w:p>
    <w:p w:rsidR="00A76F0E" w:rsidRPr="00E971E6" w:rsidRDefault="00A76F0E" w:rsidP="00A76F0E">
      <w:pPr>
        <w:pStyle w:val="EH"/>
        <w:spacing w:line="480" w:lineRule="auto"/>
        <w:rPr>
          <w:b/>
          <w:color w:val="auto"/>
        </w:rPr>
      </w:pPr>
      <w:r w:rsidRPr="00E971E6">
        <w:rPr>
          <w:b/>
          <w:color w:val="auto"/>
        </w:rPr>
        <w:t>Exercises and Discussion Questions</w:t>
      </w:r>
    </w:p>
    <w:p w:rsidR="00A76F0E" w:rsidRPr="00E971E6" w:rsidRDefault="00A76F0E" w:rsidP="00A76F0E">
      <w:pPr>
        <w:pStyle w:val="NL"/>
        <w:spacing w:line="480" w:lineRule="auto"/>
        <w:rPr>
          <w:color w:val="auto"/>
        </w:rPr>
      </w:pPr>
      <w:r w:rsidRPr="00153834">
        <w:rPr>
          <w:color w:val="auto"/>
        </w:rPr>
        <w:t>1</w:t>
      </w:r>
      <w:r w:rsidRPr="00E971E6">
        <w:rPr>
          <w:color w:val="auto"/>
        </w:rPr>
        <w:t>. Which research method(s) did I use for this study, and why do you think I selected them for this particular research?</w:t>
      </w:r>
    </w:p>
    <w:p w:rsidR="00A76F0E" w:rsidRPr="00E971E6" w:rsidRDefault="00A76F0E" w:rsidP="00A76F0E">
      <w:pPr>
        <w:pStyle w:val="NL"/>
        <w:spacing w:line="480" w:lineRule="auto"/>
        <w:rPr>
          <w:color w:val="auto"/>
        </w:rPr>
      </w:pPr>
      <w:r w:rsidRPr="00153834">
        <w:rPr>
          <w:color w:val="auto"/>
        </w:rPr>
        <w:t>2</w:t>
      </w:r>
      <w:r w:rsidRPr="00E971E6">
        <w:rPr>
          <w:color w:val="auto"/>
        </w:rPr>
        <w:t xml:space="preserve">. The case mentions </w:t>
      </w:r>
      <w:r>
        <w:rPr>
          <w:color w:val="auto"/>
        </w:rPr>
        <w:t>three</w:t>
      </w:r>
      <w:r w:rsidRPr="00E971E6">
        <w:rPr>
          <w:color w:val="auto"/>
        </w:rPr>
        <w:t xml:space="preserve"> </w:t>
      </w:r>
      <w:r>
        <w:rPr>
          <w:color w:val="auto"/>
        </w:rPr>
        <w:t>basic</w:t>
      </w:r>
      <w:r w:rsidRPr="00E971E6">
        <w:rPr>
          <w:color w:val="auto"/>
        </w:rPr>
        <w:t xml:space="preserve"> types of mixed-methods designs. Which </w:t>
      </w:r>
      <w:r w:rsidRPr="00153834">
        <w:rPr>
          <w:color w:val="auto"/>
        </w:rPr>
        <w:t>one</w:t>
      </w:r>
      <w:r w:rsidRPr="00E971E6">
        <w:rPr>
          <w:color w:val="auto"/>
        </w:rPr>
        <w:t xml:space="preserve"> did I use for this study and why do you think I considered it to be the most appropriate?</w:t>
      </w:r>
    </w:p>
    <w:p w:rsidR="00A76F0E" w:rsidRPr="00E971E6" w:rsidRDefault="00A76F0E" w:rsidP="00A76F0E">
      <w:pPr>
        <w:pStyle w:val="NL"/>
        <w:spacing w:line="480" w:lineRule="auto"/>
        <w:rPr>
          <w:color w:val="auto"/>
        </w:rPr>
      </w:pPr>
      <w:r w:rsidRPr="00153834">
        <w:rPr>
          <w:color w:val="auto"/>
        </w:rPr>
        <w:t>3</w:t>
      </w:r>
      <w:r w:rsidRPr="00E971E6">
        <w:rPr>
          <w:color w:val="auto"/>
        </w:rPr>
        <w:t>. Given the nature of the study and the subjects being investigated, what do you think would have been the consequences of using either qualitative or quantitative methods of data collection?</w:t>
      </w:r>
    </w:p>
    <w:p w:rsidR="00A76F0E" w:rsidRPr="00E971E6" w:rsidRDefault="00A76F0E" w:rsidP="00A76F0E">
      <w:pPr>
        <w:pStyle w:val="NL"/>
        <w:spacing w:line="480" w:lineRule="auto"/>
        <w:rPr>
          <w:color w:val="auto"/>
        </w:rPr>
      </w:pPr>
      <w:r w:rsidRPr="00153834">
        <w:rPr>
          <w:color w:val="auto"/>
        </w:rPr>
        <w:t>4</w:t>
      </w:r>
      <w:r w:rsidRPr="00E971E6">
        <w:rPr>
          <w:color w:val="auto"/>
        </w:rPr>
        <w:t>. I have mentioned the benefits and advantages of using mixed methods. Can you think of any disadvantages that this method might have? You can use any study as an example to illustrate your point.</w:t>
      </w:r>
    </w:p>
    <w:p w:rsidR="00A76F0E" w:rsidRPr="00E971E6" w:rsidRDefault="00A76F0E" w:rsidP="00A76F0E">
      <w:pPr>
        <w:pStyle w:val="NL"/>
        <w:spacing w:line="480" w:lineRule="auto"/>
        <w:rPr>
          <w:color w:val="auto"/>
        </w:rPr>
      </w:pPr>
      <w:r w:rsidRPr="00153834">
        <w:rPr>
          <w:color w:val="auto"/>
        </w:rPr>
        <w:t>5</w:t>
      </w:r>
      <w:r w:rsidRPr="00E971E6">
        <w:rPr>
          <w:color w:val="auto"/>
        </w:rPr>
        <w:t>. I have emphasized the significance of pilot testing a questionnaire in the field prior to its full-scale launch. Explain why I think this step is important. How do you think it adds value to the data collected?</w:t>
      </w:r>
    </w:p>
    <w:p w:rsidR="00A76F0E" w:rsidRPr="00E971E6" w:rsidRDefault="00A76F0E" w:rsidP="00A76F0E">
      <w:pPr>
        <w:pStyle w:val="EH"/>
        <w:spacing w:line="480" w:lineRule="auto"/>
        <w:rPr>
          <w:b/>
          <w:color w:val="auto"/>
        </w:rPr>
      </w:pPr>
      <w:r w:rsidRPr="00E971E6">
        <w:rPr>
          <w:b/>
          <w:color w:val="auto"/>
        </w:rPr>
        <w:lastRenderedPageBreak/>
        <w:t>Further Reading</w:t>
      </w:r>
    </w:p>
    <w:p w:rsidR="00A76F0E" w:rsidRPr="00E971E6" w:rsidRDefault="00A76F0E" w:rsidP="00A76F0E">
      <w:pPr>
        <w:pStyle w:val="REF"/>
        <w:spacing w:line="480" w:lineRule="auto"/>
      </w:pPr>
      <w:bookmarkStart w:id="1" w:name="bib1"/>
      <w:r w:rsidRPr="00E971E6">
        <w:t xml:space="preserve">Ghalib, A. K. (2013). How effective is microfinance in reaching the poorest? Empirical evidence on program outreach in rural Pakistan. </w:t>
      </w:r>
      <w:r w:rsidRPr="00E971E6">
        <w:rPr>
          <w:i/>
          <w:iCs/>
        </w:rPr>
        <w:t>Journal of Business Economics and Management</w:t>
      </w:r>
      <w:r w:rsidRPr="00153834">
        <w:rPr>
          <w:i/>
        </w:rPr>
        <w:t>, 14</w:t>
      </w:r>
      <w:r w:rsidRPr="00E971E6">
        <w:t>, 467-480.</w:t>
      </w:r>
      <w:bookmarkEnd w:id="1"/>
    </w:p>
    <w:p w:rsidR="00A76F0E" w:rsidRPr="00E971E6" w:rsidRDefault="00A76F0E" w:rsidP="00A76F0E">
      <w:pPr>
        <w:pStyle w:val="REF"/>
        <w:spacing w:line="480" w:lineRule="auto"/>
      </w:pPr>
      <w:bookmarkStart w:id="2" w:name="bib2"/>
      <w:r w:rsidRPr="00E971E6">
        <w:t xml:space="preserve">Ghalib, A. K., Malki, I., &amp; Imai, K. S. (2015). Microfinance and household poverty reduction: Empirical evidence from rural Pakistan. </w:t>
      </w:r>
      <w:r w:rsidRPr="00E971E6">
        <w:rPr>
          <w:i/>
          <w:iCs/>
        </w:rPr>
        <w:t>Oxford Development Studies</w:t>
      </w:r>
      <w:r w:rsidRPr="00153834">
        <w:rPr>
          <w:i/>
        </w:rPr>
        <w:t>, 43</w:t>
      </w:r>
      <w:r w:rsidRPr="00E971E6">
        <w:t>, 84-104.</w:t>
      </w:r>
      <w:bookmarkEnd w:id="2"/>
    </w:p>
    <w:p w:rsidR="00A76F0E" w:rsidRPr="00E971E6" w:rsidRDefault="00A76F0E" w:rsidP="00A76F0E">
      <w:pPr>
        <w:pStyle w:val="EH"/>
        <w:spacing w:line="480" w:lineRule="auto"/>
        <w:rPr>
          <w:b/>
          <w:color w:val="auto"/>
        </w:rPr>
      </w:pPr>
      <w:r w:rsidRPr="00E971E6">
        <w:rPr>
          <w:b/>
          <w:color w:val="auto"/>
        </w:rPr>
        <w:t>References</w:t>
      </w:r>
    </w:p>
    <w:p w:rsidR="00A76F0E" w:rsidRPr="00E971E6" w:rsidRDefault="00A76F0E" w:rsidP="00A76F0E">
      <w:pPr>
        <w:pStyle w:val="REF"/>
        <w:spacing w:line="480" w:lineRule="auto"/>
      </w:pPr>
      <w:bookmarkStart w:id="3" w:name="bib3"/>
      <w:r w:rsidRPr="00E971E6">
        <w:t xml:space="preserve">Bryman, A. (2004). </w:t>
      </w:r>
      <w:r w:rsidRPr="00153834">
        <w:rPr>
          <w:i/>
        </w:rPr>
        <w:t xml:space="preserve">Social </w:t>
      </w:r>
      <w:r w:rsidRPr="00E971E6">
        <w:rPr>
          <w:i/>
        </w:rPr>
        <w:t>r</w:t>
      </w:r>
      <w:r w:rsidRPr="00153834">
        <w:rPr>
          <w:i/>
        </w:rPr>
        <w:t xml:space="preserve">esearch </w:t>
      </w:r>
      <w:r w:rsidRPr="00E971E6">
        <w:rPr>
          <w:i/>
        </w:rPr>
        <w:t>m</w:t>
      </w:r>
      <w:r w:rsidRPr="00153834">
        <w:rPr>
          <w:i/>
        </w:rPr>
        <w:t>ethods</w:t>
      </w:r>
      <w:r w:rsidRPr="00E971E6">
        <w:t>. Oxford, UK: Oxford University Press.</w:t>
      </w:r>
      <w:bookmarkEnd w:id="3"/>
    </w:p>
    <w:p w:rsidR="00A76F0E" w:rsidRDefault="00A76F0E" w:rsidP="00A76F0E">
      <w:pPr>
        <w:pStyle w:val="REF"/>
        <w:spacing w:line="480" w:lineRule="auto"/>
      </w:pPr>
      <w:bookmarkStart w:id="4" w:name="bib4"/>
      <w:r>
        <w:t xml:space="preserve">Creswell, J. W. (2015). A concise introduction to mixed methods research. </w:t>
      </w:r>
      <w:r w:rsidRPr="00E971E6">
        <w:t>Thousand Oaks, CA: SAGE</w:t>
      </w:r>
    </w:p>
    <w:p w:rsidR="00A76F0E" w:rsidRPr="00E971E6" w:rsidRDefault="00A76F0E" w:rsidP="00A76F0E">
      <w:pPr>
        <w:pStyle w:val="REF"/>
        <w:spacing w:line="480" w:lineRule="auto"/>
      </w:pPr>
      <w:r w:rsidRPr="00E971E6">
        <w:t>Creswell, J. W., &amp; Plano Clark, V. L. (20</w:t>
      </w:r>
      <w:r>
        <w:t>11</w:t>
      </w:r>
      <w:r w:rsidRPr="00E971E6">
        <w:t xml:space="preserve">). </w:t>
      </w:r>
      <w:r w:rsidRPr="00153834">
        <w:rPr>
          <w:i/>
        </w:rPr>
        <w:t xml:space="preserve">Designing and </w:t>
      </w:r>
      <w:r w:rsidRPr="00E971E6">
        <w:rPr>
          <w:i/>
        </w:rPr>
        <w:t>c</w:t>
      </w:r>
      <w:r w:rsidRPr="00153834">
        <w:rPr>
          <w:i/>
        </w:rPr>
        <w:t xml:space="preserve">onducting </w:t>
      </w:r>
      <w:r w:rsidRPr="00E971E6">
        <w:rPr>
          <w:i/>
        </w:rPr>
        <w:t>m</w:t>
      </w:r>
      <w:r w:rsidRPr="00153834">
        <w:rPr>
          <w:i/>
        </w:rPr>
        <w:t xml:space="preserve">ixed </w:t>
      </w:r>
      <w:r w:rsidRPr="00E971E6">
        <w:rPr>
          <w:i/>
        </w:rPr>
        <w:t>m</w:t>
      </w:r>
      <w:r w:rsidRPr="00153834">
        <w:rPr>
          <w:i/>
        </w:rPr>
        <w:t xml:space="preserve">ethods </w:t>
      </w:r>
      <w:r w:rsidRPr="00E971E6">
        <w:rPr>
          <w:i/>
        </w:rPr>
        <w:t>r</w:t>
      </w:r>
      <w:r w:rsidRPr="00153834">
        <w:rPr>
          <w:i/>
        </w:rPr>
        <w:t>esearch</w:t>
      </w:r>
      <w:r w:rsidRPr="00E971E6">
        <w:t>. Thousand Oaks, CA: SAGE.</w:t>
      </w:r>
      <w:bookmarkEnd w:id="4"/>
    </w:p>
    <w:p w:rsidR="00A76F0E" w:rsidRPr="00E971E6" w:rsidRDefault="00A76F0E" w:rsidP="00A76F0E">
      <w:pPr>
        <w:pStyle w:val="REF"/>
        <w:spacing w:line="480" w:lineRule="auto"/>
      </w:pPr>
      <w:bookmarkStart w:id="5" w:name="bib5"/>
      <w:r w:rsidRPr="00E971E6">
        <w:t xml:space="preserve">Henry, C., Sharma, M., Lapenu, C., &amp; Zeller, M. (2003). </w:t>
      </w:r>
      <w:r w:rsidRPr="00153834">
        <w:rPr>
          <w:i/>
        </w:rPr>
        <w:t>Microfinance Poverty Assessment Tool</w:t>
      </w:r>
      <w:r w:rsidRPr="00E971E6">
        <w:t>. Washington, DC: The World Bank.</w:t>
      </w:r>
      <w:bookmarkEnd w:id="5"/>
    </w:p>
    <w:p w:rsidR="00A76F0E" w:rsidRPr="00E971E6" w:rsidRDefault="00A76F0E" w:rsidP="00A76F0E">
      <w:pPr>
        <w:pStyle w:val="REF"/>
        <w:spacing w:line="480" w:lineRule="auto"/>
      </w:pPr>
      <w:bookmarkStart w:id="6" w:name="bib6"/>
      <w:r w:rsidRPr="00E971E6">
        <w:t xml:space="preserve">Jick, T. D. (1979). Mixing qualitative and quantitative methods: Triangulation in action. </w:t>
      </w:r>
      <w:r w:rsidRPr="00153834">
        <w:rPr>
          <w:i/>
        </w:rPr>
        <w:t>Administrative Science Quarterly</w:t>
      </w:r>
      <w:r w:rsidRPr="00E971E6">
        <w:rPr>
          <w:i/>
        </w:rPr>
        <w:t>,</w:t>
      </w:r>
      <w:r w:rsidRPr="00153834">
        <w:rPr>
          <w:i/>
        </w:rPr>
        <w:t xml:space="preserve"> 24</w:t>
      </w:r>
      <w:r w:rsidRPr="00E971E6">
        <w:t>, 602-611.</w:t>
      </w:r>
      <w:bookmarkEnd w:id="6"/>
    </w:p>
    <w:p w:rsidR="00657CA8" w:rsidRDefault="00A76F0E" w:rsidP="00A76F0E">
      <w:pPr>
        <w:pStyle w:val="REF"/>
        <w:spacing w:line="480" w:lineRule="auto"/>
      </w:pPr>
      <w:bookmarkStart w:id="7" w:name="bib7"/>
      <w:r w:rsidRPr="00E971E6">
        <w:t>Saunders, M., Lewis, P., &amp; Thornhill, A. (20</w:t>
      </w:r>
      <w:r>
        <w:t>16</w:t>
      </w:r>
      <w:r w:rsidRPr="00E971E6">
        <w:t xml:space="preserve">). </w:t>
      </w:r>
      <w:r w:rsidRPr="00153834">
        <w:rPr>
          <w:i/>
        </w:rPr>
        <w:t xml:space="preserve">Research </w:t>
      </w:r>
      <w:r w:rsidRPr="00E971E6">
        <w:rPr>
          <w:i/>
        </w:rPr>
        <w:t>m</w:t>
      </w:r>
      <w:r w:rsidRPr="00153834">
        <w:rPr>
          <w:i/>
        </w:rPr>
        <w:t xml:space="preserve">ethods for </w:t>
      </w:r>
      <w:r w:rsidRPr="00E971E6">
        <w:rPr>
          <w:i/>
        </w:rPr>
        <w:t>b</w:t>
      </w:r>
      <w:r w:rsidRPr="00153834">
        <w:rPr>
          <w:i/>
        </w:rPr>
        <w:t xml:space="preserve">usiness </w:t>
      </w:r>
      <w:r w:rsidRPr="00E971E6">
        <w:rPr>
          <w:i/>
        </w:rPr>
        <w:t>s</w:t>
      </w:r>
      <w:r w:rsidRPr="00153834">
        <w:rPr>
          <w:i/>
        </w:rPr>
        <w:t>tudents</w:t>
      </w:r>
      <w:r w:rsidRPr="00E971E6">
        <w:t xml:space="preserve">. </w:t>
      </w:r>
      <w:bookmarkEnd w:id="7"/>
      <w:r>
        <w:t>Pearson Education Limited, Edinburgh Gate Harlow Essex CM20 2JE, England.</w:t>
      </w:r>
    </w:p>
    <w:sectPr w:rsidR="00657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0E"/>
    <w:rsid w:val="000E5E36"/>
    <w:rsid w:val="00657CA8"/>
    <w:rsid w:val="0066168F"/>
    <w:rsid w:val="00A76F0E"/>
    <w:rsid w:val="00D66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3F26"/>
  <w15:chartTrackingRefBased/>
  <w15:docId w15:val="{640F37F2-2AE8-44D0-A5C0-EEA208D9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KW">
    <w:name w:val="ABKW"/>
    <w:basedOn w:val="Normal"/>
    <w:rsid w:val="00A76F0E"/>
    <w:pPr>
      <w:spacing w:before="120" w:after="120" w:line="360" w:lineRule="auto"/>
    </w:pPr>
    <w:rPr>
      <w:rFonts w:ascii="Times New Roman" w:eastAsia="Times New Roman" w:hAnsi="Times New Roman" w:cs="Times New Roman"/>
      <w:sz w:val="24"/>
      <w:szCs w:val="24"/>
      <w:lang w:val="en-US"/>
    </w:rPr>
  </w:style>
  <w:style w:type="paragraph" w:customStyle="1" w:styleId="ABKWH">
    <w:name w:val="ABKWH"/>
    <w:basedOn w:val="Normal"/>
    <w:rsid w:val="00A76F0E"/>
    <w:pPr>
      <w:spacing w:before="120" w:after="120" w:line="360" w:lineRule="auto"/>
    </w:pPr>
    <w:rPr>
      <w:rFonts w:ascii="Times New Roman" w:eastAsia="Times New Roman" w:hAnsi="Times New Roman" w:cs="Times New Roman"/>
      <w:color w:val="C0504D"/>
      <w:sz w:val="32"/>
      <w:szCs w:val="24"/>
      <w:lang w:val="en-US"/>
    </w:rPr>
  </w:style>
  <w:style w:type="paragraph" w:customStyle="1" w:styleId="AF">
    <w:name w:val="AF"/>
    <w:basedOn w:val="Normal"/>
    <w:rsid w:val="00A76F0E"/>
    <w:pPr>
      <w:spacing w:before="120" w:after="120" w:line="360" w:lineRule="auto"/>
    </w:pPr>
    <w:rPr>
      <w:rFonts w:ascii="Times New Roman" w:eastAsia="Times New Roman" w:hAnsi="Times New Roman" w:cs="Times New Roman"/>
      <w:sz w:val="24"/>
      <w:szCs w:val="24"/>
      <w:lang w:val="en-US"/>
    </w:rPr>
  </w:style>
  <w:style w:type="paragraph" w:customStyle="1" w:styleId="AT">
    <w:name w:val="AT"/>
    <w:basedOn w:val="Normal"/>
    <w:rsid w:val="00A76F0E"/>
    <w:pPr>
      <w:spacing w:before="120" w:after="300" w:line="360" w:lineRule="auto"/>
    </w:pPr>
    <w:rPr>
      <w:rFonts w:ascii="Times New Roman" w:eastAsia="Times New Roman" w:hAnsi="Times New Roman" w:cs="Times New Roman"/>
      <w:b/>
      <w:color w:val="4BACC6"/>
      <w:sz w:val="48"/>
      <w:szCs w:val="24"/>
      <w:lang w:val="en-US"/>
    </w:rPr>
  </w:style>
  <w:style w:type="paragraph" w:customStyle="1" w:styleId="AU">
    <w:name w:val="AU"/>
    <w:basedOn w:val="Normal"/>
    <w:rsid w:val="00A76F0E"/>
    <w:pPr>
      <w:spacing w:before="120" w:after="120" w:line="360" w:lineRule="auto"/>
    </w:pPr>
    <w:rPr>
      <w:rFonts w:ascii="Times New Roman" w:eastAsia="Times New Roman" w:hAnsi="Times New Roman" w:cs="Times New Roman"/>
      <w:color w:val="00B050"/>
      <w:sz w:val="32"/>
      <w:szCs w:val="24"/>
      <w:lang w:val="en-US"/>
    </w:rPr>
  </w:style>
  <w:style w:type="paragraph" w:customStyle="1" w:styleId="BL">
    <w:name w:val="BL"/>
    <w:basedOn w:val="Normal"/>
    <w:rsid w:val="00A76F0E"/>
    <w:pPr>
      <w:spacing w:after="0" w:line="360" w:lineRule="auto"/>
    </w:pPr>
    <w:rPr>
      <w:rFonts w:ascii="Times New Roman" w:eastAsia="Times New Roman" w:hAnsi="Times New Roman" w:cs="Times New Roman"/>
      <w:color w:val="666633"/>
      <w:sz w:val="24"/>
      <w:szCs w:val="24"/>
      <w:lang w:val="en-US"/>
    </w:rPr>
  </w:style>
  <w:style w:type="paragraph" w:customStyle="1" w:styleId="CP">
    <w:name w:val="CP"/>
    <w:basedOn w:val="Normal"/>
    <w:rsid w:val="00A76F0E"/>
    <w:pPr>
      <w:spacing w:before="120" w:after="120" w:line="360" w:lineRule="auto"/>
    </w:pPr>
    <w:rPr>
      <w:rFonts w:ascii="Times New Roman" w:eastAsia="Times New Roman" w:hAnsi="Times New Roman" w:cs="Times New Roman"/>
      <w:color w:val="365F91"/>
      <w:sz w:val="24"/>
      <w:szCs w:val="24"/>
      <w:lang w:val="en-US"/>
    </w:rPr>
  </w:style>
  <w:style w:type="paragraph" w:customStyle="1" w:styleId="CPB">
    <w:name w:val="CPB"/>
    <w:basedOn w:val="Normal"/>
    <w:rsid w:val="00A76F0E"/>
    <w:pPr>
      <w:spacing w:before="360" w:after="120" w:line="360" w:lineRule="auto"/>
    </w:pPr>
    <w:rPr>
      <w:rFonts w:ascii="Times New Roman" w:eastAsia="Times New Roman" w:hAnsi="Times New Roman" w:cs="Times New Roman"/>
      <w:color w:val="E36C0A"/>
      <w:sz w:val="28"/>
      <w:szCs w:val="24"/>
      <w:lang w:val="en-US"/>
    </w:rPr>
  </w:style>
  <w:style w:type="paragraph" w:customStyle="1" w:styleId="CPSO">
    <w:name w:val="CPSO"/>
    <w:basedOn w:val="Normal"/>
    <w:rsid w:val="00A76F0E"/>
    <w:pPr>
      <w:spacing w:before="120" w:after="120" w:line="360" w:lineRule="auto"/>
    </w:pPr>
    <w:rPr>
      <w:rFonts w:ascii="Times New Roman" w:eastAsia="Times New Roman" w:hAnsi="Times New Roman" w:cs="Times New Roman"/>
      <w:color w:val="00B050"/>
      <w:sz w:val="24"/>
      <w:szCs w:val="24"/>
      <w:lang w:val="en-US"/>
    </w:rPr>
  </w:style>
  <w:style w:type="paragraph" w:customStyle="1" w:styleId="EH">
    <w:name w:val="EH"/>
    <w:basedOn w:val="Normal"/>
    <w:rsid w:val="00A76F0E"/>
    <w:pPr>
      <w:spacing w:before="240" w:after="240" w:line="360" w:lineRule="auto"/>
    </w:pPr>
    <w:rPr>
      <w:rFonts w:ascii="Times New Roman" w:eastAsia="Times New Roman" w:hAnsi="Times New Roman" w:cs="Times New Roman"/>
      <w:color w:val="76923C"/>
      <w:sz w:val="36"/>
      <w:szCs w:val="24"/>
      <w:lang w:val="en-US"/>
    </w:rPr>
  </w:style>
  <w:style w:type="paragraph" w:customStyle="1" w:styleId="H1">
    <w:name w:val="H1"/>
    <w:basedOn w:val="Normal"/>
    <w:rsid w:val="00A76F0E"/>
    <w:pPr>
      <w:spacing w:before="240" w:after="240" w:line="360" w:lineRule="auto"/>
    </w:pPr>
    <w:rPr>
      <w:rFonts w:ascii="Times New Roman" w:eastAsia="Times New Roman" w:hAnsi="Times New Roman" w:cs="Times New Roman"/>
      <w:color w:val="31849B"/>
      <w:sz w:val="36"/>
      <w:szCs w:val="24"/>
      <w:lang w:val="en-US"/>
    </w:rPr>
  </w:style>
  <w:style w:type="paragraph" w:customStyle="1" w:styleId="NL">
    <w:name w:val="NL"/>
    <w:basedOn w:val="Normal"/>
    <w:rsid w:val="00A76F0E"/>
    <w:pPr>
      <w:spacing w:after="0" w:line="360" w:lineRule="auto"/>
    </w:pPr>
    <w:rPr>
      <w:rFonts w:ascii="Times New Roman" w:eastAsia="Times New Roman" w:hAnsi="Times New Roman" w:cs="Times New Roman"/>
      <w:color w:val="666633"/>
      <w:sz w:val="24"/>
      <w:szCs w:val="24"/>
      <w:lang w:val="en-US"/>
    </w:rPr>
  </w:style>
  <w:style w:type="paragraph" w:customStyle="1" w:styleId="REF">
    <w:name w:val="REF"/>
    <w:basedOn w:val="Normal"/>
    <w:rsid w:val="00A76F0E"/>
    <w:pPr>
      <w:spacing w:before="280" w:after="280" w:line="360" w:lineRule="auto"/>
      <w:ind w:left="432" w:hanging="432"/>
    </w:pPr>
    <w:rPr>
      <w:rFonts w:ascii="Times New Roman" w:eastAsia="Times New Roman" w:hAnsi="Times New Roman" w:cs="Times New Roman"/>
      <w:sz w:val="24"/>
      <w:szCs w:val="24"/>
      <w:lang w:val="en-US"/>
    </w:rPr>
  </w:style>
  <w:style w:type="paragraph" w:customStyle="1" w:styleId="TEXT">
    <w:name w:val="TEXT"/>
    <w:basedOn w:val="Normal"/>
    <w:rsid w:val="00A76F0E"/>
    <w:pPr>
      <w:spacing w:after="0" w:line="360" w:lineRule="auto"/>
    </w:pPr>
    <w:rPr>
      <w:rFonts w:ascii="Times New Roman" w:eastAsia="Times New Roman" w:hAnsi="Times New Roman" w:cs="Times New Roman"/>
      <w:sz w:val="24"/>
      <w:szCs w:val="24"/>
      <w:lang w:val="en-US"/>
    </w:rPr>
  </w:style>
  <w:style w:type="paragraph" w:customStyle="1" w:styleId="TEXTIND">
    <w:name w:val="TEXT IND"/>
    <w:basedOn w:val="Normal"/>
    <w:rsid w:val="00A76F0E"/>
    <w:pPr>
      <w:spacing w:before="240" w:after="240" w:line="360" w:lineRule="auto"/>
      <w:ind w:firstLine="720"/>
    </w:pPr>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A76F0E"/>
    <w:rPr>
      <w:sz w:val="16"/>
      <w:szCs w:val="16"/>
    </w:rPr>
  </w:style>
  <w:style w:type="paragraph" w:styleId="CommentText">
    <w:name w:val="annotation text"/>
    <w:basedOn w:val="Normal"/>
    <w:link w:val="CommentTextChar"/>
    <w:uiPriority w:val="99"/>
    <w:semiHidden/>
    <w:unhideWhenUsed/>
    <w:rsid w:val="00A76F0E"/>
    <w:pPr>
      <w:spacing w:after="0" w:line="36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A76F0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A7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3985</Words>
  <Characters>22716</Characters>
  <Application>Microsoft Office Word</Application>
  <DocSecurity>0</DocSecurity>
  <Lines>189</Lines>
  <Paragraphs>53</Paragraphs>
  <ScaleCrop>false</ScaleCrop>
  <Company>Liverpool Hope University</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Ghalib</dc:creator>
  <cp:keywords/>
  <dc:description/>
  <cp:lastModifiedBy>Asad Ghalib</cp:lastModifiedBy>
  <cp:revision>3</cp:revision>
  <dcterms:created xsi:type="dcterms:W3CDTF">2016-10-14T18:03:00Z</dcterms:created>
  <dcterms:modified xsi:type="dcterms:W3CDTF">2016-10-14T18:15:00Z</dcterms:modified>
</cp:coreProperties>
</file>