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D0993" w:rsidRDefault="00CA1EFF">
      <w:pPr>
        <w:jc w:val="center"/>
        <w:rPr>
          <w:rFonts w:ascii="Times New Roman" w:hAnsi="Times New Roman" w:cs="Times New Roman"/>
          <w:b/>
          <w:sz w:val="24"/>
          <w:szCs w:val="24"/>
        </w:rPr>
      </w:pPr>
      <w:r>
        <w:rPr>
          <w:rFonts w:ascii="Times New Roman" w:hAnsi="Times New Roman" w:cs="Times New Roman"/>
          <w:b/>
          <w:color w:val="000000"/>
          <w:sz w:val="30"/>
          <w:szCs w:val="24"/>
        </w:rPr>
        <w:t>Lifting the urban poor out of poverty: Assessing the role of Non-Banking Financial Institutions in India</w:t>
      </w:r>
      <w:r w:rsidR="003D0993">
        <w:rPr>
          <w:rStyle w:val="FootnoteReference"/>
          <w:rFonts w:ascii="Times New Roman" w:hAnsi="Times New Roman" w:cs="Times New Roman"/>
          <w:b/>
          <w:color w:val="000000"/>
          <w:sz w:val="30"/>
          <w:szCs w:val="24"/>
        </w:rPr>
        <w:footnoteReference w:id="1"/>
      </w:r>
    </w:p>
    <w:p w:rsidR="00CA1EFF" w:rsidRDefault="00CA1EFF">
      <w:pPr>
        <w:spacing w:after="0"/>
        <w:jc w:val="center"/>
        <w:rPr>
          <w:rFonts w:ascii="Times New Roman" w:hAnsi="Times New Roman" w:cs="Times New Roman"/>
          <w:b/>
          <w:sz w:val="24"/>
          <w:szCs w:val="24"/>
        </w:rPr>
      </w:pPr>
    </w:p>
    <w:p w:rsidR="00CA1EFF" w:rsidRDefault="00CA1EFF">
      <w:pPr>
        <w:spacing w:after="0"/>
        <w:jc w:val="center"/>
        <w:rPr>
          <w:rFonts w:ascii="Times New Roman" w:hAnsi="Times New Roman" w:cs="Times New Roman"/>
          <w:sz w:val="24"/>
          <w:szCs w:val="24"/>
        </w:rPr>
      </w:pPr>
      <w:r>
        <w:rPr>
          <w:rFonts w:ascii="Times New Roman" w:hAnsi="Times New Roman" w:cs="Times New Roman"/>
          <w:sz w:val="24"/>
          <w:szCs w:val="24"/>
        </w:rPr>
        <w:t xml:space="preserve">Yasmin Sayed, </w:t>
      </w:r>
      <w:r w:rsidR="001D1EFC">
        <w:rPr>
          <w:rFonts w:ascii="Times New Roman" w:hAnsi="Times New Roman" w:cs="Times New Roman"/>
          <w:sz w:val="24"/>
          <w:szCs w:val="24"/>
        </w:rPr>
        <w:t>Independent Consultant</w:t>
      </w:r>
    </w:p>
    <w:p w:rsidR="00CA1EFF" w:rsidRDefault="00CA1EFF">
      <w:pPr>
        <w:spacing w:after="0"/>
        <w:jc w:val="center"/>
        <w:rPr>
          <w:rFonts w:ascii="Times New Roman" w:hAnsi="Times New Roman" w:cs="Times New Roman"/>
          <w:sz w:val="24"/>
          <w:szCs w:val="24"/>
        </w:rPr>
      </w:pPr>
      <w:r>
        <w:rPr>
          <w:rFonts w:ascii="Times New Roman" w:hAnsi="Times New Roman" w:cs="Times New Roman"/>
          <w:sz w:val="24"/>
          <w:szCs w:val="24"/>
        </w:rPr>
        <w:t xml:space="preserve">Asad K. Ghalib, </w:t>
      </w:r>
      <w:r w:rsidR="00BB1714">
        <w:rPr>
          <w:rFonts w:ascii="Times New Roman" w:hAnsi="Times New Roman" w:cs="Times New Roman"/>
          <w:sz w:val="24"/>
          <w:szCs w:val="24"/>
        </w:rPr>
        <w:t>Liverpool Hope University</w:t>
      </w:r>
      <w:r>
        <w:rPr>
          <w:rFonts w:ascii="Times New Roman" w:hAnsi="Times New Roman" w:cs="Times New Roman"/>
          <w:sz w:val="24"/>
          <w:szCs w:val="24"/>
        </w:rPr>
        <w:t>, UK</w:t>
      </w:r>
    </w:p>
    <w:p w:rsidR="00CA1EFF" w:rsidRDefault="00CA1EFF">
      <w:pPr>
        <w:suppressAutoHyphens w:val="0"/>
        <w:rPr>
          <w:rFonts w:ascii="Times New Roman" w:hAnsi="Times New Roman" w:cs="Times New Roman"/>
          <w:color w:val="000000"/>
          <w:sz w:val="24"/>
          <w:szCs w:val="24"/>
          <w:u w:val="single"/>
        </w:rPr>
      </w:pPr>
    </w:p>
    <w:p w:rsidR="006F31F9" w:rsidRPr="006F31F9" w:rsidRDefault="006F31F9" w:rsidP="006F31F9">
      <w:pPr>
        <w:suppressAutoHyphens w:val="0"/>
        <w:rPr>
          <w:rFonts w:ascii="Times New Roman" w:hAnsi="Times New Roman" w:cs="Times New Roman"/>
          <w:color w:val="000000"/>
          <w:sz w:val="24"/>
          <w:szCs w:val="24"/>
        </w:rPr>
      </w:pPr>
      <w:r w:rsidRPr="006F31F9">
        <w:rPr>
          <w:rFonts w:ascii="Times New Roman" w:hAnsi="Times New Roman" w:cs="Times New Roman"/>
          <w:color w:val="000000"/>
          <w:sz w:val="24"/>
          <w:szCs w:val="24"/>
        </w:rPr>
        <w:t>F</w:t>
      </w:r>
      <w:r w:rsidRPr="006F31F9">
        <w:rPr>
          <w:rFonts w:ascii="Times New Roman" w:hAnsi="Times New Roman" w:cs="Times New Roman"/>
          <w:color w:val="000000"/>
          <w:sz w:val="24"/>
          <w:szCs w:val="24"/>
        </w:rPr>
        <w:t>our Indian urban</w:t>
      </w:r>
      <w:r>
        <w:rPr>
          <w:rFonts w:ascii="Times New Roman" w:hAnsi="Times New Roman" w:cs="Times New Roman"/>
          <w:color w:val="000000"/>
          <w:sz w:val="24"/>
          <w:szCs w:val="24"/>
        </w:rPr>
        <w:t>-</w:t>
      </w:r>
      <w:r w:rsidRPr="006F31F9">
        <w:rPr>
          <w:rFonts w:ascii="Times New Roman" w:hAnsi="Times New Roman" w:cs="Times New Roman"/>
          <w:color w:val="000000"/>
          <w:sz w:val="24"/>
          <w:szCs w:val="24"/>
        </w:rPr>
        <w:t>focused non</w:t>
      </w:r>
      <w:r>
        <w:rPr>
          <w:rFonts w:ascii="Times New Roman" w:hAnsi="Times New Roman" w:cs="Times New Roman"/>
          <w:color w:val="000000"/>
          <w:sz w:val="24"/>
          <w:szCs w:val="24"/>
        </w:rPr>
        <w:t>-</w:t>
      </w:r>
      <w:r w:rsidRPr="006F31F9">
        <w:rPr>
          <w:rFonts w:ascii="Times New Roman" w:hAnsi="Times New Roman" w:cs="Times New Roman"/>
          <w:color w:val="000000"/>
          <w:sz w:val="24"/>
          <w:szCs w:val="24"/>
        </w:rPr>
        <w:t>banking financial companies show interesting</w:t>
      </w:r>
      <w:r>
        <w:rPr>
          <w:rFonts w:ascii="Times New Roman" w:hAnsi="Times New Roman" w:cs="Times New Roman"/>
          <w:color w:val="000000"/>
          <w:sz w:val="24"/>
          <w:szCs w:val="24"/>
        </w:rPr>
        <w:t xml:space="preserve"> </w:t>
      </w:r>
      <w:r w:rsidRPr="006F31F9">
        <w:rPr>
          <w:rFonts w:ascii="Times New Roman" w:hAnsi="Times New Roman" w:cs="Times New Roman"/>
          <w:color w:val="000000"/>
          <w:sz w:val="24"/>
          <w:szCs w:val="24"/>
        </w:rPr>
        <w:t>evidence of success, particularly in terms of their outreach and financial</w:t>
      </w:r>
      <w:r>
        <w:rPr>
          <w:rFonts w:ascii="Times New Roman" w:hAnsi="Times New Roman" w:cs="Times New Roman"/>
          <w:color w:val="000000"/>
          <w:sz w:val="24"/>
          <w:szCs w:val="24"/>
        </w:rPr>
        <w:t xml:space="preserve"> </w:t>
      </w:r>
      <w:r w:rsidRPr="006F31F9">
        <w:rPr>
          <w:rFonts w:ascii="Times New Roman" w:hAnsi="Times New Roman" w:cs="Times New Roman"/>
          <w:color w:val="000000"/>
          <w:sz w:val="24"/>
          <w:szCs w:val="24"/>
        </w:rPr>
        <w:t>sustainability.</w:t>
      </w:r>
    </w:p>
    <w:p w:rsidR="0046161A" w:rsidRPr="0046161A" w:rsidRDefault="0046161A">
      <w:pPr>
        <w:suppressAutoHyphens w:val="0"/>
        <w:rPr>
          <w:rFonts w:ascii="Times New Roman" w:hAnsi="Times New Roman" w:cs="Times New Roman"/>
          <w:b/>
          <w:color w:val="000000"/>
          <w:sz w:val="24"/>
          <w:szCs w:val="24"/>
        </w:rPr>
      </w:pPr>
      <w:r w:rsidRPr="0046161A">
        <w:rPr>
          <w:rFonts w:ascii="Times New Roman" w:hAnsi="Times New Roman" w:cs="Times New Roman"/>
          <w:b/>
          <w:sz w:val="24"/>
          <w:szCs w:val="24"/>
        </w:rPr>
        <w:t>Key points</w:t>
      </w:r>
    </w:p>
    <w:p w:rsidR="00B6013C" w:rsidRDefault="00B6013C" w:rsidP="0046161A">
      <w:pPr>
        <w:pStyle w:val="BodyText"/>
        <w:rPr>
          <w:rFonts w:ascii="Times New Roman" w:hAnsi="Times New Roman" w:cs="Times New Roman"/>
          <w:color w:val="000000"/>
          <w:sz w:val="24"/>
          <w:szCs w:val="24"/>
        </w:rPr>
      </w:pPr>
      <w:r>
        <w:rPr>
          <w:rFonts w:ascii="Times New Roman" w:hAnsi="Times New Roman" w:cs="Times New Roman"/>
          <w:color w:val="000000"/>
          <w:sz w:val="24"/>
          <w:szCs w:val="24"/>
        </w:rPr>
        <w:t>A</w:t>
      </w:r>
      <w:r w:rsidR="00D15797">
        <w:rPr>
          <w:rFonts w:ascii="Times New Roman" w:hAnsi="Times New Roman" w:cs="Times New Roman"/>
          <w:color w:val="000000"/>
          <w:sz w:val="24"/>
          <w:szCs w:val="24"/>
        </w:rPr>
        <w:t xml:space="preserve"> comparative assessment of four </w:t>
      </w:r>
      <w:r w:rsidR="00D15797">
        <w:rPr>
          <w:rFonts w:ascii="Times New Roman" w:hAnsi="Times New Roman" w:cs="Times New Roman"/>
          <w:sz w:val="24"/>
          <w:szCs w:val="24"/>
        </w:rPr>
        <w:t>(</w:t>
      </w:r>
      <w:proofErr w:type="spellStart"/>
      <w:r w:rsidR="00D15797">
        <w:rPr>
          <w:rFonts w:ascii="Times New Roman" w:hAnsi="Times New Roman" w:cs="Times New Roman"/>
          <w:sz w:val="24"/>
          <w:szCs w:val="24"/>
        </w:rPr>
        <w:t>Swadhaar</w:t>
      </w:r>
      <w:proofErr w:type="spellEnd"/>
      <w:r w:rsidR="00D15797">
        <w:rPr>
          <w:rFonts w:ascii="Times New Roman" w:hAnsi="Times New Roman" w:cs="Times New Roman"/>
          <w:sz w:val="24"/>
          <w:szCs w:val="24"/>
        </w:rPr>
        <w:t xml:space="preserve">, </w:t>
      </w:r>
      <w:proofErr w:type="spellStart"/>
      <w:r w:rsidR="00D15797">
        <w:rPr>
          <w:rFonts w:ascii="Times New Roman" w:hAnsi="Times New Roman" w:cs="Times New Roman"/>
          <w:sz w:val="24"/>
          <w:szCs w:val="24"/>
        </w:rPr>
        <w:t>Janalakshmi</w:t>
      </w:r>
      <w:proofErr w:type="spellEnd"/>
      <w:r w:rsidR="00D15797">
        <w:rPr>
          <w:rFonts w:ascii="Times New Roman" w:hAnsi="Times New Roman" w:cs="Times New Roman"/>
          <w:sz w:val="24"/>
          <w:szCs w:val="24"/>
        </w:rPr>
        <w:t xml:space="preserve">, </w:t>
      </w:r>
      <w:proofErr w:type="spellStart"/>
      <w:r w:rsidR="00D15797">
        <w:rPr>
          <w:rFonts w:ascii="Times New Roman" w:hAnsi="Times New Roman" w:cs="Times New Roman"/>
          <w:sz w:val="24"/>
          <w:szCs w:val="24"/>
        </w:rPr>
        <w:t>Ujjivan</w:t>
      </w:r>
      <w:proofErr w:type="spellEnd"/>
      <w:r w:rsidR="00D15797">
        <w:rPr>
          <w:rFonts w:ascii="Times New Roman" w:hAnsi="Times New Roman" w:cs="Times New Roman"/>
          <w:sz w:val="24"/>
          <w:szCs w:val="24"/>
        </w:rPr>
        <w:t xml:space="preserve"> and </w:t>
      </w:r>
      <w:proofErr w:type="spellStart"/>
      <w:r w:rsidR="00D15797">
        <w:rPr>
          <w:rFonts w:ascii="Times New Roman" w:hAnsi="Times New Roman" w:cs="Times New Roman"/>
          <w:sz w:val="24"/>
          <w:szCs w:val="24"/>
        </w:rPr>
        <w:t>Equitas</w:t>
      </w:r>
      <w:proofErr w:type="spellEnd"/>
      <w:r w:rsidR="00D15797">
        <w:rPr>
          <w:rFonts w:ascii="Times New Roman" w:hAnsi="Times New Roman" w:cs="Times New Roman"/>
          <w:sz w:val="24"/>
          <w:szCs w:val="24"/>
        </w:rPr>
        <w:t xml:space="preserve">) </w:t>
      </w:r>
      <w:r w:rsidR="00D15797">
        <w:rPr>
          <w:rFonts w:ascii="Times New Roman" w:hAnsi="Times New Roman" w:cs="Times New Roman"/>
          <w:color w:val="000000"/>
          <w:sz w:val="24"/>
          <w:szCs w:val="24"/>
        </w:rPr>
        <w:t xml:space="preserve">urban-focused </w:t>
      </w:r>
      <w:r>
        <w:rPr>
          <w:rFonts w:ascii="Times New Roman" w:hAnsi="Times New Roman" w:cs="Times New Roman"/>
          <w:color w:val="000000"/>
          <w:sz w:val="24"/>
          <w:szCs w:val="24"/>
        </w:rPr>
        <w:t xml:space="preserve">Indian Non-Banking Financial Companies provides evidence of their success in becoming financially sustainable </w:t>
      </w:r>
      <w:r w:rsidR="000E7456">
        <w:rPr>
          <w:rFonts w:ascii="Times New Roman" w:hAnsi="Times New Roman" w:cs="Times New Roman"/>
          <w:color w:val="000000"/>
          <w:sz w:val="24"/>
          <w:szCs w:val="24"/>
        </w:rPr>
        <w:t>as well as</w:t>
      </w:r>
      <w:r>
        <w:rPr>
          <w:rFonts w:ascii="Times New Roman" w:hAnsi="Times New Roman" w:cs="Times New Roman"/>
          <w:color w:val="000000"/>
          <w:sz w:val="24"/>
          <w:szCs w:val="24"/>
        </w:rPr>
        <w:t xml:space="preserve"> expanding </w:t>
      </w:r>
      <w:r w:rsidR="000E7456">
        <w:rPr>
          <w:rFonts w:ascii="Times New Roman" w:hAnsi="Times New Roman" w:cs="Times New Roman"/>
          <w:color w:val="000000"/>
          <w:sz w:val="24"/>
          <w:szCs w:val="24"/>
        </w:rPr>
        <w:t xml:space="preserve">their </w:t>
      </w:r>
      <w:r>
        <w:rPr>
          <w:rFonts w:ascii="Times New Roman" w:hAnsi="Times New Roman" w:cs="Times New Roman"/>
          <w:color w:val="000000"/>
          <w:sz w:val="24"/>
          <w:szCs w:val="24"/>
        </w:rPr>
        <w:t>outreach.</w:t>
      </w:r>
    </w:p>
    <w:p w:rsidR="001F5847" w:rsidRDefault="00B6013C" w:rsidP="00D15797">
      <w:pPr>
        <w:pStyle w:val="BodyText"/>
        <w:rPr>
          <w:rFonts w:ascii="Times New Roman" w:hAnsi="Times New Roman" w:cs="Times New Roman"/>
          <w:sz w:val="24"/>
          <w:szCs w:val="24"/>
        </w:rPr>
      </w:pPr>
      <w:r>
        <w:rPr>
          <w:rFonts w:ascii="Times New Roman" w:hAnsi="Times New Roman" w:cs="Times New Roman"/>
          <w:color w:val="000000"/>
          <w:sz w:val="24"/>
          <w:szCs w:val="24"/>
        </w:rPr>
        <w:t>Assessed o</w:t>
      </w:r>
      <w:r w:rsidR="00D15797">
        <w:rPr>
          <w:rFonts w:ascii="Times New Roman" w:hAnsi="Times New Roman" w:cs="Times New Roman"/>
          <w:color w:val="000000"/>
          <w:sz w:val="24"/>
          <w:szCs w:val="24"/>
        </w:rPr>
        <w:t>ver a period of six years</w:t>
      </w:r>
      <w:r>
        <w:rPr>
          <w:rFonts w:ascii="Times New Roman" w:hAnsi="Times New Roman" w:cs="Times New Roman"/>
          <w:color w:val="000000"/>
          <w:sz w:val="24"/>
          <w:szCs w:val="24"/>
        </w:rPr>
        <w:t xml:space="preserve">, the </w:t>
      </w:r>
      <w:r w:rsidR="00C805EE">
        <w:rPr>
          <w:rFonts w:ascii="Times New Roman" w:hAnsi="Times New Roman" w:cs="Times New Roman"/>
          <w:color w:val="000000"/>
          <w:sz w:val="24"/>
          <w:szCs w:val="24"/>
        </w:rPr>
        <w:t>NBFCs</w:t>
      </w:r>
      <w:r w:rsidR="00D15797">
        <w:rPr>
          <w:rFonts w:ascii="Times New Roman" w:hAnsi="Times New Roman" w:cs="Times New Roman"/>
          <w:color w:val="000000"/>
          <w:sz w:val="24"/>
          <w:szCs w:val="24"/>
        </w:rPr>
        <w:t xml:space="preserve"> show</w:t>
      </w:r>
      <w:r w:rsidR="00D15797">
        <w:rPr>
          <w:rFonts w:ascii="Times New Roman" w:hAnsi="Times New Roman" w:cs="Times New Roman"/>
          <w:sz w:val="24"/>
          <w:szCs w:val="24"/>
        </w:rPr>
        <w:t xml:space="preserve"> evidence of their success in contributing towards </w:t>
      </w:r>
      <w:r w:rsidR="001F5847">
        <w:rPr>
          <w:rFonts w:ascii="Times New Roman" w:hAnsi="Times New Roman" w:cs="Times New Roman"/>
          <w:sz w:val="24"/>
          <w:szCs w:val="24"/>
        </w:rPr>
        <w:t xml:space="preserve">outreach and sustainability, however it was found that </w:t>
      </w:r>
      <w:proofErr w:type="spellStart"/>
      <w:r w:rsidR="00D15797">
        <w:rPr>
          <w:rFonts w:ascii="Times New Roman" w:hAnsi="Times New Roman" w:cs="Times New Roman"/>
          <w:sz w:val="24"/>
          <w:szCs w:val="24"/>
        </w:rPr>
        <w:t>Swadhaar</w:t>
      </w:r>
      <w:proofErr w:type="spellEnd"/>
      <w:r w:rsidR="00D15797">
        <w:rPr>
          <w:rFonts w:ascii="Times New Roman" w:hAnsi="Times New Roman" w:cs="Times New Roman"/>
          <w:sz w:val="24"/>
          <w:szCs w:val="24"/>
        </w:rPr>
        <w:t xml:space="preserve"> and </w:t>
      </w:r>
      <w:proofErr w:type="spellStart"/>
      <w:r w:rsidR="00D15797">
        <w:rPr>
          <w:rFonts w:ascii="Times New Roman" w:hAnsi="Times New Roman" w:cs="Times New Roman"/>
          <w:sz w:val="24"/>
          <w:szCs w:val="24"/>
        </w:rPr>
        <w:t>Janalakshmi</w:t>
      </w:r>
      <w:proofErr w:type="spellEnd"/>
      <w:r w:rsidR="001F5847">
        <w:rPr>
          <w:rFonts w:ascii="Times New Roman" w:hAnsi="Times New Roman" w:cs="Times New Roman"/>
          <w:sz w:val="24"/>
          <w:szCs w:val="24"/>
        </w:rPr>
        <w:t xml:space="preserve"> needed to </w:t>
      </w:r>
      <w:r w:rsidR="00D15797">
        <w:rPr>
          <w:rFonts w:ascii="Times New Roman" w:hAnsi="Times New Roman" w:cs="Times New Roman"/>
          <w:sz w:val="24"/>
          <w:szCs w:val="24"/>
        </w:rPr>
        <w:t xml:space="preserve">focus further </w:t>
      </w:r>
      <w:r w:rsidR="0025262C">
        <w:rPr>
          <w:rFonts w:ascii="Times New Roman" w:hAnsi="Times New Roman" w:cs="Times New Roman"/>
          <w:sz w:val="24"/>
          <w:szCs w:val="24"/>
        </w:rPr>
        <w:t>on</w:t>
      </w:r>
      <w:r w:rsidR="001F5847">
        <w:rPr>
          <w:rFonts w:ascii="Times New Roman" w:hAnsi="Times New Roman" w:cs="Times New Roman"/>
          <w:sz w:val="24"/>
          <w:szCs w:val="24"/>
        </w:rPr>
        <w:t xml:space="preserve"> </w:t>
      </w:r>
      <w:r w:rsidR="00D15797">
        <w:rPr>
          <w:rFonts w:ascii="Times New Roman" w:hAnsi="Times New Roman" w:cs="Times New Roman"/>
          <w:sz w:val="24"/>
          <w:szCs w:val="24"/>
        </w:rPr>
        <w:t xml:space="preserve">impact. </w:t>
      </w:r>
    </w:p>
    <w:p w:rsidR="00D15797" w:rsidRDefault="001F5847" w:rsidP="00D15797">
      <w:pPr>
        <w:pStyle w:val="BodyText"/>
        <w:rPr>
          <w:rFonts w:ascii="Times New Roman" w:hAnsi="Times New Roman" w:cs="Times New Roman"/>
          <w:sz w:val="24"/>
          <w:szCs w:val="24"/>
        </w:rPr>
      </w:pPr>
      <w:r>
        <w:rPr>
          <w:rFonts w:ascii="Times New Roman" w:hAnsi="Times New Roman" w:cs="Times New Roman"/>
          <w:sz w:val="24"/>
          <w:szCs w:val="24"/>
        </w:rPr>
        <w:t>S</w:t>
      </w:r>
      <w:r w:rsidR="00D15797">
        <w:rPr>
          <w:rFonts w:ascii="Times New Roman" w:hAnsi="Times New Roman" w:cs="Times New Roman"/>
          <w:sz w:val="24"/>
          <w:szCs w:val="24"/>
        </w:rPr>
        <w:t xml:space="preserve">ome common factors across all four institutions that contributed to their success in serving the urban poor </w:t>
      </w:r>
      <w:r>
        <w:rPr>
          <w:rFonts w:ascii="Times New Roman" w:hAnsi="Times New Roman" w:cs="Times New Roman"/>
          <w:sz w:val="24"/>
          <w:szCs w:val="24"/>
        </w:rPr>
        <w:t>were found to be</w:t>
      </w:r>
      <w:r w:rsidR="00D15797">
        <w:rPr>
          <w:rFonts w:ascii="Times New Roman" w:hAnsi="Times New Roman" w:cs="Times New Roman"/>
          <w:sz w:val="24"/>
          <w:szCs w:val="24"/>
        </w:rPr>
        <w:t xml:space="preserve"> </w:t>
      </w:r>
      <w:r w:rsidR="00D15797">
        <w:rPr>
          <w:rFonts w:ascii="Times New Roman" w:hAnsi="Times New Roman" w:cs="Times New Roman"/>
          <w:color w:val="000000"/>
          <w:sz w:val="24"/>
          <w:szCs w:val="24"/>
        </w:rPr>
        <w:t xml:space="preserve">commercialization </w:t>
      </w:r>
      <w:r>
        <w:rPr>
          <w:rFonts w:ascii="Times New Roman" w:hAnsi="Times New Roman" w:cs="Times New Roman"/>
          <w:color w:val="000000"/>
          <w:sz w:val="24"/>
          <w:szCs w:val="24"/>
        </w:rPr>
        <w:t>(</w:t>
      </w:r>
      <w:r w:rsidR="00D15797">
        <w:rPr>
          <w:rFonts w:ascii="Times New Roman" w:hAnsi="Times New Roman" w:cs="Times New Roman"/>
          <w:color w:val="000000"/>
          <w:sz w:val="24"/>
          <w:szCs w:val="24"/>
        </w:rPr>
        <w:t>or financial systems approach</w:t>
      </w:r>
      <w:r>
        <w:rPr>
          <w:rFonts w:ascii="Times New Roman" w:hAnsi="Times New Roman" w:cs="Times New Roman"/>
          <w:color w:val="000000"/>
          <w:sz w:val="24"/>
          <w:szCs w:val="24"/>
        </w:rPr>
        <w:t>)</w:t>
      </w:r>
      <w:r w:rsidR="00D15797">
        <w:rPr>
          <w:rFonts w:ascii="Times New Roman" w:hAnsi="Times New Roman" w:cs="Times New Roman"/>
          <w:color w:val="000000"/>
          <w:sz w:val="24"/>
          <w:szCs w:val="24"/>
        </w:rPr>
        <w:t>, strategic positioning, organizational leadership and reaching out and offering services beyond credit.</w:t>
      </w:r>
    </w:p>
    <w:p w:rsidR="00D15797" w:rsidRDefault="00D15797" w:rsidP="0046161A">
      <w:pPr>
        <w:pStyle w:val="BodyText"/>
        <w:rPr>
          <w:rFonts w:ascii="Times New Roman" w:hAnsi="Times New Roman" w:cs="Times New Roman"/>
          <w:color w:val="000000"/>
          <w:sz w:val="24"/>
          <w:szCs w:val="24"/>
        </w:rPr>
      </w:pPr>
    </w:p>
    <w:p w:rsidR="0046161A" w:rsidRDefault="0046161A">
      <w:pPr>
        <w:suppressAutoHyphens w:val="0"/>
        <w:rPr>
          <w:rFonts w:ascii="Times New Roman" w:hAnsi="Times New Roman" w:cs="Times New Roman"/>
          <w:color w:val="000000"/>
          <w:sz w:val="24"/>
          <w:szCs w:val="24"/>
          <w:u w:val="single"/>
        </w:rPr>
      </w:pPr>
    </w:p>
    <w:p w:rsidR="00CA1EFF" w:rsidRDefault="00CA1EFF">
      <w:pPr>
        <w:pStyle w:val="BodyText"/>
        <w:rPr>
          <w:rFonts w:ascii="Times New Roman" w:hAnsi="Times New Roman" w:cs="Times New Roman"/>
          <w:sz w:val="24"/>
          <w:szCs w:val="24"/>
        </w:rPr>
      </w:pPr>
    </w:p>
    <w:p w:rsidR="00CA1EFF" w:rsidRDefault="00CA1EFF">
      <w:pPr>
        <w:rPr>
          <w:rFonts w:ascii="Times New Roman" w:hAnsi="Times New Roman" w:cs="Times New Roman"/>
          <w:bCs/>
          <w:sz w:val="24"/>
          <w:szCs w:val="24"/>
        </w:rPr>
      </w:pPr>
      <w:r w:rsidRPr="00F36011">
        <w:rPr>
          <w:rFonts w:ascii="Times New Roman" w:hAnsi="Times New Roman" w:cs="Times New Roman"/>
          <w:color w:val="000000"/>
          <w:sz w:val="24"/>
          <w:szCs w:val="24"/>
        </w:rPr>
        <w:t>The World Bank (2012) estimates that 1.4 billion people were living on less than US$1.25 a day</w:t>
      </w:r>
      <w:r>
        <w:rPr>
          <w:rFonts w:ascii="Times New Roman" w:hAnsi="Times New Roman" w:cs="Times New Roman"/>
          <w:color w:val="000000"/>
          <w:sz w:val="24"/>
          <w:szCs w:val="24"/>
        </w:rPr>
        <w:t xml:space="preserve"> in developing countries in 2005. It is now widely accepted that poverty is a multidimensional phenomenon. </w:t>
      </w:r>
      <w:proofErr w:type="spellStart"/>
      <w:r>
        <w:rPr>
          <w:rFonts w:ascii="Times New Roman" w:hAnsi="Times New Roman" w:cs="Times New Roman"/>
          <w:color w:val="000000"/>
          <w:sz w:val="24"/>
          <w:szCs w:val="24"/>
        </w:rPr>
        <w:t>Hulme</w:t>
      </w:r>
      <w:proofErr w:type="spellEnd"/>
      <w:r>
        <w:rPr>
          <w:rFonts w:ascii="Times New Roman" w:hAnsi="Times New Roman" w:cs="Times New Roman"/>
          <w:color w:val="000000"/>
          <w:sz w:val="24"/>
          <w:szCs w:val="24"/>
        </w:rPr>
        <w:t xml:space="preserve"> (2003) and others have discussed various characteristics and processes that form an integral part of poverty analysis with focus on social exclusion and vulnerability. Classifying the urban poor as “poor” under the current determinants of poverty consisting of income, expenditure and calorie consumption is even more challenging. The money metric measures </w:t>
      </w:r>
      <w:r>
        <w:rPr>
          <w:rFonts w:ascii="Times New Roman" w:hAnsi="Times New Roman" w:cs="Times New Roman"/>
          <w:sz w:val="24"/>
          <w:szCs w:val="24"/>
        </w:rPr>
        <w:t>have their merits, but fail to rightfully classify the urban poor for several reasons (</w:t>
      </w:r>
      <w:proofErr w:type="spellStart"/>
      <w:r w:rsidRPr="00F36011">
        <w:rPr>
          <w:rFonts w:ascii="Times New Roman" w:hAnsi="Times New Roman" w:cs="Times New Roman"/>
          <w:sz w:val="24"/>
          <w:szCs w:val="24"/>
        </w:rPr>
        <w:t>Thoebecke</w:t>
      </w:r>
      <w:proofErr w:type="spellEnd"/>
      <w:r w:rsidRPr="00F36011">
        <w:rPr>
          <w:rFonts w:ascii="Times New Roman" w:hAnsi="Times New Roman" w:cs="Times New Roman"/>
          <w:sz w:val="24"/>
          <w:szCs w:val="24"/>
        </w:rPr>
        <w:t>, 2005) including the fact that generalized price indices can be misleading (</w:t>
      </w:r>
      <w:proofErr w:type="spellStart"/>
      <w:r w:rsidRPr="00F36011">
        <w:rPr>
          <w:rFonts w:ascii="Times New Roman" w:hAnsi="Times New Roman" w:cs="Times New Roman"/>
          <w:sz w:val="24"/>
          <w:szCs w:val="24"/>
        </w:rPr>
        <w:t>Mitlin</w:t>
      </w:r>
      <w:proofErr w:type="spellEnd"/>
      <w:r w:rsidRPr="00F36011">
        <w:rPr>
          <w:rFonts w:ascii="Times New Roman" w:hAnsi="Times New Roman" w:cs="Times New Roman"/>
          <w:sz w:val="24"/>
          <w:szCs w:val="24"/>
        </w:rPr>
        <w:t>, 20</w:t>
      </w:r>
      <w:r w:rsidR="00F36011">
        <w:rPr>
          <w:rFonts w:ascii="Times New Roman" w:hAnsi="Times New Roman" w:cs="Times New Roman"/>
          <w:sz w:val="24"/>
          <w:szCs w:val="24"/>
        </w:rPr>
        <w:t xml:space="preserve">04; </w:t>
      </w:r>
      <w:proofErr w:type="spellStart"/>
      <w:r w:rsidR="00F36011" w:rsidRPr="00F36011">
        <w:rPr>
          <w:rFonts w:ascii="Times New Roman" w:hAnsi="Times New Roman" w:cs="Times New Roman"/>
          <w:color w:val="000000"/>
          <w:sz w:val="24"/>
          <w:szCs w:val="24"/>
        </w:rPr>
        <w:t>Mitlin</w:t>
      </w:r>
      <w:proofErr w:type="spellEnd"/>
      <w:r w:rsidR="00F36011">
        <w:rPr>
          <w:rFonts w:ascii="Times New Roman" w:hAnsi="Times New Roman" w:cs="Times New Roman"/>
          <w:color w:val="000000"/>
          <w:sz w:val="24"/>
          <w:szCs w:val="24"/>
        </w:rPr>
        <w:t xml:space="preserve"> </w:t>
      </w:r>
      <w:r w:rsidR="00F36011" w:rsidRPr="00F36011">
        <w:rPr>
          <w:rFonts w:ascii="Times New Roman" w:hAnsi="Times New Roman" w:cs="Times New Roman"/>
          <w:color w:val="000000"/>
          <w:sz w:val="24"/>
          <w:szCs w:val="24"/>
        </w:rPr>
        <w:t>and Satterthwaite</w:t>
      </w:r>
      <w:r w:rsidR="00F36011">
        <w:rPr>
          <w:rFonts w:ascii="Times New Roman" w:hAnsi="Times New Roman" w:cs="Times New Roman"/>
          <w:color w:val="000000"/>
          <w:sz w:val="24"/>
          <w:szCs w:val="24"/>
        </w:rPr>
        <w:t xml:space="preserve"> </w:t>
      </w:r>
      <w:r w:rsidR="00F36011" w:rsidRPr="00F36011">
        <w:rPr>
          <w:rFonts w:ascii="Times New Roman" w:hAnsi="Times New Roman" w:cs="Times New Roman"/>
          <w:color w:val="000000"/>
          <w:sz w:val="24"/>
          <w:szCs w:val="24"/>
        </w:rPr>
        <w:t>2012)</w:t>
      </w:r>
      <w:r w:rsidR="00F36011">
        <w:rPr>
          <w:rFonts w:ascii="Times New Roman" w:hAnsi="Times New Roman" w:cs="Times New Roman"/>
          <w:sz w:val="24"/>
          <w:szCs w:val="24"/>
        </w:rPr>
        <w:t>.</w:t>
      </w:r>
    </w:p>
    <w:p w:rsidR="00CA1EFF" w:rsidRDefault="00CA1EFF">
      <w:pPr>
        <w:rPr>
          <w:rFonts w:ascii="Times New Roman" w:hAnsi="Times New Roman" w:cs="Times New Roman"/>
          <w:color w:val="000000"/>
          <w:sz w:val="24"/>
          <w:szCs w:val="24"/>
        </w:rPr>
      </w:pPr>
      <w:r>
        <w:rPr>
          <w:rFonts w:ascii="Times New Roman" w:hAnsi="Times New Roman" w:cs="Times New Roman"/>
          <w:bCs/>
          <w:sz w:val="24"/>
          <w:szCs w:val="24"/>
        </w:rPr>
        <w:lastRenderedPageBreak/>
        <w:t>Amongst the various strategies developed internationally for poverty reduction, a very popular tool that has emerged is microfinance (</w:t>
      </w:r>
      <w:proofErr w:type="spellStart"/>
      <w:r>
        <w:rPr>
          <w:rFonts w:ascii="Times New Roman" w:hAnsi="Times New Roman" w:cs="Times New Roman"/>
          <w:bCs/>
          <w:sz w:val="24"/>
          <w:szCs w:val="24"/>
        </w:rPr>
        <w:t>Hulme</w:t>
      </w:r>
      <w:proofErr w:type="spellEnd"/>
      <w:r>
        <w:rPr>
          <w:rFonts w:ascii="Times New Roman" w:hAnsi="Times New Roman" w:cs="Times New Roman"/>
          <w:bCs/>
          <w:sz w:val="24"/>
          <w:szCs w:val="24"/>
        </w:rPr>
        <w:t xml:space="preserve"> 2000).</w:t>
      </w:r>
      <w:r>
        <w:rPr>
          <w:rFonts w:ascii="Times New Roman" w:eastAsia="Times New Roman" w:hAnsi="Times New Roman" w:cs="Times New Roman"/>
          <w:sz w:val="24"/>
          <w:szCs w:val="24"/>
        </w:rPr>
        <w:t xml:space="preserve"> </w:t>
      </w:r>
      <w:r>
        <w:rPr>
          <w:rFonts w:ascii="Times New Roman" w:hAnsi="Times New Roman" w:cs="Times New Roman"/>
          <w:sz w:val="24"/>
          <w:szCs w:val="24"/>
        </w:rPr>
        <w:t>All-Party Parliamentary Group (2011) refers to microfinance as a broad term that can include a large number of varied financial products, including micro-credit, micro-savings and micro-insurance. However, most Microfinance Institutions (MFIs) have increasingly focused on microcredit, which is often used synonymously with microfinance</w:t>
      </w:r>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 xml:space="preserve">Empirical studies on the impact of microfinance as an effective tool for poverty reduction suggest mixed results from various parts of the world. While some find it effective, others question </w:t>
      </w:r>
      <w:r>
        <w:rPr>
          <w:rFonts w:ascii="Times New Roman" w:hAnsi="Times New Roman" w:cs="Times New Roman"/>
          <w:color w:val="000000"/>
          <w:sz w:val="24"/>
          <w:szCs w:val="24"/>
        </w:rPr>
        <w:t xml:space="preserve">the extent to which the provision of capital alone can help the poor. </w:t>
      </w:r>
    </w:p>
    <w:p w:rsidR="00CA1EFF" w:rsidRDefault="00CA1EFF">
      <w:pPr>
        <w:rPr>
          <w:rFonts w:ascii="Times New Roman" w:hAnsi="Times New Roman" w:cs="Times New Roman"/>
          <w:color w:val="000000"/>
          <w:sz w:val="24"/>
          <w:szCs w:val="24"/>
        </w:rPr>
      </w:pPr>
      <w:r>
        <w:rPr>
          <w:rFonts w:ascii="Times New Roman" w:hAnsi="Times New Roman" w:cs="Times New Roman"/>
          <w:color w:val="000000"/>
          <w:sz w:val="24"/>
          <w:szCs w:val="24"/>
        </w:rPr>
        <w:t>Like the discourse on poverty, microfinance industry in India too has a rural bias (</w:t>
      </w:r>
      <w:proofErr w:type="spellStart"/>
      <w:r>
        <w:rPr>
          <w:rFonts w:ascii="Times New Roman" w:hAnsi="Times New Roman" w:cs="Times New Roman"/>
          <w:bCs/>
          <w:iCs/>
          <w:color w:val="000000"/>
          <w:sz w:val="24"/>
          <w:szCs w:val="24"/>
        </w:rPr>
        <w:t>Copestake</w:t>
      </w:r>
      <w:proofErr w:type="spellEnd"/>
      <w:r>
        <w:rPr>
          <w:rFonts w:ascii="Times New Roman" w:hAnsi="Times New Roman" w:cs="Times New Roman"/>
          <w:bCs/>
          <w:iCs/>
          <w:color w:val="000000"/>
          <w:sz w:val="24"/>
          <w:szCs w:val="24"/>
        </w:rPr>
        <w:t>, 2010;</w:t>
      </w:r>
      <w:r w:rsidR="00B03518">
        <w:rPr>
          <w:rFonts w:ascii="Times New Roman" w:hAnsi="Times New Roman" w:cs="Times New Roman"/>
          <w:bCs/>
          <w:iCs/>
          <w:color w:val="000000"/>
          <w:sz w:val="24"/>
          <w:szCs w:val="24"/>
        </w:rPr>
        <w:t xml:space="preserve"> </w:t>
      </w:r>
      <w:proofErr w:type="spellStart"/>
      <w:r w:rsidR="00B03518">
        <w:rPr>
          <w:rFonts w:ascii="Times New Roman" w:hAnsi="Times New Roman" w:cs="Times New Roman"/>
          <w:bCs/>
          <w:iCs/>
          <w:color w:val="000000"/>
          <w:sz w:val="24"/>
          <w:szCs w:val="24"/>
        </w:rPr>
        <w:t>Basu</w:t>
      </w:r>
      <w:proofErr w:type="spellEnd"/>
      <w:r w:rsidR="00B03518">
        <w:rPr>
          <w:rFonts w:ascii="Times New Roman" w:hAnsi="Times New Roman" w:cs="Times New Roman"/>
          <w:bCs/>
          <w:iCs/>
          <w:color w:val="000000"/>
          <w:sz w:val="24"/>
          <w:szCs w:val="24"/>
        </w:rPr>
        <w:t xml:space="preserve"> et al, 2005</w:t>
      </w:r>
      <w:r>
        <w:rPr>
          <w:rFonts w:ascii="Times New Roman" w:hAnsi="Times New Roman" w:cs="Times New Roman"/>
          <w:color w:val="000000"/>
          <w:sz w:val="24"/>
          <w:szCs w:val="24"/>
        </w:rPr>
        <w:t xml:space="preserve">). Urban microfinance is a comparatively recent phenomenon. According to the Michael and Susan Dell Foundation (2006), this late attention to urban microfinance in India can be attributed to the general belief held by potential investors and entrepreneurs that the existing models in the rural areas, especially the group lending model, cannot work in diverse and transient urban communities. </w:t>
      </w:r>
    </w:p>
    <w:p w:rsidR="00CA1EFF" w:rsidRDefault="00CA1EF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Until the infamous Andhra Pradesh crisis in 2010 (see </w:t>
      </w:r>
      <w:proofErr w:type="spellStart"/>
      <w:r>
        <w:rPr>
          <w:rFonts w:ascii="Times New Roman" w:hAnsi="Times New Roman" w:cs="Times New Roman"/>
          <w:color w:val="000000"/>
          <w:sz w:val="24"/>
          <w:szCs w:val="24"/>
        </w:rPr>
        <w:t>Priyadarshee</w:t>
      </w:r>
      <w:proofErr w:type="spellEnd"/>
      <w:r>
        <w:rPr>
          <w:rFonts w:ascii="Times New Roman" w:hAnsi="Times New Roman" w:cs="Times New Roman"/>
          <w:color w:val="000000"/>
          <w:sz w:val="24"/>
          <w:szCs w:val="24"/>
        </w:rPr>
        <w:t xml:space="preserve"> and Ghalib, 2012 for details), the microfinance sector in India has witnessed a rapid growth over the last few decades. State governments, NGOs and financial institutions are the main players in the sector. Within the financial institutions, there are Banks (State Banks, Regional Rural Banks, Small Industries Development Bank of India, National Bank for Agriculture and Rural Development, and Co-operatives), Non-Banking Financial Companies (NBFCs), and Microfinance Institutions (MFIs). The latest addition now is that of “NBFC-MFIs” which are based on a hybrid institutional model supposedly catering to the low income segment as opposed to a regular NBFC.</w:t>
      </w:r>
    </w:p>
    <w:p w:rsidR="00CA1EFF" w:rsidRDefault="00CA1EFF">
      <w:pPr>
        <w:rPr>
          <w:rFonts w:ascii="Times New Roman" w:hAnsi="Times New Roman" w:cs="Times New Roman"/>
          <w:b/>
          <w:color w:val="000000"/>
          <w:sz w:val="24"/>
          <w:szCs w:val="24"/>
        </w:rPr>
      </w:pPr>
      <w:r>
        <w:rPr>
          <w:rFonts w:ascii="Times New Roman" w:hAnsi="Times New Roman" w:cs="Times New Roman"/>
          <w:color w:val="000000"/>
          <w:sz w:val="24"/>
          <w:szCs w:val="24"/>
        </w:rPr>
        <w:t>After this brief introduction, the following section explores poverty within an urban context, followed by a discussion on the role that microfinance plays in combatting it. This is followed by a detailed discussion on the role that four Non-Banking Financial Companies have played in providing microfinance services in urban India. This also includes a detailed comparative analysis that delves into the three elements that comprise the triangle of microfinance: outreach, sustainability and impact. Prior to drawing conclusions, the penultimate section discusses the observations, trends and lessons learnt which cover the strategic positioning of the NBFCs along with their organizational leadership and what measures they take to reach out to the population in terms of providing services beyond credit.</w:t>
      </w:r>
    </w:p>
    <w:p w:rsidR="00CA1EFF" w:rsidRDefault="00CA1EFF">
      <w:pPr>
        <w:rPr>
          <w:rFonts w:ascii="Times New Roman" w:hAnsi="Times New Roman" w:cs="Times New Roman"/>
          <w:sz w:val="24"/>
          <w:szCs w:val="24"/>
        </w:rPr>
      </w:pPr>
      <w:r>
        <w:rPr>
          <w:rFonts w:ascii="Times New Roman" w:hAnsi="Times New Roman" w:cs="Times New Roman"/>
          <w:b/>
          <w:color w:val="000000"/>
          <w:sz w:val="24"/>
          <w:szCs w:val="24"/>
        </w:rPr>
        <w:t>POVERTY IN AN URBAN CONTEXT</w:t>
      </w:r>
    </w:p>
    <w:p w:rsidR="00CA1EFF" w:rsidRDefault="00CA1EFF">
      <w:r w:rsidRPr="00DC3C2F">
        <w:rPr>
          <w:rFonts w:ascii="Times New Roman" w:hAnsi="Times New Roman" w:cs="Times New Roman"/>
          <w:sz w:val="24"/>
          <w:szCs w:val="24"/>
        </w:rPr>
        <w:t>The Global Monitoring Report (</w:t>
      </w:r>
      <w:r w:rsidR="00DC3C2F" w:rsidRPr="00DC3C2F">
        <w:rPr>
          <w:rFonts w:ascii="Times New Roman" w:hAnsi="Times New Roman" w:cs="Times New Roman"/>
          <w:sz w:val="24"/>
          <w:szCs w:val="24"/>
        </w:rPr>
        <w:t xml:space="preserve">World Bank </w:t>
      </w:r>
      <w:r w:rsidRPr="00DC3C2F">
        <w:rPr>
          <w:rFonts w:ascii="Times New Roman" w:hAnsi="Times New Roman" w:cs="Times New Roman"/>
          <w:sz w:val="24"/>
          <w:szCs w:val="24"/>
        </w:rPr>
        <w:t>2013) highlights a number of urbanization matters.</w:t>
      </w:r>
      <w:r>
        <w:rPr>
          <w:rFonts w:ascii="Times New Roman" w:hAnsi="Times New Roman" w:cs="Times New Roman"/>
          <w:sz w:val="24"/>
          <w:szCs w:val="24"/>
        </w:rPr>
        <w:t xml:space="preserve"> The number of people living in urban settlements has risen from about 1.5 billion in 1990 to 3.6 </w:t>
      </w:r>
      <w:r w:rsidRPr="00612E43">
        <w:rPr>
          <w:rFonts w:ascii="Times New Roman" w:hAnsi="Times New Roman" w:cs="Times New Roman"/>
          <w:sz w:val="24"/>
          <w:szCs w:val="24"/>
        </w:rPr>
        <w:t xml:space="preserve">billion in 2011. </w:t>
      </w:r>
      <w:proofErr w:type="spellStart"/>
      <w:r w:rsidRPr="00612E43">
        <w:rPr>
          <w:rFonts w:ascii="Times New Roman" w:hAnsi="Times New Roman" w:cs="Times New Roman"/>
          <w:sz w:val="24"/>
          <w:szCs w:val="24"/>
        </w:rPr>
        <w:t>Ravillion</w:t>
      </w:r>
      <w:proofErr w:type="spellEnd"/>
      <w:r w:rsidRPr="00612E43">
        <w:rPr>
          <w:rFonts w:ascii="Times New Roman" w:hAnsi="Times New Roman" w:cs="Times New Roman"/>
          <w:sz w:val="24"/>
          <w:szCs w:val="24"/>
        </w:rPr>
        <w:t xml:space="preserve"> (2001) writes about the urbanization of poverty suggesting that the</w:t>
      </w:r>
      <w:r>
        <w:rPr>
          <w:rFonts w:ascii="Times New Roman" w:hAnsi="Times New Roman" w:cs="Times New Roman"/>
          <w:sz w:val="24"/>
          <w:szCs w:val="24"/>
        </w:rPr>
        <w:t xml:space="preserve"> </w:t>
      </w:r>
      <w:r>
        <w:rPr>
          <w:rFonts w:ascii="Times New Roman" w:hAnsi="Times New Roman" w:cs="Times New Roman"/>
          <w:sz w:val="24"/>
          <w:szCs w:val="24"/>
        </w:rPr>
        <w:lastRenderedPageBreak/>
        <w:t>poor urbanize faster than non-poor, more so in the case of India</w:t>
      </w:r>
      <w:r w:rsidRPr="003E1187">
        <w:rPr>
          <w:rFonts w:ascii="Times New Roman" w:hAnsi="Times New Roman" w:cs="Times New Roman"/>
          <w:sz w:val="24"/>
          <w:szCs w:val="24"/>
        </w:rPr>
        <w:t>. The Census of India (2011)</w:t>
      </w:r>
      <w:r>
        <w:rPr>
          <w:rFonts w:ascii="Times New Roman" w:hAnsi="Times New Roman" w:cs="Times New Roman"/>
          <w:sz w:val="24"/>
          <w:szCs w:val="24"/>
        </w:rPr>
        <w:t xml:space="preserve"> suggests that about 31% of the population is urban. However, </w:t>
      </w:r>
      <w:r>
        <w:rPr>
          <w:rFonts w:ascii="Times New Roman" w:hAnsi="Times New Roman" w:cs="Times New Roman"/>
          <w:bCs/>
          <w:iCs/>
          <w:color w:val="000000"/>
          <w:sz w:val="24"/>
          <w:szCs w:val="24"/>
        </w:rPr>
        <w:t>the issue of classification gets tricky when it comes to distinguishing the urban from the rural areas as countries use different classifications for urban areas based on varied determinants such as population, geographical spread or the sheer proximity to resources. The World Bank (2013) reiterates this and states that there is no consistent and universally accepted standard for this purpose.</w:t>
      </w:r>
    </w:p>
    <w:p w:rsidR="00CA1EFF" w:rsidRDefault="00CA1EFF">
      <w:r>
        <w:rPr>
          <w:rFonts w:ascii="Times New Roman" w:hAnsi="Times New Roman" w:cs="Times New Roman"/>
          <w:sz w:val="24"/>
          <w:szCs w:val="24"/>
        </w:rPr>
        <w:t>It is estimated that 76.4 million people in the urban areas live below the poverty line in India (</w:t>
      </w:r>
      <w:r w:rsidR="00967B35">
        <w:rPr>
          <w:rFonts w:ascii="Times New Roman" w:hAnsi="Times New Roman" w:cs="Times New Roman"/>
          <w:sz w:val="24"/>
          <w:szCs w:val="24"/>
        </w:rPr>
        <w:t xml:space="preserve">Government of India </w:t>
      </w:r>
      <w:r>
        <w:rPr>
          <w:rFonts w:ascii="Times New Roman" w:hAnsi="Times New Roman" w:cs="Times New Roman"/>
          <w:sz w:val="24"/>
          <w:szCs w:val="24"/>
        </w:rPr>
        <w:t>20</w:t>
      </w:r>
      <w:r w:rsidR="00967B35">
        <w:rPr>
          <w:rFonts w:ascii="Times New Roman" w:hAnsi="Times New Roman" w:cs="Times New Roman"/>
          <w:sz w:val="24"/>
          <w:szCs w:val="24"/>
        </w:rPr>
        <w:t>12</w:t>
      </w:r>
      <w:r>
        <w:rPr>
          <w:rFonts w:ascii="Times New Roman" w:hAnsi="Times New Roman" w:cs="Times New Roman"/>
          <w:sz w:val="24"/>
          <w:szCs w:val="24"/>
        </w:rPr>
        <w:t xml:space="preserve">). The rate of decline in rural poverty has been higher than in the urban areas with 8.0 percentage points decline in rural poverty from 41.8% in 2004-2005 to 33.8% in 2009-2010, while 4.8 percentage points decline was witnessed in the urban areas from 25.7% to 20.9% during the same period. Comparing the Gini ratio, it also reports that inequality in rural areas has declined between the year 1977-78 to 2009-2010, which, however, seems to have steadily arisen in urban areas between the corresponding period. </w:t>
      </w:r>
    </w:p>
    <w:p w:rsidR="00CA1EFF" w:rsidRDefault="00CA1EFF">
      <w:pPr>
        <w:pStyle w:val="NormalWeb"/>
        <w:spacing w:line="276" w:lineRule="auto"/>
        <w:rPr>
          <w:color w:val="000000"/>
        </w:rPr>
      </w:pPr>
      <w:r>
        <w:t xml:space="preserve">The anti-poverty programs in India have largely focused on rural areas with only little attention given to the urban poor. </w:t>
      </w:r>
      <w:r>
        <w:rPr>
          <w:bCs/>
          <w:iCs/>
          <w:color w:val="000000"/>
        </w:rPr>
        <w:t xml:space="preserve">Judy and Schuler (2004) and </w:t>
      </w:r>
      <w:proofErr w:type="spellStart"/>
      <w:r>
        <w:rPr>
          <w:color w:val="000000"/>
        </w:rPr>
        <w:t>Meng</w:t>
      </w:r>
      <w:proofErr w:type="spellEnd"/>
      <w:r>
        <w:rPr>
          <w:color w:val="000000"/>
        </w:rPr>
        <w:t xml:space="preserve"> et al. (2005) </w:t>
      </w:r>
      <w:r>
        <w:rPr>
          <w:bCs/>
          <w:iCs/>
          <w:color w:val="000000"/>
        </w:rPr>
        <w:t xml:space="preserve">suggest that poverty analysis traditionally has focused on the rural areas. </w:t>
      </w:r>
      <w:proofErr w:type="spellStart"/>
      <w:r>
        <w:rPr>
          <w:color w:val="000000"/>
        </w:rPr>
        <w:t>Sridharan</w:t>
      </w:r>
      <w:proofErr w:type="spellEnd"/>
      <w:r>
        <w:rPr>
          <w:color w:val="000000"/>
        </w:rPr>
        <w:t xml:space="preserve"> </w:t>
      </w:r>
      <w:r>
        <w:rPr>
          <w:bCs/>
          <w:iCs/>
          <w:color w:val="000000"/>
        </w:rPr>
        <w:t xml:space="preserve">et al. (2008), from their extensive review of literature, highlight the fact that during the past 40 years, studies on urban poverty in India are relatively few and highlight the issues faced by the urban poor. </w:t>
      </w:r>
      <w:proofErr w:type="spellStart"/>
      <w:r>
        <w:rPr>
          <w:bCs/>
          <w:iCs/>
          <w:color w:val="000000"/>
        </w:rPr>
        <w:t>Loughhead</w:t>
      </w:r>
      <w:proofErr w:type="spellEnd"/>
      <w:r>
        <w:rPr>
          <w:bCs/>
          <w:iCs/>
          <w:color w:val="000000"/>
        </w:rPr>
        <w:t xml:space="preserve"> et al (2001), in a report prepared for DFID, suggest that urban poverty reduction in India needs considerable efforts by national, state and local governments; international organizations, civil society and the private sector.</w:t>
      </w:r>
    </w:p>
    <w:p w:rsidR="00CA1EFF" w:rsidRDefault="00CA1EFF">
      <w:pPr>
        <w:rPr>
          <w:rFonts w:ascii="Times New Roman" w:hAnsi="Times New Roman" w:cs="Times New Roman"/>
          <w:sz w:val="24"/>
          <w:szCs w:val="24"/>
        </w:rPr>
      </w:pPr>
      <w:r>
        <w:rPr>
          <w:rFonts w:ascii="Times New Roman" w:hAnsi="Times New Roman" w:cs="Times New Roman"/>
          <w:color w:val="000000"/>
          <w:sz w:val="24"/>
          <w:szCs w:val="24"/>
        </w:rPr>
        <w:t>While there is substantial discourse on the conceptualization, framework, measurement, approaches to poverty and poverty reduction, the predominant trend in measuring poverty continues to be the traditional money-metric measures that surfaced during the 1990s. Despite having its own merits, using this measure as a determinant of the scale of poverty is problematic for various reasons. This is particularly so in the context of urban poverty. Firstly, the urban poor are largely wage earners that make both income and consumption levels fluctuate frequently shifting them in and out of poverty. Secondly, a basket or bundle of goods assumed for the well-being of an individual is different across countries (</w:t>
      </w:r>
      <w:proofErr w:type="spellStart"/>
      <w:r>
        <w:rPr>
          <w:rFonts w:ascii="Times New Roman" w:hAnsi="Times New Roman" w:cs="Times New Roman"/>
          <w:color w:val="000000"/>
          <w:sz w:val="24"/>
          <w:szCs w:val="24"/>
        </w:rPr>
        <w:t>Thorbecke</w:t>
      </w:r>
      <w:proofErr w:type="spellEnd"/>
      <w:r>
        <w:rPr>
          <w:rFonts w:ascii="Times New Roman" w:hAnsi="Times New Roman" w:cs="Times New Roman"/>
          <w:color w:val="000000"/>
          <w:sz w:val="24"/>
          <w:szCs w:val="24"/>
        </w:rPr>
        <w:t>, 2005) and may then be underestimated for some countries (</w:t>
      </w:r>
      <w:proofErr w:type="spellStart"/>
      <w:r>
        <w:rPr>
          <w:rFonts w:ascii="Times New Roman" w:hAnsi="Times New Roman" w:cs="Times New Roman"/>
          <w:color w:val="000000"/>
          <w:sz w:val="24"/>
          <w:szCs w:val="24"/>
        </w:rPr>
        <w:t>Tacoli</w:t>
      </w:r>
      <w:proofErr w:type="spellEnd"/>
      <w:r>
        <w:rPr>
          <w:rFonts w:ascii="Times New Roman" w:hAnsi="Times New Roman" w:cs="Times New Roman"/>
          <w:color w:val="000000"/>
          <w:sz w:val="24"/>
          <w:szCs w:val="24"/>
        </w:rPr>
        <w:t xml:space="preserve"> &amp; Satterthwaite, 2003). This assumption is equally valid for the urban and rural poor of a developing country including India, where their needs as well as the means to fulfil them are different. Thirdly, in an urban poverty-stricken area (often a slum/settlement), there may be households with income or consumption that is slightly more or less than the benchmark of US$1.25 a day. However, </w:t>
      </w:r>
      <w:r>
        <w:rPr>
          <w:rFonts w:ascii="Times New Roman" w:hAnsi="Times New Roman" w:cs="Times New Roman"/>
          <w:bCs/>
          <w:iCs/>
          <w:color w:val="000000"/>
          <w:sz w:val="24"/>
          <w:szCs w:val="24"/>
        </w:rPr>
        <w:t xml:space="preserve">characteristics such as inadequate income, an inadequate, unstable or risky asset base, inadequate shelter, poor provision of public infrastructure, insufficient provision of basic services, insufficient protection of poorer groups’ rights through the operation of the law, </w:t>
      </w:r>
      <w:proofErr w:type="spellStart"/>
      <w:r>
        <w:rPr>
          <w:rFonts w:ascii="Times New Roman" w:hAnsi="Times New Roman" w:cs="Times New Roman"/>
          <w:bCs/>
          <w:iCs/>
          <w:color w:val="000000"/>
          <w:sz w:val="24"/>
          <w:szCs w:val="24"/>
        </w:rPr>
        <w:t>voicelessness</w:t>
      </w:r>
      <w:proofErr w:type="spellEnd"/>
      <w:r>
        <w:rPr>
          <w:rFonts w:ascii="Times New Roman" w:hAnsi="Times New Roman" w:cs="Times New Roman"/>
          <w:bCs/>
          <w:iCs/>
          <w:color w:val="000000"/>
          <w:sz w:val="24"/>
          <w:szCs w:val="24"/>
        </w:rPr>
        <w:t xml:space="preserve"> and powerlessness (Satterthwaite 2002), </w:t>
      </w:r>
      <w:r>
        <w:rPr>
          <w:rFonts w:ascii="Times New Roman" w:hAnsi="Times New Roman" w:cs="Times New Roman"/>
          <w:bCs/>
          <w:iCs/>
          <w:color w:val="000000"/>
          <w:sz w:val="24"/>
          <w:szCs w:val="24"/>
        </w:rPr>
        <w:lastRenderedPageBreak/>
        <w:t>commoditization, environmental hazard, and social fragmentation (</w:t>
      </w:r>
      <w:proofErr w:type="spellStart"/>
      <w:r>
        <w:rPr>
          <w:rFonts w:ascii="Times New Roman" w:hAnsi="Times New Roman" w:cs="Times New Roman"/>
          <w:bCs/>
          <w:iCs/>
          <w:color w:val="000000"/>
          <w:sz w:val="24"/>
          <w:szCs w:val="24"/>
        </w:rPr>
        <w:t>Baharoglu</w:t>
      </w:r>
      <w:proofErr w:type="spellEnd"/>
      <w:r>
        <w:rPr>
          <w:rFonts w:ascii="Times New Roman" w:hAnsi="Times New Roman" w:cs="Times New Roman"/>
          <w:bCs/>
          <w:iCs/>
          <w:color w:val="000000"/>
          <w:sz w:val="24"/>
          <w:szCs w:val="24"/>
        </w:rPr>
        <w:t xml:space="preserve"> et al 2003; Baker </w:t>
      </w:r>
      <w:r w:rsidR="00CF2A0D">
        <w:rPr>
          <w:rFonts w:ascii="Times New Roman" w:hAnsi="Times New Roman" w:cs="Times New Roman"/>
          <w:bCs/>
          <w:iCs/>
          <w:color w:val="000000"/>
          <w:sz w:val="24"/>
          <w:szCs w:val="24"/>
        </w:rPr>
        <w:t xml:space="preserve">and Schuler </w:t>
      </w:r>
      <w:r>
        <w:rPr>
          <w:rFonts w:ascii="Times New Roman" w:hAnsi="Times New Roman" w:cs="Times New Roman"/>
          <w:bCs/>
          <w:iCs/>
          <w:color w:val="000000"/>
          <w:sz w:val="24"/>
          <w:szCs w:val="24"/>
        </w:rPr>
        <w:t xml:space="preserve">2004; </w:t>
      </w:r>
      <w:proofErr w:type="spellStart"/>
      <w:r>
        <w:rPr>
          <w:rFonts w:ascii="Times New Roman" w:hAnsi="Times New Roman" w:cs="Times New Roman"/>
          <w:bCs/>
          <w:iCs/>
          <w:color w:val="000000"/>
          <w:sz w:val="24"/>
          <w:szCs w:val="24"/>
        </w:rPr>
        <w:t>Chamhuri</w:t>
      </w:r>
      <w:proofErr w:type="spellEnd"/>
      <w:r>
        <w:rPr>
          <w:rFonts w:ascii="Times New Roman" w:hAnsi="Times New Roman" w:cs="Times New Roman"/>
          <w:bCs/>
          <w:iCs/>
          <w:color w:val="000000"/>
          <w:sz w:val="24"/>
          <w:szCs w:val="24"/>
        </w:rPr>
        <w:t xml:space="preserve"> et al 2012) </w:t>
      </w:r>
      <w:r>
        <w:rPr>
          <w:rFonts w:ascii="Times New Roman" w:hAnsi="Times New Roman" w:cs="Times New Roman"/>
          <w:color w:val="000000"/>
          <w:sz w:val="24"/>
          <w:szCs w:val="24"/>
        </w:rPr>
        <w:t xml:space="preserve">put everyone residing in </w:t>
      </w:r>
      <w:r w:rsidRPr="005520E5">
        <w:rPr>
          <w:rFonts w:ascii="Times New Roman" w:hAnsi="Times New Roman" w:cs="Times New Roman"/>
          <w:color w:val="000000"/>
          <w:sz w:val="24"/>
          <w:szCs w:val="24"/>
          <w:lang w:val="en-GB"/>
        </w:rPr>
        <w:t>the</w:t>
      </w:r>
      <w:r>
        <w:rPr>
          <w:rFonts w:ascii="Times New Roman" w:hAnsi="Times New Roman" w:cs="Times New Roman"/>
          <w:color w:val="000000"/>
          <w:sz w:val="24"/>
          <w:szCs w:val="24"/>
        </w:rPr>
        <w:t xml:space="preserve"> slum in the same category.  Finally, the urban poor tend to both earn more and also spend more as the goods are likely to be more expensive in the urban areas (</w:t>
      </w:r>
      <w:proofErr w:type="spellStart"/>
      <w:r>
        <w:rPr>
          <w:rFonts w:ascii="Times New Roman" w:hAnsi="Times New Roman" w:cs="Times New Roman"/>
          <w:color w:val="000000"/>
          <w:sz w:val="24"/>
          <w:szCs w:val="24"/>
        </w:rPr>
        <w:t>Mitlin</w:t>
      </w:r>
      <w:proofErr w:type="spellEnd"/>
      <w:r w:rsidR="00CF2A0D">
        <w:rPr>
          <w:rFonts w:ascii="Times New Roman" w:hAnsi="Times New Roman" w:cs="Times New Roman"/>
          <w:color w:val="000000"/>
          <w:sz w:val="24"/>
          <w:szCs w:val="24"/>
        </w:rPr>
        <w:t xml:space="preserve"> 2004</w:t>
      </w:r>
      <w:r>
        <w:rPr>
          <w:rFonts w:ascii="Times New Roman" w:hAnsi="Times New Roman" w:cs="Times New Roman"/>
          <w:color w:val="000000"/>
          <w:sz w:val="24"/>
          <w:szCs w:val="24"/>
        </w:rPr>
        <w:t>)</w:t>
      </w:r>
      <w:r w:rsidR="00CF2A0D">
        <w:rPr>
          <w:rFonts w:ascii="Times New Roman" w:hAnsi="Times New Roman" w:cs="Times New Roman"/>
          <w:color w:val="000000"/>
          <w:sz w:val="24"/>
          <w:szCs w:val="24"/>
        </w:rPr>
        <w:t>.</w:t>
      </w:r>
    </w:p>
    <w:p w:rsidR="00CA1EFF" w:rsidRDefault="00CA1EFF">
      <w:pPr>
        <w:rPr>
          <w:rFonts w:ascii="Times New Roman" w:hAnsi="Times New Roman" w:cs="Times New Roman"/>
          <w:bCs/>
          <w:iCs/>
          <w:color w:val="000000"/>
          <w:sz w:val="24"/>
          <w:szCs w:val="24"/>
        </w:rPr>
      </w:pPr>
      <w:r>
        <w:rPr>
          <w:rFonts w:ascii="Times New Roman" w:hAnsi="Times New Roman" w:cs="Times New Roman"/>
          <w:sz w:val="24"/>
          <w:szCs w:val="24"/>
        </w:rPr>
        <w:t xml:space="preserve">Contextualization of the urban poor helps understand the multidimensional nature of poverty. </w:t>
      </w:r>
      <w:r>
        <w:rPr>
          <w:rFonts w:ascii="Times New Roman" w:hAnsi="Times New Roman" w:cs="Times New Roman"/>
          <w:color w:val="000000"/>
          <w:sz w:val="24"/>
          <w:szCs w:val="24"/>
        </w:rPr>
        <w:t xml:space="preserve">Literature on poverty now encompasses aspects such as deprivation, vulnerability, social exclusion (Hickey and </w:t>
      </w:r>
      <w:proofErr w:type="spellStart"/>
      <w:r>
        <w:rPr>
          <w:rFonts w:ascii="Times New Roman" w:hAnsi="Times New Roman" w:cs="Times New Roman"/>
          <w:color w:val="000000"/>
          <w:sz w:val="24"/>
          <w:szCs w:val="24"/>
        </w:rPr>
        <w:t>Toit</w:t>
      </w:r>
      <w:proofErr w:type="spellEnd"/>
      <w:r>
        <w:rPr>
          <w:rFonts w:ascii="Times New Roman" w:hAnsi="Times New Roman" w:cs="Times New Roman"/>
          <w:color w:val="000000"/>
          <w:sz w:val="24"/>
          <w:szCs w:val="24"/>
        </w:rPr>
        <w:t>, 2007), powerlessness and marginalization (</w:t>
      </w:r>
      <w:proofErr w:type="spellStart"/>
      <w:r>
        <w:rPr>
          <w:rFonts w:ascii="Times New Roman" w:hAnsi="Times New Roman" w:cs="Times New Roman"/>
          <w:color w:val="000000"/>
          <w:sz w:val="24"/>
          <w:szCs w:val="24"/>
        </w:rPr>
        <w:t>Hulme</w:t>
      </w:r>
      <w:proofErr w:type="spellEnd"/>
      <w:r>
        <w:rPr>
          <w:rFonts w:ascii="Times New Roman" w:hAnsi="Times New Roman" w:cs="Times New Roman"/>
          <w:color w:val="000000"/>
          <w:sz w:val="24"/>
          <w:szCs w:val="24"/>
        </w:rPr>
        <w:t>, 2003) which are part of the experience of poverty. Acknowledging horizontal inequalities (Stewart 2009) helps design programs with positive discrimination for</w:t>
      </w:r>
      <w:r>
        <w:rPr>
          <w:rFonts w:ascii="Times New Roman" w:hAnsi="Times New Roman" w:cs="Times New Roman"/>
          <w:sz w:val="24"/>
          <w:szCs w:val="24"/>
        </w:rPr>
        <w:t xml:space="preserve"> social and religious minority groups that tend to be at the bottom of the pyramid even in the urban context. For instance, the urban poverty ration at national level is highest for Muslims at 33.9% as per the planning commission, GOI (2012)</w:t>
      </w:r>
      <w:r>
        <w:rPr>
          <w:rFonts w:ascii="Times New Roman" w:hAnsi="Times New Roman" w:cs="Times New Roman"/>
          <w:color w:val="000000"/>
          <w:sz w:val="24"/>
          <w:szCs w:val="24"/>
        </w:rPr>
        <w:t>.</w:t>
      </w:r>
    </w:p>
    <w:p w:rsidR="00CA1EFF" w:rsidRDefault="00CA1EFF">
      <w:pPr>
        <w:rPr>
          <w:rFonts w:ascii="Times New Roman" w:hAnsi="Times New Roman" w:cs="Times New Roman"/>
          <w:bCs/>
          <w:iCs/>
          <w:color w:val="000000"/>
          <w:sz w:val="24"/>
          <w:szCs w:val="24"/>
        </w:rPr>
      </w:pPr>
      <w:r>
        <w:rPr>
          <w:rFonts w:ascii="Times New Roman" w:hAnsi="Times New Roman" w:cs="Times New Roman"/>
          <w:bCs/>
          <w:iCs/>
          <w:color w:val="000000"/>
          <w:sz w:val="24"/>
          <w:szCs w:val="24"/>
        </w:rPr>
        <w:t>The complex phenomenon of urban poverty makes it imperative that it is addressed at micro and macro levels, starting from local to global. Units and levels of intervention can be at various levels starting from households to communities, local and state governments, national policy makers, international donor agencies, NGOs, and private stakeholders. Strategies include the creation of safety nets, policy interventions, provision of services and infrastructure, community mobilization, livelihood interventions, creation of access to finances, social protection, networking with International communities, proper channeling and mobilization of aid amongst others (</w:t>
      </w:r>
      <w:proofErr w:type="spellStart"/>
      <w:r>
        <w:rPr>
          <w:rFonts w:ascii="Times New Roman" w:hAnsi="Times New Roman" w:cs="Times New Roman"/>
          <w:bCs/>
          <w:iCs/>
          <w:color w:val="000000"/>
          <w:sz w:val="24"/>
          <w:szCs w:val="24"/>
          <w:lang w:val="en-GB"/>
        </w:rPr>
        <w:t>Appadurai</w:t>
      </w:r>
      <w:proofErr w:type="spellEnd"/>
      <w:r>
        <w:rPr>
          <w:rFonts w:ascii="Times New Roman" w:hAnsi="Times New Roman" w:cs="Times New Roman"/>
          <w:bCs/>
          <w:iCs/>
          <w:color w:val="000000"/>
          <w:sz w:val="24"/>
          <w:szCs w:val="24"/>
          <w:lang w:val="en-GB"/>
        </w:rPr>
        <w:t xml:space="preserve"> 2002; </w:t>
      </w:r>
      <w:r>
        <w:rPr>
          <w:rFonts w:ascii="Times New Roman" w:hAnsi="Times New Roman" w:cs="Times New Roman"/>
          <w:bCs/>
          <w:iCs/>
          <w:color w:val="000000"/>
          <w:sz w:val="24"/>
          <w:szCs w:val="24"/>
        </w:rPr>
        <w:t xml:space="preserve">Barrientos </w:t>
      </w:r>
      <w:r w:rsidR="00AB420C">
        <w:rPr>
          <w:rFonts w:ascii="Times New Roman" w:hAnsi="Times New Roman" w:cs="Times New Roman"/>
          <w:bCs/>
          <w:iCs/>
          <w:color w:val="000000"/>
          <w:sz w:val="24"/>
          <w:szCs w:val="24"/>
        </w:rPr>
        <w:t xml:space="preserve">et al. </w:t>
      </w:r>
      <w:r>
        <w:rPr>
          <w:rFonts w:ascii="Times New Roman" w:hAnsi="Times New Roman" w:cs="Times New Roman"/>
          <w:bCs/>
          <w:iCs/>
          <w:color w:val="000000"/>
          <w:sz w:val="24"/>
          <w:szCs w:val="24"/>
        </w:rPr>
        <w:t xml:space="preserve">2010, Barrientos &amp; </w:t>
      </w:r>
      <w:proofErr w:type="spellStart"/>
      <w:r>
        <w:rPr>
          <w:rFonts w:ascii="Times New Roman" w:hAnsi="Times New Roman" w:cs="Times New Roman"/>
          <w:bCs/>
          <w:iCs/>
          <w:color w:val="000000"/>
          <w:sz w:val="24"/>
          <w:szCs w:val="24"/>
        </w:rPr>
        <w:t>Hulme</w:t>
      </w:r>
      <w:proofErr w:type="spellEnd"/>
      <w:r>
        <w:rPr>
          <w:rFonts w:ascii="Times New Roman" w:hAnsi="Times New Roman" w:cs="Times New Roman"/>
          <w:bCs/>
          <w:iCs/>
          <w:color w:val="000000"/>
          <w:sz w:val="24"/>
          <w:szCs w:val="24"/>
        </w:rPr>
        <w:t xml:space="preserve"> 200</w:t>
      </w:r>
      <w:r w:rsidR="00AB420C">
        <w:rPr>
          <w:rFonts w:ascii="Times New Roman" w:hAnsi="Times New Roman" w:cs="Times New Roman"/>
          <w:bCs/>
          <w:iCs/>
          <w:color w:val="000000"/>
          <w:sz w:val="24"/>
          <w:szCs w:val="24"/>
        </w:rPr>
        <w:t>9</w:t>
      </w:r>
      <w:r>
        <w:rPr>
          <w:rFonts w:ascii="Times New Roman" w:hAnsi="Times New Roman" w:cs="Times New Roman"/>
          <w:bCs/>
          <w:iCs/>
          <w:color w:val="000000"/>
          <w:sz w:val="24"/>
          <w:szCs w:val="24"/>
        </w:rPr>
        <w:t>;</w:t>
      </w:r>
      <w:r>
        <w:rPr>
          <w:rFonts w:ascii="Times New Roman" w:hAnsi="Times New Roman" w:cs="Times New Roman"/>
          <w:bCs/>
          <w:iCs/>
          <w:color w:val="000000"/>
          <w:sz w:val="24"/>
          <w:szCs w:val="24"/>
          <w:lang w:val="en-GB"/>
        </w:rPr>
        <w:t xml:space="preserve"> Beall</w:t>
      </w:r>
      <w:r w:rsidR="00AB420C">
        <w:rPr>
          <w:rFonts w:ascii="Times New Roman" w:hAnsi="Times New Roman" w:cs="Times New Roman"/>
          <w:bCs/>
          <w:iCs/>
          <w:color w:val="000000"/>
          <w:sz w:val="24"/>
          <w:szCs w:val="24"/>
          <w:lang w:val="en-GB"/>
        </w:rPr>
        <w:t xml:space="preserve"> and Kanji</w:t>
      </w:r>
      <w:r>
        <w:rPr>
          <w:rFonts w:ascii="Times New Roman" w:hAnsi="Times New Roman" w:cs="Times New Roman"/>
          <w:bCs/>
          <w:iCs/>
          <w:color w:val="000000"/>
          <w:sz w:val="24"/>
          <w:szCs w:val="24"/>
          <w:lang w:val="en-GB"/>
        </w:rPr>
        <w:t xml:space="preserve"> 1999</w:t>
      </w:r>
      <w:r w:rsidR="000E7456">
        <w:rPr>
          <w:rFonts w:ascii="Times New Roman" w:hAnsi="Times New Roman" w:cs="Times New Roman"/>
          <w:bCs/>
          <w:iCs/>
          <w:color w:val="000000"/>
          <w:sz w:val="24"/>
          <w:szCs w:val="24"/>
          <w:lang w:val="en-GB"/>
        </w:rPr>
        <w:t xml:space="preserve">, </w:t>
      </w:r>
      <w:proofErr w:type="spellStart"/>
      <w:r w:rsidR="000E7456">
        <w:rPr>
          <w:rFonts w:ascii="Times New Roman" w:hAnsi="Times New Roman" w:cs="Times New Roman"/>
          <w:bCs/>
          <w:iCs/>
          <w:color w:val="000000"/>
          <w:sz w:val="24"/>
          <w:szCs w:val="24"/>
        </w:rPr>
        <w:t>Hjorth</w:t>
      </w:r>
      <w:proofErr w:type="spellEnd"/>
      <w:r>
        <w:rPr>
          <w:rFonts w:ascii="Times New Roman" w:hAnsi="Times New Roman" w:cs="Times New Roman"/>
          <w:bCs/>
          <w:iCs/>
          <w:color w:val="000000"/>
          <w:sz w:val="24"/>
          <w:szCs w:val="24"/>
        </w:rPr>
        <w:t xml:space="preserve"> 2003; </w:t>
      </w:r>
      <w:proofErr w:type="spellStart"/>
      <w:r>
        <w:rPr>
          <w:rFonts w:ascii="Times New Roman" w:hAnsi="Times New Roman" w:cs="Times New Roman"/>
          <w:bCs/>
          <w:iCs/>
          <w:color w:val="000000"/>
          <w:sz w:val="24"/>
          <w:szCs w:val="24"/>
          <w:lang w:val="en-GB"/>
        </w:rPr>
        <w:t>Mitlin</w:t>
      </w:r>
      <w:proofErr w:type="spellEnd"/>
      <w:r>
        <w:rPr>
          <w:rFonts w:ascii="Times New Roman" w:hAnsi="Times New Roman" w:cs="Times New Roman"/>
          <w:bCs/>
          <w:iCs/>
          <w:color w:val="000000"/>
          <w:sz w:val="24"/>
          <w:szCs w:val="24"/>
          <w:lang w:val="en-GB"/>
        </w:rPr>
        <w:t xml:space="preserve"> 2003;</w:t>
      </w:r>
      <w:r>
        <w:rPr>
          <w:rFonts w:ascii="Times New Roman" w:hAnsi="Times New Roman" w:cs="Times New Roman"/>
          <w:bCs/>
          <w:iCs/>
          <w:color w:val="000000"/>
          <w:sz w:val="24"/>
          <w:szCs w:val="24"/>
        </w:rPr>
        <w:t xml:space="preserve"> </w:t>
      </w:r>
      <w:proofErr w:type="spellStart"/>
      <w:r>
        <w:rPr>
          <w:rFonts w:ascii="Times New Roman" w:hAnsi="Times New Roman" w:cs="Times New Roman"/>
          <w:bCs/>
          <w:iCs/>
          <w:color w:val="000000"/>
          <w:sz w:val="24"/>
          <w:szCs w:val="24"/>
        </w:rPr>
        <w:t>Rakodi</w:t>
      </w:r>
      <w:proofErr w:type="spellEnd"/>
      <w:r>
        <w:rPr>
          <w:rFonts w:ascii="Times New Roman" w:hAnsi="Times New Roman" w:cs="Times New Roman"/>
          <w:bCs/>
          <w:iCs/>
          <w:color w:val="000000"/>
          <w:sz w:val="24"/>
          <w:szCs w:val="24"/>
        </w:rPr>
        <w:t xml:space="preserve"> 1995;</w:t>
      </w:r>
      <w:r>
        <w:rPr>
          <w:rFonts w:ascii="Times New Roman" w:eastAsia="Times New Roman" w:hAnsi="Times New Roman" w:cs="Times New Roman"/>
          <w:color w:val="000000"/>
          <w:sz w:val="24"/>
          <w:szCs w:val="24"/>
          <w:lang w:val="en-GB"/>
        </w:rPr>
        <w:t xml:space="preserve"> </w:t>
      </w:r>
      <w:r>
        <w:rPr>
          <w:rFonts w:ascii="Times New Roman" w:hAnsi="Times New Roman" w:cs="Times New Roman"/>
          <w:bCs/>
          <w:iCs/>
          <w:color w:val="000000"/>
          <w:sz w:val="24"/>
          <w:szCs w:val="24"/>
          <w:lang w:val="en-GB"/>
        </w:rPr>
        <w:t>Satterthwaite 1998;</w:t>
      </w:r>
      <w:r>
        <w:rPr>
          <w:rFonts w:ascii="Times New Roman" w:eastAsia="Times New Roman" w:hAnsi="Times New Roman" w:cs="Times New Roman"/>
          <w:color w:val="000000"/>
          <w:sz w:val="24"/>
          <w:szCs w:val="24"/>
          <w:lang w:val="en-GB"/>
        </w:rPr>
        <w:t xml:space="preserve"> </w:t>
      </w:r>
      <w:proofErr w:type="spellStart"/>
      <w:r>
        <w:rPr>
          <w:rFonts w:ascii="Times New Roman" w:hAnsi="Times New Roman" w:cs="Times New Roman"/>
          <w:bCs/>
          <w:iCs/>
          <w:color w:val="000000"/>
          <w:sz w:val="24"/>
          <w:szCs w:val="24"/>
          <w:lang w:val="en-GB"/>
        </w:rPr>
        <w:t>Sahley</w:t>
      </w:r>
      <w:proofErr w:type="spellEnd"/>
      <w:r>
        <w:rPr>
          <w:rFonts w:ascii="Times New Roman" w:hAnsi="Times New Roman" w:cs="Times New Roman"/>
          <w:bCs/>
          <w:iCs/>
          <w:color w:val="000000"/>
          <w:sz w:val="24"/>
          <w:szCs w:val="24"/>
          <w:lang w:val="en-GB"/>
        </w:rPr>
        <w:t xml:space="preserve"> and Pratt 2003).</w:t>
      </w:r>
    </w:p>
    <w:p w:rsidR="00CA1EFF" w:rsidRDefault="00CA1EFF">
      <w:pPr>
        <w:rPr>
          <w:rFonts w:ascii="Times New Roman" w:hAnsi="Times New Roman" w:cs="Times New Roman"/>
          <w:sz w:val="24"/>
          <w:szCs w:val="24"/>
        </w:rPr>
      </w:pPr>
      <w:r>
        <w:rPr>
          <w:rFonts w:ascii="Times New Roman" w:hAnsi="Times New Roman" w:cs="Times New Roman"/>
          <w:bCs/>
          <w:iCs/>
          <w:color w:val="000000"/>
          <w:sz w:val="24"/>
          <w:szCs w:val="24"/>
        </w:rPr>
        <w:t xml:space="preserve">Considering that access to finance, livelihood interventions and asset creation are all related to economic aspects, one popular tool that has been associated with poverty alleviation is microfinance, which seems to have gained significant attention in the past few years. </w:t>
      </w:r>
      <w:proofErr w:type="spellStart"/>
      <w:r>
        <w:rPr>
          <w:rFonts w:ascii="Times New Roman" w:hAnsi="Times New Roman" w:cs="Times New Roman"/>
          <w:bCs/>
          <w:iCs/>
          <w:color w:val="000000"/>
          <w:sz w:val="24"/>
          <w:szCs w:val="24"/>
        </w:rPr>
        <w:t>Ledgerwood</w:t>
      </w:r>
      <w:proofErr w:type="spellEnd"/>
      <w:r>
        <w:rPr>
          <w:rFonts w:ascii="Times New Roman" w:hAnsi="Times New Roman" w:cs="Times New Roman"/>
          <w:bCs/>
          <w:iCs/>
          <w:color w:val="000000"/>
          <w:sz w:val="24"/>
          <w:szCs w:val="24"/>
        </w:rPr>
        <w:t xml:space="preserve"> et al (2013) highlight the fact that the industry has grown exponentially in terms of outreach, service providers, products, models and clients. </w:t>
      </w:r>
    </w:p>
    <w:p w:rsidR="00CA1EFF" w:rsidRDefault="00CA1EFF">
      <w:pPr>
        <w:pStyle w:val="Heading1"/>
        <w:rPr>
          <w:rFonts w:ascii="Times New Roman" w:hAnsi="Times New Roman" w:cs="Times New Roman"/>
          <w:i/>
          <w:iCs/>
          <w:color w:val="000000"/>
          <w:sz w:val="24"/>
          <w:szCs w:val="24"/>
        </w:rPr>
      </w:pPr>
      <w:r>
        <w:rPr>
          <w:rFonts w:ascii="Times New Roman" w:hAnsi="Times New Roman" w:cs="Times New Roman"/>
          <w:sz w:val="24"/>
          <w:szCs w:val="24"/>
        </w:rPr>
        <w:t>MICROFINANCE AND POVERTY REDUCTION</w:t>
      </w:r>
    </w:p>
    <w:p w:rsidR="00CA1EFF" w:rsidRDefault="00CA1EFF" w:rsidP="008A5B75">
      <w:pPr>
        <w:rPr>
          <w:rFonts w:ascii="Times New Roman" w:hAnsi="Times New Roman" w:cs="Times New Roman"/>
          <w:bCs/>
          <w:iCs/>
          <w:color w:val="000000"/>
          <w:sz w:val="24"/>
          <w:szCs w:val="24"/>
        </w:rPr>
      </w:pPr>
      <w:r>
        <w:rPr>
          <w:rFonts w:ascii="Times New Roman" w:hAnsi="Times New Roman" w:cs="Times New Roman"/>
          <w:bCs/>
          <w:i/>
          <w:iCs/>
          <w:color w:val="000000"/>
          <w:sz w:val="24"/>
          <w:szCs w:val="24"/>
        </w:rPr>
        <w:t xml:space="preserve">"58% of the poor who borrowed from Grameen are now out of poverty. There are over 100 million people now involved with microcredit schemes. At the rate we're heading, we'll halve total poverty by 2015. We'll create a poverty museum in 2030.” </w:t>
      </w:r>
      <w:r w:rsidR="003E1187">
        <w:rPr>
          <w:rFonts w:ascii="Times New Roman" w:hAnsi="Times New Roman" w:cs="Times New Roman"/>
          <w:bCs/>
          <w:i/>
          <w:iCs/>
          <w:color w:val="000000"/>
          <w:sz w:val="24"/>
          <w:szCs w:val="24"/>
        </w:rPr>
        <w:t>–</w:t>
      </w:r>
      <w:r>
        <w:rPr>
          <w:rFonts w:ascii="Times New Roman" w:hAnsi="Times New Roman" w:cs="Times New Roman"/>
          <w:bCs/>
          <w:i/>
          <w:iCs/>
          <w:color w:val="000000"/>
          <w:sz w:val="24"/>
          <w:szCs w:val="24"/>
        </w:rPr>
        <w:t xml:space="preserve"> </w:t>
      </w:r>
      <w:r w:rsidR="003E1187">
        <w:rPr>
          <w:rFonts w:ascii="Times New Roman" w:hAnsi="Times New Roman" w:cs="Times New Roman"/>
          <w:bCs/>
          <w:i/>
          <w:iCs/>
          <w:color w:val="000000"/>
          <w:sz w:val="24"/>
          <w:szCs w:val="24"/>
        </w:rPr>
        <w:t>(</w:t>
      </w:r>
      <w:r w:rsidRPr="003E1187">
        <w:rPr>
          <w:rFonts w:ascii="Times New Roman" w:hAnsi="Times New Roman" w:cs="Times New Roman"/>
          <w:bCs/>
          <w:i/>
          <w:iCs/>
          <w:color w:val="000000"/>
          <w:sz w:val="24"/>
          <w:szCs w:val="24"/>
        </w:rPr>
        <w:t xml:space="preserve">Professor Muhammad </w:t>
      </w:r>
      <w:proofErr w:type="spellStart"/>
      <w:r w:rsidRPr="003E1187">
        <w:rPr>
          <w:rFonts w:ascii="Times New Roman" w:hAnsi="Times New Roman" w:cs="Times New Roman"/>
          <w:bCs/>
          <w:i/>
          <w:iCs/>
          <w:color w:val="000000"/>
          <w:sz w:val="24"/>
          <w:szCs w:val="24"/>
        </w:rPr>
        <w:t>Yunus</w:t>
      </w:r>
      <w:proofErr w:type="spellEnd"/>
      <w:r w:rsidRPr="003E1187">
        <w:rPr>
          <w:rFonts w:ascii="Times New Roman" w:hAnsi="Times New Roman" w:cs="Times New Roman"/>
          <w:bCs/>
          <w:i/>
          <w:iCs/>
          <w:color w:val="000000"/>
          <w:sz w:val="24"/>
          <w:szCs w:val="24"/>
        </w:rPr>
        <w:t>, speaking to Time Magazine in 2006</w:t>
      </w:r>
      <w:r w:rsidR="003E1187">
        <w:rPr>
          <w:rFonts w:ascii="Times New Roman" w:hAnsi="Times New Roman" w:cs="Times New Roman"/>
          <w:bCs/>
          <w:i/>
          <w:iCs/>
          <w:color w:val="000000"/>
          <w:sz w:val="24"/>
          <w:szCs w:val="24"/>
        </w:rPr>
        <w:t>)</w:t>
      </w:r>
    </w:p>
    <w:p w:rsidR="00CA1EFF" w:rsidRDefault="00CA1EFF">
      <w:pP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According to Beatriz and Jonathan (2010), microcredit initially focused on getting loans to the poor to augment their savings. The push to “microfinance” came with the recognition that households can benefit from access to financial services and not just credit for microenterprises. As a result, the attention diverted towards the “less poor”, and the development of commercially viable financial products and services. </w:t>
      </w:r>
      <w:r w:rsidRPr="008A5B75">
        <w:rPr>
          <w:rFonts w:ascii="Times New Roman" w:hAnsi="Times New Roman" w:cs="Times New Roman"/>
          <w:bCs/>
          <w:iCs/>
          <w:color w:val="000000"/>
          <w:sz w:val="24"/>
          <w:szCs w:val="24"/>
        </w:rPr>
        <w:t>Microfinance includes insurance, transactional services, and importantly, savings (Barr, 2005).</w:t>
      </w:r>
      <w:r>
        <w:rPr>
          <w:rFonts w:ascii="Times New Roman" w:hAnsi="Times New Roman" w:cs="Times New Roman"/>
          <w:bCs/>
          <w:iCs/>
          <w:color w:val="000000"/>
          <w:sz w:val="24"/>
          <w:szCs w:val="24"/>
        </w:rPr>
        <w:t xml:space="preserve"> </w:t>
      </w:r>
      <w:r w:rsidRPr="00910024">
        <w:rPr>
          <w:rFonts w:ascii="Times New Roman" w:hAnsi="Times New Roman" w:cs="Times New Roman"/>
          <w:bCs/>
          <w:iCs/>
          <w:color w:val="000000"/>
          <w:sz w:val="24"/>
          <w:szCs w:val="24"/>
        </w:rPr>
        <w:t xml:space="preserve">Microfinance can also be described as “the provision of a </w:t>
      </w:r>
      <w:r w:rsidRPr="00910024">
        <w:rPr>
          <w:rFonts w:ascii="Times New Roman" w:hAnsi="Times New Roman" w:cs="Times New Roman"/>
          <w:bCs/>
          <w:iCs/>
          <w:color w:val="000000"/>
          <w:sz w:val="24"/>
          <w:szCs w:val="24"/>
        </w:rPr>
        <w:lastRenderedPageBreak/>
        <w:t>broad range of financial services to poor, low income households and micro-enterprises usually lacking access to formal financial institutions” (CIDA, 2002).</w:t>
      </w:r>
    </w:p>
    <w:p w:rsidR="00CA1EFF" w:rsidRDefault="00CA1EFF">
      <w:pPr>
        <w:rPr>
          <w:rFonts w:ascii="Times New Roman" w:hAnsi="Times New Roman" w:cs="Times New Roman"/>
          <w:bCs/>
          <w:iCs/>
          <w:color w:val="000000"/>
          <w:sz w:val="24"/>
          <w:szCs w:val="24"/>
        </w:rPr>
      </w:pPr>
      <w:r w:rsidRPr="00910024">
        <w:rPr>
          <w:rFonts w:ascii="Times New Roman" w:hAnsi="Times New Roman" w:cs="Times New Roman"/>
          <w:bCs/>
          <w:iCs/>
          <w:color w:val="000000"/>
          <w:sz w:val="24"/>
          <w:szCs w:val="24"/>
        </w:rPr>
        <w:t>Barr (2005) suggests that as an instrument of financial development, microfinance helps in</w:t>
      </w:r>
      <w:r>
        <w:rPr>
          <w:rFonts w:ascii="Times New Roman" w:hAnsi="Times New Roman" w:cs="Times New Roman"/>
          <w:bCs/>
          <w:iCs/>
          <w:color w:val="000000"/>
          <w:sz w:val="24"/>
          <w:szCs w:val="24"/>
        </w:rPr>
        <w:t xml:space="preserve"> reducing poverty. Beck et al (2007) in a research using panel data found that financial development helped the poor by impacting their incomes. According to the study, 60% of the impact of financial development on the poorest quintile works through aggregate growth, while about 40% through reductions in income inequality. </w:t>
      </w:r>
    </w:p>
    <w:p w:rsidR="00CA1EFF" w:rsidRDefault="00CA1EFF">
      <w:r>
        <w:rPr>
          <w:rFonts w:ascii="Times New Roman" w:hAnsi="Times New Roman" w:cs="Times New Roman"/>
          <w:bCs/>
          <w:iCs/>
          <w:color w:val="000000"/>
          <w:sz w:val="24"/>
          <w:szCs w:val="24"/>
        </w:rPr>
        <w:t>Given below is a pictorial representation of the relationship between microfinance and poverty reduction.</w:t>
      </w:r>
    </w:p>
    <w:p w:rsidR="00705876" w:rsidRDefault="00705876" w:rsidP="00705876">
      <w:pPr>
        <w:jc w:val="center"/>
        <w:rPr>
          <w:rFonts w:cs="Times New Roman"/>
          <w:b/>
          <w:bCs/>
          <w:iCs/>
          <w:color w:val="000000"/>
          <w:szCs w:val="24"/>
          <w:lang w:val="en-GB"/>
        </w:rPr>
      </w:pPr>
      <w:r>
        <w:rPr>
          <w:rFonts w:ascii="Times New Roman" w:hAnsi="Times New Roman" w:cs="Times New Roman"/>
          <w:noProof/>
          <w:sz w:val="24"/>
          <w:szCs w:val="24"/>
          <w:lang w:val="en-GB" w:eastAsia="en-GB"/>
        </w:rPr>
        <w:drawing>
          <wp:inline distT="0" distB="0" distL="0" distR="0" wp14:anchorId="2BDE3E88" wp14:editId="0811A440">
            <wp:extent cx="2934335" cy="43014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4335" cy="4301490"/>
                    </a:xfrm>
                    <a:prstGeom prst="rect">
                      <a:avLst/>
                    </a:prstGeom>
                    <a:solidFill>
                      <a:srgbClr val="FFFFFF">
                        <a:alpha val="0"/>
                      </a:srgbClr>
                    </a:solidFill>
                    <a:ln>
                      <a:noFill/>
                    </a:ln>
                  </pic:spPr>
                </pic:pic>
              </a:graphicData>
            </a:graphic>
          </wp:inline>
        </w:drawing>
      </w:r>
    </w:p>
    <w:p w:rsidR="00705876" w:rsidRDefault="00705876" w:rsidP="00705876">
      <w:pPr>
        <w:jc w:val="center"/>
        <w:rPr>
          <w:rFonts w:cs="Times New Roman"/>
          <w:b/>
          <w:bCs/>
          <w:iCs/>
          <w:color w:val="000000"/>
          <w:szCs w:val="24"/>
          <w:lang w:val="en-GB"/>
        </w:rPr>
      </w:pPr>
    </w:p>
    <w:p w:rsidR="00705876" w:rsidRDefault="00705876" w:rsidP="00705876">
      <w:pPr>
        <w:jc w:val="center"/>
        <w:rPr>
          <w:rFonts w:cs="Times New Roman"/>
          <w:b/>
          <w:bCs/>
          <w:iCs/>
          <w:color w:val="000000"/>
          <w:szCs w:val="24"/>
          <w:lang w:val="en-GB"/>
        </w:rPr>
      </w:pPr>
    </w:p>
    <w:p w:rsidR="007E704E" w:rsidRPr="006C097E" w:rsidRDefault="007E704E" w:rsidP="007E704E">
      <w:pPr>
        <w:autoSpaceDE w:val="0"/>
        <w:autoSpaceDN w:val="0"/>
        <w:adjustRightInd w:val="0"/>
        <w:spacing w:after="0" w:line="240" w:lineRule="auto"/>
        <w:rPr>
          <w:rFonts w:ascii="Times New Roman" w:hAnsi="Times New Roman" w:cs="Times New Roman"/>
          <w:sz w:val="24"/>
          <w:szCs w:val="24"/>
        </w:rPr>
      </w:pPr>
      <w:r w:rsidRPr="00751213">
        <w:rPr>
          <w:rFonts w:ascii="Times New Roman" w:hAnsi="Times New Roman" w:cs="Times New Roman"/>
          <w:sz w:val="24"/>
          <w:szCs w:val="24"/>
        </w:rPr>
        <w:t>Figure 1. Relationship between microfinance and poverty</w:t>
      </w:r>
      <w:r>
        <w:rPr>
          <w:rFonts w:ascii="Times New Roman" w:hAnsi="Times New Roman" w:cs="Times New Roman"/>
          <w:sz w:val="24"/>
          <w:szCs w:val="24"/>
        </w:rPr>
        <w:t xml:space="preserve"> </w:t>
      </w:r>
      <w:r w:rsidRPr="00751213">
        <w:rPr>
          <w:rFonts w:ascii="Times New Roman" w:hAnsi="Times New Roman" w:cs="Times New Roman"/>
          <w:sz w:val="24"/>
          <w:szCs w:val="24"/>
        </w:rPr>
        <w:t>reduction (</w:t>
      </w:r>
      <w:proofErr w:type="spellStart"/>
      <w:r>
        <w:rPr>
          <w:rFonts w:ascii="Times New Roman" w:hAnsi="Times New Roman" w:cs="Times New Roman"/>
          <w:sz w:val="24"/>
          <w:szCs w:val="24"/>
        </w:rPr>
        <w:t>Ganji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r w:rsidRPr="00751213">
        <w:rPr>
          <w:rFonts w:ascii="Times New Roman" w:hAnsi="Times New Roman" w:cs="Times New Roman"/>
          <w:sz w:val="24"/>
          <w:szCs w:val="24"/>
        </w:rPr>
        <w:t>. (Color figure can be</w:t>
      </w:r>
      <w:r>
        <w:rPr>
          <w:rFonts w:ascii="Times New Roman" w:hAnsi="Times New Roman" w:cs="Times New Roman"/>
          <w:sz w:val="24"/>
          <w:szCs w:val="24"/>
        </w:rPr>
        <w:t xml:space="preserve"> </w:t>
      </w:r>
      <w:r w:rsidRPr="00751213">
        <w:rPr>
          <w:rFonts w:ascii="Times New Roman" w:hAnsi="Times New Roman" w:cs="Times New Roman"/>
          <w:sz w:val="24"/>
          <w:szCs w:val="24"/>
        </w:rPr>
        <w:t>viewed in the online issue, which is available at</w:t>
      </w:r>
      <w:r>
        <w:rPr>
          <w:rFonts w:ascii="Times New Roman" w:hAnsi="Times New Roman" w:cs="Times New Roman"/>
          <w:sz w:val="24"/>
          <w:szCs w:val="24"/>
        </w:rPr>
        <w:t xml:space="preserve"> </w:t>
      </w:r>
      <w:r w:rsidRPr="00751213">
        <w:rPr>
          <w:rFonts w:ascii="Times New Roman" w:hAnsi="Times New Roman" w:cs="Times New Roman"/>
          <w:sz w:val="24"/>
          <w:szCs w:val="24"/>
        </w:rPr>
        <w:t>wileyonlinelibrary.com).</w:t>
      </w:r>
    </w:p>
    <w:p w:rsidR="00705876" w:rsidRDefault="00705876">
      <w:pPr>
        <w:rPr>
          <w:rFonts w:ascii="Times New Roman" w:hAnsi="Times New Roman" w:cs="Times New Roman"/>
          <w:color w:val="000000"/>
          <w:sz w:val="24"/>
          <w:szCs w:val="24"/>
        </w:rPr>
      </w:pPr>
    </w:p>
    <w:p w:rsidR="00CA1EFF" w:rsidRDefault="00CA1EFF">
      <w:pPr>
        <w:rPr>
          <w:rFonts w:ascii="Times New Roman" w:hAnsi="Times New Roman" w:cs="Times New Roman"/>
          <w:iCs/>
          <w:color w:val="000000"/>
          <w:sz w:val="24"/>
          <w:szCs w:val="24"/>
          <w:lang w:val="en-GB"/>
        </w:rPr>
      </w:pPr>
      <w:proofErr w:type="spellStart"/>
      <w:r>
        <w:rPr>
          <w:rFonts w:ascii="Times New Roman" w:hAnsi="Times New Roman" w:cs="Times New Roman"/>
          <w:color w:val="000000"/>
          <w:sz w:val="24"/>
          <w:szCs w:val="24"/>
        </w:rPr>
        <w:lastRenderedPageBreak/>
        <w:t>Khandker</w:t>
      </w:r>
      <w:proofErr w:type="spellEnd"/>
      <w:r>
        <w:rPr>
          <w:rFonts w:ascii="Times New Roman" w:hAnsi="Times New Roman" w:cs="Times New Roman"/>
          <w:color w:val="000000"/>
          <w:sz w:val="24"/>
          <w:szCs w:val="24"/>
        </w:rPr>
        <w:t xml:space="preserve"> (2005) employed panel data from Bangladesh to study the impact of microfinance on poverty and found that the access to microfinance contributes to poverty reduction. It also had a special impact on female participants, with overall poverty reduction at the village level by 1% </w:t>
      </w:r>
      <w:r w:rsidRPr="00F3216B">
        <w:rPr>
          <w:rFonts w:ascii="Times New Roman" w:hAnsi="Times New Roman" w:cs="Times New Roman"/>
          <w:color w:val="000000"/>
          <w:sz w:val="24"/>
          <w:szCs w:val="24"/>
        </w:rPr>
        <w:t xml:space="preserve">each year in the programme areas. In another study, </w:t>
      </w:r>
      <w:r w:rsidR="00F3216B" w:rsidRPr="00F3216B">
        <w:rPr>
          <w:rFonts w:ascii="Times New Roman" w:hAnsi="Times New Roman" w:cs="Times New Roman"/>
          <w:color w:val="000000"/>
          <w:sz w:val="24"/>
          <w:szCs w:val="24"/>
        </w:rPr>
        <w:t xml:space="preserve">Pitt and </w:t>
      </w:r>
      <w:proofErr w:type="spellStart"/>
      <w:r w:rsidRPr="00F3216B">
        <w:rPr>
          <w:rFonts w:ascii="Times New Roman" w:hAnsi="Times New Roman" w:cs="Times New Roman"/>
          <w:color w:val="000000"/>
          <w:sz w:val="24"/>
          <w:szCs w:val="24"/>
        </w:rPr>
        <w:t>Khandker</w:t>
      </w:r>
      <w:proofErr w:type="spellEnd"/>
      <w:r w:rsidRPr="00F3216B">
        <w:rPr>
          <w:rFonts w:ascii="Times New Roman" w:hAnsi="Times New Roman" w:cs="Times New Roman"/>
          <w:color w:val="000000"/>
          <w:sz w:val="24"/>
          <w:szCs w:val="24"/>
        </w:rPr>
        <w:t xml:space="preserve"> (199</w:t>
      </w:r>
      <w:r w:rsidR="00F3216B" w:rsidRPr="00F3216B">
        <w:rPr>
          <w:rFonts w:ascii="Times New Roman" w:hAnsi="Times New Roman" w:cs="Times New Roman"/>
          <w:color w:val="000000"/>
          <w:sz w:val="24"/>
          <w:szCs w:val="24"/>
        </w:rPr>
        <w:t>8, 2006</w:t>
      </w:r>
      <w:r w:rsidRPr="00F3216B">
        <w:rPr>
          <w:rFonts w:ascii="Times New Roman" w:hAnsi="Times New Roman" w:cs="Times New Roman"/>
          <w:color w:val="000000"/>
          <w:sz w:val="24"/>
          <w:szCs w:val="24"/>
        </w:rPr>
        <w:t>) revealed that</w:t>
      </w:r>
      <w:r>
        <w:rPr>
          <w:rFonts w:ascii="Times New Roman" w:hAnsi="Times New Roman" w:cs="Times New Roman"/>
          <w:color w:val="000000"/>
          <w:sz w:val="24"/>
          <w:szCs w:val="24"/>
        </w:rPr>
        <w:t xml:space="preserve"> Grameen Bank of Bangladesh </w:t>
      </w:r>
      <w:r>
        <w:rPr>
          <w:rFonts w:ascii="Times New Roman" w:hAnsi="Times New Roman" w:cs="Times New Roman"/>
          <w:iCs/>
          <w:color w:val="000000"/>
          <w:sz w:val="24"/>
          <w:szCs w:val="24"/>
          <w:lang w:val="en-GB"/>
        </w:rPr>
        <w:t xml:space="preserve">was able to reach 50% of its villages covering more than 2 million borrowers of which 94% were women. Positive impact on the economic and social well-being of participants was observed along with an overall income growth and poverty reduction at the village level.  </w:t>
      </w:r>
    </w:p>
    <w:p w:rsidR="00CA1EFF" w:rsidRDefault="005310AE">
      <w:pPr>
        <w:rPr>
          <w:rFonts w:ascii="Times New Roman" w:hAnsi="Times New Roman" w:cs="Times New Roman"/>
          <w:color w:val="000000"/>
          <w:sz w:val="24"/>
          <w:szCs w:val="24"/>
        </w:rPr>
      </w:pPr>
      <w:proofErr w:type="spellStart"/>
      <w:r>
        <w:rPr>
          <w:rFonts w:ascii="Times New Roman" w:hAnsi="Times New Roman" w:cs="Times New Roman"/>
          <w:iCs/>
          <w:color w:val="000000"/>
          <w:sz w:val="24"/>
          <w:szCs w:val="24"/>
          <w:lang w:val="en-GB"/>
        </w:rPr>
        <w:t>Matin</w:t>
      </w:r>
      <w:proofErr w:type="spellEnd"/>
      <w:r>
        <w:rPr>
          <w:rFonts w:ascii="Times New Roman" w:hAnsi="Times New Roman" w:cs="Times New Roman"/>
          <w:iCs/>
          <w:color w:val="000000"/>
          <w:sz w:val="24"/>
          <w:szCs w:val="24"/>
          <w:lang w:val="en-GB"/>
        </w:rPr>
        <w:t xml:space="preserve"> and </w:t>
      </w:r>
      <w:r w:rsidR="00CA1EFF">
        <w:rPr>
          <w:rFonts w:ascii="Times New Roman" w:hAnsi="Times New Roman" w:cs="Times New Roman"/>
          <w:iCs/>
          <w:color w:val="000000"/>
          <w:sz w:val="24"/>
          <w:szCs w:val="24"/>
          <w:lang w:val="en-GB"/>
        </w:rPr>
        <w:t>Hulme</w:t>
      </w:r>
      <w:r>
        <w:rPr>
          <w:rFonts w:ascii="Times New Roman" w:hAnsi="Times New Roman" w:cs="Times New Roman"/>
          <w:iCs/>
          <w:color w:val="000000"/>
          <w:sz w:val="24"/>
          <w:szCs w:val="24"/>
          <w:lang w:val="en-GB"/>
        </w:rPr>
        <w:t>’s</w:t>
      </w:r>
      <w:r w:rsidR="00CA1EFF">
        <w:rPr>
          <w:rFonts w:ascii="Times New Roman" w:hAnsi="Times New Roman" w:cs="Times New Roman"/>
          <w:iCs/>
          <w:color w:val="000000"/>
          <w:sz w:val="24"/>
          <w:szCs w:val="24"/>
          <w:lang w:val="en-GB"/>
        </w:rPr>
        <w:t xml:space="preserve"> (2003) examination of </w:t>
      </w:r>
      <w:r w:rsidR="00CA1EFF">
        <w:rPr>
          <w:rFonts w:ascii="Times New Roman" w:hAnsi="Times New Roman" w:cs="Times New Roman"/>
          <w:iCs/>
          <w:color w:val="000000"/>
          <w:sz w:val="24"/>
          <w:szCs w:val="24"/>
        </w:rPr>
        <w:t xml:space="preserve">Bangladesh Rural Advancement Committee’s Income Generation for Vulnerable Group Development Programme suggests that its outreach has been impressive and it has been able to reduce poverty. The study concludes that IGVGD is capable of reaching the chronic poor with the dual protective and promotional approaches to livelihoods. </w:t>
      </w:r>
    </w:p>
    <w:p w:rsidR="00CA1EFF" w:rsidRDefault="00CA1EFF">
      <w:r>
        <w:rPr>
          <w:rFonts w:ascii="Times New Roman" w:hAnsi="Times New Roman" w:cs="Times New Roman"/>
          <w:color w:val="000000"/>
          <w:sz w:val="24"/>
          <w:szCs w:val="24"/>
        </w:rPr>
        <w:t>Benda’s (2012) study of the impact of Rotating Savings and Credit Associations (</w:t>
      </w:r>
      <w:proofErr w:type="spellStart"/>
      <w:r>
        <w:rPr>
          <w:rFonts w:ascii="Times New Roman" w:hAnsi="Times New Roman" w:cs="Times New Roman"/>
          <w:color w:val="000000"/>
          <w:sz w:val="24"/>
          <w:szCs w:val="24"/>
        </w:rPr>
        <w:t>RoSCAs</w:t>
      </w:r>
      <w:proofErr w:type="spellEnd"/>
      <w:r>
        <w:rPr>
          <w:rFonts w:ascii="Times New Roman" w:hAnsi="Times New Roman" w:cs="Times New Roman"/>
          <w:color w:val="000000"/>
          <w:sz w:val="24"/>
          <w:szCs w:val="24"/>
        </w:rPr>
        <w:t xml:space="preserve">) on the well-being and pro-poor community development in rural northern Rwanda </w:t>
      </w:r>
      <w:r w:rsidR="0014330A">
        <w:rPr>
          <w:rFonts w:ascii="Times New Roman" w:hAnsi="Times New Roman" w:cs="Times New Roman"/>
          <w:color w:val="000000"/>
          <w:sz w:val="24"/>
          <w:szCs w:val="24"/>
        </w:rPr>
        <w:t>suggests that</w:t>
      </w:r>
      <w:r>
        <w:rPr>
          <w:rFonts w:ascii="Times New Roman" w:hAnsi="Times New Roman" w:cs="Times New Roman"/>
          <w:color w:val="000000"/>
          <w:sz w:val="24"/>
          <w:szCs w:val="24"/>
        </w:rPr>
        <w:t xml:space="preserve"> the money pooled in by the group was used for fulfilling their basic needs and building of assets. The gains of </w:t>
      </w:r>
      <w:proofErr w:type="spellStart"/>
      <w:r>
        <w:rPr>
          <w:rFonts w:ascii="Times New Roman" w:hAnsi="Times New Roman" w:cs="Times New Roman"/>
          <w:color w:val="000000"/>
          <w:sz w:val="24"/>
          <w:szCs w:val="24"/>
        </w:rPr>
        <w:t>RoSCA</w:t>
      </w:r>
      <w:proofErr w:type="spellEnd"/>
      <w:r>
        <w:rPr>
          <w:rFonts w:ascii="Times New Roman" w:hAnsi="Times New Roman" w:cs="Times New Roman"/>
          <w:color w:val="000000"/>
          <w:sz w:val="24"/>
          <w:szCs w:val="24"/>
        </w:rPr>
        <w:t xml:space="preserve"> were not just economic but also social, as it </w:t>
      </w:r>
      <w:proofErr w:type="spellStart"/>
      <w:r>
        <w:rPr>
          <w:rFonts w:ascii="Times New Roman" w:hAnsi="Times New Roman" w:cs="Times New Roman"/>
          <w:color w:val="000000"/>
          <w:sz w:val="24"/>
          <w:szCs w:val="24"/>
        </w:rPr>
        <w:t>buildt</w:t>
      </w:r>
      <w:proofErr w:type="spellEnd"/>
      <w:r>
        <w:rPr>
          <w:rFonts w:ascii="Times New Roman" w:hAnsi="Times New Roman" w:cs="Times New Roman"/>
          <w:color w:val="000000"/>
          <w:sz w:val="24"/>
          <w:szCs w:val="24"/>
        </w:rPr>
        <w:t xml:space="preserve"> social capital within the community. </w:t>
      </w:r>
    </w:p>
    <w:p w:rsidR="00CA1EFF" w:rsidRDefault="00CA1EFF">
      <w:pPr>
        <w:rPr>
          <w:rFonts w:ascii="Times New Roman" w:hAnsi="Times New Roman" w:cs="Times New Roman"/>
          <w:color w:val="000000"/>
          <w:sz w:val="24"/>
          <w:szCs w:val="24"/>
        </w:rPr>
      </w:pPr>
      <w:r w:rsidRPr="00910024">
        <w:rPr>
          <w:rFonts w:ascii="Times New Roman" w:hAnsi="Times New Roman" w:cs="Times New Roman"/>
          <w:color w:val="000000"/>
          <w:sz w:val="24"/>
          <w:szCs w:val="24"/>
        </w:rPr>
        <w:t>Hossain (2012</w:t>
      </w:r>
      <w:r w:rsidR="0014330A" w:rsidRPr="00910024">
        <w:rPr>
          <w:rFonts w:ascii="Times New Roman" w:hAnsi="Times New Roman" w:cs="Times New Roman"/>
          <w:color w:val="000000"/>
          <w:sz w:val="24"/>
          <w:szCs w:val="24"/>
        </w:rPr>
        <w:t>) studied</w:t>
      </w:r>
      <w:r w:rsidRPr="00910024">
        <w:rPr>
          <w:rFonts w:ascii="Times New Roman" w:hAnsi="Times New Roman" w:cs="Times New Roman"/>
          <w:color w:val="000000"/>
          <w:sz w:val="24"/>
          <w:szCs w:val="24"/>
        </w:rPr>
        <w:t xml:space="preserve"> the social impact of BRAC microfinance operations on 208 clients in relation to non-income poverty</w:t>
      </w:r>
      <w:r>
        <w:rPr>
          <w:rFonts w:ascii="Times New Roman" w:hAnsi="Times New Roman" w:cs="Times New Roman"/>
          <w:color w:val="000000"/>
          <w:sz w:val="24"/>
          <w:szCs w:val="24"/>
        </w:rPr>
        <w:t xml:space="preserve"> (also termed as social poverty). He has reported a positive but varying degree of social impact of the microfinance programs on clients. However, a significant impact was observed on potable water and sanitary condition of the respondents.</w:t>
      </w:r>
    </w:p>
    <w:p w:rsidR="00CA1EFF" w:rsidRDefault="00F3216B">
      <w:pPr>
        <w:rPr>
          <w:rFonts w:ascii="Times New Roman" w:hAnsi="Times New Roman" w:cs="Times New Roman"/>
          <w:color w:val="000000"/>
          <w:sz w:val="24"/>
          <w:szCs w:val="24"/>
        </w:rPr>
      </w:pPr>
      <w:r w:rsidRPr="00F3216B">
        <w:rPr>
          <w:rFonts w:ascii="Times New Roman" w:hAnsi="Times New Roman" w:cs="Times New Roman"/>
          <w:color w:val="000000"/>
          <w:sz w:val="24"/>
          <w:szCs w:val="24"/>
        </w:rPr>
        <w:t xml:space="preserve">Zeller and </w:t>
      </w:r>
      <w:r w:rsidR="00CA1EFF" w:rsidRPr="00F3216B">
        <w:rPr>
          <w:rFonts w:ascii="Times New Roman" w:hAnsi="Times New Roman" w:cs="Times New Roman"/>
          <w:color w:val="000000"/>
          <w:sz w:val="24"/>
          <w:szCs w:val="24"/>
        </w:rPr>
        <w:t>Meyer (2002) discuss the Indian scenario, policy and programmes, and suggests that</w:t>
      </w:r>
      <w:r w:rsidR="00CA1EFF">
        <w:rPr>
          <w:rFonts w:ascii="Times New Roman" w:hAnsi="Times New Roman" w:cs="Times New Roman"/>
          <w:color w:val="000000"/>
          <w:sz w:val="24"/>
          <w:szCs w:val="24"/>
        </w:rPr>
        <w:t xml:space="preserve"> microfinance is a win-win proposition. He argues that microfinance can contribute towards poverty alleviation and food security through financial services like savings and investment, reduced cost of self-insurance and contribution to consumption smoothing. </w:t>
      </w:r>
      <w:r w:rsidR="00CA1EFF">
        <w:rPr>
          <w:rFonts w:ascii="Times New Roman" w:hAnsi="Times New Roman" w:cs="Times New Roman"/>
          <w:bCs/>
          <w:iCs/>
          <w:color w:val="000000"/>
          <w:sz w:val="24"/>
          <w:szCs w:val="24"/>
        </w:rPr>
        <w:t>Imai et al (2010) use national household data from India to estimate the poverty reducing effects of MFI loans, and has found that loans for productive purposes were more important for poverty reduction in the rural areas, whereas simple access to MFIs in the urban areas has larger average poverty-</w:t>
      </w:r>
      <w:r w:rsidR="00CA1EFF" w:rsidRPr="00F3216B">
        <w:rPr>
          <w:rFonts w:ascii="Times New Roman" w:hAnsi="Times New Roman" w:cs="Times New Roman"/>
          <w:bCs/>
          <w:iCs/>
          <w:color w:val="000000"/>
          <w:sz w:val="24"/>
          <w:szCs w:val="24"/>
        </w:rPr>
        <w:t>reducing effect. In another study, Chen and Snodgrass (2001) studied the operation of Self</w:t>
      </w:r>
      <w:r w:rsidR="00CA1EFF">
        <w:rPr>
          <w:rFonts w:ascii="Times New Roman" w:hAnsi="Times New Roman" w:cs="Times New Roman"/>
          <w:bCs/>
          <w:iCs/>
          <w:color w:val="000000"/>
          <w:sz w:val="24"/>
          <w:szCs w:val="24"/>
        </w:rPr>
        <w:t xml:space="preserve"> Employed Women’s Association Bank in India, and found that the use of credit provided by the bank led to a rise in household and per capita income. </w:t>
      </w:r>
    </w:p>
    <w:p w:rsidR="00CA1EFF" w:rsidRDefault="00CA1EFF">
      <w:r w:rsidRPr="00BB1FEC">
        <w:rPr>
          <w:rFonts w:ascii="Times New Roman" w:hAnsi="Times New Roman" w:cs="Times New Roman"/>
          <w:color w:val="000000"/>
          <w:sz w:val="24"/>
          <w:szCs w:val="24"/>
        </w:rPr>
        <w:t>Brook et al</w:t>
      </w:r>
      <w:r w:rsidR="0014330A" w:rsidRPr="00BB1FEC">
        <w:rPr>
          <w:rFonts w:ascii="Times New Roman" w:hAnsi="Times New Roman" w:cs="Times New Roman"/>
          <w:color w:val="000000"/>
          <w:sz w:val="24"/>
          <w:szCs w:val="24"/>
        </w:rPr>
        <w:t>.</w:t>
      </w:r>
      <w:r w:rsidRPr="00BB1FEC">
        <w:rPr>
          <w:rFonts w:ascii="Times New Roman" w:hAnsi="Times New Roman" w:cs="Times New Roman"/>
          <w:color w:val="000000"/>
          <w:sz w:val="24"/>
          <w:szCs w:val="24"/>
        </w:rPr>
        <w:t xml:space="preserve"> (2008) report the findings of a study of six villages where the Self Help Group (SHG) program was run by two NGOs</w:t>
      </w:r>
      <w:r>
        <w:rPr>
          <w:rFonts w:ascii="Times New Roman" w:hAnsi="Times New Roman" w:cs="Times New Roman"/>
          <w:color w:val="000000"/>
          <w:sz w:val="24"/>
          <w:szCs w:val="24"/>
        </w:rPr>
        <w:t xml:space="preserve">. They found that over a period of three years, the poor moved above the poverty level with an increase in their household savings by 647%. The study also found that the poor and the very poor were actively involved in the group activity as opposed to their wealthy counterparts. </w:t>
      </w:r>
    </w:p>
    <w:p w:rsidR="00CA1EFF" w:rsidRDefault="00CA1EFF">
      <w:pPr>
        <w:rPr>
          <w:rFonts w:ascii="Times New Roman" w:hAnsi="Times New Roman" w:cs="Times New Roman"/>
          <w:bCs/>
          <w:iCs/>
          <w:color w:val="000000"/>
          <w:sz w:val="24"/>
          <w:szCs w:val="24"/>
        </w:rPr>
      </w:pPr>
      <w:r>
        <w:rPr>
          <w:rFonts w:ascii="Times New Roman" w:hAnsi="Times New Roman" w:cs="Times New Roman"/>
          <w:color w:val="000000"/>
          <w:sz w:val="24"/>
          <w:szCs w:val="24"/>
          <w:lang w:val="en-GB"/>
        </w:rPr>
        <w:lastRenderedPageBreak/>
        <w:t xml:space="preserve">While the empirical evidence so far seems optimistic with a positive impact of microfinance on </w:t>
      </w:r>
      <w:r w:rsidRPr="00F3216B">
        <w:rPr>
          <w:rFonts w:ascii="Times New Roman" w:hAnsi="Times New Roman" w:cs="Times New Roman"/>
          <w:color w:val="000000"/>
          <w:sz w:val="24"/>
          <w:szCs w:val="24"/>
          <w:lang w:val="en-GB"/>
        </w:rPr>
        <w:t>poverty reduction, there are other sets of evidences that say otherwise. Coleman (1999) used data</w:t>
      </w:r>
      <w:r>
        <w:rPr>
          <w:rFonts w:ascii="Times New Roman" w:hAnsi="Times New Roman" w:cs="Times New Roman"/>
          <w:color w:val="000000"/>
          <w:sz w:val="24"/>
          <w:szCs w:val="24"/>
          <w:lang w:val="en-GB"/>
        </w:rPr>
        <w:t xml:space="preserve"> from a quasi-experiment conducted in Northeast Thailand in 1995–1996 to test the borrowers’ welfare in a group lending model. The results indicate that programme loans have had little impact after controlling for self-selection and endogenous programme placement. </w:t>
      </w:r>
      <w:r>
        <w:rPr>
          <w:rFonts w:ascii="Times New Roman" w:hAnsi="Times New Roman" w:cs="Times New Roman"/>
          <w:bCs/>
          <w:iCs/>
          <w:color w:val="000000"/>
          <w:sz w:val="24"/>
          <w:szCs w:val="24"/>
        </w:rPr>
        <w:t xml:space="preserve">In another of </w:t>
      </w:r>
      <w:r w:rsidRPr="00F3216B">
        <w:rPr>
          <w:rFonts w:ascii="Times New Roman" w:hAnsi="Times New Roman" w:cs="Times New Roman"/>
          <w:bCs/>
          <w:iCs/>
          <w:color w:val="000000"/>
          <w:sz w:val="24"/>
          <w:szCs w:val="24"/>
        </w:rPr>
        <w:t>Coleman’s (2006) work, the outreach and impact of two microfinance programmes in Thailand</w:t>
      </w:r>
      <w:r>
        <w:rPr>
          <w:rFonts w:ascii="Times New Roman" w:hAnsi="Times New Roman" w:cs="Times New Roman"/>
          <w:bCs/>
          <w:iCs/>
          <w:color w:val="000000"/>
          <w:sz w:val="24"/>
          <w:szCs w:val="24"/>
        </w:rPr>
        <w:t xml:space="preserve"> has been explored. Findings suggest the likelihood of the wealthy participating significantly more than the poor, and the power dynamics making the wealthy take leadership positions compared with the poor who are likely to be left out.</w:t>
      </w:r>
    </w:p>
    <w:p w:rsidR="00CA1EFF" w:rsidRDefault="00CA1EFF">
      <w:pPr>
        <w:rPr>
          <w:rFonts w:ascii="Times New Roman" w:hAnsi="Times New Roman" w:cs="Times New Roman"/>
          <w:sz w:val="24"/>
          <w:szCs w:val="24"/>
        </w:rPr>
      </w:pPr>
      <w:r>
        <w:rPr>
          <w:rFonts w:ascii="Times New Roman" w:hAnsi="Times New Roman" w:cs="Times New Roman"/>
          <w:bCs/>
          <w:iCs/>
          <w:color w:val="000000"/>
          <w:sz w:val="24"/>
          <w:szCs w:val="24"/>
        </w:rPr>
        <w:t xml:space="preserve">Similarly, Weiss &amp; Montgomery, (2005) conducted a study on the impact of MFI on poverty reduction by comparing the poverty impact studies from Asia and Latin America. They concluded that the evidence that microfinance was reaching the core poor in either of these regions was very limited. </w:t>
      </w:r>
      <w:proofErr w:type="spellStart"/>
      <w:r>
        <w:rPr>
          <w:rFonts w:ascii="Times New Roman" w:hAnsi="Times New Roman" w:cs="Times New Roman"/>
          <w:bCs/>
          <w:iCs/>
          <w:color w:val="000000"/>
          <w:sz w:val="24"/>
          <w:szCs w:val="24"/>
        </w:rPr>
        <w:t>Navarajas</w:t>
      </w:r>
      <w:proofErr w:type="spellEnd"/>
      <w:r>
        <w:rPr>
          <w:rFonts w:ascii="Times New Roman" w:hAnsi="Times New Roman" w:cs="Times New Roman"/>
          <w:bCs/>
          <w:iCs/>
          <w:color w:val="000000"/>
          <w:sz w:val="24"/>
          <w:szCs w:val="24"/>
        </w:rPr>
        <w:t xml:space="preserve"> et al</w:t>
      </w:r>
      <w:r w:rsidR="0014330A">
        <w:rPr>
          <w:rFonts w:ascii="Times New Roman" w:hAnsi="Times New Roman" w:cs="Times New Roman"/>
          <w:bCs/>
          <w:iCs/>
          <w:color w:val="000000"/>
          <w:sz w:val="24"/>
          <w:szCs w:val="24"/>
        </w:rPr>
        <w:t>.</w:t>
      </w:r>
      <w:r>
        <w:rPr>
          <w:rFonts w:ascii="Times New Roman" w:hAnsi="Times New Roman" w:cs="Times New Roman"/>
          <w:bCs/>
          <w:iCs/>
          <w:color w:val="000000"/>
          <w:sz w:val="24"/>
          <w:szCs w:val="24"/>
        </w:rPr>
        <w:t xml:space="preserve"> (2000) examined the social worth of five microfinance organizations in Bolivia by analyzing the depth of their outreach. They found that the poor being served by the MFIs were near the poverty line and better off compared with the poorest. The urban poor borrowed more often, though the rural poor were most likely the poorest. </w:t>
      </w:r>
      <w:r>
        <w:rPr>
          <w:rFonts w:ascii="Times New Roman" w:hAnsi="Times New Roman" w:cs="Times New Roman"/>
          <w:color w:val="000000"/>
          <w:sz w:val="24"/>
          <w:szCs w:val="24"/>
        </w:rPr>
        <w:t xml:space="preserve">This section has provided a lot of evidence on the efficacy of microfinance in removing urban poverty. </w:t>
      </w:r>
    </w:p>
    <w:p w:rsidR="00CA1EFF" w:rsidRDefault="00CA1EFF">
      <w:pPr>
        <w:pStyle w:val="Heading1"/>
        <w:rPr>
          <w:rFonts w:ascii="Times New Roman" w:hAnsi="Times New Roman" w:cs="Times New Roman"/>
          <w:iCs/>
          <w:color w:val="000000"/>
          <w:sz w:val="24"/>
          <w:szCs w:val="24"/>
        </w:rPr>
      </w:pPr>
      <w:r>
        <w:rPr>
          <w:rFonts w:ascii="Times New Roman" w:hAnsi="Times New Roman" w:cs="Times New Roman"/>
          <w:sz w:val="24"/>
          <w:szCs w:val="24"/>
        </w:rPr>
        <w:t>MICROFINANCE IN INDIA AND THE ANDHRA CRISIS</w:t>
      </w:r>
    </w:p>
    <w:p w:rsidR="00CA1EFF" w:rsidRDefault="00CA1EFF">
      <w:pP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Poverty reduction oriented microfinance can be traced back to the 1970s, when Professor Muhammad </w:t>
      </w:r>
      <w:proofErr w:type="spellStart"/>
      <w:r>
        <w:rPr>
          <w:rFonts w:ascii="Times New Roman" w:hAnsi="Times New Roman" w:cs="Times New Roman"/>
          <w:bCs/>
          <w:iCs/>
          <w:color w:val="000000"/>
          <w:sz w:val="24"/>
          <w:szCs w:val="24"/>
        </w:rPr>
        <w:t>Yunus</w:t>
      </w:r>
      <w:proofErr w:type="spellEnd"/>
      <w:r>
        <w:rPr>
          <w:rFonts w:ascii="Times New Roman" w:hAnsi="Times New Roman" w:cs="Times New Roman"/>
          <w:bCs/>
          <w:iCs/>
          <w:color w:val="000000"/>
          <w:sz w:val="24"/>
          <w:szCs w:val="24"/>
        </w:rPr>
        <w:t xml:space="preserve"> of the Grameen bank decided to lend his personal money to the poor women in Bangladesh. In India, the microfinance movement started in the rural hinterlands with the nationalization of banks in 1969. The banking industry was directed by the Reserve Bank of India to channelize 40% of their lending activities towards the priority sector which largely included the agriculture and related activities, women and other weaker sections of the society.</w:t>
      </w:r>
      <w:r>
        <w:t xml:space="preserve">  </w:t>
      </w:r>
    </w:p>
    <w:p w:rsidR="00CA1EFF" w:rsidRDefault="00CA1EFF">
      <w:pPr>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The first microfinance model in India, called the Self Help Group (SHG) model, came into existence in the 1980s whose beneficiaries were women. Since then the microfinance industry has grown manifold, moving away from state-sponsored to private entities entering the </w:t>
      </w:r>
      <w:r w:rsidRPr="00B075AE">
        <w:rPr>
          <w:rFonts w:ascii="Times New Roman" w:hAnsi="Times New Roman" w:cs="Times New Roman"/>
          <w:bCs/>
          <w:iCs/>
          <w:color w:val="000000"/>
          <w:sz w:val="24"/>
          <w:szCs w:val="24"/>
        </w:rPr>
        <w:t>microfinance market. M-CRIL (2012) reports</w:t>
      </w:r>
      <w:r>
        <w:rPr>
          <w:rFonts w:ascii="Times New Roman" w:hAnsi="Times New Roman" w:cs="Times New Roman"/>
          <w:bCs/>
          <w:iCs/>
          <w:color w:val="000000"/>
          <w:sz w:val="24"/>
          <w:szCs w:val="24"/>
        </w:rPr>
        <w:t xml:space="preserve"> a growth rate of 62% per annum in terms of numbers of unique clients and 88% per annum in terms of portfolio over the five years 2005-2010. With around 32 million borrower accounts in October 2010, India has the largest MFI sector in the world. </w:t>
      </w:r>
    </w:p>
    <w:p w:rsidR="00CA1EFF" w:rsidRDefault="00CA1EFF">
      <w:pPr>
        <w:rPr>
          <w:rFonts w:ascii="Times New Roman" w:hAnsi="Times New Roman" w:cs="Times New Roman"/>
          <w:color w:val="000000"/>
          <w:sz w:val="24"/>
          <w:szCs w:val="24"/>
        </w:rPr>
      </w:pPr>
      <w:r>
        <w:rPr>
          <w:rFonts w:ascii="Times New Roman" w:hAnsi="Times New Roman" w:cs="Times New Roman"/>
          <w:bCs/>
          <w:iCs/>
          <w:color w:val="000000"/>
          <w:sz w:val="24"/>
          <w:szCs w:val="24"/>
        </w:rPr>
        <w:t xml:space="preserve">In the year 2010, the microfinance industry witnessed a severe crisis when the Government of Andhra Pradesh, </w:t>
      </w:r>
      <w:r>
        <w:rPr>
          <w:rFonts w:ascii="Times New Roman" w:hAnsi="Times New Roman" w:cs="Times New Roman"/>
          <w:color w:val="000000"/>
          <w:sz w:val="24"/>
          <w:szCs w:val="24"/>
        </w:rPr>
        <w:t xml:space="preserve">a state in Southern India, </w:t>
      </w:r>
      <w:r>
        <w:rPr>
          <w:rFonts w:ascii="Times New Roman" w:hAnsi="Times New Roman" w:cs="Times New Roman"/>
          <w:bCs/>
          <w:iCs/>
          <w:color w:val="000000"/>
          <w:sz w:val="24"/>
          <w:szCs w:val="24"/>
        </w:rPr>
        <w:t xml:space="preserve">promulgated an ordinance to stop the microfinance operations by nightfall and </w:t>
      </w:r>
      <w:r>
        <w:rPr>
          <w:rFonts w:ascii="Times New Roman" w:hAnsi="Times New Roman" w:cs="Times New Roman"/>
          <w:color w:val="000000"/>
          <w:sz w:val="24"/>
          <w:szCs w:val="24"/>
        </w:rPr>
        <w:t>directed all microfinance operations to be suspended till all the MFIs got themselves registered with the District Registration Authority.</w:t>
      </w:r>
      <w:r>
        <w:rPr>
          <w:rFonts w:ascii="Times New Roman" w:hAnsi="Times New Roman" w:cs="Times New Roman"/>
          <w:bCs/>
          <w:iCs/>
          <w:color w:val="000000"/>
          <w:sz w:val="24"/>
          <w:szCs w:val="24"/>
        </w:rPr>
        <w:t xml:space="preserve"> </w:t>
      </w:r>
      <w:r>
        <w:rPr>
          <w:rFonts w:ascii="Times New Roman" w:hAnsi="Times New Roman" w:cs="Times New Roman"/>
          <w:color w:val="000000"/>
          <w:sz w:val="24"/>
          <w:szCs w:val="24"/>
        </w:rPr>
        <w:t xml:space="preserve">This measure was the result of a series of suicides that were attributed to coercive recovery practices and high interest rates that </w:t>
      </w:r>
      <w:r>
        <w:rPr>
          <w:rFonts w:ascii="Times New Roman" w:hAnsi="Times New Roman" w:cs="Times New Roman"/>
          <w:color w:val="000000"/>
          <w:sz w:val="24"/>
          <w:szCs w:val="24"/>
        </w:rPr>
        <w:lastRenderedPageBreak/>
        <w:t xml:space="preserve">MFI’s charged. While the other school of thought believed that the Ordinance was a political gimmick as the MFIs were competing with the State lead SHG programs.  </w:t>
      </w:r>
    </w:p>
    <w:p w:rsidR="00CA1EFF" w:rsidRDefault="00CA1EFF">
      <w:r>
        <w:rPr>
          <w:rFonts w:ascii="Times New Roman" w:hAnsi="Times New Roman" w:cs="Times New Roman"/>
          <w:color w:val="000000"/>
          <w:sz w:val="24"/>
          <w:szCs w:val="24"/>
        </w:rPr>
        <w:t xml:space="preserve">Although the Ordinance was issued and implemented in only one State, its impact was </w:t>
      </w:r>
      <w:r w:rsidRPr="00B075AE">
        <w:rPr>
          <w:rFonts w:ascii="Times New Roman" w:hAnsi="Times New Roman" w:cs="Times New Roman"/>
          <w:color w:val="000000"/>
          <w:sz w:val="24"/>
          <w:szCs w:val="24"/>
        </w:rPr>
        <w:t xml:space="preserve">widespread and resulted in the overall decline of microfinance sector in India. </w:t>
      </w:r>
      <w:r w:rsidRPr="00B075AE">
        <w:rPr>
          <w:rFonts w:ascii="Times New Roman" w:hAnsi="Times New Roman" w:cs="Times New Roman"/>
          <w:bCs/>
          <w:iCs/>
          <w:color w:val="000000"/>
          <w:sz w:val="24"/>
          <w:szCs w:val="24"/>
        </w:rPr>
        <w:t>According to M-CRIL (2012), CRILEX – the MFI Growth Index for India, which rose from 100 in March 2003 to 8,005</w:t>
      </w:r>
      <w:r>
        <w:rPr>
          <w:rFonts w:ascii="Times New Roman" w:hAnsi="Times New Roman" w:cs="Times New Roman"/>
          <w:bCs/>
          <w:iCs/>
          <w:color w:val="000000"/>
          <w:sz w:val="24"/>
          <w:szCs w:val="24"/>
        </w:rPr>
        <w:t xml:space="preserve"> in March 2011, fell for the first time to 6,290 in March 2012. </w:t>
      </w:r>
    </w:p>
    <w:p w:rsidR="00CA1EFF" w:rsidRDefault="00CA1EFF">
      <w:pPr>
        <w:pStyle w:val="Heading1"/>
        <w:rPr>
          <w:rFonts w:ascii="Times New Roman" w:hAnsi="Times New Roman" w:cs="Times New Roman"/>
          <w:color w:val="000000"/>
          <w:sz w:val="24"/>
          <w:szCs w:val="24"/>
        </w:rPr>
      </w:pPr>
      <w:r>
        <w:rPr>
          <w:rFonts w:ascii="Times New Roman" w:hAnsi="Times New Roman" w:cs="Times New Roman"/>
          <w:color w:val="000000"/>
          <w:sz w:val="24"/>
          <w:szCs w:val="24"/>
        </w:rPr>
        <w:t>NON-BANKING FINANCIAL COMPANIES AND URBAN MICROFINANCE IN INDIA</w:t>
      </w:r>
    </w:p>
    <w:p w:rsidR="00CA1EFF" w:rsidRDefault="00CA1EFF">
      <w:r w:rsidRPr="00B075AE">
        <w:rPr>
          <w:rFonts w:ascii="Times New Roman" w:hAnsi="Times New Roman" w:cs="Times New Roman"/>
          <w:color w:val="000000"/>
          <w:sz w:val="24"/>
          <w:szCs w:val="24"/>
        </w:rPr>
        <w:t xml:space="preserve">CRISIL (2009) reports that there are over </w:t>
      </w:r>
      <w:r w:rsidRPr="00B075AE">
        <w:rPr>
          <w:rFonts w:ascii="Times New Roman" w:hAnsi="Times New Roman" w:cs="Times New Roman"/>
          <w:sz w:val="24"/>
          <w:szCs w:val="24"/>
        </w:rPr>
        <w:t>3,000 MFIs, NGOs, and NGO-MFIs in India, of which about 400 are involved in lending programs. A majority of these organizations are in the rural</w:t>
      </w:r>
      <w:r>
        <w:rPr>
          <w:rFonts w:ascii="Times New Roman" w:hAnsi="Times New Roman" w:cs="Times New Roman"/>
          <w:sz w:val="24"/>
          <w:szCs w:val="24"/>
        </w:rPr>
        <w:t xml:space="preserve"> areas, while </w:t>
      </w:r>
      <w:r>
        <w:rPr>
          <w:rFonts w:ascii="Times New Roman" w:hAnsi="Times New Roman" w:cs="Times New Roman"/>
          <w:color w:val="000000"/>
          <w:sz w:val="24"/>
          <w:szCs w:val="24"/>
        </w:rPr>
        <w:t xml:space="preserve">their number is far less in the urban areas. This section explores the services, products and operations of four NBFCs that serve the urban poor in India. This has been done by analyzing cross-sectional data of the four institutions viz. </w:t>
      </w:r>
      <w:proofErr w:type="spellStart"/>
      <w:r>
        <w:rPr>
          <w:rFonts w:ascii="Times New Roman" w:hAnsi="Times New Roman" w:cs="Times New Roman"/>
          <w:color w:val="000000"/>
          <w:sz w:val="24"/>
          <w:szCs w:val="24"/>
        </w:rPr>
        <w:t>Ujjivan</w:t>
      </w:r>
      <w:proofErr w:type="spellEnd"/>
      <w:r>
        <w:rPr>
          <w:rFonts w:ascii="Times New Roman" w:hAnsi="Times New Roman" w:cs="Times New Roman"/>
          <w:color w:val="000000"/>
          <w:sz w:val="24"/>
          <w:szCs w:val="24"/>
        </w:rPr>
        <w:t xml:space="preserve"> Financial Services Pvt. Ltd (UFSPL), </w:t>
      </w:r>
      <w:proofErr w:type="spellStart"/>
      <w:r>
        <w:rPr>
          <w:rFonts w:ascii="Times New Roman" w:hAnsi="Times New Roman" w:cs="Times New Roman"/>
          <w:color w:val="000000"/>
          <w:sz w:val="24"/>
          <w:szCs w:val="24"/>
        </w:rPr>
        <w:t>Equitas</w:t>
      </w:r>
      <w:proofErr w:type="spellEnd"/>
      <w:r>
        <w:rPr>
          <w:rFonts w:ascii="Times New Roman" w:hAnsi="Times New Roman" w:cs="Times New Roman"/>
          <w:color w:val="000000"/>
          <w:sz w:val="24"/>
          <w:szCs w:val="24"/>
        </w:rPr>
        <w:t xml:space="preserve"> Micro Finance Private Limited (EMFPL), </w:t>
      </w:r>
      <w:proofErr w:type="spellStart"/>
      <w:r>
        <w:rPr>
          <w:rFonts w:ascii="Times New Roman" w:hAnsi="Times New Roman" w:cs="Times New Roman"/>
          <w:color w:val="000000"/>
          <w:sz w:val="24"/>
          <w:szCs w:val="24"/>
        </w:rPr>
        <w:t>Janalakshmi</w:t>
      </w:r>
      <w:proofErr w:type="spellEnd"/>
      <w:r>
        <w:rPr>
          <w:rFonts w:ascii="Times New Roman" w:hAnsi="Times New Roman" w:cs="Times New Roman"/>
          <w:color w:val="000000"/>
          <w:sz w:val="24"/>
          <w:szCs w:val="24"/>
        </w:rPr>
        <w:t xml:space="preserve"> Financial Service (JFS) and </w:t>
      </w:r>
      <w:proofErr w:type="spellStart"/>
      <w:r>
        <w:rPr>
          <w:rFonts w:ascii="Times New Roman" w:hAnsi="Times New Roman" w:cs="Times New Roman"/>
          <w:color w:val="000000"/>
          <w:sz w:val="24"/>
          <w:szCs w:val="24"/>
        </w:rPr>
        <w:t>Swadhaar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FinServe</w:t>
      </w:r>
      <w:proofErr w:type="spellEnd"/>
      <w:r>
        <w:rPr>
          <w:rFonts w:ascii="Times New Roman" w:hAnsi="Times New Roman" w:cs="Times New Roman"/>
          <w:color w:val="000000"/>
          <w:sz w:val="24"/>
          <w:szCs w:val="24"/>
        </w:rPr>
        <w:t xml:space="preserve"> (SF).  These institutions have been selected based on the following criteria:</w:t>
      </w:r>
    </w:p>
    <w:p w:rsidR="00CA1EFF" w:rsidRDefault="00CA1EFF">
      <w:pPr>
        <w:numPr>
          <w:ilvl w:val="0"/>
          <w:numId w:val="6"/>
        </w:numPr>
        <w:spacing w:after="0"/>
      </w:pPr>
      <w:r>
        <w:rPr>
          <w:rFonts w:ascii="Times New Roman" w:hAnsi="Times New Roman" w:cs="Times New Roman"/>
          <w:color w:val="000000"/>
          <w:sz w:val="24"/>
          <w:szCs w:val="24"/>
        </w:rPr>
        <w:t>Their specialty in providing microfinance services at the urban level,</w:t>
      </w:r>
    </w:p>
    <w:p w:rsidR="00CA1EFF" w:rsidRDefault="00CA1EFF">
      <w:pPr>
        <w:numPr>
          <w:ilvl w:val="0"/>
          <w:numId w:val="6"/>
        </w:numPr>
        <w:spacing w:after="0"/>
      </w:pPr>
      <w:r>
        <w:rPr>
          <w:rFonts w:ascii="Times New Roman" w:hAnsi="Times New Roman" w:cs="Times New Roman"/>
          <w:color w:val="000000"/>
          <w:sz w:val="24"/>
          <w:szCs w:val="24"/>
        </w:rPr>
        <w:t xml:space="preserve">Their scale and outreach in the urban microfinance </w:t>
      </w:r>
    </w:p>
    <w:p w:rsidR="00CA1EFF" w:rsidRDefault="00CA1EFF">
      <w:pPr>
        <w:numPr>
          <w:ilvl w:val="0"/>
          <w:numId w:val="6"/>
        </w:numPr>
        <w:spacing w:after="0"/>
      </w:pPr>
      <w:r>
        <w:rPr>
          <w:rFonts w:ascii="Times New Roman" w:hAnsi="Times New Roman" w:cs="Times New Roman"/>
          <w:color w:val="000000"/>
          <w:sz w:val="24"/>
          <w:szCs w:val="24"/>
        </w:rPr>
        <w:t xml:space="preserve">Their </w:t>
      </w:r>
      <w:r w:rsidRPr="005520E5">
        <w:rPr>
          <w:rFonts w:ascii="Times New Roman" w:hAnsi="Times New Roman" w:cs="Times New Roman"/>
          <w:color w:val="000000"/>
          <w:sz w:val="24"/>
          <w:szCs w:val="24"/>
        </w:rPr>
        <w:t>recognition</w:t>
      </w:r>
      <w:r>
        <w:rPr>
          <w:rFonts w:ascii="Times New Roman" w:hAnsi="Times New Roman" w:cs="Times New Roman"/>
          <w:color w:val="000000"/>
          <w:sz w:val="24"/>
          <w:szCs w:val="24"/>
        </w:rPr>
        <w:t xml:space="preserve"> as leading MFIs in India by various credible agencies and networks such as MFIN, MIX, and Sa-</w:t>
      </w:r>
      <w:proofErr w:type="spellStart"/>
      <w:r>
        <w:rPr>
          <w:rFonts w:ascii="Times New Roman" w:hAnsi="Times New Roman" w:cs="Times New Roman"/>
          <w:color w:val="000000"/>
          <w:sz w:val="24"/>
          <w:szCs w:val="24"/>
        </w:rPr>
        <w:t>Dhan</w:t>
      </w:r>
      <w:proofErr w:type="spellEnd"/>
      <w:r>
        <w:rPr>
          <w:rFonts w:ascii="Times New Roman" w:hAnsi="Times New Roman" w:cs="Times New Roman"/>
          <w:color w:val="000000"/>
          <w:sz w:val="24"/>
          <w:szCs w:val="24"/>
        </w:rPr>
        <w:t>. The CRISIL’s (2014) report recognizes them as “India’s 25 leading MFIs”.</w:t>
      </w:r>
    </w:p>
    <w:p w:rsidR="00CA1EFF" w:rsidRDefault="00CA1EFF">
      <w:pPr>
        <w:spacing w:after="0"/>
      </w:pPr>
      <w:r>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Table 1 below shows a summary of their mission and vision:</w:t>
      </w:r>
    </w:p>
    <w:p w:rsidR="00CA1EFF" w:rsidRDefault="00CA1EFF">
      <w:pPr>
        <w:spacing w:after="0"/>
        <w:rPr>
          <w:rFonts w:ascii="Times New Roman" w:hAnsi="Times New Roman" w:cs="Times New Roman"/>
          <w:color w:val="000000"/>
          <w:sz w:val="24"/>
          <w:szCs w:val="24"/>
        </w:rPr>
      </w:pPr>
    </w:p>
    <w:p w:rsidR="00705876" w:rsidRDefault="00705876" w:rsidP="00705876">
      <w:pPr>
        <w:spacing w:after="0"/>
        <w:rPr>
          <w:rFonts w:ascii="Times New Roman" w:hAnsi="Times New Roman" w:cs="Times New Roman"/>
          <w:color w:val="000000"/>
          <w:sz w:val="24"/>
          <w:szCs w:val="24"/>
        </w:rPr>
      </w:pPr>
    </w:p>
    <w:tbl>
      <w:tblPr>
        <w:tblW w:w="0" w:type="auto"/>
        <w:tblInd w:w="108" w:type="dxa"/>
        <w:tblLayout w:type="fixed"/>
        <w:tblLook w:val="0000" w:firstRow="0" w:lastRow="0" w:firstColumn="0" w:lastColumn="0" w:noHBand="0" w:noVBand="0"/>
      </w:tblPr>
      <w:tblGrid>
        <w:gridCol w:w="1868"/>
        <w:gridCol w:w="1473"/>
        <w:gridCol w:w="6182"/>
      </w:tblGrid>
      <w:tr w:rsidR="00705876" w:rsidTr="00731BD4">
        <w:trPr>
          <w:trHeight w:val="516"/>
        </w:trPr>
        <w:tc>
          <w:tcPr>
            <w:tcW w:w="1868"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jc w:val="center"/>
              <w:rPr>
                <w:rFonts w:eastAsia="Times New Roman" w:cs="Times New Roman"/>
                <w:b/>
                <w:bCs/>
                <w:color w:val="000000"/>
                <w:szCs w:val="24"/>
                <w:lang w:eastAsia="en-US"/>
              </w:rPr>
            </w:pPr>
            <w:r>
              <w:rPr>
                <w:rFonts w:eastAsia="Times New Roman" w:cs="Times New Roman"/>
                <w:b/>
                <w:bCs/>
                <w:color w:val="000000"/>
                <w:szCs w:val="24"/>
                <w:lang w:eastAsia="en-US"/>
              </w:rPr>
              <w:t>Institution</w:t>
            </w:r>
          </w:p>
        </w:tc>
        <w:tc>
          <w:tcPr>
            <w:tcW w:w="1473"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jc w:val="center"/>
              <w:rPr>
                <w:rFonts w:eastAsia="Times New Roman" w:cs="Times New Roman"/>
                <w:b/>
                <w:bCs/>
                <w:color w:val="000000"/>
                <w:szCs w:val="24"/>
                <w:lang w:eastAsia="en-US"/>
              </w:rPr>
            </w:pPr>
            <w:r>
              <w:rPr>
                <w:rFonts w:eastAsia="Times New Roman" w:cs="Times New Roman"/>
                <w:b/>
                <w:bCs/>
                <w:color w:val="000000"/>
                <w:szCs w:val="24"/>
                <w:lang w:eastAsia="en-US"/>
              </w:rPr>
              <w:t>Stands for</w:t>
            </w:r>
          </w:p>
        </w:tc>
        <w:tc>
          <w:tcPr>
            <w:tcW w:w="618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705876" w:rsidRDefault="00705876" w:rsidP="00731BD4">
            <w:pPr>
              <w:suppressAutoHyphens w:val="0"/>
              <w:spacing w:after="0" w:line="240" w:lineRule="auto"/>
              <w:jc w:val="center"/>
            </w:pPr>
            <w:r>
              <w:rPr>
                <w:rFonts w:eastAsia="Times New Roman" w:cs="Times New Roman"/>
                <w:b/>
                <w:bCs/>
                <w:color w:val="000000"/>
                <w:szCs w:val="24"/>
                <w:lang w:eastAsia="en-US"/>
              </w:rPr>
              <w:t>Vision &amp; Mission</w:t>
            </w:r>
          </w:p>
        </w:tc>
      </w:tr>
      <w:tr w:rsidR="00705876" w:rsidTr="00731BD4">
        <w:trPr>
          <w:trHeight w:val="660"/>
        </w:trPr>
        <w:tc>
          <w:tcPr>
            <w:tcW w:w="1868"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rPr>
                <w:rFonts w:eastAsia="Times New Roman" w:cs="Times New Roman"/>
                <w:szCs w:val="24"/>
                <w:lang w:eastAsia="en-US"/>
              </w:rPr>
            </w:pPr>
            <w:proofErr w:type="spellStart"/>
            <w:r>
              <w:rPr>
                <w:rFonts w:eastAsia="Times New Roman" w:cs="Times New Roman"/>
                <w:b/>
                <w:bCs/>
                <w:szCs w:val="24"/>
                <w:lang w:eastAsia="en-US"/>
              </w:rPr>
              <w:t>Ujjivan</w:t>
            </w:r>
            <w:proofErr w:type="spellEnd"/>
            <w:r>
              <w:rPr>
                <w:rFonts w:eastAsia="Times New Roman" w:cs="Times New Roman"/>
                <w:b/>
                <w:bCs/>
                <w:szCs w:val="24"/>
                <w:lang w:eastAsia="en-US"/>
              </w:rPr>
              <w:t xml:space="preserve"> Financial Services Private Limited</w:t>
            </w:r>
          </w:p>
        </w:tc>
        <w:tc>
          <w:tcPr>
            <w:tcW w:w="1473" w:type="dxa"/>
            <w:tcBorders>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jc w:val="center"/>
              <w:rPr>
                <w:rFonts w:eastAsia="Times New Roman" w:cs="Times New Roman"/>
                <w:szCs w:val="24"/>
                <w:lang w:eastAsia="en-US"/>
              </w:rPr>
            </w:pPr>
            <w:r>
              <w:rPr>
                <w:rFonts w:eastAsia="Times New Roman" w:cs="Times New Roman"/>
                <w:szCs w:val="24"/>
                <w:lang w:eastAsia="en-US"/>
              </w:rPr>
              <w:t>Better Life</w:t>
            </w:r>
          </w:p>
        </w:tc>
        <w:tc>
          <w:tcPr>
            <w:tcW w:w="6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76" w:rsidRDefault="00705876" w:rsidP="00731BD4">
            <w:pPr>
              <w:suppressAutoHyphens w:val="0"/>
              <w:spacing w:after="0" w:line="240" w:lineRule="auto"/>
            </w:pPr>
            <w:r>
              <w:rPr>
                <w:rFonts w:eastAsia="Times New Roman" w:cs="Times New Roman"/>
                <w:szCs w:val="24"/>
                <w:lang w:eastAsia="en-US"/>
              </w:rPr>
              <w:t>Provide full range of financial services to the economically active poor to build better lives.</w:t>
            </w:r>
          </w:p>
        </w:tc>
      </w:tr>
      <w:tr w:rsidR="00705876" w:rsidTr="00731BD4">
        <w:trPr>
          <w:trHeight w:val="315"/>
        </w:trPr>
        <w:tc>
          <w:tcPr>
            <w:tcW w:w="1868"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rPr>
                <w:rFonts w:eastAsia="Times New Roman" w:cs="Times New Roman"/>
                <w:szCs w:val="24"/>
                <w:lang w:eastAsia="en-US"/>
              </w:rPr>
            </w:pPr>
            <w:proofErr w:type="spellStart"/>
            <w:r>
              <w:rPr>
                <w:rFonts w:eastAsia="Times New Roman" w:cs="Times New Roman"/>
                <w:b/>
                <w:bCs/>
                <w:szCs w:val="24"/>
                <w:lang w:eastAsia="en-US"/>
              </w:rPr>
              <w:t>Swadhaar</w:t>
            </w:r>
            <w:proofErr w:type="spellEnd"/>
            <w:r>
              <w:rPr>
                <w:rFonts w:eastAsia="Times New Roman" w:cs="Times New Roman"/>
                <w:b/>
                <w:bCs/>
                <w:szCs w:val="24"/>
                <w:lang w:eastAsia="en-US"/>
              </w:rPr>
              <w:t xml:space="preserve"> </w:t>
            </w:r>
            <w:proofErr w:type="spellStart"/>
            <w:r>
              <w:rPr>
                <w:rFonts w:eastAsia="Times New Roman" w:cs="Times New Roman"/>
                <w:b/>
                <w:bCs/>
                <w:szCs w:val="24"/>
                <w:lang w:eastAsia="en-US"/>
              </w:rPr>
              <w:t>FinServe</w:t>
            </w:r>
            <w:proofErr w:type="spellEnd"/>
          </w:p>
        </w:tc>
        <w:tc>
          <w:tcPr>
            <w:tcW w:w="1473" w:type="dxa"/>
            <w:tcBorders>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jc w:val="center"/>
              <w:rPr>
                <w:rFonts w:eastAsia="Times New Roman" w:cs="Times New Roman"/>
                <w:szCs w:val="24"/>
                <w:lang w:eastAsia="en-US"/>
              </w:rPr>
            </w:pPr>
            <w:r>
              <w:rPr>
                <w:rFonts w:eastAsia="Times New Roman" w:cs="Times New Roman"/>
                <w:szCs w:val="24"/>
                <w:lang w:eastAsia="en-US"/>
              </w:rPr>
              <w:t>Self-Support</w:t>
            </w:r>
          </w:p>
        </w:tc>
        <w:tc>
          <w:tcPr>
            <w:tcW w:w="6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76" w:rsidRDefault="00705876" w:rsidP="00731BD4">
            <w:pPr>
              <w:suppressAutoHyphens w:val="0"/>
              <w:spacing w:after="0" w:line="240" w:lineRule="auto"/>
            </w:pPr>
            <w:r>
              <w:rPr>
                <w:rFonts w:eastAsia="Times New Roman" w:cs="Times New Roman"/>
                <w:szCs w:val="24"/>
                <w:lang w:eastAsia="en-US"/>
              </w:rPr>
              <w:t>To be the preferred provider of micro financial services.</w:t>
            </w:r>
          </w:p>
        </w:tc>
      </w:tr>
      <w:tr w:rsidR="00705876" w:rsidTr="00731BD4">
        <w:trPr>
          <w:trHeight w:val="630"/>
        </w:trPr>
        <w:tc>
          <w:tcPr>
            <w:tcW w:w="1868"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rPr>
                <w:rFonts w:eastAsia="Times New Roman" w:cs="Times New Roman"/>
                <w:szCs w:val="24"/>
                <w:lang w:eastAsia="en-US"/>
              </w:rPr>
            </w:pPr>
            <w:proofErr w:type="spellStart"/>
            <w:r>
              <w:rPr>
                <w:rFonts w:eastAsia="Times New Roman" w:cs="Times New Roman"/>
                <w:b/>
                <w:bCs/>
                <w:szCs w:val="24"/>
                <w:lang w:eastAsia="en-US"/>
              </w:rPr>
              <w:t>Janalakshmi</w:t>
            </w:r>
            <w:proofErr w:type="spellEnd"/>
            <w:r>
              <w:rPr>
                <w:rFonts w:eastAsia="Times New Roman" w:cs="Times New Roman"/>
                <w:b/>
                <w:bCs/>
                <w:szCs w:val="24"/>
                <w:lang w:eastAsia="en-US"/>
              </w:rPr>
              <w:t xml:space="preserve"> Financial Services</w:t>
            </w:r>
          </w:p>
        </w:tc>
        <w:tc>
          <w:tcPr>
            <w:tcW w:w="1473" w:type="dxa"/>
            <w:tcBorders>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jc w:val="center"/>
              <w:rPr>
                <w:rFonts w:eastAsia="Times New Roman" w:cs="Times New Roman"/>
                <w:szCs w:val="24"/>
                <w:lang w:eastAsia="en-US"/>
              </w:rPr>
            </w:pPr>
            <w:r>
              <w:rPr>
                <w:rFonts w:eastAsia="Times New Roman" w:cs="Times New Roman"/>
                <w:szCs w:val="24"/>
                <w:lang w:eastAsia="en-US"/>
              </w:rPr>
              <w:t>People's Wealth</w:t>
            </w:r>
          </w:p>
        </w:tc>
        <w:tc>
          <w:tcPr>
            <w:tcW w:w="6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76" w:rsidRDefault="00705876" w:rsidP="00731BD4">
            <w:pPr>
              <w:suppressAutoHyphens w:val="0"/>
              <w:spacing w:after="0" w:line="240" w:lineRule="auto"/>
            </w:pPr>
            <w:r>
              <w:rPr>
                <w:rFonts w:eastAsia="Times New Roman" w:cs="Times New Roman"/>
                <w:szCs w:val="24"/>
                <w:lang w:eastAsia="en-US"/>
              </w:rPr>
              <w:t>To emerge as a full scale financial services provider for the Indian sub-prime sector.</w:t>
            </w:r>
          </w:p>
        </w:tc>
      </w:tr>
      <w:tr w:rsidR="00705876" w:rsidTr="00731BD4">
        <w:trPr>
          <w:trHeight w:val="630"/>
        </w:trPr>
        <w:tc>
          <w:tcPr>
            <w:tcW w:w="1868"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rPr>
                <w:rFonts w:eastAsia="Times New Roman" w:cs="Times New Roman"/>
                <w:szCs w:val="24"/>
                <w:lang w:eastAsia="en-US"/>
              </w:rPr>
            </w:pPr>
            <w:proofErr w:type="spellStart"/>
            <w:r>
              <w:rPr>
                <w:rFonts w:eastAsia="Times New Roman" w:cs="Times New Roman"/>
                <w:b/>
                <w:bCs/>
                <w:szCs w:val="24"/>
                <w:lang w:eastAsia="en-US"/>
              </w:rPr>
              <w:t>Equitas</w:t>
            </w:r>
            <w:proofErr w:type="spellEnd"/>
            <w:r>
              <w:rPr>
                <w:rFonts w:eastAsia="Times New Roman" w:cs="Times New Roman"/>
                <w:b/>
                <w:bCs/>
                <w:szCs w:val="24"/>
                <w:lang w:eastAsia="en-US"/>
              </w:rPr>
              <w:t xml:space="preserve"> Holdings Private Limited</w:t>
            </w:r>
          </w:p>
        </w:tc>
        <w:tc>
          <w:tcPr>
            <w:tcW w:w="1473" w:type="dxa"/>
            <w:tcBorders>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jc w:val="center"/>
              <w:rPr>
                <w:rFonts w:eastAsia="Times New Roman" w:cs="Times New Roman"/>
                <w:szCs w:val="24"/>
                <w:lang w:eastAsia="en-US"/>
              </w:rPr>
            </w:pPr>
            <w:r>
              <w:rPr>
                <w:rFonts w:eastAsia="Times New Roman" w:cs="Times New Roman"/>
                <w:szCs w:val="24"/>
                <w:lang w:eastAsia="en-US"/>
              </w:rPr>
              <w:t>Transparency</w:t>
            </w:r>
          </w:p>
        </w:tc>
        <w:tc>
          <w:tcPr>
            <w:tcW w:w="6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76" w:rsidRDefault="00705876" w:rsidP="00731BD4">
            <w:pPr>
              <w:suppressAutoHyphens w:val="0"/>
              <w:spacing w:after="0" w:line="240" w:lineRule="auto"/>
            </w:pPr>
            <w:r>
              <w:rPr>
                <w:rFonts w:eastAsia="Times New Roman" w:cs="Times New Roman"/>
                <w:szCs w:val="24"/>
                <w:lang w:eastAsia="en-US"/>
              </w:rPr>
              <w:t>To improve the quality of life, by increasing total household asset value of those who are not effectively serviced by the formal financial sector, by providing transparent and trustworthy access by developing cutting edge technology, and forming partnerships and alliances.</w:t>
            </w:r>
          </w:p>
        </w:tc>
      </w:tr>
    </w:tbl>
    <w:p w:rsidR="00705876" w:rsidRDefault="00705876" w:rsidP="00705876">
      <w:pPr>
        <w:pStyle w:val="BodyText"/>
        <w:rPr>
          <w:b/>
        </w:rPr>
      </w:pPr>
    </w:p>
    <w:p w:rsidR="00705876" w:rsidRPr="005520E5" w:rsidRDefault="00705876" w:rsidP="00705876">
      <w:pPr>
        <w:pStyle w:val="BodyText"/>
        <w:jc w:val="center"/>
      </w:pPr>
      <w:r>
        <w:rPr>
          <w:b/>
        </w:rPr>
        <w:t>Table 1: Vision and Mission of four NBFCs</w:t>
      </w:r>
    </w:p>
    <w:p w:rsidR="00CA1EFF" w:rsidRDefault="00CA1EFF">
      <w:r w:rsidRPr="005520E5">
        <w:rPr>
          <w:rFonts w:ascii="Times New Roman" w:hAnsi="Times New Roman" w:cs="Times New Roman"/>
          <w:color w:val="000000"/>
          <w:sz w:val="24"/>
          <w:szCs w:val="24"/>
        </w:rPr>
        <w:lastRenderedPageBreak/>
        <w:t xml:space="preserve">Table 2 </w:t>
      </w:r>
      <w:r>
        <w:rPr>
          <w:rFonts w:ascii="Times New Roman" w:hAnsi="Times New Roman" w:cs="Times New Roman"/>
          <w:color w:val="000000"/>
          <w:sz w:val="24"/>
          <w:szCs w:val="24"/>
        </w:rPr>
        <w:t>below provides</w:t>
      </w:r>
      <w:r w:rsidRPr="005520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 overview of operational and financial performance of the four NBFCs that form the basis of this study. For each of the four organizations, the table lists products, services and partnered products that each agency offers, the number of states that they operate in, the total number of branches, the Gross Loan Portfolio (GLP), and the number of borrowers.</w:t>
      </w:r>
    </w:p>
    <w:p w:rsidR="00705876" w:rsidRDefault="00705876" w:rsidP="00705876">
      <w:pPr>
        <w:pStyle w:val="BodyText"/>
      </w:pPr>
    </w:p>
    <w:tbl>
      <w:tblPr>
        <w:tblW w:w="0" w:type="auto"/>
        <w:tblInd w:w="108" w:type="dxa"/>
        <w:tblLayout w:type="fixed"/>
        <w:tblLook w:val="0000" w:firstRow="0" w:lastRow="0" w:firstColumn="0" w:lastColumn="0" w:noHBand="0" w:noVBand="0"/>
      </w:tblPr>
      <w:tblGrid>
        <w:gridCol w:w="1980"/>
        <w:gridCol w:w="1840"/>
        <w:gridCol w:w="1540"/>
        <w:gridCol w:w="2406"/>
        <w:gridCol w:w="1757"/>
      </w:tblGrid>
      <w:tr w:rsidR="00705876" w:rsidTr="00731BD4">
        <w:trPr>
          <w:trHeight w:val="945"/>
        </w:trPr>
        <w:tc>
          <w:tcPr>
            <w:tcW w:w="1980"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jc w:val="center"/>
              <w:rPr>
                <w:rFonts w:eastAsia="Times New Roman" w:cs="Times New Roman"/>
                <w:b/>
                <w:bCs/>
                <w:color w:val="000000"/>
                <w:szCs w:val="24"/>
                <w:lang w:eastAsia="en-US"/>
              </w:rPr>
            </w:pPr>
            <w:r>
              <w:rPr>
                <w:rFonts w:eastAsia="Times New Roman" w:cs="Times New Roman"/>
                <w:b/>
                <w:bCs/>
                <w:color w:val="000000"/>
                <w:szCs w:val="24"/>
                <w:lang w:eastAsia="en-US"/>
              </w:rPr>
              <w:t>Particulars</w:t>
            </w:r>
          </w:p>
        </w:tc>
        <w:tc>
          <w:tcPr>
            <w:tcW w:w="1840"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jc w:val="center"/>
              <w:rPr>
                <w:rFonts w:eastAsia="Times New Roman" w:cs="Times New Roman"/>
                <w:b/>
                <w:bCs/>
                <w:color w:val="000000"/>
                <w:szCs w:val="24"/>
                <w:lang w:eastAsia="en-US"/>
              </w:rPr>
            </w:pPr>
            <w:proofErr w:type="spellStart"/>
            <w:r>
              <w:rPr>
                <w:rFonts w:eastAsia="Times New Roman" w:cs="Times New Roman"/>
                <w:b/>
                <w:bCs/>
                <w:color w:val="000000"/>
                <w:szCs w:val="24"/>
                <w:lang w:eastAsia="en-US"/>
              </w:rPr>
              <w:t>Ujjivan</w:t>
            </w:r>
            <w:proofErr w:type="spellEnd"/>
            <w:r>
              <w:rPr>
                <w:rFonts w:eastAsia="Times New Roman" w:cs="Times New Roman"/>
                <w:b/>
                <w:bCs/>
                <w:color w:val="000000"/>
                <w:szCs w:val="24"/>
                <w:lang w:eastAsia="en-US"/>
              </w:rPr>
              <w:t xml:space="preserve"> Financial Services Private Limited</w:t>
            </w:r>
          </w:p>
        </w:tc>
        <w:tc>
          <w:tcPr>
            <w:tcW w:w="1540"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jc w:val="center"/>
              <w:rPr>
                <w:rFonts w:eastAsia="Times New Roman" w:cs="Times New Roman"/>
                <w:b/>
                <w:bCs/>
                <w:color w:val="000000"/>
                <w:szCs w:val="24"/>
                <w:lang w:eastAsia="en-US"/>
              </w:rPr>
            </w:pPr>
            <w:proofErr w:type="spellStart"/>
            <w:r>
              <w:rPr>
                <w:rFonts w:eastAsia="Times New Roman" w:cs="Times New Roman"/>
                <w:b/>
                <w:bCs/>
                <w:color w:val="000000"/>
                <w:szCs w:val="24"/>
                <w:lang w:eastAsia="en-US"/>
              </w:rPr>
              <w:t>Swadhaar</w:t>
            </w:r>
            <w:proofErr w:type="spellEnd"/>
            <w:r>
              <w:rPr>
                <w:rFonts w:eastAsia="Times New Roman" w:cs="Times New Roman"/>
                <w:b/>
                <w:bCs/>
                <w:color w:val="000000"/>
                <w:szCs w:val="24"/>
                <w:lang w:eastAsia="en-US"/>
              </w:rPr>
              <w:t xml:space="preserve"> </w:t>
            </w:r>
            <w:proofErr w:type="spellStart"/>
            <w:r>
              <w:rPr>
                <w:rFonts w:eastAsia="Times New Roman" w:cs="Times New Roman"/>
                <w:b/>
                <w:bCs/>
                <w:color w:val="000000"/>
                <w:szCs w:val="24"/>
                <w:lang w:eastAsia="en-US"/>
              </w:rPr>
              <w:t>FinServe</w:t>
            </w:r>
            <w:proofErr w:type="spellEnd"/>
          </w:p>
        </w:tc>
        <w:tc>
          <w:tcPr>
            <w:tcW w:w="2406"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jc w:val="center"/>
              <w:rPr>
                <w:rFonts w:eastAsia="Times New Roman" w:cs="Times New Roman"/>
                <w:b/>
                <w:bCs/>
                <w:color w:val="000000"/>
                <w:szCs w:val="24"/>
                <w:lang w:eastAsia="en-US"/>
              </w:rPr>
            </w:pPr>
            <w:proofErr w:type="spellStart"/>
            <w:r>
              <w:rPr>
                <w:rFonts w:eastAsia="Times New Roman" w:cs="Times New Roman"/>
                <w:b/>
                <w:bCs/>
                <w:color w:val="000000"/>
                <w:szCs w:val="24"/>
                <w:lang w:eastAsia="en-US"/>
              </w:rPr>
              <w:t>Janalakshmi</w:t>
            </w:r>
            <w:proofErr w:type="spellEnd"/>
            <w:r>
              <w:rPr>
                <w:rFonts w:eastAsia="Times New Roman" w:cs="Times New Roman"/>
                <w:b/>
                <w:bCs/>
                <w:color w:val="000000"/>
                <w:szCs w:val="24"/>
                <w:lang w:eastAsia="en-US"/>
              </w:rPr>
              <w:t xml:space="preserve"> Financial Services</w:t>
            </w:r>
          </w:p>
        </w:tc>
        <w:tc>
          <w:tcPr>
            <w:tcW w:w="175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705876" w:rsidRDefault="00705876" w:rsidP="00731BD4">
            <w:pPr>
              <w:suppressAutoHyphens w:val="0"/>
              <w:spacing w:after="0" w:line="240" w:lineRule="auto"/>
              <w:jc w:val="center"/>
            </w:pPr>
            <w:proofErr w:type="spellStart"/>
            <w:r>
              <w:rPr>
                <w:rFonts w:eastAsia="Times New Roman" w:cs="Times New Roman"/>
                <w:b/>
                <w:bCs/>
                <w:color w:val="000000"/>
                <w:szCs w:val="24"/>
                <w:lang w:eastAsia="en-US"/>
              </w:rPr>
              <w:t>Equitas</w:t>
            </w:r>
            <w:proofErr w:type="spellEnd"/>
            <w:r>
              <w:rPr>
                <w:rFonts w:eastAsia="Times New Roman" w:cs="Times New Roman"/>
                <w:b/>
                <w:bCs/>
                <w:color w:val="000000"/>
                <w:szCs w:val="24"/>
                <w:lang w:eastAsia="en-US"/>
              </w:rPr>
              <w:t xml:space="preserve"> Holdings Private Limited</w:t>
            </w:r>
          </w:p>
        </w:tc>
      </w:tr>
      <w:tr w:rsidR="00705876" w:rsidTr="00731BD4">
        <w:trPr>
          <w:trHeight w:val="315"/>
        </w:trPr>
        <w:tc>
          <w:tcPr>
            <w:tcW w:w="1980"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rPr>
                <w:rFonts w:eastAsia="Times New Roman" w:cs="Times New Roman"/>
                <w:lang w:eastAsia="en-US"/>
              </w:rPr>
            </w:pPr>
            <w:r>
              <w:rPr>
                <w:rFonts w:eastAsia="Times New Roman" w:cs="Times New Roman"/>
                <w:b/>
                <w:lang w:eastAsia="en-US"/>
              </w:rPr>
              <w:t>Company Type</w:t>
            </w:r>
          </w:p>
        </w:tc>
        <w:tc>
          <w:tcPr>
            <w:tcW w:w="1840"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jc w:val="center"/>
              <w:rPr>
                <w:rFonts w:eastAsia="Times New Roman" w:cs="Times New Roman"/>
                <w:lang w:eastAsia="en-US"/>
              </w:rPr>
            </w:pPr>
            <w:r>
              <w:rPr>
                <w:rFonts w:eastAsia="Times New Roman" w:cs="Times New Roman"/>
                <w:lang w:eastAsia="en-US"/>
              </w:rPr>
              <w:t>NBFC</w:t>
            </w:r>
          </w:p>
        </w:tc>
        <w:tc>
          <w:tcPr>
            <w:tcW w:w="1540"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jc w:val="center"/>
              <w:rPr>
                <w:rFonts w:eastAsia="Times New Roman" w:cs="Times New Roman"/>
                <w:lang w:eastAsia="en-US"/>
              </w:rPr>
            </w:pPr>
            <w:r>
              <w:rPr>
                <w:rFonts w:eastAsia="Times New Roman" w:cs="Times New Roman"/>
                <w:lang w:eastAsia="en-US"/>
              </w:rPr>
              <w:t>NBFC</w:t>
            </w:r>
          </w:p>
        </w:tc>
        <w:tc>
          <w:tcPr>
            <w:tcW w:w="2406"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jc w:val="center"/>
              <w:rPr>
                <w:rFonts w:eastAsia="Times New Roman" w:cs="Times New Roman"/>
                <w:lang w:eastAsia="en-US"/>
              </w:rPr>
            </w:pPr>
            <w:r>
              <w:rPr>
                <w:rFonts w:eastAsia="Times New Roman" w:cs="Times New Roman"/>
                <w:lang w:eastAsia="en-US"/>
              </w:rPr>
              <w:t>NBFC</w:t>
            </w:r>
          </w:p>
        </w:tc>
        <w:tc>
          <w:tcPr>
            <w:tcW w:w="1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76" w:rsidRDefault="00705876" w:rsidP="00731BD4">
            <w:pPr>
              <w:suppressAutoHyphens w:val="0"/>
              <w:spacing w:after="0" w:line="240" w:lineRule="auto"/>
              <w:jc w:val="center"/>
            </w:pPr>
            <w:r>
              <w:rPr>
                <w:rFonts w:eastAsia="Times New Roman" w:cs="Times New Roman"/>
                <w:lang w:eastAsia="en-US"/>
              </w:rPr>
              <w:t>NBFC</w:t>
            </w:r>
          </w:p>
        </w:tc>
      </w:tr>
      <w:tr w:rsidR="00705876" w:rsidTr="00731BD4">
        <w:trPr>
          <w:trHeight w:val="315"/>
        </w:trPr>
        <w:tc>
          <w:tcPr>
            <w:tcW w:w="1980"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rPr>
                <w:rFonts w:eastAsia="Times New Roman" w:cs="Times New Roman"/>
                <w:lang w:eastAsia="en-US"/>
              </w:rPr>
            </w:pPr>
            <w:r>
              <w:rPr>
                <w:rFonts w:eastAsia="Times New Roman" w:cs="Times New Roman"/>
                <w:b/>
                <w:lang w:eastAsia="en-US"/>
              </w:rPr>
              <w:t>Established since</w:t>
            </w:r>
          </w:p>
        </w:tc>
        <w:tc>
          <w:tcPr>
            <w:tcW w:w="1840"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jc w:val="center"/>
              <w:rPr>
                <w:rFonts w:eastAsia="Times New Roman" w:cs="Times New Roman"/>
                <w:lang w:eastAsia="en-US"/>
              </w:rPr>
            </w:pPr>
            <w:r>
              <w:rPr>
                <w:rFonts w:eastAsia="Times New Roman" w:cs="Times New Roman"/>
                <w:lang w:eastAsia="en-US"/>
              </w:rPr>
              <w:t>Dec-04</w:t>
            </w:r>
          </w:p>
        </w:tc>
        <w:tc>
          <w:tcPr>
            <w:tcW w:w="1540"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jc w:val="center"/>
              <w:rPr>
                <w:rFonts w:eastAsia="Times New Roman" w:cs="Times New Roman"/>
                <w:lang w:eastAsia="en-US"/>
              </w:rPr>
            </w:pPr>
            <w:r>
              <w:rPr>
                <w:rFonts w:eastAsia="Times New Roman" w:cs="Times New Roman"/>
                <w:lang w:eastAsia="en-US"/>
              </w:rPr>
              <w:t>Mar-05</w:t>
            </w:r>
          </w:p>
        </w:tc>
        <w:tc>
          <w:tcPr>
            <w:tcW w:w="2406"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jc w:val="center"/>
              <w:rPr>
                <w:rFonts w:eastAsia="Times New Roman" w:cs="Times New Roman"/>
                <w:lang w:eastAsia="en-US"/>
              </w:rPr>
            </w:pPr>
            <w:r>
              <w:rPr>
                <w:rFonts w:eastAsia="Times New Roman" w:cs="Times New Roman"/>
                <w:lang w:eastAsia="en-US"/>
              </w:rPr>
              <w:t>Jun-06</w:t>
            </w:r>
          </w:p>
        </w:tc>
        <w:tc>
          <w:tcPr>
            <w:tcW w:w="1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76" w:rsidRDefault="00705876" w:rsidP="00731BD4">
            <w:pPr>
              <w:suppressAutoHyphens w:val="0"/>
              <w:spacing w:after="0" w:line="240" w:lineRule="auto"/>
              <w:jc w:val="center"/>
            </w:pPr>
            <w:r>
              <w:rPr>
                <w:rFonts w:eastAsia="Times New Roman" w:cs="Times New Roman"/>
                <w:lang w:eastAsia="en-US"/>
              </w:rPr>
              <w:t>Jun-07</w:t>
            </w:r>
          </w:p>
        </w:tc>
      </w:tr>
      <w:tr w:rsidR="00705876" w:rsidTr="00731BD4">
        <w:trPr>
          <w:trHeight w:val="1890"/>
        </w:trPr>
        <w:tc>
          <w:tcPr>
            <w:tcW w:w="1980"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rPr>
                <w:rFonts w:eastAsia="Times New Roman" w:cs="Times New Roman"/>
                <w:lang w:eastAsia="en-US"/>
              </w:rPr>
            </w:pPr>
            <w:r>
              <w:rPr>
                <w:rFonts w:eastAsia="Times New Roman" w:cs="Times New Roman"/>
                <w:b/>
                <w:lang w:eastAsia="en-US"/>
              </w:rPr>
              <w:t>Products and Services offered</w:t>
            </w:r>
          </w:p>
        </w:tc>
        <w:tc>
          <w:tcPr>
            <w:tcW w:w="1840"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numPr>
                <w:ilvl w:val="0"/>
                <w:numId w:val="4"/>
              </w:numPr>
              <w:suppressAutoHyphens w:val="0"/>
              <w:spacing w:after="0" w:line="240" w:lineRule="auto"/>
              <w:rPr>
                <w:rFonts w:eastAsia="Times New Roman" w:cs="Times New Roman"/>
                <w:lang w:eastAsia="en-US"/>
              </w:rPr>
            </w:pPr>
            <w:r>
              <w:rPr>
                <w:rFonts w:eastAsia="Times New Roman" w:cs="Times New Roman"/>
                <w:lang w:eastAsia="en-US"/>
              </w:rPr>
              <w:t>Group loan</w:t>
            </w:r>
          </w:p>
          <w:p w:rsidR="00705876" w:rsidRDefault="00705876" w:rsidP="00731BD4">
            <w:pPr>
              <w:numPr>
                <w:ilvl w:val="0"/>
                <w:numId w:val="4"/>
              </w:numPr>
              <w:suppressAutoHyphens w:val="0"/>
              <w:spacing w:after="0" w:line="240" w:lineRule="auto"/>
              <w:rPr>
                <w:rFonts w:eastAsia="Times New Roman" w:cs="Times New Roman"/>
                <w:lang w:eastAsia="en-US"/>
              </w:rPr>
            </w:pPr>
            <w:r>
              <w:rPr>
                <w:rFonts w:eastAsia="Times New Roman" w:cs="Times New Roman"/>
                <w:lang w:eastAsia="en-US"/>
              </w:rPr>
              <w:t>Individual loan</w:t>
            </w:r>
          </w:p>
          <w:p w:rsidR="00705876" w:rsidRDefault="00705876" w:rsidP="00731BD4">
            <w:pPr>
              <w:numPr>
                <w:ilvl w:val="0"/>
                <w:numId w:val="4"/>
              </w:numPr>
              <w:suppressAutoHyphens w:val="0"/>
              <w:spacing w:after="0" w:line="240" w:lineRule="auto"/>
              <w:rPr>
                <w:rFonts w:eastAsia="Times New Roman" w:cs="Times New Roman"/>
                <w:lang w:eastAsia="en-US"/>
              </w:rPr>
            </w:pPr>
            <w:r>
              <w:rPr>
                <w:rFonts w:eastAsia="Times New Roman" w:cs="Times New Roman"/>
                <w:lang w:eastAsia="en-US"/>
              </w:rPr>
              <w:t>Insurance</w:t>
            </w:r>
          </w:p>
        </w:tc>
        <w:tc>
          <w:tcPr>
            <w:tcW w:w="1540"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numPr>
                <w:ilvl w:val="0"/>
                <w:numId w:val="5"/>
              </w:numPr>
              <w:suppressAutoHyphens w:val="0"/>
              <w:spacing w:after="0" w:line="240" w:lineRule="auto"/>
            </w:pPr>
            <w:r>
              <w:rPr>
                <w:rFonts w:eastAsia="Times New Roman" w:cs="Times New Roman"/>
                <w:lang w:eastAsia="en-US"/>
              </w:rPr>
              <w:t>Group loan</w:t>
            </w:r>
          </w:p>
          <w:p w:rsidR="00705876" w:rsidRDefault="00705876" w:rsidP="00731BD4">
            <w:pPr>
              <w:numPr>
                <w:ilvl w:val="0"/>
                <w:numId w:val="5"/>
              </w:numPr>
              <w:suppressAutoHyphens w:val="0"/>
              <w:spacing w:after="0" w:line="240" w:lineRule="auto"/>
              <w:rPr>
                <w:rFonts w:eastAsia="Times New Roman" w:cs="Times New Roman"/>
                <w:lang w:eastAsia="en-US"/>
              </w:rPr>
            </w:pPr>
            <w:r>
              <w:rPr>
                <w:rFonts w:eastAsia="Times New Roman" w:cs="Times New Roman"/>
                <w:lang w:eastAsia="en-US"/>
              </w:rPr>
              <w:t>Individual loan</w:t>
            </w:r>
          </w:p>
          <w:p w:rsidR="00705876" w:rsidRDefault="00705876" w:rsidP="00731BD4">
            <w:pPr>
              <w:numPr>
                <w:ilvl w:val="0"/>
                <w:numId w:val="5"/>
              </w:numPr>
              <w:suppressAutoHyphens w:val="0"/>
              <w:spacing w:after="0" w:line="240" w:lineRule="auto"/>
              <w:rPr>
                <w:rFonts w:eastAsia="Times New Roman" w:cs="Times New Roman"/>
                <w:lang w:eastAsia="en-US"/>
              </w:rPr>
            </w:pPr>
            <w:r>
              <w:rPr>
                <w:rFonts w:eastAsia="Times New Roman" w:cs="Times New Roman"/>
                <w:lang w:eastAsia="en-US"/>
              </w:rPr>
              <w:t>Credit linked life insurance</w:t>
            </w:r>
          </w:p>
        </w:tc>
        <w:tc>
          <w:tcPr>
            <w:tcW w:w="2406"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numPr>
                <w:ilvl w:val="0"/>
                <w:numId w:val="7"/>
              </w:numPr>
              <w:suppressAutoHyphens w:val="0"/>
              <w:spacing w:after="0" w:line="240" w:lineRule="auto"/>
              <w:rPr>
                <w:rFonts w:eastAsia="Times New Roman" w:cs="Times New Roman"/>
                <w:lang w:eastAsia="en-US"/>
              </w:rPr>
            </w:pPr>
            <w:r>
              <w:rPr>
                <w:rFonts w:eastAsia="Times New Roman" w:cs="Times New Roman"/>
                <w:lang w:eastAsia="en-US"/>
              </w:rPr>
              <w:t>Group loan</w:t>
            </w:r>
          </w:p>
          <w:p w:rsidR="00705876" w:rsidRDefault="00705876" w:rsidP="00731BD4">
            <w:pPr>
              <w:numPr>
                <w:ilvl w:val="0"/>
                <w:numId w:val="7"/>
              </w:numPr>
              <w:suppressAutoHyphens w:val="0"/>
              <w:spacing w:after="0" w:line="240" w:lineRule="auto"/>
              <w:rPr>
                <w:rFonts w:eastAsia="Times New Roman" w:cs="Times New Roman"/>
                <w:lang w:eastAsia="en-US"/>
              </w:rPr>
            </w:pPr>
            <w:r>
              <w:rPr>
                <w:rFonts w:eastAsia="Times New Roman" w:cs="Times New Roman"/>
                <w:lang w:eastAsia="en-US"/>
              </w:rPr>
              <w:t>Individual loan</w:t>
            </w:r>
          </w:p>
          <w:p w:rsidR="00705876" w:rsidRDefault="00705876" w:rsidP="00731BD4">
            <w:pPr>
              <w:numPr>
                <w:ilvl w:val="0"/>
                <w:numId w:val="7"/>
              </w:numPr>
              <w:suppressAutoHyphens w:val="0"/>
              <w:spacing w:after="0" w:line="240" w:lineRule="auto"/>
              <w:rPr>
                <w:rFonts w:eastAsia="Times New Roman" w:cs="Times New Roman"/>
                <w:lang w:eastAsia="en-US"/>
              </w:rPr>
            </w:pPr>
            <w:r>
              <w:rPr>
                <w:rFonts w:eastAsia="Times New Roman" w:cs="Times New Roman"/>
                <w:lang w:eastAsia="en-US"/>
              </w:rPr>
              <w:t>Education loan</w:t>
            </w:r>
          </w:p>
          <w:p w:rsidR="00705876" w:rsidRDefault="00705876" w:rsidP="00731BD4">
            <w:pPr>
              <w:numPr>
                <w:ilvl w:val="0"/>
                <w:numId w:val="7"/>
              </w:numPr>
              <w:suppressAutoHyphens w:val="0"/>
              <w:spacing w:after="0" w:line="240" w:lineRule="auto"/>
              <w:rPr>
                <w:rFonts w:eastAsia="Times New Roman" w:cs="Times New Roman"/>
                <w:lang w:eastAsia="en-US"/>
              </w:rPr>
            </w:pPr>
            <w:r>
              <w:rPr>
                <w:rFonts w:eastAsia="Times New Roman" w:cs="Times New Roman"/>
                <w:lang w:eastAsia="en-US"/>
              </w:rPr>
              <w:t>Housing loan</w:t>
            </w:r>
          </w:p>
          <w:p w:rsidR="00705876" w:rsidRDefault="00705876" w:rsidP="00731BD4">
            <w:pPr>
              <w:numPr>
                <w:ilvl w:val="0"/>
                <w:numId w:val="7"/>
              </w:numPr>
              <w:suppressAutoHyphens w:val="0"/>
              <w:spacing w:after="0" w:line="240" w:lineRule="auto"/>
              <w:rPr>
                <w:rFonts w:eastAsia="Times New Roman" w:cs="Times New Roman"/>
                <w:lang w:eastAsia="en-US"/>
              </w:rPr>
            </w:pPr>
            <w:r>
              <w:rPr>
                <w:rFonts w:eastAsia="Times New Roman" w:cs="Times New Roman"/>
                <w:lang w:eastAsia="en-US"/>
              </w:rPr>
              <w:t>Enterprise financial services</w:t>
            </w:r>
          </w:p>
        </w:tc>
        <w:tc>
          <w:tcPr>
            <w:tcW w:w="1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76" w:rsidRDefault="00705876" w:rsidP="00731BD4">
            <w:pPr>
              <w:suppressAutoHyphens w:val="0"/>
              <w:spacing w:after="0" w:line="240" w:lineRule="auto"/>
            </w:pPr>
            <w:r>
              <w:rPr>
                <w:rFonts w:eastAsia="Times New Roman" w:cs="Times New Roman"/>
                <w:lang w:eastAsia="en-US"/>
              </w:rPr>
              <w:t>Group Loan</w:t>
            </w:r>
          </w:p>
        </w:tc>
      </w:tr>
      <w:tr w:rsidR="00705876" w:rsidTr="00731BD4">
        <w:trPr>
          <w:trHeight w:val="1034"/>
        </w:trPr>
        <w:tc>
          <w:tcPr>
            <w:tcW w:w="1980"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rPr>
                <w:rFonts w:eastAsia="Times New Roman" w:cs="Times New Roman"/>
                <w:b/>
                <w:lang w:eastAsia="en-US"/>
              </w:rPr>
            </w:pPr>
            <w:r>
              <w:rPr>
                <w:rFonts w:eastAsia="Times New Roman" w:cs="Times New Roman"/>
                <w:b/>
                <w:lang w:eastAsia="en-US"/>
              </w:rPr>
              <w:t>Partnered Products</w:t>
            </w:r>
          </w:p>
        </w:tc>
        <w:tc>
          <w:tcPr>
            <w:tcW w:w="1840"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suppressAutoHyphens w:val="0"/>
              <w:snapToGrid w:val="0"/>
              <w:spacing w:after="0" w:line="240" w:lineRule="auto"/>
              <w:rPr>
                <w:rFonts w:eastAsia="Times New Roman" w:cs="Times New Roman"/>
                <w:b/>
                <w:lang w:eastAsia="en-US"/>
              </w:rPr>
            </w:pPr>
          </w:p>
        </w:tc>
        <w:tc>
          <w:tcPr>
            <w:tcW w:w="1540"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suppressAutoHyphens w:val="0"/>
              <w:snapToGrid w:val="0"/>
              <w:spacing w:after="0" w:line="240" w:lineRule="auto"/>
              <w:rPr>
                <w:rFonts w:eastAsia="Times New Roman" w:cs="Times New Roman"/>
                <w:b/>
                <w:lang w:eastAsia="en-US"/>
              </w:rPr>
            </w:pPr>
          </w:p>
        </w:tc>
        <w:tc>
          <w:tcPr>
            <w:tcW w:w="2406"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numPr>
                <w:ilvl w:val="0"/>
                <w:numId w:val="2"/>
              </w:numPr>
              <w:suppressAutoHyphens w:val="0"/>
              <w:spacing w:after="0" w:line="240" w:lineRule="auto"/>
              <w:rPr>
                <w:rFonts w:eastAsia="Times New Roman" w:cs="Times New Roman"/>
                <w:lang w:eastAsia="en-US"/>
              </w:rPr>
            </w:pPr>
            <w:r>
              <w:rPr>
                <w:rFonts w:eastAsia="Times New Roman" w:cs="Times New Roman"/>
                <w:lang w:eastAsia="en-US"/>
              </w:rPr>
              <w:t>Insurance</w:t>
            </w:r>
          </w:p>
          <w:p w:rsidR="00705876" w:rsidRDefault="00705876" w:rsidP="00731BD4">
            <w:pPr>
              <w:numPr>
                <w:ilvl w:val="0"/>
                <w:numId w:val="2"/>
              </w:numPr>
              <w:suppressAutoHyphens w:val="0"/>
              <w:spacing w:after="0" w:line="240" w:lineRule="auto"/>
              <w:rPr>
                <w:rFonts w:eastAsia="Times New Roman" w:cs="Times New Roman"/>
                <w:lang w:eastAsia="en-US"/>
              </w:rPr>
            </w:pPr>
            <w:r>
              <w:rPr>
                <w:rFonts w:eastAsia="Times New Roman" w:cs="Times New Roman"/>
                <w:lang w:eastAsia="en-US"/>
              </w:rPr>
              <w:t>Micro pension</w:t>
            </w:r>
          </w:p>
          <w:p w:rsidR="00705876" w:rsidRDefault="00705876" w:rsidP="00731BD4">
            <w:pPr>
              <w:numPr>
                <w:ilvl w:val="0"/>
                <w:numId w:val="2"/>
              </w:numPr>
              <w:suppressAutoHyphens w:val="0"/>
              <w:spacing w:after="0" w:line="240" w:lineRule="auto"/>
              <w:rPr>
                <w:rFonts w:eastAsia="Times New Roman" w:cs="Times New Roman"/>
                <w:lang w:eastAsia="en-US"/>
              </w:rPr>
            </w:pPr>
            <w:r>
              <w:rPr>
                <w:rFonts w:eastAsia="Times New Roman" w:cs="Times New Roman"/>
                <w:lang w:eastAsia="en-US"/>
              </w:rPr>
              <w:t>National pension scheme</w:t>
            </w:r>
          </w:p>
          <w:p w:rsidR="00705876" w:rsidRDefault="00705876" w:rsidP="00731BD4">
            <w:pPr>
              <w:numPr>
                <w:ilvl w:val="0"/>
                <w:numId w:val="2"/>
              </w:numPr>
              <w:suppressAutoHyphens w:val="0"/>
              <w:spacing w:after="0" w:line="240" w:lineRule="auto"/>
              <w:rPr>
                <w:rFonts w:eastAsia="Times New Roman" w:cs="Times New Roman"/>
                <w:lang w:eastAsia="en-US"/>
              </w:rPr>
            </w:pPr>
            <w:r>
              <w:rPr>
                <w:rFonts w:eastAsia="Times New Roman" w:cs="Times New Roman"/>
                <w:lang w:eastAsia="en-US"/>
              </w:rPr>
              <w:t>Prepaid cards</w:t>
            </w:r>
          </w:p>
          <w:p w:rsidR="00705876" w:rsidRDefault="00705876" w:rsidP="00731BD4">
            <w:pPr>
              <w:numPr>
                <w:ilvl w:val="0"/>
                <w:numId w:val="2"/>
              </w:numPr>
              <w:suppressAutoHyphens w:val="0"/>
              <w:spacing w:after="0" w:line="240" w:lineRule="auto"/>
              <w:rPr>
                <w:rFonts w:eastAsia="Times New Roman" w:cs="Times New Roman"/>
                <w:lang w:eastAsia="en-US"/>
              </w:rPr>
            </w:pPr>
            <w:r>
              <w:rPr>
                <w:rFonts w:eastAsia="Times New Roman" w:cs="Times New Roman"/>
                <w:lang w:eastAsia="en-US"/>
              </w:rPr>
              <w:t>Savings</w:t>
            </w:r>
          </w:p>
        </w:tc>
        <w:tc>
          <w:tcPr>
            <w:tcW w:w="1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76" w:rsidRDefault="00705876" w:rsidP="00731BD4">
            <w:pPr>
              <w:numPr>
                <w:ilvl w:val="0"/>
                <w:numId w:val="3"/>
              </w:numPr>
              <w:suppressAutoHyphens w:val="0"/>
              <w:spacing w:after="0" w:line="240" w:lineRule="auto"/>
              <w:rPr>
                <w:rFonts w:eastAsia="Times New Roman" w:cs="Times New Roman"/>
                <w:lang w:eastAsia="en-US"/>
              </w:rPr>
            </w:pPr>
            <w:r>
              <w:rPr>
                <w:rFonts w:eastAsia="Times New Roman" w:cs="Times New Roman"/>
                <w:lang w:eastAsia="en-US"/>
              </w:rPr>
              <w:t>Insurance</w:t>
            </w:r>
          </w:p>
          <w:p w:rsidR="00705876" w:rsidRDefault="00705876" w:rsidP="00731BD4">
            <w:pPr>
              <w:numPr>
                <w:ilvl w:val="0"/>
                <w:numId w:val="3"/>
              </w:numPr>
              <w:suppressAutoHyphens w:val="0"/>
              <w:spacing w:after="0" w:line="240" w:lineRule="auto"/>
            </w:pPr>
            <w:r>
              <w:rPr>
                <w:rFonts w:eastAsia="Times New Roman" w:cs="Times New Roman"/>
                <w:lang w:eastAsia="en-US"/>
              </w:rPr>
              <w:t>Housing loan</w:t>
            </w:r>
          </w:p>
        </w:tc>
      </w:tr>
      <w:tr w:rsidR="00705876" w:rsidTr="00731BD4">
        <w:trPr>
          <w:trHeight w:val="630"/>
        </w:trPr>
        <w:tc>
          <w:tcPr>
            <w:tcW w:w="1980"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rPr>
                <w:rFonts w:eastAsia="Times New Roman" w:cs="Times New Roman"/>
                <w:lang w:eastAsia="en-US"/>
              </w:rPr>
            </w:pPr>
            <w:r>
              <w:rPr>
                <w:rFonts w:eastAsia="Times New Roman" w:cs="Times New Roman"/>
                <w:b/>
                <w:lang w:eastAsia="en-US"/>
              </w:rPr>
              <w:t>No of States it operates in</w:t>
            </w:r>
          </w:p>
        </w:tc>
        <w:tc>
          <w:tcPr>
            <w:tcW w:w="1840"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jc w:val="center"/>
              <w:rPr>
                <w:rFonts w:eastAsia="Times New Roman" w:cs="Times New Roman"/>
                <w:lang w:eastAsia="en-US"/>
              </w:rPr>
            </w:pPr>
            <w:r>
              <w:rPr>
                <w:rFonts w:eastAsia="Times New Roman" w:cs="Times New Roman"/>
                <w:lang w:eastAsia="en-US"/>
              </w:rPr>
              <w:t>24</w:t>
            </w:r>
          </w:p>
        </w:tc>
        <w:tc>
          <w:tcPr>
            <w:tcW w:w="1540"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jc w:val="center"/>
              <w:rPr>
                <w:rFonts w:eastAsia="Times New Roman" w:cs="Times New Roman"/>
                <w:lang w:eastAsia="en-US"/>
              </w:rPr>
            </w:pPr>
            <w:r>
              <w:rPr>
                <w:rFonts w:eastAsia="Times New Roman" w:cs="Times New Roman"/>
                <w:lang w:eastAsia="en-US"/>
              </w:rPr>
              <w:t>4</w:t>
            </w:r>
          </w:p>
        </w:tc>
        <w:tc>
          <w:tcPr>
            <w:tcW w:w="2406"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jc w:val="center"/>
              <w:rPr>
                <w:rFonts w:eastAsia="Times New Roman" w:cs="Times New Roman"/>
                <w:lang w:eastAsia="en-US"/>
              </w:rPr>
            </w:pPr>
            <w:r>
              <w:rPr>
                <w:rFonts w:eastAsia="Times New Roman" w:cs="Times New Roman"/>
                <w:lang w:eastAsia="en-US"/>
              </w:rPr>
              <w:t>16</w:t>
            </w:r>
          </w:p>
        </w:tc>
        <w:tc>
          <w:tcPr>
            <w:tcW w:w="1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76" w:rsidRDefault="00705876" w:rsidP="00731BD4">
            <w:pPr>
              <w:suppressAutoHyphens w:val="0"/>
              <w:spacing w:after="0" w:line="240" w:lineRule="auto"/>
              <w:jc w:val="center"/>
            </w:pPr>
            <w:r>
              <w:rPr>
                <w:rFonts w:eastAsia="Times New Roman" w:cs="Times New Roman"/>
                <w:lang w:eastAsia="en-US"/>
              </w:rPr>
              <w:t>7</w:t>
            </w:r>
          </w:p>
        </w:tc>
      </w:tr>
      <w:tr w:rsidR="00705876" w:rsidTr="00731BD4">
        <w:trPr>
          <w:trHeight w:val="630"/>
        </w:trPr>
        <w:tc>
          <w:tcPr>
            <w:tcW w:w="1980"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rPr>
                <w:rFonts w:eastAsia="Times New Roman" w:cs="Times New Roman"/>
                <w:lang w:eastAsia="en-US"/>
              </w:rPr>
            </w:pPr>
            <w:r>
              <w:rPr>
                <w:rFonts w:eastAsia="Times New Roman" w:cs="Times New Roman"/>
                <w:b/>
                <w:lang w:eastAsia="en-US"/>
              </w:rPr>
              <w:t>Total number of branches</w:t>
            </w:r>
          </w:p>
        </w:tc>
        <w:tc>
          <w:tcPr>
            <w:tcW w:w="1840"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jc w:val="center"/>
              <w:rPr>
                <w:rFonts w:eastAsia="Times New Roman" w:cs="Times New Roman"/>
                <w:lang w:eastAsia="en-US"/>
              </w:rPr>
            </w:pPr>
            <w:r>
              <w:rPr>
                <w:rFonts w:eastAsia="Times New Roman" w:cs="Times New Roman"/>
                <w:lang w:eastAsia="en-US"/>
              </w:rPr>
              <w:t>423</w:t>
            </w:r>
          </w:p>
        </w:tc>
        <w:tc>
          <w:tcPr>
            <w:tcW w:w="1540"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jc w:val="center"/>
              <w:rPr>
                <w:rFonts w:eastAsia="Times New Roman" w:cs="Times New Roman"/>
                <w:lang w:eastAsia="en-US"/>
              </w:rPr>
            </w:pPr>
            <w:r>
              <w:rPr>
                <w:rFonts w:eastAsia="Times New Roman" w:cs="Times New Roman"/>
                <w:lang w:eastAsia="en-US"/>
              </w:rPr>
              <w:t>42</w:t>
            </w:r>
          </w:p>
        </w:tc>
        <w:tc>
          <w:tcPr>
            <w:tcW w:w="2406"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jc w:val="center"/>
              <w:rPr>
                <w:rFonts w:eastAsia="Times New Roman" w:cs="Times New Roman"/>
                <w:lang w:eastAsia="en-US"/>
              </w:rPr>
            </w:pPr>
            <w:r>
              <w:rPr>
                <w:rFonts w:eastAsia="Times New Roman" w:cs="Times New Roman"/>
                <w:lang w:eastAsia="en-US"/>
              </w:rPr>
              <w:t>154</w:t>
            </w:r>
          </w:p>
        </w:tc>
        <w:tc>
          <w:tcPr>
            <w:tcW w:w="1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76" w:rsidRDefault="00705876" w:rsidP="00731BD4">
            <w:pPr>
              <w:suppressAutoHyphens w:val="0"/>
              <w:spacing w:after="0" w:line="240" w:lineRule="auto"/>
              <w:jc w:val="center"/>
            </w:pPr>
            <w:r>
              <w:rPr>
                <w:rFonts w:eastAsia="Times New Roman" w:cs="Times New Roman"/>
                <w:lang w:eastAsia="en-US"/>
              </w:rPr>
              <w:t>361</w:t>
            </w:r>
          </w:p>
        </w:tc>
      </w:tr>
      <w:tr w:rsidR="00705876" w:rsidTr="00731BD4">
        <w:trPr>
          <w:trHeight w:val="630"/>
        </w:trPr>
        <w:tc>
          <w:tcPr>
            <w:tcW w:w="1980"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rPr>
                <w:rFonts w:eastAsia="Times New Roman" w:cs="Times New Roman"/>
                <w:lang w:eastAsia="en-US"/>
              </w:rPr>
            </w:pPr>
            <w:r>
              <w:rPr>
                <w:rFonts w:eastAsia="Times New Roman" w:cs="Times New Roman"/>
                <w:b/>
                <w:lang w:eastAsia="en-US"/>
              </w:rPr>
              <w:t>Gross Loan Portfolio (USD in millions), 2013</w:t>
            </w:r>
          </w:p>
        </w:tc>
        <w:tc>
          <w:tcPr>
            <w:tcW w:w="1840"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jc w:val="center"/>
              <w:rPr>
                <w:rFonts w:eastAsia="Times New Roman" w:cs="Times New Roman"/>
                <w:lang w:eastAsia="en-US"/>
              </w:rPr>
            </w:pPr>
            <w:r>
              <w:rPr>
                <w:rFonts w:eastAsia="Times New Roman" w:cs="Times New Roman"/>
                <w:lang w:eastAsia="en-US"/>
              </w:rPr>
              <w:t>269.28</w:t>
            </w:r>
          </w:p>
        </w:tc>
        <w:tc>
          <w:tcPr>
            <w:tcW w:w="1540"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jc w:val="center"/>
              <w:rPr>
                <w:rFonts w:eastAsia="Times New Roman" w:cs="Times New Roman"/>
                <w:lang w:eastAsia="en-US"/>
              </w:rPr>
            </w:pPr>
            <w:r>
              <w:rPr>
                <w:rFonts w:eastAsia="Times New Roman" w:cs="Times New Roman"/>
                <w:lang w:eastAsia="en-US"/>
              </w:rPr>
              <w:t>33.9</w:t>
            </w:r>
          </w:p>
        </w:tc>
        <w:tc>
          <w:tcPr>
            <w:tcW w:w="2406"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jc w:val="center"/>
              <w:rPr>
                <w:rFonts w:eastAsia="Times New Roman" w:cs="Times New Roman"/>
                <w:lang w:eastAsia="en-US"/>
              </w:rPr>
            </w:pPr>
            <w:r>
              <w:rPr>
                <w:rFonts w:eastAsia="Times New Roman" w:cs="Times New Roman"/>
                <w:lang w:eastAsia="en-US"/>
              </w:rPr>
              <w:t>341.81</w:t>
            </w:r>
          </w:p>
        </w:tc>
        <w:tc>
          <w:tcPr>
            <w:tcW w:w="1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76" w:rsidRDefault="00705876" w:rsidP="00731BD4">
            <w:pPr>
              <w:suppressAutoHyphens w:val="0"/>
              <w:spacing w:after="0" w:line="240" w:lineRule="auto"/>
              <w:jc w:val="center"/>
            </w:pPr>
            <w:r>
              <w:rPr>
                <w:rFonts w:eastAsia="Times New Roman" w:cs="Times New Roman"/>
                <w:lang w:eastAsia="en-US"/>
              </w:rPr>
              <w:t>250.25</w:t>
            </w:r>
          </w:p>
        </w:tc>
      </w:tr>
      <w:tr w:rsidR="00705876" w:rsidTr="00731BD4">
        <w:trPr>
          <w:trHeight w:val="630"/>
        </w:trPr>
        <w:tc>
          <w:tcPr>
            <w:tcW w:w="1980"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rPr>
                <w:rFonts w:eastAsia="Times New Roman" w:cs="Times New Roman"/>
                <w:lang w:eastAsia="en-US"/>
              </w:rPr>
            </w:pPr>
            <w:r>
              <w:rPr>
                <w:rFonts w:eastAsia="Times New Roman" w:cs="Times New Roman"/>
                <w:b/>
                <w:lang w:eastAsia="en-US"/>
              </w:rPr>
              <w:t>No of active borrowers, 2013</w:t>
            </w:r>
          </w:p>
        </w:tc>
        <w:tc>
          <w:tcPr>
            <w:tcW w:w="1840"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jc w:val="center"/>
              <w:rPr>
                <w:rFonts w:eastAsia="Times New Roman" w:cs="Times New Roman"/>
                <w:lang w:eastAsia="en-US"/>
              </w:rPr>
            </w:pPr>
            <w:r>
              <w:rPr>
                <w:rFonts w:eastAsia="Times New Roman" w:cs="Times New Roman"/>
                <w:lang w:eastAsia="en-US"/>
              </w:rPr>
              <w:t>1,297,131</w:t>
            </w:r>
          </w:p>
        </w:tc>
        <w:tc>
          <w:tcPr>
            <w:tcW w:w="1540"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jc w:val="center"/>
              <w:rPr>
                <w:rFonts w:eastAsia="Times New Roman" w:cs="Times New Roman"/>
                <w:lang w:eastAsia="en-US"/>
              </w:rPr>
            </w:pPr>
            <w:r>
              <w:rPr>
                <w:rFonts w:eastAsia="Times New Roman" w:cs="Times New Roman"/>
                <w:lang w:eastAsia="en-US"/>
              </w:rPr>
              <w:t>156,529</w:t>
            </w:r>
          </w:p>
        </w:tc>
        <w:tc>
          <w:tcPr>
            <w:tcW w:w="2406" w:type="dxa"/>
            <w:tcBorders>
              <w:top w:val="single" w:sz="4" w:space="0" w:color="000000"/>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jc w:val="center"/>
              <w:rPr>
                <w:rFonts w:eastAsia="Times New Roman" w:cs="Times New Roman"/>
                <w:lang w:eastAsia="en-US"/>
              </w:rPr>
            </w:pPr>
            <w:r>
              <w:rPr>
                <w:rFonts w:eastAsia="Times New Roman" w:cs="Times New Roman"/>
                <w:lang w:eastAsia="en-US"/>
              </w:rPr>
              <w:t>1,412,738</w:t>
            </w:r>
          </w:p>
        </w:tc>
        <w:tc>
          <w:tcPr>
            <w:tcW w:w="1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876" w:rsidRDefault="00705876" w:rsidP="00731BD4">
            <w:pPr>
              <w:suppressAutoHyphens w:val="0"/>
              <w:spacing w:after="0" w:line="240" w:lineRule="auto"/>
              <w:jc w:val="center"/>
            </w:pPr>
            <w:r>
              <w:rPr>
                <w:rFonts w:eastAsia="Times New Roman" w:cs="Times New Roman"/>
                <w:lang w:eastAsia="en-US"/>
              </w:rPr>
              <w:t>1,821,087</w:t>
            </w:r>
          </w:p>
        </w:tc>
      </w:tr>
    </w:tbl>
    <w:p w:rsidR="00705876" w:rsidRDefault="00705876" w:rsidP="00705876">
      <w:pPr>
        <w:pStyle w:val="BodyText"/>
      </w:pPr>
    </w:p>
    <w:p w:rsidR="00705876" w:rsidRDefault="00705876" w:rsidP="00705876">
      <w:pPr>
        <w:pStyle w:val="BodyText"/>
        <w:jc w:val="center"/>
      </w:pPr>
      <w:r>
        <w:rPr>
          <w:b/>
        </w:rPr>
        <w:t>Table 2: Operational and financial performance of four NBFCs</w:t>
      </w:r>
    </w:p>
    <w:p w:rsidR="00705876" w:rsidRDefault="00705876" w:rsidP="00705876">
      <w:pPr>
        <w:suppressAutoHyphens w:val="0"/>
        <w:spacing w:after="0" w:line="240" w:lineRule="auto"/>
        <w:rPr>
          <w:rFonts w:eastAsia="Times New Roman" w:cs="Times New Roman"/>
          <w:b/>
          <w:bCs/>
          <w:lang w:eastAsia="en-US"/>
        </w:rPr>
      </w:pPr>
      <w:r>
        <w:rPr>
          <w:rFonts w:eastAsia="Times New Roman" w:cs="Times New Roman"/>
          <w:b/>
          <w:bCs/>
          <w:lang w:eastAsia="en-US"/>
        </w:rPr>
        <w:br w:type="page"/>
      </w:r>
    </w:p>
    <w:p w:rsidR="00CA1EFF" w:rsidRDefault="00CA1EFF">
      <w:pPr>
        <w:pStyle w:val="BodyText"/>
      </w:pPr>
      <w:r>
        <w:rPr>
          <w:rFonts w:ascii="Times New Roman" w:hAnsi="Times New Roman" w:cs="Times New Roman"/>
          <w:color w:val="000000"/>
          <w:sz w:val="24"/>
          <w:szCs w:val="24"/>
        </w:rPr>
        <w:lastRenderedPageBreak/>
        <w:t xml:space="preserve">The table above shows that all the four NBFC have started their operations within ten years. This shows that they are young organizations and have been established in the recent past. However, within a short span of time, they have been able to generate lot of interest in the microfinance market which is evident from their loan portfolios and the number of active borrowers. It can also been seen that though </w:t>
      </w:r>
      <w:proofErr w:type="spellStart"/>
      <w:r>
        <w:rPr>
          <w:rFonts w:ascii="Times New Roman" w:hAnsi="Times New Roman" w:cs="Times New Roman"/>
          <w:color w:val="000000"/>
          <w:sz w:val="24"/>
          <w:szCs w:val="24"/>
        </w:rPr>
        <w:t>Equitas</w:t>
      </w:r>
      <w:proofErr w:type="spellEnd"/>
      <w:r>
        <w:rPr>
          <w:rFonts w:ascii="Times New Roman" w:hAnsi="Times New Roman" w:cs="Times New Roman"/>
          <w:color w:val="000000"/>
          <w:sz w:val="24"/>
          <w:szCs w:val="24"/>
        </w:rPr>
        <w:t xml:space="preserve"> Holdings was established most recently and works only in seven states, it has the largest number of active borrowers. This is despite the fact that its portfolio of offered products is limited to only three. This indicates that outreach of a NBFC is not related to the number of states it serves in or the number of products offered by it. It is the reach to the needy and quality of products that matters the most.</w:t>
      </w:r>
    </w:p>
    <w:p w:rsidR="00CA1EFF" w:rsidRDefault="00CA1EFF" w:rsidP="0002796E">
      <w:pPr>
        <w:pStyle w:val="Heading1"/>
        <w:rPr>
          <w:rFonts w:ascii="Times New Roman" w:hAnsi="Times New Roman" w:cs="Times New Roman"/>
          <w:color w:val="000000"/>
          <w:sz w:val="24"/>
          <w:szCs w:val="24"/>
        </w:rPr>
      </w:pPr>
      <w:r>
        <w:rPr>
          <w:rFonts w:ascii="Times New Roman" w:hAnsi="Times New Roman" w:cs="Times New Roman"/>
          <w:sz w:val="24"/>
          <w:szCs w:val="24"/>
        </w:rPr>
        <w:t xml:space="preserve">COMPARATIVE ANALYSIS AND DISCUSSION </w:t>
      </w:r>
    </w:p>
    <w:p w:rsidR="00CA1EFF" w:rsidRDefault="00CA1EF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debates and different viewpoints regarding the impact of microfinance on poverty have been covered in sections 2 and 3. It will be appropriate to briefly dilate upon some of the measures to judge the impact of microfinance on poverty. Ghalib (2013) suggests that it is </w:t>
      </w:r>
      <w:r>
        <w:rPr>
          <w:rFonts w:ascii="Times New Roman" w:hAnsi="Times New Roman" w:cs="Times New Roman"/>
          <w:i/>
          <w:color w:val="000000"/>
          <w:sz w:val="24"/>
          <w:szCs w:val="24"/>
        </w:rPr>
        <w:t>depth</w:t>
      </w:r>
      <w:r>
        <w:rPr>
          <w:rFonts w:ascii="Times New Roman" w:hAnsi="Times New Roman" w:cs="Times New Roman"/>
          <w:color w:val="000000"/>
          <w:sz w:val="24"/>
          <w:szCs w:val="24"/>
        </w:rPr>
        <w:t xml:space="preserve"> of the outreach (poverty levels of the beneficiaries as opposed to numbers) that is more important to measure the impact of microfinance on the poorest, while Otero (1999) recognizes financial sustainability as important in considering the ‘institutional’ importance of MFIs. </w:t>
      </w:r>
      <w:r w:rsidR="00584CB3">
        <w:rPr>
          <w:rFonts w:ascii="Times New Roman" w:hAnsi="Times New Roman" w:cs="Times New Roman"/>
          <w:color w:val="000000"/>
          <w:sz w:val="24"/>
          <w:szCs w:val="24"/>
        </w:rPr>
        <w:t xml:space="preserve">Zeller and </w:t>
      </w:r>
      <w:r>
        <w:rPr>
          <w:rFonts w:ascii="Times New Roman" w:hAnsi="Times New Roman" w:cs="Times New Roman"/>
          <w:color w:val="000000"/>
          <w:sz w:val="24"/>
          <w:szCs w:val="24"/>
        </w:rPr>
        <w:t xml:space="preserve">Meyer (2002) developed a conceptual framework called </w:t>
      </w:r>
      <w:r>
        <w:rPr>
          <w:rFonts w:ascii="Times New Roman" w:hAnsi="Times New Roman" w:cs="Times New Roman"/>
          <w:i/>
          <w:color w:val="000000"/>
          <w:sz w:val="24"/>
          <w:szCs w:val="24"/>
        </w:rPr>
        <w:t>the triangle of Microfinance</w:t>
      </w:r>
      <w:r>
        <w:rPr>
          <w:rFonts w:ascii="Times New Roman" w:hAnsi="Times New Roman" w:cs="Times New Roman"/>
          <w:color w:val="000000"/>
          <w:sz w:val="24"/>
          <w:szCs w:val="24"/>
        </w:rPr>
        <w:t xml:space="preserve"> to study the performance of MFIs.  This triangle contains a small circle that </w:t>
      </w:r>
      <w:r>
        <w:rPr>
          <w:rFonts w:ascii="Times New Roman" w:hAnsi="Times New Roman" w:cs="Times New Roman"/>
          <w:color w:val="000000"/>
          <w:sz w:val="24"/>
          <w:szCs w:val="24"/>
          <w:lang w:val="en-GB"/>
        </w:rPr>
        <w:t>characterises</w:t>
      </w:r>
      <w:r>
        <w:rPr>
          <w:rFonts w:ascii="Times New Roman" w:hAnsi="Times New Roman" w:cs="Times New Roman"/>
          <w:color w:val="000000"/>
          <w:sz w:val="24"/>
          <w:szCs w:val="24"/>
        </w:rPr>
        <w:t xml:space="preserve"> all infrastructure innovations that can be implemented to improve </w:t>
      </w:r>
      <w:r>
        <w:rPr>
          <w:rFonts w:ascii="Times New Roman" w:hAnsi="Times New Roman" w:cs="Times New Roman"/>
          <w:i/>
          <w:color w:val="000000"/>
          <w:sz w:val="24"/>
          <w:szCs w:val="24"/>
        </w:rPr>
        <w:t>financial sustainability</w:t>
      </w:r>
      <w:r>
        <w:rPr>
          <w:rFonts w:ascii="Times New Roman" w:hAnsi="Times New Roman" w:cs="Times New Roman"/>
          <w:color w:val="000000"/>
          <w:sz w:val="24"/>
          <w:szCs w:val="24"/>
        </w:rPr>
        <w:t xml:space="preserve"> (examples include improved financial management systems and policies, the introduction of ICT and management information systems for accurate reporting to aid in decision making, etc.), the </w:t>
      </w:r>
      <w:r>
        <w:rPr>
          <w:rFonts w:ascii="Times New Roman" w:hAnsi="Times New Roman" w:cs="Times New Roman"/>
          <w:i/>
          <w:color w:val="000000"/>
          <w:sz w:val="24"/>
          <w:szCs w:val="24"/>
        </w:rPr>
        <w:t>impact</w:t>
      </w:r>
      <w:r>
        <w:rPr>
          <w:rFonts w:ascii="Times New Roman" w:hAnsi="Times New Roman" w:cs="Times New Roman"/>
          <w:color w:val="000000"/>
          <w:sz w:val="24"/>
          <w:szCs w:val="24"/>
        </w:rPr>
        <w:t xml:space="preserve"> (such as designing and implementing cost-effective complimentary services for the borrowers), and </w:t>
      </w:r>
      <w:r>
        <w:rPr>
          <w:rFonts w:ascii="Times New Roman" w:hAnsi="Times New Roman" w:cs="Times New Roman"/>
          <w:i/>
          <w:color w:val="000000"/>
          <w:sz w:val="24"/>
          <w:szCs w:val="24"/>
        </w:rPr>
        <w:t>outreach</w:t>
      </w:r>
      <w:r>
        <w:rPr>
          <w:rFonts w:ascii="Times New Roman" w:hAnsi="Times New Roman" w:cs="Times New Roman"/>
          <w:color w:val="000000"/>
          <w:sz w:val="24"/>
          <w:szCs w:val="24"/>
        </w:rPr>
        <w:t xml:space="preserve"> (such as designing and implementing strategies and policies that attract and target the right type of clients, carrying out a detailed needs analysis based on empirical research to identify deserving individuals and households).</w:t>
      </w:r>
    </w:p>
    <w:p w:rsidR="00CA1EFF" w:rsidRDefault="00CA1EFF">
      <w:pPr>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Based on this framework, the following sections </w:t>
      </w:r>
      <w:r>
        <w:rPr>
          <w:rFonts w:ascii="Times New Roman" w:hAnsi="Times New Roman" w:cs="Times New Roman"/>
          <w:color w:val="000000"/>
          <w:sz w:val="24"/>
          <w:szCs w:val="24"/>
          <w:lang w:val="en-GB"/>
        </w:rPr>
        <w:t>analyse</w:t>
      </w:r>
      <w:r>
        <w:rPr>
          <w:rFonts w:ascii="Times New Roman" w:hAnsi="Times New Roman" w:cs="Times New Roman"/>
          <w:color w:val="000000"/>
          <w:sz w:val="24"/>
          <w:szCs w:val="24"/>
        </w:rPr>
        <w:t xml:space="preserve"> these four organizations by employing six years (2008-13) data obtained from the Microfinance Information Exchange.</w:t>
      </w:r>
    </w:p>
    <w:p w:rsidR="00CA1EFF" w:rsidRDefault="00CA1EFF">
      <w:pPr>
        <w:pStyle w:val="Heading2"/>
        <w:numPr>
          <w:ilvl w:val="0"/>
          <w:numId w:val="0"/>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OUTREACH</w:t>
      </w:r>
    </w:p>
    <w:p w:rsidR="00CA1EFF" w:rsidRDefault="00CA1EFF">
      <w:r>
        <w:rPr>
          <w:rFonts w:ascii="Times New Roman" w:eastAsia="Times New Roman" w:hAnsi="Times New Roman" w:cs="Times New Roman"/>
          <w:color w:val="000000"/>
          <w:sz w:val="24"/>
          <w:szCs w:val="24"/>
        </w:rPr>
        <w:t xml:space="preserve">Data on outreach includes the following information for the four NBFCs: number of active borrowers, number of outstanding loans, gross loan portfolio in USD, and average loan balance per borrower. </w:t>
      </w:r>
    </w:p>
    <w:p w:rsidR="00705876" w:rsidRDefault="00705876" w:rsidP="00705876">
      <w:pPr>
        <w:rPr>
          <w:b/>
        </w:rPr>
      </w:pPr>
      <w:r>
        <w:rPr>
          <w:rFonts w:ascii="Times New Roman" w:eastAsia="Times New Roman" w:hAnsi="Times New Roman" w:cs="Times New Roman"/>
          <w:noProof/>
          <w:color w:val="000000"/>
          <w:sz w:val="24"/>
          <w:szCs w:val="24"/>
          <w:lang w:val="en-GB" w:eastAsia="en-GB"/>
        </w:rPr>
        <w:lastRenderedPageBreak/>
        <w:drawing>
          <wp:inline distT="0" distB="0" distL="0" distR="0" wp14:anchorId="733FF4BC" wp14:editId="779CCF39">
            <wp:extent cx="5939790" cy="430149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4301490"/>
                    </a:xfrm>
                    <a:prstGeom prst="rect">
                      <a:avLst/>
                    </a:prstGeom>
                    <a:solidFill>
                      <a:srgbClr val="FFFFFF">
                        <a:alpha val="0"/>
                      </a:srgbClr>
                    </a:solidFill>
                    <a:ln>
                      <a:noFill/>
                    </a:ln>
                  </pic:spPr>
                </pic:pic>
              </a:graphicData>
            </a:graphic>
          </wp:inline>
        </w:drawing>
      </w:r>
    </w:p>
    <w:p w:rsidR="00705876" w:rsidRDefault="00705876" w:rsidP="00705876">
      <w:pPr>
        <w:pStyle w:val="BodyText"/>
        <w:jc w:val="center"/>
        <w:rPr>
          <w:b/>
        </w:rPr>
      </w:pPr>
    </w:p>
    <w:p w:rsidR="00705876" w:rsidRDefault="00705876" w:rsidP="00705876">
      <w:pPr>
        <w:pStyle w:val="BodyText"/>
        <w:jc w:val="center"/>
        <w:rPr>
          <w:b/>
        </w:rPr>
      </w:pPr>
    </w:p>
    <w:p w:rsidR="00705876" w:rsidRDefault="00705876" w:rsidP="00705876">
      <w:pPr>
        <w:pStyle w:val="BodyText"/>
        <w:jc w:val="center"/>
        <w:rPr>
          <w:rFonts w:ascii="Times New Roman" w:eastAsia="Times New Roman" w:hAnsi="Times New Roman" w:cs="Times New Roman"/>
          <w:color w:val="000000"/>
          <w:sz w:val="24"/>
          <w:szCs w:val="24"/>
        </w:rPr>
      </w:pPr>
      <w:r>
        <w:rPr>
          <w:b/>
        </w:rPr>
        <w:t>Figure 2: Outreach of the four NBFCs</w:t>
      </w:r>
    </w:p>
    <w:p w:rsidR="00CA1EFF" w:rsidRDefault="00CA1EFF">
      <w:r>
        <w:rPr>
          <w:rFonts w:ascii="Times New Roman" w:eastAsia="Times New Roman" w:hAnsi="Times New Roman" w:cs="Times New Roman"/>
          <w:color w:val="000000"/>
          <w:sz w:val="24"/>
          <w:szCs w:val="24"/>
        </w:rPr>
        <w:t xml:space="preserve">Figure 2 shows that all the four organizations have seen a consistent growth in their Gross Loan Portfolio (GLP) till FY2010-11, the year the microfinance crisis </w:t>
      </w:r>
      <w:proofErr w:type="spellStart"/>
      <w:r>
        <w:rPr>
          <w:rFonts w:ascii="Times New Roman" w:eastAsia="Times New Roman" w:hAnsi="Times New Roman" w:cs="Times New Roman"/>
          <w:color w:val="000000"/>
          <w:sz w:val="24"/>
          <w:szCs w:val="24"/>
        </w:rPr>
        <w:t>ocurred</w:t>
      </w:r>
      <w:proofErr w:type="spellEnd"/>
      <w:r>
        <w:rPr>
          <w:rFonts w:ascii="Times New Roman" w:eastAsia="Times New Roman" w:hAnsi="Times New Roman" w:cs="Times New Roman"/>
          <w:color w:val="000000"/>
          <w:sz w:val="24"/>
          <w:szCs w:val="24"/>
        </w:rPr>
        <w:t xml:space="preserve">. While </w:t>
      </w:r>
      <w:proofErr w:type="spellStart"/>
      <w:r>
        <w:rPr>
          <w:rFonts w:ascii="Times New Roman" w:eastAsia="Times New Roman" w:hAnsi="Times New Roman" w:cs="Times New Roman"/>
          <w:color w:val="000000"/>
          <w:sz w:val="24"/>
          <w:szCs w:val="24"/>
        </w:rPr>
        <w:t>Equitas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Ujjivan</w:t>
      </w:r>
      <w:proofErr w:type="spellEnd"/>
      <w:r>
        <w:rPr>
          <w:rFonts w:ascii="Times New Roman" w:eastAsia="Times New Roman" w:hAnsi="Times New Roman" w:cs="Times New Roman"/>
          <w:color w:val="000000"/>
          <w:sz w:val="24"/>
          <w:szCs w:val="24"/>
        </w:rPr>
        <w:t xml:space="preserve"> experienced a drop in the GLP in FY2010-11, </w:t>
      </w:r>
      <w:proofErr w:type="spellStart"/>
      <w:r>
        <w:rPr>
          <w:rFonts w:ascii="Times New Roman" w:eastAsia="Times New Roman" w:hAnsi="Times New Roman" w:cs="Times New Roman"/>
          <w:color w:val="000000"/>
          <w:sz w:val="24"/>
          <w:szCs w:val="24"/>
        </w:rPr>
        <w:t>Janalakshmi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Swadhaar</w:t>
      </w:r>
      <w:proofErr w:type="spellEnd"/>
      <w:r>
        <w:rPr>
          <w:rFonts w:ascii="Times New Roman" w:eastAsia="Times New Roman" w:hAnsi="Times New Roman" w:cs="Times New Roman"/>
          <w:color w:val="000000"/>
          <w:sz w:val="24"/>
          <w:szCs w:val="24"/>
        </w:rPr>
        <w:t xml:space="preserve"> continued to witness growth in FY2011. GLP for all the four institution grew in subsequent years. It can be inferred from this that the organizations with smaller portfolio and scale of operations were cushioned from the immediate impact of the crisis, while the bigger ones got hit. </w:t>
      </w:r>
    </w:p>
    <w:p w:rsidR="00CA1EFF" w:rsidRDefault="00CA1EF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Number of Active Borrowers (NAB) shows a similar trend between </w:t>
      </w:r>
      <w:proofErr w:type="spellStart"/>
      <w:r>
        <w:rPr>
          <w:rFonts w:ascii="Times New Roman" w:eastAsia="Times New Roman" w:hAnsi="Times New Roman" w:cs="Times New Roman"/>
          <w:color w:val="000000"/>
          <w:sz w:val="24"/>
          <w:szCs w:val="24"/>
        </w:rPr>
        <w:t>Ujjivan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Equitas</w:t>
      </w:r>
      <w:proofErr w:type="spellEnd"/>
      <w:r>
        <w:rPr>
          <w:rFonts w:ascii="Times New Roman" w:eastAsia="Times New Roman" w:hAnsi="Times New Roman" w:cs="Times New Roman"/>
          <w:color w:val="000000"/>
          <w:sz w:val="24"/>
          <w:szCs w:val="24"/>
        </w:rPr>
        <w:t xml:space="preserve">; both of them saw a consistent rise in NAB until FY2010-11, when it declined. It rose again in the subsequent year. The fluctuation in </w:t>
      </w:r>
      <w:proofErr w:type="spellStart"/>
      <w:r>
        <w:rPr>
          <w:rFonts w:ascii="Times New Roman" w:eastAsia="Times New Roman" w:hAnsi="Times New Roman" w:cs="Times New Roman"/>
          <w:color w:val="000000"/>
          <w:sz w:val="24"/>
          <w:szCs w:val="24"/>
        </w:rPr>
        <w:t>Janalakshmi’s</w:t>
      </w:r>
      <w:proofErr w:type="spellEnd"/>
      <w:r>
        <w:rPr>
          <w:rFonts w:ascii="Times New Roman" w:eastAsia="Times New Roman" w:hAnsi="Times New Roman" w:cs="Times New Roman"/>
          <w:color w:val="000000"/>
          <w:sz w:val="24"/>
          <w:szCs w:val="24"/>
        </w:rPr>
        <w:t xml:space="preserve"> NAB has been intriguing as it decreased in the FY2009-10 before the crisis. However, it increased by 231% the next year. </w:t>
      </w:r>
      <w:proofErr w:type="spellStart"/>
      <w:r>
        <w:rPr>
          <w:rFonts w:ascii="Times New Roman" w:eastAsia="Times New Roman" w:hAnsi="Times New Roman" w:cs="Times New Roman"/>
          <w:color w:val="000000"/>
          <w:sz w:val="24"/>
          <w:szCs w:val="24"/>
        </w:rPr>
        <w:t>Swadhaar</w:t>
      </w:r>
      <w:proofErr w:type="spellEnd"/>
      <w:r>
        <w:rPr>
          <w:rFonts w:ascii="Times New Roman" w:eastAsia="Times New Roman" w:hAnsi="Times New Roman" w:cs="Times New Roman"/>
          <w:color w:val="000000"/>
          <w:sz w:val="24"/>
          <w:szCs w:val="24"/>
        </w:rPr>
        <w:t xml:space="preserve"> is the only agency amongst all four that has seen a consistent but slow and gradual increase in NAB till 2013.</w:t>
      </w:r>
    </w:p>
    <w:p w:rsidR="00CA1EFF" w:rsidRDefault="00CA1EFF">
      <w:pPr>
        <w:suppressAutoHyphens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In terms of Number of Outstanding Loans (NOL), the trend between </w:t>
      </w:r>
      <w:proofErr w:type="spellStart"/>
      <w:r>
        <w:rPr>
          <w:rFonts w:ascii="Times New Roman" w:eastAsia="Times New Roman" w:hAnsi="Times New Roman" w:cs="Times New Roman"/>
          <w:color w:val="000000"/>
          <w:sz w:val="24"/>
          <w:szCs w:val="24"/>
        </w:rPr>
        <w:t>Equitas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Ujjivan</w:t>
      </w:r>
      <w:proofErr w:type="spellEnd"/>
      <w:r>
        <w:rPr>
          <w:rFonts w:ascii="Times New Roman" w:eastAsia="Times New Roman" w:hAnsi="Times New Roman" w:cs="Times New Roman"/>
          <w:color w:val="000000"/>
          <w:sz w:val="24"/>
          <w:szCs w:val="24"/>
        </w:rPr>
        <w:t xml:space="preserve"> is repeated; the only time there is a dip in NOL is during the crisis period. In the remaining years, they has been a consistent increase. </w:t>
      </w:r>
      <w:proofErr w:type="spellStart"/>
      <w:r>
        <w:rPr>
          <w:rFonts w:ascii="Times New Roman" w:eastAsia="Times New Roman" w:hAnsi="Times New Roman" w:cs="Times New Roman"/>
          <w:color w:val="000000"/>
          <w:sz w:val="24"/>
          <w:szCs w:val="24"/>
        </w:rPr>
        <w:t>Janalakshmi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Swadhaar</w:t>
      </w:r>
      <w:proofErr w:type="spellEnd"/>
      <w:r>
        <w:rPr>
          <w:rFonts w:ascii="Times New Roman" w:eastAsia="Times New Roman" w:hAnsi="Times New Roman" w:cs="Times New Roman"/>
          <w:color w:val="000000"/>
          <w:sz w:val="24"/>
          <w:szCs w:val="24"/>
        </w:rPr>
        <w:t xml:space="preserve"> yet again see a consistent growth in NOL over the five years. </w:t>
      </w:r>
    </w:p>
    <w:p w:rsidR="00CA1EFF" w:rsidRDefault="00CA1EFF">
      <w:pPr>
        <w:suppressAutoHyphens w:val="0"/>
        <w:spacing w:after="0"/>
      </w:pPr>
    </w:p>
    <w:p w:rsidR="00CA1EFF" w:rsidRDefault="00CA1EFF">
      <w:pPr>
        <w:suppressAutoHyphens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order to measure depth of the outreach, average loan balance per borrower has also been measured. The year-on-year movement of average loan balance per borrower comes up with some interesting results. </w:t>
      </w:r>
      <w:proofErr w:type="spellStart"/>
      <w:r>
        <w:rPr>
          <w:rFonts w:ascii="Times New Roman" w:eastAsia="Times New Roman" w:hAnsi="Times New Roman" w:cs="Times New Roman"/>
          <w:color w:val="000000"/>
          <w:sz w:val="24"/>
          <w:szCs w:val="24"/>
        </w:rPr>
        <w:t>Ujjivan</w:t>
      </w:r>
      <w:proofErr w:type="spellEnd"/>
      <w:r>
        <w:rPr>
          <w:rFonts w:ascii="Times New Roman" w:eastAsia="Times New Roman" w:hAnsi="Times New Roman" w:cs="Times New Roman"/>
          <w:color w:val="000000"/>
          <w:sz w:val="24"/>
          <w:szCs w:val="24"/>
        </w:rPr>
        <w:t xml:space="preserve"> is the only organization among the four that has a growing average loan balance per borrower over the six-year period, while the others show a mixed trend during this period. </w:t>
      </w:r>
    </w:p>
    <w:p w:rsidR="00CA1EFF" w:rsidRDefault="00CA1EFF">
      <w:pPr>
        <w:pStyle w:val="Heading2"/>
        <w:numPr>
          <w:ilvl w:val="0"/>
          <w:numId w:val="0"/>
        </w:numPr>
      </w:pPr>
      <w:r>
        <w:rPr>
          <w:rFonts w:ascii="Times New Roman" w:eastAsia="Times New Roman" w:hAnsi="Times New Roman" w:cs="Times New Roman"/>
          <w:sz w:val="24"/>
          <w:szCs w:val="24"/>
        </w:rPr>
        <w:t>SUSTAINABILIT</w:t>
      </w:r>
      <w:r>
        <w:rPr>
          <w:rFonts w:ascii="Times New Roman" w:hAnsi="Times New Roman" w:cs="Times New Roman"/>
          <w:b w:val="0"/>
          <w:bCs w:val="0"/>
          <w:sz w:val="24"/>
          <w:szCs w:val="24"/>
        </w:rPr>
        <w:t>Y</w:t>
      </w:r>
    </w:p>
    <w:p w:rsidR="00CA1EFF" w:rsidRDefault="00CA1EFF">
      <w:pPr>
        <w:pStyle w:val="Heading2"/>
        <w:numPr>
          <w:ilvl w:val="0"/>
          <w:numId w:val="0"/>
        </w:numPr>
        <w:rPr>
          <w:rFonts w:ascii="Times New Roman" w:hAnsi="Times New Roman" w:cs="Times New Roman"/>
          <w:b w:val="0"/>
          <w:sz w:val="24"/>
          <w:szCs w:val="24"/>
        </w:rPr>
      </w:pPr>
      <w:r w:rsidRPr="005520E5">
        <w:rPr>
          <w:rFonts w:ascii="Times New Roman" w:eastAsia="Times New Roman" w:hAnsi="Times New Roman" w:cs="Times New Roman"/>
          <w:b w:val="0"/>
          <w:bCs w:val="0"/>
          <w:color w:val="000000"/>
          <w:sz w:val="24"/>
          <w:szCs w:val="24"/>
        </w:rPr>
        <w:t xml:space="preserve">The second element of the triangle is sustainability, which encompasses </w:t>
      </w:r>
      <w:r>
        <w:rPr>
          <w:rFonts w:ascii="Times New Roman" w:eastAsia="Times New Roman" w:hAnsi="Times New Roman" w:cs="Times New Roman"/>
          <w:b w:val="0"/>
          <w:bCs w:val="0"/>
          <w:color w:val="000000"/>
          <w:sz w:val="24"/>
          <w:szCs w:val="24"/>
        </w:rPr>
        <w:t xml:space="preserve">an </w:t>
      </w:r>
      <w:r w:rsidRPr="005520E5">
        <w:rPr>
          <w:rFonts w:ascii="Times New Roman" w:eastAsia="Times New Roman" w:hAnsi="Times New Roman" w:cs="Times New Roman"/>
          <w:b w:val="0"/>
          <w:bCs w:val="0"/>
          <w:color w:val="000000"/>
          <w:sz w:val="24"/>
          <w:szCs w:val="24"/>
        </w:rPr>
        <w:t>institution</w:t>
      </w:r>
      <w:r>
        <w:rPr>
          <w:rFonts w:ascii="Times New Roman" w:eastAsia="Times New Roman" w:hAnsi="Times New Roman" w:cs="Times New Roman"/>
          <w:b w:val="0"/>
          <w:bCs w:val="0"/>
          <w:color w:val="000000"/>
          <w:sz w:val="24"/>
          <w:szCs w:val="24"/>
        </w:rPr>
        <w:t>'s</w:t>
      </w:r>
      <w:r w:rsidRPr="005520E5">
        <w:rPr>
          <w:rFonts w:ascii="Times New Roman" w:eastAsia="Times New Roman" w:hAnsi="Times New Roman" w:cs="Times New Roman"/>
          <w:b w:val="0"/>
          <w:bCs w:val="0"/>
          <w:color w:val="000000"/>
          <w:sz w:val="24"/>
          <w:szCs w:val="24"/>
        </w:rPr>
        <w:t xml:space="preserve"> financial stability and its potential to grow. The</w:t>
      </w:r>
      <w:r>
        <w:rPr>
          <w:rFonts w:ascii="Times New Roman" w:hAnsi="Times New Roman" w:cs="Times New Roman"/>
          <w:b w:val="0"/>
          <w:bCs w:val="0"/>
          <w:color w:val="000000"/>
          <w:sz w:val="24"/>
          <w:szCs w:val="24"/>
        </w:rPr>
        <w:t xml:space="preserve"> financial indicators related to sustainability are Return on Assets (ROA), Return on Equity (ROE) and Operational Self-Sufficiency (OSS) (</w:t>
      </w:r>
      <w:r w:rsidRPr="00035560">
        <w:rPr>
          <w:rFonts w:ascii="Times New Roman" w:hAnsi="Times New Roman" w:cs="Times New Roman"/>
          <w:b w:val="0"/>
          <w:bCs w:val="0"/>
          <w:color w:val="000000"/>
          <w:sz w:val="24"/>
          <w:szCs w:val="24"/>
        </w:rPr>
        <w:t>CGAP</w:t>
      </w:r>
      <w:r>
        <w:rPr>
          <w:rFonts w:ascii="Times New Roman" w:hAnsi="Times New Roman" w:cs="Times New Roman"/>
          <w:b w:val="0"/>
          <w:bCs w:val="0"/>
          <w:color w:val="000000"/>
          <w:sz w:val="24"/>
          <w:szCs w:val="24"/>
        </w:rPr>
        <w:t xml:space="preserve"> 2009; Meyer and Zeller 2002). Figure 3 below is a graphical representation of the changes in ROA, ROE and OSS of these</w:t>
      </w:r>
      <w:r>
        <w:rPr>
          <w:rFonts w:ascii="Times New Roman" w:hAnsi="Times New Roman" w:cs="Times New Roman"/>
          <w:b w:val="0"/>
          <w:sz w:val="24"/>
          <w:szCs w:val="24"/>
        </w:rPr>
        <w:t xml:space="preserve"> organizations over a period of six year ranging from 2008 to 2013.</w:t>
      </w:r>
    </w:p>
    <w:p w:rsidR="00EA4691" w:rsidRPr="00EA4691" w:rsidRDefault="00EA4691" w:rsidP="00EA4691">
      <w:pPr>
        <w:pStyle w:val="BodyText"/>
      </w:pPr>
    </w:p>
    <w:p w:rsidR="00705876" w:rsidRDefault="00705876" w:rsidP="00705876">
      <w:pPr>
        <w:suppressAutoHyphens w:val="0"/>
        <w:spacing w:after="0"/>
        <w:jc w:val="center"/>
        <w:rPr>
          <w:b/>
        </w:rPr>
      </w:pPr>
      <w:r>
        <w:rPr>
          <w:rFonts w:ascii="Times New Roman" w:hAnsi="Times New Roman" w:cs="Times New Roman"/>
          <w:noProof/>
          <w:color w:val="000000"/>
          <w:sz w:val="24"/>
          <w:szCs w:val="24"/>
          <w:lang w:val="en-GB" w:eastAsia="en-GB"/>
        </w:rPr>
        <w:lastRenderedPageBreak/>
        <w:drawing>
          <wp:inline distT="0" distB="0" distL="0" distR="0" wp14:anchorId="0117FF4E" wp14:editId="10AA0F6F">
            <wp:extent cx="5939790" cy="4429125"/>
            <wp:effectExtent l="0" t="0" r="381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4429125"/>
                    </a:xfrm>
                    <a:prstGeom prst="rect">
                      <a:avLst/>
                    </a:prstGeom>
                    <a:solidFill>
                      <a:srgbClr val="FFFFFF">
                        <a:alpha val="0"/>
                      </a:srgbClr>
                    </a:solidFill>
                    <a:ln>
                      <a:noFill/>
                    </a:ln>
                  </pic:spPr>
                </pic:pic>
              </a:graphicData>
            </a:graphic>
          </wp:inline>
        </w:drawing>
      </w:r>
    </w:p>
    <w:p w:rsidR="00705876" w:rsidRDefault="00705876" w:rsidP="00705876">
      <w:pPr>
        <w:suppressAutoHyphens w:val="0"/>
        <w:spacing w:after="0"/>
        <w:jc w:val="center"/>
        <w:rPr>
          <w:b/>
        </w:rPr>
      </w:pPr>
    </w:p>
    <w:p w:rsidR="00705876" w:rsidRDefault="00705876" w:rsidP="00705876">
      <w:pPr>
        <w:suppressAutoHyphens w:val="0"/>
        <w:spacing w:after="0"/>
        <w:jc w:val="center"/>
        <w:rPr>
          <w:b/>
        </w:rPr>
      </w:pPr>
    </w:p>
    <w:p w:rsidR="00705876" w:rsidRDefault="00705876" w:rsidP="00705876">
      <w:pPr>
        <w:suppressAutoHyphens w:val="0"/>
        <w:spacing w:after="0"/>
        <w:jc w:val="center"/>
        <w:rPr>
          <w:b/>
        </w:rPr>
      </w:pPr>
    </w:p>
    <w:p w:rsidR="00705876" w:rsidRDefault="00705876" w:rsidP="00705876">
      <w:pPr>
        <w:suppressAutoHyphens w:val="0"/>
        <w:spacing w:after="0"/>
        <w:jc w:val="center"/>
      </w:pPr>
      <w:r>
        <w:rPr>
          <w:b/>
        </w:rPr>
        <w:t>Figure 3: Sustainability of the four NBFCs</w:t>
      </w:r>
    </w:p>
    <w:p w:rsidR="00CA1EFF" w:rsidRDefault="00CA1EFF" w:rsidP="00EA4691">
      <w:pPr>
        <w:suppressAutoHyphens w:val="0"/>
        <w:spacing w:after="0"/>
        <w:jc w:val="center"/>
      </w:pPr>
    </w:p>
    <w:p w:rsidR="00CA1EFF" w:rsidRDefault="00CA1EFF">
      <w:pPr>
        <w:suppressAutoHyphens w:val="0"/>
        <w:spacing w:after="0"/>
      </w:pPr>
      <w:r>
        <w:rPr>
          <w:rFonts w:ascii="Times New Roman" w:eastAsia="Times New Roman" w:hAnsi="Times New Roman" w:cs="Times New Roman"/>
          <w:color w:val="000000"/>
          <w:sz w:val="24"/>
          <w:szCs w:val="24"/>
        </w:rPr>
        <w:t xml:space="preserve">It is evident from the Figure above that </w:t>
      </w:r>
      <w:proofErr w:type="spellStart"/>
      <w:r>
        <w:rPr>
          <w:rFonts w:ascii="Times New Roman" w:eastAsia="Times New Roman" w:hAnsi="Times New Roman" w:cs="Times New Roman"/>
          <w:color w:val="000000"/>
          <w:sz w:val="24"/>
          <w:szCs w:val="24"/>
        </w:rPr>
        <w:t>Janalakshmi</w:t>
      </w:r>
      <w:proofErr w:type="spellEnd"/>
      <w:r>
        <w:rPr>
          <w:rFonts w:ascii="Times New Roman" w:eastAsia="Times New Roman" w:hAnsi="Times New Roman" w:cs="Times New Roman"/>
          <w:color w:val="000000"/>
          <w:sz w:val="24"/>
          <w:szCs w:val="24"/>
        </w:rPr>
        <w:t xml:space="preserve"> has consistently enjoyed increasing returns both on equity and assets over the six </w:t>
      </w:r>
      <w:proofErr w:type="gramStart"/>
      <w:r>
        <w:rPr>
          <w:rFonts w:ascii="Times New Roman" w:eastAsia="Times New Roman" w:hAnsi="Times New Roman" w:cs="Times New Roman"/>
          <w:color w:val="000000"/>
          <w:sz w:val="24"/>
          <w:szCs w:val="24"/>
        </w:rPr>
        <w:t>years</w:t>
      </w:r>
      <w:proofErr w:type="gramEnd"/>
      <w:r>
        <w:rPr>
          <w:rFonts w:ascii="Times New Roman" w:eastAsia="Times New Roman" w:hAnsi="Times New Roman" w:cs="Times New Roman"/>
          <w:color w:val="000000"/>
          <w:sz w:val="24"/>
          <w:szCs w:val="24"/>
        </w:rPr>
        <w:t xml:space="preserve"> period. </w:t>
      </w:r>
      <w:proofErr w:type="spellStart"/>
      <w:r>
        <w:rPr>
          <w:rFonts w:ascii="Times New Roman" w:eastAsia="Times New Roman" w:hAnsi="Times New Roman" w:cs="Times New Roman"/>
          <w:color w:val="000000"/>
          <w:sz w:val="24"/>
          <w:szCs w:val="24"/>
        </w:rPr>
        <w:t>Janalakshmi</w:t>
      </w:r>
      <w:proofErr w:type="spellEnd"/>
      <w:r>
        <w:rPr>
          <w:rFonts w:ascii="Times New Roman" w:eastAsia="Times New Roman" w:hAnsi="Times New Roman" w:cs="Times New Roman"/>
          <w:color w:val="000000"/>
          <w:sz w:val="24"/>
          <w:szCs w:val="24"/>
        </w:rPr>
        <w:t xml:space="preserve"> rather demonstrates an impressive leap in its ROE from 1.60% in 2010 to 8.54% in 2011and continued to grow in subsequent years. </w:t>
      </w:r>
      <w:proofErr w:type="spellStart"/>
      <w:r>
        <w:rPr>
          <w:rFonts w:ascii="Times New Roman" w:eastAsia="Times New Roman" w:hAnsi="Times New Roman" w:cs="Times New Roman"/>
          <w:color w:val="000000"/>
          <w:sz w:val="24"/>
          <w:szCs w:val="24"/>
        </w:rPr>
        <w:t>Swadhaar</w:t>
      </w:r>
      <w:proofErr w:type="spellEnd"/>
      <w:r>
        <w:rPr>
          <w:rFonts w:ascii="Times New Roman" w:eastAsia="Times New Roman" w:hAnsi="Times New Roman" w:cs="Times New Roman"/>
          <w:color w:val="000000"/>
          <w:sz w:val="24"/>
          <w:szCs w:val="24"/>
        </w:rPr>
        <w:t xml:space="preserve"> too has shown an increasing return on equity and asset except for the year 2011 when there was a drop in both the figures with subsequent rise in the next year. A very interesting phenomenon that is emerging from the data is that both </w:t>
      </w:r>
      <w:proofErr w:type="spellStart"/>
      <w:r>
        <w:rPr>
          <w:rFonts w:ascii="Times New Roman" w:eastAsia="Times New Roman" w:hAnsi="Times New Roman" w:cs="Times New Roman"/>
          <w:color w:val="000000"/>
          <w:sz w:val="24"/>
          <w:szCs w:val="24"/>
        </w:rPr>
        <w:t>Equitas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Ujjivan</w:t>
      </w:r>
      <w:proofErr w:type="spellEnd"/>
      <w:r>
        <w:rPr>
          <w:rFonts w:ascii="Times New Roman" w:eastAsia="Times New Roman" w:hAnsi="Times New Roman" w:cs="Times New Roman"/>
          <w:color w:val="000000"/>
          <w:sz w:val="24"/>
          <w:szCs w:val="24"/>
        </w:rPr>
        <w:t>, which are bigger MFIs in terms of their scale and volume and being the second and third most profitable MFIs outside Andhra in the FY2012-2013 (</w:t>
      </w:r>
      <w:proofErr w:type="spellStart"/>
      <w:r>
        <w:rPr>
          <w:rFonts w:ascii="Times New Roman" w:eastAsia="Times New Roman" w:hAnsi="Times New Roman" w:cs="Times New Roman"/>
          <w:color w:val="000000"/>
          <w:sz w:val="24"/>
          <w:szCs w:val="24"/>
        </w:rPr>
        <w:t>Equitas</w:t>
      </w:r>
      <w:proofErr w:type="spellEnd"/>
      <w:r>
        <w:rPr>
          <w:rFonts w:ascii="Times New Roman" w:eastAsia="Times New Roman" w:hAnsi="Times New Roman" w:cs="Times New Roman"/>
          <w:color w:val="000000"/>
          <w:sz w:val="24"/>
          <w:szCs w:val="24"/>
        </w:rPr>
        <w:t xml:space="preserve"> 2012), show decrease in the percentage of both ROE and ROA from the pre-crisis period. However, there was an increase of returns on equity and assets in the FY2012 for both, though </w:t>
      </w:r>
      <w:proofErr w:type="spellStart"/>
      <w:r>
        <w:rPr>
          <w:rFonts w:ascii="Times New Roman" w:eastAsia="Times New Roman" w:hAnsi="Times New Roman" w:cs="Times New Roman"/>
          <w:color w:val="000000"/>
          <w:sz w:val="24"/>
          <w:szCs w:val="24"/>
        </w:rPr>
        <w:t>Ujjivan</w:t>
      </w:r>
      <w:proofErr w:type="spellEnd"/>
      <w:r>
        <w:rPr>
          <w:rFonts w:ascii="Times New Roman" w:eastAsia="Times New Roman" w:hAnsi="Times New Roman" w:cs="Times New Roman"/>
          <w:color w:val="000000"/>
          <w:sz w:val="24"/>
          <w:szCs w:val="24"/>
        </w:rPr>
        <w:t xml:space="preserve"> has seen a drastic rise. It can be implied from this that large organizations are likely to make smaller returns though this may still be sustainable for them. With respect to OSS, </w:t>
      </w:r>
      <w:proofErr w:type="spellStart"/>
      <w:r>
        <w:rPr>
          <w:rFonts w:ascii="Times New Roman" w:eastAsia="Times New Roman" w:hAnsi="Times New Roman" w:cs="Times New Roman"/>
          <w:color w:val="000000"/>
          <w:sz w:val="24"/>
          <w:szCs w:val="24"/>
        </w:rPr>
        <w:t>Equitas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Ujjivan</w:t>
      </w:r>
      <w:proofErr w:type="spellEnd"/>
      <w:r>
        <w:rPr>
          <w:rFonts w:ascii="Times New Roman" w:eastAsia="Times New Roman" w:hAnsi="Times New Roman" w:cs="Times New Roman"/>
          <w:color w:val="000000"/>
          <w:sz w:val="24"/>
          <w:szCs w:val="24"/>
        </w:rPr>
        <w:t xml:space="preserve"> are the leaders with OSS </w:t>
      </w:r>
      <w:r>
        <w:rPr>
          <w:rFonts w:ascii="Times New Roman" w:eastAsia="Times New Roman" w:hAnsi="Times New Roman" w:cs="Times New Roman"/>
          <w:color w:val="000000"/>
          <w:sz w:val="24"/>
          <w:szCs w:val="24"/>
        </w:rPr>
        <w:lastRenderedPageBreak/>
        <w:t>as high as 133.34% and 130.64% respectively and profit margin of 25.00% and 23.45% respectively.</w:t>
      </w:r>
    </w:p>
    <w:p w:rsidR="00CA1EFF" w:rsidRDefault="00CA1EFF">
      <w:pPr>
        <w:suppressAutoHyphens w:val="0"/>
        <w:spacing w:before="115" w:after="1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Factors leading to outreach and sustainability</w:t>
      </w:r>
    </w:p>
    <w:p w:rsidR="00CA1EFF" w:rsidRDefault="00CA1EFF">
      <w:pPr>
        <w:suppressAutoHyphens w:val="0"/>
        <w:spacing w:after="0"/>
        <w:rPr>
          <w:rFonts w:ascii="Times New Roman" w:eastAsia="Times New Roman" w:hAnsi="Times New Roman" w:cs="Times New Roman"/>
          <w:sz w:val="24"/>
          <w:szCs w:val="24"/>
        </w:rPr>
      </w:pPr>
      <w:proofErr w:type="spellStart"/>
      <w:r>
        <w:rPr>
          <w:rFonts w:ascii="Times New Roman" w:hAnsi="Times New Roman" w:cs="Times New Roman"/>
          <w:color w:val="000000"/>
          <w:sz w:val="24"/>
          <w:szCs w:val="24"/>
        </w:rPr>
        <w:t>Ivatury</w:t>
      </w:r>
      <w:proofErr w:type="spellEnd"/>
      <w:r>
        <w:rPr>
          <w:rFonts w:ascii="Times New Roman" w:hAnsi="Times New Roman" w:cs="Times New Roman"/>
          <w:color w:val="000000"/>
          <w:sz w:val="24"/>
          <w:szCs w:val="24"/>
        </w:rPr>
        <w:t xml:space="preserve"> (2006) finds that providing financial services to the poor is costly as the size of transactions is often small, the population may often be scattered and their credit history may not be available. To effectively deal with high transaction cost, all the four NBFC covered in this study bear a similar approach to sustainability: reduction in operational cost and technological</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enhancement. </w:t>
      </w:r>
      <w:proofErr w:type="spellStart"/>
      <w:r>
        <w:rPr>
          <w:rFonts w:ascii="Times New Roman" w:hAnsi="Times New Roman" w:cs="Times New Roman"/>
          <w:color w:val="000000"/>
          <w:sz w:val="24"/>
          <w:szCs w:val="24"/>
        </w:rPr>
        <w:t>Ivatury</w:t>
      </w:r>
      <w:proofErr w:type="spellEnd"/>
      <w:r>
        <w:rPr>
          <w:rFonts w:ascii="Times New Roman" w:hAnsi="Times New Roman" w:cs="Times New Roman"/>
          <w:color w:val="000000"/>
          <w:sz w:val="24"/>
          <w:szCs w:val="24"/>
        </w:rPr>
        <w:t xml:space="preserve"> (2006) suggests that MFIs with operational cost of 12-15% of assets are considered efficient.</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While currently all the four institutions are within the range of 12-15% of Operational Cost (OC), </w:t>
      </w:r>
      <w:proofErr w:type="spellStart"/>
      <w:r>
        <w:rPr>
          <w:rFonts w:ascii="Times New Roman" w:hAnsi="Times New Roman" w:cs="Times New Roman"/>
          <w:color w:val="000000"/>
          <w:sz w:val="24"/>
          <w:szCs w:val="24"/>
        </w:rPr>
        <w:t>Equitas</w:t>
      </w:r>
      <w:proofErr w:type="spellEnd"/>
      <w:r>
        <w:rPr>
          <w:rFonts w:ascii="Times New Roman" w:hAnsi="Times New Roman" w:cs="Times New Roman"/>
          <w:color w:val="000000"/>
          <w:sz w:val="24"/>
          <w:szCs w:val="24"/>
        </w:rPr>
        <w:t xml:space="preserve"> is the only institution which has stayed below 15% throughout the six years. </w:t>
      </w:r>
      <w:proofErr w:type="spellStart"/>
      <w:r>
        <w:rPr>
          <w:rFonts w:ascii="Times New Roman" w:hAnsi="Times New Roman" w:cs="Times New Roman"/>
          <w:color w:val="000000"/>
          <w:sz w:val="24"/>
          <w:szCs w:val="24"/>
        </w:rPr>
        <w:t>Ujjiwan</w:t>
      </w:r>
      <w:proofErr w:type="spellEnd"/>
      <w:r>
        <w:rPr>
          <w:rFonts w:ascii="Times New Roman" w:hAnsi="Times New Roman" w:cs="Times New Roman"/>
          <w:color w:val="000000"/>
          <w:sz w:val="24"/>
          <w:szCs w:val="24"/>
        </w:rPr>
        <w:t xml:space="preserve"> has seen consistent decline in OC. But the most striking performance has been by </w:t>
      </w:r>
      <w:proofErr w:type="spellStart"/>
      <w:r>
        <w:rPr>
          <w:rFonts w:ascii="Times New Roman" w:hAnsi="Times New Roman" w:cs="Times New Roman"/>
          <w:color w:val="000000"/>
          <w:sz w:val="24"/>
          <w:szCs w:val="24"/>
        </w:rPr>
        <w:t>Swadhaar</w:t>
      </w:r>
      <w:proofErr w:type="spellEnd"/>
      <w:r>
        <w:rPr>
          <w:rFonts w:ascii="Times New Roman" w:hAnsi="Times New Roman" w:cs="Times New Roman"/>
          <w:color w:val="000000"/>
          <w:sz w:val="24"/>
          <w:szCs w:val="24"/>
        </w:rPr>
        <w:t xml:space="preserve"> where operational cost was brought down from 36.37% in 2009 to 10.11% in 2013.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Cs/>
          <w:color w:val="000000"/>
          <w:sz w:val="24"/>
          <w:szCs w:val="24"/>
        </w:rPr>
        <w:t>Investment in technology is a strategy that all the four organizations have adopted in varied proportion. They use core banking solutions and have a central back-end team which makes the turnaround time for processing both loans and disbursements.</w:t>
      </w:r>
    </w:p>
    <w:p w:rsidR="00CA1EFF" w:rsidRDefault="00CA1EFF">
      <w:pPr>
        <w:pStyle w:val="Heading2"/>
        <w:numPr>
          <w:ilvl w:val="0"/>
          <w:numId w:val="0"/>
        </w:numPr>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IMPACT </w:t>
      </w:r>
    </w:p>
    <w:p w:rsidR="00CA1EFF" w:rsidRDefault="00CA1EF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third and final component of the triangle of microfinance is </w:t>
      </w:r>
      <w:r>
        <w:rPr>
          <w:rFonts w:ascii="Times New Roman" w:hAnsi="Times New Roman" w:cs="Times New Roman"/>
          <w:i/>
          <w:color w:val="000000"/>
          <w:sz w:val="24"/>
          <w:szCs w:val="24"/>
        </w:rPr>
        <w:t>impact</w:t>
      </w:r>
      <w:r>
        <w:rPr>
          <w:rFonts w:ascii="Times New Roman" w:hAnsi="Times New Roman" w:cs="Times New Roman"/>
          <w:color w:val="000000"/>
          <w:sz w:val="24"/>
          <w:szCs w:val="24"/>
        </w:rPr>
        <w:t>. The ability of microfinance to create an impact has been widely debated in the academic literature. Its impact on poverty can be measured by using Randomized Control Trials (RCTs) (</w:t>
      </w:r>
      <w:r w:rsidR="004136E4">
        <w:rPr>
          <w:rFonts w:ascii="Times New Roman" w:hAnsi="Times New Roman" w:cs="Times New Roman"/>
          <w:color w:val="000000"/>
          <w:sz w:val="24"/>
          <w:szCs w:val="24"/>
        </w:rPr>
        <w:t>Ba</w:t>
      </w:r>
      <w:r>
        <w:rPr>
          <w:rFonts w:ascii="Times New Roman" w:hAnsi="Times New Roman" w:cs="Times New Roman"/>
          <w:color w:val="000000"/>
          <w:sz w:val="24"/>
          <w:szCs w:val="24"/>
        </w:rPr>
        <w:t xml:space="preserve">nerjee et al 2013; </w:t>
      </w:r>
      <w:proofErr w:type="spellStart"/>
      <w:r>
        <w:rPr>
          <w:rFonts w:ascii="Times New Roman" w:hAnsi="Times New Roman" w:cs="Times New Roman"/>
          <w:color w:val="000000"/>
          <w:sz w:val="24"/>
          <w:szCs w:val="24"/>
        </w:rPr>
        <w:t>Karlan</w:t>
      </w:r>
      <w:proofErr w:type="spellEnd"/>
      <w:r>
        <w:rPr>
          <w:rFonts w:ascii="Times New Roman" w:hAnsi="Times New Roman" w:cs="Times New Roman"/>
          <w:color w:val="000000"/>
          <w:sz w:val="24"/>
          <w:szCs w:val="24"/>
        </w:rPr>
        <w:t xml:space="preserve"> et al 2010). Srinivasan (2012) suggests that as effective as RCTs are, it needs to be recognized that the capacities of MFI do not allow them to work with customers that are not under the influence of MFIs in anyway. It is pertinent to add that the urban poverty comprises dimensions of human development as discussed in sections 2 and 3 of this paper.</w:t>
      </w:r>
    </w:p>
    <w:p w:rsidR="00CA1EFF" w:rsidRDefault="00CA1EF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Out of the four organizations, </w:t>
      </w:r>
      <w:proofErr w:type="spellStart"/>
      <w:r>
        <w:rPr>
          <w:rFonts w:ascii="Times New Roman" w:hAnsi="Times New Roman" w:cs="Times New Roman"/>
          <w:color w:val="000000"/>
          <w:sz w:val="24"/>
          <w:szCs w:val="24"/>
        </w:rPr>
        <w:t>Ujjivan</w:t>
      </w:r>
      <w:proofErr w:type="spellEnd"/>
      <w:r>
        <w:rPr>
          <w:rFonts w:ascii="Times New Roman" w:hAnsi="Times New Roman" w:cs="Times New Roman"/>
          <w:color w:val="000000"/>
          <w:sz w:val="24"/>
          <w:szCs w:val="24"/>
        </w:rPr>
        <w:t xml:space="preserve"> has a well-documented and systematic quantitative impact assessment process.  Its assessment focuses on economic growth and quality of life indicators like gender empowerment, access to resources, and education etc. The impact assessment report by </w:t>
      </w:r>
      <w:proofErr w:type="spellStart"/>
      <w:r>
        <w:rPr>
          <w:rFonts w:ascii="Times New Roman" w:hAnsi="Times New Roman" w:cs="Times New Roman"/>
          <w:color w:val="000000"/>
          <w:sz w:val="24"/>
          <w:szCs w:val="24"/>
        </w:rPr>
        <w:t>Ujjivan</w:t>
      </w:r>
      <w:proofErr w:type="spellEnd"/>
      <w:r>
        <w:rPr>
          <w:rFonts w:ascii="Times New Roman" w:hAnsi="Times New Roman" w:cs="Times New Roman"/>
          <w:color w:val="000000"/>
          <w:sz w:val="24"/>
          <w:szCs w:val="24"/>
        </w:rPr>
        <w:t xml:space="preserve"> (2012-2013) suggests that during the period of 2010 -2013, out of 3000 customers, </w:t>
      </w:r>
      <w:r>
        <w:rPr>
          <w:rFonts w:ascii="Times New Roman" w:hAnsi="Times New Roman" w:cs="Times New Roman"/>
          <w:sz w:val="24"/>
          <w:szCs w:val="24"/>
        </w:rPr>
        <w:t xml:space="preserve">87% defined their current state of well-being as “Positive” compared with 60% three years ago. Between 2010 to 2013, the average monthly income of all respondents increased by over 51%, while the number of self-employed women rose from 48% in 2010 to 61% in 2013, and their monthly income rose by an average of 85% over the </w:t>
      </w:r>
      <w:r w:rsidR="00705876">
        <w:rPr>
          <w:rFonts w:ascii="Times New Roman" w:hAnsi="Times New Roman" w:cs="Times New Roman"/>
          <w:sz w:val="24"/>
          <w:szCs w:val="24"/>
        </w:rPr>
        <w:t>three-year</w:t>
      </w:r>
      <w:r>
        <w:rPr>
          <w:rFonts w:ascii="Times New Roman" w:hAnsi="Times New Roman" w:cs="Times New Roman"/>
          <w:sz w:val="24"/>
          <w:szCs w:val="24"/>
        </w:rPr>
        <w:t xml:space="preserve"> period.</w:t>
      </w:r>
      <w:r>
        <w:rPr>
          <w:rFonts w:ascii="Times New Roman" w:hAnsi="Times New Roman" w:cs="Times New Roman"/>
          <w:color w:val="000000"/>
          <w:sz w:val="24"/>
          <w:szCs w:val="24"/>
        </w:rPr>
        <w:t xml:space="preserve"> 40% families had enrolled their children in private schools compared with 28% three years ago.</w:t>
      </w:r>
    </w:p>
    <w:p w:rsidR="00CA1EFF" w:rsidRDefault="00CA1EFF">
      <w:r>
        <w:rPr>
          <w:rFonts w:ascii="Times New Roman" w:hAnsi="Times New Roman" w:cs="Times New Roman"/>
          <w:color w:val="000000"/>
          <w:sz w:val="24"/>
          <w:szCs w:val="24"/>
        </w:rPr>
        <w:t xml:space="preserve">To measure the impact of their microfinance operations, </w:t>
      </w:r>
      <w:proofErr w:type="spellStart"/>
      <w:r>
        <w:rPr>
          <w:rFonts w:ascii="Times New Roman" w:hAnsi="Times New Roman" w:cs="Times New Roman"/>
          <w:color w:val="000000"/>
          <w:sz w:val="24"/>
          <w:szCs w:val="24"/>
        </w:rPr>
        <w:t>Equitas</w:t>
      </w:r>
      <w:proofErr w:type="spellEnd"/>
      <w:r>
        <w:rPr>
          <w:rFonts w:ascii="Times New Roman" w:hAnsi="Times New Roman" w:cs="Times New Roman"/>
          <w:color w:val="000000"/>
          <w:sz w:val="24"/>
          <w:szCs w:val="24"/>
        </w:rPr>
        <w:t xml:space="preserve"> follows an ‘assets building’ approach. They do this by making a systematic estimation of the value of a customer's household effects at a time when he or she enters a system and this process is repeated with an interval of every two years to take a stock of increase or decrease in the asset base. As per the respondents, close to 50% increase in the asset base has been observed so far. </w:t>
      </w:r>
      <w:proofErr w:type="spellStart"/>
      <w:r>
        <w:rPr>
          <w:rFonts w:ascii="Times New Roman" w:hAnsi="Times New Roman" w:cs="Times New Roman"/>
          <w:color w:val="000000"/>
          <w:sz w:val="24"/>
          <w:szCs w:val="24"/>
        </w:rPr>
        <w:t>Swadhaar</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Janalakshami</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 xml:space="preserve">focus on qualitative data for impact assessment. They collect live stories of customers to see how and in what way access to credit has impacted their lives. </w:t>
      </w:r>
    </w:p>
    <w:p w:rsidR="00CA1EFF" w:rsidRPr="000E7456" w:rsidRDefault="00CA1EF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It is important to note that both the qualitative and quantitative measures have their own merit. In case of live story coverage, there is risk of selection bias if the sample is not randomly chosen and only those customers who have done well are selected. Similarly, quantitative assessment may not give a larger picture of a customer’s life and may only touch aspects that can only be measured in terms of numbers, for instance increase in income. </w:t>
      </w:r>
    </w:p>
    <w:p w:rsidR="00CA1EFF" w:rsidRDefault="00CA1EFF">
      <w:pPr>
        <w:rPr>
          <w:rFonts w:ascii="Times New Roman" w:hAnsi="Times New Roman" w:cs="Times New Roman"/>
          <w:color w:val="000000"/>
          <w:sz w:val="24"/>
          <w:szCs w:val="24"/>
        </w:rPr>
      </w:pPr>
      <w:r w:rsidRPr="000E7456">
        <w:rPr>
          <w:rFonts w:ascii="Times New Roman" w:hAnsi="Times New Roman" w:cs="Times New Roman"/>
          <w:color w:val="000000"/>
          <w:sz w:val="24"/>
          <w:szCs w:val="24"/>
        </w:rPr>
        <w:t xml:space="preserve">This may also suggest that systematic assessment, retrospection and reflection on impact could be a higher priority for organization who has achieved larger scale while the smaller ones focus more on growth and sustainability. </w:t>
      </w:r>
    </w:p>
    <w:p w:rsidR="00CA1EFF" w:rsidRDefault="00CA1EFF">
      <w:r>
        <w:rPr>
          <w:rFonts w:ascii="Times New Roman" w:hAnsi="Times New Roman" w:cs="Times New Roman"/>
          <w:color w:val="000000"/>
          <w:sz w:val="24"/>
          <w:szCs w:val="24"/>
        </w:rPr>
        <w:t xml:space="preserve">The impact assessment studies have their flaws. A report compiled by the All-Party Parliamentary Group on Microfinance (2011) recommends that ‘more investment is needed in the research base to develop evidence about what microfinance interventions work the best to reduce poverty’. Zeller and Meyer (2002) suggest that all MFIs try to contribute to the three objectives </w:t>
      </w:r>
      <w:r>
        <w:rPr>
          <w:rFonts w:ascii="Times New Roman" w:hAnsi="Times New Roman" w:cs="Times New Roman"/>
          <w:sz w:val="24"/>
          <w:szCs w:val="24"/>
        </w:rPr>
        <w:t xml:space="preserve">of outreach, financial sustainability, and impact howsoever they prefer one over the other. “Some may produce large impacts but achieve limited outreach. Others may have smaller impacts but are highly sustainable.”(Zeller and Meyer, 2002). The analysis of four organizations along the three objectives shows that they have by and large been successful in achieving outreach and sustainability, though </w:t>
      </w:r>
      <w:proofErr w:type="spellStart"/>
      <w:r>
        <w:rPr>
          <w:rFonts w:ascii="Times New Roman" w:hAnsi="Times New Roman" w:cs="Times New Roman"/>
          <w:sz w:val="24"/>
          <w:szCs w:val="24"/>
        </w:rPr>
        <w:t>Swadhaar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Janalakshmi</w:t>
      </w:r>
      <w:proofErr w:type="spellEnd"/>
      <w:r>
        <w:rPr>
          <w:rFonts w:ascii="Times New Roman" w:hAnsi="Times New Roman" w:cs="Times New Roman"/>
          <w:sz w:val="24"/>
          <w:szCs w:val="24"/>
        </w:rPr>
        <w:t xml:space="preserve"> may need to invest further to create better impact.</w:t>
      </w:r>
    </w:p>
    <w:p w:rsidR="00CA1EFF" w:rsidRDefault="00CA1EFF">
      <w:pPr>
        <w:rPr>
          <w:rFonts w:ascii="Times New Roman" w:hAnsi="Times New Roman" w:cs="Times New Roman"/>
          <w:b/>
          <w:color w:val="000000"/>
          <w:sz w:val="24"/>
          <w:szCs w:val="24"/>
        </w:rPr>
      </w:pPr>
      <w:r>
        <w:rPr>
          <w:rFonts w:ascii="Times New Roman" w:hAnsi="Times New Roman" w:cs="Times New Roman"/>
          <w:b/>
          <w:color w:val="000000"/>
          <w:sz w:val="24"/>
          <w:szCs w:val="24"/>
        </w:rPr>
        <w:t>OBSERVATIONS, TRENDS AND LESSONS</w:t>
      </w:r>
    </w:p>
    <w:p w:rsidR="00CA1EFF" w:rsidRDefault="00CA1EFF">
      <w:pPr>
        <w:rPr>
          <w:rFonts w:ascii="Times New Roman" w:hAnsi="Times New Roman" w:cs="Times New Roman"/>
          <w:color w:val="000000"/>
          <w:sz w:val="24"/>
          <w:szCs w:val="24"/>
        </w:rPr>
      </w:pPr>
      <w:r>
        <w:rPr>
          <w:rFonts w:ascii="Times New Roman" w:hAnsi="Times New Roman" w:cs="Times New Roman"/>
          <w:b/>
          <w:color w:val="000000"/>
          <w:sz w:val="24"/>
          <w:szCs w:val="24"/>
        </w:rPr>
        <w:t>Commercialization or Financial Systems Approach</w:t>
      </w:r>
    </w:p>
    <w:p w:rsidR="00CA1EFF" w:rsidRDefault="00CA1EFF">
      <w:pPr>
        <w:rPr>
          <w:rFonts w:ascii="Times New Roman" w:hAnsi="Times New Roman" w:cs="Times New Roman"/>
          <w:b/>
          <w:color w:val="000000"/>
          <w:sz w:val="24"/>
          <w:szCs w:val="24"/>
        </w:rPr>
      </w:pPr>
      <w:r>
        <w:rPr>
          <w:rFonts w:ascii="Times New Roman" w:hAnsi="Times New Roman" w:cs="Times New Roman"/>
          <w:color w:val="000000"/>
          <w:sz w:val="24"/>
          <w:szCs w:val="24"/>
        </w:rPr>
        <w:t xml:space="preserve">The legal structure of all the four organizations is a </w:t>
      </w:r>
      <w:r>
        <w:rPr>
          <w:rFonts w:ascii="Times New Roman" w:hAnsi="Times New Roman" w:cs="Times New Roman"/>
          <w:i/>
          <w:color w:val="000000"/>
          <w:sz w:val="24"/>
          <w:szCs w:val="24"/>
        </w:rPr>
        <w:t>Non-Banking Financial Company</w:t>
      </w:r>
      <w:r>
        <w:rPr>
          <w:rFonts w:ascii="Times New Roman" w:hAnsi="Times New Roman" w:cs="Times New Roman"/>
          <w:color w:val="000000"/>
          <w:sz w:val="24"/>
          <w:szCs w:val="24"/>
        </w:rPr>
        <w:t>. Their peculiarity is that they follow a commercial approach to business while synchronizing their activities with the social mission. “What has promoted the growth of NBFCs is their localized presence, a higher level of customer orientation than banks and lower documentation requirements albeit at higher interest rates for borrowers. Conversely, depositors earn substantially higher rates of interest as compared to the traditional savings instruments of banks. In this way, NBFCs are able to attract a large volume of deposits from the general public” (Sa-</w:t>
      </w:r>
      <w:proofErr w:type="spellStart"/>
      <w:r>
        <w:rPr>
          <w:rFonts w:ascii="Times New Roman" w:hAnsi="Times New Roman" w:cs="Times New Roman"/>
          <w:color w:val="000000"/>
          <w:sz w:val="24"/>
          <w:szCs w:val="24"/>
        </w:rPr>
        <w:t>Dhan</w:t>
      </w:r>
      <w:proofErr w:type="spellEnd"/>
      <w:r>
        <w:rPr>
          <w:rFonts w:ascii="Times New Roman" w:hAnsi="Times New Roman" w:cs="Times New Roman"/>
          <w:color w:val="000000"/>
          <w:sz w:val="24"/>
          <w:szCs w:val="24"/>
        </w:rPr>
        <w:t xml:space="preserve">, 2006, p.  25). While there has been a debate about the ‘mission drift’ when the MFIs grow in size and follow the financial system approach, there is a fairly large segment of academicians and field practitioners, who believe otherwise. </w:t>
      </w:r>
      <w:r w:rsidR="00035560">
        <w:rPr>
          <w:rFonts w:ascii="Times New Roman" w:hAnsi="Times New Roman" w:cs="Times New Roman"/>
          <w:color w:val="000000"/>
          <w:sz w:val="24"/>
          <w:szCs w:val="24"/>
        </w:rPr>
        <w:t xml:space="preserve">A number of researchers have held varied opinions about whether </w:t>
      </w:r>
      <w:r>
        <w:rPr>
          <w:rFonts w:ascii="Times New Roman" w:hAnsi="Times New Roman" w:cs="Times New Roman"/>
          <w:color w:val="000000"/>
          <w:sz w:val="24"/>
          <w:szCs w:val="24"/>
        </w:rPr>
        <w:t xml:space="preserve">commercialization is good </w:t>
      </w:r>
      <w:r w:rsidR="00035560">
        <w:rPr>
          <w:rFonts w:ascii="Times New Roman" w:hAnsi="Times New Roman" w:cs="Times New Roman"/>
          <w:color w:val="000000"/>
          <w:sz w:val="24"/>
          <w:szCs w:val="24"/>
        </w:rPr>
        <w:t xml:space="preserve">or bad </w:t>
      </w:r>
      <w:r>
        <w:rPr>
          <w:rFonts w:ascii="Times New Roman" w:hAnsi="Times New Roman" w:cs="Times New Roman"/>
          <w:color w:val="000000"/>
          <w:sz w:val="24"/>
          <w:szCs w:val="24"/>
        </w:rPr>
        <w:t>for microfinance</w:t>
      </w:r>
      <w:r w:rsidR="00035560">
        <w:rPr>
          <w:rFonts w:ascii="Times New Roman" w:hAnsi="Times New Roman" w:cs="Times New Roman"/>
          <w:color w:val="000000"/>
          <w:sz w:val="24"/>
          <w:szCs w:val="24"/>
        </w:rPr>
        <w:t xml:space="preserve">. Some argue that </w:t>
      </w:r>
      <w:r>
        <w:rPr>
          <w:rFonts w:ascii="Times New Roman" w:hAnsi="Times New Roman" w:cs="Times New Roman"/>
          <w:color w:val="000000"/>
          <w:sz w:val="24"/>
          <w:szCs w:val="24"/>
        </w:rPr>
        <w:t>competition will lead to improvements in products and systems resulting in increased options for the borrowers</w:t>
      </w:r>
      <w:r w:rsidR="00035560">
        <w:rPr>
          <w:rFonts w:ascii="Times New Roman" w:hAnsi="Times New Roman" w:cs="Times New Roman"/>
          <w:color w:val="000000"/>
          <w:sz w:val="24"/>
          <w:szCs w:val="24"/>
        </w:rPr>
        <w:t xml:space="preserve">, while others state that it tends to cause a ‘mission drift’ amongst MFIs (see for </w:t>
      </w:r>
      <w:r w:rsidR="00035560">
        <w:rPr>
          <w:rFonts w:ascii="Times New Roman" w:hAnsi="Times New Roman" w:cs="Times New Roman"/>
          <w:color w:val="000000"/>
          <w:sz w:val="24"/>
          <w:szCs w:val="24"/>
        </w:rPr>
        <w:lastRenderedPageBreak/>
        <w:t>instance Christen 2000</w:t>
      </w:r>
      <w:r w:rsidR="00CC4F67">
        <w:rPr>
          <w:rFonts w:ascii="Times New Roman" w:hAnsi="Times New Roman" w:cs="Times New Roman"/>
          <w:color w:val="000000"/>
          <w:sz w:val="24"/>
          <w:szCs w:val="24"/>
        </w:rPr>
        <w:t xml:space="preserve"> and </w:t>
      </w:r>
      <w:proofErr w:type="spellStart"/>
      <w:r w:rsidR="00CC4F67">
        <w:rPr>
          <w:rFonts w:ascii="Times New Roman" w:hAnsi="Times New Roman" w:cs="Times New Roman"/>
          <w:color w:val="000000"/>
          <w:sz w:val="24"/>
          <w:szCs w:val="24"/>
        </w:rPr>
        <w:t>Ryhine</w:t>
      </w:r>
      <w:proofErr w:type="spellEnd"/>
      <w:r w:rsidR="00CC4F67">
        <w:rPr>
          <w:rFonts w:ascii="Times New Roman" w:hAnsi="Times New Roman" w:cs="Times New Roman"/>
          <w:color w:val="000000"/>
          <w:sz w:val="24"/>
          <w:szCs w:val="24"/>
        </w:rPr>
        <w:t xml:space="preserve"> 2001</w:t>
      </w:r>
      <w:r w:rsidR="00035560">
        <w:rPr>
          <w:rFonts w:ascii="Times New Roman" w:hAnsi="Times New Roman" w:cs="Times New Roman"/>
          <w:color w:val="000000"/>
          <w:sz w:val="24"/>
          <w:szCs w:val="24"/>
        </w:rPr>
        <w:t>)</w:t>
      </w:r>
      <w:r>
        <w:rPr>
          <w:rFonts w:ascii="Times New Roman" w:hAnsi="Times New Roman" w:cs="Times New Roman"/>
          <w:color w:val="000000"/>
          <w:sz w:val="24"/>
          <w:szCs w:val="24"/>
        </w:rPr>
        <w:t xml:space="preserve">. Hence, there is reason to believe that in the context of urban poverty, the NBFC structure of these organizations can be an element that </w:t>
      </w:r>
      <w:r>
        <w:rPr>
          <w:rFonts w:ascii="Times New Roman" w:hAnsi="Times New Roman" w:cs="Times New Roman"/>
          <w:color w:val="000000"/>
          <w:sz w:val="24"/>
          <w:szCs w:val="24"/>
          <w:lang w:val="en-GB"/>
        </w:rPr>
        <w:t>favours</w:t>
      </w:r>
      <w:r>
        <w:rPr>
          <w:rFonts w:ascii="Times New Roman" w:hAnsi="Times New Roman" w:cs="Times New Roman"/>
          <w:color w:val="000000"/>
          <w:sz w:val="24"/>
          <w:szCs w:val="24"/>
        </w:rPr>
        <w:t xml:space="preserve"> them.</w:t>
      </w:r>
    </w:p>
    <w:p w:rsidR="00CA1EFF" w:rsidRDefault="00CA1EFF">
      <w:pPr>
        <w:rPr>
          <w:rFonts w:ascii="Times New Roman" w:hAnsi="Times New Roman" w:cs="Times New Roman"/>
          <w:color w:val="000000"/>
          <w:sz w:val="24"/>
          <w:szCs w:val="24"/>
        </w:rPr>
      </w:pPr>
      <w:r>
        <w:rPr>
          <w:rFonts w:ascii="Times New Roman" w:hAnsi="Times New Roman" w:cs="Times New Roman"/>
          <w:b/>
          <w:color w:val="000000"/>
          <w:sz w:val="24"/>
          <w:szCs w:val="24"/>
        </w:rPr>
        <w:t>Strategic Positioning</w:t>
      </w:r>
    </w:p>
    <w:p w:rsidR="00CA1EFF" w:rsidRDefault="00CA1EFF">
      <w:pPr>
        <w:rPr>
          <w:rFonts w:ascii="Times New Roman" w:hAnsi="Times New Roman" w:cs="Times New Roman"/>
          <w:b/>
          <w:color w:val="000000"/>
          <w:sz w:val="24"/>
          <w:szCs w:val="24"/>
        </w:rPr>
      </w:pPr>
      <w:r>
        <w:rPr>
          <w:rFonts w:ascii="Times New Roman" w:hAnsi="Times New Roman" w:cs="Times New Roman"/>
          <w:color w:val="000000"/>
          <w:sz w:val="24"/>
          <w:szCs w:val="24"/>
        </w:rPr>
        <w:t>Events in the microfinance sector in Andhra Pradesh came to be known as a ‘crisis’ because of the scale. Andhra Pradesh is a state in Southern India which has the highest concentration of both MFIs and borrowers (Almost 1/3</w:t>
      </w:r>
      <w:r>
        <w:rPr>
          <w:rFonts w:ascii="Times New Roman" w:hAnsi="Times New Roman" w:cs="Times New Roman"/>
          <w:color w:val="000000"/>
          <w:sz w:val="24"/>
          <w:szCs w:val="24"/>
          <w:vertAlign w:val="superscript"/>
        </w:rPr>
        <w:t>rd</w:t>
      </w:r>
      <w:r>
        <w:rPr>
          <w:rFonts w:ascii="Times New Roman" w:hAnsi="Times New Roman" w:cs="Times New Roman"/>
          <w:color w:val="000000"/>
          <w:sz w:val="24"/>
          <w:szCs w:val="24"/>
        </w:rPr>
        <w:t xml:space="preserve"> of the total outreach) and that is why it had a momentous impact on the entire microfinance industry across the country and even abroad. These four organisations of this study have followed a smart strategy to launch and continue operations outside Andhra Pradesh they chose to work in states that were less served and hence had higher chances of growth. In a similar fashion, while most MFIs are concentrated in rural areas these MFIs focused on urban poverty which was again a neglected area and hence a market with great potential.  Strategic positioning in terms of selection of geography, choice of models, mode of operation and choice of technology seems to be the differentiator giving these organisations an edge over the other.</w:t>
      </w:r>
    </w:p>
    <w:p w:rsidR="00CA1EFF" w:rsidRDefault="00CA1EFF">
      <w:pPr>
        <w:rPr>
          <w:rFonts w:ascii="Times New Roman" w:hAnsi="Times New Roman" w:cs="Times New Roman"/>
          <w:color w:val="000000"/>
          <w:sz w:val="24"/>
          <w:szCs w:val="24"/>
        </w:rPr>
      </w:pPr>
      <w:r>
        <w:rPr>
          <w:rFonts w:ascii="Times New Roman" w:hAnsi="Times New Roman" w:cs="Times New Roman"/>
          <w:b/>
          <w:color w:val="000000"/>
          <w:sz w:val="24"/>
          <w:szCs w:val="24"/>
        </w:rPr>
        <w:t xml:space="preserve">Organizational Leadership </w:t>
      </w:r>
    </w:p>
    <w:p w:rsidR="00CA1EFF" w:rsidRDefault="00CA1EFF">
      <w:pPr>
        <w:rPr>
          <w:rFonts w:ascii="Times New Roman" w:hAnsi="Times New Roman" w:cs="Times New Roman"/>
          <w:b/>
          <w:color w:val="000000"/>
          <w:sz w:val="24"/>
          <w:szCs w:val="24"/>
        </w:rPr>
      </w:pPr>
      <w:r>
        <w:rPr>
          <w:rFonts w:ascii="Times New Roman" w:hAnsi="Times New Roman" w:cs="Times New Roman"/>
          <w:color w:val="000000"/>
          <w:sz w:val="24"/>
          <w:szCs w:val="24"/>
        </w:rPr>
        <w:t xml:space="preserve">The leadership spearheading these four organizations brings professionalism, years of experience and access to extensive networks. All the founding leaders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bCs/>
          <w:color w:val="000000"/>
          <w:sz w:val="24"/>
          <w:szCs w:val="24"/>
        </w:rPr>
        <w:t>Veena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Mankar</w:t>
      </w:r>
      <w:proofErr w:type="spellEnd"/>
      <w:r>
        <w:rPr>
          <w:rFonts w:ascii="Times New Roman" w:hAnsi="Times New Roman" w:cs="Times New Roman"/>
          <w:bCs/>
          <w:color w:val="000000"/>
          <w:sz w:val="24"/>
          <w:szCs w:val="24"/>
        </w:rPr>
        <w:t xml:space="preserve"> of </w:t>
      </w:r>
      <w:proofErr w:type="spellStart"/>
      <w:r>
        <w:rPr>
          <w:rFonts w:ascii="Times New Roman" w:hAnsi="Times New Roman" w:cs="Times New Roman"/>
          <w:bCs/>
          <w:color w:val="000000"/>
          <w:sz w:val="24"/>
          <w:szCs w:val="24"/>
        </w:rPr>
        <w:t>Swadhaar</w:t>
      </w:r>
      <w:proofErr w:type="spellEnd"/>
      <w:r>
        <w:rPr>
          <w:rFonts w:ascii="Times New Roman" w:hAnsi="Times New Roman" w:cs="Times New Roman"/>
          <w:bCs/>
          <w:color w:val="000000"/>
          <w:sz w:val="24"/>
          <w:szCs w:val="24"/>
        </w:rPr>
        <w:t xml:space="preserve">, Mr. </w:t>
      </w:r>
      <w:proofErr w:type="spellStart"/>
      <w:r>
        <w:rPr>
          <w:rFonts w:ascii="Times New Roman" w:hAnsi="Times New Roman" w:cs="Times New Roman"/>
          <w:bCs/>
          <w:color w:val="000000"/>
          <w:sz w:val="24"/>
          <w:szCs w:val="24"/>
        </w:rPr>
        <w:t>Samit</w:t>
      </w:r>
      <w:proofErr w:type="spellEnd"/>
      <w:r>
        <w:rPr>
          <w:rFonts w:ascii="Times New Roman" w:hAnsi="Times New Roman" w:cs="Times New Roman"/>
          <w:bCs/>
          <w:color w:val="000000"/>
          <w:sz w:val="24"/>
          <w:szCs w:val="24"/>
        </w:rPr>
        <w:t xml:space="preserve"> Ghosh of </w:t>
      </w:r>
      <w:proofErr w:type="spellStart"/>
      <w:r>
        <w:rPr>
          <w:rFonts w:ascii="Times New Roman" w:hAnsi="Times New Roman" w:cs="Times New Roman"/>
          <w:bCs/>
          <w:color w:val="000000"/>
          <w:sz w:val="24"/>
          <w:szCs w:val="24"/>
        </w:rPr>
        <w:t>Ujjivan</w:t>
      </w:r>
      <w:proofErr w:type="spellEnd"/>
      <w:r>
        <w:rPr>
          <w:rFonts w:ascii="Times New Roman" w:hAnsi="Times New Roman" w:cs="Times New Roman"/>
          <w:bCs/>
          <w:color w:val="000000"/>
          <w:sz w:val="24"/>
          <w:szCs w:val="24"/>
        </w:rPr>
        <w:t xml:space="preserve">, Mr. Chandra of </w:t>
      </w:r>
      <w:proofErr w:type="spellStart"/>
      <w:r>
        <w:rPr>
          <w:rFonts w:ascii="Times New Roman" w:hAnsi="Times New Roman" w:cs="Times New Roman"/>
          <w:bCs/>
          <w:color w:val="000000"/>
          <w:sz w:val="24"/>
          <w:szCs w:val="24"/>
        </w:rPr>
        <w:t>Janalakshmi</w:t>
      </w:r>
      <w:proofErr w:type="spellEnd"/>
      <w:r>
        <w:rPr>
          <w:rFonts w:ascii="Times New Roman" w:hAnsi="Times New Roman" w:cs="Times New Roman"/>
          <w:bCs/>
          <w:color w:val="000000"/>
          <w:sz w:val="24"/>
          <w:szCs w:val="24"/>
        </w:rPr>
        <w:t xml:space="preserve"> and Mr. </w:t>
      </w:r>
      <w:proofErr w:type="spellStart"/>
      <w:r>
        <w:rPr>
          <w:rFonts w:ascii="Times New Roman" w:hAnsi="Times New Roman" w:cs="Times New Roman"/>
          <w:bCs/>
          <w:color w:val="000000"/>
          <w:sz w:val="24"/>
          <w:szCs w:val="24"/>
        </w:rPr>
        <w:t>Vasudevan</w:t>
      </w:r>
      <w:proofErr w:type="spellEnd"/>
      <w:r>
        <w:rPr>
          <w:rFonts w:ascii="Times New Roman" w:hAnsi="Times New Roman" w:cs="Times New Roman"/>
          <w:bCs/>
          <w:color w:val="000000"/>
          <w:sz w:val="24"/>
          <w:szCs w:val="24"/>
        </w:rPr>
        <w:t xml:space="preserve"> of  </w:t>
      </w:r>
      <w:proofErr w:type="spellStart"/>
      <w:r>
        <w:rPr>
          <w:rFonts w:ascii="Times New Roman" w:hAnsi="Times New Roman" w:cs="Times New Roman"/>
          <w:bCs/>
          <w:color w:val="000000"/>
          <w:sz w:val="24"/>
          <w:szCs w:val="24"/>
        </w:rPr>
        <w:t>Equitas</w:t>
      </w:r>
      <w:proofErr w:type="spellEnd"/>
      <w:r>
        <w:rPr>
          <w:rFonts w:ascii="Times New Roman" w:hAnsi="Times New Roman" w:cs="Times New Roman"/>
          <w:bCs/>
          <w:color w:val="000000"/>
          <w:sz w:val="24"/>
          <w:szCs w:val="24"/>
        </w:rPr>
        <w:t xml:space="preserve"> Holdings Private Ltd</w:t>
      </w:r>
      <w:r>
        <w:rPr>
          <w:rFonts w:ascii="Times New Roman" w:hAnsi="Times New Roman" w:cs="Times New Roman"/>
          <w:color w:val="000000"/>
          <w:sz w:val="24"/>
          <w:szCs w:val="24"/>
        </w:rPr>
        <w:t>., have over a decade of experience of working in the financial sector.</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Their knowledge of the financial sector, technical know-how, use of sophisticated technology including core banking systems and high degree of professionalism in operations may be some attributes of the financial sector that these leaders have been able to replicate in the field of microfinance. Organizational leaders determine the roadmap for success, drive key initiatives within the organization and take the risk needed.</w:t>
      </w:r>
    </w:p>
    <w:p w:rsidR="00CA1EFF" w:rsidRDefault="00CA1EFF">
      <w:pPr>
        <w:rPr>
          <w:rFonts w:ascii="Times New Roman" w:hAnsi="Times New Roman" w:cs="Times New Roman"/>
          <w:bCs/>
          <w:iCs/>
          <w:color w:val="000000"/>
          <w:sz w:val="24"/>
          <w:szCs w:val="24"/>
        </w:rPr>
      </w:pPr>
      <w:r>
        <w:rPr>
          <w:rFonts w:ascii="Times New Roman" w:hAnsi="Times New Roman" w:cs="Times New Roman"/>
          <w:b/>
          <w:color w:val="000000"/>
          <w:sz w:val="24"/>
          <w:szCs w:val="24"/>
        </w:rPr>
        <w:t>Reaching out Beyond Credit</w:t>
      </w:r>
    </w:p>
    <w:p w:rsidR="00CA1EFF" w:rsidRDefault="00CA1EFF">
      <w:pPr>
        <w:rPr>
          <w:rFonts w:ascii="Times New Roman" w:hAnsi="Times New Roman" w:cs="Times New Roman"/>
          <w:color w:val="000000"/>
          <w:sz w:val="24"/>
          <w:szCs w:val="24"/>
        </w:rPr>
      </w:pPr>
      <w:r>
        <w:rPr>
          <w:rFonts w:ascii="Times New Roman" w:hAnsi="Times New Roman" w:cs="Times New Roman"/>
          <w:bCs/>
          <w:iCs/>
          <w:color w:val="000000"/>
          <w:sz w:val="24"/>
          <w:szCs w:val="24"/>
        </w:rPr>
        <w:t xml:space="preserve">Trends in the </w:t>
      </w:r>
      <w:r w:rsidRPr="005520E5">
        <w:rPr>
          <w:rFonts w:ascii="Times New Roman" w:hAnsi="Times New Roman" w:cs="Times New Roman"/>
          <w:bCs/>
          <w:i/>
          <w:iCs/>
          <w:color w:val="000000"/>
          <w:sz w:val="24"/>
          <w:szCs w:val="24"/>
        </w:rPr>
        <w:t xml:space="preserve">modus operandi </w:t>
      </w:r>
      <w:r>
        <w:rPr>
          <w:rFonts w:ascii="Times New Roman" w:hAnsi="Times New Roman" w:cs="Times New Roman"/>
          <w:bCs/>
          <w:iCs/>
          <w:color w:val="000000"/>
          <w:sz w:val="24"/>
          <w:szCs w:val="24"/>
        </w:rPr>
        <w:t xml:space="preserve">of MFIs vary throughout the globe. Some places need commercially-driven microfinance models such as in Latin America and some need development-oriented models more specifically in relation to poverty reduction. While some </w:t>
      </w:r>
      <w:r>
        <w:rPr>
          <w:rFonts w:ascii="Times New Roman" w:hAnsi="Times New Roman" w:cs="Times New Roman"/>
          <w:color w:val="000000"/>
          <w:sz w:val="24"/>
          <w:szCs w:val="24"/>
        </w:rPr>
        <w:t xml:space="preserve">institutions use a minimalist approach and stick to credit alone, others opt for engaging their customers beyond credit. </w:t>
      </w:r>
    </w:p>
    <w:p w:rsidR="00CA1EFF" w:rsidRDefault="00CA1EFF">
      <w:pPr>
        <w:rPr>
          <w:rFonts w:eastAsia="Times New Roman" w:cs="Times New Roman"/>
          <w:b/>
          <w:bCs/>
          <w:lang w:eastAsia="en-US"/>
        </w:rPr>
      </w:pPr>
      <w:r>
        <w:rPr>
          <w:rFonts w:ascii="Times New Roman" w:hAnsi="Times New Roman" w:cs="Times New Roman"/>
          <w:color w:val="000000"/>
          <w:sz w:val="24"/>
          <w:szCs w:val="24"/>
        </w:rPr>
        <w:t>In sections 2 and 3, we have explored the complex and multidimensional nature of urban poverty. The four institutions studied have also strategically engaged their target segment in interventions beyond credit, encompassing a number of development activities. All have a sister concern that implements these development projects as exhibited in Table 3 below.</w:t>
      </w:r>
    </w:p>
    <w:p w:rsidR="00705876" w:rsidRDefault="00705876" w:rsidP="00705876">
      <w:pPr>
        <w:rPr>
          <w:rFonts w:eastAsia="Times New Roman" w:cs="Times New Roman"/>
          <w:b/>
          <w:bCs/>
          <w:lang w:eastAsia="en-US"/>
        </w:rPr>
      </w:pPr>
    </w:p>
    <w:tbl>
      <w:tblPr>
        <w:tblW w:w="0" w:type="auto"/>
        <w:tblInd w:w="108" w:type="dxa"/>
        <w:tblLayout w:type="fixed"/>
        <w:tblLook w:val="0000" w:firstRow="0" w:lastRow="0" w:firstColumn="0" w:lastColumn="0" w:noHBand="0" w:noVBand="0"/>
      </w:tblPr>
      <w:tblGrid>
        <w:gridCol w:w="1635"/>
        <w:gridCol w:w="1710"/>
        <w:gridCol w:w="1890"/>
        <w:gridCol w:w="4288"/>
      </w:tblGrid>
      <w:tr w:rsidR="00705876" w:rsidTr="00731BD4">
        <w:trPr>
          <w:trHeight w:val="315"/>
        </w:trPr>
        <w:tc>
          <w:tcPr>
            <w:tcW w:w="1635"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jc w:val="center"/>
              <w:rPr>
                <w:rFonts w:eastAsia="Times New Roman" w:cs="Times New Roman"/>
                <w:b/>
                <w:bCs/>
                <w:lang w:eastAsia="en-US"/>
              </w:rPr>
            </w:pPr>
            <w:r>
              <w:rPr>
                <w:rFonts w:eastAsia="Times New Roman" w:cs="Times New Roman"/>
                <w:b/>
                <w:bCs/>
                <w:lang w:eastAsia="en-US"/>
              </w:rPr>
              <w:lastRenderedPageBreak/>
              <w:t>NBFC</w:t>
            </w:r>
          </w:p>
        </w:tc>
        <w:tc>
          <w:tcPr>
            <w:tcW w:w="1710"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jc w:val="center"/>
              <w:rPr>
                <w:rFonts w:eastAsia="Times New Roman" w:cs="Times New Roman"/>
                <w:b/>
                <w:bCs/>
                <w:lang w:eastAsia="en-US"/>
              </w:rPr>
            </w:pPr>
            <w:r>
              <w:rPr>
                <w:rFonts w:eastAsia="Times New Roman" w:cs="Times New Roman"/>
                <w:b/>
                <w:bCs/>
                <w:lang w:eastAsia="en-US"/>
              </w:rPr>
              <w:t>Development partner</w:t>
            </w:r>
          </w:p>
        </w:tc>
        <w:tc>
          <w:tcPr>
            <w:tcW w:w="1890"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jc w:val="center"/>
              <w:rPr>
                <w:rFonts w:eastAsia="Times New Roman" w:cs="Times New Roman"/>
                <w:b/>
                <w:bCs/>
                <w:lang w:eastAsia="en-US"/>
              </w:rPr>
            </w:pPr>
            <w:r>
              <w:rPr>
                <w:rFonts w:eastAsia="Times New Roman" w:cs="Times New Roman"/>
                <w:b/>
                <w:bCs/>
                <w:lang w:eastAsia="en-US"/>
              </w:rPr>
              <w:t>Legal structure</w:t>
            </w:r>
          </w:p>
        </w:tc>
        <w:tc>
          <w:tcPr>
            <w:tcW w:w="428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705876" w:rsidRDefault="00705876" w:rsidP="00731BD4">
            <w:pPr>
              <w:suppressAutoHyphens w:val="0"/>
              <w:spacing w:after="0" w:line="240" w:lineRule="auto"/>
              <w:jc w:val="center"/>
            </w:pPr>
            <w:r>
              <w:rPr>
                <w:rFonts w:eastAsia="Times New Roman" w:cs="Times New Roman"/>
                <w:b/>
                <w:bCs/>
                <w:lang w:eastAsia="en-US"/>
              </w:rPr>
              <w:t>Areas of intervention</w:t>
            </w:r>
          </w:p>
        </w:tc>
      </w:tr>
      <w:tr w:rsidR="00705876" w:rsidTr="00731BD4">
        <w:trPr>
          <w:trHeight w:val="945"/>
        </w:trPr>
        <w:tc>
          <w:tcPr>
            <w:tcW w:w="1635"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rPr>
                <w:rFonts w:eastAsia="Times New Roman" w:cs="Times New Roman"/>
                <w:lang w:eastAsia="en-US"/>
              </w:rPr>
            </w:pPr>
            <w:proofErr w:type="spellStart"/>
            <w:r>
              <w:rPr>
                <w:rFonts w:eastAsia="Times New Roman" w:cs="Times New Roman"/>
                <w:b/>
                <w:bCs/>
                <w:lang w:eastAsia="en-US"/>
              </w:rPr>
              <w:t>Ujjivan</w:t>
            </w:r>
            <w:proofErr w:type="spellEnd"/>
            <w:r>
              <w:rPr>
                <w:rFonts w:eastAsia="Times New Roman" w:cs="Times New Roman"/>
                <w:b/>
                <w:bCs/>
                <w:lang w:eastAsia="en-US"/>
              </w:rPr>
              <w:t xml:space="preserve"> Financial Services Private Limited</w:t>
            </w:r>
          </w:p>
        </w:tc>
        <w:tc>
          <w:tcPr>
            <w:tcW w:w="1710" w:type="dxa"/>
            <w:tcBorders>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rPr>
                <w:rFonts w:eastAsia="Times New Roman" w:cs="Times New Roman"/>
                <w:lang w:eastAsia="en-US"/>
              </w:rPr>
            </w:pPr>
            <w:proofErr w:type="spellStart"/>
            <w:r>
              <w:rPr>
                <w:rFonts w:eastAsia="Times New Roman" w:cs="Times New Roman"/>
                <w:lang w:eastAsia="en-US"/>
              </w:rPr>
              <w:t>Parinaam</w:t>
            </w:r>
            <w:proofErr w:type="spellEnd"/>
            <w:r>
              <w:rPr>
                <w:rFonts w:eastAsia="Times New Roman" w:cs="Times New Roman"/>
                <w:lang w:eastAsia="en-US"/>
              </w:rPr>
              <w:t xml:space="preserve"> Foundation</w:t>
            </w:r>
          </w:p>
        </w:tc>
        <w:tc>
          <w:tcPr>
            <w:tcW w:w="1890" w:type="dxa"/>
            <w:tcBorders>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rPr>
                <w:rFonts w:eastAsia="Times New Roman" w:cs="Times New Roman"/>
                <w:lang w:eastAsia="en-US"/>
              </w:rPr>
            </w:pPr>
            <w:r>
              <w:rPr>
                <w:rFonts w:eastAsia="Times New Roman" w:cs="Times New Roman"/>
                <w:lang w:eastAsia="en-US"/>
              </w:rPr>
              <w:t>Not for profit Section 25 company</w:t>
            </w:r>
          </w:p>
        </w:tc>
        <w:tc>
          <w:tcPr>
            <w:tcW w:w="4288" w:type="dxa"/>
            <w:tcBorders>
              <w:left w:val="single" w:sz="4" w:space="0" w:color="000000"/>
              <w:bottom w:val="single" w:sz="4" w:space="0" w:color="000000"/>
              <w:right w:val="single" w:sz="4" w:space="0" w:color="000000"/>
            </w:tcBorders>
            <w:shd w:val="clear" w:color="auto" w:fill="auto"/>
            <w:vAlign w:val="center"/>
          </w:tcPr>
          <w:p w:rsidR="00705876" w:rsidRDefault="00705876" w:rsidP="00731BD4">
            <w:pPr>
              <w:suppressAutoHyphens w:val="0"/>
              <w:spacing w:after="0" w:line="240" w:lineRule="auto"/>
            </w:pPr>
            <w:r>
              <w:rPr>
                <w:rFonts w:eastAsia="Times New Roman" w:cs="Times New Roman"/>
                <w:lang w:eastAsia="en-US"/>
              </w:rPr>
              <w:t>1) Ultra poor program 2) Education 3) Financial literacy 4) Livelihood and community development</w:t>
            </w:r>
          </w:p>
        </w:tc>
      </w:tr>
      <w:tr w:rsidR="00705876" w:rsidTr="00731BD4">
        <w:trPr>
          <w:cantSplit/>
          <w:trHeight w:val="630"/>
        </w:trPr>
        <w:tc>
          <w:tcPr>
            <w:tcW w:w="1635" w:type="dxa"/>
            <w:vMerge w:val="restart"/>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rPr>
                <w:rFonts w:eastAsia="Times New Roman" w:cs="Times New Roman"/>
                <w:lang w:eastAsia="en-US"/>
              </w:rPr>
            </w:pPr>
            <w:proofErr w:type="spellStart"/>
            <w:r>
              <w:rPr>
                <w:rFonts w:eastAsia="Times New Roman" w:cs="Times New Roman"/>
                <w:b/>
                <w:bCs/>
                <w:lang w:eastAsia="en-US"/>
              </w:rPr>
              <w:t>Equitas</w:t>
            </w:r>
            <w:proofErr w:type="spellEnd"/>
            <w:r>
              <w:rPr>
                <w:rFonts w:eastAsia="Times New Roman" w:cs="Times New Roman"/>
                <w:b/>
                <w:bCs/>
                <w:lang w:eastAsia="en-US"/>
              </w:rPr>
              <w:t xml:space="preserve"> Holdings Private Limited</w:t>
            </w:r>
          </w:p>
        </w:tc>
        <w:tc>
          <w:tcPr>
            <w:tcW w:w="1710" w:type="dxa"/>
            <w:tcBorders>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rPr>
                <w:rFonts w:eastAsia="Times New Roman" w:cs="Times New Roman"/>
                <w:lang w:eastAsia="en-US"/>
              </w:rPr>
            </w:pPr>
            <w:proofErr w:type="spellStart"/>
            <w:r>
              <w:rPr>
                <w:rFonts w:eastAsia="Times New Roman" w:cs="Times New Roman"/>
                <w:lang w:eastAsia="en-US"/>
              </w:rPr>
              <w:t>Equitas</w:t>
            </w:r>
            <w:proofErr w:type="spellEnd"/>
            <w:r>
              <w:rPr>
                <w:rFonts w:eastAsia="Times New Roman" w:cs="Times New Roman"/>
                <w:lang w:eastAsia="en-US"/>
              </w:rPr>
              <w:t xml:space="preserve"> Microfinance Private Ltd</w:t>
            </w:r>
          </w:p>
        </w:tc>
        <w:tc>
          <w:tcPr>
            <w:tcW w:w="1890" w:type="dxa"/>
            <w:tcBorders>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rPr>
                <w:rFonts w:eastAsia="Times New Roman" w:cs="Times New Roman"/>
                <w:lang w:eastAsia="en-US"/>
              </w:rPr>
            </w:pPr>
            <w:r>
              <w:rPr>
                <w:rFonts w:eastAsia="Times New Roman" w:cs="Times New Roman"/>
                <w:lang w:eastAsia="en-US"/>
              </w:rPr>
              <w:t>Non-Banking Financial Institution</w:t>
            </w:r>
          </w:p>
        </w:tc>
        <w:tc>
          <w:tcPr>
            <w:tcW w:w="4288" w:type="dxa"/>
            <w:tcBorders>
              <w:left w:val="single" w:sz="4" w:space="0" w:color="000000"/>
              <w:bottom w:val="single" w:sz="4" w:space="0" w:color="000000"/>
              <w:right w:val="single" w:sz="4" w:space="0" w:color="000000"/>
            </w:tcBorders>
            <w:shd w:val="clear" w:color="auto" w:fill="auto"/>
            <w:vAlign w:val="center"/>
          </w:tcPr>
          <w:p w:rsidR="00705876" w:rsidRDefault="00705876" w:rsidP="00731BD4">
            <w:pPr>
              <w:suppressAutoHyphens w:val="0"/>
              <w:spacing w:after="0" w:line="240" w:lineRule="auto"/>
            </w:pPr>
            <w:r>
              <w:rPr>
                <w:rFonts w:eastAsia="Times New Roman" w:cs="Times New Roman"/>
                <w:lang w:eastAsia="en-US"/>
              </w:rPr>
              <w:t>Credit and other financial products</w:t>
            </w:r>
          </w:p>
        </w:tc>
      </w:tr>
      <w:tr w:rsidR="00705876" w:rsidTr="00731BD4">
        <w:trPr>
          <w:cantSplit/>
          <w:trHeight w:val="720"/>
        </w:trPr>
        <w:tc>
          <w:tcPr>
            <w:tcW w:w="1635" w:type="dxa"/>
            <w:vMerge/>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napToGrid w:val="0"/>
              <w:spacing w:after="0" w:line="240" w:lineRule="auto"/>
              <w:rPr>
                <w:rFonts w:eastAsia="Times New Roman" w:cs="Times New Roman"/>
                <w:b/>
                <w:bCs/>
                <w:lang w:eastAsia="en-US"/>
              </w:rPr>
            </w:pPr>
          </w:p>
        </w:tc>
        <w:tc>
          <w:tcPr>
            <w:tcW w:w="1710" w:type="dxa"/>
            <w:tcBorders>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rPr>
                <w:rFonts w:eastAsia="Times New Roman" w:cs="Times New Roman"/>
                <w:lang w:eastAsia="en-US"/>
              </w:rPr>
            </w:pPr>
            <w:proofErr w:type="spellStart"/>
            <w:r>
              <w:rPr>
                <w:rFonts w:eastAsia="Times New Roman" w:cs="Times New Roman"/>
                <w:lang w:eastAsia="en-US"/>
              </w:rPr>
              <w:t>Equitas</w:t>
            </w:r>
            <w:proofErr w:type="spellEnd"/>
            <w:r>
              <w:rPr>
                <w:rFonts w:eastAsia="Times New Roman" w:cs="Times New Roman"/>
                <w:lang w:eastAsia="en-US"/>
              </w:rPr>
              <w:t xml:space="preserve"> Development initiative Trust</w:t>
            </w:r>
          </w:p>
        </w:tc>
        <w:tc>
          <w:tcPr>
            <w:tcW w:w="1890" w:type="dxa"/>
            <w:tcBorders>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rPr>
                <w:rFonts w:eastAsia="Times New Roman" w:cs="Times New Roman"/>
                <w:lang w:eastAsia="en-US"/>
              </w:rPr>
            </w:pPr>
            <w:r>
              <w:rPr>
                <w:rFonts w:eastAsia="Times New Roman" w:cs="Times New Roman"/>
                <w:lang w:eastAsia="en-US"/>
              </w:rPr>
              <w:t>Charitable trust</w:t>
            </w:r>
          </w:p>
        </w:tc>
        <w:tc>
          <w:tcPr>
            <w:tcW w:w="4288" w:type="dxa"/>
            <w:tcBorders>
              <w:left w:val="single" w:sz="4" w:space="0" w:color="000000"/>
              <w:bottom w:val="single" w:sz="4" w:space="0" w:color="000000"/>
              <w:right w:val="single" w:sz="4" w:space="0" w:color="000000"/>
            </w:tcBorders>
            <w:shd w:val="clear" w:color="auto" w:fill="auto"/>
            <w:vAlign w:val="center"/>
          </w:tcPr>
          <w:p w:rsidR="00705876" w:rsidRDefault="00705876" w:rsidP="00731BD4">
            <w:pPr>
              <w:suppressAutoHyphens w:val="0"/>
              <w:spacing w:after="0" w:line="240" w:lineRule="auto"/>
            </w:pPr>
            <w:r>
              <w:rPr>
                <w:rFonts w:eastAsia="Times New Roman" w:cs="Times New Roman"/>
                <w:lang w:eastAsia="en-US"/>
              </w:rPr>
              <w:t>1) Vocational training 2) Health care 3) Rehabilitation of pavement dwellers</w:t>
            </w:r>
          </w:p>
        </w:tc>
      </w:tr>
      <w:tr w:rsidR="00705876" w:rsidTr="00731BD4">
        <w:trPr>
          <w:cantSplit/>
          <w:trHeight w:val="630"/>
        </w:trPr>
        <w:tc>
          <w:tcPr>
            <w:tcW w:w="1635" w:type="dxa"/>
            <w:vMerge/>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napToGrid w:val="0"/>
              <w:spacing w:after="0" w:line="240" w:lineRule="auto"/>
              <w:rPr>
                <w:rFonts w:eastAsia="Times New Roman" w:cs="Times New Roman"/>
                <w:b/>
                <w:bCs/>
                <w:lang w:eastAsia="en-US"/>
              </w:rPr>
            </w:pPr>
          </w:p>
        </w:tc>
        <w:tc>
          <w:tcPr>
            <w:tcW w:w="1710" w:type="dxa"/>
            <w:tcBorders>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rPr>
                <w:rFonts w:eastAsia="Times New Roman" w:cs="Times New Roman"/>
                <w:lang w:eastAsia="en-US"/>
              </w:rPr>
            </w:pPr>
            <w:proofErr w:type="spellStart"/>
            <w:r>
              <w:rPr>
                <w:rFonts w:eastAsia="Times New Roman" w:cs="Times New Roman"/>
                <w:lang w:eastAsia="en-US"/>
              </w:rPr>
              <w:t>Equitas</w:t>
            </w:r>
            <w:proofErr w:type="spellEnd"/>
            <w:r>
              <w:rPr>
                <w:rFonts w:eastAsia="Times New Roman" w:cs="Times New Roman"/>
                <w:lang w:eastAsia="en-US"/>
              </w:rPr>
              <w:t xml:space="preserve"> </w:t>
            </w:r>
            <w:proofErr w:type="spellStart"/>
            <w:r>
              <w:rPr>
                <w:rFonts w:eastAsia="Times New Roman" w:cs="Times New Roman"/>
                <w:lang w:eastAsia="en-US"/>
              </w:rPr>
              <w:t>Dhanya</w:t>
            </w:r>
            <w:proofErr w:type="spellEnd"/>
            <w:r>
              <w:rPr>
                <w:rFonts w:eastAsia="Times New Roman" w:cs="Times New Roman"/>
                <w:lang w:eastAsia="en-US"/>
              </w:rPr>
              <w:t xml:space="preserve"> Kosha</w:t>
            </w:r>
          </w:p>
        </w:tc>
        <w:tc>
          <w:tcPr>
            <w:tcW w:w="1890" w:type="dxa"/>
            <w:tcBorders>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rPr>
                <w:rFonts w:eastAsia="Times New Roman" w:cs="Times New Roman"/>
                <w:lang w:eastAsia="en-US"/>
              </w:rPr>
            </w:pPr>
            <w:r>
              <w:rPr>
                <w:rFonts w:eastAsia="Times New Roman" w:cs="Times New Roman"/>
                <w:lang w:eastAsia="en-US"/>
              </w:rPr>
              <w:t>Private limited Section 25 company</w:t>
            </w:r>
          </w:p>
        </w:tc>
        <w:tc>
          <w:tcPr>
            <w:tcW w:w="4288" w:type="dxa"/>
            <w:tcBorders>
              <w:left w:val="single" w:sz="4" w:space="0" w:color="000000"/>
              <w:bottom w:val="single" w:sz="4" w:space="0" w:color="000000"/>
              <w:right w:val="single" w:sz="4" w:space="0" w:color="000000"/>
            </w:tcBorders>
            <w:shd w:val="clear" w:color="auto" w:fill="auto"/>
            <w:vAlign w:val="center"/>
          </w:tcPr>
          <w:p w:rsidR="00705876" w:rsidRDefault="00705876" w:rsidP="00731BD4">
            <w:pPr>
              <w:suppressAutoHyphens w:val="0"/>
              <w:spacing w:after="0" w:line="240" w:lineRule="auto"/>
            </w:pPr>
            <w:r>
              <w:rPr>
                <w:rFonts w:eastAsia="Times New Roman" w:cs="Times New Roman"/>
                <w:lang w:eastAsia="en-US"/>
              </w:rPr>
              <w:t>Food security</w:t>
            </w:r>
          </w:p>
        </w:tc>
      </w:tr>
      <w:tr w:rsidR="00705876" w:rsidTr="00731BD4">
        <w:trPr>
          <w:cantSplit/>
          <w:trHeight w:val="1050"/>
        </w:trPr>
        <w:tc>
          <w:tcPr>
            <w:tcW w:w="1635" w:type="dxa"/>
            <w:vMerge w:val="restart"/>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rPr>
                <w:rFonts w:eastAsia="Times New Roman" w:cs="Times New Roman"/>
                <w:lang w:eastAsia="en-US"/>
              </w:rPr>
            </w:pPr>
            <w:proofErr w:type="spellStart"/>
            <w:r>
              <w:rPr>
                <w:rFonts w:eastAsia="Times New Roman" w:cs="Times New Roman"/>
                <w:b/>
                <w:bCs/>
                <w:lang w:eastAsia="en-US"/>
              </w:rPr>
              <w:t>Janalakshmi</w:t>
            </w:r>
            <w:proofErr w:type="spellEnd"/>
            <w:r>
              <w:rPr>
                <w:rFonts w:eastAsia="Times New Roman" w:cs="Times New Roman"/>
                <w:b/>
                <w:bCs/>
                <w:lang w:eastAsia="en-US"/>
              </w:rPr>
              <w:t xml:space="preserve"> Financial Services</w:t>
            </w:r>
          </w:p>
        </w:tc>
        <w:tc>
          <w:tcPr>
            <w:tcW w:w="1710" w:type="dxa"/>
            <w:tcBorders>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rPr>
                <w:rFonts w:eastAsia="Times New Roman" w:cs="Times New Roman"/>
                <w:lang w:eastAsia="en-US"/>
              </w:rPr>
            </w:pPr>
            <w:proofErr w:type="spellStart"/>
            <w:r>
              <w:rPr>
                <w:rFonts w:eastAsia="Times New Roman" w:cs="Times New Roman"/>
                <w:lang w:eastAsia="en-US"/>
              </w:rPr>
              <w:t>Janalakshmi</w:t>
            </w:r>
            <w:proofErr w:type="spellEnd"/>
            <w:r>
              <w:rPr>
                <w:rFonts w:eastAsia="Times New Roman" w:cs="Times New Roman"/>
                <w:lang w:eastAsia="en-US"/>
              </w:rPr>
              <w:t xml:space="preserve"> Social Services</w:t>
            </w:r>
          </w:p>
        </w:tc>
        <w:tc>
          <w:tcPr>
            <w:tcW w:w="1890" w:type="dxa"/>
            <w:tcBorders>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rPr>
                <w:rFonts w:eastAsia="Times New Roman" w:cs="Times New Roman"/>
                <w:lang w:eastAsia="en-US"/>
              </w:rPr>
            </w:pPr>
            <w:r>
              <w:rPr>
                <w:rFonts w:eastAsia="Times New Roman" w:cs="Times New Roman"/>
                <w:lang w:eastAsia="en-US"/>
              </w:rPr>
              <w:t>Not for profit Section 25 company</w:t>
            </w:r>
          </w:p>
        </w:tc>
        <w:tc>
          <w:tcPr>
            <w:tcW w:w="4288" w:type="dxa"/>
            <w:tcBorders>
              <w:left w:val="single" w:sz="4" w:space="0" w:color="000000"/>
              <w:bottom w:val="single" w:sz="4" w:space="0" w:color="000000"/>
              <w:right w:val="single" w:sz="4" w:space="0" w:color="000000"/>
            </w:tcBorders>
            <w:shd w:val="clear" w:color="auto" w:fill="auto"/>
            <w:vAlign w:val="center"/>
          </w:tcPr>
          <w:p w:rsidR="00705876" w:rsidRDefault="00705876" w:rsidP="00731BD4">
            <w:pPr>
              <w:suppressAutoHyphens w:val="0"/>
              <w:spacing w:after="0" w:line="240" w:lineRule="auto"/>
            </w:pPr>
            <w:r>
              <w:rPr>
                <w:rFonts w:eastAsia="Times New Roman" w:cs="Times New Roman"/>
                <w:lang w:eastAsia="en-US"/>
              </w:rPr>
              <w:t>1) Incubation of social business models 2) Education, skills and livelihood 3) Community mobilization</w:t>
            </w:r>
          </w:p>
        </w:tc>
      </w:tr>
      <w:tr w:rsidR="00705876" w:rsidTr="00731BD4">
        <w:trPr>
          <w:cantSplit/>
          <w:trHeight w:val="630"/>
        </w:trPr>
        <w:tc>
          <w:tcPr>
            <w:tcW w:w="1635" w:type="dxa"/>
            <w:vMerge/>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napToGrid w:val="0"/>
              <w:spacing w:after="0" w:line="240" w:lineRule="auto"/>
              <w:rPr>
                <w:rFonts w:eastAsia="Times New Roman" w:cs="Times New Roman"/>
                <w:b/>
                <w:bCs/>
                <w:lang w:eastAsia="en-US"/>
              </w:rPr>
            </w:pPr>
          </w:p>
        </w:tc>
        <w:tc>
          <w:tcPr>
            <w:tcW w:w="1710" w:type="dxa"/>
            <w:tcBorders>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rPr>
                <w:rFonts w:eastAsia="Times New Roman" w:cs="Times New Roman"/>
                <w:lang w:eastAsia="en-US"/>
              </w:rPr>
            </w:pPr>
            <w:proofErr w:type="spellStart"/>
            <w:r>
              <w:rPr>
                <w:rFonts w:eastAsia="Times New Roman" w:cs="Times New Roman"/>
                <w:lang w:eastAsia="en-US"/>
              </w:rPr>
              <w:t>Janaadhar</w:t>
            </w:r>
            <w:proofErr w:type="spellEnd"/>
            <w:r>
              <w:rPr>
                <w:rFonts w:eastAsia="Times New Roman" w:cs="Times New Roman"/>
                <w:lang w:eastAsia="en-US"/>
              </w:rPr>
              <w:t xml:space="preserve"> constructions </w:t>
            </w:r>
            <w:proofErr w:type="spellStart"/>
            <w:r>
              <w:rPr>
                <w:rFonts w:eastAsia="Times New Roman" w:cs="Times New Roman"/>
                <w:lang w:eastAsia="en-US"/>
              </w:rPr>
              <w:t>pvt.</w:t>
            </w:r>
            <w:proofErr w:type="spellEnd"/>
            <w:r>
              <w:rPr>
                <w:rFonts w:eastAsia="Times New Roman" w:cs="Times New Roman"/>
                <w:lang w:eastAsia="en-US"/>
              </w:rPr>
              <w:t xml:space="preserve"> ltd</w:t>
            </w:r>
          </w:p>
        </w:tc>
        <w:tc>
          <w:tcPr>
            <w:tcW w:w="1890" w:type="dxa"/>
            <w:tcBorders>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rPr>
                <w:rFonts w:eastAsia="Times New Roman" w:cs="Times New Roman"/>
                <w:lang w:eastAsia="en-US"/>
              </w:rPr>
            </w:pPr>
            <w:r>
              <w:rPr>
                <w:rFonts w:eastAsia="Times New Roman" w:cs="Times New Roman"/>
                <w:lang w:eastAsia="en-US"/>
              </w:rPr>
              <w:t>Private Ltd company</w:t>
            </w:r>
          </w:p>
        </w:tc>
        <w:tc>
          <w:tcPr>
            <w:tcW w:w="4288" w:type="dxa"/>
            <w:tcBorders>
              <w:left w:val="single" w:sz="4" w:space="0" w:color="000000"/>
              <w:bottom w:val="single" w:sz="4" w:space="0" w:color="000000"/>
              <w:right w:val="single" w:sz="4" w:space="0" w:color="000000"/>
            </w:tcBorders>
            <w:shd w:val="clear" w:color="auto" w:fill="auto"/>
            <w:vAlign w:val="center"/>
          </w:tcPr>
          <w:p w:rsidR="00705876" w:rsidRDefault="00705876" w:rsidP="00731BD4">
            <w:pPr>
              <w:suppressAutoHyphens w:val="0"/>
              <w:spacing w:after="0" w:line="240" w:lineRule="auto"/>
            </w:pPr>
            <w:r>
              <w:rPr>
                <w:rFonts w:eastAsia="Times New Roman" w:cs="Times New Roman"/>
                <w:lang w:eastAsia="en-US"/>
              </w:rPr>
              <w:t>Construction of low-cost and affordable housing</w:t>
            </w:r>
          </w:p>
        </w:tc>
      </w:tr>
      <w:tr w:rsidR="00705876" w:rsidTr="00731BD4">
        <w:trPr>
          <w:trHeight w:val="630"/>
        </w:trPr>
        <w:tc>
          <w:tcPr>
            <w:tcW w:w="1635" w:type="dxa"/>
            <w:tcBorders>
              <w:top w:val="single" w:sz="4" w:space="0" w:color="000000"/>
              <w:left w:val="single" w:sz="4" w:space="0" w:color="000000"/>
              <w:bottom w:val="single" w:sz="4" w:space="0" w:color="000000"/>
            </w:tcBorders>
            <w:shd w:val="clear" w:color="auto" w:fill="BFBFBF"/>
            <w:vAlign w:val="center"/>
          </w:tcPr>
          <w:p w:rsidR="00705876" w:rsidRDefault="00705876" w:rsidP="00731BD4">
            <w:pPr>
              <w:suppressAutoHyphens w:val="0"/>
              <w:spacing w:after="0" w:line="240" w:lineRule="auto"/>
              <w:rPr>
                <w:rFonts w:eastAsia="Times New Roman" w:cs="Times New Roman"/>
                <w:lang w:eastAsia="en-US"/>
              </w:rPr>
            </w:pPr>
            <w:proofErr w:type="spellStart"/>
            <w:r>
              <w:rPr>
                <w:rFonts w:eastAsia="Times New Roman" w:cs="Times New Roman"/>
                <w:b/>
                <w:bCs/>
                <w:lang w:eastAsia="en-US"/>
              </w:rPr>
              <w:t>Swadhaar</w:t>
            </w:r>
            <w:proofErr w:type="spellEnd"/>
            <w:r>
              <w:rPr>
                <w:rFonts w:eastAsia="Times New Roman" w:cs="Times New Roman"/>
                <w:b/>
                <w:bCs/>
                <w:lang w:eastAsia="en-US"/>
              </w:rPr>
              <w:t xml:space="preserve"> </w:t>
            </w:r>
            <w:proofErr w:type="spellStart"/>
            <w:r>
              <w:rPr>
                <w:rFonts w:eastAsia="Times New Roman" w:cs="Times New Roman"/>
                <w:b/>
                <w:bCs/>
                <w:lang w:eastAsia="en-US"/>
              </w:rPr>
              <w:t>FinServe</w:t>
            </w:r>
            <w:proofErr w:type="spellEnd"/>
          </w:p>
        </w:tc>
        <w:tc>
          <w:tcPr>
            <w:tcW w:w="1710" w:type="dxa"/>
            <w:tcBorders>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rPr>
                <w:rFonts w:eastAsia="Times New Roman" w:cs="Times New Roman"/>
                <w:lang w:eastAsia="en-US"/>
              </w:rPr>
            </w:pPr>
            <w:proofErr w:type="spellStart"/>
            <w:r>
              <w:rPr>
                <w:rFonts w:eastAsia="Times New Roman" w:cs="Times New Roman"/>
                <w:lang w:eastAsia="en-US"/>
              </w:rPr>
              <w:t>Swadhaar</w:t>
            </w:r>
            <w:proofErr w:type="spellEnd"/>
            <w:r>
              <w:rPr>
                <w:rFonts w:eastAsia="Times New Roman" w:cs="Times New Roman"/>
                <w:lang w:eastAsia="en-US"/>
              </w:rPr>
              <w:t xml:space="preserve"> </w:t>
            </w:r>
            <w:proofErr w:type="spellStart"/>
            <w:r>
              <w:rPr>
                <w:rFonts w:eastAsia="Times New Roman" w:cs="Times New Roman"/>
                <w:lang w:eastAsia="en-US"/>
              </w:rPr>
              <w:t>FinAccess</w:t>
            </w:r>
            <w:proofErr w:type="spellEnd"/>
          </w:p>
        </w:tc>
        <w:tc>
          <w:tcPr>
            <w:tcW w:w="1890" w:type="dxa"/>
            <w:tcBorders>
              <w:left w:val="single" w:sz="4" w:space="0" w:color="000000"/>
              <w:bottom w:val="single" w:sz="4" w:space="0" w:color="000000"/>
            </w:tcBorders>
            <w:shd w:val="clear" w:color="auto" w:fill="auto"/>
            <w:vAlign w:val="center"/>
          </w:tcPr>
          <w:p w:rsidR="00705876" w:rsidRDefault="00705876" w:rsidP="00731BD4">
            <w:pPr>
              <w:suppressAutoHyphens w:val="0"/>
              <w:spacing w:after="0" w:line="240" w:lineRule="auto"/>
              <w:rPr>
                <w:rFonts w:eastAsia="Times New Roman" w:cs="Times New Roman"/>
                <w:lang w:eastAsia="en-US"/>
              </w:rPr>
            </w:pPr>
            <w:r>
              <w:rPr>
                <w:rFonts w:eastAsia="Times New Roman" w:cs="Times New Roman"/>
                <w:lang w:eastAsia="en-US"/>
              </w:rPr>
              <w:t>Not for profit Section 25 company</w:t>
            </w:r>
          </w:p>
        </w:tc>
        <w:tc>
          <w:tcPr>
            <w:tcW w:w="4288" w:type="dxa"/>
            <w:tcBorders>
              <w:left w:val="single" w:sz="4" w:space="0" w:color="000000"/>
              <w:bottom w:val="single" w:sz="4" w:space="0" w:color="000000"/>
              <w:right w:val="single" w:sz="4" w:space="0" w:color="000000"/>
            </w:tcBorders>
            <w:shd w:val="clear" w:color="auto" w:fill="auto"/>
            <w:vAlign w:val="center"/>
          </w:tcPr>
          <w:p w:rsidR="00705876" w:rsidRDefault="00705876" w:rsidP="00731BD4">
            <w:pPr>
              <w:suppressAutoHyphens w:val="0"/>
              <w:spacing w:after="0" w:line="240" w:lineRule="auto"/>
            </w:pPr>
            <w:r>
              <w:rPr>
                <w:rFonts w:eastAsia="Times New Roman" w:cs="Times New Roman"/>
                <w:lang w:eastAsia="en-US"/>
              </w:rPr>
              <w:t>Financial literacy and inclusion</w:t>
            </w:r>
          </w:p>
        </w:tc>
      </w:tr>
    </w:tbl>
    <w:p w:rsidR="00705876" w:rsidRDefault="00705876" w:rsidP="00705876">
      <w:pPr>
        <w:spacing w:after="0"/>
        <w:jc w:val="center"/>
        <w:rPr>
          <w:b/>
        </w:rPr>
      </w:pPr>
    </w:p>
    <w:p w:rsidR="00705876" w:rsidRDefault="00705876" w:rsidP="00705876">
      <w:pPr>
        <w:jc w:val="center"/>
      </w:pPr>
      <w:r>
        <w:rPr>
          <w:b/>
        </w:rPr>
        <w:t>Table 3: D</w:t>
      </w:r>
      <w:r>
        <w:rPr>
          <w:rFonts w:eastAsia="Times New Roman" w:cs="Times New Roman"/>
          <w:b/>
          <w:bCs/>
          <w:lang w:eastAsia="en-US"/>
        </w:rPr>
        <w:t>evelopment partners, legal structure and areas of intervention</w:t>
      </w:r>
      <w:r>
        <w:rPr>
          <w:b/>
        </w:rPr>
        <w:t xml:space="preserve"> of the four NBFCs</w:t>
      </w:r>
    </w:p>
    <w:p w:rsidR="00CA1EFF" w:rsidRDefault="00CA1EFF">
      <w:pPr>
        <w:rPr>
          <w:rFonts w:ascii="Times New Roman" w:hAnsi="Times New Roman" w:cs="Times New Roman"/>
          <w:color w:val="000000"/>
          <w:sz w:val="24"/>
          <w:szCs w:val="24"/>
        </w:rPr>
      </w:pPr>
      <w:r>
        <w:rPr>
          <w:rFonts w:ascii="Times New Roman" w:hAnsi="Times New Roman" w:cs="Times New Roman"/>
          <w:color w:val="000000"/>
          <w:sz w:val="24"/>
          <w:szCs w:val="24"/>
        </w:rPr>
        <w:t>The clear demarcation of both the type of involvement financial and non-financial dimensions through setting up different agencies is a strategy that comes with several benefits. While a for-profit company is likely to have direct financial benefits, not-for-profits can accept donations and charities; they are exempt from tax and have a lesser possibility of regulatory interference (Sa-</w:t>
      </w:r>
      <w:proofErr w:type="spellStart"/>
      <w:r>
        <w:rPr>
          <w:rFonts w:ascii="Times New Roman" w:hAnsi="Times New Roman" w:cs="Times New Roman"/>
          <w:color w:val="000000"/>
          <w:sz w:val="24"/>
          <w:szCs w:val="24"/>
        </w:rPr>
        <w:t>Dhan</w:t>
      </w:r>
      <w:proofErr w:type="spellEnd"/>
      <w:r>
        <w:rPr>
          <w:rFonts w:ascii="Times New Roman" w:hAnsi="Times New Roman" w:cs="Times New Roman"/>
          <w:color w:val="000000"/>
          <w:sz w:val="24"/>
          <w:szCs w:val="24"/>
        </w:rPr>
        <w:t>, 2006, p. 14).</w:t>
      </w:r>
    </w:p>
    <w:p w:rsidR="00CA1EFF" w:rsidRDefault="00CA1EFF">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Equitas’s</w:t>
      </w:r>
      <w:proofErr w:type="spellEnd"/>
      <w:r>
        <w:rPr>
          <w:rFonts w:ascii="Times New Roman" w:hAnsi="Times New Roman" w:cs="Times New Roman"/>
          <w:color w:val="000000"/>
          <w:sz w:val="24"/>
          <w:szCs w:val="24"/>
        </w:rPr>
        <w:t xml:space="preserve"> unique concept of a chain of grocery store called as </w:t>
      </w:r>
      <w:proofErr w:type="spellStart"/>
      <w:r>
        <w:rPr>
          <w:rFonts w:ascii="Times New Roman" w:hAnsi="Times New Roman" w:cs="Times New Roman"/>
          <w:i/>
          <w:color w:val="000000"/>
          <w:sz w:val="24"/>
          <w:szCs w:val="24"/>
        </w:rPr>
        <w:t>Equitas</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Dhanya</w:t>
      </w:r>
      <w:proofErr w:type="spellEnd"/>
      <w:r>
        <w:rPr>
          <w:rFonts w:ascii="Times New Roman" w:hAnsi="Times New Roman" w:cs="Times New Roman"/>
          <w:i/>
          <w:color w:val="000000"/>
          <w:sz w:val="24"/>
          <w:szCs w:val="24"/>
        </w:rPr>
        <w:t xml:space="preserve"> Kosha</w:t>
      </w:r>
      <w:r>
        <w:rPr>
          <w:rFonts w:ascii="Times New Roman" w:hAnsi="Times New Roman" w:cs="Times New Roman"/>
          <w:color w:val="000000"/>
          <w:sz w:val="24"/>
          <w:szCs w:val="24"/>
        </w:rPr>
        <w:t xml:space="preserve"> is designed to address the food security needs of the urban poor. These stores are like any super market though their benefit is threefold: the households are provided an interest-free monthly rolling credit of Rs 1,000 which is loaded on a card and can be availed in times of difficulty; secondly, the goods are sold on prices cheaper than the MRP which means savings; and thirdly, about 8% of the savings against MRP is given back to every customer on a monthly basis. This also means that a substantial part of the customer’s income never changed hands outside the relationship with this financial institution.</w:t>
      </w:r>
    </w:p>
    <w:p w:rsidR="00CA1EFF" w:rsidRDefault="00CA1EFF">
      <w:pPr>
        <w:rPr>
          <w:rFonts w:ascii="Times New Roman" w:hAnsi="Times New Roman" w:cs="Times New Roman"/>
          <w:sz w:val="24"/>
          <w:szCs w:val="24"/>
        </w:rPr>
      </w:pPr>
      <w:r>
        <w:rPr>
          <w:rFonts w:ascii="Times New Roman" w:hAnsi="Times New Roman" w:cs="Times New Roman"/>
          <w:color w:val="000000"/>
          <w:sz w:val="24"/>
          <w:szCs w:val="24"/>
        </w:rPr>
        <w:lastRenderedPageBreak/>
        <w:t>Contributing to the overall well-being of the customer segment is also an investment towards the longevity of engagement with the customers. While the social development programs benefit the customers directly, interactions with customers and adding value in more than one sphere of their lives is likely to influence their loyalty towards the financial institution and may also instill stickiness. For instance, financial literacy has the potential to build financial capabilities leading to household financial management which in turn may result into better portfolio quality for the financial institution.</w:t>
      </w:r>
    </w:p>
    <w:p w:rsidR="00CA1EFF" w:rsidRDefault="00CA1EFF">
      <w:pPr>
        <w:pStyle w:val="Heading1"/>
        <w:rPr>
          <w:rFonts w:ascii="Times New Roman" w:hAnsi="Times New Roman" w:cs="Times New Roman"/>
          <w:color w:val="000000"/>
          <w:sz w:val="24"/>
          <w:szCs w:val="24"/>
        </w:rPr>
      </w:pPr>
      <w:r>
        <w:rPr>
          <w:rFonts w:ascii="Times New Roman" w:hAnsi="Times New Roman" w:cs="Times New Roman"/>
          <w:sz w:val="24"/>
          <w:szCs w:val="24"/>
        </w:rPr>
        <w:t>CHALLENGES FACED</w:t>
      </w:r>
    </w:p>
    <w:p w:rsidR="00CA1EFF" w:rsidRDefault="00CA1EFF">
      <w:pPr>
        <w:rPr>
          <w:rFonts w:ascii="Times New Roman" w:hAnsi="Times New Roman" w:cs="Times New Roman"/>
          <w:color w:val="000000"/>
          <w:sz w:val="24"/>
          <w:szCs w:val="24"/>
        </w:rPr>
      </w:pPr>
      <w:r>
        <w:rPr>
          <w:rFonts w:ascii="Times New Roman" w:hAnsi="Times New Roman" w:cs="Times New Roman"/>
          <w:color w:val="000000"/>
          <w:sz w:val="24"/>
          <w:szCs w:val="24"/>
        </w:rPr>
        <w:t>The last area where some convergence is seen is the challenges that the industry in its entirety is facing. While there may be a number of such aspects, two of these have been highlighted below:</w:t>
      </w:r>
    </w:p>
    <w:p w:rsidR="00CA1EFF" w:rsidRDefault="00CA1EFF">
      <w:pPr>
        <w:numPr>
          <w:ilvl w:val="0"/>
          <w:numId w:val="8"/>
        </w:numPr>
        <w:rPr>
          <w:rFonts w:ascii="Times New Roman" w:hAnsi="Times New Roman" w:cs="Times New Roman"/>
          <w:color w:val="000000"/>
          <w:sz w:val="24"/>
          <w:szCs w:val="24"/>
        </w:rPr>
      </w:pPr>
      <w:r>
        <w:rPr>
          <w:rFonts w:ascii="Times New Roman" w:hAnsi="Times New Roman" w:cs="Times New Roman"/>
          <w:color w:val="000000"/>
          <w:sz w:val="24"/>
          <w:szCs w:val="24"/>
        </w:rPr>
        <w:t>Regulatory and political environment has been perceived both as a challenge and an enabler when favor</w:t>
      </w:r>
      <w:r w:rsidR="004136E4">
        <w:rPr>
          <w:rFonts w:ascii="Times New Roman" w:hAnsi="Times New Roman" w:cs="Times New Roman"/>
          <w:color w:val="000000"/>
          <w:sz w:val="24"/>
          <w:szCs w:val="24"/>
        </w:rPr>
        <w:t xml:space="preserve">able for the sector. </w:t>
      </w:r>
      <w:proofErr w:type="spellStart"/>
      <w:r w:rsidR="004136E4">
        <w:rPr>
          <w:rFonts w:ascii="Times New Roman" w:hAnsi="Times New Roman" w:cs="Times New Roman"/>
          <w:color w:val="000000"/>
          <w:sz w:val="24"/>
          <w:szCs w:val="24"/>
        </w:rPr>
        <w:t>Matin</w:t>
      </w:r>
      <w:proofErr w:type="spellEnd"/>
      <w:r w:rsidR="004136E4">
        <w:rPr>
          <w:rFonts w:ascii="Times New Roman" w:hAnsi="Times New Roman" w:cs="Times New Roman"/>
          <w:color w:val="000000"/>
          <w:sz w:val="24"/>
          <w:szCs w:val="24"/>
        </w:rPr>
        <w:t xml:space="preserve"> and </w:t>
      </w:r>
      <w:proofErr w:type="spellStart"/>
      <w:r w:rsidR="004136E4">
        <w:rPr>
          <w:rFonts w:ascii="Times New Roman" w:hAnsi="Times New Roman" w:cs="Times New Roman"/>
          <w:color w:val="000000"/>
          <w:sz w:val="24"/>
          <w:szCs w:val="24"/>
        </w:rPr>
        <w:t>Hulme</w:t>
      </w:r>
      <w:proofErr w:type="spellEnd"/>
      <w:r w:rsidR="004136E4">
        <w:rPr>
          <w:rFonts w:ascii="Times New Roman" w:hAnsi="Times New Roman" w:cs="Times New Roman"/>
          <w:color w:val="000000"/>
          <w:sz w:val="24"/>
          <w:szCs w:val="24"/>
        </w:rPr>
        <w:t xml:space="preserve"> (2003</w:t>
      </w:r>
      <w:r>
        <w:rPr>
          <w:rFonts w:ascii="Times New Roman" w:hAnsi="Times New Roman" w:cs="Times New Roman"/>
          <w:color w:val="000000"/>
          <w:sz w:val="24"/>
          <w:szCs w:val="24"/>
        </w:rPr>
        <w:t xml:space="preserve">) suggest that current regulations for MFIs in some countries can pose a challenge to their growth for several reasons; one such reason being not being able to hold savings. Given the post Andhra crisis environment, subsequent evolution of the microfinance bill, and the regulatory guidelines for MFIs, there are several constraints imposed on the working of MFIs. </w:t>
      </w:r>
    </w:p>
    <w:p w:rsidR="00CA1EFF" w:rsidRDefault="00CA1EFF">
      <w:pPr>
        <w:numPr>
          <w:ilvl w:val="0"/>
          <w:numId w:val="8"/>
        </w:numPr>
      </w:pPr>
      <w:r>
        <w:rPr>
          <w:rFonts w:ascii="Times New Roman" w:hAnsi="Times New Roman" w:cs="Times New Roman"/>
          <w:color w:val="000000"/>
          <w:sz w:val="24"/>
          <w:szCs w:val="24"/>
        </w:rPr>
        <w:t xml:space="preserve">Another industry-wide challenge is the retention of human resources, as attrition in the sector is quite high. Given the sensitivity and sensibility needed to serve the urban low income communities, it is essential that the staff is in line with the vision and mission of the organization. All four MFIs which participated in this study invest heavily in extensive training and capacity building of the staff. However, </w:t>
      </w:r>
      <w:r w:rsidR="0014330A">
        <w:rPr>
          <w:rFonts w:ascii="Times New Roman" w:hAnsi="Times New Roman" w:cs="Times New Roman"/>
          <w:color w:val="000000"/>
          <w:sz w:val="24"/>
          <w:szCs w:val="24"/>
        </w:rPr>
        <w:t>opportunities available in big cities make</w:t>
      </w:r>
      <w:r>
        <w:rPr>
          <w:rFonts w:ascii="Times New Roman" w:hAnsi="Times New Roman" w:cs="Times New Roman"/>
          <w:color w:val="000000"/>
          <w:sz w:val="24"/>
          <w:szCs w:val="24"/>
        </w:rPr>
        <w:t xml:space="preserve"> it difficult to retain a trained and qualified staff.</w:t>
      </w:r>
    </w:p>
    <w:p w:rsidR="00CA1EFF" w:rsidRDefault="00CA1EFF">
      <w:pPr>
        <w:pStyle w:val="Heading1"/>
        <w:rPr>
          <w:rFonts w:ascii="Times New Roman" w:hAnsi="Times New Roman" w:cs="Times New Roman"/>
          <w:color w:val="000000"/>
          <w:sz w:val="24"/>
          <w:szCs w:val="24"/>
        </w:rPr>
      </w:pPr>
      <w:r>
        <w:rPr>
          <w:rFonts w:ascii="Times New Roman" w:hAnsi="Times New Roman" w:cs="Times New Roman"/>
          <w:sz w:val="24"/>
          <w:szCs w:val="24"/>
        </w:rPr>
        <w:t xml:space="preserve">CONCLUDING REMARKS </w:t>
      </w:r>
    </w:p>
    <w:p w:rsidR="00CA1EFF" w:rsidRDefault="00CA1EFF">
      <w:pPr>
        <w:rPr>
          <w:rFonts w:ascii="Times New Roman" w:hAnsi="Times New Roman" w:cs="Times New Roman"/>
          <w:color w:val="000000"/>
          <w:sz w:val="24"/>
          <w:szCs w:val="24"/>
        </w:rPr>
      </w:pPr>
      <w:r>
        <w:rPr>
          <w:rFonts w:ascii="Times New Roman" w:hAnsi="Times New Roman" w:cs="Times New Roman"/>
          <w:color w:val="000000"/>
          <w:sz w:val="24"/>
          <w:szCs w:val="24"/>
        </w:rPr>
        <w:t>Microfinance as a tool for poverty alleviation has been acknowledged in recent times (</w:t>
      </w:r>
      <w:proofErr w:type="spellStart"/>
      <w:r>
        <w:rPr>
          <w:rFonts w:ascii="Times New Roman" w:hAnsi="Times New Roman" w:cs="Times New Roman"/>
          <w:color w:val="000000"/>
          <w:sz w:val="24"/>
          <w:szCs w:val="24"/>
        </w:rPr>
        <w:t>Hulme</w:t>
      </w:r>
      <w:proofErr w:type="spellEnd"/>
      <w:r>
        <w:rPr>
          <w:rFonts w:ascii="Times New Roman" w:hAnsi="Times New Roman" w:cs="Times New Roman"/>
          <w:color w:val="000000"/>
          <w:sz w:val="24"/>
          <w:szCs w:val="24"/>
        </w:rPr>
        <w:t xml:space="preserve"> 2000; Otero 1999).  However, its benefit and use have generally been limited to the rural poor in India. In this paper, we first contextualize urban poverty, followed by an extensive review of the existing literature. Zeller and Meyer (2002) suggest that there are three overarching policy objectives that the MFIs try to attain. These are outreach, financial stability and impact, which they call the </w:t>
      </w:r>
      <w:r>
        <w:rPr>
          <w:rFonts w:ascii="Times New Roman" w:hAnsi="Times New Roman" w:cs="Times New Roman"/>
          <w:i/>
          <w:color w:val="000000"/>
          <w:sz w:val="24"/>
          <w:szCs w:val="24"/>
        </w:rPr>
        <w:t>‘triangle of microfinance’</w:t>
      </w:r>
      <w:r>
        <w:rPr>
          <w:rFonts w:ascii="Times New Roman" w:hAnsi="Times New Roman" w:cs="Times New Roman"/>
          <w:color w:val="000000"/>
          <w:sz w:val="24"/>
          <w:szCs w:val="24"/>
        </w:rPr>
        <w:t>. Performance of MFIs has been established by applying this framework of analysis.</w:t>
      </w:r>
    </w:p>
    <w:p w:rsidR="00CA1EFF" w:rsidRDefault="00CA1EFF">
      <w:pPr>
        <w:rPr>
          <w:rFonts w:ascii="Times New Roman" w:hAnsi="Times New Roman" w:cs="Times New Roman"/>
          <w:color w:val="000000"/>
          <w:sz w:val="24"/>
          <w:szCs w:val="24"/>
        </w:rPr>
      </w:pPr>
      <w:r>
        <w:rPr>
          <w:rFonts w:ascii="Times New Roman" w:hAnsi="Times New Roman" w:cs="Times New Roman"/>
          <w:color w:val="000000"/>
          <w:sz w:val="24"/>
          <w:szCs w:val="24"/>
        </w:rPr>
        <w:t>Due to the limited attention to urban poverty in India, fewer MFIs and NBFCs have chosen to work in this segment. Using the triangle of microfinance, we analyse the performance and operations of four NBFCs in India and explore the manner in which they engage with and address urban poverty.  The comparative analysis of the outreach, sustainability and impact over a period of six years shows</w:t>
      </w:r>
      <w:r>
        <w:rPr>
          <w:rFonts w:ascii="Times New Roman" w:hAnsi="Times New Roman" w:cs="Times New Roman"/>
          <w:sz w:val="24"/>
          <w:szCs w:val="24"/>
        </w:rPr>
        <w:t xml:space="preserve"> that they have been successful in contributing towards these three </w:t>
      </w:r>
      <w:r>
        <w:rPr>
          <w:rFonts w:ascii="Times New Roman" w:hAnsi="Times New Roman" w:cs="Times New Roman"/>
          <w:sz w:val="24"/>
          <w:szCs w:val="24"/>
        </w:rPr>
        <w:lastRenderedPageBreak/>
        <w:t xml:space="preserve">objectives for the 2008-2013 period in the areas of outreach and sustainability. However, </w:t>
      </w:r>
      <w:proofErr w:type="spellStart"/>
      <w:r>
        <w:rPr>
          <w:rFonts w:ascii="Times New Roman" w:hAnsi="Times New Roman" w:cs="Times New Roman"/>
          <w:sz w:val="24"/>
          <w:szCs w:val="24"/>
        </w:rPr>
        <w:t>Swadhaar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Janalakshmi</w:t>
      </w:r>
      <w:proofErr w:type="spellEnd"/>
      <w:r>
        <w:rPr>
          <w:rFonts w:ascii="Times New Roman" w:hAnsi="Times New Roman" w:cs="Times New Roman"/>
          <w:sz w:val="24"/>
          <w:szCs w:val="24"/>
        </w:rPr>
        <w:t xml:space="preserve"> need to invest further in creating better impact.</w:t>
      </w:r>
    </w:p>
    <w:p w:rsidR="00CA1EFF" w:rsidRDefault="00CA1EFF">
      <w:r>
        <w:rPr>
          <w:rFonts w:ascii="Times New Roman" w:hAnsi="Times New Roman" w:cs="Times New Roman"/>
          <w:color w:val="000000"/>
          <w:sz w:val="24"/>
          <w:szCs w:val="24"/>
        </w:rPr>
        <w:t xml:space="preserve">Amongst other trends, it was observed that both the larger organizations, namely </w:t>
      </w:r>
      <w:proofErr w:type="spellStart"/>
      <w:r>
        <w:rPr>
          <w:rFonts w:ascii="Times New Roman" w:hAnsi="Times New Roman" w:cs="Times New Roman"/>
          <w:color w:val="000000"/>
          <w:sz w:val="24"/>
          <w:szCs w:val="24"/>
        </w:rPr>
        <w:t>Equitas</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Ujjivan</w:t>
      </w:r>
      <w:proofErr w:type="spellEnd"/>
      <w:r>
        <w:rPr>
          <w:rFonts w:ascii="Times New Roman" w:hAnsi="Times New Roman" w:cs="Times New Roman"/>
          <w:color w:val="000000"/>
          <w:sz w:val="24"/>
          <w:szCs w:val="24"/>
        </w:rPr>
        <w:t>, have seen growth in terms of outreach through the pre-crisis period, while fall in outreach was noticed in the year of the crisis with outreach growing again in subsequent years. Apparently, though not Andhra-based, these organizations were still impacted by the crisis. On the other hand, the smaller ones (</w:t>
      </w:r>
      <w:proofErr w:type="spellStart"/>
      <w:r>
        <w:rPr>
          <w:rFonts w:ascii="Times New Roman" w:hAnsi="Times New Roman" w:cs="Times New Roman"/>
          <w:color w:val="000000"/>
          <w:sz w:val="24"/>
          <w:szCs w:val="24"/>
        </w:rPr>
        <w:t>Swadhaar</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Janalakshmi</w:t>
      </w:r>
      <w:proofErr w:type="spellEnd"/>
      <w:r>
        <w:rPr>
          <w:rFonts w:ascii="Times New Roman" w:hAnsi="Times New Roman" w:cs="Times New Roman"/>
          <w:color w:val="000000"/>
          <w:sz w:val="24"/>
          <w:szCs w:val="24"/>
        </w:rPr>
        <w:t xml:space="preserve">) remained cushioned from the crisis. </w:t>
      </w:r>
    </w:p>
    <w:p w:rsidR="00CA1EFF" w:rsidRDefault="00CA1EFF">
      <w:r>
        <w:rPr>
          <w:rFonts w:ascii="Times New Roman" w:hAnsi="Times New Roman" w:cs="Times New Roman"/>
          <w:color w:val="000000"/>
          <w:sz w:val="24"/>
          <w:szCs w:val="24"/>
        </w:rPr>
        <w:t xml:space="preserve">Another observation is that the larger organizations saw a decline in returns on equity and assets, considered a yardstick to measure sustainability and profitability, over a period of three consecutive years until the year of the Andhra crisis. Given that the larger organizations continue to grow in terms of outreach, yet accrue smaller returns, it could be their deliberate choice to position themselves between sustainability and profitability. The smaller organizations, on the other hand, enjoy better ROE and ROA. </w:t>
      </w:r>
    </w:p>
    <w:p w:rsidR="00CA1EFF" w:rsidRDefault="00CA1EF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As for the impact assessment programs, it appears that the larger organizations tend to conduct systematic quantitative impact assessment studies, while the smaller ones tend to opt for the life stories of their customers which are generally qualitative in nature. From the analyses, it can be inferred that while the smaller organization prioritize sustainability and profitability, the larger ones seems to have a greater focus on impact. </w:t>
      </w:r>
      <w:r>
        <w:rPr>
          <w:rFonts w:ascii="Times New Roman" w:hAnsi="Times New Roman" w:cs="Times New Roman"/>
          <w:sz w:val="24"/>
          <w:szCs w:val="24"/>
        </w:rPr>
        <w:t xml:space="preserve">Other common factors observed that make these organizations successful in serving the urban poor are </w:t>
      </w:r>
      <w:r>
        <w:rPr>
          <w:rFonts w:ascii="Times New Roman" w:hAnsi="Times New Roman" w:cs="Times New Roman"/>
          <w:color w:val="000000"/>
          <w:sz w:val="24"/>
          <w:szCs w:val="24"/>
        </w:rPr>
        <w:t xml:space="preserve">commercialization or financial systems approach, strategic positioning, organizational leadership, and reaching out beyond credit. </w:t>
      </w:r>
    </w:p>
    <w:p w:rsidR="00CA1EFF" w:rsidRDefault="00CA1EFF">
      <w:pPr>
        <w:rPr>
          <w:rFonts w:ascii="Times New Roman" w:hAnsi="Times New Roman" w:cs="Times New Roman"/>
          <w:color w:val="000000"/>
          <w:sz w:val="24"/>
          <w:szCs w:val="24"/>
        </w:rPr>
      </w:pPr>
    </w:p>
    <w:p w:rsidR="00CA1EFF" w:rsidRDefault="00CA1EFF">
      <w:pPr>
        <w:rPr>
          <w:rFonts w:ascii="Times New Roman" w:hAnsi="Times New Roman" w:cs="Times New Roman"/>
          <w:color w:val="000000"/>
          <w:sz w:val="24"/>
          <w:szCs w:val="24"/>
        </w:rPr>
      </w:pPr>
    </w:p>
    <w:p w:rsidR="00CA1EFF" w:rsidRDefault="00CA1EFF">
      <w:pPr>
        <w:rPr>
          <w:rFonts w:ascii="Times New Roman" w:hAnsi="Times New Roman" w:cs="Times New Roman"/>
          <w:color w:val="000000"/>
          <w:sz w:val="24"/>
          <w:szCs w:val="24"/>
        </w:rPr>
      </w:pPr>
    </w:p>
    <w:p w:rsidR="00CA1EFF" w:rsidRDefault="00CA1EFF">
      <w:pPr>
        <w:pageBreakBefore/>
        <w:spacing w:before="240"/>
        <w:jc w:val="center"/>
        <w:rPr>
          <w:rFonts w:ascii="Times New Roman" w:hAnsi="Times New Roman" w:cs="Times New Roman"/>
          <w:sz w:val="24"/>
          <w:szCs w:val="24"/>
        </w:rPr>
      </w:pPr>
      <w:r>
        <w:rPr>
          <w:rFonts w:ascii="Times New Roman" w:hAnsi="Times New Roman" w:cs="Times New Roman"/>
          <w:b/>
          <w:sz w:val="24"/>
          <w:szCs w:val="24"/>
          <w:u w:val="single"/>
        </w:rPr>
        <w:lastRenderedPageBreak/>
        <w:t>REFERENCES</w:t>
      </w:r>
    </w:p>
    <w:p w:rsidR="0043060C" w:rsidRDefault="0043060C" w:rsidP="0043060C">
      <w:pPr>
        <w:spacing w:after="0" w:line="240" w:lineRule="auto"/>
        <w:rPr>
          <w:rFonts w:ascii="Times New Roman" w:hAnsi="Times New Roman" w:cs="Times New Roman"/>
          <w:sz w:val="24"/>
          <w:szCs w:val="24"/>
        </w:rPr>
      </w:pPr>
      <w:r w:rsidRPr="0004354D">
        <w:rPr>
          <w:rFonts w:ascii="Times New Roman" w:hAnsi="Times New Roman" w:cs="Times New Roman"/>
          <w:sz w:val="24"/>
          <w:szCs w:val="24"/>
        </w:rPr>
        <w:t>All-Party Parliamentary Group on Microfinance (2011) “Helping or hurting: What role for microfinance in the fight against poverty?”</w:t>
      </w:r>
    </w:p>
    <w:p w:rsidR="0043060C"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proofErr w:type="spellStart"/>
      <w:r w:rsidRPr="0004354D">
        <w:rPr>
          <w:rFonts w:ascii="Times New Roman" w:hAnsi="Times New Roman" w:cs="Times New Roman"/>
          <w:sz w:val="24"/>
          <w:szCs w:val="24"/>
        </w:rPr>
        <w:t>Appadurai</w:t>
      </w:r>
      <w:proofErr w:type="spellEnd"/>
      <w:r w:rsidRPr="0004354D">
        <w:rPr>
          <w:rFonts w:ascii="Times New Roman" w:hAnsi="Times New Roman" w:cs="Times New Roman"/>
          <w:sz w:val="24"/>
          <w:szCs w:val="24"/>
        </w:rPr>
        <w:t>, Arjun. (2002) “Deep Democracy: Urban Governmentality and the Horizon of Politics” Public Culture 14(1): 21–47</w:t>
      </w:r>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color w:val="000000"/>
          <w:sz w:val="24"/>
          <w:szCs w:val="24"/>
        </w:rPr>
      </w:pPr>
      <w:proofErr w:type="spellStart"/>
      <w:r w:rsidRPr="0004354D">
        <w:rPr>
          <w:rFonts w:ascii="Times New Roman" w:hAnsi="Times New Roman" w:cs="Times New Roman"/>
          <w:color w:val="000000"/>
          <w:sz w:val="24"/>
          <w:szCs w:val="24"/>
        </w:rPr>
        <w:t>Baharoglu</w:t>
      </w:r>
      <w:proofErr w:type="spellEnd"/>
      <w:r w:rsidRPr="0004354D">
        <w:rPr>
          <w:rFonts w:ascii="Times New Roman" w:hAnsi="Times New Roman" w:cs="Times New Roman"/>
          <w:color w:val="000000"/>
          <w:sz w:val="24"/>
          <w:szCs w:val="24"/>
        </w:rPr>
        <w:t xml:space="preserve">, </w:t>
      </w:r>
      <w:proofErr w:type="spellStart"/>
      <w:r w:rsidRPr="0004354D">
        <w:rPr>
          <w:rFonts w:ascii="Times New Roman" w:hAnsi="Times New Roman" w:cs="Times New Roman"/>
          <w:color w:val="000000"/>
          <w:sz w:val="24"/>
          <w:szCs w:val="24"/>
        </w:rPr>
        <w:t>Deniz</w:t>
      </w:r>
      <w:proofErr w:type="spellEnd"/>
      <w:r w:rsidRPr="0004354D">
        <w:rPr>
          <w:rFonts w:ascii="Times New Roman" w:hAnsi="Times New Roman" w:cs="Times New Roman"/>
          <w:color w:val="000000"/>
          <w:sz w:val="24"/>
          <w:szCs w:val="24"/>
        </w:rPr>
        <w:t xml:space="preserve">., and </w:t>
      </w:r>
      <w:proofErr w:type="spellStart"/>
      <w:r w:rsidRPr="0004354D">
        <w:rPr>
          <w:rFonts w:ascii="Times New Roman" w:hAnsi="Times New Roman" w:cs="Times New Roman"/>
          <w:color w:val="000000"/>
          <w:sz w:val="24"/>
          <w:szCs w:val="24"/>
        </w:rPr>
        <w:t>Kessides</w:t>
      </w:r>
      <w:proofErr w:type="spellEnd"/>
      <w:r w:rsidRPr="0004354D">
        <w:rPr>
          <w:rFonts w:ascii="Times New Roman" w:hAnsi="Times New Roman" w:cs="Times New Roman"/>
          <w:color w:val="000000"/>
          <w:sz w:val="24"/>
          <w:szCs w:val="24"/>
        </w:rPr>
        <w:t xml:space="preserve">, Christine. (2003) “Urban Poverty - Volume 2 – Macroeconomic and Sectoral Approaches” </w:t>
      </w:r>
    </w:p>
    <w:p w:rsidR="0043060C" w:rsidRPr="0004354D" w:rsidRDefault="0043060C" w:rsidP="0043060C">
      <w:pPr>
        <w:spacing w:after="0" w:line="240" w:lineRule="auto"/>
        <w:rPr>
          <w:rFonts w:ascii="Times New Roman" w:hAnsi="Times New Roman" w:cs="Times New Roman"/>
          <w:color w:val="000000"/>
          <w:sz w:val="24"/>
          <w:szCs w:val="24"/>
        </w:rPr>
      </w:pPr>
    </w:p>
    <w:p w:rsidR="0043060C" w:rsidRDefault="0043060C" w:rsidP="0043060C">
      <w:pPr>
        <w:spacing w:after="0" w:line="240" w:lineRule="auto"/>
        <w:rPr>
          <w:rFonts w:ascii="Times New Roman" w:hAnsi="Times New Roman" w:cs="Times New Roman"/>
          <w:sz w:val="24"/>
          <w:szCs w:val="24"/>
        </w:rPr>
      </w:pPr>
      <w:r w:rsidRPr="0004354D">
        <w:rPr>
          <w:rFonts w:ascii="Times New Roman" w:hAnsi="Times New Roman" w:cs="Times New Roman"/>
          <w:sz w:val="24"/>
          <w:szCs w:val="24"/>
        </w:rPr>
        <w:t>Baker, Judy., and Schuler. Nina. (2004) “Analyzing Urban Poverty: A Summary of Methods and Approaches” World Bank Policy Research Working Paper 3399, September.</w:t>
      </w:r>
    </w:p>
    <w:p w:rsidR="0043060C"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r w:rsidRPr="0004354D">
        <w:rPr>
          <w:rFonts w:ascii="Times New Roman" w:hAnsi="Times New Roman" w:cs="Times New Roman"/>
          <w:sz w:val="24"/>
          <w:szCs w:val="24"/>
        </w:rPr>
        <w:t xml:space="preserve">Banerjee, </w:t>
      </w:r>
      <w:proofErr w:type="spellStart"/>
      <w:r w:rsidRPr="0004354D">
        <w:rPr>
          <w:rFonts w:ascii="Times New Roman" w:hAnsi="Times New Roman" w:cs="Times New Roman"/>
          <w:sz w:val="24"/>
          <w:szCs w:val="24"/>
        </w:rPr>
        <w:t>Abhijit</w:t>
      </w:r>
      <w:proofErr w:type="spellEnd"/>
      <w:r w:rsidRPr="0004354D">
        <w:rPr>
          <w:rFonts w:ascii="Times New Roman" w:hAnsi="Times New Roman" w:cs="Times New Roman"/>
          <w:sz w:val="24"/>
          <w:szCs w:val="24"/>
        </w:rPr>
        <w:t xml:space="preserve">., </w:t>
      </w:r>
      <w:proofErr w:type="spellStart"/>
      <w:proofErr w:type="gramStart"/>
      <w:r w:rsidRPr="0004354D">
        <w:rPr>
          <w:rFonts w:ascii="Times New Roman" w:hAnsi="Times New Roman" w:cs="Times New Roman"/>
          <w:sz w:val="24"/>
          <w:szCs w:val="24"/>
        </w:rPr>
        <w:t>Duflo</w:t>
      </w:r>
      <w:proofErr w:type="spellEnd"/>
      <w:r w:rsidRPr="0004354D">
        <w:rPr>
          <w:rFonts w:ascii="Times New Roman" w:hAnsi="Times New Roman" w:cs="Times New Roman"/>
          <w:sz w:val="24"/>
          <w:szCs w:val="24"/>
        </w:rPr>
        <w:t xml:space="preserve"> ,Esther</w:t>
      </w:r>
      <w:proofErr w:type="gramEnd"/>
      <w:r w:rsidRPr="0004354D">
        <w:rPr>
          <w:rFonts w:ascii="Times New Roman" w:hAnsi="Times New Roman" w:cs="Times New Roman"/>
          <w:sz w:val="24"/>
          <w:szCs w:val="24"/>
        </w:rPr>
        <w:t xml:space="preserve">., </w:t>
      </w:r>
      <w:proofErr w:type="spellStart"/>
      <w:r w:rsidRPr="0004354D">
        <w:rPr>
          <w:rFonts w:ascii="Times New Roman" w:hAnsi="Times New Roman" w:cs="Times New Roman"/>
          <w:sz w:val="24"/>
          <w:szCs w:val="24"/>
        </w:rPr>
        <w:t>Glennester</w:t>
      </w:r>
      <w:proofErr w:type="spellEnd"/>
      <w:r w:rsidRPr="0004354D">
        <w:rPr>
          <w:rFonts w:ascii="Times New Roman" w:hAnsi="Times New Roman" w:cs="Times New Roman"/>
          <w:sz w:val="24"/>
          <w:szCs w:val="24"/>
        </w:rPr>
        <w:t xml:space="preserve">, Rachel., and </w:t>
      </w:r>
      <w:proofErr w:type="spellStart"/>
      <w:r w:rsidRPr="0004354D">
        <w:rPr>
          <w:rFonts w:ascii="Times New Roman" w:hAnsi="Times New Roman" w:cs="Times New Roman"/>
          <w:sz w:val="24"/>
          <w:szCs w:val="24"/>
        </w:rPr>
        <w:t>Kinnan</w:t>
      </w:r>
      <w:proofErr w:type="spellEnd"/>
      <w:r w:rsidRPr="0004354D">
        <w:rPr>
          <w:rFonts w:ascii="Times New Roman" w:hAnsi="Times New Roman" w:cs="Times New Roman"/>
          <w:sz w:val="24"/>
          <w:szCs w:val="24"/>
        </w:rPr>
        <w:t>, Cynthia. (2013) “The miracle of microfinance? Evidenc</w:t>
      </w:r>
      <w:r w:rsidR="000E7456">
        <w:rPr>
          <w:rFonts w:ascii="Times New Roman" w:hAnsi="Times New Roman" w:cs="Times New Roman"/>
          <w:sz w:val="24"/>
          <w:szCs w:val="24"/>
        </w:rPr>
        <w:t xml:space="preserve">e from a randomized evaluation”. </w:t>
      </w:r>
      <w:r w:rsidR="000E7456" w:rsidRPr="0004354D">
        <w:rPr>
          <w:rFonts w:ascii="Times New Roman" w:hAnsi="Times New Roman" w:cs="Times New Roman"/>
          <w:sz w:val="24"/>
          <w:szCs w:val="24"/>
        </w:rPr>
        <w:t>Working Paper Series</w:t>
      </w:r>
      <w:r w:rsidR="000E7456">
        <w:rPr>
          <w:rFonts w:ascii="Times New Roman" w:hAnsi="Times New Roman" w:cs="Times New Roman"/>
          <w:sz w:val="24"/>
          <w:szCs w:val="24"/>
        </w:rPr>
        <w:t>,</w:t>
      </w:r>
      <w:r w:rsidR="000E7456" w:rsidRPr="0004354D">
        <w:rPr>
          <w:rFonts w:ascii="Times New Roman" w:hAnsi="Times New Roman" w:cs="Times New Roman"/>
          <w:sz w:val="24"/>
          <w:szCs w:val="24"/>
        </w:rPr>
        <w:t xml:space="preserve"> </w:t>
      </w:r>
      <w:r w:rsidRPr="0004354D">
        <w:rPr>
          <w:rFonts w:ascii="Times New Roman" w:hAnsi="Times New Roman" w:cs="Times New Roman"/>
          <w:sz w:val="24"/>
          <w:szCs w:val="24"/>
        </w:rPr>
        <w:t>Massachusetts Institute of Tech</w:t>
      </w:r>
      <w:r w:rsidR="000E7456">
        <w:rPr>
          <w:rFonts w:ascii="Times New Roman" w:hAnsi="Times New Roman" w:cs="Times New Roman"/>
          <w:sz w:val="24"/>
          <w:szCs w:val="24"/>
        </w:rPr>
        <w:t>nology, Department of Economics, Boston, USA.</w:t>
      </w:r>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r w:rsidRPr="0004354D">
        <w:rPr>
          <w:rFonts w:ascii="Times New Roman" w:hAnsi="Times New Roman" w:cs="Times New Roman"/>
          <w:sz w:val="24"/>
          <w:szCs w:val="24"/>
        </w:rPr>
        <w:t>Barr, Michael S. (2005), “Microfinance and Financial Development”, The John M. Olin Centre for Law &amp; Economics Working Paper Series, University of Michigan Law School, p. 271</w:t>
      </w:r>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pStyle w:val="NormalWeb"/>
        <w:spacing w:before="0" w:after="0"/>
        <w:rPr>
          <w:rStyle w:val="Hyperlink"/>
          <w:color w:val="00000A"/>
        </w:rPr>
      </w:pPr>
      <w:r w:rsidRPr="0004354D">
        <w:t xml:space="preserve">Barrientos and </w:t>
      </w:r>
      <w:proofErr w:type="spellStart"/>
      <w:r w:rsidRPr="0004354D">
        <w:t>Hulme</w:t>
      </w:r>
      <w:proofErr w:type="spellEnd"/>
      <w:r w:rsidRPr="0004354D">
        <w:t xml:space="preserve">, ( 2009 ), Social Protection for the Poor and Poorest in Developing Countries: Reflections on a Quiet Revolution, Oxford Development Studies, 37:4, 439-456, </w:t>
      </w:r>
      <w:hyperlink r:id="rId11" w:history="1">
        <w:r w:rsidRPr="0004354D">
          <w:rPr>
            <w:rStyle w:val="Hyperlink"/>
            <w:color w:val="00000A"/>
          </w:rPr>
          <w:t>http://dx.doi.org/10.1080/13600810903305257</w:t>
        </w:r>
      </w:hyperlink>
    </w:p>
    <w:p w:rsidR="0043060C" w:rsidRPr="0004354D" w:rsidRDefault="0043060C" w:rsidP="0043060C">
      <w:pPr>
        <w:pStyle w:val="NormalWeb"/>
        <w:spacing w:before="0" w:after="0"/>
        <w:rPr>
          <w:rStyle w:val="Hyperlink"/>
          <w:color w:val="00000A"/>
        </w:rPr>
      </w:pPr>
    </w:p>
    <w:p w:rsidR="0043060C" w:rsidRDefault="0043060C" w:rsidP="0043060C">
      <w:pPr>
        <w:spacing w:after="0" w:line="240" w:lineRule="auto"/>
        <w:rPr>
          <w:rFonts w:ascii="Times New Roman" w:hAnsi="Times New Roman" w:cs="Times New Roman"/>
          <w:color w:val="000000"/>
          <w:sz w:val="24"/>
          <w:szCs w:val="24"/>
        </w:rPr>
      </w:pPr>
      <w:r w:rsidRPr="0004354D">
        <w:rPr>
          <w:rFonts w:ascii="Times New Roman" w:hAnsi="Times New Roman" w:cs="Times New Roman"/>
          <w:color w:val="000000"/>
          <w:sz w:val="24"/>
          <w:szCs w:val="24"/>
        </w:rPr>
        <w:t>Barrientos, Armando and Niño-</w:t>
      </w:r>
      <w:proofErr w:type="spellStart"/>
      <w:r w:rsidRPr="0004354D">
        <w:rPr>
          <w:rFonts w:ascii="Times New Roman" w:hAnsi="Times New Roman" w:cs="Times New Roman"/>
          <w:color w:val="000000"/>
          <w:sz w:val="24"/>
          <w:szCs w:val="24"/>
        </w:rPr>
        <w:t>Zarazúa</w:t>
      </w:r>
      <w:proofErr w:type="spellEnd"/>
      <w:r w:rsidRPr="0004354D">
        <w:rPr>
          <w:rFonts w:ascii="Times New Roman" w:hAnsi="Times New Roman" w:cs="Times New Roman"/>
          <w:color w:val="000000"/>
          <w:sz w:val="24"/>
          <w:szCs w:val="24"/>
        </w:rPr>
        <w:t xml:space="preserve">, Miguel and </w:t>
      </w:r>
      <w:proofErr w:type="spellStart"/>
      <w:r w:rsidRPr="0004354D">
        <w:rPr>
          <w:rFonts w:ascii="Times New Roman" w:hAnsi="Times New Roman" w:cs="Times New Roman"/>
          <w:color w:val="000000"/>
          <w:sz w:val="24"/>
          <w:szCs w:val="24"/>
        </w:rPr>
        <w:t>Maitrot</w:t>
      </w:r>
      <w:proofErr w:type="spellEnd"/>
      <w:r w:rsidRPr="0004354D">
        <w:rPr>
          <w:rFonts w:ascii="Times New Roman" w:hAnsi="Times New Roman" w:cs="Times New Roman"/>
          <w:color w:val="000000"/>
          <w:sz w:val="24"/>
          <w:szCs w:val="24"/>
        </w:rPr>
        <w:t xml:space="preserve">, Mathilde, Social Assistance in Developing Countries Database Version 5.0 (July 1, 2010). Brooks World Poverty Institute Working Paper; Chronic Poverty Research Centre Working Paper. Available at SSRN: http://ssrn.com/abstract=1672090 or </w:t>
      </w:r>
      <w:hyperlink r:id="rId12" w:history="1">
        <w:r w:rsidRPr="00E1705E">
          <w:rPr>
            <w:rStyle w:val="Hyperlink"/>
            <w:rFonts w:ascii="Times New Roman" w:hAnsi="Times New Roman" w:cs="Times New Roman"/>
            <w:sz w:val="24"/>
            <w:szCs w:val="24"/>
          </w:rPr>
          <w:t>http://dx.doi.org/10.2139/ssrn.1672090</w:t>
        </w:r>
      </w:hyperlink>
    </w:p>
    <w:p w:rsidR="0043060C" w:rsidRPr="0004354D" w:rsidRDefault="0043060C" w:rsidP="0043060C">
      <w:pPr>
        <w:spacing w:after="0" w:line="240" w:lineRule="auto"/>
        <w:rPr>
          <w:rFonts w:ascii="Times New Roman" w:hAnsi="Times New Roman" w:cs="Times New Roman"/>
          <w:color w:val="000000"/>
          <w:sz w:val="24"/>
          <w:szCs w:val="24"/>
        </w:rPr>
      </w:pPr>
    </w:p>
    <w:p w:rsidR="0043060C" w:rsidRDefault="0043060C" w:rsidP="0043060C">
      <w:pPr>
        <w:spacing w:after="0" w:line="240" w:lineRule="auto"/>
        <w:rPr>
          <w:rFonts w:ascii="Times New Roman" w:hAnsi="Times New Roman" w:cs="Times New Roman"/>
          <w:sz w:val="24"/>
          <w:szCs w:val="24"/>
        </w:rPr>
      </w:pPr>
      <w:proofErr w:type="spellStart"/>
      <w:r w:rsidRPr="0004354D">
        <w:rPr>
          <w:rFonts w:ascii="Times New Roman" w:hAnsi="Times New Roman" w:cs="Times New Roman"/>
          <w:sz w:val="24"/>
          <w:szCs w:val="24"/>
        </w:rPr>
        <w:t>Basu</w:t>
      </w:r>
      <w:proofErr w:type="spellEnd"/>
      <w:r w:rsidRPr="0004354D">
        <w:rPr>
          <w:rFonts w:ascii="Times New Roman" w:hAnsi="Times New Roman" w:cs="Times New Roman"/>
          <w:sz w:val="24"/>
          <w:szCs w:val="24"/>
        </w:rPr>
        <w:t xml:space="preserve">, </w:t>
      </w:r>
      <w:proofErr w:type="spellStart"/>
      <w:r w:rsidRPr="0004354D">
        <w:rPr>
          <w:rFonts w:ascii="Times New Roman" w:hAnsi="Times New Roman" w:cs="Times New Roman"/>
          <w:sz w:val="24"/>
          <w:szCs w:val="24"/>
        </w:rPr>
        <w:t>Priya</w:t>
      </w:r>
      <w:proofErr w:type="spellEnd"/>
      <w:r w:rsidRPr="0004354D">
        <w:rPr>
          <w:rFonts w:ascii="Times New Roman" w:hAnsi="Times New Roman" w:cs="Times New Roman"/>
          <w:sz w:val="24"/>
          <w:szCs w:val="24"/>
        </w:rPr>
        <w:t>., and Srivastava, Pradeep. (2005) “Scaling-up Microfinance for India’s Rural Poor” World Bank Policy Research Working Paper 3646, June.</w:t>
      </w:r>
    </w:p>
    <w:p w:rsidR="0043060C" w:rsidRPr="0004354D" w:rsidRDefault="0043060C" w:rsidP="0043060C">
      <w:pPr>
        <w:spacing w:after="0" w:line="240" w:lineRule="auto"/>
        <w:rPr>
          <w:rFonts w:ascii="Times New Roman" w:hAnsi="Times New Roman" w:cs="Times New Roman"/>
          <w:sz w:val="24"/>
          <w:szCs w:val="24"/>
        </w:rPr>
      </w:pPr>
    </w:p>
    <w:p w:rsidR="0088130D" w:rsidRPr="006C097E" w:rsidRDefault="0088130D" w:rsidP="0088130D">
      <w:pPr>
        <w:rPr>
          <w:rFonts w:ascii="Times New Roman" w:hAnsi="Times New Roman" w:cs="Times New Roman"/>
          <w:sz w:val="24"/>
          <w:szCs w:val="24"/>
        </w:rPr>
      </w:pPr>
      <w:r w:rsidRPr="006C097E">
        <w:rPr>
          <w:rFonts w:ascii="Times New Roman" w:eastAsia="Times New Roman" w:hAnsi="Times New Roman" w:cs="Times New Roman"/>
          <w:sz w:val="24"/>
          <w:szCs w:val="24"/>
          <w:lang w:eastAsia="en-GB"/>
        </w:rPr>
        <w:t xml:space="preserve">Beatriz A, </w:t>
      </w:r>
      <w:proofErr w:type="spellStart"/>
      <w:r w:rsidRPr="006C097E">
        <w:rPr>
          <w:rFonts w:ascii="Times New Roman" w:eastAsia="Times New Roman" w:hAnsi="Times New Roman" w:cs="Times New Roman"/>
          <w:sz w:val="24"/>
          <w:szCs w:val="24"/>
          <w:lang w:eastAsia="en-GB"/>
        </w:rPr>
        <w:t>Morduch</w:t>
      </w:r>
      <w:proofErr w:type="spellEnd"/>
      <w:r w:rsidRPr="006C097E">
        <w:rPr>
          <w:rFonts w:ascii="Times New Roman" w:eastAsia="Times New Roman" w:hAnsi="Times New Roman" w:cs="Times New Roman"/>
          <w:sz w:val="24"/>
          <w:szCs w:val="24"/>
          <w:lang w:eastAsia="en-GB"/>
        </w:rPr>
        <w:t xml:space="preserve"> J. 2010. </w:t>
      </w:r>
      <w:r w:rsidRPr="005808EA">
        <w:rPr>
          <w:rFonts w:ascii="Times New Roman" w:eastAsia="Times New Roman" w:hAnsi="Times New Roman" w:cs="Times New Roman"/>
          <w:sz w:val="24"/>
          <w:szCs w:val="24"/>
          <w:lang w:eastAsia="en-GB"/>
        </w:rPr>
        <w:t>The Economics of Microfinance</w:t>
      </w:r>
      <w:r w:rsidRPr="006C097E">
        <w:rPr>
          <w:rFonts w:ascii="Times New Roman" w:eastAsia="Times New Roman" w:hAnsi="Times New Roman" w:cs="Times New Roman"/>
          <w:sz w:val="24"/>
          <w:szCs w:val="24"/>
          <w:lang w:eastAsia="en-GB"/>
        </w:rPr>
        <w:t>, 2</w:t>
      </w:r>
      <w:r w:rsidRPr="006C097E">
        <w:rPr>
          <w:rFonts w:ascii="Times New Roman" w:eastAsia="Times New Roman" w:hAnsi="Times New Roman" w:cs="Times New Roman"/>
          <w:sz w:val="24"/>
          <w:szCs w:val="24"/>
          <w:vertAlign w:val="superscript"/>
          <w:lang w:eastAsia="en-GB"/>
        </w:rPr>
        <w:t>nd</w:t>
      </w:r>
      <w:r w:rsidRPr="006C097E">
        <w:rPr>
          <w:rFonts w:ascii="Times New Roman" w:eastAsia="Times New Roman" w:hAnsi="Times New Roman" w:cs="Times New Roman"/>
          <w:sz w:val="24"/>
          <w:szCs w:val="24"/>
          <w:lang w:eastAsia="en-GB"/>
        </w:rPr>
        <w:t xml:space="preserve"> Edition. </w:t>
      </w:r>
      <w:r w:rsidRPr="006C097E">
        <w:rPr>
          <w:rFonts w:ascii="Times New Roman" w:hAnsi="Times New Roman" w:cs="Times New Roman"/>
          <w:sz w:val="24"/>
          <w:szCs w:val="24"/>
        </w:rPr>
        <w:t>The MIT Press Cambridge, Massachusetts</w:t>
      </w:r>
      <w:r>
        <w:rPr>
          <w:rFonts w:ascii="Times New Roman" w:hAnsi="Times New Roman" w:cs="Times New Roman"/>
          <w:sz w:val="24"/>
          <w:szCs w:val="24"/>
        </w:rPr>
        <w:t>,</w:t>
      </w:r>
      <w:r w:rsidRPr="006C097E">
        <w:rPr>
          <w:rFonts w:ascii="Times New Roman" w:hAnsi="Times New Roman" w:cs="Times New Roman"/>
          <w:sz w:val="24"/>
          <w:szCs w:val="24"/>
        </w:rPr>
        <w:t xml:space="preserve"> London, England</w:t>
      </w:r>
    </w:p>
    <w:p w:rsidR="0043060C" w:rsidRDefault="0043060C" w:rsidP="0043060C">
      <w:pPr>
        <w:spacing w:after="0" w:line="240" w:lineRule="auto"/>
        <w:rPr>
          <w:rFonts w:ascii="Times New Roman" w:hAnsi="Times New Roman" w:cs="Times New Roman"/>
          <w:sz w:val="24"/>
          <w:szCs w:val="24"/>
        </w:rPr>
      </w:pPr>
      <w:r w:rsidRPr="0004354D">
        <w:rPr>
          <w:rFonts w:ascii="Times New Roman" w:hAnsi="Times New Roman" w:cs="Times New Roman"/>
          <w:sz w:val="24"/>
          <w:szCs w:val="24"/>
        </w:rPr>
        <w:t xml:space="preserve">Beall, J., and </w:t>
      </w:r>
      <w:proofErr w:type="spellStart"/>
      <w:r w:rsidRPr="0004354D">
        <w:rPr>
          <w:rFonts w:ascii="Times New Roman" w:hAnsi="Times New Roman" w:cs="Times New Roman"/>
          <w:sz w:val="24"/>
          <w:szCs w:val="24"/>
        </w:rPr>
        <w:t>Nazneen</w:t>
      </w:r>
      <w:proofErr w:type="spellEnd"/>
      <w:r w:rsidRPr="0004354D">
        <w:rPr>
          <w:rFonts w:ascii="Times New Roman" w:hAnsi="Times New Roman" w:cs="Times New Roman"/>
          <w:sz w:val="24"/>
          <w:szCs w:val="24"/>
        </w:rPr>
        <w:t xml:space="preserve"> Kanji (1999), Households, Livelihoods and Urban Poverty. Urban Governance, Partnership and Poverty Theme Paper 3; </w:t>
      </w:r>
      <w:hyperlink r:id="rId13" w:history="1">
        <w:r w:rsidRPr="0004354D">
          <w:rPr>
            <w:rStyle w:val="Hyperlink"/>
            <w:rFonts w:ascii="Times New Roman" w:hAnsi="Times New Roman" w:cs="Times New Roman"/>
            <w:sz w:val="24"/>
            <w:szCs w:val="24"/>
          </w:rPr>
          <w:t>http://www.ucl.ac.uk/dpu-projects/drivers_urb_change/urb_society/pdf_liveli_vulnera/DFID_ESCOR_Beall_Households_Livelihoods.pdf</w:t>
        </w:r>
      </w:hyperlink>
      <w:r w:rsidRPr="0004354D">
        <w:rPr>
          <w:rFonts w:ascii="Times New Roman" w:hAnsi="Times New Roman" w:cs="Times New Roman"/>
          <w:sz w:val="24"/>
          <w:szCs w:val="24"/>
        </w:rPr>
        <w:t xml:space="preserve"> </w:t>
      </w:r>
    </w:p>
    <w:p w:rsidR="0043060C" w:rsidRPr="0004354D" w:rsidRDefault="0043060C" w:rsidP="0043060C">
      <w:pPr>
        <w:spacing w:after="0" w:line="240" w:lineRule="auto"/>
        <w:rPr>
          <w:rFonts w:ascii="Times New Roman" w:hAnsi="Times New Roman" w:cs="Times New Roman"/>
          <w:sz w:val="24"/>
          <w:szCs w:val="24"/>
        </w:rPr>
      </w:pPr>
    </w:p>
    <w:p w:rsidR="0088130D" w:rsidRDefault="0088130D"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r w:rsidRPr="0004354D">
        <w:rPr>
          <w:rFonts w:ascii="Times New Roman" w:hAnsi="Times New Roman" w:cs="Times New Roman"/>
          <w:sz w:val="24"/>
          <w:szCs w:val="24"/>
        </w:rPr>
        <w:t xml:space="preserve">Beck, Thorsten., </w:t>
      </w:r>
      <w:proofErr w:type="spellStart"/>
      <w:r w:rsidRPr="0004354D">
        <w:rPr>
          <w:rFonts w:ascii="Times New Roman" w:hAnsi="Times New Roman" w:cs="Times New Roman"/>
          <w:sz w:val="24"/>
          <w:szCs w:val="24"/>
        </w:rPr>
        <w:t>Demirgüç-Kunt</w:t>
      </w:r>
      <w:proofErr w:type="spellEnd"/>
      <w:r w:rsidRPr="0004354D">
        <w:rPr>
          <w:rFonts w:ascii="Times New Roman" w:hAnsi="Times New Roman" w:cs="Times New Roman"/>
          <w:sz w:val="24"/>
          <w:szCs w:val="24"/>
        </w:rPr>
        <w:t xml:space="preserve">, </w:t>
      </w:r>
      <w:proofErr w:type="spellStart"/>
      <w:r w:rsidRPr="0004354D">
        <w:rPr>
          <w:rFonts w:ascii="Times New Roman" w:hAnsi="Times New Roman" w:cs="Times New Roman"/>
          <w:sz w:val="24"/>
          <w:szCs w:val="24"/>
        </w:rPr>
        <w:t>Asli</w:t>
      </w:r>
      <w:proofErr w:type="spellEnd"/>
      <w:r w:rsidRPr="0004354D">
        <w:rPr>
          <w:rFonts w:ascii="Times New Roman" w:hAnsi="Times New Roman" w:cs="Times New Roman"/>
          <w:sz w:val="24"/>
          <w:szCs w:val="24"/>
        </w:rPr>
        <w:t>., and Levine, Ross. (2007) “Finance, Inequality and the Poor”</w:t>
      </w:r>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r w:rsidRPr="0004354D">
        <w:rPr>
          <w:rFonts w:ascii="Times New Roman" w:hAnsi="Times New Roman" w:cs="Times New Roman"/>
          <w:sz w:val="24"/>
          <w:szCs w:val="24"/>
        </w:rPr>
        <w:lastRenderedPageBreak/>
        <w:t>Benda, Cecilia. (2012) “Community rotating savings and credit associations as an agent of well-being: a case study from northern Rwanda”</w:t>
      </w:r>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suppressAutoHyphens w:val="0"/>
        <w:spacing w:after="0" w:line="240" w:lineRule="auto"/>
        <w:rPr>
          <w:rFonts w:ascii="Times New Roman" w:hAnsi="Times New Roman" w:cs="Times New Roman"/>
          <w:sz w:val="24"/>
          <w:szCs w:val="24"/>
        </w:rPr>
      </w:pPr>
      <w:r w:rsidRPr="0004354D">
        <w:rPr>
          <w:rFonts w:ascii="Times New Roman" w:hAnsi="Times New Roman" w:cs="Times New Roman"/>
          <w:sz w:val="24"/>
          <w:szCs w:val="24"/>
        </w:rPr>
        <w:t xml:space="preserve">Brook, R.M; </w:t>
      </w:r>
      <w:proofErr w:type="spellStart"/>
      <w:r w:rsidRPr="0004354D">
        <w:rPr>
          <w:rFonts w:ascii="Times New Roman" w:hAnsi="Times New Roman" w:cs="Times New Roman"/>
          <w:sz w:val="24"/>
          <w:szCs w:val="24"/>
        </w:rPr>
        <w:t>Hillyer</w:t>
      </w:r>
      <w:proofErr w:type="spellEnd"/>
      <w:r w:rsidRPr="0004354D">
        <w:rPr>
          <w:rFonts w:ascii="Times New Roman" w:hAnsi="Times New Roman" w:cs="Times New Roman"/>
          <w:sz w:val="24"/>
          <w:szCs w:val="24"/>
        </w:rPr>
        <w:t xml:space="preserve">, K. J. and </w:t>
      </w:r>
      <w:proofErr w:type="spellStart"/>
      <w:r w:rsidRPr="0004354D">
        <w:rPr>
          <w:rFonts w:ascii="Times New Roman" w:hAnsi="Times New Roman" w:cs="Times New Roman"/>
          <w:sz w:val="24"/>
          <w:szCs w:val="24"/>
        </w:rPr>
        <w:t>Bhuvaneshwari</w:t>
      </w:r>
      <w:proofErr w:type="spellEnd"/>
      <w:r w:rsidRPr="0004354D">
        <w:rPr>
          <w:rFonts w:ascii="Times New Roman" w:hAnsi="Times New Roman" w:cs="Times New Roman"/>
          <w:sz w:val="24"/>
          <w:szCs w:val="24"/>
        </w:rPr>
        <w:t xml:space="preserve">, G. (2000), “Microfinance for community development, poverty alleviation and natural resource management in </w:t>
      </w:r>
      <w:proofErr w:type="spellStart"/>
      <w:r w:rsidRPr="0004354D">
        <w:rPr>
          <w:rFonts w:ascii="Times New Roman" w:hAnsi="Times New Roman" w:cs="Times New Roman"/>
          <w:sz w:val="24"/>
          <w:szCs w:val="24"/>
        </w:rPr>
        <w:t>peri</w:t>
      </w:r>
      <w:proofErr w:type="spellEnd"/>
      <w:r w:rsidRPr="0004354D">
        <w:rPr>
          <w:rFonts w:ascii="Times New Roman" w:hAnsi="Times New Roman" w:cs="Times New Roman"/>
          <w:sz w:val="24"/>
          <w:szCs w:val="24"/>
        </w:rPr>
        <w:t xml:space="preserve">-urban </w:t>
      </w:r>
      <w:proofErr w:type="spellStart"/>
      <w:r w:rsidRPr="0004354D">
        <w:rPr>
          <w:rFonts w:ascii="Times New Roman" w:hAnsi="Times New Roman" w:cs="Times New Roman"/>
          <w:sz w:val="24"/>
          <w:szCs w:val="24"/>
        </w:rPr>
        <w:t>Hubli</w:t>
      </w:r>
      <w:proofErr w:type="spellEnd"/>
      <w:r w:rsidRPr="0004354D">
        <w:rPr>
          <w:rFonts w:ascii="Times New Roman" w:hAnsi="Times New Roman" w:cs="Times New Roman"/>
          <w:sz w:val="24"/>
          <w:szCs w:val="24"/>
        </w:rPr>
        <w:t>–Dharwad, Ind</w:t>
      </w:r>
      <w:r w:rsidR="000E7456">
        <w:rPr>
          <w:rFonts w:ascii="Times New Roman" w:hAnsi="Times New Roman" w:cs="Times New Roman"/>
          <w:sz w:val="24"/>
          <w:szCs w:val="24"/>
        </w:rPr>
        <w:t xml:space="preserve">ia”, Environment &amp; Urbanization, </w:t>
      </w:r>
      <w:r w:rsidRPr="0004354D">
        <w:rPr>
          <w:rFonts w:ascii="Times New Roman" w:hAnsi="Times New Roman" w:cs="Times New Roman"/>
          <w:sz w:val="24"/>
          <w:szCs w:val="24"/>
        </w:rPr>
        <w:t>International Institute for Environment and Development (IIED). 149, Vol 20(1): 149–163.</w:t>
      </w:r>
    </w:p>
    <w:p w:rsidR="0043060C" w:rsidRDefault="0043060C" w:rsidP="0043060C">
      <w:pPr>
        <w:suppressAutoHyphens w:val="0"/>
        <w:spacing w:after="0" w:line="240" w:lineRule="auto"/>
        <w:rPr>
          <w:rFonts w:ascii="Times New Roman" w:hAnsi="Times New Roman" w:cs="Times New Roman"/>
          <w:sz w:val="24"/>
          <w:szCs w:val="24"/>
        </w:rPr>
      </w:pPr>
    </w:p>
    <w:p w:rsidR="0043060C" w:rsidRDefault="0043060C" w:rsidP="0043060C">
      <w:pPr>
        <w:suppressAutoHyphens w:val="0"/>
        <w:spacing w:after="0" w:line="240" w:lineRule="auto"/>
        <w:rPr>
          <w:rFonts w:ascii="Times New Roman" w:hAnsi="Times New Roman" w:cs="Times New Roman"/>
          <w:sz w:val="24"/>
          <w:szCs w:val="24"/>
        </w:rPr>
      </w:pPr>
      <w:r w:rsidRPr="0004354D">
        <w:rPr>
          <w:rFonts w:ascii="Times New Roman" w:eastAsia="Arial Unicode MS" w:hAnsi="Times New Roman" w:cs="Times New Roman"/>
          <w:color w:val="000000"/>
          <w:sz w:val="24"/>
          <w:szCs w:val="24"/>
        </w:rPr>
        <w:t xml:space="preserve">Canadian International Development Agency - CIDA (2002). </w:t>
      </w:r>
      <w:r w:rsidRPr="0004354D">
        <w:rPr>
          <w:rFonts w:ascii="Times New Roman" w:hAnsi="Times New Roman" w:cs="Times New Roman"/>
          <w:sz w:val="24"/>
          <w:szCs w:val="24"/>
        </w:rPr>
        <w:t>CIDA and Microfinance: A Poverty Reduction Approach, Policy Branch, October 2002</w:t>
      </w:r>
    </w:p>
    <w:p w:rsidR="0043060C" w:rsidRPr="0004354D" w:rsidRDefault="0043060C" w:rsidP="0043060C">
      <w:pPr>
        <w:suppressAutoHyphens w:val="0"/>
        <w:spacing w:after="0" w:line="240" w:lineRule="auto"/>
        <w:rPr>
          <w:rFonts w:ascii="Times New Roman" w:hAnsi="Times New Roman" w:cs="Times New Roman"/>
          <w:sz w:val="24"/>
          <w:szCs w:val="24"/>
        </w:rPr>
      </w:pPr>
    </w:p>
    <w:p w:rsidR="0043060C" w:rsidRDefault="0043060C" w:rsidP="0043060C">
      <w:pPr>
        <w:spacing w:after="0" w:line="240" w:lineRule="auto"/>
        <w:jc w:val="both"/>
        <w:rPr>
          <w:rFonts w:ascii="Times New Roman" w:hAnsi="Times New Roman" w:cs="Times New Roman"/>
          <w:sz w:val="24"/>
          <w:szCs w:val="24"/>
        </w:rPr>
      </w:pPr>
      <w:r w:rsidRPr="0004354D">
        <w:rPr>
          <w:rFonts w:ascii="Times New Roman" w:hAnsi="Times New Roman" w:cs="Times New Roman"/>
          <w:sz w:val="24"/>
          <w:szCs w:val="24"/>
        </w:rPr>
        <w:t>CGAP (2009). What Do We Know about the Impact of Microfinance? Washington D.C, Consultative Group to Assist the Poor.</w:t>
      </w:r>
    </w:p>
    <w:p w:rsidR="0043060C" w:rsidRPr="0004354D" w:rsidRDefault="0043060C" w:rsidP="0043060C">
      <w:pPr>
        <w:spacing w:after="0" w:line="240" w:lineRule="auto"/>
        <w:jc w:val="both"/>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proofErr w:type="spellStart"/>
      <w:r w:rsidRPr="0004354D">
        <w:rPr>
          <w:rFonts w:ascii="Times New Roman" w:hAnsi="Times New Roman" w:cs="Times New Roman"/>
          <w:sz w:val="24"/>
          <w:szCs w:val="24"/>
        </w:rPr>
        <w:t>Chamhuri</w:t>
      </w:r>
      <w:proofErr w:type="spellEnd"/>
      <w:r w:rsidRPr="0004354D">
        <w:rPr>
          <w:rFonts w:ascii="Times New Roman" w:hAnsi="Times New Roman" w:cs="Times New Roman"/>
          <w:sz w:val="24"/>
          <w:szCs w:val="24"/>
        </w:rPr>
        <w:t xml:space="preserve">, </w:t>
      </w:r>
      <w:proofErr w:type="spellStart"/>
      <w:r w:rsidRPr="0004354D">
        <w:rPr>
          <w:rFonts w:ascii="Times New Roman" w:hAnsi="Times New Roman" w:cs="Times New Roman"/>
          <w:sz w:val="24"/>
          <w:szCs w:val="24"/>
        </w:rPr>
        <w:t>Nurul</w:t>
      </w:r>
      <w:proofErr w:type="spellEnd"/>
      <w:r w:rsidRPr="0004354D">
        <w:rPr>
          <w:rFonts w:ascii="Times New Roman" w:hAnsi="Times New Roman" w:cs="Times New Roman"/>
          <w:sz w:val="24"/>
          <w:szCs w:val="24"/>
        </w:rPr>
        <w:t xml:space="preserve"> </w:t>
      </w:r>
      <w:proofErr w:type="spellStart"/>
      <w:r w:rsidRPr="0004354D">
        <w:rPr>
          <w:rFonts w:ascii="Times New Roman" w:hAnsi="Times New Roman" w:cs="Times New Roman"/>
          <w:sz w:val="24"/>
          <w:szCs w:val="24"/>
        </w:rPr>
        <w:t>Hidayah</w:t>
      </w:r>
      <w:proofErr w:type="spellEnd"/>
      <w:r w:rsidRPr="0004354D">
        <w:rPr>
          <w:rFonts w:ascii="Times New Roman" w:hAnsi="Times New Roman" w:cs="Times New Roman"/>
          <w:sz w:val="24"/>
          <w:szCs w:val="24"/>
        </w:rPr>
        <w:t xml:space="preserve">., Karim, </w:t>
      </w:r>
      <w:proofErr w:type="spellStart"/>
      <w:r w:rsidRPr="0004354D">
        <w:rPr>
          <w:rFonts w:ascii="Times New Roman" w:hAnsi="Times New Roman" w:cs="Times New Roman"/>
          <w:sz w:val="24"/>
          <w:szCs w:val="24"/>
        </w:rPr>
        <w:t>Hafazah</w:t>
      </w:r>
      <w:proofErr w:type="spellEnd"/>
      <w:r w:rsidRPr="0004354D">
        <w:rPr>
          <w:rFonts w:ascii="Times New Roman" w:hAnsi="Times New Roman" w:cs="Times New Roman"/>
          <w:sz w:val="24"/>
          <w:szCs w:val="24"/>
        </w:rPr>
        <w:t xml:space="preserve"> Abdul., </w:t>
      </w:r>
      <w:proofErr w:type="spellStart"/>
      <w:r w:rsidRPr="0004354D">
        <w:rPr>
          <w:rFonts w:ascii="Times New Roman" w:hAnsi="Times New Roman" w:cs="Times New Roman"/>
          <w:sz w:val="24"/>
          <w:szCs w:val="24"/>
        </w:rPr>
        <w:t>Hamdan</w:t>
      </w:r>
      <w:proofErr w:type="spellEnd"/>
      <w:r w:rsidRPr="0004354D">
        <w:rPr>
          <w:rFonts w:ascii="Times New Roman" w:hAnsi="Times New Roman" w:cs="Times New Roman"/>
          <w:sz w:val="24"/>
          <w:szCs w:val="24"/>
        </w:rPr>
        <w:t xml:space="preserve">, </w:t>
      </w:r>
      <w:proofErr w:type="spellStart"/>
      <w:r w:rsidRPr="0004354D">
        <w:rPr>
          <w:rFonts w:ascii="Times New Roman" w:hAnsi="Times New Roman" w:cs="Times New Roman"/>
          <w:sz w:val="24"/>
          <w:szCs w:val="24"/>
        </w:rPr>
        <w:t>Hazlina</w:t>
      </w:r>
      <w:proofErr w:type="spellEnd"/>
      <w:r w:rsidRPr="0004354D">
        <w:rPr>
          <w:rFonts w:ascii="Times New Roman" w:hAnsi="Times New Roman" w:cs="Times New Roman"/>
          <w:sz w:val="24"/>
          <w:szCs w:val="24"/>
        </w:rPr>
        <w:t>. (2012) “Conceptual Framework of Urban Poverty Reduction: A review of literature” ASIA Pacific International Conference on Environment-Behaviour Studies, Mercure Le Sphinx Cairo Hotel, Giza, Egypt, 31 October 2 November.</w:t>
      </w:r>
    </w:p>
    <w:p w:rsidR="0043060C"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r w:rsidRPr="0004354D">
        <w:rPr>
          <w:rFonts w:ascii="Times New Roman" w:hAnsi="Times New Roman" w:cs="Times New Roman"/>
          <w:sz w:val="24"/>
          <w:szCs w:val="24"/>
        </w:rPr>
        <w:t>Chen, M. and Snodgrass, D. 2001. Managing Resources, Activities, and Risk in Urban India: The Impact of SEWA Bank. Published by Assessing the Impact of Microenterprise Services (AIMS) Management Systems International 600 Water Street, S.W. Washington, D.C. 20024-2488</w:t>
      </w:r>
    </w:p>
    <w:p w:rsidR="0043060C" w:rsidRPr="0004354D" w:rsidRDefault="0043060C" w:rsidP="0043060C">
      <w:pPr>
        <w:spacing w:after="0" w:line="240" w:lineRule="auto"/>
        <w:rPr>
          <w:rFonts w:ascii="Times New Roman" w:hAnsi="Times New Roman" w:cs="Times New Roman"/>
          <w:sz w:val="24"/>
          <w:szCs w:val="24"/>
        </w:rPr>
      </w:pPr>
    </w:p>
    <w:p w:rsidR="0043060C" w:rsidRPr="0004354D" w:rsidRDefault="0043060C" w:rsidP="0043060C">
      <w:pPr>
        <w:spacing w:after="0" w:line="240" w:lineRule="auto"/>
        <w:rPr>
          <w:rFonts w:ascii="Times New Roman" w:hAnsi="Times New Roman" w:cs="Times New Roman"/>
          <w:sz w:val="24"/>
          <w:szCs w:val="24"/>
        </w:rPr>
      </w:pPr>
      <w:r w:rsidRPr="0004354D">
        <w:rPr>
          <w:rFonts w:ascii="Times New Roman" w:hAnsi="Times New Roman" w:cs="Times New Roman"/>
          <w:sz w:val="24"/>
          <w:szCs w:val="24"/>
        </w:rPr>
        <w:t>Christen, Robert Peck. 2000. Commercialization and Mission Drift: The Transformation of Microfinance in Latin America. Occasional Paper No. 5, Washington, D.C.: CGAP.</w:t>
      </w:r>
    </w:p>
    <w:p w:rsidR="000E7456" w:rsidRDefault="000E7456" w:rsidP="0043060C">
      <w:pPr>
        <w:spacing w:after="0" w:line="240" w:lineRule="auto"/>
        <w:rPr>
          <w:rFonts w:ascii="Times New Roman" w:hAnsi="Times New Roman" w:cs="Times New Roman"/>
          <w:sz w:val="24"/>
          <w:szCs w:val="24"/>
        </w:rPr>
      </w:pPr>
    </w:p>
    <w:p w:rsidR="0043060C" w:rsidRDefault="0043060C" w:rsidP="0043060C">
      <w:pPr>
        <w:spacing w:after="0" w:line="240" w:lineRule="auto"/>
        <w:jc w:val="both"/>
        <w:rPr>
          <w:rFonts w:ascii="Times New Roman" w:hAnsi="Times New Roman" w:cs="Times New Roman"/>
          <w:sz w:val="24"/>
          <w:szCs w:val="24"/>
        </w:rPr>
      </w:pPr>
      <w:r w:rsidRPr="0004354D">
        <w:rPr>
          <w:rFonts w:ascii="Times New Roman" w:hAnsi="Times New Roman" w:cs="Times New Roman"/>
          <w:sz w:val="24"/>
          <w:szCs w:val="24"/>
        </w:rPr>
        <w:t>Coleman, B. (1999). "The impact of group lending in northeast Thailand." Journal of Development Economics 60(1): 105-141.</w:t>
      </w:r>
    </w:p>
    <w:p w:rsidR="0043060C" w:rsidRPr="0004354D" w:rsidRDefault="0043060C" w:rsidP="0043060C">
      <w:pPr>
        <w:spacing w:after="0" w:line="240" w:lineRule="auto"/>
        <w:jc w:val="both"/>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r w:rsidRPr="0004354D">
        <w:rPr>
          <w:rFonts w:ascii="Times New Roman" w:hAnsi="Times New Roman" w:cs="Times New Roman"/>
          <w:sz w:val="24"/>
          <w:szCs w:val="24"/>
        </w:rPr>
        <w:t>Coleman, B. (2006). Microfinance in Northeast Thailand: Who Benefits and How Much? World Development Vol. 34, No. 9, pp. 1612–1638, 2006. Elsevier</w:t>
      </w:r>
    </w:p>
    <w:p w:rsidR="0043060C" w:rsidRPr="0004354D" w:rsidRDefault="0043060C" w:rsidP="0043060C">
      <w:pPr>
        <w:spacing w:after="0" w:line="240" w:lineRule="auto"/>
        <w:rPr>
          <w:rFonts w:ascii="Times New Roman" w:hAnsi="Times New Roman" w:cs="Times New Roman"/>
          <w:sz w:val="24"/>
          <w:szCs w:val="24"/>
        </w:rPr>
      </w:pPr>
    </w:p>
    <w:p w:rsidR="0043060C" w:rsidRPr="0004354D" w:rsidRDefault="0043060C" w:rsidP="0043060C">
      <w:pPr>
        <w:spacing w:after="0" w:line="240" w:lineRule="auto"/>
        <w:rPr>
          <w:rFonts w:ascii="Times New Roman" w:hAnsi="Times New Roman" w:cs="Times New Roman"/>
          <w:sz w:val="24"/>
          <w:szCs w:val="24"/>
        </w:rPr>
      </w:pPr>
      <w:proofErr w:type="spellStart"/>
      <w:r w:rsidRPr="0004354D">
        <w:rPr>
          <w:rFonts w:ascii="Times New Roman" w:hAnsi="Times New Roman" w:cs="Times New Roman"/>
          <w:sz w:val="24"/>
          <w:szCs w:val="24"/>
        </w:rPr>
        <w:t>Copestake</w:t>
      </w:r>
      <w:proofErr w:type="spellEnd"/>
      <w:r w:rsidRPr="0004354D">
        <w:rPr>
          <w:rFonts w:ascii="Times New Roman" w:hAnsi="Times New Roman" w:cs="Times New Roman"/>
          <w:sz w:val="24"/>
          <w:szCs w:val="24"/>
        </w:rPr>
        <w:t>, J. (2010) “</w:t>
      </w:r>
      <w:r w:rsidRPr="0004354D">
        <w:rPr>
          <w:rFonts w:ascii="Times New Roman" w:hAnsi="Times New Roman" w:cs="Times New Roman"/>
          <w:sz w:val="24"/>
          <w:szCs w:val="24"/>
        </w:rPr>
        <w:tab/>
        <w:t>Microfinance and development finance in India: research implications”</w:t>
      </w:r>
    </w:p>
    <w:p w:rsidR="0088130D" w:rsidRDefault="0088130D"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r w:rsidRPr="0004354D">
        <w:rPr>
          <w:rFonts w:ascii="Times New Roman" w:hAnsi="Times New Roman" w:cs="Times New Roman"/>
          <w:sz w:val="24"/>
          <w:szCs w:val="24"/>
        </w:rPr>
        <w:t>CRISIL (2009). India Top 50 Microfinance Institutions – A Financial Awareness Initiative of CRISIL. CRISIL</w:t>
      </w:r>
      <w:r w:rsidR="0088130D">
        <w:rPr>
          <w:rFonts w:ascii="Times New Roman" w:hAnsi="Times New Roman" w:cs="Times New Roman"/>
          <w:sz w:val="24"/>
          <w:szCs w:val="24"/>
        </w:rPr>
        <w:t>: Mumbai.</w:t>
      </w:r>
    </w:p>
    <w:p w:rsidR="0088130D" w:rsidRDefault="0088130D" w:rsidP="0043060C">
      <w:pPr>
        <w:spacing w:after="0" w:line="240" w:lineRule="auto"/>
        <w:rPr>
          <w:rFonts w:ascii="Times New Roman" w:hAnsi="Times New Roman" w:cs="Times New Roman"/>
          <w:sz w:val="24"/>
          <w:szCs w:val="24"/>
        </w:rPr>
      </w:pPr>
    </w:p>
    <w:p w:rsidR="0088130D" w:rsidRPr="006C097E" w:rsidRDefault="0088130D" w:rsidP="0088130D">
      <w:pPr>
        <w:rPr>
          <w:rFonts w:ascii="Times New Roman" w:hAnsi="Times New Roman" w:cs="Times New Roman"/>
          <w:sz w:val="24"/>
          <w:szCs w:val="24"/>
        </w:rPr>
      </w:pPr>
      <w:r w:rsidRPr="006C097E">
        <w:rPr>
          <w:rFonts w:ascii="Times New Roman" w:hAnsi="Times New Roman" w:cs="Times New Roman"/>
          <w:sz w:val="24"/>
          <w:szCs w:val="24"/>
        </w:rPr>
        <w:t>CRISIL. 2014. India’s 25 Leading MFIs - Sector regaining growth momentum – capital availability critical. Published by CRISIL. Unit no. 104 &amp; 201, Kensington, A wing, IT/</w:t>
      </w:r>
      <w:proofErr w:type="spellStart"/>
      <w:r w:rsidRPr="006C097E">
        <w:rPr>
          <w:rFonts w:ascii="Times New Roman" w:hAnsi="Times New Roman" w:cs="Times New Roman"/>
          <w:sz w:val="24"/>
          <w:szCs w:val="24"/>
        </w:rPr>
        <w:t>ITeS</w:t>
      </w:r>
      <w:proofErr w:type="spellEnd"/>
      <w:r w:rsidRPr="006C097E">
        <w:rPr>
          <w:rFonts w:ascii="Times New Roman" w:hAnsi="Times New Roman" w:cs="Times New Roman"/>
          <w:sz w:val="24"/>
          <w:szCs w:val="24"/>
        </w:rPr>
        <w:t xml:space="preserve">-SEZ, </w:t>
      </w:r>
      <w:proofErr w:type="spellStart"/>
      <w:r w:rsidRPr="006C097E">
        <w:rPr>
          <w:rFonts w:ascii="Times New Roman" w:hAnsi="Times New Roman" w:cs="Times New Roman"/>
          <w:sz w:val="24"/>
          <w:szCs w:val="24"/>
        </w:rPr>
        <w:t>Hiranandani</w:t>
      </w:r>
      <w:proofErr w:type="spellEnd"/>
      <w:r w:rsidRPr="006C097E">
        <w:rPr>
          <w:rFonts w:ascii="Times New Roman" w:hAnsi="Times New Roman" w:cs="Times New Roman"/>
          <w:sz w:val="24"/>
          <w:szCs w:val="24"/>
        </w:rPr>
        <w:t xml:space="preserve"> Business Park, </w:t>
      </w:r>
      <w:proofErr w:type="spellStart"/>
      <w:r w:rsidRPr="006C097E">
        <w:rPr>
          <w:rFonts w:ascii="Times New Roman" w:hAnsi="Times New Roman" w:cs="Times New Roman"/>
          <w:sz w:val="24"/>
          <w:szCs w:val="24"/>
        </w:rPr>
        <w:t>Powai</w:t>
      </w:r>
      <w:proofErr w:type="spellEnd"/>
      <w:r w:rsidRPr="006C097E">
        <w:rPr>
          <w:rFonts w:ascii="Times New Roman" w:hAnsi="Times New Roman" w:cs="Times New Roman"/>
          <w:sz w:val="24"/>
          <w:szCs w:val="24"/>
        </w:rPr>
        <w:t xml:space="preserve">, Mumbai - 400 070, INDIA. </w:t>
      </w:r>
    </w:p>
    <w:p w:rsidR="0088130D" w:rsidRPr="006C097E" w:rsidRDefault="0088130D" w:rsidP="0088130D">
      <w:pPr>
        <w:rPr>
          <w:rFonts w:ascii="Times New Roman" w:hAnsi="Times New Roman" w:cs="Times New Roman"/>
          <w:sz w:val="24"/>
          <w:szCs w:val="24"/>
          <w:shd w:val="clear" w:color="auto" w:fill="FFFFFF"/>
        </w:rPr>
      </w:pPr>
      <w:proofErr w:type="spellStart"/>
      <w:r w:rsidRPr="006C097E">
        <w:rPr>
          <w:rFonts w:ascii="Times New Roman" w:hAnsi="Times New Roman" w:cs="Times New Roman"/>
          <w:sz w:val="24"/>
          <w:szCs w:val="24"/>
        </w:rPr>
        <w:t>Equitas</w:t>
      </w:r>
      <w:proofErr w:type="spellEnd"/>
      <w:r w:rsidRPr="006C097E">
        <w:rPr>
          <w:rFonts w:ascii="Times New Roman" w:hAnsi="Times New Roman" w:cs="Times New Roman"/>
          <w:sz w:val="24"/>
          <w:szCs w:val="24"/>
        </w:rPr>
        <w:t xml:space="preserve">. 2012. </w:t>
      </w:r>
      <w:proofErr w:type="spellStart"/>
      <w:r w:rsidRPr="006C097E">
        <w:rPr>
          <w:rFonts w:ascii="Times New Roman" w:hAnsi="Times New Roman" w:cs="Times New Roman"/>
          <w:sz w:val="24"/>
          <w:szCs w:val="24"/>
        </w:rPr>
        <w:t>Singhivi</w:t>
      </w:r>
      <w:proofErr w:type="spellEnd"/>
      <w:r w:rsidRPr="006C097E">
        <w:rPr>
          <w:rFonts w:ascii="Times New Roman" w:hAnsi="Times New Roman" w:cs="Times New Roman"/>
          <w:sz w:val="24"/>
          <w:szCs w:val="24"/>
        </w:rPr>
        <w:t xml:space="preserve"> Investment &amp; Finance Private Limited Eighteenth Annual Report 2011 – 2012. </w:t>
      </w:r>
      <w:proofErr w:type="spellStart"/>
      <w:r w:rsidRPr="006C097E">
        <w:rPr>
          <w:rFonts w:ascii="Times New Roman" w:hAnsi="Times New Roman" w:cs="Times New Roman"/>
          <w:sz w:val="24"/>
          <w:szCs w:val="24"/>
        </w:rPr>
        <w:t>Equitas</w:t>
      </w:r>
      <w:proofErr w:type="spellEnd"/>
      <w:r w:rsidRPr="006C097E">
        <w:rPr>
          <w:rFonts w:ascii="Times New Roman" w:hAnsi="Times New Roman" w:cs="Times New Roman"/>
          <w:sz w:val="24"/>
          <w:szCs w:val="24"/>
        </w:rPr>
        <w:t xml:space="preserve"> Micro Finance Limited. </w:t>
      </w:r>
      <w:r w:rsidRPr="006C097E">
        <w:rPr>
          <w:rFonts w:ascii="Times New Roman" w:hAnsi="Times New Roman" w:cs="Times New Roman"/>
          <w:sz w:val="24"/>
          <w:szCs w:val="24"/>
          <w:shd w:val="clear" w:color="auto" w:fill="FFFFFF"/>
        </w:rPr>
        <w:t xml:space="preserve">4th Floor, Spencer Plaza, No. 769, Phase II, Anna </w:t>
      </w:r>
      <w:proofErr w:type="spellStart"/>
      <w:r w:rsidRPr="006C097E">
        <w:rPr>
          <w:rFonts w:ascii="Times New Roman" w:hAnsi="Times New Roman" w:cs="Times New Roman"/>
          <w:sz w:val="24"/>
          <w:szCs w:val="24"/>
          <w:shd w:val="clear" w:color="auto" w:fill="FFFFFF"/>
        </w:rPr>
        <w:t>Salai</w:t>
      </w:r>
      <w:proofErr w:type="spellEnd"/>
      <w:r w:rsidRPr="006C097E">
        <w:rPr>
          <w:rFonts w:ascii="Times New Roman" w:hAnsi="Times New Roman" w:cs="Times New Roman"/>
          <w:sz w:val="24"/>
          <w:szCs w:val="24"/>
          <w:shd w:val="clear" w:color="auto" w:fill="FFFFFF"/>
        </w:rPr>
        <w:t>, Chennai, Tamil Nadu 600002, India</w:t>
      </w:r>
    </w:p>
    <w:p w:rsidR="0088130D" w:rsidRDefault="0088130D" w:rsidP="0088130D">
      <w:pPr>
        <w:autoSpaceDE w:val="0"/>
        <w:autoSpaceDN w:val="0"/>
        <w:adjustRightInd w:val="0"/>
        <w:spacing w:after="0" w:line="240" w:lineRule="auto"/>
        <w:rPr>
          <w:rFonts w:ascii="Times New Roman" w:hAnsi="Times New Roman" w:cs="Times New Roman"/>
          <w:sz w:val="24"/>
          <w:szCs w:val="24"/>
        </w:rPr>
      </w:pPr>
      <w:proofErr w:type="spellStart"/>
      <w:r w:rsidRPr="006C097E">
        <w:rPr>
          <w:rFonts w:ascii="Times New Roman" w:hAnsi="Times New Roman" w:cs="Times New Roman"/>
          <w:sz w:val="24"/>
          <w:szCs w:val="24"/>
        </w:rPr>
        <w:lastRenderedPageBreak/>
        <w:t>Gangi</w:t>
      </w:r>
      <w:proofErr w:type="spellEnd"/>
      <w:r w:rsidRPr="006C097E">
        <w:rPr>
          <w:rFonts w:ascii="Times New Roman" w:hAnsi="Times New Roman" w:cs="Times New Roman"/>
          <w:sz w:val="24"/>
          <w:szCs w:val="24"/>
        </w:rPr>
        <w:t xml:space="preserve"> J. </w:t>
      </w:r>
      <w:proofErr w:type="spellStart"/>
      <w:r w:rsidRPr="006C097E">
        <w:rPr>
          <w:rFonts w:ascii="Times New Roman" w:hAnsi="Times New Roman" w:cs="Times New Roman"/>
          <w:sz w:val="24"/>
          <w:szCs w:val="24"/>
        </w:rPr>
        <w:t>n.d.</w:t>
      </w:r>
      <w:proofErr w:type="spellEnd"/>
      <w:r w:rsidRPr="006C097E">
        <w:rPr>
          <w:rFonts w:ascii="Times New Roman" w:hAnsi="Times New Roman" w:cs="Times New Roman"/>
          <w:sz w:val="24"/>
          <w:szCs w:val="24"/>
        </w:rPr>
        <w:t xml:space="preserve"> The Unis Social Enterprise. Available online: </w:t>
      </w:r>
      <w:hyperlink r:id="rId14" w:history="1">
        <w:r w:rsidRPr="006C097E">
          <w:rPr>
            <w:rFonts w:ascii="Times New Roman" w:hAnsi="Times New Roman" w:cs="Times New Roman"/>
            <w:sz w:val="24"/>
            <w:szCs w:val="24"/>
          </w:rPr>
          <w:t>http://econrules.com/?page_id=329</w:t>
        </w:r>
      </w:hyperlink>
    </w:p>
    <w:p w:rsidR="0088130D" w:rsidRDefault="0088130D"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r w:rsidRPr="0004354D">
        <w:rPr>
          <w:rFonts w:ascii="Times New Roman" w:hAnsi="Times New Roman" w:cs="Times New Roman"/>
          <w:sz w:val="24"/>
          <w:szCs w:val="24"/>
        </w:rPr>
        <w:t>Ghalib, A.K. (2013). ‘How Effective is Microfinance in Reaching the Poorest? Empirical Evidence on Progr</w:t>
      </w:r>
      <w:r>
        <w:rPr>
          <w:rFonts w:ascii="Times New Roman" w:hAnsi="Times New Roman" w:cs="Times New Roman"/>
          <w:sz w:val="24"/>
          <w:szCs w:val="24"/>
        </w:rPr>
        <w:t xml:space="preserve">am Outreach in Rural Pakistan’. </w:t>
      </w:r>
      <w:r w:rsidRPr="0004354D">
        <w:rPr>
          <w:rFonts w:ascii="Times New Roman" w:hAnsi="Times New Roman" w:cs="Times New Roman"/>
          <w:sz w:val="24"/>
          <w:szCs w:val="24"/>
        </w:rPr>
        <w:t>Journal of Business Economics and</w:t>
      </w:r>
      <w:r>
        <w:rPr>
          <w:rFonts w:ascii="Times New Roman" w:hAnsi="Times New Roman" w:cs="Times New Roman"/>
          <w:sz w:val="24"/>
          <w:szCs w:val="24"/>
        </w:rPr>
        <w:t xml:space="preserve"> </w:t>
      </w:r>
      <w:r w:rsidRPr="0004354D">
        <w:rPr>
          <w:rFonts w:ascii="Times New Roman" w:hAnsi="Times New Roman" w:cs="Times New Roman"/>
          <w:sz w:val="24"/>
          <w:szCs w:val="24"/>
        </w:rPr>
        <w:t>Management, Taylor &amp; Francis 14(3): 467-480.</w:t>
      </w:r>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r w:rsidRPr="0004354D">
        <w:rPr>
          <w:rFonts w:ascii="Times New Roman" w:hAnsi="Times New Roman" w:cs="Times New Roman"/>
          <w:sz w:val="24"/>
          <w:szCs w:val="24"/>
        </w:rPr>
        <w:t xml:space="preserve">Government of India Planning Commission (2012), Press Note on Poverty Estimates, 2009-10. </w:t>
      </w:r>
      <w:hyperlink r:id="rId15" w:history="1">
        <w:r w:rsidRPr="0004354D">
          <w:rPr>
            <w:rStyle w:val="Hyperlink"/>
            <w:rFonts w:ascii="Times New Roman" w:hAnsi="Times New Roman" w:cs="Times New Roman"/>
            <w:sz w:val="24"/>
            <w:szCs w:val="24"/>
          </w:rPr>
          <w:t>http://planningcommission.nic.in/news/press_pov1903.pdf</w:t>
        </w:r>
      </w:hyperlink>
    </w:p>
    <w:p w:rsidR="0043060C" w:rsidRPr="0004354D" w:rsidRDefault="0043060C" w:rsidP="0043060C">
      <w:pPr>
        <w:spacing w:after="0" w:line="240" w:lineRule="auto"/>
        <w:rPr>
          <w:rFonts w:ascii="Times New Roman" w:hAnsi="Times New Roman" w:cs="Times New Roman"/>
          <w:sz w:val="24"/>
          <w:szCs w:val="24"/>
        </w:rPr>
      </w:pPr>
    </w:p>
    <w:p w:rsidR="0043060C" w:rsidRPr="0004354D" w:rsidRDefault="0043060C" w:rsidP="0043060C">
      <w:pPr>
        <w:spacing w:after="0" w:line="240" w:lineRule="auto"/>
        <w:rPr>
          <w:rFonts w:ascii="Times New Roman" w:hAnsi="Times New Roman" w:cs="Times New Roman"/>
          <w:sz w:val="24"/>
          <w:szCs w:val="24"/>
        </w:rPr>
      </w:pPr>
      <w:r w:rsidRPr="0004354D">
        <w:rPr>
          <w:rFonts w:ascii="Times New Roman" w:hAnsi="Times New Roman" w:cs="Times New Roman"/>
          <w:sz w:val="24"/>
          <w:szCs w:val="24"/>
        </w:rPr>
        <w:t xml:space="preserve">Hickey, Sam and </w:t>
      </w:r>
      <w:proofErr w:type="spellStart"/>
      <w:r w:rsidRPr="0004354D">
        <w:rPr>
          <w:rFonts w:ascii="Times New Roman" w:hAnsi="Times New Roman" w:cs="Times New Roman"/>
          <w:sz w:val="24"/>
          <w:szCs w:val="24"/>
        </w:rPr>
        <w:t>Toit</w:t>
      </w:r>
      <w:proofErr w:type="spellEnd"/>
      <w:r w:rsidRPr="0004354D">
        <w:rPr>
          <w:rFonts w:ascii="Times New Roman" w:hAnsi="Times New Roman" w:cs="Times New Roman"/>
          <w:sz w:val="24"/>
          <w:szCs w:val="24"/>
        </w:rPr>
        <w:t xml:space="preserve">, </w:t>
      </w:r>
      <w:proofErr w:type="spellStart"/>
      <w:r w:rsidRPr="0004354D">
        <w:rPr>
          <w:rFonts w:ascii="Times New Roman" w:hAnsi="Times New Roman" w:cs="Times New Roman"/>
          <w:sz w:val="24"/>
          <w:szCs w:val="24"/>
        </w:rPr>
        <w:t>Andries</w:t>
      </w:r>
      <w:proofErr w:type="spellEnd"/>
      <w:r w:rsidRPr="0004354D">
        <w:rPr>
          <w:rFonts w:ascii="Times New Roman" w:hAnsi="Times New Roman" w:cs="Times New Roman"/>
          <w:sz w:val="24"/>
          <w:szCs w:val="24"/>
        </w:rPr>
        <w:t xml:space="preserve"> du., (2007) “Adverse incorporation, social exclusion and chronic poverty”, Chronic Poverty Research Centre, CPRC Working Paper 81</w:t>
      </w:r>
    </w:p>
    <w:p w:rsidR="0043060C" w:rsidRDefault="0043060C" w:rsidP="0043060C">
      <w:pPr>
        <w:spacing w:after="0" w:line="240" w:lineRule="auto"/>
        <w:rPr>
          <w:rFonts w:ascii="Times New Roman" w:hAnsi="Times New Roman" w:cs="Times New Roman"/>
          <w:sz w:val="24"/>
          <w:szCs w:val="24"/>
        </w:rPr>
      </w:pPr>
      <w:proofErr w:type="spellStart"/>
      <w:r w:rsidRPr="0004354D">
        <w:rPr>
          <w:rFonts w:ascii="Times New Roman" w:hAnsi="Times New Roman" w:cs="Times New Roman"/>
          <w:sz w:val="24"/>
          <w:szCs w:val="24"/>
        </w:rPr>
        <w:t>Hjorth</w:t>
      </w:r>
      <w:proofErr w:type="spellEnd"/>
      <w:r w:rsidRPr="0004354D">
        <w:rPr>
          <w:rFonts w:ascii="Times New Roman" w:hAnsi="Times New Roman" w:cs="Times New Roman"/>
          <w:sz w:val="24"/>
          <w:szCs w:val="24"/>
        </w:rPr>
        <w:t xml:space="preserve">, </w:t>
      </w:r>
      <w:proofErr w:type="spellStart"/>
      <w:r w:rsidRPr="0004354D">
        <w:rPr>
          <w:rFonts w:ascii="Times New Roman" w:hAnsi="Times New Roman" w:cs="Times New Roman"/>
          <w:sz w:val="24"/>
          <w:szCs w:val="24"/>
        </w:rPr>
        <w:t>Peder</w:t>
      </w:r>
      <w:proofErr w:type="spellEnd"/>
      <w:r w:rsidRPr="0004354D">
        <w:rPr>
          <w:rFonts w:ascii="Times New Roman" w:hAnsi="Times New Roman" w:cs="Times New Roman"/>
          <w:sz w:val="24"/>
          <w:szCs w:val="24"/>
        </w:rPr>
        <w:t>. (2003) “Knowledge development and management for urban poverty alleviation” Habitat International 27, 381–392.</w:t>
      </w:r>
    </w:p>
    <w:p w:rsidR="0043060C" w:rsidRPr="0004354D" w:rsidRDefault="0043060C" w:rsidP="0043060C">
      <w:pPr>
        <w:spacing w:after="0" w:line="240" w:lineRule="auto"/>
        <w:rPr>
          <w:rFonts w:ascii="Times New Roman" w:hAnsi="Times New Roman" w:cs="Times New Roman"/>
          <w:sz w:val="24"/>
          <w:szCs w:val="24"/>
        </w:rPr>
      </w:pPr>
    </w:p>
    <w:p w:rsidR="0043060C" w:rsidRPr="0004354D" w:rsidRDefault="0043060C" w:rsidP="0043060C">
      <w:pPr>
        <w:suppressAutoHyphens w:val="0"/>
        <w:spacing w:after="0" w:line="240" w:lineRule="auto"/>
        <w:rPr>
          <w:rFonts w:ascii="Times New Roman" w:hAnsi="Times New Roman" w:cs="Times New Roman"/>
          <w:sz w:val="24"/>
          <w:szCs w:val="24"/>
        </w:rPr>
      </w:pPr>
      <w:r w:rsidRPr="0004354D">
        <w:rPr>
          <w:rFonts w:ascii="Times New Roman" w:hAnsi="Times New Roman" w:cs="Times New Roman"/>
          <w:sz w:val="24"/>
          <w:szCs w:val="24"/>
        </w:rPr>
        <w:t>Hossain, M. K. (2012). Assessment of social impact of Microfinance Operations: A study on BRAC. Interdisciplinary Journal of Research in Business, Vol. 2, Issue 3, pp. 34-44.</w:t>
      </w:r>
    </w:p>
    <w:p w:rsidR="0043060C" w:rsidRDefault="0043060C" w:rsidP="0043060C">
      <w:pPr>
        <w:spacing w:after="0" w:line="240" w:lineRule="auto"/>
        <w:rPr>
          <w:rFonts w:ascii="Times New Roman" w:hAnsi="Times New Roman" w:cs="Times New Roman"/>
          <w:sz w:val="24"/>
          <w:szCs w:val="24"/>
        </w:rPr>
      </w:pPr>
      <w:proofErr w:type="spellStart"/>
      <w:r w:rsidRPr="0004354D">
        <w:rPr>
          <w:rFonts w:ascii="Times New Roman" w:hAnsi="Times New Roman" w:cs="Times New Roman"/>
          <w:sz w:val="24"/>
          <w:szCs w:val="24"/>
        </w:rPr>
        <w:t>Hulme</w:t>
      </w:r>
      <w:proofErr w:type="spellEnd"/>
      <w:r w:rsidRPr="0004354D">
        <w:rPr>
          <w:rFonts w:ascii="Times New Roman" w:hAnsi="Times New Roman" w:cs="Times New Roman"/>
          <w:sz w:val="24"/>
          <w:szCs w:val="24"/>
        </w:rPr>
        <w:t xml:space="preserve"> David, (2000), Impact Assessment Methodologies for Microfinance: Theory, Experience and Better Practice, World Development Vol. 28, No. 1, pp. 79-98, Elsevier Science Ltd.</w:t>
      </w:r>
    </w:p>
    <w:p w:rsidR="0043060C"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proofErr w:type="spellStart"/>
      <w:r w:rsidRPr="0004354D">
        <w:rPr>
          <w:rFonts w:ascii="Times New Roman" w:hAnsi="Times New Roman" w:cs="Times New Roman"/>
          <w:sz w:val="24"/>
          <w:szCs w:val="24"/>
        </w:rPr>
        <w:t>Hulme</w:t>
      </w:r>
      <w:proofErr w:type="spellEnd"/>
      <w:r w:rsidRPr="0004354D">
        <w:rPr>
          <w:rFonts w:ascii="Times New Roman" w:hAnsi="Times New Roman" w:cs="Times New Roman"/>
          <w:sz w:val="24"/>
          <w:szCs w:val="24"/>
        </w:rPr>
        <w:t>, David. (2003) “Conceptualizing Chronic Poverty” World Development Vol. 31, No. 3, pp. 403–423.</w:t>
      </w:r>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r w:rsidRPr="0004354D">
        <w:rPr>
          <w:rFonts w:ascii="Times New Roman" w:hAnsi="Times New Roman" w:cs="Times New Roman"/>
          <w:sz w:val="24"/>
          <w:szCs w:val="24"/>
        </w:rPr>
        <w:t xml:space="preserve">Imai, Katsushi S., </w:t>
      </w:r>
      <w:proofErr w:type="spellStart"/>
      <w:r w:rsidRPr="0004354D">
        <w:rPr>
          <w:rFonts w:ascii="Times New Roman" w:hAnsi="Times New Roman" w:cs="Times New Roman"/>
          <w:sz w:val="24"/>
          <w:szCs w:val="24"/>
        </w:rPr>
        <w:t>Arun</w:t>
      </w:r>
      <w:proofErr w:type="spellEnd"/>
      <w:r w:rsidRPr="0004354D">
        <w:rPr>
          <w:rFonts w:ascii="Times New Roman" w:hAnsi="Times New Roman" w:cs="Times New Roman"/>
          <w:sz w:val="24"/>
          <w:szCs w:val="24"/>
        </w:rPr>
        <w:t xml:space="preserve">, </w:t>
      </w:r>
      <w:proofErr w:type="spellStart"/>
      <w:r w:rsidRPr="0004354D">
        <w:rPr>
          <w:rFonts w:ascii="Times New Roman" w:hAnsi="Times New Roman" w:cs="Times New Roman"/>
          <w:sz w:val="24"/>
          <w:szCs w:val="24"/>
        </w:rPr>
        <w:t>Thankom</w:t>
      </w:r>
      <w:proofErr w:type="spellEnd"/>
      <w:r w:rsidRPr="0004354D">
        <w:rPr>
          <w:rFonts w:ascii="Times New Roman" w:hAnsi="Times New Roman" w:cs="Times New Roman"/>
          <w:sz w:val="24"/>
          <w:szCs w:val="24"/>
        </w:rPr>
        <w:t xml:space="preserve">., and </w:t>
      </w:r>
      <w:proofErr w:type="spellStart"/>
      <w:r w:rsidRPr="0004354D">
        <w:rPr>
          <w:rFonts w:ascii="Times New Roman" w:hAnsi="Times New Roman" w:cs="Times New Roman"/>
          <w:sz w:val="24"/>
          <w:szCs w:val="24"/>
        </w:rPr>
        <w:t>Annim</w:t>
      </w:r>
      <w:proofErr w:type="spellEnd"/>
      <w:r w:rsidRPr="0004354D">
        <w:rPr>
          <w:rFonts w:ascii="Times New Roman" w:hAnsi="Times New Roman" w:cs="Times New Roman"/>
          <w:sz w:val="24"/>
          <w:szCs w:val="24"/>
        </w:rPr>
        <w:t xml:space="preserve">, Samuel </w:t>
      </w:r>
      <w:proofErr w:type="spellStart"/>
      <w:r w:rsidRPr="0004354D">
        <w:rPr>
          <w:rFonts w:ascii="Times New Roman" w:hAnsi="Times New Roman" w:cs="Times New Roman"/>
          <w:sz w:val="24"/>
          <w:szCs w:val="24"/>
        </w:rPr>
        <w:t>Kobina</w:t>
      </w:r>
      <w:proofErr w:type="spellEnd"/>
      <w:r w:rsidRPr="0004354D">
        <w:rPr>
          <w:rFonts w:ascii="Times New Roman" w:hAnsi="Times New Roman" w:cs="Times New Roman"/>
          <w:sz w:val="24"/>
          <w:szCs w:val="24"/>
        </w:rPr>
        <w:t>. (2010) “Microfinance and Household Poverty Reduction: New Evidence from India” World Development Vol. 38, No. 12, pp. 1760–1774.</w:t>
      </w:r>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jc w:val="both"/>
        <w:rPr>
          <w:rFonts w:ascii="Times New Roman" w:hAnsi="Times New Roman" w:cs="Times New Roman"/>
          <w:i/>
          <w:iCs/>
          <w:sz w:val="24"/>
          <w:szCs w:val="24"/>
        </w:rPr>
      </w:pPr>
      <w:proofErr w:type="spellStart"/>
      <w:r w:rsidRPr="0004354D">
        <w:rPr>
          <w:rFonts w:ascii="Times New Roman" w:hAnsi="Times New Roman" w:cs="Times New Roman"/>
          <w:sz w:val="24"/>
          <w:szCs w:val="24"/>
        </w:rPr>
        <w:t>Ivatury</w:t>
      </w:r>
      <w:proofErr w:type="spellEnd"/>
      <w:r w:rsidRPr="0004354D">
        <w:rPr>
          <w:rFonts w:ascii="Times New Roman" w:hAnsi="Times New Roman" w:cs="Times New Roman"/>
          <w:sz w:val="24"/>
          <w:szCs w:val="24"/>
        </w:rPr>
        <w:t xml:space="preserve"> </w:t>
      </w:r>
      <w:proofErr w:type="spellStart"/>
      <w:r w:rsidRPr="0004354D">
        <w:rPr>
          <w:rFonts w:ascii="Times New Roman" w:hAnsi="Times New Roman" w:cs="Times New Roman"/>
          <w:sz w:val="24"/>
          <w:szCs w:val="24"/>
        </w:rPr>
        <w:t>Gautam</w:t>
      </w:r>
      <w:proofErr w:type="spellEnd"/>
      <w:r w:rsidRPr="0004354D">
        <w:rPr>
          <w:rFonts w:ascii="Times New Roman" w:hAnsi="Times New Roman" w:cs="Times New Roman"/>
          <w:sz w:val="24"/>
          <w:szCs w:val="24"/>
        </w:rPr>
        <w:t xml:space="preserve">, (2006), </w:t>
      </w:r>
      <w:r w:rsidRPr="0004354D">
        <w:rPr>
          <w:rFonts w:ascii="Times New Roman" w:hAnsi="Times New Roman" w:cs="Times New Roman"/>
          <w:i/>
          <w:iCs/>
          <w:sz w:val="24"/>
          <w:szCs w:val="24"/>
        </w:rPr>
        <w:t>Using Technology to Build Inclusive Financial System.” Focus Note, 32, CGAP</w:t>
      </w:r>
    </w:p>
    <w:p w:rsidR="0043060C" w:rsidRPr="0004354D" w:rsidRDefault="0043060C" w:rsidP="0043060C">
      <w:pPr>
        <w:spacing w:after="0" w:line="240" w:lineRule="auto"/>
        <w:jc w:val="both"/>
        <w:rPr>
          <w:rFonts w:ascii="Times New Roman" w:hAnsi="Times New Roman" w:cs="Times New Roman"/>
          <w:kern w:val="2"/>
          <w:sz w:val="24"/>
          <w:szCs w:val="24"/>
          <w:lang w:eastAsia="ar-SA"/>
        </w:rPr>
      </w:pPr>
    </w:p>
    <w:p w:rsidR="0043060C" w:rsidRDefault="0043060C" w:rsidP="0043060C">
      <w:pPr>
        <w:spacing w:after="0" w:line="240" w:lineRule="auto"/>
        <w:rPr>
          <w:rFonts w:ascii="Times New Roman" w:hAnsi="Times New Roman" w:cs="Times New Roman"/>
          <w:sz w:val="24"/>
          <w:szCs w:val="24"/>
        </w:rPr>
      </w:pPr>
      <w:proofErr w:type="spellStart"/>
      <w:r w:rsidRPr="0004354D">
        <w:rPr>
          <w:rFonts w:ascii="Times New Roman" w:hAnsi="Times New Roman" w:cs="Times New Roman"/>
          <w:sz w:val="24"/>
          <w:szCs w:val="24"/>
        </w:rPr>
        <w:t>Karlan</w:t>
      </w:r>
      <w:proofErr w:type="spellEnd"/>
      <w:r w:rsidRPr="0004354D">
        <w:rPr>
          <w:rFonts w:ascii="Times New Roman" w:hAnsi="Times New Roman" w:cs="Times New Roman"/>
          <w:sz w:val="24"/>
          <w:szCs w:val="24"/>
        </w:rPr>
        <w:t xml:space="preserve">, Dean, and Jonathan </w:t>
      </w:r>
      <w:proofErr w:type="spellStart"/>
      <w:r w:rsidRPr="0004354D">
        <w:rPr>
          <w:rFonts w:ascii="Times New Roman" w:hAnsi="Times New Roman" w:cs="Times New Roman"/>
          <w:sz w:val="24"/>
          <w:szCs w:val="24"/>
        </w:rPr>
        <w:t>Zinman</w:t>
      </w:r>
      <w:proofErr w:type="spellEnd"/>
      <w:r w:rsidRPr="0004354D">
        <w:rPr>
          <w:rFonts w:ascii="Times New Roman" w:hAnsi="Times New Roman" w:cs="Times New Roman"/>
          <w:sz w:val="24"/>
          <w:szCs w:val="24"/>
        </w:rPr>
        <w:t xml:space="preserve"> (2010): \Expanding Credit Access: Using Randomized Supply Decisions to Estimate the Impacts," Review of Financial Studies, 23(1), 433-464.</w:t>
      </w:r>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proofErr w:type="spellStart"/>
      <w:r w:rsidRPr="0004354D">
        <w:rPr>
          <w:rFonts w:ascii="Times New Roman" w:hAnsi="Times New Roman" w:cs="Times New Roman"/>
          <w:sz w:val="24"/>
          <w:szCs w:val="24"/>
        </w:rPr>
        <w:t>Khandker</w:t>
      </w:r>
      <w:proofErr w:type="spellEnd"/>
      <w:r w:rsidRPr="0004354D">
        <w:rPr>
          <w:rFonts w:ascii="Times New Roman" w:hAnsi="Times New Roman" w:cs="Times New Roman"/>
          <w:sz w:val="24"/>
          <w:szCs w:val="24"/>
        </w:rPr>
        <w:t xml:space="preserve">, </w:t>
      </w:r>
      <w:proofErr w:type="spellStart"/>
      <w:r w:rsidRPr="0004354D">
        <w:rPr>
          <w:rFonts w:ascii="Times New Roman" w:hAnsi="Times New Roman" w:cs="Times New Roman"/>
          <w:sz w:val="24"/>
          <w:szCs w:val="24"/>
        </w:rPr>
        <w:t>Shahidur</w:t>
      </w:r>
      <w:proofErr w:type="spellEnd"/>
      <w:r w:rsidRPr="0004354D">
        <w:rPr>
          <w:rFonts w:ascii="Times New Roman" w:hAnsi="Times New Roman" w:cs="Times New Roman"/>
          <w:sz w:val="24"/>
          <w:szCs w:val="24"/>
        </w:rPr>
        <w:t xml:space="preserve"> R. (2005) “Microfinance and Poverty: Evidence Using Panel Data from Bangladesh” The World Bank Economic Review, Vol – 19, No – 2, pp. 263 – 286</w:t>
      </w:r>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proofErr w:type="spellStart"/>
      <w:r w:rsidRPr="0004354D">
        <w:rPr>
          <w:rFonts w:ascii="Times New Roman" w:hAnsi="Times New Roman" w:cs="Times New Roman"/>
          <w:sz w:val="24"/>
          <w:szCs w:val="24"/>
        </w:rPr>
        <w:t>Ledgerwood</w:t>
      </w:r>
      <w:proofErr w:type="spellEnd"/>
      <w:r w:rsidRPr="0004354D">
        <w:rPr>
          <w:rFonts w:ascii="Times New Roman" w:hAnsi="Times New Roman" w:cs="Times New Roman"/>
          <w:sz w:val="24"/>
          <w:szCs w:val="24"/>
        </w:rPr>
        <w:t xml:space="preserve">, Joanna., </w:t>
      </w:r>
      <w:proofErr w:type="spellStart"/>
      <w:r w:rsidRPr="0004354D">
        <w:rPr>
          <w:rFonts w:ascii="Times New Roman" w:hAnsi="Times New Roman" w:cs="Times New Roman"/>
          <w:sz w:val="24"/>
          <w:szCs w:val="24"/>
        </w:rPr>
        <w:t>Earne</w:t>
      </w:r>
      <w:proofErr w:type="spellEnd"/>
      <w:r w:rsidRPr="0004354D">
        <w:rPr>
          <w:rFonts w:ascii="Times New Roman" w:hAnsi="Times New Roman" w:cs="Times New Roman"/>
          <w:sz w:val="24"/>
          <w:szCs w:val="24"/>
        </w:rPr>
        <w:t>, Julie., and Nelson, Candace. (2013) “The New Microfinance Handbook - A Financial Market System Perspective” The World Bank.</w:t>
      </w:r>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color w:val="000000"/>
          <w:sz w:val="24"/>
          <w:szCs w:val="24"/>
        </w:rPr>
      </w:pPr>
      <w:proofErr w:type="spellStart"/>
      <w:r w:rsidRPr="0004354D">
        <w:rPr>
          <w:rFonts w:ascii="Times New Roman" w:hAnsi="Times New Roman" w:cs="Times New Roman"/>
          <w:color w:val="000000"/>
          <w:sz w:val="24"/>
          <w:szCs w:val="24"/>
        </w:rPr>
        <w:t>Loughhead</w:t>
      </w:r>
      <w:proofErr w:type="spellEnd"/>
      <w:r w:rsidRPr="0004354D">
        <w:rPr>
          <w:rFonts w:ascii="Times New Roman" w:hAnsi="Times New Roman" w:cs="Times New Roman"/>
          <w:color w:val="000000"/>
          <w:sz w:val="24"/>
          <w:szCs w:val="24"/>
        </w:rPr>
        <w:t xml:space="preserve">, Susan., Mittal, </w:t>
      </w:r>
      <w:proofErr w:type="spellStart"/>
      <w:r w:rsidRPr="0004354D">
        <w:rPr>
          <w:rFonts w:ascii="Times New Roman" w:hAnsi="Times New Roman" w:cs="Times New Roman"/>
          <w:color w:val="000000"/>
          <w:sz w:val="24"/>
          <w:szCs w:val="24"/>
        </w:rPr>
        <w:t>Onkar</w:t>
      </w:r>
      <w:proofErr w:type="spellEnd"/>
      <w:r w:rsidRPr="0004354D">
        <w:rPr>
          <w:rFonts w:ascii="Times New Roman" w:hAnsi="Times New Roman" w:cs="Times New Roman"/>
          <w:color w:val="000000"/>
          <w:sz w:val="24"/>
          <w:szCs w:val="24"/>
        </w:rPr>
        <w:t xml:space="preserve">.  Wood, </w:t>
      </w:r>
      <w:proofErr w:type="spellStart"/>
      <w:r w:rsidRPr="0004354D">
        <w:rPr>
          <w:rFonts w:ascii="Times New Roman" w:hAnsi="Times New Roman" w:cs="Times New Roman"/>
          <w:color w:val="000000"/>
          <w:sz w:val="24"/>
          <w:szCs w:val="24"/>
        </w:rPr>
        <w:t>Geof</w:t>
      </w:r>
      <w:proofErr w:type="spellEnd"/>
      <w:r w:rsidRPr="0004354D">
        <w:rPr>
          <w:rFonts w:ascii="Times New Roman" w:hAnsi="Times New Roman" w:cs="Times New Roman"/>
          <w:color w:val="000000"/>
          <w:sz w:val="24"/>
          <w:szCs w:val="24"/>
        </w:rPr>
        <w:t>. (2001) “Urban Poverty &amp; Vulnerability in India” DFID experiences from a social policy perspective.</w:t>
      </w:r>
    </w:p>
    <w:p w:rsidR="0043060C" w:rsidRPr="0004354D" w:rsidRDefault="0043060C" w:rsidP="0043060C">
      <w:pPr>
        <w:spacing w:after="0" w:line="240" w:lineRule="auto"/>
        <w:rPr>
          <w:rFonts w:ascii="Times New Roman" w:hAnsi="Times New Roman" w:cs="Times New Roman"/>
          <w:color w:val="000000"/>
          <w:sz w:val="24"/>
          <w:szCs w:val="24"/>
        </w:rPr>
      </w:pPr>
    </w:p>
    <w:p w:rsidR="0043060C" w:rsidRDefault="0043060C" w:rsidP="0043060C">
      <w:pPr>
        <w:spacing w:after="0" w:line="240" w:lineRule="auto"/>
        <w:rPr>
          <w:rFonts w:ascii="Times New Roman" w:hAnsi="Times New Roman" w:cs="Times New Roman"/>
          <w:sz w:val="24"/>
          <w:szCs w:val="24"/>
        </w:rPr>
      </w:pPr>
      <w:proofErr w:type="spellStart"/>
      <w:r w:rsidRPr="0004354D">
        <w:rPr>
          <w:rFonts w:ascii="Times New Roman" w:hAnsi="Times New Roman" w:cs="Times New Roman"/>
          <w:sz w:val="24"/>
          <w:szCs w:val="24"/>
        </w:rPr>
        <w:t>Matin</w:t>
      </w:r>
      <w:proofErr w:type="spellEnd"/>
      <w:r w:rsidRPr="0004354D">
        <w:rPr>
          <w:rFonts w:ascii="Times New Roman" w:hAnsi="Times New Roman" w:cs="Times New Roman"/>
          <w:sz w:val="24"/>
          <w:szCs w:val="24"/>
        </w:rPr>
        <w:t xml:space="preserve">, Imran., and </w:t>
      </w:r>
      <w:proofErr w:type="spellStart"/>
      <w:r w:rsidRPr="0004354D">
        <w:rPr>
          <w:rFonts w:ascii="Times New Roman" w:hAnsi="Times New Roman" w:cs="Times New Roman"/>
          <w:sz w:val="24"/>
          <w:szCs w:val="24"/>
        </w:rPr>
        <w:t>Hulme</w:t>
      </w:r>
      <w:proofErr w:type="spellEnd"/>
      <w:r w:rsidRPr="0004354D">
        <w:rPr>
          <w:rFonts w:ascii="Times New Roman" w:hAnsi="Times New Roman" w:cs="Times New Roman"/>
          <w:sz w:val="24"/>
          <w:szCs w:val="24"/>
        </w:rPr>
        <w:t>, David. (2003) “Programs for the Poorest: Learning from the IGVGD Program in Bangladesh” World Development Vol. 31, No. 3, pp. 647–665.</w:t>
      </w:r>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r w:rsidRPr="0004354D">
        <w:rPr>
          <w:rFonts w:ascii="Times New Roman" w:hAnsi="Times New Roman" w:cs="Times New Roman"/>
          <w:sz w:val="24"/>
          <w:szCs w:val="24"/>
        </w:rPr>
        <w:lastRenderedPageBreak/>
        <w:t>M</w:t>
      </w:r>
      <w:r w:rsidRPr="0004354D">
        <w:rPr>
          <w:rFonts w:ascii="Cambria Math" w:hAnsi="Cambria Math" w:cs="Cambria Math"/>
          <w:sz w:val="24"/>
          <w:szCs w:val="24"/>
        </w:rPr>
        <w:t>‐</w:t>
      </w:r>
      <w:r w:rsidRPr="0004354D">
        <w:rPr>
          <w:rFonts w:ascii="Times New Roman" w:hAnsi="Times New Roman" w:cs="Times New Roman"/>
          <w:sz w:val="24"/>
          <w:szCs w:val="24"/>
        </w:rPr>
        <w:t>CRIL Microfinance Review (2012).  Micro</w:t>
      </w:r>
      <w:r w:rsidRPr="0004354D">
        <w:rPr>
          <w:rFonts w:ascii="Cambria Math" w:hAnsi="Cambria Math" w:cs="Cambria Math"/>
          <w:sz w:val="24"/>
          <w:szCs w:val="24"/>
        </w:rPr>
        <w:t>‐</w:t>
      </w:r>
      <w:r w:rsidRPr="0004354D">
        <w:rPr>
          <w:rFonts w:ascii="Times New Roman" w:hAnsi="Times New Roman" w:cs="Times New Roman"/>
          <w:sz w:val="24"/>
          <w:szCs w:val="24"/>
        </w:rPr>
        <w:t>Credit Ratings International Limited 602 Pacific Square, 32nd Milestone NH8 Gurgaon 122001 INDIA</w:t>
      </w:r>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proofErr w:type="spellStart"/>
      <w:r w:rsidRPr="0004354D">
        <w:rPr>
          <w:rFonts w:ascii="Times New Roman" w:hAnsi="Times New Roman" w:cs="Times New Roman"/>
          <w:sz w:val="24"/>
          <w:szCs w:val="24"/>
        </w:rPr>
        <w:t>Meng</w:t>
      </w:r>
      <w:proofErr w:type="spellEnd"/>
      <w:r w:rsidRPr="0004354D">
        <w:rPr>
          <w:rFonts w:ascii="Times New Roman" w:hAnsi="Times New Roman" w:cs="Times New Roman"/>
          <w:sz w:val="24"/>
          <w:szCs w:val="24"/>
        </w:rPr>
        <w:t xml:space="preserve">, Xin. Gregory, Robert., and Wang, </w:t>
      </w:r>
      <w:proofErr w:type="spellStart"/>
      <w:r w:rsidRPr="0004354D">
        <w:rPr>
          <w:rFonts w:ascii="Times New Roman" w:hAnsi="Times New Roman" w:cs="Times New Roman"/>
          <w:sz w:val="24"/>
          <w:szCs w:val="24"/>
        </w:rPr>
        <w:t>Youjuan</w:t>
      </w:r>
      <w:proofErr w:type="spellEnd"/>
      <w:r w:rsidRPr="0004354D">
        <w:rPr>
          <w:rFonts w:ascii="Times New Roman" w:hAnsi="Times New Roman" w:cs="Times New Roman"/>
          <w:sz w:val="24"/>
          <w:szCs w:val="24"/>
        </w:rPr>
        <w:t>. (2005) “Poverty, inequality, and growth in urban China,1986–2000” Journal of Comparative Economics 33, 710–729.</w:t>
      </w:r>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r w:rsidRPr="0004354D">
        <w:rPr>
          <w:rFonts w:ascii="Times New Roman" w:hAnsi="Times New Roman" w:cs="Times New Roman"/>
          <w:sz w:val="24"/>
          <w:szCs w:val="24"/>
        </w:rPr>
        <w:t>Michael &amp; Susan Dell Foundation Invest in Microfinance in India (May 18, 2006) Source: Business Wire, India</w:t>
      </w:r>
    </w:p>
    <w:p w:rsidR="0043060C"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Style w:val="Hyperlink"/>
          <w:rFonts w:ascii="Times New Roman" w:hAnsi="Times New Roman" w:cs="Times New Roman"/>
          <w:sz w:val="24"/>
          <w:szCs w:val="24"/>
        </w:rPr>
      </w:pPr>
      <w:proofErr w:type="spellStart"/>
      <w:r w:rsidRPr="0004354D">
        <w:rPr>
          <w:rFonts w:ascii="Times New Roman" w:hAnsi="Times New Roman" w:cs="Times New Roman"/>
          <w:color w:val="000000"/>
          <w:sz w:val="24"/>
          <w:szCs w:val="24"/>
        </w:rPr>
        <w:t>Mitlin</w:t>
      </w:r>
      <w:proofErr w:type="spellEnd"/>
      <w:r w:rsidRPr="0004354D">
        <w:rPr>
          <w:rFonts w:ascii="Times New Roman" w:hAnsi="Times New Roman" w:cs="Times New Roman"/>
          <w:color w:val="000000"/>
          <w:sz w:val="24"/>
          <w:szCs w:val="24"/>
        </w:rPr>
        <w:t xml:space="preserve">, D. (2003) “Addressing urban poverty through strengthening assets” Habitat International 27, 393–406, Elsevier Science Ltd. </w:t>
      </w:r>
      <w:hyperlink r:id="rId16" w:history="1">
        <w:r w:rsidRPr="0004354D">
          <w:rPr>
            <w:rStyle w:val="Hyperlink"/>
            <w:rFonts w:ascii="Times New Roman" w:hAnsi="Times New Roman" w:cs="Times New Roman"/>
            <w:sz w:val="24"/>
            <w:szCs w:val="24"/>
          </w:rPr>
          <w:t>http://www.sciencedirect.com/science/article/pii/S0197397502000668#</w:t>
        </w:r>
      </w:hyperlink>
    </w:p>
    <w:p w:rsidR="0043060C" w:rsidRPr="0004354D" w:rsidRDefault="0043060C" w:rsidP="0043060C">
      <w:pPr>
        <w:spacing w:after="0" w:line="240" w:lineRule="auto"/>
        <w:rPr>
          <w:rFonts w:ascii="Times New Roman" w:hAnsi="Times New Roman" w:cs="Times New Roman"/>
          <w:color w:val="000000"/>
          <w:sz w:val="24"/>
          <w:szCs w:val="24"/>
        </w:rPr>
      </w:pPr>
    </w:p>
    <w:p w:rsidR="0043060C" w:rsidRDefault="0043060C" w:rsidP="0043060C">
      <w:pPr>
        <w:spacing w:after="0" w:line="240" w:lineRule="auto"/>
        <w:rPr>
          <w:rFonts w:ascii="Times New Roman" w:hAnsi="Times New Roman" w:cs="Times New Roman"/>
          <w:color w:val="000000"/>
          <w:sz w:val="24"/>
          <w:szCs w:val="24"/>
        </w:rPr>
      </w:pPr>
      <w:proofErr w:type="spellStart"/>
      <w:r w:rsidRPr="0004354D">
        <w:rPr>
          <w:rFonts w:ascii="Times New Roman" w:hAnsi="Times New Roman" w:cs="Times New Roman"/>
          <w:color w:val="000000"/>
          <w:sz w:val="24"/>
          <w:szCs w:val="24"/>
        </w:rPr>
        <w:t>Mitlin</w:t>
      </w:r>
      <w:proofErr w:type="spellEnd"/>
      <w:r w:rsidRPr="0004354D">
        <w:rPr>
          <w:rFonts w:ascii="Times New Roman" w:hAnsi="Times New Roman" w:cs="Times New Roman"/>
          <w:color w:val="000000"/>
          <w:sz w:val="24"/>
          <w:szCs w:val="24"/>
        </w:rPr>
        <w:t xml:space="preserve">, D. (2004) ‘Understanding Urban Poverty; What the Poverty Reduction Strategy Papers Tell us’, IIED. </w:t>
      </w:r>
      <w:hyperlink r:id="rId17" w:history="1">
        <w:r w:rsidRPr="0004354D">
          <w:rPr>
            <w:rStyle w:val="Hyperlink"/>
            <w:rFonts w:ascii="Times New Roman" w:hAnsi="Times New Roman" w:cs="Times New Roman"/>
            <w:sz w:val="24"/>
            <w:szCs w:val="24"/>
          </w:rPr>
          <w:t>http://www.eldis.org/vfile/upload/1/document/0708/DOC16397.pdf</w:t>
        </w:r>
      </w:hyperlink>
      <w:r w:rsidRPr="0004354D">
        <w:rPr>
          <w:rFonts w:ascii="Times New Roman" w:hAnsi="Times New Roman" w:cs="Times New Roman"/>
          <w:color w:val="000000"/>
          <w:sz w:val="24"/>
          <w:szCs w:val="24"/>
        </w:rPr>
        <w:t xml:space="preserve"> </w:t>
      </w:r>
    </w:p>
    <w:p w:rsidR="0043060C" w:rsidRPr="0004354D" w:rsidRDefault="0043060C" w:rsidP="0043060C">
      <w:pPr>
        <w:spacing w:after="0" w:line="240" w:lineRule="auto"/>
        <w:rPr>
          <w:rFonts w:ascii="Times New Roman" w:hAnsi="Times New Roman" w:cs="Times New Roman"/>
          <w:color w:val="000000"/>
          <w:sz w:val="24"/>
          <w:szCs w:val="24"/>
        </w:rPr>
      </w:pPr>
    </w:p>
    <w:p w:rsidR="0043060C" w:rsidRDefault="0043060C" w:rsidP="0043060C">
      <w:pPr>
        <w:spacing w:after="0" w:line="240" w:lineRule="auto"/>
        <w:rPr>
          <w:rFonts w:ascii="Times New Roman" w:hAnsi="Times New Roman" w:cs="Times New Roman"/>
          <w:color w:val="000000"/>
          <w:sz w:val="24"/>
          <w:szCs w:val="24"/>
        </w:rPr>
      </w:pPr>
      <w:proofErr w:type="spellStart"/>
      <w:proofErr w:type="gramStart"/>
      <w:r w:rsidRPr="0004354D">
        <w:rPr>
          <w:rFonts w:ascii="Times New Roman" w:hAnsi="Times New Roman" w:cs="Times New Roman"/>
          <w:color w:val="000000"/>
          <w:sz w:val="24"/>
          <w:szCs w:val="24"/>
        </w:rPr>
        <w:t>Mitlin,D</w:t>
      </w:r>
      <w:proofErr w:type="spellEnd"/>
      <w:proofErr w:type="gramEnd"/>
      <w:r w:rsidRPr="0004354D">
        <w:rPr>
          <w:rFonts w:ascii="Times New Roman" w:hAnsi="Times New Roman" w:cs="Times New Roman"/>
          <w:color w:val="000000"/>
          <w:sz w:val="24"/>
          <w:szCs w:val="24"/>
        </w:rPr>
        <w:t xml:space="preserve"> and </w:t>
      </w:r>
      <w:proofErr w:type="spellStart"/>
      <w:r w:rsidRPr="0004354D">
        <w:rPr>
          <w:rFonts w:ascii="Times New Roman" w:hAnsi="Times New Roman" w:cs="Times New Roman"/>
          <w:color w:val="000000"/>
          <w:sz w:val="24"/>
          <w:szCs w:val="24"/>
        </w:rPr>
        <w:t>Satterthwaite,D</w:t>
      </w:r>
      <w:proofErr w:type="spellEnd"/>
      <w:r w:rsidRPr="0004354D">
        <w:rPr>
          <w:rFonts w:ascii="Times New Roman" w:hAnsi="Times New Roman" w:cs="Times New Roman"/>
          <w:color w:val="000000"/>
          <w:sz w:val="24"/>
          <w:szCs w:val="24"/>
        </w:rPr>
        <w:t>. (2012) “Urban Poverty in the Global South: Scale Nature”, Routledge, Taylor and Francis Group, London and New York.</w:t>
      </w:r>
    </w:p>
    <w:p w:rsidR="0043060C" w:rsidRPr="0004354D" w:rsidRDefault="0043060C" w:rsidP="0043060C">
      <w:pPr>
        <w:spacing w:after="0" w:line="240" w:lineRule="auto"/>
        <w:rPr>
          <w:rFonts w:ascii="Times New Roman" w:hAnsi="Times New Roman" w:cs="Times New Roman"/>
          <w:color w:val="000000"/>
          <w:sz w:val="24"/>
          <w:szCs w:val="24"/>
        </w:rPr>
      </w:pPr>
    </w:p>
    <w:p w:rsidR="0043060C" w:rsidRDefault="0043060C" w:rsidP="0043060C">
      <w:pPr>
        <w:spacing w:after="0" w:line="240" w:lineRule="auto"/>
        <w:rPr>
          <w:rFonts w:ascii="Times New Roman" w:hAnsi="Times New Roman" w:cs="Times New Roman"/>
          <w:sz w:val="24"/>
          <w:szCs w:val="24"/>
        </w:rPr>
      </w:pPr>
      <w:proofErr w:type="spellStart"/>
      <w:r w:rsidRPr="0004354D">
        <w:rPr>
          <w:rFonts w:ascii="Times New Roman" w:hAnsi="Times New Roman" w:cs="Times New Roman"/>
          <w:sz w:val="24"/>
          <w:szCs w:val="24"/>
        </w:rPr>
        <w:t>Navarajas</w:t>
      </w:r>
      <w:proofErr w:type="spellEnd"/>
      <w:r w:rsidRPr="0004354D">
        <w:rPr>
          <w:rFonts w:ascii="Times New Roman" w:hAnsi="Times New Roman" w:cs="Times New Roman"/>
          <w:sz w:val="24"/>
          <w:szCs w:val="24"/>
        </w:rPr>
        <w:t>, S.et.al (2000) “Microcredit and the Poorest of the poor: theory and evidence from Bolivia”, World Development, Vol.28, pp.333-46.</w:t>
      </w:r>
    </w:p>
    <w:p w:rsidR="0043060C" w:rsidRPr="0004354D" w:rsidRDefault="0043060C" w:rsidP="0043060C">
      <w:pPr>
        <w:spacing w:after="0" w:line="240" w:lineRule="auto"/>
        <w:rPr>
          <w:rFonts w:ascii="Times New Roman" w:hAnsi="Times New Roman" w:cs="Times New Roman"/>
          <w:sz w:val="24"/>
          <w:szCs w:val="24"/>
        </w:rPr>
      </w:pPr>
    </w:p>
    <w:p w:rsidR="0043060C" w:rsidRPr="003C15E4" w:rsidRDefault="0043060C" w:rsidP="0043060C">
      <w:pPr>
        <w:spacing w:after="0" w:line="240" w:lineRule="auto"/>
        <w:jc w:val="both"/>
        <w:rPr>
          <w:rFonts w:ascii="Times New Roman" w:hAnsi="Times New Roman" w:cs="Times New Roman"/>
          <w:bCs/>
          <w:iCs/>
          <w:sz w:val="24"/>
          <w:szCs w:val="24"/>
        </w:rPr>
      </w:pPr>
      <w:r w:rsidRPr="0004354D">
        <w:rPr>
          <w:rFonts w:ascii="Times New Roman" w:hAnsi="Times New Roman" w:cs="Times New Roman"/>
          <w:bCs/>
          <w:sz w:val="24"/>
          <w:szCs w:val="24"/>
        </w:rPr>
        <w:t xml:space="preserve">Otero, M. (1999), </w:t>
      </w:r>
      <w:r w:rsidRPr="003C15E4">
        <w:rPr>
          <w:rFonts w:ascii="Times New Roman" w:hAnsi="Times New Roman" w:cs="Times New Roman"/>
          <w:bCs/>
          <w:iCs/>
          <w:sz w:val="24"/>
          <w:szCs w:val="24"/>
        </w:rPr>
        <w:t>“Bringing Development Back into Microfinance”, Journal of Microfinance, Volume 1 Number 1</w:t>
      </w:r>
    </w:p>
    <w:p w:rsidR="0043060C" w:rsidRPr="003C15E4" w:rsidRDefault="0043060C" w:rsidP="0043060C">
      <w:pPr>
        <w:spacing w:after="0" w:line="240" w:lineRule="auto"/>
        <w:jc w:val="both"/>
        <w:rPr>
          <w:rFonts w:ascii="Times New Roman" w:hAnsi="Times New Roman" w:cs="Times New Roman"/>
          <w:kern w:val="2"/>
          <w:sz w:val="24"/>
          <w:szCs w:val="24"/>
          <w:lang w:eastAsia="ar-SA"/>
        </w:rPr>
      </w:pPr>
    </w:p>
    <w:p w:rsidR="0043060C" w:rsidRDefault="0043060C" w:rsidP="0043060C">
      <w:pPr>
        <w:spacing w:after="0" w:line="240" w:lineRule="auto"/>
        <w:jc w:val="both"/>
        <w:rPr>
          <w:rFonts w:ascii="Times New Roman" w:hAnsi="Times New Roman" w:cs="Times New Roman"/>
          <w:sz w:val="24"/>
          <w:szCs w:val="24"/>
        </w:rPr>
      </w:pPr>
      <w:r w:rsidRPr="0004354D">
        <w:rPr>
          <w:rFonts w:ascii="Times New Roman" w:hAnsi="Times New Roman" w:cs="Times New Roman"/>
          <w:sz w:val="24"/>
          <w:szCs w:val="24"/>
        </w:rPr>
        <w:t xml:space="preserve">Pitt, M. and S. R. </w:t>
      </w:r>
      <w:proofErr w:type="spellStart"/>
      <w:r w:rsidRPr="0004354D">
        <w:rPr>
          <w:rFonts w:ascii="Times New Roman" w:hAnsi="Times New Roman" w:cs="Times New Roman"/>
          <w:sz w:val="24"/>
          <w:szCs w:val="24"/>
        </w:rPr>
        <w:t>Khandker</w:t>
      </w:r>
      <w:proofErr w:type="spellEnd"/>
      <w:r w:rsidRPr="0004354D">
        <w:rPr>
          <w:rFonts w:ascii="Times New Roman" w:hAnsi="Times New Roman" w:cs="Times New Roman"/>
          <w:sz w:val="24"/>
          <w:szCs w:val="24"/>
        </w:rPr>
        <w:t xml:space="preserve"> (1998). "The impact of Group-Based Credit Programs on Poor Households in Bangladesh: Does the Gender of Participants Matter?" Journal of Political Economy.</w:t>
      </w:r>
    </w:p>
    <w:p w:rsidR="0043060C" w:rsidRPr="0004354D" w:rsidRDefault="0043060C" w:rsidP="0043060C">
      <w:pPr>
        <w:spacing w:after="0" w:line="240" w:lineRule="auto"/>
        <w:jc w:val="both"/>
        <w:rPr>
          <w:rFonts w:ascii="Times New Roman" w:hAnsi="Times New Roman" w:cs="Times New Roman"/>
          <w:sz w:val="24"/>
          <w:szCs w:val="24"/>
        </w:rPr>
      </w:pPr>
    </w:p>
    <w:p w:rsidR="0043060C" w:rsidRDefault="0043060C" w:rsidP="0043060C">
      <w:pPr>
        <w:spacing w:after="0" w:line="240" w:lineRule="auto"/>
        <w:jc w:val="both"/>
        <w:rPr>
          <w:rFonts w:ascii="Times New Roman" w:hAnsi="Times New Roman" w:cs="Times New Roman"/>
          <w:sz w:val="24"/>
          <w:szCs w:val="24"/>
        </w:rPr>
      </w:pPr>
      <w:r w:rsidRPr="0004354D">
        <w:rPr>
          <w:rFonts w:ascii="Times New Roman" w:hAnsi="Times New Roman" w:cs="Times New Roman"/>
          <w:sz w:val="24"/>
          <w:szCs w:val="24"/>
          <w:lang w:val="da-DK"/>
        </w:rPr>
        <w:t xml:space="preserve">Pitt, M., S. Khandker, et al. </w:t>
      </w:r>
      <w:r w:rsidRPr="0004354D">
        <w:rPr>
          <w:rFonts w:ascii="Times New Roman" w:hAnsi="Times New Roman" w:cs="Times New Roman"/>
          <w:sz w:val="24"/>
          <w:szCs w:val="24"/>
        </w:rPr>
        <w:t>(2006). "Empowering Women with Micro Finance: Evidence from Bangladesh." Economic Development and Cultural Change 54(4): 791-831.</w:t>
      </w:r>
    </w:p>
    <w:p w:rsidR="0043060C" w:rsidRPr="0004354D" w:rsidRDefault="0043060C" w:rsidP="0043060C">
      <w:pPr>
        <w:spacing w:after="0" w:line="240" w:lineRule="auto"/>
        <w:jc w:val="both"/>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proofErr w:type="spellStart"/>
      <w:r w:rsidRPr="0004354D">
        <w:rPr>
          <w:rFonts w:ascii="Times New Roman" w:hAnsi="Times New Roman" w:cs="Times New Roman"/>
          <w:sz w:val="24"/>
          <w:szCs w:val="24"/>
        </w:rPr>
        <w:t>Priyadarshee</w:t>
      </w:r>
      <w:proofErr w:type="spellEnd"/>
      <w:r w:rsidRPr="0004354D">
        <w:rPr>
          <w:rFonts w:ascii="Times New Roman" w:hAnsi="Times New Roman" w:cs="Times New Roman"/>
          <w:sz w:val="24"/>
          <w:szCs w:val="24"/>
        </w:rPr>
        <w:t>, A and Ghalib, A.K. (2012). 'Over-indebtedness, coercion and default: Causes of Andhra Pradesh microfinance crisis and regulatory implications'. Enterprise Development and Microfinance. Vol. 23, Issue No. 3, 185-200. [DOI: 10.3362/1755-1986.2012.020]</w:t>
      </w:r>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proofErr w:type="spellStart"/>
      <w:r w:rsidRPr="0004354D">
        <w:rPr>
          <w:rFonts w:ascii="Times New Roman" w:hAnsi="Times New Roman" w:cs="Times New Roman"/>
          <w:sz w:val="24"/>
          <w:szCs w:val="24"/>
        </w:rPr>
        <w:t>Rakodi</w:t>
      </w:r>
      <w:proofErr w:type="spellEnd"/>
      <w:r w:rsidRPr="0004354D">
        <w:rPr>
          <w:rFonts w:ascii="Times New Roman" w:hAnsi="Times New Roman" w:cs="Times New Roman"/>
          <w:sz w:val="24"/>
          <w:szCs w:val="24"/>
        </w:rPr>
        <w:t>, Carole. (1995) “Poverty Lines or Household Strategies? A Review of Conceptual Issues in the Study of Urban Poverty” HABITAT INTL. Vol. 19, No. 4, pp. 407426.</w:t>
      </w:r>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r w:rsidRPr="0004354D">
        <w:rPr>
          <w:rFonts w:ascii="Times New Roman" w:hAnsi="Times New Roman" w:cs="Times New Roman"/>
          <w:sz w:val="24"/>
          <w:szCs w:val="24"/>
        </w:rPr>
        <w:t>Ravallion, Martin. (2001) “On the urbanization of poverty”. Development Research Group, World Bank. The World Bank. 1818 H Street NW, Washington DC 20433.</w:t>
      </w:r>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r w:rsidRPr="0004354D">
        <w:rPr>
          <w:rFonts w:ascii="Times New Roman" w:hAnsi="Times New Roman" w:cs="Times New Roman"/>
          <w:sz w:val="24"/>
          <w:szCs w:val="24"/>
        </w:rPr>
        <w:t xml:space="preserve">Rhyne, E. (2001) Mainstreaming Microfinance: How Lending to the Poor Began, Grew and Came of Age in Bolivia (Connecticut: </w:t>
      </w:r>
      <w:proofErr w:type="spellStart"/>
      <w:r w:rsidRPr="0004354D">
        <w:rPr>
          <w:rFonts w:ascii="Times New Roman" w:hAnsi="Times New Roman" w:cs="Times New Roman"/>
          <w:sz w:val="24"/>
          <w:szCs w:val="24"/>
        </w:rPr>
        <w:t>Kumarian</w:t>
      </w:r>
      <w:proofErr w:type="spellEnd"/>
      <w:r w:rsidRPr="0004354D">
        <w:rPr>
          <w:rFonts w:ascii="Times New Roman" w:hAnsi="Times New Roman" w:cs="Times New Roman"/>
          <w:sz w:val="24"/>
          <w:szCs w:val="24"/>
        </w:rPr>
        <w:t xml:space="preserve"> Press).</w:t>
      </w:r>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bCs/>
          <w:color w:val="000000"/>
          <w:sz w:val="24"/>
          <w:szCs w:val="24"/>
        </w:rPr>
      </w:pPr>
      <w:r w:rsidRPr="0004354D">
        <w:rPr>
          <w:rFonts w:ascii="Times New Roman" w:hAnsi="Times New Roman" w:cs="Times New Roman"/>
          <w:color w:val="000000"/>
          <w:sz w:val="24"/>
          <w:szCs w:val="24"/>
        </w:rPr>
        <w:lastRenderedPageBreak/>
        <w:t>Sa-</w:t>
      </w:r>
      <w:proofErr w:type="spellStart"/>
      <w:r w:rsidRPr="0004354D">
        <w:rPr>
          <w:rFonts w:ascii="Times New Roman" w:hAnsi="Times New Roman" w:cs="Times New Roman"/>
          <w:color w:val="000000"/>
          <w:sz w:val="24"/>
          <w:szCs w:val="24"/>
        </w:rPr>
        <w:t>Dhan</w:t>
      </w:r>
      <w:proofErr w:type="spellEnd"/>
      <w:r w:rsidRPr="0004354D">
        <w:rPr>
          <w:rFonts w:ascii="Times New Roman" w:hAnsi="Times New Roman" w:cs="Times New Roman"/>
          <w:color w:val="000000"/>
          <w:sz w:val="24"/>
          <w:szCs w:val="24"/>
        </w:rPr>
        <w:t xml:space="preserve"> Microfinance Resource Centre, (2006), Existing Legal and Regulatory Framework for the Microfinance Institutions in </w:t>
      </w:r>
      <w:proofErr w:type="spellStart"/>
      <w:proofErr w:type="gramStart"/>
      <w:r w:rsidRPr="0004354D">
        <w:rPr>
          <w:rFonts w:ascii="Times New Roman" w:hAnsi="Times New Roman" w:cs="Times New Roman"/>
          <w:color w:val="000000"/>
          <w:sz w:val="24"/>
          <w:szCs w:val="24"/>
        </w:rPr>
        <w:t>India:Challenges</w:t>
      </w:r>
      <w:proofErr w:type="spellEnd"/>
      <w:proofErr w:type="gramEnd"/>
      <w:r w:rsidRPr="0004354D">
        <w:rPr>
          <w:rFonts w:ascii="Times New Roman" w:hAnsi="Times New Roman" w:cs="Times New Roman"/>
          <w:color w:val="000000"/>
          <w:sz w:val="24"/>
          <w:szCs w:val="24"/>
        </w:rPr>
        <w:t xml:space="preserve"> and Implications, </w:t>
      </w:r>
      <w:r w:rsidRPr="0004354D">
        <w:rPr>
          <w:rFonts w:ascii="Times New Roman" w:hAnsi="Times New Roman" w:cs="Times New Roman"/>
          <w:bCs/>
          <w:color w:val="000000"/>
          <w:sz w:val="24"/>
          <w:szCs w:val="24"/>
        </w:rPr>
        <w:t>Sa-</w:t>
      </w:r>
      <w:proofErr w:type="spellStart"/>
      <w:r w:rsidRPr="0004354D">
        <w:rPr>
          <w:rFonts w:ascii="Times New Roman" w:hAnsi="Times New Roman" w:cs="Times New Roman"/>
          <w:bCs/>
          <w:color w:val="000000"/>
          <w:sz w:val="24"/>
          <w:szCs w:val="24"/>
        </w:rPr>
        <w:t>Dhan</w:t>
      </w:r>
      <w:proofErr w:type="spellEnd"/>
      <w:r w:rsidRPr="0004354D">
        <w:rPr>
          <w:rFonts w:ascii="Times New Roman" w:hAnsi="Times New Roman" w:cs="Times New Roman"/>
          <w:bCs/>
          <w:color w:val="000000"/>
          <w:sz w:val="24"/>
          <w:szCs w:val="24"/>
        </w:rPr>
        <w:t>.</w:t>
      </w:r>
    </w:p>
    <w:p w:rsidR="0043060C" w:rsidRPr="0004354D" w:rsidRDefault="0043060C" w:rsidP="0043060C">
      <w:pPr>
        <w:spacing w:after="0" w:line="240" w:lineRule="auto"/>
        <w:rPr>
          <w:rFonts w:ascii="Times New Roman" w:hAnsi="Times New Roman" w:cs="Times New Roman"/>
          <w:color w:val="000000"/>
          <w:kern w:val="2"/>
          <w:sz w:val="24"/>
          <w:szCs w:val="24"/>
          <w:lang w:eastAsia="ar-SA"/>
        </w:rPr>
      </w:pPr>
    </w:p>
    <w:p w:rsidR="0043060C" w:rsidRDefault="0043060C" w:rsidP="0043060C">
      <w:pPr>
        <w:spacing w:after="0" w:line="240" w:lineRule="auto"/>
        <w:rPr>
          <w:rFonts w:ascii="Times New Roman" w:hAnsi="Times New Roman" w:cs="Times New Roman"/>
          <w:sz w:val="24"/>
          <w:szCs w:val="24"/>
        </w:rPr>
      </w:pPr>
      <w:proofErr w:type="spellStart"/>
      <w:r w:rsidRPr="0004354D">
        <w:rPr>
          <w:rFonts w:ascii="Times New Roman" w:hAnsi="Times New Roman" w:cs="Times New Roman"/>
          <w:sz w:val="24"/>
          <w:szCs w:val="24"/>
        </w:rPr>
        <w:t>Sahley</w:t>
      </w:r>
      <w:proofErr w:type="spellEnd"/>
      <w:r w:rsidRPr="0004354D">
        <w:rPr>
          <w:rFonts w:ascii="Times New Roman" w:hAnsi="Times New Roman" w:cs="Times New Roman"/>
          <w:sz w:val="24"/>
          <w:szCs w:val="24"/>
        </w:rPr>
        <w:t xml:space="preserve">, Caroline and Brian Pratt. (2003) NGO responses to urban poverty: services providers or partners in planning? NGO Management and Policy Series No. 9, INTRAC, Oxford. </w:t>
      </w:r>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pStyle w:val="NormalWeb"/>
        <w:spacing w:before="0" w:after="0"/>
      </w:pPr>
      <w:r w:rsidRPr="0004354D">
        <w:t>Satterthwaite, D. (1997) Urban Poverty: Reconsidering its Scale and Nature</w:t>
      </w:r>
      <w:r w:rsidRPr="0004354D">
        <w:rPr>
          <w:i/>
          <w:iCs/>
        </w:rPr>
        <w:t xml:space="preserve">. </w:t>
      </w:r>
      <w:r w:rsidRPr="0004354D">
        <w:t xml:space="preserve">Institute of Development Studies, 28(2): 9-23. </w:t>
      </w:r>
      <w:hyperlink r:id="rId18" w:history="1">
        <w:r w:rsidRPr="00E1705E">
          <w:rPr>
            <w:rStyle w:val="Hyperlink"/>
          </w:rPr>
          <w:t>http://onlinelibrary.wiley.com/doi/10.1111/j.1759-5436.1997.mp28002002.x/pdf</w:t>
        </w:r>
      </w:hyperlink>
      <w:r w:rsidRPr="0004354D">
        <w:t xml:space="preserve"> </w:t>
      </w:r>
    </w:p>
    <w:p w:rsidR="0043060C" w:rsidRPr="0004354D" w:rsidRDefault="0043060C" w:rsidP="0043060C">
      <w:pPr>
        <w:pStyle w:val="NormalWeb"/>
        <w:spacing w:before="0" w:after="0"/>
      </w:pPr>
    </w:p>
    <w:p w:rsidR="0043060C" w:rsidRDefault="0043060C" w:rsidP="0043060C">
      <w:pPr>
        <w:spacing w:after="0" w:line="240" w:lineRule="auto"/>
        <w:rPr>
          <w:rFonts w:ascii="Times New Roman" w:hAnsi="Times New Roman" w:cs="Times New Roman"/>
          <w:color w:val="000000"/>
          <w:sz w:val="24"/>
          <w:szCs w:val="24"/>
        </w:rPr>
      </w:pPr>
      <w:r w:rsidRPr="0004354D">
        <w:rPr>
          <w:rFonts w:ascii="Times New Roman" w:hAnsi="Times New Roman" w:cs="Times New Roman"/>
          <w:color w:val="000000"/>
          <w:sz w:val="24"/>
          <w:szCs w:val="24"/>
        </w:rPr>
        <w:t>Satterthwaite, D</w:t>
      </w:r>
      <w:r>
        <w:rPr>
          <w:rFonts w:ascii="Times New Roman" w:hAnsi="Times New Roman" w:cs="Times New Roman"/>
          <w:color w:val="000000"/>
          <w:sz w:val="24"/>
          <w:szCs w:val="24"/>
        </w:rPr>
        <w:t>.</w:t>
      </w:r>
      <w:r w:rsidRPr="0004354D">
        <w:rPr>
          <w:rFonts w:ascii="Times New Roman" w:hAnsi="Times New Roman" w:cs="Times New Roman"/>
          <w:color w:val="000000"/>
          <w:sz w:val="24"/>
          <w:szCs w:val="24"/>
        </w:rPr>
        <w:t xml:space="preserve"> (2002), Reducing Urban Poverty: Some Lessons from Experience, Poverty Reduction in Urban Areas Series Working Paper 11, IIED, London, 40 pages.</w:t>
      </w:r>
    </w:p>
    <w:p w:rsidR="0043060C" w:rsidRPr="0004354D" w:rsidRDefault="0043060C" w:rsidP="0043060C">
      <w:pPr>
        <w:spacing w:after="0" w:line="240" w:lineRule="auto"/>
        <w:rPr>
          <w:rFonts w:ascii="Times New Roman" w:hAnsi="Times New Roman" w:cs="Times New Roman"/>
          <w:color w:val="000000"/>
          <w:sz w:val="24"/>
          <w:szCs w:val="24"/>
        </w:rPr>
      </w:pPr>
    </w:p>
    <w:p w:rsidR="0043060C" w:rsidRDefault="0043060C" w:rsidP="0043060C">
      <w:pPr>
        <w:spacing w:after="0" w:line="240" w:lineRule="auto"/>
        <w:rPr>
          <w:rFonts w:ascii="Times New Roman" w:hAnsi="Times New Roman" w:cs="Times New Roman"/>
          <w:sz w:val="24"/>
          <w:szCs w:val="24"/>
        </w:rPr>
      </w:pPr>
      <w:proofErr w:type="spellStart"/>
      <w:r w:rsidRPr="0004354D">
        <w:rPr>
          <w:rFonts w:ascii="Times New Roman" w:hAnsi="Times New Roman" w:cs="Times New Roman"/>
          <w:sz w:val="24"/>
          <w:szCs w:val="24"/>
        </w:rPr>
        <w:t>Sridharan</w:t>
      </w:r>
      <w:proofErr w:type="spellEnd"/>
      <w:r w:rsidRPr="0004354D">
        <w:rPr>
          <w:rFonts w:ascii="Times New Roman" w:hAnsi="Times New Roman" w:cs="Times New Roman"/>
          <w:sz w:val="24"/>
          <w:szCs w:val="24"/>
        </w:rPr>
        <w:t xml:space="preserve">, Isa Baud, N., and </w:t>
      </w:r>
      <w:proofErr w:type="spellStart"/>
      <w:r w:rsidRPr="0004354D">
        <w:rPr>
          <w:rFonts w:ascii="Times New Roman" w:hAnsi="Times New Roman" w:cs="Times New Roman"/>
          <w:sz w:val="24"/>
          <w:szCs w:val="24"/>
        </w:rPr>
        <w:t>Pfeffer</w:t>
      </w:r>
      <w:proofErr w:type="spellEnd"/>
      <w:r w:rsidRPr="0004354D">
        <w:rPr>
          <w:rFonts w:ascii="Times New Roman" w:hAnsi="Times New Roman" w:cs="Times New Roman"/>
          <w:sz w:val="24"/>
          <w:szCs w:val="24"/>
        </w:rPr>
        <w:t>, Karin (2008) “Mapping Urban Poverty for Local Governance in an Indian Mega-City: The Case of Delhi”</w:t>
      </w:r>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iCs/>
          <w:color w:val="000000"/>
          <w:sz w:val="24"/>
          <w:szCs w:val="24"/>
        </w:rPr>
      </w:pPr>
      <w:r w:rsidRPr="0004354D">
        <w:rPr>
          <w:rFonts w:ascii="Times New Roman" w:hAnsi="Times New Roman" w:cs="Times New Roman"/>
          <w:iCs/>
          <w:color w:val="000000"/>
          <w:sz w:val="24"/>
          <w:szCs w:val="24"/>
        </w:rPr>
        <w:t xml:space="preserve">Srinivasan </w:t>
      </w:r>
      <w:proofErr w:type="spellStart"/>
      <w:r w:rsidRPr="0004354D">
        <w:rPr>
          <w:rFonts w:ascii="Times New Roman" w:hAnsi="Times New Roman" w:cs="Times New Roman"/>
          <w:iCs/>
          <w:color w:val="000000"/>
          <w:sz w:val="24"/>
          <w:szCs w:val="24"/>
        </w:rPr>
        <w:t>Girija</w:t>
      </w:r>
      <w:proofErr w:type="spellEnd"/>
      <w:r w:rsidRPr="0004354D">
        <w:rPr>
          <w:rFonts w:ascii="Times New Roman" w:hAnsi="Times New Roman" w:cs="Times New Roman"/>
          <w:iCs/>
          <w:color w:val="000000"/>
          <w:sz w:val="24"/>
          <w:szCs w:val="24"/>
        </w:rPr>
        <w:t xml:space="preserve"> (2012), Microfinance India, The Social Performance Report </w:t>
      </w:r>
      <w:proofErr w:type="gramStart"/>
      <w:r w:rsidRPr="0004354D">
        <w:rPr>
          <w:rFonts w:ascii="Times New Roman" w:hAnsi="Times New Roman" w:cs="Times New Roman"/>
          <w:iCs/>
          <w:color w:val="000000"/>
          <w:sz w:val="24"/>
          <w:szCs w:val="24"/>
        </w:rPr>
        <w:t>2012,ACCESS</w:t>
      </w:r>
      <w:proofErr w:type="gramEnd"/>
      <w:r w:rsidRPr="0004354D">
        <w:rPr>
          <w:rFonts w:ascii="Times New Roman" w:hAnsi="Times New Roman" w:cs="Times New Roman"/>
          <w:iCs/>
          <w:color w:val="000000"/>
          <w:sz w:val="24"/>
          <w:szCs w:val="24"/>
        </w:rPr>
        <w:t xml:space="preserve"> Development Services.</w:t>
      </w:r>
    </w:p>
    <w:p w:rsidR="0043060C" w:rsidRPr="0004354D" w:rsidRDefault="0043060C" w:rsidP="0043060C">
      <w:pPr>
        <w:spacing w:after="0" w:line="240" w:lineRule="auto"/>
        <w:rPr>
          <w:rFonts w:ascii="Times New Roman" w:hAnsi="Times New Roman" w:cs="Times New Roman"/>
          <w:iCs/>
          <w:color w:val="000000"/>
          <w:sz w:val="24"/>
          <w:szCs w:val="24"/>
        </w:rPr>
      </w:pPr>
    </w:p>
    <w:p w:rsidR="0043060C" w:rsidRDefault="0043060C" w:rsidP="0043060C">
      <w:pPr>
        <w:spacing w:after="0" w:line="240" w:lineRule="auto"/>
        <w:rPr>
          <w:rFonts w:ascii="Times New Roman" w:hAnsi="Times New Roman" w:cs="Times New Roman"/>
          <w:sz w:val="24"/>
          <w:szCs w:val="24"/>
        </w:rPr>
      </w:pPr>
      <w:r w:rsidRPr="0004354D">
        <w:rPr>
          <w:rFonts w:ascii="Times New Roman" w:hAnsi="Times New Roman" w:cs="Times New Roman"/>
          <w:sz w:val="24"/>
          <w:szCs w:val="24"/>
        </w:rPr>
        <w:t>Stewart, F., 2009. A Global View of Horizontal Inequalities: Inequalities Experienced by Muslims Worldwide. MICROCON Research Working Paper 13, Brighton: MICROCON.</w:t>
      </w:r>
    </w:p>
    <w:p w:rsidR="0043060C" w:rsidRPr="0004354D" w:rsidRDefault="0043060C" w:rsidP="0043060C">
      <w:pPr>
        <w:spacing w:after="0" w:line="240" w:lineRule="auto"/>
        <w:rPr>
          <w:rFonts w:ascii="Times New Roman" w:hAnsi="Times New Roman" w:cs="Times New Roman"/>
          <w:bCs/>
          <w:iCs/>
          <w:color w:val="000000"/>
          <w:sz w:val="24"/>
          <w:szCs w:val="24"/>
        </w:rPr>
      </w:pPr>
    </w:p>
    <w:p w:rsidR="0043060C" w:rsidRDefault="0043060C" w:rsidP="0043060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Tacoli</w:t>
      </w:r>
      <w:proofErr w:type="spellEnd"/>
      <w:r>
        <w:rPr>
          <w:rFonts w:ascii="Times New Roman" w:hAnsi="Times New Roman" w:cs="Times New Roman"/>
          <w:sz w:val="24"/>
          <w:szCs w:val="24"/>
        </w:rPr>
        <w:t>, C., and Satterthwaite</w:t>
      </w:r>
      <w:r w:rsidRPr="0004354D">
        <w:rPr>
          <w:rFonts w:ascii="Times New Roman" w:hAnsi="Times New Roman" w:cs="Times New Roman"/>
          <w:sz w:val="24"/>
          <w:szCs w:val="24"/>
        </w:rPr>
        <w:t>,</w:t>
      </w:r>
      <w:r>
        <w:rPr>
          <w:rFonts w:ascii="Times New Roman" w:hAnsi="Times New Roman" w:cs="Times New Roman"/>
          <w:sz w:val="24"/>
          <w:szCs w:val="24"/>
        </w:rPr>
        <w:t xml:space="preserve"> D.</w:t>
      </w:r>
      <w:r w:rsidRPr="0004354D">
        <w:rPr>
          <w:rFonts w:ascii="Times New Roman" w:hAnsi="Times New Roman" w:cs="Times New Roman"/>
          <w:sz w:val="24"/>
          <w:szCs w:val="24"/>
        </w:rPr>
        <w:t xml:space="preserve"> (2003) “The urban part of rural development: the role of small and intermediate urban </w:t>
      </w:r>
      <w:proofErr w:type="spellStart"/>
      <w:r w:rsidRPr="0004354D">
        <w:rPr>
          <w:rFonts w:ascii="Times New Roman" w:hAnsi="Times New Roman" w:cs="Times New Roman"/>
          <w:sz w:val="24"/>
          <w:szCs w:val="24"/>
        </w:rPr>
        <w:t>centres</w:t>
      </w:r>
      <w:proofErr w:type="spellEnd"/>
      <w:r w:rsidRPr="0004354D">
        <w:rPr>
          <w:rFonts w:ascii="Times New Roman" w:hAnsi="Times New Roman" w:cs="Times New Roman"/>
          <w:sz w:val="24"/>
          <w:szCs w:val="24"/>
        </w:rPr>
        <w:t xml:space="preserve"> in rural and regional development and poverty reduction”, International Institute for Environment and Development</w:t>
      </w:r>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color w:val="000000"/>
          <w:sz w:val="24"/>
          <w:szCs w:val="24"/>
        </w:rPr>
      </w:pPr>
      <w:r w:rsidRPr="0004354D">
        <w:rPr>
          <w:rFonts w:ascii="Times New Roman" w:hAnsi="Times New Roman" w:cs="Times New Roman"/>
          <w:sz w:val="24"/>
          <w:szCs w:val="24"/>
        </w:rPr>
        <w:t xml:space="preserve">The Census of India (2011) </w:t>
      </w:r>
      <w:r w:rsidRPr="0004354D">
        <w:rPr>
          <w:rFonts w:ascii="Times New Roman" w:hAnsi="Times New Roman" w:cs="Times New Roman"/>
          <w:color w:val="000000"/>
          <w:sz w:val="24"/>
          <w:szCs w:val="24"/>
        </w:rPr>
        <w:t>The Registrar General &amp; Census Commissioner, India, New Delhi, Ministry of Home Affairs, Government of India</w:t>
      </w:r>
    </w:p>
    <w:p w:rsidR="0043060C" w:rsidRPr="0004354D" w:rsidRDefault="0043060C" w:rsidP="0043060C">
      <w:pPr>
        <w:spacing w:after="0" w:line="240" w:lineRule="auto"/>
        <w:rPr>
          <w:rFonts w:ascii="Times New Roman" w:hAnsi="Times New Roman" w:cs="Times New Roman"/>
          <w:color w:val="000000"/>
          <w:sz w:val="24"/>
          <w:szCs w:val="24"/>
        </w:rPr>
      </w:pPr>
    </w:p>
    <w:p w:rsidR="0043060C" w:rsidRDefault="0043060C" w:rsidP="0043060C">
      <w:pPr>
        <w:spacing w:after="0" w:line="240" w:lineRule="auto"/>
        <w:rPr>
          <w:rFonts w:ascii="Times New Roman" w:hAnsi="Times New Roman" w:cs="Times New Roman"/>
          <w:sz w:val="24"/>
          <w:szCs w:val="24"/>
        </w:rPr>
      </w:pPr>
      <w:proofErr w:type="spellStart"/>
      <w:r w:rsidRPr="0004354D">
        <w:rPr>
          <w:rFonts w:ascii="Times New Roman" w:hAnsi="Times New Roman" w:cs="Times New Roman"/>
          <w:sz w:val="24"/>
          <w:szCs w:val="24"/>
        </w:rPr>
        <w:t>Thorbecke</w:t>
      </w:r>
      <w:proofErr w:type="spellEnd"/>
      <w:r w:rsidRPr="0004354D">
        <w:rPr>
          <w:rFonts w:ascii="Times New Roman" w:hAnsi="Times New Roman" w:cs="Times New Roman"/>
          <w:sz w:val="24"/>
          <w:szCs w:val="24"/>
        </w:rPr>
        <w:t>, Erik., (2005). “Multi-dimensional Poverty: Conceptual and Measurement Issues” The Many Dimensions of Poverty International Conference, UNDP International Poverty Centre, Brasilia, August 29-31, 2005</w:t>
      </w:r>
    </w:p>
    <w:p w:rsidR="0043060C" w:rsidRDefault="0043060C" w:rsidP="0043060C">
      <w:pPr>
        <w:spacing w:after="0" w:line="240" w:lineRule="auto"/>
        <w:rPr>
          <w:rFonts w:ascii="Times New Roman" w:hAnsi="Times New Roman" w:cs="Times New Roman"/>
          <w:sz w:val="24"/>
          <w:szCs w:val="24"/>
        </w:rPr>
      </w:pPr>
    </w:p>
    <w:p w:rsidR="007E704E" w:rsidRPr="006C097E" w:rsidRDefault="007E704E" w:rsidP="007E704E">
      <w:pPr>
        <w:rPr>
          <w:rFonts w:ascii="Times New Roman" w:hAnsi="Times New Roman" w:cs="Times New Roman"/>
          <w:sz w:val="24"/>
          <w:szCs w:val="24"/>
        </w:rPr>
      </w:pPr>
      <w:proofErr w:type="spellStart"/>
      <w:r w:rsidRPr="006C097E">
        <w:rPr>
          <w:rFonts w:ascii="Times New Roman" w:hAnsi="Times New Roman" w:cs="Times New Roman"/>
          <w:sz w:val="24"/>
          <w:szCs w:val="24"/>
        </w:rPr>
        <w:t>Ujjivan</w:t>
      </w:r>
      <w:proofErr w:type="spellEnd"/>
      <w:r w:rsidRPr="006C097E">
        <w:rPr>
          <w:rFonts w:ascii="Times New Roman" w:hAnsi="Times New Roman" w:cs="Times New Roman"/>
          <w:sz w:val="24"/>
          <w:szCs w:val="24"/>
        </w:rPr>
        <w:t xml:space="preserve">. 2012-2013. Annual Report 2012-2013. </w:t>
      </w:r>
      <w:proofErr w:type="spellStart"/>
      <w:r w:rsidRPr="006C097E">
        <w:rPr>
          <w:rFonts w:ascii="Times New Roman" w:hAnsi="Times New Roman" w:cs="Times New Roman"/>
          <w:sz w:val="24"/>
          <w:szCs w:val="24"/>
        </w:rPr>
        <w:t>Ujjivan</w:t>
      </w:r>
      <w:proofErr w:type="spellEnd"/>
      <w:r w:rsidRPr="006C097E">
        <w:rPr>
          <w:rFonts w:ascii="Times New Roman" w:hAnsi="Times New Roman" w:cs="Times New Roman"/>
          <w:sz w:val="24"/>
          <w:szCs w:val="24"/>
        </w:rPr>
        <w:t xml:space="preserve"> Financial Services Pvt. Ltd. #93, </w:t>
      </w:r>
      <w:proofErr w:type="spellStart"/>
      <w:r w:rsidRPr="006C097E">
        <w:rPr>
          <w:rFonts w:ascii="Times New Roman" w:hAnsi="Times New Roman" w:cs="Times New Roman"/>
          <w:sz w:val="24"/>
          <w:szCs w:val="24"/>
        </w:rPr>
        <w:t>Jakkasandra</w:t>
      </w:r>
      <w:proofErr w:type="spellEnd"/>
      <w:r w:rsidRPr="006C097E">
        <w:rPr>
          <w:rFonts w:ascii="Times New Roman" w:hAnsi="Times New Roman" w:cs="Times New Roman"/>
          <w:sz w:val="24"/>
          <w:szCs w:val="24"/>
        </w:rPr>
        <w:t xml:space="preserve"> Extension, </w:t>
      </w:r>
      <w:proofErr w:type="spellStart"/>
      <w:r w:rsidRPr="006C097E">
        <w:rPr>
          <w:rFonts w:ascii="Times New Roman" w:hAnsi="Times New Roman" w:cs="Times New Roman"/>
          <w:sz w:val="24"/>
          <w:szCs w:val="24"/>
        </w:rPr>
        <w:t>Sarjapur</w:t>
      </w:r>
      <w:proofErr w:type="spellEnd"/>
      <w:r w:rsidRPr="006C097E">
        <w:rPr>
          <w:rFonts w:ascii="Times New Roman" w:hAnsi="Times New Roman" w:cs="Times New Roman"/>
          <w:sz w:val="24"/>
          <w:szCs w:val="24"/>
        </w:rPr>
        <w:t xml:space="preserve"> Main Cross Road, 1 Block, </w:t>
      </w:r>
      <w:proofErr w:type="spellStart"/>
      <w:r w:rsidRPr="006C097E">
        <w:rPr>
          <w:rFonts w:ascii="Times New Roman" w:hAnsi="Times New Roman" w:cs="Times New Roman"/>
          <w:sz w:val="24"/>
          <w:szCs w:val="24"/>
        </w:rPr>
        <w:t>Koramangala</w:t>
      </w:r>
      <w:proofErr w:type="spellEnd"/>
      <w:r w:rsidRPr="006C097E">
        <w:rPr>
          <w:rFonts w:ascii="Times New Roman" w:hAnsi="Times New Roman" w:cs="Times New Roman"/>
          <w:sz w:val="24"/>
          <w:szCs w:val="24"/>
        </w:rPr>
        <w:t xml:space="preserve">, Bangalore - 560 034. Available at: </w:t>
      </w:r>
      <w:hyperlink r:id="rId19" w:history="1">
        <w:r w:rsidRPr="006C097E">
          <w:rPr>
            <w:rStyle w:val="Hyperlink"/>
            <w:rFonts w:ascii="Times New Roman" w:hAnsi="Times New Roman" w:cs="Times New Roman"/>
            <w:sz w:val="24"/>
            <w:szCs w:val="24"/>
          </w:rPr>
          <w:t>http://www.ujjivan.com/pdf/AR_SPR_2012-2013_Revised.pdf</w:t>
        </w:r>
      </w:hyperlink>
    </w:p>
    <w:p w:rsidR="0043060C" w:rsidRDefault="0043060C" w:rsidP="0043060C">
      <w:pPr>
        <w:spacing w:after="0" w:line="240" w:lineRule="auto"/>
        <w:rPr>
          <w:rFonts w:ascii="Times New Roman" w:hAnsi="Times New Roman" w:cs="Times New Roman"/>
          <w:sz w:val="24"/>
          <w:szCs w:val="24"/>
        </w:rPr>
      </w:pPr>
      <w:r w:rsidRPr="0004354D">
        <w:rPr>
          <w:rFonts w:ascii="Times New Roman" w:hAnsi="Times New Roman" w:cs="Times New Roman"/>
          <w:sz w:val="24"/>
          <w:szCs w:val="24"/>
        </w:rPr>
        <w:t>Weiss, J. &amp; Montgomery, H. (2005). Great Expectations: Microfinance and Poverty Reduction in Asia and Latin America. Oxford Development Studies 33(3&amp;4):391-416.</w:t>
      </w:r>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jc w:val="both"/>
        <w:rPr>
          <w:rFonts w:ascii="Times New Roman" w:hAnsi="Times New Roman" w:cs="Times New Roman"/>
          <w:sz w:val="24"/>
          <w:szCs w:val="24"/>
        </w:rPr>
      </w:pPr>
      <w:r w:rsidRPr="0004354D">
        <w:rPr>
          <w:rFonts w:ascii="Times New Roman" w:hAnsi="Times New Roman" w:cs="Times New Roman"/>
          <w:color w:val="000000"/>
          <w:sz w:val="24"/>
          <w:szCs w:val="24"/>
        </w:rPr>
        <w:t xml:space="preserve">World Bank and International Monetary Fund (2013) “Global Monitoring Report 2013: Rural-Urban Dynamics and the Millennium Development Goals”. </w:t>
      </w:r>
      <w:r w:rsidRPr="0004354D">
        <w:rPr>
          <w:rFonts w:ascii="Times New Roman" w:hAnsi="Times New Roman" w:cs="Times New Roman"/>
          <w:sz w:val="24"/>
          <w:szCs w:val="24"/>
        </w:rPr>
        <w:t>The World Bank. 1818 H Street NW, Washington DC 20433.</w:t>
      </w:r>
    </w:p>
    <w:p w:rsidR="0043060C" w:rsidRPr="0004354D" w:rsidRDefault="0043060C" w:rsidP="0043060C">
      <w:pPr>
        <w:spacing w:after="0" w:line="240" w:lineRule="auto"/>
        <w:jc w:val="both"/>
        <w:rPr>
          <w:rFonts w:ascii="Times New Roman" w:hAnsi="Times New Roman" w:cs="Times New Roman"/>
          <w:sz w:val="24"/>
          <w:szCs w:val="24"/>
        </w:rPr>
      </w:pPr>
    </w:p>
    <w:p w:rsidR="0043060C" w:rsidRDefault="0043060C" w:rsidP="0043060C">
      <w:pPr>
        <w:spacing w:after="0" w:line="240" w:lineRule="auto"/>
        <w:jc w:val="both"/>
        <w:rPr>
          <w:rFonts w:ascii="Times New Roman" w:hAnsi="Times New Roman" w:cs="Times New Roman"/>
          <w:sz w:val="24"/>
          <w:szCs w:val="24"/>
        </w:rPr>
      </w:pPr>
      <w:r w:rsidRPr="0004354D">
        <w:rPr>
          <w:rFonts w:ascii="Times New Roman" w:hAnsi="Times New Roman" w:cs="Times New Roman"/>
          <w:color w:val="000000"/>
          <w:sz w:val="24"/>
          <w:szCs w:val="24"/>
        </w:rPr>
        <w:lastRenderedPageBreak/>
        <w:t xml:space="preserve">World Bank Report (2012) “Rethinking the Role of the State in Finance”. </w:t>
      </w:r>
      <w:r w:rsidRPr="0004354D">
        <w:rPr>
          <w:rFonts w:ascii="Times New Roman" w:hAnsi="Times New Roman" w:cs="Times New Roman"/>
          <w:sz w:val="24"/>
          <w:szCs w:val="24"/>
        </w:rPr>
        <w:t>The World Bank. 1818 H Street NW, Washington DC 20433.</w:t>
      </w:r>
    </w:p>
    <w:p w:rsidR="0043060C" w:rsidRPr="0004354D" w:rsidRDefault="0043060C" w:rsidP="0043060C">
      <w:pPr>
        <w:spacing w:after="0" w:line="240" w:lineRule="auto"/>
        <w:jc w:val="both"/>
        <w:rPr>
          <w:rFonts w:ascii="Times New Roman" w:hAnsi="Times New Roman" w:cs="Times New Roman"/>
          <w:sz w:val="24"/>
          <w:szCs w:val="24"/>
        </w:rPr>
      </w:pPr>
    </w:p>
    <w:p w:rsidR="0043060C" w:rsidRDefault="0043060C" w:rsidP="0043060C">
      <w:pPr>
        <w:spacing w:after="0" w:line="240" w:lineRule="auto"/>
        <w:jc w:val="both"/>
        <w:rPr>
          <w:rFonts w:ascii="Times New Roman" w:hAnsi="Times New Roman" w:cs="Times New Roman"/>
          <w:sz w:val="24"/>
          <w:szCs w:val="24"/>
        </w:rPr>
      </w:pPr>
      <w:r w:rsidRPr="0004354D">
        <w:rPr>
          <w:rFonts w:ascii="Times New Roman" w:hAnsi="Times New Roman" w:cs="Times New Roman"/>
          <w:sz w:val="24"/>
          <w:szCs w:val="24"/>
        </w:rPr>
        <w:t>World Bank. (2013) “World Development Indicators”. The World Bank. 1818 H Street NW, Washington DC 20433.</w:t>
      </w:r>
    </w:p>
    <w:p w:rsidR="0043060C" w:rsidRPr="0004354D" w:rsidRDefault="0043060C" w:rsidP="0043060C">
      <w:pPr>
        <w:spacing w:after="0" w:line="240" w:lineRule="auto"/>
        <w:jc w:val="both"/>
        <w:rPr>
          <w:rFonts w:ascii="Times New Roman" w:hAnsi="Times New Roman" w:cs="Times New Roman"/>
          <w:sz w:val="24"/>
          <w:szCs w:val="24"/>
        </w:rPr>
      </w:pPr>
    </w:p>
    <w:p w:rsidR="0043060C" w:rsidRDefault="0043060C" w:rsidP="0043060C">
      <w:pPr>
        <w:spacing w:after="0" w:line="240" w:lineRule="auto"/>
        <w:rPr>
          <w:rStyle w:val="Hyperlink"/>
          <w:rFonts w:ascii="Times New Roman" w:hAnsi="Times New Roman" w:cs="Times New Roman"/>
          <w:sz w:val="24"/>
          <w:szCs w:val="24"/>
        </w:rPr>
      </w:pPr>
      <w:proofErr w:type="spellStart"/>
      <w:r w:rsidRPr="0004354D">
        <w:rPr>
          <w:rFonts w:ascii="Times New Roman" w:hAnsi="Times New Roman" w:cs="Times New Roman"/>
          <w:sz w:val="24"/>
          <w:szCs w:val="24"/>
        </w:rPr>
        <w:t>Yunus</w:t>
      </w:r>
      <w:proofErr w:type="spellEnd"/>
      <w:r w:rsidRPr="0004354D">
        <w:rPr>
          <w:rFonts w:ascii="Times New Roman" w:hAnsi="Times New Roman" w:cs="Times New Roman"/>
          <w:sz w:val="24"/>
          <w:szCs w:val="24"/>
        </w:rPr>
        <w:t xml:space="preserve">, M (2006). Paving the Way Out of Poverty. Time Magazine article by Ishaan </w:t>
      </w:r>
      <w:proofErr w:type="spellStart"/>
      <w:r w:rsidRPr="0004354D">
        <w:rPr>
          <w:rFonts w:ascii="Times New Roman" w:hAnsi="Times New Roman" w:cs="Times New Roman"/>
          <w:sz w:val="24"/>
          <w:szCs w:val="24"/>
        </w:rPr>
        <w:t>Tharoor</w:t>
      </w:r>
      <w:proofErr w:type="spellEnd"/>
      <w:r w:rsidRPr="0004354D">
        <w:rPr>
          <w:rFonts w:ascii="Times New Roman" w:hAnsi="Times New Roman" w:cs="Times New Roman"/>
          <w:sz w:val="24"/>
          <w:szCs w:val="24"/>
        </w:rPr>
        <w:t xml:space="preserve"> Friday, Oct. 13, 2006. Available online at: </w:t>
      </w:r>
      <w:hyperlink r:id="rId20" w:history="1">
        <w:r w:rsidRPr="0004354D">
          <w:rPr>
            <w:rStyle w:val="Hyperlink"/>
            <w:rFonts w:ascii="Times New Roman" w:hAnsi="Times New Roman" w:cs="Times New Roman"/>
            <w:sz w:val="24"/>
            <w:szCs w:val="24"/>
          </w:rPr>
          <w:t>http://content.time.com/time/world/article/0,8599,1546100,00.html</w:t>
        </w:r>
      </w:hyperlink>
    </w:p>
    <w:p w:rsidR="0043060C" w:rsidRPr="0004354D" w:rsidRDefault="0043060C" w:rsidP="0043060C">
      <w:pPr>
        <w:spacing w:after="0" w:line="240" w:lineRule="auto"/>
        <w:rPr>
          <w:rFonts w:ascii="Times New Roman" w:hAnsi="Times New Roman" w:cs="Times New Roman"/>
          <w:sz w:val="24"/>
          <w:szCs w:val="24"/>
        </w:rPr>
      </w:pPr>
    </w:p>
    <w:p w:rsidR="0043060C" w:rsidRDefault="0043060C" w:rsidP="0043060C">
      <w:pPr>
        <w:spacing w:after="0" w:line="240" w:lineRule="auto"/>
        <w:rPr>
          <w:rFonts w:ascii="Times New Roman" w:hAnsi="Times New Roman" w:cs="Times New Roman"/>
          <w:sz w:val="24"/>
          <w:szCs w:val="24"/>
        </w:rPr>
      </w:pPr>
      <w:r w:rsidRPr="0004354D">
        <w:rPr>
          <w:rFonts w:ascii="Times New Roman" w:hAnsi="Times New Roman" w:cs="Times New Roman"/>
          <w:sz w:val="24"/>
          <w:szCs w:val="24"/>
        </w:rPr>
        <w:t>Zeller, M., and Meyer, Richard L. (2002), “The Triangle of Microfinance – Financial Sustainability, Outreach, and Impact”, Published for the International Food Policy Research Institute, The Johns Hopkins University Press, Baltimore and London</w:t>
      </w:r>
    </w:p>
    <w:p w:rsidR="0043060C" w:rsidRDefault="0043060C" w:rsidP="0043060C">
      <w:pPr>
        <w:spacing w:after="0" w:line="240" w:lineRule="auto"/>
        <w:rPr>
          <w:rFonts w:ascii="Times New Roman" w:hAnsi="Times New Roman" w:cs="Times New Roman"/>
          <w:sz w:val="24"/>
          <w:szCs w:val="24"/>
        </w:rPr>
      </w:pPr>
    </w:p>
    <w:p w:rsidR="00B37F9C" w:rsidRDefault="00B37F9C">
      <w:pPr>
        <w:suppressAutoHyphens w:val="0"/>
        <w:spacing w:after="0" w:line="240" w:lineRule="auto"/>
      </w:pPr>
      <w:r>
        <w:br w:type="page"/>
      </w:r>
    </w:p>
    <w:p w:rsidR="00CA1EFF" w:rsidRPr="00B37F9C" w:rsidRDefault="00B37F9C" w:rsidP="00B37F9C">
      <w:pPr>
        <w:spacing w:before="240"/>
        <w:rPr>
          <w:rFonts w:ascii="Times New Roman" w:hAnsi="Times New Roman" w:cs="Times New Roman"/>
          <w:b/>
          <w:sz w:val="24"/>
          <w:szCs w:val="24"/>
        </w:rPr>
      </w:pPr>
      <w:r w:rsidRPr="00B37F9C">
        <w:rPr>
          <w:rFonts w:ascii="Times New Roman" w:hAnsi="Times New Roman" w:cs="Times New Roman"/>
          <w:b/>
          <w:sz w:val="24"/>
          <w:szCs w:val="24"/>
        </w:rPr>
        <w:lastRenderedPageBreak/>
        <w:t>Authors’ biographical notes:</w:t>
      </w:r>
    </w:p>
    <w:p w:rsidR="00FF2767" w:rsidRPr="00FF2767" w:rsidRDefault="00FF2767" w:rsidP="00FF2767">
      <w:pPr>
        <w:rPr>
          <w:rFonts w:ascii="Times New Roman" w:hAnsi="Times New Roman" w:cs="Times New Roman"/>
          <w:sz w:val="24"/>
        </w:rPr>
      </w:pPr>
      <w:r w:rsidRPr="00FF2767">
        <w:rPr>
          <w:rFonts w:ascii="Times New Roman" w:hAnsi="Times New Roman" w:cs="Times New Roman"/>
          <w:b/>
          <w:sz w:val="24"/>
        </w:rPr>
        <w:t>Yasmin Sayed</w:t>
      </w:r>
      <w:r w:rsidRPr="00FF2767">
        <w:rPr>
          <w:rFonts w:ascii="Times New Roman" w:hAnsi="Times New Roman" w:cs="Times New Roman"/>
          <w:sz w:val="24"/>
        </w:rPr>
        <w:t xml:space="preserve"> is an independent consultant with over six years of experience in the microfinance and financial inclusion sector in India. In the course of her full</w:t>
      </w:r>
      <w:r w:rsidRPr="00FF2767">
        <w:rPr>
          <w:rFonts w:ascii="Cambria Math" w:hAnsi="Cambria Math" w:cs="Cambria Math"/>
          <w:sz w:val="24"/>
        </w:rPr>
        <w:t>‐</w:t>
      </w:r>
      <w:r w:rsidRPr="00FF2767">
        <w:rPr>
          <w:rFonts w:ascii="Times New Roman" w:hAnsi="Times New Roman" w:cs="Times New Roman"/>
          <w:sz w:val="24"/>
        </w:rPr>
        <w:t>time employment with private</w:t>
      </w:r>
      <w:r w:rsidRPr="00FF2767">
        <w:rPr>
          <w:rFonts w:ascii="Cambria Math" w:hAnsi="Cambria Math" w:cs="Cambria Math"/>
          <w:sz w:val="24"/>
        </w:rPr>
        <w:t>‐</w:t>
      </w:r>
      <w:r w:rsidRPr="00FF2767">
        <w:rPr>
          <w:rFonts w:ascii="Times New Roman" w:hAnsi="Times New Roman" w:cs="Times New Roman"/>
          <w:sz w:val="24"/>
        </w:rPr>
        <w:t xml:space="preserve">sector banks like YES Bank and RBL Bank, she has worked on projects with international institutions such as IFC, CDC, and ACCION. In her latest consulting </w:t>
      </w:r>
      <w:r w:rsidRPr="00FF2767">
        <w:rPr>
          <w:rFonts w:ascii="Times New Roman" w:hAnsi="Times New Roman" w:cs="Times New Roman"/>
          <w:sz w:val="24"/>
        </w:rPr>
        <w:t>assignment,</w:t>
      </w:r>
      <w:r w:rsidRPr="00FF2767">
        <w:rPr>
          <w:rFonts w:ascii="Times New Roman" w:hAnsi="Times New Roman" w:cs="Times New Roman"/>
          <w:sz w:val="24"/>
        </w:rPr>
        <w:t xml:space="preserve"> she was an advisor to the Inclusive and Social Banking Unit of YES Bank, in the development of a comprehensive customer grievance </w:t>
      </w:r>
      <w:proofErr w:type="spellStart"/>
      <w:r w:rsidRPr="00FF2767">
        <w:rPr>
          <w:rFonts w:ascii="Times New Roman" w:hAnsi="Times New Roman" w:cs="Times New Roman"/>
          <w:sz w:val="24"/>
        </w:rPr>
        <w:t>redressal</w:t>
      </w:r>
      <w:proofErr w:type="spellEnd"/>
      <w:r w:rsidRPr="00FF2767">
        <w:rPr>
          <w:rFonts w:ascii="Times New Roman" w:hAnsi="Times New Roman" w:cs="Times New Roman"/>
          <w:sz w:val="24"/>
        </w:rPr>
        <w:t xml:space="preserve"> framework. </w:t>
      </w:r>
    </w:p>
    <w:p w:rsidR="008A5747" w:rsidRPr="00B37F9C" w:rsidRDefault="008A5747" w:rsidP="00B37F9C">
      <w:pPr>
        <w:spacing w:before="240"/>
        <w:rPr>
          <w:rFonts w:ascii="Times New Roman" w:hAnsi="Times New Roman" w:cs="Times New Roman"/>
          <w:sz w:val="24"/>
          <w:szCs w:val="24"/>
        </w:rPr>
      </w:pPr>
      <w:r w:rsidRPr="00FF66B6">
        <w:rPr>
          <w:rFonts w:ascii="Times New Roman" w:hAnsi="Times New Roman" w:cs="Times New Roman"/>
          <w:b/>
          <w:sz w:val="24"/>
          <w:szCs w:val="24"/>
        </w:rPr>
        <w:t>Asad K. Ghalib</w:t>
      </w:r>
      <w:r w:rsidRPr="008A5747">
        <w:rPr>
          <w:rFonts w:ascii="Times New Roman" w:hAnsi="Times New Roman" w:cs="Times New Roman"/>
          <w:sz w:val="24"/>
          <w:szCs w:val="24"/>
        </w:rPr>
        <w:t xml:space="preserve"> is </w:t>
      </w:r>
      <w:r w:rsidR="000745FB">
        <w:rPr>
          <w:rFonts w:ascii="Times New Roman" w:hAnsi="Times New Roman" w:cs="Times New Roman"/>
          <w:sz w:val="24"/>
          <w:szCs w:val="24"/>
        </w:rPr>
        <w:t xml:space="preserve">a </w:t>
      </w:r>
      <w:r w:rsidR="000745FB" w:rsidRPr="00D641FE">
        <w:rPr>
          <w:rFonts w:ascii="Times New Roman" w:hAnsi="Times New Roman" w:cs="Times New Roman"/>
          <w:sz w:val="24"/>
          <w:szCs w:val="24"/>
        </w:rPr>
        <w:t>Lecturer in Management Sciences</w:t>
      </w:r>
      <w:r w:rsidR="000745FB" w:rsidRPr="008A5747">
        <w:rPr>
          <w:rFonts w:ascii="Times New Roman" w:hAnsi="Times New Roman" w:cs="Times New Roman"/>
          <w:sz w:val="24"/>
          <w:szCs w:val="24"/>
        </w:rPr>
        <w:t xml:space="preserve"> at the </w:t>
      </w:r>
      <w:r w:rsidR="000745FB" w:rsidRPr="00D641FE">
        <w:rPr>
          <w:rFonts w:ascii="Times New Roman" w:hAnsi="Times New Roman" w:cs="Times New Roman"/>
          <w:sz w:val="24"/>
          <w:szCs w:val="24"/>
        </w:rPr>
        <w:t>Liverpool Hope Business School</w:t>
      </w:r>
      <w:r w:rsidR="000745FB" w:rsidRPr="008A5747">
        <w:rPr>
          <w:rFonts w:ascii="Times New Roman" w:hAnsi="Times New Roman" w:cs="Times New Roman"/>
          <w:sz w:val="24"/>
          <w:szCs w:val="24"/>
        </w:rPr>
        <w:t xml:space="preserve">, </w:t>
      </w:r>
      <w:r w:rsidR="000745FB" w:rsidRPr="00D641FE">
        <w:rPr>
          <w:rFonts w:ascii="Times New Roman" w:hAnsi="Times New Roman" w:cs="Times New Roman"/>
          <w:sz w:val="24"/>
          <w:szCs w:val="24"/>
        </w:rPr>
        <w:t>Liverpool Hope University</w:t>
      </w:r>
      <w:r w:rsidR="000745FB" w:rsidRPr="008A5747">
        <w:rPr>
          <w:rFonts w:ascii="Times New Roman" w:hAnsi="Times New Roman" w:cs="Times New Roman"/>
          <w:sz w:val="24"/>
          <w:szCs w:val="24"/>
        </w:rPr>
        <w:t xml:space="preserve"> </w:t>
      </w:r>
      <w:r w:rsidR="000745FB">
        <w:rPr>
          <w:rFonts w:ascii="Times New Roman" w:hAnsi="Times New Roman" w:cs="Times New Roman"/>
          <w:sz w:val="24"/>
          <w:szCs w:val="24"/>
        </w:rPr>
        <w:t xml:space="preserve">and </w:t>
      </w:r>
      <w:r w:rsidRPr="008A5747">
        <w:rPr>
          <w:rFonts w:ascii="Times New Roman" w:hAnsi="Times New Roman" w:cs="Times New Roman"/>
          <w:sz w:val="24"/>
          <w:szCs w:val="24"/>
        </w:rPr>
        <w:t>an Honorary Research Fellow at the Global Development Institute, University of Manchester</w:t>
      </w:r>
      <w:r w:rsidR="000745FB">
        <w:rPr>
          <w:rFonts w:ascii="Times New Roman" w:hAnsi="Times New Roman" w:cs="Times New Roman"/>
          <w:sz w:val="24"/>
          <w:szCs w:val="24"/>
        </w:rPr>
        <w:t>,</w:t>
      </w:r>
      <w:r w:rsidRPr="008A5747">
        <w:rPr>
          <w:rFonts w:ascii="Times New Roman" w:hAnsi="Times New Roman" w:cs="Times New Roman"/>
          <w:sz w:val="24"/>
          <w:szCs w:val="24"/>
        </w:rPr>
        <w:t xml:space="preserve"> UK. His principal research interests lie broadly within international development and more specifically in issues related to human development, poverty and microfinance.</w:t>
      </w:r>
    </w:p>
    <w:p w:rsidR="00CB4BC9" w:rsidRPr="001A73C6" w:rsidRDefault="00CB4BC9" w:rsidP="00EB134F">
      <w:pPr>
        <w:rPr>
          <w:rFonts w:ascii="Times New Roman" w:hAnsi="Times New Roman" w:cs="Times New Roman"/>
          <w:b/>
          <w:sz w:val="24"/>
          <w:szCs w:val="24"/>
          <w:lang w:val="en-GB"/>
        </w:rPr>
      </w:pPr>
      <w:r w:rsidRPr="001A73C6">
        <w:rPr>
          <w:rFonts w:ascii="Times New Roman" w:hAnsi="Times New Roman" w:cs="Times New Roman"/>
          <w:b/>
          <w:sz w:val="24"/>
          <w:szCs w:val="24"/>
          <w:lang w:val="en-GB"/>
        </w:rPr>
        <w:t xml:space="preserve">Correspondence to: </w:t>
      </w:r>
    </w:p>
    <w:p w:rsidR="00CB4BC9" w:rsidRDefault="00CB4BC9" w:rsidP="00CB4BC9">
      <w:pPr>
        <w:spacing w:after="0"/>
        <w:rPr>
          <w:rFonts w:ascii="Times New Roman" w:hAnsi="Times New Roman" w:cs="Times New Roman"/>
          <w:sz w:val="24"/>
          <w:szCs w:val="24"/>
        </w:rPr>
      </w:pPr>
      <w:r w:rsidRPr="00CB4BC9">
        <w:rPr>
          <w:rFonts w:ascii="Times New Roman" w:hAnsi="Times New Roman" w:cs="Times New Roman"/>
          <w:sz w:val="24"/>
          <w:szCs w:val="24"/>
        </w:rPr>
        <w:t xml:space="preserve">Asad K. Ghalib </w:t>
      </w:r>
    </w:p>
    <w:p w:rsidR="00CB4BC9" w:rsidRPr="00CB4BC9" w:rsidRDefault="00EB134F" w:rsidP="00CB4BC9">
      <w:pPr>
        <w:spacing w:after="0"/>
        <w:rPr>
          <w:rFonts w:ascii="Times New Roman" w:hAnsi="Times New Roman" w:cs="Times New Roman"/>
          <w:sz w:val="24"/>
          <w:szCs w:val="24"/>
        </w:rPr>
      </w:pPr>
      <w:r w:rsidRPr="00CB4BC9">
        <w:rPr>
          <w:rFonts w:ascii="Times New Roman" w:hAnsi="Times New Roman" w:cs="Times New Roman"/>
          <w:sz w:val="24"/>
          <w:szCs w:val="24"/>
        </w:rPr>
        <w:t>Liverpool Hope Business School</w:t>
      </w:r>
    </w:p>
    <w:p w:rsidR="00CB4BC9" w:rsidRPr="00CB4BC9" w:rsidRDefault="00CB4BC9" w:rsidP="00CB4BC9">
      <w:pPr>
        <w:spacing w:after="0"/>
        <w:rPr>
          <w:rFonts w:ascii="Times New Roman" w:hAnsi="Times New Roman" w:cs="Times New Roman"/>
          <w:sz w:val="24"/>
          <w:szCs w:val="24"/>
        </w:rPr>
      </w:pPr>
      <w:r w:rsidRPr="00CB4BC9">
        <w:rPr>
          <w:rFonts w:ascii="Times New Roman" w:hAnsi="Times New Roman" w:cs="Times New Roman"/>
          <w:sz w:val="24"/>
          <w:szCs w:val="24"/>
        </w:rPr>
        <w:t>Liverpool Hope University</w:t>
      </w:r>
    </w:p>
    <w:p w:rsidR="00CB4BC9" w:rsidRPr="00CB4BC9" w:rsidRDefault="00EB134F" w:rsidP="00CB4BC9">
      <w:pPr>
        <w:spacing w:after="0"/>
        <w:rPr>
          <w:rFonts w:ascii="Times New Roman" w:hAnsi="Times New Roman" w:cs="Times New Roman"/>
          <w:sz w:val="24"/>
          <w:szCs w:val="24"/>
        </w:rPr>
      </w:pPr>
      <w:r w:rsidRPr="00CB4BC9">
        <w:rPr>
          <w:rFonts w:ascii="Times New Roman" w:hAnsi="Times New Roman" w:cs="Times New Roman"/>
          <w:sz w:val="24"/>
          <w:szCs w:val="24"/>
        </w:rPr>
        <w:t>Taggart Avenue</w:t>
      </w:r>
    </w:p>
    <w:p w:rsidR="00EB134F" w:rsidRPr="00CB4BC9" w:rsidRDefault="00CB4BC9" w:rsidP="00CB4BC9">
      <w:pPr>
        <w:spacing w:after="0"/>
        <w:rPr>
          <w:rFonts w:ascii="Times New Roman" w:hAnsi="Times New Roman" w:cs="Times New Roman"/>
          <w:sz w:val="24"/>
          <w:szCs w:val="24"/>
        </w:rPr>
      </w:pPr>
      <w:r w:rsidRPr="00CB4BC9">
        <w:rPr>
          <w:rFonts w:ascii="Times New Roman" w:hAnsi="Times New Roman" w:cs="Times New Roman"/>
          <w:sz w:val="24"/>
          <w:szCs w:val="24"/>
        </w:rPr>
        <w:t xml:space="preserve">Liverpool, </w:t>
      </w:r>
      <w:r w:rsidR="00EB134F" w:rsidRPr="00CB4BC9">
        <w:rPr>
          <w:rFonts w:ascii="Times New Roman" w:hAnsi="Times New Roman" w:cs="Times New Roman"/>
          <w:sz w:val="24"/>
          <w:szCs w:val="24"/>
        </w:rPr>
        <w:t>L16 9JD, UK.</w:t>
      </w:r>
    </w:p>
    <w:p w:rsidR="00CB4BC9" w:rsidRDefault="001A73C6" w:rsidP="00CB4BC9">
      <w:pPr>
        <w:rPr>
          <w:rFonts w:ascii="Times New Roman" w:hAnsi="Times New Roman" w:cs="Times New Roman"/>
          <w:sz w:val="24"/>
          <w:szCs w:val="24"/>
          <w:lang w:val="en-GB" w:eastAsia="ar-SA"/>
        </w:rPr>
      </w:pPr>
      <w:bookmarkStart w:id="0" w:name="_GoBack"/>
      <w:bookmarkEnd w:id="0"/>
      <w:r>
        <w:rPr>
          <w:rFonts w:ascii="Times New Roman" w:hAnsi="Times New Roman" w:cs="Times New Roman"/>
          <w:sz w:val="24"/>
          <w:szCs w:val="24"/>
          <w:lang w:val="en-GB"/>
        </w:rPr>
        <w:t>Email</w:t>
      </w:r>
      <w:r w:rsidR="00CB4BC9" w:rsidRPr="00EB134F">
        <w:rPr>
          <w:rFonts w:ascii="Times New Roman" w:hAnsi="Times New Roman" w:cs="Times New Roman"/>
          <w:sz w:val="24"/>
          <w:szCs w:val="24"/>
          <w:lang w:val="en-GB"/>
        </w:rPr>
        <w:t xml:space="preserve">: </w:t>
      </w:r>
      <w:hyperlink r:id="rId21" w:history="1">
        <w:r w:rsidR="00CB4BC9" w:rsidRPr="00EB134F">
          <w:rPr>
            <w:rStyle w:val="Hyperlink"/>
            <w:rFonts w:ascii="Times New Roman" w:hAnsi="Times New Roman" w:cs="Times New Roman"/>
            <w:sz w:val="24"/>
            <w:szCs w:val="24"/>
            <w:lang w:val="en-GB" w:eastAsia="ar-SA"/>
          </w:rPr>
          <w:t>ghaliba@hope.ac.uk</w:t>
        </w:r>
      </w:hyperlink>
    </w:p>
    <w:sectPr w:rsidR="00CB4BC9">
      <w:footerReference w:type="default" r:id="rId22"/>
      <w:footerReference w:type="first" r:id="rId23"/>
      <w:pgSz w:w="12240" w:h="15840"/>
      <w:pgMar w:top="1440" w:right="1440" w:bottom="1440" w:left="1440" w:header="720" w:footer="720" w:gutter="0"/>
      <w:cols w:space="720"/>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EA9" w:rsidRDefault="00C95EA9">
      <w:pPr>
        <w:spacing w:after="0" w:line="240" w:lineRule="auto"/>
      </w:pPr>
      <w:r>
        <w:separator/>
      </w:r>
    </w:p>
  </w:endnote>
  <w:endnote w:type="continuationSeparator" w:id="0">
    <w:p w:rsidR="00C95EA9" w:rsidRDefault="00C95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font304">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EFF" w:rsidRDefault="00CA1EFF">
    <w:pPr>
      <w:pStyle w:val="Footer"/>
      <w:jc w:val="right"/>
    </w:pPr>
    <w:r>
      <w:fldChar w:fldCharType="begin"/>
    </w:r>
    <w:r>
      <w:instrText xml:space="preserve"> PAGE </w:instrText>
    </w:r>
    <w:r>
      <w:fldChar w:fldCharType="separate"/>
    </w:r>
    <w:r w:rsidR="006C14E0">
      <w:rPr>
        <w:noProof/>
      </w:rPr>
      <w:t>25</w:t>
    </w:r>
    <w:r>
      <w:fldChar w:fldCharType="end"/>
    </w:r>
  </w:p>
  <w:p w:rsidR="00CA1EFF" w:rsidRDefault="00CA1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EFF" w:rsidRDefault="00CA1EF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EA9" w:rsidRDefault="00C95EA9">
      <w:pPr>
        <w:spacing w:after="0" w:line="240" w:lineRule="auto"/>
      </w:pPr>
      <w:r>
        <w:separator/>
      </w:r>
    </w:p>
  </w:footnote>
  <w:footnote w:type="continuationSeparator" w:id="0">
    <w:p w:rsidR="00C95EA9" w:rsidRDefault="00C95EA9">
      <w:pPr>
        <w:spacing w:after="0" w:line="240" w:lineRule="auto"/>
      </w:pPr>
      <w:r>
        <w:continuationSeparator/>
      </w:r>
    </w:p>
  </w:footnote>
  <w:footnote w:id="1">
    <w:p w:rsidR="003D0993" w:rsidRPr="00CA70AF" w:rsidRDefault="003D0993">
      <w:pPr>
        <w:pStyle w:val="FootnoteText"/>
        <w:rPr>
          <w:lang w:val="en-GB"/>
        </w:rPr>
      </w:pPr>
      <w:r>
        <w:rPr>
          <w:rStyle w:val="FootnoteReference"/>
        </w:rPr>
        <w:footnoteRef/>
      </w:r>
      <w:r>
        <w:t xml:space="preserve"> </w:t>
      </w:r>
      <w:r>
        <w:rPr>
          <w:lang w:val="en-GB"/>
        </w:rPr>
        <w:t>JEL Classification Codes: O18, P25, R51, G23.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rPr>
        <w:rFonts w:hint="default"/>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360" w:hanging="36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720" w:hanging="360"/>
      </w:pPr>
      <w:rPr>
        <w:rFonts w:ascii="Times New Roman" w:hAnsi="Times New Roman" w:cs="Times New Roman"/>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9F3"/>
    <w:rsid w:val="0002796E"/>
    <w:rsid w:val="00035560"/>
    <w:rsid w:val="00052F67"/>
    <w:rsid w:val="000745FB"/>
    <w:rsid w:val="000E7456"/>
    <w:rsid w:val="00140147"/>
    <w:rsid w:val="00142E42"/>
    <w:rsid w:val="0014330A"/>
    <w:rsid w:val="001974CF"/>
    <w:rsid w:val="001A73C6"/>
    <w:rsid w:val="001D1EFC"/>
    <w:rsid w:val="001F5847"/>
    <w:rsid w:val="00212FF0"/>
    <w:rsid w:val="0025262C"/>
    <w:rsid w:val="002A77AA"/>
    <w:rsid w:val="00322E3C"/>
    <w:rsid w:val="00366179"/>
    <w:rsid w:val="00375D67"/>
    <w:rsid w:val="003821B3"/>
    <w:rsid w:val="003912FF"/>
    <w:rsid w:val="003D0993"/>
    <w:rsid w:val="003E1187"/>
    <w:rsid w:val="004136E4"/>
    <w:rsid w:val="0043060C"/>
    <w:rsid w:val="0046161A"/>
    <w:rsid w:val="00472411"/>
    <w:rsid w:val="00492293"/>
    <w:rsid w:val="004C286C"/>
    <w:rsid w:val="005310AE"/>
    <w:rsid w:val="005520E5"/>
    <w:rsid w:val="00584CB3"/>
    <w:rsid w:val="005F38B6"/>
    <w:rsid w:val="00612E43"/>
    <w:rsid w:val="006A6BD7"/>
    <w:rsid w:val="006C14E0"/>
    <w:rsid w:val="006F31F9"/>
    <w:rsid w:val="00705876"/>
    <w:rsid w:val="007E66F9"/>
    <w:rsid w:val="007E704E"/>
    <w:rsid w:val="00814989"/>
    <w:rsid w:val="0085084F"/>
    <w:rsid w:val="008719F3"/>
    <w:rsid w:val="0088130D"/>
    <w:rsid w:val="008A5747"/>
    <w:rsid w:val="008A5B75"/>
    <w:rsid w:val="00910024"/>
    <w:rsid w:val="00967B35"/>
    <w:rsid w:val="00A316B2"/>
    <w:rsid w:val="00AB420C"/>
    <w:rsid w:val="00AC104F"/>
    <w:rsid w:val="00B03518"/>
    <w:rsid w:val="00B068DD"/>
    <w:rsid w:val="00B075AE"/>
    <w:rsid w:val="00B37F9C"/>
    <w:rsid w:val="00B6013C"/>
    <w:rsid w:val="00B62AAC"/>
    <w:rsid w:val="00B92152"/>
    <w:rsid w:val="00BB1714"/>
    <w:rsid w:val="00BB1FEC"/>
    <w:rsid w:val="00C06222"/>
    <w:rsid w:val="00C805EE"/>
    <w:rsid w:val="00C817A4"/>
    <w:rsid w:val="00C95EA9"/>
    <w:rsid w:val="00CA1EFF"/>
    <w:rsid w:val="00CA70AF"/>
    <w:rsid w:val="00CB4BC9"/>
    <w:rsid w:val="00CC4F67"/>
    <w:rsid w:val="00CF2A0D"/>
    <w:rsid w:val="00D15797"/>
    <w:rsid w:val="00D47E29"/>
    <w:rsid w:val="00D96C43"/>
    <w:rsid w:val="00DC3C2F"/>
    <w:rsid w:val="00E21055"/>
    <w:rsid w:val="00E32DC2"/>
    <w:rsid w:val="00EA4691"/>
    <w:rsid w:val="00EB134F"/>
    <w:rsid w:val="00F2649A"/>
    <w:rsid w:val="00F3216B"/>
    <w:rsid w:val="00F36011"/>
    <w:rsid w:val="00FF2767"/>
    <w:rsid w:val="00FF367C"/>
    <w:rsid w:val="00FF37D6"/>
    <w:rsid w:val="00FF6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D6F19C"/>
  <w15:docId w15:val="{94C55CF1-F72E-4E77-89B9-9A0F1D20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val="en-US" w:eastAsia="zh-CN"/>
    </w:rPr>
  </w:style>
  <w:style w:type="paragraph" w:styleId="Heading1">
    <w:name w:val="heading 1"/>
    <w:basedOn w:val="Normal"/>
    <w:next w:val="BodyText"/>
    <w:qFormat/>
    <w:pPr>
      <w:keepNext/>
      <w:keepLines/>
      <w:spacing w:before="120" w:after="120"/>
      <w:outlineLvl w:val="0"/>
    </w:pPr>
    <w:rPr>
      <w:rFonts w:ascii="Cambria" w:hAnsi="Cambria" w:cs="font304"/>
      <w:b/>
      <w:bCs/>
      <w:sz w:val="28"/>
      <w:szCs w:val="28"/>
    </w:rPr>
  </w:style>
  <w:style w:type="paragraph" w:styleId="Heading2">
    <w:name w:val="heading 2"/>
    <w:basedOn w:val="Normal"/>
    <w:next w:val="BodyText"/>
    <w:qFormat/>
    <w:pPr>
      <w:keepNext/>
      <w:keepLines/>
      <w:numPr>
        <w:ilvl w:val="1"/>
        <w:numId w:val="1"/>
      </w:numPr>
      <w:spacing w:before="120" w:after="120"/>
      <w:outlineLvl w:val="1"/>
    </w:pPr>
    <w:rPr>
      <w:rFonts w:ascii="Cambria" w:hAnsi="Cambria" w:cs="font304"/>
      <w:b/>
      <w:bCs/>
      <w:sz w:val="26"/>
      <w:szCs w:val="26"/>
    </w:rPr>
  </w:style>
  <w:style w:type="paragraph" w:styleId="Heading3">
    <w:name w:val="heading 3"/>
    <w:basedOn w:val="Heading"/>
    <w:next w:val="BodyText"/>
    <w:qFormat/>
    <w:pPr>
      <w:numPr>
        <w:ilvl w:val="2"/>
        <w:numId w:val="1"/>
      </w:numPr>
      <w:spacing w:before="140"/>
      <w:outlineLvl w:val="2"/>
    </w:pPr>
    <w:rPr>
      <w:b/>
      <w:bCs/>
    </w:rPr>
  </w:style>
  <w:style w:type="paragraph" w:styleId="Heading4">
    <w:name w:val="heading 4"/>
    <w:basedOn w:val="Heading"/>
    <w:next w:val="BodyText"/>
    <w:qFormat/>
    <w:pPr>
      <w:numPr>
        <w:ilvl w:val="3"/>
        <w:numId w:val="1"/>
      </w:numPr>
      <w:spacing w:before="120"/>
      <w:outlineLvl w:val="3"/>
    </w:pPr>
    <w:rPr>
      <w:b/>
      <w:bCs/>
      <w:i/>
      <w:iCs/>
      <w:sz w:val="27"/>
      <w:szCs w:val="27"/>
    </w:rPr>
  </w:style>
  <w:style w:type="paragraph" w:styleId="Heading5">
    <w:name w:val="heading 5"/>
    <w:basedOn w:val="Normal"/>
    <w:next w:val="Normal"/>
    <w:qFormat/>
    <w:pPr>
      <w:spacing w:before="240" w:after="60"/>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style>
  <w:style w:type="character" w:customStyle="1" w:styleId="WW8Num5z0">
    <w:name w:val="WW8Num5z0"/>
    <w:rPr>
      <w:rFonts w:hint="default"/>
    </w:rPr>
  </w:style>
  <w:style w:type="character" w:customStyle="1" w:styleId="WW8Num6z0">
    <w:name w:val="WW8Num6z0"/>
  </w:style>
  <w:style w:type="character" w:customStyle="1" w:styleId="WW8Num7z0">
    <w:name w:val="WW8Num7z0"/>
  </w:style>
  <w:style w:type="character" w:customStyle="1" w:styleId="WW8Num8z0">
    <w:name w:val="WW8Num8z0"/>
    <w:rPr>
      <w:rFonts w:ascii="Times New Roman" w:hAnsi="Times New Roman" w:cs="Times New Roman"/>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sz w:val="24"/>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DefaultParagraphFont">
    <w:name w:val="WW-Default Paragraph Font"/>
  </w:style>
  <w:style w:type="character" w:styleId="Hyperlink">
    <w:name w:val="Hyperlink"/>
    <w:uiPriority w:val="99"/>
    <w:rPr>
      <w:color w:val="0000FF"/>
      <w:u w:val="single"/>
    </w:rPr>
  </w:style>
  <w:style w:type="character" w:customStyle="1" w:styleId="ListLabel1">
    <w:name w:val="ListLabel 1"/>
    <w:rPr>
      <w:rFonts w:cs="Courier New"/>
    </w:rPr>
  </w:style>
  <w:style w:type="character" w:customStyle="1" w:styleId="CommentReference1">
    <w:name w:val="Comment Reference1"/>
    <w:rPr>
      <w:sz w:val="16"/>
      <w:szCs w:val="16"/>
    </w:rPr>
  </w:style>
  <w:style w:type="character" w:customStyle="1" w:styleId="CommentTextChar">
    <w:name w:val="Comment Text Char"/>
    <w:rPr>
      <w:rFonts w:ascii="Calibri" w:eastAsia="SimSun" w:hAnsi="Calibri" w:cs="Calibri"/>
      <w:kern w:val="1"/>
      <w:lang w:val="en-US"/>
    </w:rPr>
  </w:style>
  <w:style w:type="character" w:customStyle="1" w:styleId="CommentSubjectChar">
    <w:name w:val="Comment Subject Char"/>
    <w:rPr>
      <w:rFonts w:ascii="Calibri" w:eastAsia="SimSun" w:hAnsi="Calibri" w:cs="Calibri"/>
      <w:b/>
      <w:bCs/>
      <w:kern w:val="1"/>
      <w:lang w:val="en-US"/>
    </w:rPr>
  </w:style>
  <w:style w:type="character" w:customStyle="1" w:styleId="BalloonTextChar">
    <w:name w:val="Balloon Text Char"/>
    <w:rPr>
      <w:rFonts w:ascii="Tahoma" w:eastAsia="SimSun" w:hAnsi="Tahoma" w:cs="Tahoma"/>
      <w:kern w:val="1"/>
      <w:sz w:val="16"/>
      <w:szCs w:val="16"/>
      <w:lang w:val="en-US"/>
    </w:rPr>
  </w:style>
  <w:style w:type="character" w:customStyle="1" w:styleId="HeaderChar">
    <w:name w:val="Header Char"/>
    <w:rPr>
      <w:rFonts w:ascii="Calibri" w:eastAsia="SimSun" w:hAnsi="Calibri" w:cs="Calibri"/>
      <w:kern w:val="1"/>
      <w:sz w:val="22"/>
      <w:szCs w:val="22"/>
    </w:rPr>
  </w:style>
  <w:style w:type="character" w:customStyle="1" w:styleId="FooterChar">
    <w:name w:val="Footer Char"/>
    <w:rPr>
      <w:rFonts w:ascii="Calibri" w:eastAsia="SimSun" w:hAnsi="Calibri" w:cs="Calibri"/>
      <w:kern w:val="1"/>
      <w:sz w:val="22"/>
      <w:szCs w:val="22"/>
    </w:rPr>
  </w:style>
  <w:style w:type="character" w:customStyle="1" w:styleId="ListLabel2">
    <w:name w:val="ListLabel 2"/>
    <w:rPr>
      <w:rFonts w:cs="Courier New"/>
    </w:rPr>
  </w:style>
  <w:style w:type="character" w:customStyle="1" w:styleId="CommentReference2">
    <w:name w:val="Comment Reference2"/>
    <w:rPr>
      <w:sz w:val="16"/>
      <w:szCs w:val="16"/>
    </w:rPr>
  </w:style>
  <w:style w:type="character" w:customStyle="1" w:styleId="CommentTextChar1">
    <w:name w:val="Comment Text Char1"/>
    <w:rPr>
      <w:rFonts w:ascii="Calibri" w:eastAsia="SimSun" w:hAnsi="Calibri" w:cs="Calibri"/>
      <w:kern w:val="1"/>
    </w:rPr>
  </w:style>
  <w:style w:type="character" w:customStyle="1" w:styleId="CommentSubjectChar1">
    <w:name w:val="Comment Subject Char1"/>
    <w:rPr>
      <w:rFonts w:ascii="Calibri" w:eastAsia="SimSun" w:hAnsi="Calibri" w:cs="Calibri"/>
      <w:b/>
      <w:bCs/>
      <w:kern w:val="1"/>
    </w:rPr>
  </w:style>
  <w:style w:type="character" w:customStyle="1" w:styleId="Heading1Char">
    <w:name w:val="Heading 1 Char"/>
    <w:rPr>
      <w:rFonts w:ascii="Cambria" w:hAnsi="Cambria" w:cs="font304"/>
      <w:b/>
      <w:bCs/>
      <w:kern w:val="1"/>
      <w:sz w:val="28"/>
      <w:szCs w:val="28"/>
    </w:rPr>
  </w:style>
  <w:style w:type="character" w:customStyle="1" w:styleId="Heading2Char">
    <w:name w:val="Heading 2 Char"/>
    <w:rPr>
      <w:rFonts w:ascii="Cambria" w:hAnsi="Cambria" w:cs="font304"/>
      <w:b/>
      <w:bCs/>
      <w:kern w:val="1"/>
      <w:sz w:val="26"/>
      <w:szCs w:val="26"/>
    </w:rPr>
  </w:style>
  <w:style w:type="character" w:customStyle="1" w:styleId="FootnoteTextChar">
    <w:name w:val="Footnote Text Char"/>
    <w:rPr>
      <w:rFonts w:ascii="Calibri" w:eastAsia="SimSun" w:hAnsi="Calibri" w:cs="Calibri"/>
      <w:kern w:val="1"/>
    </w:rPr>
  </w:style>
  <w:style w:type="character" w:customStyle="1" w:styleId="FootnoteReference1">
    <w:name w:val="Footnote Reference1"/>
    <w:rPr>
      <w:vertAlign w:val="superscript"/>
    </w:rPr>
  </w:style>
  <w:style w:type="character" w:customStyle="1" w:styleId="ListLabel3">
    <w:name w:val="ListLabel 3"/>
    <w:rPr>
      <w:rFonts w:cs="Courier New"/>
    </w:rPr>
  </w:style>
  <w:style w:type="character" w:customStyle="1" w:styleId="FootnoteCharacters">
    <w:name w:val="Footnote Characters"/>
  </w:style>
  <w:style w:type="character" w:styleId="FootnoteReference">
    <w:name w:val="footnote reference"/>
    <w:rPr>
      <w:vertAlign w:val="superscript"/>
    </w:rPr>
  </w:style>
  <w:style w:type="character" w:styleId="FollowedHyperlink">
    <w:name w:val="FollowedHyperlink"/>
    <w:rPr>
      <w:color w:val="800000"/>
      <w:u w:val="single"/>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CommentReference">
    <w:name w:val="annotation reference"/>
    <w:rPr>
      <w:sz w:val="16"/>
      <w:szCs w:val="16"/>
    </w:rPr>
  </w:style>
  <w:style w:type="character" w:customStyle="1" w:styleId="CommentTextChar2">
    <w:name w:val="Comment Text Char2"/>
    <w:rPr>
      <w:rFonts w:ascii="Calibri" w:eastAsia="SimSun" w:hAnsi="Calibri" w:cs="Calibri"/>
      <w:kern w:val="1"/>
    </w:rPr>
  </w:style>
  <w:style w:type="character" w:customStyle="1" w:styleId="CommentSubjectChar2">
    <w:name w:val="Comment Subject Char2"/>
    <w:rPr>
      <w:rFonts w:ascii="Calibri" w:eastAsia="SimSun" w:hAnsi="Calibri" w:cs="Calibri"/>
      <w:b/>
      <w:bCs/>
      <w:kern w:val="1"/>
    </w:rPr>
  </w:style>
  <w:style w:type="character" w:customStyle="1" w:styleId="Heading5Char">
    <w:name w:val="Heading 5 Char"/>
    <w:rPr>
      <w:rFonts w:ascii="Calibri" w:eastAsia="Times New Roman" w:hAnsi="Calibri" w:cs="Times New Roman"/>
      <w:b/>
      <w:bCs/>
      <w:i/>
      <w:iCs/>
      <w:kern w:val="1"/>
      <w:sz w:val="26"/>
      <w:szCs w:val="26"/>
    </w:rPr>
  </w:style>
  <w:style w:type="character" w:customStyle="1" w:styleId="apple-converted-space">
    <w:name w:val="apple-converted-space"/>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Mangal"/>
      <w:i/>
      <w:iCs/>
      <w:sz w:val="24"/>
      <w:szCs w:val="24"/>
    </w:rPr>
  </w:style>
  <w:style w:type="paragraph" w:styleId="ListParagraph">
    <w:name w:val="List Paragraph"/>
    <w:basedOn w:val="Normal"/>
    <w:qFormat/>
    <w:pPr>
      <w:ind w:left="720"/>
    </w:pPr>
  </w:style>
  <w:style w:type="paragraph" w:customStyle="1" w:styleId="CommentText1">
    <w:name w:val="Comment Text1"/>
    <w:basedOn w:val="Normal"/>
    <w:rPr>
      <w:rFonts w:cs="Times New Roman"/>
      <w:sz w:val="20"/>
      <w:szCs w:val="20"/>
    </w:rPr>
  </w:style>
  <w:style w:type="paragraph" w:customStyle="1" w:styleId="CommentSubject1">
    <w:name w:val="Comment Subject1"/>
    <w:basedOn w:val="CommentText1"/>
    <w:rPr>
      <w:b/>
      <w:bCs/>
    </w:rPr>
  </w:style>
  <w:style w:type="paragraph" w:styleId="BalloonText">
    <w:name w:val="Balloon Text"/>
    <w:basedOn w:val="Normal"/>
    <w:pPr>
      <w:spacing w:after="0" w:line="100" w:lineRule="atLeast"/>
    </w:pPr>
    <w:rPr>
      <w:rFonts w:ascii="Tahoma" w:hAnsi="Tahoma" w:cs="Times New Roman"/>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CommentText2">
    <w:name w:val="Comment Text2"/>
    <w:basedOn w:val="Normal"/>
    <w:rPr>
      <w:sz w:val="20"/>
      <w:szCs w:val="20"/>
    </w:rPr>
  </w:style>
  <w:style w:type="paragraph" w:customStyle="1" w:styleId="CommentSubject2">
    <w:name w:val="Comment Subject2"/>
    <w:basedOn w:val="CommentText2"/>
    <w:rPr>
      <w:b/>
      <w:bCs/>
    </w:rPr>
  </w:style>
  <w:style w:type="paragraph" w:styleId="Revision">
    <w:name w:val="Revision"/>
    <w:pPr>
      <w:suppressAutoHyphens/>
    </w:pPr>
    <w:rPr>
      <w:rFonts w:ascii="Calibri" w:eastAsia="SimSun" w:hAnsi="Calibri" w:cs="Calibri"/>
      <w:kern w:val="1"/>
      <w:sz w:val="22"/>
      <w:szCs w:val="22"/>
      <w:lang w:val="en-US" w:eastAsia="zh-CN"/>
    </w:rPr>
  </w:style>
  <w:style w:type="paragraph" w:customStyle="1" w:styleId="FootnoteText1">
    <w:name w:val="Footnote Text1"/>
    <w:basedOn w:val="Normal"/>
    <w:pPr>
      <w:spacing w:after="0" w:line="100" w:lineRule="atLeast"/>
    </w:pPr>
    <w:rPr>
      <w:sz w:val="20"/>
      <w:szCs w:val="20"/>
    </w:rPr>
  </w:style>
  <w:style w:type="paragraph" w:styleId="FootnoteText">
    <w:name w:val="footnote text"/>
    <w:basedOn w:val="Normal"/>
    <w:pPr>
      <w:suppressLineNumbers/>
      <w:ind w:left="283" w:hanging="283"/>
    </w:pPr>
    <w:rPr>
      <w:sz w:val="20"/>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rmalWeb">
    <w:name w:val="Normal (Web)"/>
    <w:basedOn w:val="Normal"/>
    <w:uiPriority w:val="99"/>
    <w:pPr>
      <w:suppressAutoHyphens w:val="0"/>
      <w:spacing w:before="280" w:after="280" w:line="240" w:lineRule="auto"/>
    </w:pPr>
    <w:rPr>
      <w:rFonts w:ascii="Times New Roman" w:eastAsia="Times New Roman" w:hAnsi="Times New Roman" w:cs="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
    <w:pPr>
      <w:spacing w:after="283"/>
      <w:ind w:left="567" w:right="567"/>
    </w:p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jc w:val="center"/>
    </w:pPr>
    <w:rPr>
      <w:sz w:val="36"/>
      <w:szCs w:val="36"/>
    </w:rPr>
  </w:style>
  <w:style w:type="paragraph" w:styleId="EndnoteText">
    <w:name w:val="endnote text"/>
    <w:basedOn w:val="Normal"/>
    <w:link w:val="EndnoteTextChar"/>
    <w:uiPriority w:val="99"/>
    <w:semiHidden/>
    <w:unhideWhenUsed/>
    <w:rsid w:val="00CA70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70AF"/>
    <w:rPr>
      <w:rFonts w:ascii="Calibri" w:eastAsia="SimSun" w:hAnsi="Calibri" w:cs="Calibri"/>
      <w:kern w:val="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0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ucl.ac.uk/dpu-projects/drivers_urb_change/urb_society/pdf_liveli_vulnera/DFID_ESCOR_Beall_Households_Livelihoods.pdf" TargetMode="External"/><Relationship Id="rId18" Type="http://schemas.openxmlformats.org/officeDocument/2006/relationships/hyperlink" Target="http://onlinelibrary.wiley.com/doi/10.1111/j.1759-5436.1997.mp28002002.x/pdf" TargetMode="External"/><Relationship Id="rId3" Type="http://schemas.openxmlformats.org/officeDocument/2006/relationships/styles" Target="styles.xml"/><Relationship Id="rId21" Type="http://schemas.openxmlformats.org/officeDocument/2006/relationships/hyperlink" Target="mailto:ghaliba@hope.ac.uk" TargetMode="External"/><Relationship Id="rId7" Type="http://schemas.openxmlformats.org/officeDocument/2006/relationships/endnotes" Target="endnotes.xml"/><Relationship Id="rId12" Type="http://schemas.openxmlformats.org/officeDocument/2006/relationships/hyperlink" Target="http://dx.doi.org/10.2139/ssrn.1672090" TargetMode="External"/><Relationship Id="rId17" Type="http://schemas.openxmlformats.org/officeDocument/2006/relationships/hyperlink" Target="http://www.eldis.org/vfile/upload/1/document/0708/DOC16397.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ciencedirect.com/science/article/pii/S0197397502000668" TargetMode="External"/><Relationship Id="rId20" Type="http://schemas.openxmlformats.org/officeDocument/2006/relationships/hyperlink" Target="http://content.time.com/time/world/article/0,8599,1546100,0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80/1360081090330525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lanningcommission.nic.in/news/press_pov1903.pdf"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ujjivan.com/pdf/AR_SPR_2012-2013_Revised.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conrules.com/?page_id=329"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D0B4A-8BD9-4A02-BD07-8B76E8E09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8696</Words>
  <Characters>49573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Microfinance for the Urban Poor: A comparative study of four Non Banking Financial Companies in India</vt:lpstr>
    </vt:vector>
  </TitlesOfParts>
  <Company/>
  <LinksUpToDate>false</LinksUpToDate>
  <CharactersWithSpaces>58153</CharactersWithSpaces>
  <SharedDoc>false</SharedDoc>
  <HLinks>
    <vt:vector size="6" baseType="variant">
      <vt:variant>
        <vt:i4>7274588</vt:i4>
      </vt:variant>
      <vt:variant>
        <vt:i4>0</vt:i4>
      </vt:variant>
      <vt:variant>
        <vt:i4>0</vt:i4>
      </vt:variant>
      <vt:variant>
        <vt:i4>5</vt:i4>
      </vt:variant>
      <vt:variant>
        <vt:lpwstr>mailto:asad.ghalib@manchester.ac.uk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Microfinance for the Urban Poor: A comparative study of four Non Banking Financial Companies in India</dc:title>
  <dc:creator>admin</dc:creator>
  <cp:lastModifiedBy>Asad Ghalib</cp:lastModifiedBy>
  <cp:revision>10</cp:revision>
  <cp:lastPrinted>2013-09-03T17:09:00Z</cp:lastPrinted>
  <dcterms:created xsi:type="dcterms:W3CDTF">2016-07-15T11:12:00Z</dcterms:created>
  <dcterms:modified xsi:type="dcterms:W3CDTF">2016-10-14T16:05:00Z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