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99FC6" w14:textId="77777777" w:rsidR="00551BEE" w:rsidRDefault="00243252" w:rsidP="00551BEE">
      <w:pPr>
        <w:spacing w:line="480" w:lineRule="auto"/>
        <w:jc w:val="center"/>
        <w:rPr>
          <w:b/>
          <w:sz w:val="48"/>
          <w:szCs w:val="48"/>
        </w:rPr>
      </w:pPr>
      <w:r>
        <w:rPr>
          <w:b/>
          <w:sz w:val="48"/>
          <w:szCs w:val="48"/>
        </w:rPr>
        <w:t>‘T</w:t>
      </w:r>
      <w:r w:rsidRPr="00243252">
        <w:rPr>
          <w:b/>
          <w:sz w:val="48"/>
          <w:szCs w:val="48"/>
        </w:rPr>
        <w:t xml:space="preserve">he great </w:t>
      </w:r>
      <w:r>
        <w:rPr>
          <w:b/>
          <w:sz w:val="48"/>
          <w:szCs w:val="48"/>
        </w:rPr>
        <w:t xml:space="preserve">portion of the scum of </w:t>
      </w:r>
      <w:proofErr w:type="gramStart"/>
      <w:r>
        <w:rPr>
          <w:b/>
          <w:sz w:val="48"/>
          <w:szCs w:val="48"/>
        </w:rPr>
        <w:t>society’?:</w:t>
      </w:r>
      <w:proofErr w:type="gramEnd"/>
      <w:r>
        <w:rPr>
          <w:b/>
          <w:sz w:val="48"/>
          <w:szCs w:val="48"/>
        </w:rPr>
        <w:t xml:space="preserve"> </w:t>
      </w:r>
    </w:p>
    <w:p w14:paraId="05F2824C" w14:textId="659321BB" w:rsidR="0075753F" w:rsidRPr="004E3D0A" w:rsidRDefault="004E3D0A" w:rsidP="00551BEE">
      <w:pPr>
        <w:spacing w:line="480" w:lineRule="auto"/>
        <w:jc w:val="center"/>
        <w:rPr>
          <w:b/>
          <w:sz w:val="48"/>
          <w:szCs w:val="48"/>
        </w:rPr>
      </w:pPr>
      <w:r w:rsidRPr="004E3D0A">
        <w:rPr>
          <w:b/>
          <w:sz w:val="48"/>
          <w:szCs w:val="48"/>
        </w:rPr>
        <w:t>Representations of Execution Crowds in the Lancashire Press, 1830-1868.</w:t>
      </w:r>
    </w:p>
    <w:p w14:paraId="2FEBC1A8" w14:textId="77777777" w:rsidR="004E3D0A" w:rsidRDefault="004E3D0A" w:rsidP="006A28FC">
      <w:pPr>
        <w:spacing w:line="480" w:lineRule="auto"/>
        <w:jc w:val="center"/>
        <w:rPr>
          <w:b/>
          <w:sz w:val="28"/>
          <w:szCs w:val="28"/>
        </w:rPr>
      </w:pPr>
    </w:p>
    <w:p w14:paraId="0271297E" w14:textId="5BBCA717" w:rsidR="004E3D0A" w:rsidRDefault="00C66932" w:rsidP="00614A1F">
      <w:pPr>
        <w:spacing w:line="480" w:lineRule="auto"/>
        <w:jc w:val="center"/>
        <w:outlineLvl w:val="0"/>
        <w:rPr>
          <w:b/>
          <w:sz w:val="28"/>
          <w:szCs w:val="28"/>
        </w:rPr>
      </w:pPr>
      <w:r>
        <w:rPr>
          <w:b/>
          <w:sz w:val="28"/>
          <w:szCs w:val="28"/>
        </w:rPr>
        <w:t>VERSION 2</w:t>
      </w:r>
    </w:p>
    <w:p w14:paraId="4A5189FC" w14:textId="77777777" w:rsidR="004E3D0A" w:rsidRDefault="004E3D0A" w:rsidP="006A28FC">
      <w:pPr>
        <w:spacing w:line="480" w:lineRule="auto"/>
        <w:jc w:val="center"/>
        <w:rPr>
          <w:b/>
          <w:sz w:val="28"/>
          <w:szCs w:val="28"/>
        </w:rPr>
      </w:pPr>
    </w:p>
    <w:p w14:paraId="1DC4BAD4" w14:textId="1F4008FF" w:rsidR="006036B6" w:rsidRDefault="006036B6" w:rsidP="006A28FC">
      <w:pPr>
        <w:spacing w:line="480" w:lineRule="auto"/>
        <w:jc w:val="center"/>
        <w:rPr>
          <w:b/>
          <w:sz w:val="28"/>
          <w:szCs w:val="28"/>
        </w:rPr>
      </w:pPr>
      <w:r>
        <w:rPr>
          <w:b/>
          <w:sz w:val="28"/>
          <w:szCs w:val="28"/>
        </w:rPr>
        <w:t>John Walliss</w:t>
      </w:r>
    </w:p>
    <w:p w14:paraId="3E750929" w14:textId="77777777" w:rsidR="00C86E17" w:rsidRDefault="00C86E17" w:rsidP="006A28FC">
      <w:pPr>
        <w:spacing w:line="480" w:lineRule="auto"/>
        <w:jc w:val="center"/>
        <w:rPr>
          <w:b/>
          <w:sz w:val="28"/>
          <w:szCs w:val="28"/>
        </w:rPr>
      </w:pPr>
    </w:p>
    <w:p w14:paraId="2AED4E3A" w14:textId="379DC260" w:rsidR="00C86E17" w:rsidRDefault="00C86E17" w:rsidP="006A28FC">
      <w:pPr>
        <w:spacing w:line="480" w:lineRule="auto"/>
        <w:jc w:val="center"/>
        <w:rPr>
          <w:b/>
          <w:sz w:val="28"/>
          <w:szCs w:val="28"/>
        </w:rPr>
      </w:pPr>
      <w:r>
        <w:rPr>
          <w:b/>
          <w:sz w:val="28"/>
          <w:szCs w:val="28"/>
        </w:rPr>
        <w:t>A</w:t>
      </w:r>
      <w:r w:rsidR="009F1440">
        <w:rPr>
          <w:b/>
          <w:sz w:val="28"/>
          <w:szCs w:val="28"/>
        </w:rPr>
        <w:t>ddress for correspondence:</w:t>
      </w:r>
    </w:p>
    <w:p w14:paraId="160ACE6C" w14:textId="614E4DAB" w:rsidR="009F1440" w:rsidRDefault="009F1440" w:rsidP="006A28FC">
      <w:pPr>
        <w:spacing w:line="480" w:lineRule="auto"/>
        <w:jc w:val="center"/>
        <w:rPr>
          <w:b/>
          <w:sz w:val="28"/>
          <w:szCs w:val="28"/>
        </w:rPr>
      </w:pPr>
      <w:r>
        <w:rPr>
          <w:b/>
          <w:sz w:val="28"/>
          <w:szCs w:val="28"/>
        </w:rPr>
        <w:t>Dept. of Social Science,</w:t>
      </w:r>
    </w:p>
    <w:p w14:paraId="3A36BF1B" w14:textId="5635DBE2" w:rsidR="009F1440" w:rsidRDefault="009F1440" w:rsidP="006A28FC">
      <w:pPr>
        <w:spacing w:line="480" w:lineRule="auto"/>
        <w:jc w:val="center"/>
        <w:rPr>
          <w:b/>
          <w:sz w:val="28"/>
          <w:szCs w:val="28"/>
        </w:rPr>
      </w:pPr>
      <w:r>
        <w:rPr>
          <w:b/>
          <w:sz w:val="28"/>
          <w:szCs w:val="28"/>
        </w:rPr>
        <w:t>Liverpool Hope University,</w:t>
      </w:r>
    </w:p>
    <w:p w14:paraId="14067151" w14:textId="4450C5F2" w:rsidR="009F1440" w:rsidRDefault="009F1440" w:rsidP="006A28FC">
      <w:pPr>
        <w:spacing w:line="480" w:lineRule="auto"/>
        <w:jc w:val="center"/>
        <w:rPr>
          <w:b/>
          <w:sz w:val="28"/>
          <w:szCs w:val="28"/>
        </w:rPr>
      </w:pPr>
      <w:r>
        <w:rPr>
          <w:b/>
          <w:sz w:val="28"/>
          <w:szCs w:val="28"/>
        </w:rPr>
        <w:t>Hope Park,</w:t>
      </w:r>
    </w:p>
    <w:p w14:paraId="6B41546D" w14:textId="04310A8D" w:rsidR="009F1440" w:rsidRDefault="009F1440" w:rsidP="006A28FC">
      <w:pPr>
        <w:spacing w:line="480" w:lineRule="auto"/>
        <w:jc w:val="center"/>
        <w:rPr>
          <w:b/>
          <w:sz w:val="28"/>
          <w:szCs w:val="28"/>
        </w:rPr>
      </w:pPr>
      <w:r>
        <w:rPr>
          <w:b/>
          <w:sz w:val="28"/>
          <w:szCs w:val="28"/>
        </w:rPr>
        <w:t>Liverpool,</w:t>
      </w:r>
    </w:p>
    <w:p w14:paraId="69C6A190" w14:textId="703149AE" w:rsidR="009F1440" w:rsidRDefault="009F1440" w:rsidP="006A28FC">
      <w:pPr>
        <w:spacing w:line="480" w:lineRule="auto"/>
        <w:jc w:val="center"/>
        <w:rPr>
          <w:b/>
          <w:sz w:val="28"/>
          <w:szCs w:val="28"/>
        </w:rPr>
      </w:pPr>
      <w:r>
        <w:rPr>
          <w:b/>
          <w:sz w:val="28"/>
          <w:szCs w:val="28"/>
        </w:rPr>
        <w:t>L16 9JD</w:t>
      </w:r>
    </w:p>
    <w:p w14:paraId="686E72A6" w14:textId="77777777" w:rsidR="009F1440" w:rsidRDefault="009F1440" w:rsidP="006A28FC">
      <w:pPr>
        <w:spacing w:line="480" w:lineRule="auto"/>
        <w:jc w:val="center"/>
        <w:rPr>
          <w:b/>
          <w:sz w:val="28"/>
          <w:szCs w:val="28"/>
        </w:rPr>
      </w:pPr>
    </w:p>
    <w:p w14:paraId="2DE49053" w14:textId="42C54F58" w:rsidR="009F1440" w:rsidRDefault="009F1440" w:rsidP="006A28FC">
      <w:pPr>
        <w:spacing w:line="480" w:lineRule="auto"/>
        <w:jc w:val="center"/>
        <w:rPr>
          <w:b/>
          <w:sz w:val="28"/>
          <w:szCs w:val="28"/>
        </w:rPr>
      </w:pPr>
      <w:hyperlink r:id="rId8" w:history="1">
        <w:r w:rsidRPr="00287AF7">
          <w:rPr>
            <w:rStyle w:val="Hyperlink"/>
            <w:b/>
            <w:sz w:val="28"/>
            <w:szCs w:val="28"/>
          </w:rPr>
          <w:t>wallisj@hope.ac.uk</w:t>
        </w:r>
      </w:hyperlink>
    </w:p>
    <w:p w14:paraId="7A4F8811" w14:textId="77777777" w:rsidR="009F1440" w:rsidRDefault="009F1440" w:rsidP="006A28FC">
      <w:pPr>
        <w:spacing w:line="480" w:lineRule="auto"/>
        <w:jc w:val="center"/>
        <w:rPr>
          <w:b/>
          <w:sz w:val="28"/>
          <w:szCs w:val="28"/>
        </w:rPr>
      </w:pPr>
    </w:p>
    <w:p w14:paraId="34817A39" w14:textId="77777777" w:rsidR="009F1440" w:rsidRDefault="009F1440" w:rsidP="006A28FC">
      <w:pPr>
        <w:spacing w:line="480" w:lineRule="auto"/>
        <w:jc w:val="center"/>
        <w:rPr>
          <w:b/>
          <w:sz w:val="28"/>
          <w:szCs w:val="28"/>
        </w:rPr>
      </w:pPr>
    </w:p>
    <w:p w14:paraId="35275FC4" w14:textId="77777777" w:rsidR="004E3D0A" w:rsidRDefault="004E3D0A" w:rsidP="006A28FC">
      <w:pPr>
        <w:spacing w:line="480" w:lineRule="auto"/>
        <w:jc w:val="center"/>
        <w:rPr>
          <w:b/>
          <w:sz w:val="28"/>
          <w:szCs w:val="28"/>
        </w:rPr>
      </w:pPr>
    </w:p>
    <w:p w14:paraId="323D524C" w14:textId="38B37FD4" w:rsidR="0075753F" w:rsidRPr="00C056CC" w:rsidRDefault="0075753F" w:rsidP="00C056CC">
      <w:pPr>
        <w:spacing w:line="480" w:lineRule="auto"/>
        <w:jc w:val="both"/>
      </w:pPr>
      <w:bookmarkStart w:id="0" w:name="_GoBack"/>
      <w:bookmarkEnd w:id="0"/>
      <w:r w:rsidRPr="00C056CC">
        <w:rPr>
          <w:b/>
        </w:rPr>
        <w:t>Abstract</w:t>
      </w:r>
      <w:r w:rsidR="006A28FC" w:rsidRPr="00C056CC">
        <w:rPr>
          <w:b/>
        </w:rPr>
        <w:t>:</w:t>
      </w:r>
      <w:r w:rsidR="00C056CC">
        <w:t xml:space="preserve"> </w:t>
      </w:r>
      <w:r w:rsidR="00C056CC" w:rsidRPr="00C056CC">
        <w:t xml:space="preserve">From 1830 to the abolition of public executions in 1868, there was a growing critique of the execution crowd among elite commentators. To date, however, most, if not all, discussion of this critique has focused on the metropolis, elite groups and decision makers and on national newspapers such as The Times. The aim of this article is shift the focus away from the metropolis towards the provinces, by exploring how the execution crowd was represented in the provincial press. While there have been several analyses of how executions were represented in the provincial press during the period, there has been little sustained discussion of how the crowd were represented. Drawing on a sample of one hundred and forty </w:t>
      </w:r>
      <w:r w:rsidR="00691315">
        <w:t>five</w:t>
      </w:r>
      <w:r w:rsidR="00C056CC" w:rsidRPr="00C056CC">
        <w:t xml:space="preserve"> accounts of executions </w:t>
      </w:r>
      <w:r w:rsidR="00614A1F">
        <w:t xml:space="preserve">published between 1830 and 1868, </w:t>
      </w:r>
      <w:r w:rsidR="00C056CC" w:rsidRPr="00C056CC">
        <w:t xml:space="preserve">it will </w:t>
      </w:r>
      <w:r w:rsidR="00C056CC">
        <w:t>explore</w:t>
      </w:r>
      <w:r w:rsidR="00C056CC" w:rsidRPr="00C056CC">
        <w:t xml:space="preserve"> how the execution crowd was presented in four Lancashire newspapers, the </w:t>
      </w:r>
      <w:r w:rsidR="00C056CC" w:rsidRPr="00C056CC">
        <w:rPr>
          <w:i/>
        </w:rPr>
        <w:t xml:space="preserve">Liverpool Mercury, Manchester Times, Lancaster Gazette </w:t>
      </w:r>
      <w:r w:rsidR="00C056CC" w:rsidRPr="00C056CC">
        <w:t>and</w:t>
      </w:r>
      <w:r w:rsidR="00C056CC" w:rsidRPr="00C056CC">
        <w:rPr>
          <w:i/>
        </w:rPr>
        <w:t xml:space="preserve"> Manchester Courier.</w:t>
      </w:r>
      <w:r w:rsidR="00C056CC">
        <w:t xml:space="preserve"> It will </w:t>
      </w:r>
      <w:r w:rsidR="00C056CC" w:rsidRPr="00C056CC">
        <w:t xml:space="preserve">show how the majority of reports depicted the crowd in neutral terms, passing no commentary – either negative or positive – on their composition or </w:t>
      </w:r>
      <w:r w:rsidR="001111C8" w:rsidRPr="00C056CC">
        <w:t>behaviour</w:t>
      </w:r>
      <w:r w:rsidR="00C056CC" w:rsidRPr="00C056CC">
        <w:t xml:space="preserve">. One newspaper, however, the liberal </w:t>
      </w:r>
      <w:r w:rsidR="00C056CC" w:rsidRPr="00C056CC">
        <w:rPr>
          <w:i/>
        </w:rPr>
        <w:t>Liverpool Mercury</w:t>
      </w:r>
      <w:r w:rsidR="00C056CC" w:rsidRPr="00C056CC">
        <w:t>, consistently reported execution crowds in negative terms as part of its broader critique of capital punishment and public executions.</w:t>
      </w:r>
    </w:p>
    <w:p w14:paraId="555265CD" w14:textId="77777777" w:rsidR="004E3D0A" w:rsidRPr="004E3D0A" w:rsidRDefault="004E3D0A" w:rsidP="006A28FC">
      <w:pPr>
        <w:spacing w:line="480" w:lineRule="auto"/>
      </w:pPr>
    </w:p>
    <w:p w14:paraId="551850DF" w14:textId="77777777" w:rsidR="004E3D0A" w:rsidRPr="004E3D0A" w:rsidRDefault="004E3D0A" w:rsidP="006A28FC">
      <w:pPr>
        <w:spacing w:line="480" w:lineRule="auto"/>
      </w:pPr>
    </w:p>
    <w:p w14:paraId="20E36E54" w14:textId="77777777" w:rsidR="004E3D0A" w:rsidRPr="004E3D0A" w:rsidRDefault="004E3D0A" w:rsidP="006A28FC">
      <w:pPr>
        <w:spacing w:line="480" w:lineRule="auto"/>
      </w:pPr>
    </w:p>
    <w:p w14:paraId="500C54E5" w14:textId="77777777" w:rsidR="004E3D0A" w:rsidRPr="004E3D0A" w:rsidRDefault="004E3D0A" w:rsidP="006A28FC">
      <w:pPr>
        <w:spacing w:line="480" w:lineRule="auto"/>
      </w:pPr>
    </w:p>
    <w:p w14:paraId="4E3F5FFB" w14:textId="77777777" w:rsidR="00C056CC" w:rsidRDefault="00C056CC">
      <w:pPr>
        <w:rPr>
          <w:b/>
        </w:rPr>
      </w:pPr>
      <w:r>
        <w:rPr>
          <w:b/>
        </w:rPr>
        <w:br w:type="page"/>
      </w:r>
    </w:p>
    <w:p w14:paraId="0421C0DE" w14:textId="4614E977" w:rsidR="004E3D0A" w:rsidRDefault="006A28FC" w:rsidP="006A28FC">
      <w:pPr>
        <w:spacing w:line="480" w:lineRule="auto"/>
      </w:pPr>
      <w:r w:rsidRPr="006A28FC">
        <w:rPr>
          <w:b/>
        </w:rPr>
        <w:lastRenderedPageBreak/>
        <w:t>Keywords:</w:t>
      </w:r>
      <w:r>
        <w:t xml:space="preserve"> provincial press, capital punishment, executions, crowds, </w:t>
      </w:r>
      <w:r w:rsidR="00967ED2">
        <w:t xml:space="preserve">Lancashire, </w:t>
      </w:r>
      <w:r>
        <w:t>nineteenth century</w:t>
      </w:r>
    </w:p>
    <w:p w14:paraId="2DC924A9" w14:textId="77777777" w:rsidR="004E3D0A" w:rsidRPr="004E3D0A" w:rsidRDefault="004E3D0A" w:rsidP="006A28FC">
      <w:pPr>
        <w:spacing w:line="480" w:lineRule="auto"/>
      </w:pPr>
    </w:p>
    <w:p w14:paraId="36EE5422" w14:textId="08B00936" w:rsidR="004E3D0A" w:rsidRPr="004E3D0A" w:rsidRDefault="004E3D0A" w:rsidP="00614A1F">
      <w:pPr>
        <w:spacing w:line="480" w:lineRule="auto"/>
        <w:outlineLvl w:val="0"/>
      </w:pPr>
      <w:r w:rsidRPr="004E3D0A">
        <w:rPr>
          <w:b/>
        </w:rPr>
        <w:t>Word count:</w:t>
      </w:r>
      <w:r w:rsidRPr="004E3D0A">
        <w:t xml:space="preserve"> </w:t>
      </w:r>
      <w:r w:rsidR="00E93272" w:rsidRPr="00E93272">
        <w:rPr>
          <w:color w:val="FF0000"/>
        </w:rPr>
        <w:t>7,087 words with endnotes (6138 without)</w:t>
      </w:r>
    </w:p>
    <w:p w14:paraId="758AF264" w14:textId="77777777" w:rsidR="0075753F" w:rsidRDefault="0075753F" w:rsidP="006A28FC">
      <w:pPr>
        <w:spacing w:line="480" w:lineRule="auto"/>
        <w:rPr>
          <w:b/>
          <w:sz w:val="28"/>
          <w:szCs w:val="28"/>
        </w:rPr>
      </w:pPr>
    </w:p>
    <w:p w14:paraId="1E718BA9" w14:textId="050797DB" w:rsidR="0075753F" w:rsidRDefault="0075753F" w:rsidP="006A28FC">
      <w:pPr>
        <w:spacing w:line="480" w:lineRule="auto"/>
        <w:rPr>
          <w:b/>
          <w:sz w:val="28"/>
          <w:szCs w:val="28"/>
        </w:rPr>
      </w:pPr>
      <w:r>
        <w:rPr>
          <w:b/>
          <w:sz w:val="28"/>
          <w:szCs w:val="28"/>
        </w:rPr>
        <w:br w:type="page"/>
      </w:r>
    </w:p>
    <w:p w14:paraId="2CCA6438" w14:textId="6B40E1BB" w:rsidR="00243252" w:rsidRDefault="00243252" w:rsidP="00614A1F">
      <w:pPr>
        <w:spacing w:line="480" w:lineRule="auto"/>
        <w:jc w:val="center"/>
        <w:outlineLvl w:val="0"/>
        <w:rPr>
          <w:b/>
          <w:sz w:val="28"/>
          <w:szCs w:val="28"/>
        </w:rPr>
      </w:pPr>
      <w:r>
        <w:rPr>
          <w:b/>
          <w:sz w:val="28"/>
          <w:szCs w:val="28"/>
        </w:rPr>
        <w:lastRenderedPageBreak/>
        <w:t>T</w:t>
      </w:r>
      <w:r w:rsidRPr="00243252">
        <w:rPr>
          <w:b/>
          <w:sz w:val="28"/>
          <w:szCs w:val="28"/>
        </w:rPr>
        <w:t>he great portion of the scum of society’</w:t>
      </w:r>
      <w:r>
        <w:rPr>
          <w:b/>
          <w:sz w:val="28"/>
          <w:szCs w:val="28"/>
        </w:rPr>
        <w:t>?</w:t>
      </w:r>
    </w:p>
    <w:p w14:paraId="4E979840" w14:textId="6B73854B" w:rsidR="00F828E1" w:rsidRPr="008839A6" w:rsidRDefault="00243252" w:rsidP="006A28FC">
      <w:pPr>
        <w:spacing w:line="480" w:lineRule="auto"/>
        <w:jc w:val="center"/>
        <w:rPr>
          <w:b/>
          <w:sz w:val="28"/>
          <w:szCs w:val="28"/>
        </w:rPr>
      </w:pPr>
      <w:r w:rsidRPr="00243252">
        <w:rPr>
          <w:b/>
          <w:sz w:val="28"/>
          <w:szCs w:val="28"/>
        </w:rPr>
        <w:t xml:space="preserve"> </w:t>
      </w:r>
      <w:r w:rsidR="00772E0E">
        <w:rPr>
          <w:b/>
          <w:sz w:val="28"/>
          <w:szCs w:val="28"/>
        </w:rPr>
        <w:t>Representations of Execution Crowds in the Lancashire Press, 1830-1868.</w:t>
      </w:r>
    </w:p>
    <w:p w14:paraId="3CF2BA9D" w14:textId="77777777" w:rsidR="00772E0E" w:rsidRDefault="00772E0E" w:rsidP="006A28FC">
      <w:pPr>
        <w:spacing w:line="480" w:lineRule="auto"/>
        <w:jc w:val="both"/>
        <w:rPr>
          <w:b/>
          <w:sz w:val="28"/>
          <w:szCs w:val="28"/>
        </w:rPr>
      </w:pPr>
    </w:p>
    <w:p w14:paraId="0F966F03" w14:textId="44025BB4" w:rsidR="00F828E1" w:rsidRDefault="00C66932" w:rsidP="00614A1F">
      <w:pPr>
        <w:spacing w:line="480" w:lineRule="auto"/>
        <w:jc w:val="center"/>
        <w:outlineLvl w:val="0"/>
        <w:rPr>
          <w:b/>
          <w:sz w:val="28"/>
          <w:szCs w:val="28"/>
        </w:rPr>
      </w:pPr>
      <w:r>
        <w:rPr>
          <w:b/>
          <w:sz w:val="28"/>
          <w:szCs w:val="28"/>
        </w:rPr>
        <w:t>VERSION 2</w:t>
      </w:r>
    </w:p>
    <w:p w14:paraId="46EDDEA5" w14:textId="77777777" w:rsidR="00772E0E" w:rsidRPr="008839A6" w:rsidRDefault="00772E0E" w:rsidP="006A28FC">
      <w:pPr>
        <w:spacing w:line="480" w:lineRule="auto"/>
        <w:jc w:val="both"/>
        <w:rPr>
          <w:b/>
          <w:sz w:val="28"/>
          <w:szCs w:val="28"/>
        </w:rPr>
      </w:pPr>
    </w:p>
    <w:p w14:paraId="0091E544" w14:textId="5C309381" w:rsidR="00F828E1" w:rsidRPr="008839A6" w:rsidRDefault="00F828E1" w:rsidP="00614A1F">
      <w:pPr>
        <w:spacing w:line="480" w:lineRule="auto"/>
        <w:jc w:val="both"/>
        <w:outlineLvl w:val="0"/>
        <w:rPr>
          <w:b/>
          <w:sz w:val="28"/>
          <w:szCs w:val="28"/>
        </w:rPr>
      </w:pPr>
      <w:r w:rsidRPr="008839A6">
        <w:rPr>
          <w:b/>
          <w:sz w:val="28"/>
          <w:szCs w:val="28"/>
        </w:rPr>
        <w:t>Introduction</w:t>
      </w:r>
    </w:p>
    <w:p w14:paraId="7815176C" w14:textId="77777777" w:rsidR="00F828E1" w:rsidRPr="008839A6" w:rsidRDefault="00F828E1" w:rsidP="006A28FC">
      <w:pPr>
        <w:spacing w:line="480" w:lineRule="auto"/>
        <w:jc w:val="both"/>
      </w:pPr>
    </w:p>
    <w:p w14:paraId="3EC95534" w14:textId="2DC3E4F6" w:rsidR="00584BDF" w:rsidRPr="00584BDF" w:rsidRDefault="00366E5D" w:rsidP="00C66932">
      <w:pPr>
        <w:spacing w:line="480" w:lineRule="auto"/>
        <w:jc w:val="both"/>
      </w:pPr>
      <w:r w:rsidRPr="008839A6">
        <w:t>On November 13</w:t>
      </w:r>
      <w:r w:rsidRPr="008839A6">
        <w:rPr>
          <w:vertAlign w:val="superscript"/>
        </w:rPr>
        <w:t>th</w:t>
      </w:r>
      <w:r w:rsidRPr="008839A6">
        <w:t xml:space="preserve"> 1849, the author Charles Dickens attended the execution of husband and wife, Marie and Frederick Manning at Horsemonger Lane Gaol. The couple had been sentenced to death at the Old Bailey the previous month for the murder of Patrick O’Connor at their house in Bermondsey, South London. Dickens, </w:t>
      </w:r>
      <w:r w:rsidR="008839A6" w:rsidRPr="00584BDF">
        <w:t xml:space="preserve">who had </w:t>
      </w:r>
      <w:r w:rsidR="00584BDF" w:rsidRPr="00584BDF">
        <w:t>rented</w:t>
      </w:r>
      <w:r w:rsidR="008839A6" w:rsidRPr="00584BDF">
        <w:t xml:space="preserve"> an upstairs room in a building facing the gallows</w:t>
      </w:r>
      <w:r w:rsidRPr="008839A6">
        <w:t xml:space="preserve">, was </w:t>
      </w:r>
      <w:r w:rsidR="008839A6">
        <w:t>scandalis</w:t>
      </w:r>
      <w:r w:rsidRPr="008839A6">
        <w:t>ed by what he saw both before and during the execution.</w:t>
      </w:r>
      <w:r w:rsidR="008839A6" w:rsidRPr="008839A6">
        <w:rPr>
          <w:rStyle w:val="EndnoteReference"/>
        </w:rPr>
        <w:endnoteReference w:id="1"/>
      </w:r>
      <w:r w:rsidRPr="008839A6">
        <w:t xml:space="preserve"> In </w:t>
      </w:r>
      <w:r w:rsidR="00EC0D68" w:rsidRPr="008839A6">
        <w:t>his famous</w:t>
      </w:r>
      <w:r w:rsidRPr="008839A6">
        <w:t xml:space="preserve"> letter to the </w:t>
      </w:r>
      <w:r w:rsidRPr="008839A6">
        <w:rPr>
          <w:i/>
        </w:rPr>
        <w:t>Times</w:t>
      </w:r>
      <w:r w:rsidR="00EC0D68" w:rsidRPr="008839A6">
        <w:t xml:space="preserve"> published the following day</w:t>
      </w:r>
      <w:r w:rsidRPr="008839A6">
        <w:t>, he excoriated the crowd</w:t>
      </w:r>
      <w:r w:rsidR="0075753F">
        <w:t>, claiming ‘</w:t>
      </w:r>
      <w:r w:rsidR="00584BDF" w:rsidRPr="00584BDF">
        <w:t>that a sight so inconceivably awful as the wickedness and levity of the immense crowd collected at that execution this morning could be imagined by no man, and could be presented i</w:t>
      </w:r>
      <w:r w:rsidR="0075753F">
        <w:t>n no heathen land under the sun’</w:t>
      </w:r>
      <w:r w:rsidR="00584BDF" w:rsidRPr="00584BDF">
        <w:t>.</w:t>
      </w:r>
      <w:r w:rsidR="00584BDF">
        <w:rPr>
          <w:rStyle w:val="EndnoteReference"/>
        </w:rPr>
        <w:endnoteReference w:id="2"/>
      </w:r>
    </w:p>
    <w:p w14:paraId="773E78A4" w14:textId="77777777" w:rsidR="00584BDF" w:rsidRPr="00584BDF" w:rsidRDefault="00584BDF" w:rsidP="006A28FC">
      <w:pPr>
        <w:spacing w:line="480" w:lineRule="auto"/>
        <w:jc w:val="both"/>
      </w:pPr>
    </w:p>
    <w:p w14:paraId="403E20F0" w14:textId="77777777" w:rsidR="003139CB" w:rsidRDefault="003139CB" w:rsidP="006A28FC">
      <w:pPr>
        <w:spacing w:line="480" w:lineRule="auto"/>
        <w:ind w:firstLine="360"/>
        <w:jc w:val="both"/>
      </w:pPr>
    </w:p>
    <w:p w14:paraId="08751674" w14:textId="6AD9665F" w:rsidR="009F251F" w:rsidRDefault="003139CB" w:rsidP="00594B96">
      <w:pPr>
        <w:spacing w:line="480" w:lineRule="auto"/>
        <w:ind w:firstLine="720"/>
        <w:jc w:val="both"/>
        <w:rPr>
          <w:color w:val="FF0000"/>
        </w:rPr>
      </w:pPr>
      <w:r>
        <w:t>Dickens was hardly unique among his contemporaries in expressing such views.</w:t>
      </w:r>
      <w:r w:rsidR="00E01D2B">
        <w:t xml:space="preserve"> </w:t>
      </w:r>
      <w:r w:rsidR="0083448F">
        <w:t xml:space="preserve">For at least </w:t>
      </w:r>
      <w:r w:rsidR="001B1530">
        <w:t xml:space="preserve">half </w:t>
      </w:r>
      <w:r w:rsidR="0083448F">
        <w:t xml:space="preserve">a century, </w:t>
      </w:r>
      <w:r w:rsidR="00E01D2B">
        <w:t xml:space="preserve">a growing number of commentators </w:t>
      </w:r>
      <w:r w:rsidR="005A0574">
        <w:t xml:space="preserve">were vocal in their criticism of public executions; </w:t>
      </w:r>
      <w:r w:rsidR="008D0324">
        <w:t>castigating</w:t>
      </w:r>
      <w:r w:rsidR="005A0574">
        <w:t xml:space="preserve"> with particular </w:t>
      </w:r>
      <w:r w:rsidR="008D0324">
        <w:t>vehemence</w:t>
      </w:r>
      <w:r w:rsidR="005A0574">
        <w:t xml:space="preserve"> the behaviour of the crowds at such occasions.</w:t>
      </w:r>
      <w:r w:rsidR="00AF1187">
        <w:rPr>
          <w:rStyle w:val="EndnoteReference"/>
        </w:rPr>
        <w:endnoteReference w:id="3"/>
      </w:r>
      <w:r w:rsidR="00AF1187">
        <w:t xml:space="preserve"> </w:t>
      </w:r>
      <w:r w:rsidR="00F91B72" w:rsidRPr="00F91B72">
        <w:rPr>
          <w:color w:val="FF0000"/>
        </w:rPr>
        <w:t xml:space="preserve">Nevertheless, historians have </w:t>
      </w:r>
      <w:r w:rsidR="00F91B72" w:rsidRPr="00F91B72">
        <w:rPr>
          <w:color w:val="FF0000"/>
        </w:rPr>
        <w:lastRenderedPageBreak/>
        <w:t>disagreed on the accuracy of this portrayal, and, more broa</w:t>
      </w:r>
      <w:r w:rsidR="00F91B72">
        <w:rPr>
          <w:color w:val="FF0000"/>
        </w:rPr>
        <w:t xml:space="preserve">dly, on the question of whether </w:t>
      </w:r>
      <w:r w:rsidR="00D66579" w:rsidRPr="00D66579">
        <w:rPr>
          <w:color w:val="FF0000"/>
        </w:rPr>
        <w:t xml:space="preserve">public executions </w:t>
      </w:r>
      <w:r w:rsidR="001B1530">
        <w:rPr>
          <w:color w:val="FF0000"/>
        </w:rPr>
        <w:t xml:space="preserve">were </w:t>
      </w:r>
      <w:r w:rsidR="00D66579" w:rsidRPr="00D66579">
        <w:rPr>
          <w:color w:val="FF0000"/>
        </w:rPr>
        <w:t>ceremonial occasions where state power and the moral ‘lesson of the scaffold’ was demonstrated before a compliant plebeian audience, or, in contrast, sites of carnival and resistance</w:t>
      </w:r>
      <w:r w:rsidR="00F91B72">
        <w:rPr>
          <w:color w:val="FF0000"/>
        </w:rPr>
        <w:t xml:space="preserve">. On the one hand, Douglas Hay and Michel Foucault both argued that public executions were symbolic displays where the sovereign power of the state was made manifest on the body of the condemned. For Hay, the gallows operated as a chief component of the arsenal of state power; the terror of the gallows operating to maintain social order and protect private property. </w:t>
      </w:r>
      <w:r w:rsidR="00D66579" w:rsidRPr="00D66579">
        <w:rPr>
          <w:color w:val="FF0000"/>
        </w:rPr>
        <w:t>While both agreed that crowds could, and did, challenge these messages encoded within executions through their</w:t>
      </w:r>
      <w:r w:rsidR="00F91B72">
        <w:rPr>
          <w:color w:val="FF0000"/>
        </w:rPr>
        <w:t xml:space="preserve"> behaviour before the gallows, </w:t>
      </w:r>
      <w:r w:rsidR="00D66579" w:rsidRPr="00D66579">
        <w:rPr>
          <w:color w:val="FF0000"/>
        </w:rPr>
        <w:t>they nevertheless saw the state as the main author of the execution ceremony.</w:t>
      </w:r>
      <w:r w:rsidR="00F91B72">
        <w:rPr>
          <w:rStyle w:val="EndnoteReference"/>
          <w:color w:val="FF0000"/>
        </w:rPr>
        <w:endnoteReference w:id="4"/>
      </w:r>
      <w:r w:rsidR="00D66579" w:rsidRPr="00D66579">
        <w:rPr>
          <w:color w:val="FF0000"/>
        </w:rPr>
        <w:t xml:space="preserve"> </w:t>
      </w:r>
      <w:r w:rsidR="00F91B72">
        <w:rPr>
          <w:color w:val="FF0000"/>
        </w:rPr>
        <w:t xml:space="preserve">On the other, </w:t>
      </w:r>
      <w:r w:rsidR="009F251F">
        <w:rPr>
          <w:color w:val="FF0000"/>
        </w:rPr>
        <w:t>Thomas Laqueur has argued that</w:t>
      </w:r>
      <w:r w:rsidR="00D66579" w:rsidRPr="00D66579">
        <w:rPr>
          <w:color w:val="FF0000"/>
        </w:rPr>
        <w:t>, far from being a vehicle through which the power of the state was made manifest, executions were in fact sites of subversive carnival and festivity. According to Laqueur, the state took little interest in stage managing executions</w:t>
      </w:r>
      <w:r w:rsidR="009F251F">
        <w:rPr>
          <w:color w:val="FF0000"/>
        </w:rPr>
        <w:t xml:space="preserve"> and they were, instead, dominated by the crowd, who approached them </w:t>
      </w:r>
      <w:r w:rsidR="009F251F" w:rsidRPr="009F251F">
        <w:rPr>
          <w:color w:val="FF0000"/>
        </w:rPr>
        <w:t xml:space="preserve">as </w:t>
      </w:r>
      <w:r w:rsidR="009F251F">
        <w:rPr>
          <w:color w:val="FF0000"/>
        </w:rPr>
        <w:t>a form of carnivalesque entertainment.</w:t>
      </w:r>
      <w:r w:rsidR="009F251F">
        <w:rPr>
          <w:rStyle w:val="EndnoteReference"/>
          <w:color w:val="FF0000"/>
        </w:rPr>
        <w:endnoteReference w:id="5"/>
      </w:r>
      <w:r w:rsidR="009F251F">
        <w:rPr>
          <w:color w:val="FF0000"/>
        </w:rPr>
        <w:t xml:space="preserve"> </w:t>
      </w:r>
    </w:p>
    <w:p w14:paraId="4E847628" w14:textId="77777777" w:rsidR="009F251F" w:rsidRDefault="009F251F" w:rsidP="009F251F">
      <w:pPr>
        <w:spacing w:line="480" w:lineRule="auto"/>
        <w:jc w:val="both"/>
        <w:rPr>
          <w:color w:val="FF0000"/>
        </w:rPr>
      </w:pPr>
    </w:p>
    <w:p w14:paraId="2F0FB1C9" w14:textId="38612760" w:rsidR="00511994" w:rsidRDefault="00D66579" w:rsidP="00495930">
      <w:pPr>
        <w:spacing w:line="480" w:lineRule="auto"/>
        <w:ind w:firstLine="720"/>
        <w:jc w:val="both"/>
        <w:rPr>
          <w:color w:val="FF0000"/>
        </w:rPr>
      </w:pPr>
      <w:r w:rsidRPr="00D66579">
        <w:rPr>
          <w:color w:val="FF0000"/>
        </w:rPr>
        <w:t xml:space="preserve">A middle position between these two extremes was presented by V.A.C Gatrell in his classic study, </w:t>
      </w:r>
      <w:r w:rsidRPr="00511994">
        <w:rPr>
          <w:i/>
          <w:color w:val="FF0000"/>
        </w:rPr>
        <w:t>The Hanging Tree</w:t>
      </w:r>
      <w:r w:rsidRPr="00D66579">
        <w:rPr>
          <w:color w:val="FF0000"/>
        </w:rPr>
        <w:t xml:space="preserve">. While accepting that execution executions crowds contained elements of carnival, Gatrell nevertheless argued that the state remained fully in control of the execution ceremony. </w:t>
      </w:r>
      <w:r w:rsidR="00511994">
        <w:rPr>
          <w:color w:val="FF0000"/>
        </w:rPr>
        <w:t>W</w:t>
      </w:r>
      <w:r w:rsidRPr="00D66579">
        <w:rPr>
          <w:color w:val="FF0000"/>
        </w:rPr>
        <w:t xml:space="preserve">hatever resistance both </w:t>
      </w:r>
      <w:r w:rsidR="00511994">
        <w:rPr>
          <w:color w:val="FF0000"/>
        </w:rPr>
        <w:t xml:space="preserve">the crowd and condemned </w:t>
      </w:r>
      <w:r w:rsidRPr="00D66579">
        <w:rPr>
          <w:color w:val="FF0000"/>
        </w:rPr>
        <w:t>offered always occurred within</w:t>
      </w:r>
      <w:r w:rsidR="00511994">
        <w:rPr>
          <w:color w:val="FF0000"/>
        </w:rPr>
        <w:t xml:space="preserve"> limits defined by state power; neither could </w:t>
      </w:r>
      <w:r w:rsidRPr="00D66579">
        <w:rPr>
          <w:color w:val="FF0000"/>
        </w:rPr>
        <w:t>affec</w:t>
      </w:r>
      <w:r w:rsidR="00511994">
        <w:rPr>
          <w:color w:val="FF0000"/>
        </w:rPr>
        <w:t xml:space="preserve">t the outcome of the execution </w:t>
      </w:r>
      <w:r w:rsidRPr="00D66579">
        <w:rPr>
          <w:color w:val="FF0000"/>
        </w:rPr>
        <w:t xml:space="preserve">nor </w:t>
      </w:r>
      <w:r w:rsidR="00374E43">
        <w:rPr>
          <w:color w:val="FF0000"/>
        </w:rPr>
        <w:t xml:space="preserve">undermine significantly </w:t>
      </w:r>
      <w:r w:rsidRPr="00D66579">
        <w:rPr>
          <w:color w:val="FF0000"/>
        </w:rPr>
        <w:t xml:space="preserve">the authority of the state made manifest in the execution </w:t>
      </w:r>
      <w:r w:rsidRPr="00D66579">
        <w:rPr>
          <w:color w:val="FF0000"/>
        </w:rPr>
        <w:lastRenderedPageBreak/>
        <w:t>ceremony.</w:t>
      </w:r>
      <w:r w:rsidR="007E76BF">
        <w:rPr>
          <w:rStyle w:val="EndnoteReference"/>
          <w:color w:val="FF0000"/>
        </w:rPr>
        <w:endnoteReference w:id="6"/>
      </w:r>
      <w:r w:rsidRPr="00D66579">
        <w:rPr>
          <w:color w:val="FF0000"/>
        </w:rPr>
        <w:t xml:space="preserve"> More recently a radically different thesis has been proposed by Matthew Trevor Wright, who argued that the image of the riotous crowd was in fact a creation of the political elite and moral reformers.  While not denying that on occasion execution crowds could be unruly, he nevertheless argued that such behaviour was the exception rather than the rule and that on the whole crowds behaved in a decorous way.</w:t>
      </w:r>
      <w:r w:rsidR="00495930">
        <w:rPr>
          <w:rStyle w:val="EndnoteReference"/>
          <w:color w:val="FF0000"/>
        </w:rPr>
        <w:endnoteReference w:id="7"/>
      </w:r>
      <w:r w:rsidRPr="00D66579">
        <w:rPr>
          <w:color w:val="FF0000"/>
        </w:rPr>
        <w:t xml:space="preserve"> </w:t>
      </w:r>
      <w:r w:rsidR="006D15CD">
        <w:rPr>
          <w:color w:val="FF0000"/>
        </w:rPr>
        <w:t xml:space="preserve">In a similar way, Rosalind Crone has argued that the critique of execution crowds was part of a broader critique of forms of traditional plebeian entertainment by </w:t>
      </w:r>
      <w:r w:rsidR="00F47A1F">
        <w:rPr>
          <w:color w:val="FF0000"/>
        </w:rPr>
        <w:t>elites. According to Crone, while there is some truth in the image of execution crowds presented by critics such as Dickens and Wakefield, they could also be solemn affairs.</w:t>
      </w:r>
      <w:r w:rsidR="00F47A1F">
        <w:rPr>
          <w:rStyle w:val="EndnoteReference"/>
          <w:color w:val="FF0000"/>
        </w:rPr>
        <w:endnoteReference w:id="8"/>
      </w:r>
      <w:r w:rsidR="00F47A1F">
        <w:rPr>
          <w:color w:val="FF0000"/>
        </w:rPr>
        <w:t xml:space="preserve"> </w:t>
      </w:r>
    </w:p>
    <w:p w14:paraId="24C790E9" w14:textId="77777777" w:rsidR="00D66579" w:rsidRDefault="00D66579" w:rsidP="00F47A1F">
      <w:pPr>
        <w:spacing w:line="480" w:lineRule="auto"/>
        <w:jc w:val="both"/>
      </w:pPr>
    </w:p>
    <w:p w14:paraId="4A81CC36" w14:textId="31392C4B" w:rsidR="00E325A1" w:rsidRDefault="00F47A1F" w:rsidP="00E325A1">
      <w:pPr>
        <w:spacing w:line="480" w:lineRule="auto"/>
        <w:ind w:firstLine="720"/>
        <w:jc w:val="both"/>
        <w:rPr>
          <w:color w:val="FF0000"/>
        </w:rPr>
      </w:pPr>
      <w:r w:rsidRPr="00F47A1F">
        <w:rPr>
          <w:color w:val="FF0000"/>
        </w:rPr>
        <w:t xml:space="preserve">To date, however, most, if not all of the historiography of execution crowds has focused on </w:t>
      </w:r>
      <w:r w:rsidR="00F91B72" w:rsidRPr="00F47A1F">
        <w:rPr>
          <w:color w:val="FF0000"/>
        </w:rPr>
        <w:t xml:space="preserve">the metropolis, elite groups and decision makers and on national newspapers such as </w:t>
      </w:r>
      <w:r w:rsidR="00F91B72" w:rsidRPr="00F47A1F">
        <w:rPr>
          <w:i/>
          <w:color w:val="FF0000"/>
        </w:rPr>
        <w:t>The Times</w:t>
      </w:r>
      <w:r w:rsidR="00F91B72" w:rsidRPr="00F47A1F">
        <w:rPr>
          <w:color w:val="FF0000"/>
        </w:rPr>
        <w:t xml:space="preserve">.  </w:t>
      </w:r>
      <w:r w:rsidRPr="00BE4061">
        <w:rPr>
          <w:color w:val="FF0000"/>
        </w:rPr>
        <w:t>This is a particular</w:t>
      </w:r>
      <w:r w:rsidR="001B1530">
        <w:rPr>
          <w:color w:val="FF0000"/>
        </w:rPr>
        <w:t>ly</w:t>
      </w:r>
      <w:r w:rsidRPr="00BE4061">
        <w:rPr>
          <w:color w:val="FF0000"/>
        </w:rPr>
        <w:t xml:space="preserve"> notable omission, not least, as Gattrel observes, </w:t>
      </w:r>
      <w:r w:rsidR="00BE4061">
        <w:rPr>
          <w:color w:val="FF0000"/>
        </w:rPr>
        <w:t xml:space="preserve">there were marked differences between executions in the metropolis and the provinces. Not only were there comparatively fewer executions in </w:t>
      </w:r>
      <w:r w:rsidR="007E76BF">
        <w:rPr>
          <w:color w:val="FF0000"/>
        </w:rPr>
        <w:t xml:space="preserve">each county than in the metropolis, but, according to Gatrell </w:t>
      </w:r>
      <w:r w:rsidR="00445B35">
        <w:rPr>
          <w:color w:val="FF0000"/>
        </w:rPr>
        <w:t>‘</w:t>
      </w:r>
      <w:r w:rsidR="007E76BF">
        <w:rPr>
          <w:color w:val="FF0000"/>
        </w:rPr>
        <w:t>....the rural crowd was smaller and more muted</w:t>
      </w:r>
      <w:proofErr w:type="gramStart"/>
      <w:r w:rsidR="007E76BF">
        <w:rPr>
          <w:color w:val="FF0000"/>
        </w:rPr>
        <w:t>...[</w:t>
      </w:r>
      <w:proofErr w:type="gramEnd"/>
      <w:r w:rsidR="007E76BF">
        <w:rPr>
          <w:color w:val="FF0000"/>
        </w:rPr>
        <w:t>with] less support there</w:t>
      </w:r>
      <w:r w:rsidR="00445B35">
        <w:rPr>
          <w:color w:val="FF0000"/>
        </w:rPr>
        <w:t>’</w:t>
      </w:r>
      <w:r w:rsidR="007E76BF">
        <w:rPr>
          <w:color w:val="FF0000"/>
        </w:rPr>
        <w:t xml:space="preserve"> for the condemned.</w:t>
      </w:r>
      <w:r w:rsidR="007E76BF">
        <w:rPr>
          <w:rStyle w:val="EndnoteReference"/>
          <w:color w:val="FF0000"/>
        </w:rPr>
        <w:endnoteReference w:id="9"/>
      </w:r>
      <w:r w:rsidR="00BE4061">
        <w:rPr>
          <w:color w:val="FF0000"/>
        </w:rPr>
        <w:t xml:space="preserve"> </w:t>
      </w:r>
      <w:r w:rsidR="00E325A1">
        <w:rPr>
          <w:color w:val="FF0000"/>
        </w:rPr>
        <w:t xml:space="preserve">To what extent, then, is the image of </w:t>
      </w:r>
      <w:r w:rsidR="00445B35">
        <w:rPr>
          <w:color w:val="FF0000"/>
        </w:rPr>
        <w:t xml:space="preserve">riotous </w:t>
      </w:r>
      <w:r w:rsidR="00E325A1">
        <w:rPr>
          <w:color w:val="FF0000"/>
        </w:rPr>
        <w:t>crowds found in contemporary depictions of Victorian executions referring more to a metropolitan than a provincial phenomenon?</w:t>
      </w:r>
    </w:p>
    <w:p w14:paraId="170EF2EB" w14:textId="6169BDE3" w:rsidR="00D66579" w:rsidRDefault="00D66579" w:rsidP="00E325A1">
      <w:pPr>
        <w:spacing w:line="480" w:lineRule="auto"/>
        <w:jc w:val="both"/>
        <w:rPr>
          <w:color w:val="FF0000"/>
        </w:rPr>
      </w:pPr>
    </w:p>
    <w:p w14:paraId="67F66039" w14:textId="408C7C70" w:rsidR="00223A22" w:rsidRPr="00E325A1" w:rsidRDefault="005C274A" w:rsidP="00E325A1">
      <w:pPr>
        <w:spacing w:line="480" w:lineRule="auto"/>
        <w:ind w:firstLine="720"/>
        <w:jc w:val="both"/>
        <w:rPr>
          <w:color w:val="FF0000"/>
        </w:rPr>
      </w:pPr>
      <w:r w:rsidRPr="00E325A1">
        <w:rPr>
          <w:color w:val="FF0000"/>
        </w:rPr>
        <w:t>The aim of this article is</w:t>
      </w:r>
      <w:r w:rsidR="00772E0E" w:rsidRPr="00E325A1">
        <w:rPr>
          <w:color w:val="FF0000"/>
        </w:rPr>
        <w:t xml:space="preserve"> </w:t>
      </w:r>
      <w:r w:rsidR="00E325A1" w:rsidRPr="00E325A1">
        <w:rPr>
          <w:color w:val="FF0000"/>
        </w:rPr>
        <w:t>address this question</w:t>
      </w:r>
      <w:r w:rsidR="00E325A1">
        <w:rPr>
          <w:color w:val="FF0000"/>
        </w:rPr>
        <w:t xml:space="preserve"> </w:t>
      </w:r>
      <w:r w:rsidRPr="00772E0E">
        <w:t>by exploring how execution crowd</w:t>
      </w:r>
      <w:r w:rsidR="002A57B0">
        <w:t>s</w:t>
      </w:r>
      <w:r w:rsidR="0075753F">
        <w:t xml:space="preserve"> were</w:t>
      </w:r>
      <w:r w:rsidRPr="00772E0E">
        <w:t xml:space="preserve"> represented in the provincial press during the nineteenth century.</w:t>
      </w:r>
      <w:r w:rsidR="00772E0E" w:rsidRPr="00772E0E">
        <w:t xml:space="preserve"> W</w:t>
      </w:r>
      <w:r w:rsidRPr="00772E0E">
        <w:t xml:space="preserve">hile there have been several analyses of how executions were represented in </w:t>
      </w:r>
      <w:r w:rsidRPr="00772E0E">
        <w:lastRenderedPageBreak/>
        <w:t xml:space="preserve">the provincial press during the period, there has been little </w:t>
      </w:r>
      <w:r w:rsidR="00CA477E" w:rsidRPr="00772E0E">
        <w:t xml:space="preserve">sustained </w:t>
      </w:r>
      <w:r w:rsidR="002A57B0">
        <w:t xml:space="preserve">discussion of </w:t>
      </w:r>
      <w:r w:rsidRPr="00772E0E">
        <w:t>the crowd</w:t>
      </w:r>
      <w:r w:rsidR="002A57B0">
        <w:t>s</w:t>
      </w:r>
      <w:r w:rsidR="0075753F">
        <w:t xml:space="preserve"> that attended these events</w:t>
      </w:r>
      <w:r w:rsidRPr="00772E0E">
        <w:t xml:space="preserve">. </w:t>
      </w:r>
      <w:r w:rsidR="002C3C6D">
        <w:t xml:space="preserve">John Tulloch mentioned </w:t>
      </w:r>
      <w:r w:rsidR="00680364">
        <w:t>crowd</w:t>
      </w:r>
      <w:r w:rsidR="002A57B0">
        <w:t>s</w:t>
      </w:r>
      <w:r w:rsidR="00680364">
        <w:t xml:space="preserve"> in passing in his discussion of the Lincolnshire press, </w:t>
      </w:r>
      <w:r w:rsidR="00223A22">
        <w:t xml:space="preserve">observing how the </w:t>
      </w:r>
      <w:r w:rsidR="00223A22" w:rsidRPr="00223A22">
        <w:rPr>
          <w:i/>
        </w:rPr>
        <w:t>Stamford Mercury</w:t>
      </w:r>
      <w:r w:rsidR="00223A22">
        <w:t xml:space="preserve"> described the</w:t>
      </w:r>
      <w:r w:rsidR="002A57B0">
        <w:t>m</w:t>
      </w:r>
      <w:r w:rsidR="00223A22">
        <w:t xml:space="preserve"> in disdainful terms; the newspaper reportage highlighting in particular those features of </w:t>
      </w:r>
      <w:r w:rsidR="0075753F">
        <w:t>execution</w:t>
      </w:r>
      <w:r w:rsidR="00223A22">
        <w:t xml:space="preserve"> crowd</w:t>
      </w:r>
      <w:r w:rsidR="0075753F">
        <w:t>s</w:t>
      </w:r>
      <w:r w:rsidR="00223A22">
        <w:t xml:space="preserve"> – most notably the presence of women and children – that violated the norms of its middle class readership.</w:t>
      </w:r>
      <w:r w:rsidR="00223A22">
        <w:rPr>
          <w:rStyle w:val="EndnoteReference"/>
        </w:rPr>
        <w:endnoteReference w:id="10"/>
      </w:r>
      <w:r w:rsidR="00223A22">
        <w:t xml:space="preserve"> </w:t>
      </w:r>
      <w:r w:rsidR="007428B1" w:rsidRPr="007428B1">
        <w:t xml:space="preserve">Zoe Dyndor in her analysis of the </w:t>
      </w:r>
      <w:r w:rsidR="007428B1" w:rsidRPr="002C3C6D">
        <w:rPr>
          <w:i/>
        </w:rPr>
        <w:t>Northampton Mercury</w:t>
      </w:r>
      <w:r w:rsidR="007428B1" w:rsidRPr="007428B1">
        <w:t xml:space="preserve"> between 1780 and 1834 argue</w:t>
      </w:r>
      <w:r w:rsidR="002C3C6D">
        <w:t>d</w:t>
      </w:r>
      <w:r w:rsidR="007428B1" w:rsidRPr="007428B1">
        <w:t xml:space="preserve"> that execution crowds were portrayed in the newspaper as passively accepting the moral lesson of the scaffold presented to them by the </w:t>
      </w:r>
      <w:r w:rsidR="002C3C6D">
        <w:t>state. In doing so, she suggested</w:t>
      </w:r>
      <w:r w:rsidR="007428B1" w:rsidRPr="007428B1">
        <w:t xml:space="preserve">, the </w:t>
      </w:r>
      <w:r w:rsidR="007428B1" w:rsidRPr="002C3C6D">
        <w:rPr>
          <w:i/>
        </w:rPr>
        <w:t>Mercury</w:t>
      </w:r>
      <w:r w:rsidR="007428B1" w:rsidRPr="007428B1">
        <w:t xml:space="preserve"> may have presented a sanitized version of what actually took place; </w:t>
      </w:r>
      <w:r w:rsidR="0075753F">
        <w:t>‘</w:t>
      </w:r>
      <w:r w:rsidR="007428B1" w:rsidRPr="007428B1">
        <w:t>depicting the crowd as they needed to be</w:t>
      </w:r>
      <w:r w:rsidR="0075753F">
        <w:t>’</w:t>
      </w:r>
      <w:r w:rsidR="007428B1" w:rsidRPr="007428B1">
        <w:t xml:space="preserve"> to maintain the solemn ritual of execution in the eyes of its middle class readership, rather than how they possibly were.</w:t>
      </w:r>
      <w:r w:rsidR="00C52C91">
        <w:rPr>
          <w:rStyle w:val="EndnoteReference"/>
        </w:rPr>
        <w:endnoteReference w:id="11"/>
      </w:r>
      <w:r w:rsidR="007428B1" w:rsidRPr="007428B1">
        <w:t xml:space="preserve">  </w:t>
      </w:r>
      <w:r w:rsidR="00223A22">
        <w:t xml:space="preserve">More recently, </w:t>
      </w:r>
      <w:r w:rsidR="007428B1">
        <w:t xml:space="preserve">in his analysis of execution reportage in the Norfolk press between 1805 </w:t>
      </w:r>
      <w:r w:rsidR="002C3C6D">
        <w:t>and 1867, John Walliss described</w:t>
      </w:r>
      <w:r w:rsidR="007428B1">
        <w:t xml:space="preserve"> how </w:t>
      </w:r>
      <w:r w:rsidR="001E4FD2">
        <w:t>crowds were</w:t>
      </w:r>
      <w:r w:rsidR="007428B1">
        <w:t xml:space="preserve"> typically only desc</w:t>
      </w:r>
      <w:r w:rsidR="0075753F">
        <w:t xml:space="preserve">ribed vaguely in press reports </w:t>
      </w:r>
      <w:r w:rsidR="007428B1">
        <w:t xml:space="preserve">until the early 1850s. From </w:t>
      </w:r>
      <w:r w:rsidR="00772E0E">
        <w:t xml:space="preserve">then until the last public execution in Norfolk in 1867, </w:t>
      </w:r>
      <w:r w:rsidR="001E4FD2">
        <w:t>they</w:t>
      </w:r>
      <w:r w:rsidR="00772E0E">
        <w:t xml:space="preserve"> was increasingly described in negative terms by the liberal and Tory press alike.</w:t>
      </w:r>
      <w:r w:rsidR="00772E0E">
        <w:rPr>
          <w:rStyle w:val="EndnoteReference"/>
        </w:rPr>
        <w:endnoteReference w:id="12"/>
      </w:r>
      <w:r w:rsidR="00772E0E">
        <w:t xml:space="preserve"> </w:t>
      </w:r>
    </w:p>
    <w:p w14:paraId="07FD610B" w14:textId="77777777" w:rsidR="00772E0E" w:rsidRDefault="00772E0E" w:rsidP="006A28FC">
      <w:pPr>
        <w:spacing w:line="480" w:lineRule="auto"/>
        <w:jc w:val="both"/>
        <w:rPr>
          <w:lang w:eastAsia="ja-JP"/>
        </w:rPr>
      </w:pPr>
    </w:p>
    <w:p w14:paraId="7BC24C47" w14:textId="13C33CFB" w:rsidR="005C274A" w:rsidRPr="006A5534" w:rsidRDefault="005C274A" w:rsidP="006A5534">
      <w:pPr>
        <w:spacing w:line="480" w:lineRule="auto"/>
        <w:ind w:firstLine="720"/>
        <w:jc w:val="both"/>
        <w:rPr>
          <w:color w:val="FF0000"/>
        </w:rPr>
      </w:pPr>
      <w:r w:rsidRPr="00772E0E">
        <w:t xml:space="preserve">Drawing on a sample of </w:t>
      </w:r>
      <w:r w:rsidR="00772E0E" w:rsidRPr="00772E0E">
        <w:t xml:space="preserve">one hundred and forty </w:t>
      </w:r>
      <w:r w:rsidR="00374E43">
        <w:t>five</w:t>
      </w:r>
      <w:r w:rsidRPr="00772E0E">
        <w:t xml:space="preserve"> accounts of executions published in four Lancashire newspapers between 1830 and 1868,</w:t>
      </w:r>
      <w:r w:rsidR="002C3C6D">
        <w:t xml:space="preserve"> the article</w:t>
      </w:r>
      <w:r w:rsidRPr="00772E0E">
        <w:t xml:space="preserve"> will show how</w:t>
      </w:r>
      <w:r w:rsidR="00BF07E7">
        <w:t xml:space="preserve"> the majority of reports depicted the crowd in neutral terms, passing no commentary – either negative or positive – on their composition or behavio</w:t>
      </w:r>
      <w:r w:rsidR="001111C8">
        <w:t>u</w:t>
      </w:r>
      <w:r w:rsidR="00BF07E7">
        <w:t xml:space="preserve">r. </w:t>
      </w:r>
      <w:r w:rsidR="00E325A1" w:rsidRPr="00E325A1">
        <w:rPr>
          <w:color w:val="FF0000"/>
        </w:rPr>
        <w:t xml:space="preserve">Other reports described the behaviour of execution crowds in decorous terms. </w:t>
      </w:r>
      <w:r w:rsidR="00BF07E7">
        <w:t xml:space="preserve">One newspaper, however, the liberal </w:t>
      </w:r>
      <w:r w:rsidR="00BF07E7" w:rsidRPr="0075753F">
        <w:rPr>
          <w:i/>
        </w:rPr>
        <w:t>Liverpool Mercury</w:t>
      </w:r>
      <w:r w:rsidR="00BF07E7">
        <w:t xml:space="preserve">, consistently reported execution crowds in negative terms as part of its broader critique of capital </w:t>
      </w:r>
      <w:r w:rsidR="00BF07E7">
        <w:lastRenderedPageBreak/>
        <w:t>punishment and public executions.</w:t>
      </w:r>
      <w:r w:rsidR="00E325A1">
        <w:t xml:space="preserve"> </w:t>
      </w:r>
      <w:r w:rsidR="00E325A1" w:rsidRPr="006A5534">
        <w:rPr>
          <w:color w:val="FF0000"/>
        </w:rPr>
        <w:t xml:space="preserve">Indeed, the Mercury </w:t>
      </w:r>
      <w:r w:rsidR="006A5534" w:rsidRPr="006A5534">
        <w:rPr>
          <w:color w:val="FF0000"/>
        </w:rPr>
        <w:t>was critical of execution crowds while simultaneously describing their decorous behaviour.</w:t>
      </w:r>
      <w:r w:rsidR="006513D6">
        <w:rPr>
          <w:color w:val="FF0000"/>
        </w:rPr>
        <w:t xml:space="preserve"> To this end, the article will be structured in two sections. The first will present a broad overview of </w:t>
      </w:r>
      <w:r w:rsidR="00612B9A">
        <w:rPr>
          <w:color w:val="FF0000"/>
        </w:rPr>
        <w:t xml:space="preserve">executions in </w:t>
      </w:r>
      <w:r w:rsidR="00742EBB">
        <w:rPr>
          <w:color w:val="FF0000"/>
        </w:rPr>
        <w:t>Lancashire</w:t>
      </w:r>
      <w:r w:rsidR="00612B9A">
        <w:rPr>
          <w:color w:val="FF0000"/>
        </w:rPr>
        <w:t xml:space="preserve"> during the period</w:t>
      </w:r>
      <w:r w:rsidR="00742EBB">
        <w:rPr>
          <w:color w:val="FF0000"/>
        </w:rPr>
        <w:t xml:space="preserve"> and briefly introduce the four newspapers</w:t>
      </w:r>
      <w:r w:rsidR="00612B9A">
        <w:rPr>
          <w:color w:val="FF0000"/>
        </w:rPr>
        <w:t xml:space="preserve">. </w:t>
      </w:r>
      <w:r w:rsidR="00612B9A" w:rsidRPr="00612B9A">
        <w:t>Following on from this, the second longer section will present the analysis of the four newspapers</w:t>
      </w:r>
      <w:r w:rsidR="00612B9A">
        <w:rPr>
          <w:color w:val="FF0000"/>
        </w:rPr>
        <w:t xml:space="preserve">. </w:t>
      </w:r>
    </w:p>
    <w:p w14:paraId="287532A4" w14:textId="77777777" w:rsidR="00BF5198" w:rsidRDefault="00BF5198" w:rsidP="006A28FC">
      <w:pPr>
        <w:spacing w:line="480" w:lineRule="auto"/>
        <w:jc w:val="both"/>
      </w:pPr>
    </w:p>
    <w:p w14:paraId="1F933004" w14:textId="77777777" w:rsidR="00511994" w:rsidRDefault="00511994" w:rsidP="006A28FC">
      <w:pPr>
        <w:spacing w:line="480" w:lineRule="auto"/>
        <w:jc w:val="both"/>
      </w:pPr>
    </w:p>
    <w:p w14:paraId="5599CD55" w14:textId="630DC1B1" w:rsidR="000655DC" w:rsidRPr="00594B96" w:rsidRDefault="00D47CD2" w:rsidP="00614A1F">
      <w:pPr>
        <w:spacing w:line="480" w:lineRule="auto"/>
        <w:jc w:val="both"/>
        <w:outlineLvl w:val="0"/>
        <w:rPr>
          <w:b/>
          <w:color w:val="FF0000"/>
        </w:rPr>
      </w:pPr>
      <w:r w:rsidRPr="00594B96">
        <w:rPr>
          <w:b/>
          <w:color w:val="FF0000"/>
        </w:rPr>
        <w:t xml:space="preserve">TITLE </w:t>
      </w:r>
    </w:p>
    <w:p w14:paraId="08F61199" w14:textId="77777777" w:rsidR="00D47CD2" w:rsidRDefault="00D47CD2" w:rsidP="006A28FC">
      <w:pPr>
        <w:spacing w:line="480" w:lineRule="auto"/>
        <w:jc w:val="both"/>
      </w:pPr>
    </w:p>
    <w:p w14:paraId="550B5638" w14:textId="416E7544" w:rsidR="00742EBB" w:rsidRDefault="00742EBB" w:rsidP="006A28FC">
      <w:pPr>
        <w:spacing w:line="480" w:lineRule="auto"/>
        <w:jc w:val="both"/>
        <w:rPr>
          <w:color w:val="FF0000"/>
        </w:rPr>
      </w:pPr>
      <w:r w:rsidRPr="00742EBB">
        <w:rPr>
          <w:color w:val="FF0000"/>
        </w:rPr>
        <w:t xml:space="preserve">Between </w:t>
      </w:r>
      <w:r>
        <w:rPr>
          <w:color w:val="FF0000"/>
        </w:rPr>
        <w:t xml:space="preserve">March </w:t>
      </w:r>
      <w:r w:rsidRPr="00742EBB">
        <w:rPr>
          <w:color w:val="FF0000"/>
        </w:rPr>
        <w:t>1830 and April 1868, there were forty-</w:t>
      </w:r>
      <w:r w:rsidR="001A1C27">
        <w:rPr>
          <w:color w:val="FF0000"/>
        </w:rPr>
        <w:t>three</w:t>
      </w:r>
      <w:r w:rsidRPr="00742EBB">
        <w:rPr>
          <w:color w:val="FF0000"/>
        </w:rPr>
        <w:t xml:space="preserve"> public exe</w:t>
      </w:r>
      <w:r w:rsidR="00594B96">
        <w:rPr>
          <w:color w:val="FF0000"/>
        </w:rPr>
        <w:t>cutions in Lancashire; fifty-eight</w:t>
      </w:r>
      <w:r w:rsidRPr="00742EBB">
        <w:rPr>
          <w:color w:val="FF0000"/>
        </w:rPr>
        <w:t xml:space="preserve"> convicted felons dying an ignoble death before crowds in Lancaster, Liverpool and Manchester.</w:t>
      </w:r>
      <w:r>
        <w:rPr>
          <w:color w:val="FF0000"/>
        </w:rPr>
        <w:t xml:space="preserve"> The pattern of executions is shown in figure 1:</w:t>
      </w:r>
    </w:p>
    <w:p w14:paraId="6DDE7E18" w14:textId="77777777" w:rsidR="00742EBB" w:rsidRDefault="00742EBB" w:rsidP="006A28FC">
      <w:pPr>
        <w:spacing w:line="480" w:lineRule="auto"/>
        <w:jc w:val="both"/>
        <w:rPr>
          <w:color w:val="FF0000"/>
        </w:rPr>
      </w:pPr>
    </w:p>
    <w:p w14:paraId="0B983EA1" w14:textId="107EDD66" w:rsidR="00742EBB" w:rsidRDefault="00742EBB" w:rsidP="006A28FC">
      <w:pPr>
        <w:spacing w:line="480" w:lineRule="auto"/>
        <w:jc w:val="both"/>
        <w:rPr>
          <w:color w:val="FF0000"/>
        </w:rPr>
      </w:pPr>
      <w:r>
        <w:rPr>
          <w:noProof/>
          <w:lang w:eastAsia="en-GB"/>
        </w:rPr>
        <w:drawing>
          <wp:inline distT="0" distB="0" distL="0" distR="0" wp14:anchorId="6E004DD8" wp14:editId="47F73465">
            <wp:extent cx="5270500" cy="3074670"/>
            <wp:effectExtent l="0" t="0" r="63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4A79EE" w14:textId="09C0947F" w:rsidR="00742EBB" w:rsidRDefault="00742EBB" w:rsidP="00614A1F">
      <w:pPr>
        <w:spacing w:line="480" w:lineRule="auto"/>
        <w:jc w:val="both"/>
        <w:outlineLvl w:val="0"/>
        <w:rPr>
          <w:color w:val="FF0000"/>
        </w:rPr>
      </w:pPr>
      <w:r w:rsidRPr="00742EBB">
        <w:rPr>
          <w:b/>
          <w:color w:val="FF0000"/>
        </w:rPr>
        <w:t>Figure 1:</w:t>
      </w:r>
      <w:r>
        <w:rPr>
          <w:color w:val="FF0000"/>
        </w:rPr>
        <w:t xml:space="preserve"> the number of executions per year in Lancashire, 1830-1968.</w:t>
      </w:r>
    </w:p>
    <w:p w14:paraId="2E4D4544" w14:textId="77777777" w:rsidR="00594B96" w:rsidRDefault="00594B96" w:rsidP="006A28FC">
      <w:pPr>
        <w:spacing w:line="480" w:lineRule="auto"/>
        <w:jc w:val="both"/>
        <w:rPr>
          <w:color w:val="FF0000"/>
        </w:rPr>
      </w:pPr>
    </w:p>
    <w:p w14:paraId="551321E1" w14:textId="5C4E845B" w:rsidR="00BB78CD" w:rsidRDefault="00BB78CD" w:rsidP="006A28FC">
      <w:pPr>
        <w:spacing w:line="480" w:lineRule="auto"/>
        <w:jc w:val="both"/>
        <w:rPr>
          <w:color w:val="FF0000"/>
        </w:rPr>
      </w:pPr>
      <w:r>
        <w:rPr>
          <w:color w:val="FF0000"/>
        </w:rPr>
        <w:t>The peak years for executions were 18</w:t>
      </w:r>
      <w:r w:rsidR="00374E43">
        <w:rPr>
          <w:color w:val="FF0000"/>
        </w:rPr>
        <w:t>31</w:t>
      </w:r>
      <w:r>
        <w:rPr>
          <w:color w:val="FF0000"/>
        </w:rPr>
        <w:t xml:space="preserve"> and 186</w:t>
      </w:r>
      <w:r w:rsidR="00374E43">
        <w:rPr>
          <w:color w:val="FF0000"/>
        </w:rPr>
        <w:t>3</w:t>
      </w:r>
      <w:r>
        <w:rPr>
          <w:color w:val="FF0000"/>
        </w:rPr>
        <w:t>, when seven and five felons expiated for their crimes on the gallows</w:t>
      </w:r>
      <w:r w:rsidR="00374E43">
        <w:rPr>
          <w:color w:val="FF0000"/>
        </w:rPr>
        <w:t xml:space="preserve"> in a series of multiple hangings</w:t>
      </w:r>
      <w:r>
        <w:rPr>
          <w:color w:val="FF0000"/>
        </w:rPr>
        <w:t>. While there were executions in the county almost every year in the 1830s and 1860s, twelve of the t</w:t>
      </w:r>
      <w:r w:rsidR="00594B96">
        <w:rPr>
          <w:color w:val="FF0000"/>
        </w:rPr>
        <w:t>hirty-</w:t>
      </w:r>
      <w:r>
        <w:rPr>
          <w:color w:val="FF0000"/>
        </w:rPr>
        <w:t>eight years sampled saw no executions. The crimes for which felons were executed in the county are shown in figure 2:</w:t>
      </w:r>
    </w:p>
    <w:p w14:paraId="4172B379" w14:textId="77777777" w:rsidR="00BB78CD" w:rsidRDefault="00BB78CD" w:rsidP="006A28FC">
      <w:pPr>
        <w:spacing w:line="480" w:lineRule="auto"/>
        <w:jc w:val="both"/>
        <w:rPr>
          <w:color w:val="FF0000"/>
        </w:rPr>
      </w:pPr>
    </w:p>
    <w:tbl>
      <w:tblPr>
        <w:tblStyle w:val="TableGrid"/>
        <w:tblW w:w="0" w:type="auto"/>
        <w:tblLook w:val="04A0" w:firstRow="1" w:lastRow="0" w:firstColumn="1" w:lastColumn="0" w:noHBand="0" w:noVBand="1"/>
      </w:tblPr>
      <w:tblGrid>
        <w:gridCol w:w="4322"/>
        <w:gridCol w:w="1547"/>
        <w:gridCol w:w="1409"/>
        <w:gridCol w:w="1012"/>
      </w:tblGrid>
      <w:tr w:rsidR="00BB78CD" w14:paraId="0083EA15" w14:textId="77777777" w:rsidTr="00BB78CD">
        <w:tc>
          <w:tcPr>
            <w:tcW w:w="4390" w:type="dxa"/>
            <w:vMerge w:val="restart"/>
          </w:tcPr>
          <w:p w14:paraId="2CEF2C21" w14:textId="63FDE507" w:rsidR="00BB78CD" w:rsidRPr="00BB78CD" w:rsidRDefault="00BB78CD" w:rsidP="00EA68B5">
            <w:pPr>
              <w:jc w:val="center"/>
              <w:rPr>
                <w:b/>
                <w:color w:val="FF0000"/>
              </w:rPr>
            </w:pPr>
            <w:r w:rsidRPr="00BB78CD">
              <w:rPr>
                <w:b/>
                <w:color w:val="FF0000"/>
              </w:rPr>
              <w:t>Crime</w:t>
            </w:r>
          </w:p>
        </w:tc>
        <w:tc>
          <w:tcPr>
            <w:tcW w:w="2976" w:type="dxa"/>
            <w:gridSpan w:val="2"/>
          </w:tcPr>
          <w:p w14:paraId="3F259A13" w14:textId="46CA5037" w:rsidR="00BB78CD" w:rsidRPr="00BB78CD" w:rsidRDefault="00BB78CD" w:rsidP="00EA68B5">
            <w:pPr>
              <w:jc w:val="center"/>
              <w:rPr>
                <w:b/>
                <w:color w:val="FF0000"/>
              </w:rPr>
            </w:pPr>
            <w:r w:rsidRPr="00BB78CD">
              <w:rPr>
                <w:b/>
                <w:color w:val="FF0000"/>
              </w:rPr>
              <w:t>Number &amp; % executed</w:t>
            </w:r>
          </w:p>
        </w:tc>
        <w:tc>
          <w:tcPr>
            <w:tcW w:w="924" w:type="dxa"/>
            <w:vMerge w:val="restart"/>
          </w:tcPr>
          <w:p w14:paraId="20949E26" w14:textId="61A28000" w:rsidR="00BB78CD" w:rsidRPr="00BB78CD" w:rsidRDefault="00BB78CD" w:rsidP="00EA68B5">
            <w:pPr>
              <w:jc w:val="center"/>
              <w:rPr>
                <w:b/>
                <w:color w:val="FF0000"/>
              </w:rPr>
            </w:pPr>
            <w:r w:rsidRPr="00BB78CD">
              <w:rPr>
                <w:b/>
                <w:color w:val="FF0000"/>
              </w:rPr>
              <w:t>Total</w:t>
            </w:r>
          </w:p>
        </w:tc>
      </w:tr>
      <w:tr w:rsidR="00BB78CD" w14:paraId="37DABA7B" w14:textId="77777777" w:rsidTr="00BB78CD">
        <w:tc>
          <w:tcPr>
            <w:tcW w:w="4390" w:type="dxa"/>
            <w:vMerge/>
          </w:tcPr>
          <w:p w14:paraId="5FB7C5AC" w14:textId="77777777" w:rsidR="00BB78CD" w:rsidRPr="00BB78CD" w:rsidRDefault="00BB78CD" w:rsidP="00EA68B5">
            <w:pPr>
              <w:jc w:val="center"/>
              <w:rPr>
                <w:b/>
                <w:color w:val="FF0000"/>
              </w:rPr>
            </w:pPr>
          </w:p>
        </w:tc>
        <w:tc>
          <w:tcPr>
            <w:tcW w:w="1559" w:type="dxa"/>
          </w:tcPr>
          <w:p w14:paraId="28275178" w14:textId="5A741CBB" w:rsidR="00BB78CD" w:rsidRPr="00BB78CD" w:rsidRDefault="00BB78CD" w:rsidP="00EA68B5">
            <w:pPr>
              <w:jc w:val="center"/>
              <w:rPr>
                <w:b/>
                <w:color w:val="FF0000"/>
              </w:rPr>
            </w:pPr>
            <w:r w:rsidRPr="00BB78CD">
              <w:rPr>
                <w:b/>
                <w:color w:val="FF0000"/>
              </w:rPr>
              <w:t>Male</w:t>
            </w:r>
          </w:p>
        </w:tc>
        <w:tc>
          <w:tcPr>
            <w:tcW w:w="1417" w:type="dxa"/>
          </w:tcPr>
          <w:p w14:paraId="076D42D0" w14:textId="337F081A" w:rsidR="00BB78CD" w:rsidRPr="00BB78CD" w:rsidRDefault="00BB78CD" w:rsidP="00EA68B5">
            <w:pPr>
              <w:jc w:val="center"/>
              <w:rPr>
                <w:b/>
                <w:color w:val="FF0000"/>
              </w:rPr>
            </w:pPr>
            <w:r w:rsidRPr="00BB78CD">
              <w:rPr>
                <w:b/>
                <w:color w:val="FF0000"/>
              </w:rPr>
              <w:t>Female</w:t>
            </w:r>
          </w:p>
        </w:tc>
        <w:tc>
          <w:tcPr>
            <w:tcW w:w="924" w:type="dxa"/>
            <w:vMerge/>
          </w:tcPr>
          <w:p w14:paraId="05A8CD5A" w14:textId="77777777" w:rsidR="00BB78CD" w:rsidRDefault="00BB78CD" w:rsidP="00EA68B5">
            <w:pPr>
              <w:jc w:val="center"/>
              <w:rPr>
                <w:color w:val="FF0000"/>
              </w:rPr>
            </w:pPr>
          </w:p>
        </w:tc>
      </w:tr>
      <w:tr w:rsidR="00BB78CD" w14:paraId="23354221" w14:textId="77777777" w:rsidTr="00BB78CD">
        <w:tc>
          <w:tcPr>
            <w:tcW w:w="4390" w:type="dxa"/>
          </w:tcPr>
          <w:p w14:paraId="5D30D0C8" w14:textId="338CFE63" w:rsidR="00BB78CD" w:rsidRDefault="00BB78CD" w:rsidP="00EA68B5">
            <w:pPr>
              <w:jc w:val="center"/>
              <w:rPr>
                <w:color w:val="FF0000"/>
              </w:rPr>
            </w:pPr>
            <w:r>
              <w:rPr>
                <w:color w:val="FF0000"/>
              </w:rPr>
              <w:t>Murder</w:t>
            </w:r>
          </w:p>
        </w:tc>
        <w:tc>
          <w:tcPr>
            <w:tcW w:w="1559" w:type="dxa"/>
          </w:tcPr>
          <w:p w14:paraId="00A047B9" w14:textId="77777777" w:rsidR="00BB78CD" w:rsidRDefault="00BB78CD" w:rsidP="00EA68B5">
            <w:pPr>
              <w:jc w:val="center"/>
              <w:rPr>
                <w:color w:val="FF0000"/>
              </w:rPr>
            </w:pPr>
            <w:r>
              <w:rPr>
                <w:color w:val="FF0000"/>
              </w:rPr>
              <w:t>49</w:t>
            </w:r>
          </w:p>
          <w:p w14:paraId="34C6692A" w14:textId="1FEC2B9F" w:rsidR="00BB78CD" w:rsidRDefault="00BB78CD" w:rsidP="00EA68B5">
            <w:pPr>
              <w:jc w:val="center"/>
              <w:rPr>
                <w:color w:val="FF0000"/>
              </w:rPr>
            </w:pPr>
            <w:r>
              <w:rPr>
                <w:color w:val="FF0000"/>
              </w:rPr>
              <w:t>(94%)</w:t>
            </w:r>
          </w:p>
        </w:tc>
        <w:tc>
          <w:tcPr>
            <w:tcW w:w="1417" w:type="dxa"/>
          </w:tcPr>
          <w:p w14:paraId="42523B12" w14:textId="77777777" w:rsidR="00BB78CD" w:rsidRDefault="00BB78CD" w:rsidP="00EA68B5">
            <w:pPr>
              <w:jc w:val="center"/>
              <w:rPr>
                <w:color w:val="FF0000"/>
              </w:rPr>
            </w:pPr>
            <w:r>
              <w:rPr>
                <w:color w:val="FF0000"/>
              </w:rPr>
              <w:t>3</w:t>
            </w:r>
          </w:p>
          <w:p w14:paraId="3ABD484D" w14:textId="67B0EB61" w:rsidR="00BB78CD" w:rsidRDefault="00BB78CD" w:rsidP="00EA68B5">
            <w:pPr>
              <w:jc w:val="center"/>
              <w:rPr>
                <w:color w:val="FF0000"/>
              </w:rPr>
            </w:pPr>
            <w:r>
              <w:rPr>
                <w:color w:val="FF0000"/>
              </w:rPr>
              <w:t>(6%)</w:t>
            </w:r>
          </w:p>
        </w:tc>
        <w:tc>
          <w:tcPr>
            <w:tcW w:w="924" w:type="dxa"/>
          </w:tcPr>
          <w:p w14:paraId="4D150661" w14:textId="77777777" w:rsidR="00BB78CD" w:rsidRPr="00BB78CD" w:rsidRDefault="00BB78CD" w:rsidP="00EA68B5">
            <w:pPr>
              <w:jc w:val="center"/>
              <w:rPr>
                <w:color w:val="FF0000"/>
              </w:rPr>
            </w:pPr>
            <w:r w:rsidRPr="00BB78CD">
              <w:rPr>
                <w:color w:val="FF0000"/>
              </w:rPr>
              <w:t>52</w:t>
            </w:r>
          </w:p>
          <w:p w14:paraId="0A8B75DC" w14:textId="3AA28F48" w:rsidR="00BB78CD" w:rsidRPr="00BB78CD" w:rsidRDefault="00BB78CD" w:rsidP="00EA68B5">
            <w:pPr>
              <w:jc w:val="center"/>
              <w:rPr>
                <w:color w:val="FF0000"/>
              </w:rPr>
            </w:pPr>
            <w:r w:rsidRPr="00BB78CD">
              <w:rPr>
                <w:color w:val="FF0000"/>
              </w:rPr>
              <w:t>(90%)</w:t>
            </w:r>
          </w:p>
        </w:tc>
      </w:tr>
      <w:tr w:rsidR="00BB78CD" w14:paraId="195CC24E" w14:textId="77777777" w:rsidTr="00BB78CD">
        <w:tc>
          <w:tcPr>
            <w:tcW w:w="4390" w:type="dxa"/>
          </w:tcPr>
          <w:p w14:paraId="4D36B139" w14:textId="4307E10D" w:rsidR="00BB78CD" w:rsidRDefault="00BB78CD" w:rsidP="00EA68B5">
            <w:pPr>
              <w:jc w:val="center"/>
              <w:rPr>
                <w:color w:val="FF0000"/>
              </w:rPr>
            </w:pPr>
            <w:r>
              <w:rPr>
                <w:color w:val="FF0000"/>
              </w:rPr>
              <w:t>Bestiality</w:t>
            </w:r>
          </w:p>
        </w:tc>
        <w:tc>
          <w:tcPr>
            <w:tcW w:w="1559" w:type="dxa"/>
          </w:tcPr>
          <w:p w14:paraId="6A07152C" w14:textId="77777777" w:rsidR="00BB78CD" w:rsidRDefault="00BB78CD" w:rsidP="00EA68B5">
            <w:pPr>
              <w:jc w:val="center"/>
              <w:rPr>
                <w:color w:val="FF0000"/>
              </w:rPr>
            </w:pPr>
            <w:r>
              <w:rPr>
                <w:color w:val="FF0000"/>
              </w:rPr>
              <w:t>2</w:t>
            </w:r>
          </w:p>
          <w:p w14:paraId="4639AB41" w14:textId="7C7FB2E0" w:rsidR="00BB78CD" w:rsidRDefault="00BB78CD" w:rsidP="00EA68B5">
            <w:pPr>
              <w:jc w:val="center"/>
              <w:rPr>
                <w:color w:val="FF0000"/>
              </w:rPr>
            </w:pPr>
            <w:r>
              <w:rPr>
                <w:color w:val="FF0000"/>
              </w:rPr>
              <w:t>(100%)</w:t>
            </w:r>
          </w:p>
        </w:tc>
        <w:tc>
          <w:tcPr>
            <w:tcW w:w="1417" w:type="dxa"/>
          </w:tcPr>
          <w:p w14:paraId="2D6BA465" w14:textId="193BCE56" w:rsidR="00BB78CD" w:rsidRDefault="00BB78CD" w:rsidP="00EA68B5">
            <w:pPr>
              <w:jc w:val="center"/>
              <w:rPr>
                <w:color w:val="FF0000"/>
              </w:rPr>
            </w:pPr>
            <w:r>
              <w:rPr>
                <w:color w:val="FF0000"/>
              </w:rPr>
              <w:t>0</w:t>
            </w:r>
          </w:p>
        </w:tc>
        <w:tc>
          <w:tcPr>
            <w:tcW w:w="924" w:type="dxa"/>
          </w:tcPr>
          <w:p w14:paraId="095F8C82" w14:textId="77777777" w:rsidR="00BB78CD" w:rsidRPr="00BB78CD" w:rsidRDefault="00BB78CD" w:rsidP="00EA68B5">
            <w:pPr>
              <w:jc w:val="center"/>
              <w:rPr>
                <w:color w:val="FF0000"/>
              </w:rPr>
            </w:pPr>
            <w:r w:rsidRPr="00BB78CD">
              <w:rPr>
                <w:color w:val="FF0000"/>
              </w:rPr>
              <w:t>2</w:t>
            </w:r>
          </w:p>
          <w:p w14:paraId="158E90FC" w14:textId="319E186A" w:rsidR="00BB78CD" w:rsidRPr="00BB78CD" w:rsidRDefault="00BB78CD" w:rsidP="00EA68B5">
            <w:pPr>
              <w:jc w:val="center"/>
              <w:rPr>
                <w:color w:val="FF0000"/>
              </w:rPr>
            </w:pPr>
            <w:r w:rsidRPr="00BB78CD">
              <w:rPr>
                <w:color w:val="FF0000"/>
              </w:rPr>
              <w:t>(3%)</w:t>
            </w:r>
          </w:p>
        </w:tc>
      </w:tr>
      <w:tr w:rsidR="00BB78CD" w14:paraId="75522673" w14:textId="77777777" w:rsidTr="00BB78CD">
        <w:tc>
          <w:tcPr>
            <w:tcW w:w="4390" w:type="dxa"/>
          </w:tcPr>
          <w:p w14:paraId="1696EB00" w14:textId="2CC429AE" w:rsidR="00BB78CD" w:rsidRDefault="00BB78CD" w:rsidP="00EA68B5">
            <w:pPr>
              <w:jc w:val="center"/>
              <w:rPr>
                <w:color w:val="FF0000"/>
              </w:rPr>
            </w:pPr>
            <w:r>
              <w:rPr>
                <w:color w:val="FF0000"/>
              </w:rPr>
              <w:t>Robbery</w:t>
            </w:r>
          </w:p>
        </w:tc>
        <w:tc>
          <w:tcPr>
            <w:tcW w:w="1559" w:type="dxa"/>
          </w:tcPr>
          <w:p w14:paraId="49FE4432" w14:textId="77777777" w:rsidR="00BB78CD" w:rsidRDefault="00BB78CD" w:rsidP="00EA68B5">
            <w:pPr>
              <w:jc w:val="center"/>
              <w:rPr>
                <w:color w:val="FF0000"/>
              </w:rPr>
            </w:pPr>
            <w:r>
              <w:rPr>
                <w:color w:val="FF0000"/>
              </w:rPr>
              <w:t>2</w:t>
            </w:r>
          </w:p>
          <w:p w14:paraId="36C22F79" w14:textId="0180E940" w:rsidR="00BB78CD" w:rsidRDefault="00BB78CD" w:rsidP="00EA68B5">
            <w:pPr>
              <w:jc w:val="center"/>
              <w:rPr>
                <w:color w:val="FF0000"/>
              </w:rPr>
            </w:pPr>
            <w:r>
              <w:rPr>
                <w:color w:val="FF0000"/>
              </w:rPr>
              <w:t>(100%)</w:t>
            </w:r>
          </w:p>
        </w:tc>
        <w:tc>
          <w:tcPr>
            <w:tcW w:w="1417" w:type="dxa"/>
          </w:tcPr>
          <w:p w14:paraId="52A411F1" w14:textId="266772DD" w:rsidR="00BB78CD" w:rsidRDefault="00BB78CD" w:rsidP="00EA68B5">
            <w:pPr>
              <w:jc w:val="center"/>
              <w:rPr>
                <w:color w:val="FF0000"/>
              </w:rPr>
            </w:pPr>
            <w:r>
              <w:rPr>
                <w:color w:val="FF0000"/>
              </w:rPr>
              <w:t>0</w:t>
            </w:r>
          </w:p>
        </w:tc>
        <w:tc>
          <w:tcPr>
            <w:tcW w:w="924" w:type="dxa"/>
          </w:tcPr>
          <w:p w14:paraId="191B7566" w14:textId="77777777" w:rsidR="00BB78CD" w:rsidRPr="00BB78CD" w:rsidRDefault="00BB78CD" w:rsidP="00EA68B5">
            <w:pPr>
              <w:jc w:val="center"/>
              <w:rPr>
                <w:color w:val="FF0000"/>
              </w:rPr>
            </w:pPr>
            <w:r w:rsidRPr="00BB78CD">
              <w:rPr>
                <w:color w:val="FF0000"/>
              </w:rPr>
              <w:t>2</w:t>
            </w:r>
          </w:p>
          <w:p w14:paraId="7B513459" w14:textId="4D738A31" w:rsidR="00BB78CD" w:rsidRPr="00BB78CD" w:rsidRDefault="00BB78CD" w:rsidP="00EA68B5">
            <w:pPr>
              <w:jc w:val="center"/>
              <w:rPr>
                <w:color w:val="FF0000"/>
              </w:rPr>
            </w:pPr>
            <w:r w:rsidRPr="00BB78CD">
              <w:rPr>
                <w:color w:val="FF0000"/>
              </w:rPr>
              <w:t>(3%)</w:t>
            </w:r>
          </w:p>
        </w:tc>
      </w:tr>
      <w:tr w:rsidR="00BB78CD" w14:paraId="1CBC4860" w14:textId="77777777" w:rsidTr="00BB78CD">
        <w:tc>
          <w:tcPr>
            <w:tcW w:w="4390" w:type="dxa"/>
          </w:tcPr>
          <w:p w14:paraId="6B9A0E2C" w14:textId="3A8AFFB7" w:rsidR="00BB78CD" w:rsidRDefault="00BB78CD" w:rsidP="00EA68B5">
            <w:pPr>
              <w:jc w:val="center"/>
              <w:rPr>
                <w:color w:val="FF0000"/>
              </w:rPr>
            </w:pPr>
            <w:r>
              <w:rPr>
                <w:color w:val="FF0000"/>
              </w:rPr>
              <w:t>Burglary</w:t>
            </w:r>
          </w:p>
        </w:tc>
        <w:tc>
          <w:tcPr>
            <w:tcW w:w="1559" w:type="dxa"/>
          </w:tcPr>
          <w:p w14:paraId="4980E097" w14:textId="77777777" w:rsidR="00BB78CD" w:rsidRDefault="00BB78CD" w:rsidP="00EA68B5">
            <w:pPr>
              <w:jc w:val="center"/>
              <w:rPr>
                <w:color w:val="FF0000"/>
              </w:rPr>
            </w:pPr>
            <w:r>
              <w:rPr>
                <w:color w:val="FF0000"/>
              </w:rPr>
              <w:t>1</w:t>
            </w:r>
          </w:p>
          <w:p w14:paraId="101EACB1" w14:textId="37439577" w:rsidR="00BB78CD" w:rsidRDefault="00BB78CD" w:rsidP="00EA68B5">
            <w:pPr>
              <w:jc w:val="center"/>
              <w:rPr>
                <w:color w:val="FF0000"/>
              </w:rPr>
            </w:pPr>
            <w:r>
              <w:rPr>
                <w:color w:val="FF0000"/>
              </w:rPr>
              <w:t>(100%)</w:t>
            </w:r>
          </w:p>
        </w:tc>
        <w:tc>
          <w:tcPr>
            <w:tcW w:w="1417" w:type="dxa"/>
          </w:tcPr>
          <w:p w14:paraId="03D3BBC6" w14:textId="69AE55E9" w:rsidR="00BB78CD" w:rsidRDefault="00BB78CD" w:rsidP="00EA68B5">
            <w:pPr>
              <w:jc w:val="center"/>
              <w:rPr>
                <w:color w:val="FF0000"/>
              </w:rPr>
            </w:pPr>
            <w:r>
              <w:rPr>
                <w:color w:val="FF0000"/>
              </w:rPr>
              <w:t>0</w:t>
            </w:r>
          </w:p>
        </w:tc>
        <w:tc>
          <w:tcPr>
            <w:tcW w:w="924" w:type="dxa"/>
          </w:tcPr>
          <w:p w14:paraId="64896638" w14:textId="77777777" w:rsidR="00BB78CD" w:rsidRPr="00BB78CD" w:rsidRDefault="00BB78CD" w:rsidP="00EA68B5">
            <w:pPr>
              <w:jc w:val="center"/>
              <w:rPr>
                <w:color w:val="FF0000"/>
              </w:rPr>
            </w:pPr>
            <w:r w:rsidRPr="00BB78CD">
              <w:rPr>
                <w:color w:val="FF0000"/>
              </w:rPr>
              <w:t>1</w:t>
            </w:r>
          </w:p>
          <w:p w14:paraId="6CD75A9E" w14:textId="06236C2E" w:rsidR="00BB78CD" w:rsidRPr="00BB78CD" w:rsidRDefault="00BB78CD" w:rsidP="00EA68B5">
            <w:pPr>
              <w:jc w:val="center"/>
              <w:rPr>
                <w:color w:val="FF0000"/>
              </w:rPr>
            </w:pPr>
            <w:r w:rsidRPr="00BB78CD">
              <w:rPr>
                <w:color w:val="FF0000"/>
              </w:rPr>
              <w:t>(2%)</w:t>
            </w:r>
          </w:p>
        </w:tc>
      </w:tr>
      <w:tr w:rsidR="00BB78CD" w14:paraId="3D6D60F3" w14:textId="77777777" w:rsidTr="00BB78CD">
        <w:tc>
          <w:tcPr>
            <w:tcW w:w="4390" w:type="dxa"/>
          </w:tcPr>
          <w:p w14:paraId="7E3150C8" w14:textId="7034DE5D" w:rsidR="00BB78CD" w:rsidRDefault="00BB78CD" w:rsidP="00EA68B5">
            <w:pPr>
              <w:jc w:val="center"/>
              <w:rPr>
                <w:color w:val="FF0000"/>
              </w:rPr>
            </w:pPr>
            <w:r>
              <w:rPr>
                <w:color w:val="FF0000"/>
              </w:rPr>
              <w:t>Rape</w:t>
            </w:r>
          </w:p>
        </w:tc>
        <w:tc>
          <w:tcPr>
            <w:tcW w:w="1559" w:type="dxa"/>
          </w:tcPr>
          <w:p w14:paraId="36C9BD7D" w14:textId="77777777" w:rsidR="00BB78CD" w:rsidRDefault="00BB78CD" w:rsidP="00EA68B5">
            <w:pPr>
              <w:jc w:val="center"/>
              <w:rPr>
                <w:color w:val="FF0000"/>
              </w:rPr>
            </w:pPr>
            <w:r>
              <w:rPr>
                <w:color w:val="FF0000"/>
              </w:rPr>
              <w:t>1</w:t>
            </w:r>
          </w:p>
          <w:p w14:paraId="44F4F48E" w14:textId="1C1DA020" w:rsidR="00BB78CD" w:rsidRDefault="00BB78CD" w:rsidP="00EA68B5">
            <w:pPr>
              <w:jc w:val="center"/>
              <w:rPr>
                <w:color w:val="FF0000"/>
              </w:rPr>
            </w:pPr>
            <w:r>
              <w:rPr>
                <w:color w:val="FF0000"/>
              </w:rPr>
              <w:t>(100%)</w:t>
            </w:r>
          </w:p>
        </w:tc>
        <w:tc>
          <w:tcPr>
            <w:tcW w:w="1417" w:type="dxa"/>
          </w:tcPr>
          <w:p w14:paraId="0456B4A5" w14:textId="6022AC60" w:rsidR="00BB78CD" w:rsidRDefault="00BB78CD" w:rsidP="00EA68B5">
            <w:pPr>
              <w:jc w:val="center"/>
              <w:rPr>
                <w:color w:val="FF0000"/>
              </w:rPr>
            </w:pPr>
            <w:r>
              <w:rPr>
                <w:color w:val="FF0000"/>
              </w:rPr>
              <w:t>0</w:t>
            </w:r>
          </w:p>
        </w:tc>
        <w:tc>
          <w:tcPr>
            <w:tcW w:w="924" w:type="dxa"/>
          </w:tcPr>
          <w:p w14:paraId="17F9E187" w14:textId="77777777" w:rsidR="00BB78CD" w:rsidRPr="00BB78CD" w:rsidRDefault="00BB78CD" w:rsidP="00EA68B5">
            <w:pPr>
              <w:jc w:val="center"/>
              <w:rPr>
                <w:color w:val="FF0000"/>
              </w:rPr>
            </w:pPr>
            <w:r w:rsidRPr="00BB78CD">
              <w:rPr>
                <w:color w:val="FF0000"/>
              </w:rPr>
              <w:t>1</w:t>
            </w:r>
          </w:p>
          <w:p w14:paraId="0D5CD53E" w14:textId="684DB016" w:rsidR="00BB78CD" w:rsidRPr="00BB78CD" w:rsidRDefault="00BB78CD" w:rsidP="00EA68B5">
            <w:pPr>
              <w:jc w:val="center"/>
              <w:rPr>
                <w:color w:val="FF0000"/>
              </w:rPr>
            </w:pPr>
            <w:r w:rsidRPr="00BB78CD">
              <w:rPr>
                <w:color w:val="FF0000"/>
              </w:rPr>
              <w:t>(2%)</w:t>
            </w:r>
          </w:p>
        </w:tc>
      </w:tr>
      <w:tr w:rsidR="00BB78CD" w14:paraId="42C0317F" w14:textId="77777777" w:rsidTr="00BB78CD">
        <w:tc>
          <w:tcPr>
            <w:tcW w:w="4390" w:type="dxa"/>
          </w:tcPr>
          <w:p w14:paraId="6899931C" w14:textId="74773448" w:rsidR="00BB78CD" w:rsidRPr="00BB78CD" w:rsidRDefault="00BB78CD" w:rsidP="00EA68B5">
            <w:pPr>
              <w:jc w:val="right"/>
              <w:rPr>
                <w:b/>
                <w:color w:val="FF0000"/>
              </w:rPr>
            </w:pPr>
            <w:r w:rsidRPr="00BB78CD">
              <w:rPr>
                <w:b/>
                <w:color w:val="FF0000"/>
              </w:rPr>
              <w:t>Total</w:t>
            </w:r>
          </w:p>
        </w:tc>
        <w:tc>
          <w:tcPr>
            <w:tcW w:w="1559" w:type="dxa"/>
          </w:tcPr>
          <w:p w14:paraId="10FD5C6E" w14:textId="77777777" w:rsidR="00BB78CD" w:rsidRDefault="00BB78CD" w:rsidP="00EA68B5">
            <w:pPr>
              <w:jc w:val="center"/>
              <w:rPr>
                <w:color w:val="FF0000"/>
              </w:rPr>
            </w:pPr>
            <w:r>
              <w:rPr>
                <w:color w:val="FF0000"/>
              </w:rPr>
              <w:t>55</w:t>
            </w:r>
          </w:p>
          <w:p w14:paraId="66AD8451" w14:textId="62CFA1A7" w:rsidR="00BB78CD" w:rsidRDefault="00BB78CD" w:rsidP="00EA68B5">
            <w:pPr>
              <w:jc w:val="center"/>
              <w:rPr>
                <w:color w:val="FF0000"/>
              </w:rPr>
            </w:pPr>
            <w:r>
              <w:rPr>
                <w:color w:val="FF0000"/>
              </w:rPr>
              <w:t>(96%)</w:t>
            </w:r>
          </w:p>
        </w:tc>
        <w:tc>
          <w:tcPr>
            <w:tcW w:w="1417" w:type="dxa"/>
          </w:tcPr>
          <w:p w14:paraId="52797EA0" w14:textId="77777777" w:rsidR="00BB78CD" w:rsidRDefault="00BB78CD" w:rsidP="00EA68B5">
            <w:pPr>
              <w:jc w:val="center"/>
              <w:rPr>
                <w:color w:val="FF0000"/>
              </w:rPr>
            </w:pPr>
            <w:r>
              <w:rPr>
                <w:color w:val="FF0000"/>
              </w:rPr>
              <w:t>3</w:t>
            </w:r>
          </w:p>
          <w:p w14:paraId="29BA0DE4" w14:textId="19FB9CBD" w:rsidR="00BB78CD" w:rsidRDefault="00BB78CD" w:rsidP="00EA68B5">
            <w:pPr>
              <w:jc w:val="center"/>
              <w:rPr>
                <w:color w:val="FF0000"/>
              </w:rPr>
            </w:pPr>
            <w:r>
              <w:rPr>
                <w:color w:val="FF0000"/>
              </w:rPr>
              <w:t>(4%)</w:t>
            </w:r>
          </w:p>
        </w:tc>
        <w:tc>
          <w:tcPr>
            <w:tcW w:w="924" w:type="dxa"/>
          </w:tcPr>
          <w:p w14:paraId="0769371A" w14:textId="77777777" w:rsidR="00BB78CD" w:rsidRPr="00BB78CD" w:rsidRDefault="00BB78CD" w:rsidP="00EA68B5">
            <w:pPr>
              <w:jc w:val="center"/>
              <w:rPr>
                <w:color w:val="FF0000"/>
              </w:rPr>
            </w:pPr>
            <w:r w:rsidRPr="00BB78CD">
              <w:rPr>
                <w:color w:val="FF0000"/>
              </w:rPr>
              <w:t>58</w:t>
            </w:r>
          </w:p>
          <w:p w14:paraId="61B39DF9" w14:textId="6A73A4A1" w:rsidR="00BB78CD" w:rsidRPr="00BB78CD" w:rsidRDefault="00BB78CD" w:rsidP="00EA68B5">
            <w:pPr>
              <w:jc w:val="center"/>
              <w:rPr>
                <w:color w:val="FF0000"/>
              </w:rPr>
            </w:pPr>
            <w:r w:rsidRPr="00BB78CD">
              <w:rPr>
                <w:color w:val="FF0000"/>
              </w:rPr>
              <w:t>(100%)</w:t>
            </w:r>
          </w:p>
        </w:tc>
      </w:tr>
    </w:tbl>
    <w:p w14:paraId="35582F2D" w14:textId="32B4BF53" w:rsidR="00BB78CD" w:rsidRDefault="00594B96" w:rsidP="00EA68B5">
      <w:pPr>
        <w:jc w:val="both"/>
        <w:rPr>
          <w:color w:val="FF0000"/>
        </w:rPr>
      </w:pPr>
      <w:r w:rsidRPr="00594B96">
        <w:rPr>
          <w:b/>
          <w:color w:val="FF0000"/>
        </w:rPr>
        <w:t>Figure 2:</w:t>
      </w:r>
      <w:r>
        <w:rPr>
          <w:color w:val="FF0000"/>
        </w:rPr>
        <w:t xml:space="preserve"> the crimes for which capitally convicted felons were executed in Lancashire, 1830-1868.</w:t>
      </w:r>
    </w:p>
    <w:p w14:paraId="2D2E7D24" w14:textId="77777777" w:rsidR="00EA68B5" w:rsidRDefault="00EA68B5" w:rsidP="006A28FC">
      <w:pPr>
        <w:spacing w:line="480" w:lineRule="auto"/>
        <w:jc w:val="both"/>
        <w:rPr>
          <w:color w:val="FF0000"/>
        </w:rPr>
      </w:pPr>
    </w:p>
    <w:p w14:paraId="0942D57D" w14:textId="796514BB" w:rsidR="00BB78CD" w:rsidRDefault="00BB78CD" w:rsidP="006A28FC">
      <w:pPr>
        <w:spacing w:line="480" w:lineRule="auto"/>
        <w:jc w:val="both"/>
        <w:rPr>
          <w:color w:val="FF0000"/>
        </w:rPr>
      </w:pPr>
      <w:r>
        <w:rPr>
          <w:color w:val="FF0000"/>
        </w:rPr>
        <w:t xml:space="preserve">The majority of those executed were male. Over the thirty-eight year period, only three women were executed in Lancashire, all of whom had been convicted of murdering an intimate relation. Males were executed for a larger range of crimes; while most had similarly been convicted of murder, two had been convicted of robbery, two of rape, one of robbery and rape. The last execution in the county for a property crime was in 1831 (brothers John and Thomas Mulvay for robbery), and the last for a crime other than murder was in 1834 (John Heyes for rape) This state of affairs was not out of step with patterns of capital convictions and executions across England; even during the height of the Bloody Code, the </w:t>
      </w:r>
      <w:r>
        <w:rPr>
          <w:color w:val="FF0000"/>
        </w:rPr>
        <w:lastRenderedPageBreak/>
        <w:t>majority of those who hanged were male and</w:t>
      </w:r>
      <w:r w:rsidR="001B1530">
        <w:rPr>
          <w:color w:val="FF0000"/>
        </w:rPr>
        <w:t>, particularly in the provinces,</w:t>
      </w:r>
      <w:r>
        <w:rPr>
          <w:color w:val="FF0000"/>
        </w:rPr>
        <w:t xml:space="preserve"> the gallows were typically only reserved for women who killed.</w:t>
      </w:r>
      <w:r w:rsidR="00725234">
        <w:rPr>
          <w:rStyle w:val="EndnoteReference"/>
          <w:color w:val="FF0000"/>
        </w:rPr>
        <w:endnoteReference w:id="13"/>
      </w:r>
      <w:r>
        <w:rPr>
          <w:color w:val="FF0000"/>
        </w:rPr>
        <w:t xml:space="preserve"> </w:t>
      </w:r>
    </w:p>
    <w:p w14:paraId="171C4FF8" w14:textId="77777777" w:rsidR="00725234" w:rsidRDefault="00725234" w:rsidP="006A28FC">
      <w:pPr>
        <w:spacing w:line="480" w:lineRule="auto"/>
        <w:jc w:val="both"/>
        <w:rPr>
          <w:color w:val="FF0000"/>
        </w:rPr>
      </w:pPr>
    </w:p>
    <w:p w14:paraId="4487D7D2" w14:textId="58F409D3" w:rsidR="00DA0739" w:rsidRDefault="00594B96" w:rsidP="00DA0739">
      <w:pPr>
        <w:spacing w:line="480" w:lineRule="auto"/>
        <w:ind w:firstLine="720"/>
        <w:jc w:val="both"/>
        <w:rPr>
          <w:color w:val="FF0000"/>
        </w:rPr>
      </w:pPr>
      <w:r>
        <w:rPr>
          <w:color w:val="FF0000"/>
        </w:rPr>
        <w:t>Lancashire was selected for analysis for two main reasons. Primarily, there were a relatively large number of executions carried out in the county, each one generating articles and commentary. Indeed, since at least the eighteenth century, the Lancaster assizes had been known as ‘the hanging court’. Second, four newspapers representing liberal and conservative positions with complete runs for the period were available for analysis</w:t>
      </w:r>
      <w:r w:rsidR="00374E43">
        <w:rPr>
          <w:color w:val="FF0000"/>
        </w:rPr>
        <w:t xml:space="preserve">; the </w:t>
      </w:r>
      <w:r w:rsidR="00F6556B">
        <w:rPr>
          <w:color w:val="FF0000"/>
        </w:rPr>
        <w:t xml:space="preserve">four newspapers </w:t>
      </w:r>
      <w:r w:rsidR="00374E43">
        <w:rPr>
          <w:color w:val="FF0000"/>
        </w:rPr>
        <w:t>being</w:t>
      </w:r>
      <w:r w:rsidR="00F6556B">
        <w:rPr>
          <w:color w:val="FF0000"/>
        </w:rPr>
        <w:t xml:space="preserve"> published in the three cities in the county where executions took place during the period. </w:t>
      </w:r>
      <w:r w:rsidR="00F6556B">
        <w:t xml:space="preserve">The four Lancashire newspapers were sampled from the online British Newspaper archive; the conservative </w:t>
      </w:r>
      <w:r w:rsidR="00F6556B" w:rsidRPr="001821C1">
        <w:rPr>
          <w:i/>
        </w:rPr>
        <w:t>Lancaster Gazette</w:t>
      </w:r>
      <w:r w:rsidR="00F6556B">
        <w:t xml:space="preserve"> and </w:t>
      </w:r>
      <w:r w:rsidR="00F6556B" w:rsidRPr="001821C1">
        <w:rPr>
          <w:i/>
        </w:rPr>
        <w:t>Manchester Courier</w:t>
      </w:r>
      <w:r w:rsidR="00F6556B">
        <w:t xml:space="preserve"> and the liberal </w:t>
      </w:r>
      <w:r w:rsidR="00F6556B" w:rsidRPr="001821C1">
        <w:rPr>
          <w:i/>
        </w:rPr>
        <w:t xml:space="preserve">Manchester </w:t>
      </w:r>
      <w:r w:rsidR="00956C1B">
        <w:rPr>
          <w:i/>
        </w:rPr>
        <w:t>Times</w:t>
      </w:r>
      <w:r w:rsidR="00F6556B">
        <w:rPr>
          <w:i/>
        </w:rPr>
        <w:t xml:space="preserve"> </w:t>
      </w:r>
      <w:r w:rsidR="00F6556B">
        <w:t xml:space="preserve">and </w:t>
      </w:r>
      <w:r w:rsidR="00F6556B" w:rsidRPr="00DF35F8">
        <w:rPr>
          <w:i/>
        </w:rPr>
        <w:t>Liverpool Mercury</w:t>
      </w:r>
      <w:r w:rsidR="00F6556B">
        <w:t>.</w:t>
      </w:r>
      <w:r w:rsidR="00F6556B">
        <w:rPr>
          <w:rStyle w:val="EndnoteReference"/>
        </w:rPr>
        <w:endnoteReference w:id="14"/>
      </w:r>
      <w:r w:rsidR="00F6556B">
        <w:t xml:space="preserve"> </w:t>
      </w:r>
      <w:r w:rsidR="00446DF3">
        <w:rPr>
          <w:color w:val="FF0000"/>
        </w:rPr>
        <w:t>Both Tulloch and Walliss compared the representations of executions in newspapers of different political positions, and the present research sought to develop this approach by utilising two liberal and two conservative newspapers. In doing so, it was hoped</w:t>
      </w:r>
      <w:r w:rsidR="00F6556B">
        <w:rPr>
          <w:color w:val="FF0000"/>
        </w:rPr>
        <w:t xml:space="preserve"> that it would be possible to </w:t>
      </w:r>
      <w:r w:rsidR="00446DF3">
        <w:rPr>
          <w:color w:val="FF0000"/>
        </w:rPr>
        <w:t>explore differences within – as well as between - each position.</w:t>
      </w:r>
      <w:r w:rsidR="00DA0739">
        <w:t xml:space="preserve"> </w:t>
      </w:r>
      <w:r w:rsidR="001821C1" w:rsidRPr="001821C1">
        <w:t xml:space="preserve">Not all </w:t>
      </w:r>
      <w:r w:rsidR="001821C1">
        <w:t xml:space="preserve">of the </w:t>
      </w:r>
      <w:r w:rsidR="001821C1" w:rsidRPr="001821C1">
        <w:t xml:space="preserve">execution reports from the four newspapers could be traced, with between four and nine of the possible </w:t>
      </w:r>
      <w:r w:rsidR="00DA0739">
        <w:t>forty-three</w:t>
      </w:r>
      <w:r w:rsidR="001821C1" w:rsidRPr="001821C1">
        <w:t xml:space="preserve"> </w:t>
      </w:r>
      <w:r w:rsidR="0075753F">
        <w:t xml:space="preserve">execution </w:t>
      </w:r>
      <w:r w:rsidR="001821C1" w:rsidRPr="001821C1">
        <w:t xml:space="preserve">reports in each newspaper </w:t>
      </w:r>
      <w:r w:rsidR="001821C1">
        <w:t xml:space="preserve">either being missing, not able to be traced or illegible (for example, with a crease through a page). </w:t>
      </w:r>
      <w:r w:rsidR="00DA0739" w:rsidRPr="00DA0739">
        <w:rPr>
          <w:color w:val="FF0000"/>
        </w:rPr>
        <w:t>The details of each newspaper as well as the number of articles sampled in each is shown in figure 3:</w:t>
      </w:r>
    </w:p>
    <w:p w14:paraId="6B83A37E" w14:textId="77777777" w:rsidR="00EA68B5" w:rsidRDefault="00EA68B5" w:rsidP="00DA0739">
      <w:pPr>
        <w:spacing w:line="480" w:lineRule="auto"/>
        <w:ind w:firstLine="720"/>
        <w:jc w:val="both"/>
        <w:rPr>
          <w:color w:val="FF0000"/>
        </w:rPr>
      </w:pPr>
    </w:p>
    <w:tbl>
      <w:tblPr>
        <w:tblStyle w:val="TableGrid"/>
        <w:tblW w:w="0" w:type="auto"/>
        <w:tblLayout w:type="fixed"/>
        <w:tblLook w:val="04A0" w:firstRow="1" w:lastRow="0" w:firstColumn="1" w:lastColumn="0" w:noHBand="0" w:noVBand="1"/>
      </w:tblPr>
      <w:tblGrid>
        <w:gridCol w:w="1526"/>
        <w:gridCol w:w="2693"/>
        <w:gridCol w:w="1418"/>
        <w:gridCol w:w="1559"/>
        <w:gridCol w:w="1320"/>
      </w:tblGrid>
      <w:tr w:rsidR="00691315" w14:paraId="1E85E195" w14:textId="77777777" w:rsidTr="00FA189C">
        <w:tc>
          <w:tcPr>
            <w:tcW w:w="1526" w:type="dxa"/>
          </w:tcPr>
          <w:p w14:paraId="385DEF81" w14:textId="0258B329" w:rsidR="00DA0739" w:rsidRPr="00EA68B5" w:rsidRDefault="00DA0739" w:rsidP="00FA189C">
            <w:pPr>
              <w:jc w:val="center"/>
              <w:rPr>
                <w:b/>
                <w:color w:val="FF0000"/>
              </w:rPr>
            </w:pPr>
            <w:r w:rsidRPr="00EA68B5">
              <w:rPr>
                <w:b/>
                <w:color w:val="FF0000"/>
              </w:rPr>
              <w:t>Newspaper</w:t>
            </w:r>
          </w:p>
        </w:tc>
        <w:tc>
          <w:tcPr>
            <w:tcW w:w="2693" w:type="dxa"/>
          </w:tcPr>
          <w:p w14:paraId="06B9FF75" w14:textId="191DB4CA" w:rsidR="00DA0739" w:rsidRPr="00EA68B5" w:rsidRDefault="00FA189C" w:rsidP="00FA189C">
            <w:pPr>
              <w:jc w:val="center"/>
              <w:rPr>
                <w:b/>
                <w:color w:val="FF0000"/>
              </w:rPr>
            </w:pPr>
            <w:r>
              <w:rPr>
                <w:b/>
                <w:color w:val="FF0000"/>
              </w:rPr>
              <w:t>Frequency</w:t>
            </w:r>
          </w:p>
        </w:tc>
        <w:tc>
          <w:tcPr>
            <w:tcW w:w="1418" w:type="dxa"/>
          </w:tcPr>
          <w:p w14:paraId="2889EBF2" w14:textId="566D6123" w:rsidR="00DA0739" w:rsidRPr="00EA68B5" w:rsidRDefault="00DA0739" w:rsidP="00FA189C">
            <w:pPr>
              <w:jc w:val="center"/>
              <w:rPr>
                <w:b/>
                <w:color w:val="FF0000"/>
              </w:rPr>
            </w:pPr>
            <w:r w:rsidRPr="00EA68B5">
              <w:rPr>
                <w:b/>
                <w:color w:val="FF0000"/>
              </w:rPr>
              <w:t>Price</w:t>
            </w:r>
            <w:r w:rsidR="000F4F1D">
              <w:rPr>
                <w:b/>
                <w:color w:val="FF0000"/>
              </w:rPr>
              <w:t xml:space="preserve"> (d)</w:t>
            </w:r>
          </w:p>
        </w:tc>
        <w:tc>
          <w:tcPr>
            <w:tcW w:w="1559" w:type="dxa"/>
          </w:tcPr>
          <w:p w14:paraId="4AED89EA" w14:textId="052FE464" w:rsidR="00DA0739" w:rsidRDefault="00DA0739" w:rsidP="00FA189C">
            <w:pPr>
              <w:jc w:val="center"/>
              <w:rPr>
                <w:b/>
                <w:color w:val="FF0000"/>
              </w:rPr>
            </w:pPr>
            <w:r w:rsidRPr="00EA68B5">
              <w:rPr>
                <w:b/>
                <w:color w:val="FF0000"/>
              </w:rPr>
              <w:t>Circulation</w:t>
            </w:r>
          </w:p>
          <w:p w14:paraId="4E2D5E7B" w14:textId="743F13DF" w:rsidR="00FA189C" w:rsidRPr="00EA68B5" w:rsidRDefault="00FA189C" w:rsidP="00FA189C">
            <w:pPr>
              <w:jc w:val="center"/>
              <w:rPr>
                <w:b/>
                <w:color w:val="FF0000"/>
              </w:rPr>
            </w:pPr>
            <w:r>
              <w:rPr>
                <w:b/>
                <w:color w:val="FF0000"/>
              </w:rPr>
              <w:t>(1853)</w:t>
            </w:r>
            <w:r>
              <w:rPr>
                <w:rStyle w:val="EndnoteReference"/>
                <w:b/>
                <w:color w:val="FF0000"/>
              </w:rPr>
              <w:endnoteReference w:id="15"/>
            </w:r>
          </w:p>
        </w:tc>
        <w:tc>
          <w:tcPr>
            <w:tcW w:w="1320" w:type="dxa"/>
          </w:tcPr>
          <w:p w14:paraId="7D9C53DF" w14:textId="77777777" w:rsidR="00DA0739" w:rsidRDefault="00DA0739" w:rsidP="00FA189C">
            <w:pPr>
              <w:jc w:val="center"/>
              <w:rPr>
                <w:b/>
                <w:color w:val="FF0000"/>
              </w:rPr>
            </w:pPr>
            <w:r w:rsidRPr="00EA68B5">
              <w:rPr>
                <w:b/>
                <w:color w:val="FF0000"/>
              </w:rPr>
              <w:t xml:space="preserve">Number of </w:t>
            </w:r>
            <w:r w:rsidRPr="00EA68B5">
              <w:rPr>
                <w:b/>
                <w:color w:val="FF0000"/>
              </w:rPr>
              <w:lastRenderedPageBreak/>
              <w:t>Articles sampled</w:t>
            </w:r>
          </w:p>
          <w:p w14:paraId="3D8E7E09" w14:textId="54A45C0E" w:rsidR="00FA189C" w:rsidRPr="00EA68B5" w:rsidRDefault="00FA189C" w:rsidP="00FA189C">
            <w:pPr>
              <w:jc w:val="center"/>
              <w:rPr>
                <w:b/>
                <w:color w:val="FF0000"/>
              </w:rPr>
            </w:pPr>
            <w:r>
              <w:rPr>
                <w:b/>
                <w:color w:val="FF0000"/>
              </w:rPr>
              <w:t>(n=43)</w:t>
            </w:r>
          </w:p>
        </w:tc>
      </w:tr>
      <w:tr w:rsidR="00691315" w14:paraId="45676B7B" w14:textId="77777777" w:rsidTr="00FA189C">
        <w:tc>
          <w:tcPr>
            <w:tcW w:w="1526" w:type="dxa"/>
          </w:tcPr>
          <w:p w14:paraId="112BE175" w14:textId="5C0D10D6" w:rsidR="00DA0739" w:rsidRDefault="00691315" w:rsidP="00EA68B5">
            <w:pPr>
              <w:jc w:val="both"/>
              <w:rPr>
                <w:color w:val="FF0000"/>
              </w:rPr>
            </w:pPr>
            <w:r w:rsidRPr="00691315">
              <w:rPr>
                <w:i/>
                <w:color w:val="FF0000"/>
              </w:rPr>
              <w:lastRenderedPageBreak/>
              <w:t>Lancaster Gazette</w:t>
            </w:r>
            <w:r>
              <w:rPr>
                <w:color w:val="FF0000"/>
              </w:rPr>
              <w:t xml:space="preserve"> (Cons)</w:t>
            </w:r>
          </w:p>
        </w:tc>
        <w:tc>
          <w:tcPr>
            <w:tcW w:w="2693" w:type="dxa"/>
          </w:tcPr>
          <w:p w14:paraId="5B74EE30" w14:textId="051AFA25" w:rsidR="00DF1997" w:rsidRDefault="00DF1997" w:rsidP="00EA68B5">
            <w:pPr>
              <w:jc w:val="both"/>
              <w:rPr>
                <w:color w:val="FF0000"/>
              </w:rPr>
            </w:pPr>
            <w:r>
              <w:rPr>
                <w:color w:val="FF0000"/>
              </w:rPr>
              <w:t xml:space="preserve"> </w:t>
            </w:r>
            <w:r w:rsidR="000F4F1D">
              <w:rPr>
                <w:color w:val="FF0000"/>
              </w:rPr>
              <w:t>Weekly</w:t>
            </w:r>
            <w:r w:rsidR="007670FC">
              <w:rPr>
                <w:color w:val="FF0000"/>
              </w:rPr>
              <w:t xml:space="preserve"> (Sat)</w:t>
            </w:r>
          </w:p>
        </w:tc>
        <w:tc>
          <w:tcPr>
            <w:tcW w:w="1418" w:type="dxa"/>
          </w:tcPr>
          <w:p w14:paraId="617C3EAA" w14:textId="1F271334" w:rsidR="00DA0739" w:rsidRDefault="000F4F1D" w:rsidP="00EA68B5">
            <w:pPr>
              <w:jc w:val="both"/>
              <w:rPr>
                <w:color w:val="FF0000"/>
              </w:rPr>
            </w:pPr>
            <w:r>
              <w:rPr>
                <w:color w:val="FF0000"/>
              </w:rPr>
              <w:t>7 (1830)</w:t>
            </w:r>
          </w:p>
          <w:p w14:paraId="2FE2997B" w14:textId="1133EB7C" w:rsidR="000F4F1D" w:rsidRDefault="008843E3" w:rsidP="000F4F1D">
            <w:pPr>
              <w:jc w:val="both"/>
              <w:rPr>
                <w:color w:val="FF0000"/>
              </w:rPr>
            </w:pPr>
            <w:r>
              <w:rPr>
                <w:color w:val="FF0000"/>
              </w:rPr>
              <w:t>2</w:t>
            </w:r>
            <w:r w:rsidR="000F4F1D">
              <w:rPr>
                <w:color w:val="FF0000"/>
              </w:rPr>
              <w:t>½(1868)</w:t>
            </w:r>
          </w:p>
        </w:tc>
        <w:tc>
          <w:tcPr>
            <w:tcW w:w="1559" w:type="dxa"/>
          </w:tcPr>
          <w:p w14:paraId="2326C8B2" w14:textId="1B0B1D09" w:rsidR="00DA0739" w:rsidRDefault="00FA189C" w:rsidP="00EA68B5">
            <w:pPr>
              <w:jc w:val="both"/>
              <w:rPr>
                <w:color w:val="FF0000"/>
              </w:rPr>
            </w:pPr>
            <w:r>
              <w:rPr>
                <w:color w:val="FF0000"/>
              </w:rPr>
              <w:t>35,500</w:t>
            </w:r>
          </w:p>
        </w:tc>
        <w:tc>
          <w:tcPr>
            <w:tcW w:w="1320" w:type="dxa"/>
          </w:tcPr>
          <w:p w14:paraId="21EE134E" w14:textId="2155E932" w:rsidR="00DA0739" w:rsidRDefault="00691315" w:rsidP="00EA68B5">
            <w:pPr>
              <w:jc w:val="center"/>
              <w:rPr>
                <w:color w:val="FF0000"/>
              </w:rPr>
            </w:pPr>
            <w:r>
              <w:rPr>
                <w:color w:val="FF0000"/>
              </w:rPr>
              <w:t>37</w:t>
            </w:r>
          </w:p>
        </w:tc>
      </w:tr>
      <w:tr w:rsidR="00691315" w14:paraId="1D1C79C6" w14:textId="77777777" w:rsidTr="00FA189C">
        <w:tc>
          <w:tcPr>
            <w:tcW w:w="1526" w:type="dxa"/>
          </w:tcPr>
          <w:p w14:paraId="2B9326DA" w14:textId="767CE090" w:rsidR="00DA0739" w:rsidRDefault="00691315" w:rsidP="00EA68B5">
            <w:pPr>
              <w:jc w:val="both"/>
              <w:rPr>
                <w:color w:val="FF0000"/>
              </w:rPr>
            </w:pPr>
            <w:r w:rsidRPr="00691315">
              <w:rPr>
                <w:i/>
                <w:color w:val="FF0000"/>
              </w:rPr>
              <w:t>Manchester Courier</w:t>
            </w:r>
            <w:r>
              <w:rPr>
                <w:color w:val="FF0000"/>
              </w:rPr>
              <w:t xml:space="preserve"> (Cons)</w:t>
            </w:r>
          </w:p>
        </w:tc>
        <w:tc>
          <w:tcPr>
            <w:tcW w:w="2693" w:type="dxa"/>
          </w:tcPr>
          <w:p w14:paraId="1E03461F" w14:textId="77777777" w:rsidR="00DA0739" w:rsidRDefault="008A0389" w:rsidP="00EA68B5">
            <w:pPr>
              <w:jc w:val="both"/>
              <w:rPr>
                <w:color w:val="FF0000"/>
              </w:rPr>
            </w:pPr>
            <w:r>
              <w:rPr>
                <w:color w:val="FF0000"/>
              </w:rPr>
              <w:t>1830-63: weekly (Sat)</w:t>
            </w:r>
          </w:p>
          <w:p w14:paraId="47463284" w14:textId="5B79A343" w:rsidR="008A0389" w:rsidRDefault="008A0389" w:rsidP="00EA68B5">
            <w:pPr>
              <w:jc w:val="both"/>
              <w:rPr>
                <w:color w:val="FF0000"/>
              </w:rPr>
            </w:pPr>
            <w:r>
              <w:rPr>
                <w:color w:val="FF0000"/>
              </w:rPr>
              <w:t>1864-8: Mon-Sat</w:t>
            </w:r>
          </w:p>
        </w:tc>
        <w:tc>
          <w:tcPr>
            <w:tcW w:w="1418" w:type="dxa"/>
          </w:tcPr>
          <w:p w14:paraId="3D7DBB4C" w14:textId="77777777" w:rsidR="00DA0739" w:rsidRDefault="008A0389" w:rsidP="00EA68B5">
            <w:pPr>
              <w:jc w:val="both"/>
              <w:rPr>
                <w:color w:val="FF0000"/>
              </w:rPr>
            </w:pPr>
            <w:r>
              <w:rPr>
                <w:color w:val="FF0000"/>
              </w:rPr>
              <w:t>7 (1830)</w:t>
            </w:r>
          </w:p>
          <w:p w14:paraId="6B0CCA11" w14:textId="1B87167F" w:rsidR="008A0389" w:rsidRDefault="008A0389" w:rsidP="00EA68B5">
            <w:pPr>
              <w:jc w:val="both"/>
              <w:rPr>
                <w:color w:val="FF0000"/>
              </w:rPr>
            </w:pPr>
            <w:r>
              <w:rPr>
                <w:color w:val="FF0000"/>
              </w:rPr>
              <w:t>1 (1868)</w:t>
            </w:r>
          </w:p>
        </w:tc>
        <w:tc>
          <w:tcPr>
            <w:tcW w:w="1559" w:type="dxa"/>
          </w:tcPr>
          <w:p w14:paraId="64B0DF64" w14:textId="195989E0" w:rsidR="00DA0739" w:rsidRDefault="00FA189C" w:rsidP="00EA68B5">
            <w:pPr>
              <w:jc w:val="both"/>
              <w:rPr>
                <w:color w:val="FF0000"/>
              </w:rPr>
            </w:pPr>
            <w:r>
              <w:rPr>
                <w:color w:val="FF0000"/>
              </w:rPr>
              <w:t>263,000</w:t>
            </w:r>
          </w:p>
        </w:tc>
        <w:tc>
          <w:tcPr>
            <w:tcW w:w="1320" w:type="dxa"/>
          </w:tcPr>
          <w:p w14:paraId="7076EAD9" w14:textId="499B4E54" w:rsidR="00DA0739" w:rsidRDefault="00691315" w:rsidP="00EA68B5">
            <w:pPr>
              <w:jc w:val="center"/>
              <w:rPr>
                <w:color w:val="FF0000"/>
              </w:rPr>
            </w:pPr>
            <w:r>
              <w:rPr>
                <w:color w:val="FF0000"/>
              </w:rPr>
              <w:t>35</w:t>
            </w:r>
          </w:p>
        </w:tc>
      </w:tr>
      <w:tr w:rsidR="00691315" w14:paraId="6ABD7C5C" w14:textId="77777777" w:rsidTr="00FA189C">
        <w:tc>
          <w:tcPr>
            <w:tcW w:w="1526" w:type="dxa"/>
          </w:tcPr>
          <w:p w14:paraId="68786CFB" w14:textId="03229561" w:rsidR="00DA0739" w:rsidRDefault="00691315" w:rsidP="00EA68B5">
            <w:pPr>
              <w:jc w:val="both"/>
              <w:rPr>
                <w:color w:val="FF0000"/>
              </w:rPr>
            </w:pPr>
            <w:r w:rsidRPr="00691315">
              <w:rPr>
                <w:i/>
                <w:color w:val="FF0000"/>
              </w:rPr>
              <w:t>Liverpool Mercury</w:t>
            </w:r>
            <w:r>
              <w:rPr>
                <w:color w:val="FF0000"/>
              </w:rPr>
              <w:t xml:space="preserve"> (Lib)</w:t>
            </w:r>
          </w:p>
        </w:tc>
        <w:tc>
          <w:tcPr>
            <w:tcW w:w="2693" w:type="dxa"/>
          </w:tcPr>
          <w:p w14:paraId="43412B95" w14:textId="77777777" w:rsidR="00DF1997" w:rsidRDefault="00DF1997" w:rsidP="00EA68B5">
            <w:pPr>
              <w:jc w:val="both"/>
              <w:rPr>
                <w:color w:val="FF0000"/>
              </w:rPr>
            </w:pPr>
            <w:r>
              <w:rPr>
                <w:color w:val="FF0000"/>
              </w:rPr>
              <w:t>1830-49: weekly (Fri)</w:t>
            </w:r>
          </w:p>
          <w:p w14:paraId="306B8DF0" w14:textId="23A844CF" w:rsidR="00DA0739" w:rsidRDefault="00DF1997" w:rsidP="00EA68B5">
            <w:pPr>
              <w:jc w:val="both"/>
              <w:rPr>
                <w:color w:val="FF0000"/>
              </w:rPr>
            </w:pPr>
            <w:r>
              <w:rPr>
                <w:color w:val="FF0000"/>
              </w:rPr>
              <w:t>1850-58: 3 days a week</w:t>
            </w:r>
          </w:p>
          <w:p w14:paraId="29310349" w14:textId="52F9FD5C" w:rsidR="00DF1997" w:rsidRDefault="00DF1997" w:rsidP="00EA68B5">
            <w:pPr>
              <w:jc w:val="both"/>
              <w:rPr>
                <w:color w:val="FF0000"/>
              </w:rPr>
            </w:pPr>
            <w:r>
              <w:rPr>
                <w:color w:val="FF0000"/>
              </w:rPr>
              <w:t xml:space="preserve">1858-68: </w:t>
            </w:r>
            <w:r w:rsidR="008A0389">
              <w:rPr>
                <w:color w:val="FF0000"/>
              </w:rPr>
              <w:t>Mon-Sat</w:t>
            </w:r>
          </w:p>
          <w:p w14:paraId="6EF9C108" w14:textId="1C0B5DE7" w:rsidR="00DF1997" w:rsidRDefault="00DF1997" w:rsidP="00EA68B5">
            <w:pPr>
              <w:jc w:val="both"/>
              <w:rPr>
                <w:color w:val="FF0000"/>
              </w:rPr>
            </w:pPr>
          </w:p>
        </w:tc>
        <w:tc>
          <w:tcPr>
            <w:tcW w:w="1418" w:type="dxa"/>
          </w:tcPr>
          <w:p w14:paraId="1AC10CAE" w14:textId="77777777" w:rsidR="008A0389" w:rsidRDefault="00DF1997" w:rsidP="008A0389">
            <w:pPr>
              <w:jc w:val="both"/>
              <w:rPr>
                <w:color w:val="FF0000"/>
              </w:rPr>
            </w:pPr>
            <w:r>
              <w:rPr>
                <w:color w:val="FF0000"/>
              </w:rPr>
              <w:t xml:space="preserve">7 (1830) </w:t>
            </w:r>
          </w:p>
          <w:p w14:paraId="7E6F46AA" w14:textId="7B103F4E" w:rsidR="00DA0739" w:rsidRDefault="00EA68B5" w:rsidP="008A0389">
            <w:pPr>
              <w:jc w:val="both"/>
              <w:rPr>
                <w:color w:val="FF0000"/>
              </w:rPr>
            </w:pPr>
            <w:r>
              <w:rPr>
                <w:color w:val="FF0000"/>
              </w:rPr>
              <w:t>1 (1868)</w:t>
            </w:r>
          </w:p>
        </w:tc>
        <w:tc>
          <w:tcPr>
            <w:tcW w:w="1559" w:type="dxa"/>
          </w:tcPr>
          <w:p w14:paraId="0DF6E438" w14:textId="1465A0C3" w:rsidR="00EA68B5" w:rsidRDefault="00FA189C" w:rsidP="00FA189C">
            <w:pPr>
              <w:jc w:val="both"/>
              <w:rPr>
                <w:color w:val="FF0000"/>
              </w:rPr>
            </w:pPr>
            <w:r>
              <w:rPr>
                <w:color w:val="FF0000"/>
              </w:rPr>
              <w:t>626,000</w:t>
            </w:r>
          </w:p>
        </w:tc>
        <w:tc>
          <w:tcPr>
            <w:tcW w:w="1320" w:type="dxa"/>
          </w:tcPr>
          <w:p w14:paraId="539DE094" w14:textId="457ACE1B" w:rsidR="00DA0739" w:rsidRDefault="00691315" w:rsidP="00EA68B5">
            <w:pPr>
              <w:jc w:val="center"/>
              <w:rPr>
                <w:color w:val="FF0000"/>
              </w:rPr>
            </w:pPr>
            <w:r>
              <w:rPr>
                <w:color w:val="FF0000"/>
              </w:rPr>
              <w:t>39</w:t>
            </w:r>
          </w:p>
        </w:tc>
      </w:tr>
      <w:tr w:rsidR="00691315" w14:paraId="1F112C8F" w14:textId="77777777" w:rsidTr="00FA189C">
        <w:tc>
          <w:tcPr>
            <w:tcW w:w="1526" w:type="dxa"/>
          </w:tcPr>
          <w:p w14:paraId="0F552C9A" w14:textId="6207759B" w:rsidR="00691315" w:rsidRPr="00691315" w:rsidRDefault="00691315" w:rsidP="00EA68B5">
            <w:pPr>
              <w:jc w:val="both"/>
              <w:rPr>
                <w:i/>
                <w:color w:val="FF0000"/>
              </w:rPr>
            </w:pPr>
            <w:r>
              <w:rPr>
                <w:i/>
                <w:color w:val="FF0000"/>
              </w:rPr>
              <w:t xml:space="preserve">Manchester Times </w:t>
            </w:r>
            <w:r w:rsidRPr="00691315">
              <w:rPr>
                <w:color w:val="FF0000"/>
              </w:rPr>
              <w:t>(Lib)</w:t>
            </w:r>
          </w:p>
        </w:tc>
        <w:tc>
          <w:tcPr>
            <w:tcW w:w="2693" w:type="dxa"/>
          </w:tcPr>
          <w:p w14:paraId="7B694C42" w14:textId="77777777" w:rsidR="00691315" w:rsidRDefault="007670FC" w:rsidP="00EA68B5">
            <w:pPr>
              <w:jc w:val="both"/>
              <w:rPr>
                <w:color w:val="FF0000"/>
              </w:rPr>
            </w:pPr>
            <w:r>
              <w:rPr>
                <w:color w:val="FF0000"/>
              </w:rPr>
              <w:t>1830-46: weekly (Sat)</w:t>
            </w:r>
          </w:p>
          <w:p w14:paraId="625D1A27" w14:textId="77777777" w:rsidR="007670FC" w:rsidRDefault="007670FC" w:rsidP="00EA68B5">
            <w:pPr>
              <w:jc w:val="both"/>
              <w:rPr>
                <w:color w:val="FF0000"/>
              </w:rPr>
            </w:pPr>
            <w:r>
              <w:rPr>
                <w:color w:val="FF0000"/>
              </w:rPr>
              <w:t>1847-55: 2 days a week</w:t>
            </w:r>
          </w:p>
          <w:p w14:paraId="519CD896" w14:textId="18A4CB61" w:rsidR="007670FC" w:rsidRDefault="007670FC" w:rsidP="00EA68B5">
            <w:pPr>
              <w:jc w:val="both"/>
              <w:rPr>
                <w:color w:val="FF0000"/>
              </w:rPr>
            </w:pPr>
            <w:r>
              <w:rPr>
                <w:color w:val="FF0000"/>
              </w:rPr>
              <w:t>1856-68: weekly (Sat)</w:t>
            </w:r>
          </w:p>
        </w:tc>
        <w:tc>
          <w:tcPr>
            <w:tcW w:w="1418" w:type="dxa"/>
          </w:tcPr>
          <w:p w14:paraId="765B5E8A" w14:textId="77777777" w:rsidR="00691315" w:rsidRDefault="007670FC" w:rsidP="00EA68B5">
            <w:pPr>
              <w:jc w:val="both"/>
              <w:rPr>
                <w:color w:val="FF0000"/>
              </w:rPr>
            </w:pPr>
            <w:r>
              <w:rPr>
                <w:color w:val="FF0000"/>
              </w:rPr>
              <w:t>7 (1830)</w:t>
            </w:r>
          </w:p>
          <w:p w14:paraId="092DE360" w14:textId="2A46DBC1" w:rsidR="007670FC" w:rsidRDefault="007670FC" w:rsidP="00EA68B5">
            <w:pPr>
              <w:jc w:val="both"/>
              <w:rPr>
                <w:color w:val="FF0000"/>
              </w:rPr>
            </w:pPr>
            <w:r>
              <w:rPr>
                <w:color w:val="FF0000"/>
              </w:rPr>
              <w:t>2 (1868)</w:t>
            </w:r>
          </w:p>
        </w:tc>
        <w:tc>
          <w:tcPr>
            <w:tcW w:w="1559" w:type="dxa"/>
          </w:tcPr>
          <w:p w14:paraId="407892D2" w14:textId="19D51F0D" w:rsidR="00691315" w:rsidRDefault="00FA189C" w:rsidP="00EA68B5">
            <w:pPr>
              <w:jc w:val="both"/>
              <w:rPr>
                <w:color w:val="FF0000"/>
              </w:rPr>
            </w:pPr>
            <w:r>
              <w:rPr>
                <w:color w:val="FF0000"/>
              </w:rPr>
              <w:t>94,000</w:t>
            </w:r>
          </w:p>
        </w:tc>
        <w:tc>
          <w:tcPr>
            <w:tcW w:w="1320" w:type="dxa"/>
          </w:tcPr>
          <w:p w14:paraId="6CA55DED" w14:textId="19290AF3" w:rsidR="00691315" w:rsidRDefault="00691315" w:rsidP="00EA68B5">
            <w:pPr>
              <w:jc w:val="center"/>
              <w:rPr>
                <w:color w:val="FF0000"/>
              </w:rPr>
            </w:pPr>
            <w:r>
              <w:rPr>
                <w:color w:val="FF0000"/>
              </w:rPr>
              <w:t>34</w:t>
            </w:r>
          </w:p>
        </w:tc>
      </w:tr>
      <w:tr w:rsidR="00FA189C" w14:paraId="778D4FC3" w14:textId="77777777" w:rsidTr="00FA189C">
        <w:tc>
          <w:tcPr>
            <w:tcW w:w="7196" w:type="dxa"/>
            <w:gridSpan w:val="4"/>
          </w:tcPr>
          <w:p w14:paraId="09341CF8" w14:textId="3C27C346" w:rsidR="00FA189C" w:rsidRPr="00FA189C" w:rsidRDefault="00FA189C" w:rsidP="00FA189C">
            <w:pPr>
              <w:jc w:val="right"/>
              <w:rPr>
                <w:b/>
                <w:color w:val="FF0000"/>
              </w:rPr>
            </w:pPr>
            <w:r w:rsidRPr="00FA189C">
              <w:rPr>
                <w:b/>
                <w:color w:val="FF0000"/>
              </w:rPr>
              <w:t>Total</w:t>
            </w:r>
          </w:p>
        </w:tc>
        <w:tc>
          <w:tcPr>
            <w:tcW w:w="1320" w:type="dxa"/>
          </w:tcPr>
          <w:p w14:paraId="2F47FBA2" w14:textId="5C7B3490" w:rsidR="00FA189C" w:rsidRDefault="00FA189C" w:rsidP="00EA68B5">
            <w:pPr>
              <w:jc w:val="center"/>
              <w:rPr>
                <w:color w:val="FF0000"/>
              </w:rPr>
            </w:pPr>
            <w:r>
              <w:rPr>
                <w:color w:val="FF0000"/>
              </w:rPr>
              <w:t>145</w:t>
            </w:r>
          </w:p>
        </w:tc>
      </w:tr>
    </w:tbl>
    <w:p w14:paraId="2BE2AECB" w14:textId="51085581" w:rsidR="00DA0739" w:rsidRPr="00DA0739" w:rsidRDefault="0052096D" w:rsidP="00DA0739">
      <w:pPr>
        <w:spacing w:line="480" w:lineRule="auto"/>
        <w:jc w:val="both"/>
        <w:rPr>
          <w:color w:val="FF0000"/>
        </w:rPr>
      </w:pPr>
      <w:r w:rsidRPr="0052096D">
        <w:rPr>
          <w:b/>
          <w:color w:val="FF0000"/>
        </w:rPr>
        <w:t>Figure 3:</w:t>
      </w:r>
      <w:r>
        <w:rPr>
          <w:color w:val="FF0000"/>
        </w:rPr>
        <w:t xml:space="preserve"> Summary information of each of the Lancashire newspapers analysed</w:t>
      </w:r>
    </w:p>
    <w:p w14:paraId="4F58DB9E" w14:textId="77777777" w:rsidR="002478A9" w:rsidRDefault="002478A9" w:rsidP="006A28FC">
      <w:pPr>
        <w:spacing w:line="480" w:lineRule="auto"/>
        <w:jc w:val="both"/>
      </w:pPr>
    </w:p>
    <w:p w14:paraId="21842B89" w14:textId="37C0AF7E" w:rsidR="006F2B7E" w:rsidRDefault="00350041" w:rsidP="006A28FC">
      <w:pPr>
        <w:spacing w:line="480" w:lineRule="auto"/>
        <w:jc w:val="both"/>
        <w:rPr>
          <w:color w:val="FF0000"/>
        </w:rPr>
      </w:pPr>
      <w:r w:rsidRPr="00350041">
        <w:rPr>
          <w:color w:val="FF0000"/>
        </w:rPr>
        <w:t>As was common practice during this period, a number of the reports that were published in the four newspapers were either republished from other newspapers or were shared between two newspapers.</w:t>
      </w:r>
      <w:r>
        <w:rPr>
          <w:rStyle w:val="EndnoteReference"/>
          <w:color w:val="FF0000"/>
        </w:rPr>
        <w:endnoteReference w:id="16"/>
      </w:r>
      <w:r w:rsidRPr="00350041">
        <w:t xml:space="preserve"> </w:t>
      </w:r>
      <w:r w:rsidRPr="00350041">
        <w:rPr>
          <w:color w:val="FF0000"/>
        </w:rPr>
        <w:t xml:space="preserve">Both the </w:t>
      </w:r>
      <w:r w:rsidRPr="00350041">
        <w:rPr>
          <w:i/>
          <w:color w:val="FF0000"/>
        </w:rPr>
        <w:t>Liverpool Mercury</w:t>
      </w:r>
      <w:r w:rsidRPr="00350041">
        <w:rPr>
          <w:color w:val="FF0000"/>
        </w:rPr>
        <w:t xml:space="preserve"> and </w:t>
      </w:r>
      <w:r w:rsidRPr="00350041">
        <w:rPr>
          <w:i/>
          <w:color w:val="FF0000"/>
        </w:rPr>
        <w:t>Manchester Times</w:t>
      </w:r>
      <w:r w:rsidRPr="00350041">
        <w:rPr>
          <w:color w:val="FF0000"/>
        </w:rPr>
        <w:t>, for example, republished several execution reports originally published in the liberal weekly</w:t>
      </w:r>
      <w:r w:rsidR="00374E43">
        <w:rPr>
          <w:color w:val="FF0000"/>
        </w:rPr>
        <w:t>,</w:t>
      </w:r>
      <w:r w:rsidRPr="00350041">
        <w:rPr>
          <w:color w:val="FF0000"/>
        </w:rPr>
        <w:t xml:space="preserve"> the </w:t>
      </w:r>
      <w:r w:rsidRPr="00350041">
        <w:rPr>
          <w:i/>
          <w:color w:val="FF0000"/>
        </w:rPr>
        <w:t>Liverpool Albion</w:t>
      </w:r>
      <w:r w:rsidRPr="00350041">
        <w:rPr>
          <w:color w:val="FF0000"/>
        </w:rPr>
        <w:t xml:space="preserve">. One report published in the </w:t>
      </w:r>
      <w:r w:rsidRPr="001B1530">
        <w:rPr>
          <w:i/>
          <w:color w:val="FF0000"/>
        </w:rPr>
        <w:t>Liverpool Mercury</w:t>
      </w:r>
      <w:r w:rsidRPr="00350041">
        <w:rPr>
          <w:color w:val="FF0000"/>
        </w:rPr>
        <w:t xml:space="preserve"> was republished from the </w:t>
      </w:r>
      <w:r w:rsidRPr="00350041">
        <w:rPr>
          <w:i/>
          <w:color w:val="FF0000"/>
        </w:rPr>
        <w:t>Times</w:t>
      </w:r>
      <w:r w:rsidRPr="00350041">
        <w:rPr>
          <w:color w:val="FF0000"/>
        </w:rPr>
        <w:t>. There was, however, no clear political distinction from where reports were sourced.</w:t>
      </w:r>
      <w:r>
        <w:t xml:space="preserve"> </w:t>
      </w:r>
      <w:r w:rsidRPr="004B471E">
        <w:rPr>
          <w:color w:val="FF0000"/>
        </w:rPr>
        <w:t xml:space="preserve">Not only did both liberal newspapers republish reports from the conservative </w:t>
      </w:r>
      <w:r w:rsidRPr="004B471E">
        <w:rPr>
          <w:i/>
          <w:color w:val="FF0000"/>
        </w:rPr>
        <w:t>Preston Pilot</w:t>
      </w:r>
      <w:r w:rsidR="004B471E" w:rsidRPr="004B471E">
        <w:rPr>
          <w:color w:val="FF0000"/>
        </w:rPr>
        <w:t xml:space="preserve">, but the </w:t>
      </w:r>
      <w:r w:rsidR="004B471E">
        <w:rPr>
          <w:color w:val="FF0000"/>
        </w:rPr>
        <w:t xml:space="preserve">two </w:t>
      </w:r>
      <w:r w:rsidR="004B471E" w:rsidRPr="004B471E">
        <w:rPr>
          <w:color w:val="FF0000"/>
        </w:rPr>
        <w:t xml:space="preserve">conservative newspapers republished reports from the </w:t>
      </w:r>
      <w:r w:rsidR="004B471E" w:rsidRPr="004B471E">
        <w:rPr>
          <w:i/>
          <w:color w:val="FF0000"/>
        </w:rPr>
        <w:t>Albion</w:t>
      </w:r>
      <w:r w:rsidR="004B471E" w:rsidRPr="004B471E">
        <w:rPr>
          <w:color w:val="FF0000"/>
        </w:rPr>
        <w:t xml:space="preserve"> and, indeed, the </w:t>
      </w:r>
      <w:r w:rsidR="004B471E" w:rsidRPr="004B471E">
        <w:rPr>
          <w:i/>
          <w:color w:val="FF0000"/>
        </w:rPr>
        <w:t>Liverpool Mercury</w:t>
      </w:r>
      <w:r w:rsidR="0039021C">
        <w:rPr>
          <w:color w:val="FF0000"/>
        </w:rPr>
        <w:t>.</w:t>
      </w:r>
      <w:r w:rsidR="00374E43">
        <w:rPr>
          <w:color w:val="FF0000"/>
        </w:rPr>
        <w:t xml:space="preserve"> Only </w:t>
      </w:r>
      <w:r w:rsidR="001B1530">
        <w:rPr>
          <w:color w:val="FF0000"/>
        </w:rPr>
        <w:t>one</w:t>
      </w:r>
      <w:r w:rsidR="00374E43">
        <w:rPr>
          <w:color w:val="FF0000"/>
        </w:rPr>
        <w:t xml:space="preserve"> republished report is cited in the analysis below. </w:t>
      </w:r>
    </w:p>
    <w:p w14:paraId="1344BB39" w14:textId="77777777" w:rsidR="00350041" w:rsidRDefault="00350041" w:rsidP="006A28FC">
      <w:pPr>
        <w:spacing w:line="480" w:lineRule="auto"/>
        <w:jc w:val="both"/>
      </w:pPr>
    </w:p>
    <w:p w14:paraId="21CC9C76" w14:textId="77777777" w:rsidR="00D47CD2" w:rsidRDefault="00D47CD2" w:rsidP="006A28FC">
      <w:pPr>
        <w:spacing w:line="480" w:lineRule="auto"/>
        <w:jc w:val="both"/>
      </w:pPr>
    </w:p>
    <w:p w14:paraId="449DFD1A" w14:textId="77777777" w:rsidR="00E418B0" w:rsidRDefault="00E418B0" w:rsidP="00614A1F">
      <w:pPr>
        <w:spacing w:line="480" w:lineRule="auto"/>
        <w:jc w:val="both"/>
        <w:outlineLvl w:val="0"/>
        <w:rPr>
          <w:b/>
          <w:sz w:val="28"/>
          <w:szCs w:val="28"/>
        </w:rPr>
      </w:pPr>
    </w:p>
    <w:p w14:paraId="789B486F" w14:textId="77777777" w:rsidR="00D47CD2" w:rsidRPr="003040C3" w:rsidRDefault="00D47CD2" w:rsidP="00614A1F">
      <w:pPr>
        <w:spacing w:line="480" w:lineRule="auto"/>
        <w:jc w:val="both"/>
        <w:outlineLvl w:val="0"/>
        <w:rPr>
          <w:b/>
          <w:sz w:val="28"/>
          <w:szCs w:val="28"/>
        </w:rPr>
      </w:pPr>
      <w:r>
        <w:rPr>
          <w:b/>
          <w:sz w:val="28"/>
          <w:szCs w:val="28"/>
        </w:rPr>
        <w:t>Execution Crowds in the Lancashire Press</w:t>
      </w:r>
    </w:p>
    <w:p w14:paraId="419B29B1" w14:textId="77777777" w:rsidR="00D47CD2" w:rsidRDefault="00D47CD2" w:rsidP="006A28FC">
      <w:pPr>
        <w:spacing w:line="480" w:lineRule="auto"/>
        <w:jc w:val="both"/>
      </w:pPr>
    </w:p>
    <w:p w14:paraId="1EEE1BA2" w14:textId="04776486" w:rsidR="002478A9" w:rsidRDefault="002478A9" w:rsidP="006A28FC">
      <w:pPr>
        <w:spacing w:line="480" w:lineRule="auto"/>
        <w:jc w:val="both"/>
      </w:pPr>
      <w:r>
        <w:t>In his analysis of execution reportage in the Norfolk press, John Walliss found differences between conservative and liberal newspapers, with the latter tending to legitimate executions through its reportage while the latter presented more of a reformist agenda.</w:t>
      </w:r>
      <w:r>
        <w:rPr>
          <w:rStyle w:val="EndnoteReference"/>
        </w:rPr>
        <w:endnoteReference w:id="17"/>
      </w:r>
      <w:r>
        <w:t xml:space="preserve"> </w:t>
      </w:r>
      <w:r w:rsidR="00DF35F8">
        <w:t xml:space="preserve">However, such a clear politically based distinction was not found in the case of the Lancashire press’ discussion of execution crowds. Rather, a more complex picture was found wherein the </w:t>
      </w:r>
      <w:r w:rsidR="00DF35F8" w:rsidRPr="00DF35F8">
        <w:rPr>
          <w:i/>
        </w:rPr>
        <w:t>Lancaster Gazette</w:t>
      </w:r>
      <w:r w:rsidR="00DF35F8">
        <w:t xml:space="preserve">, </w:t>
      </w:r>
      <w:r w:rsidR="00DF35F8" w:rsidRPr="00DF35F8">
        <w:rPr>
          <w:i/>
        </w:rPr>
        <w:t>Manchester Courier</w:t>
      </w:r>
      <w:r w:rsidR="00DF35F8">
        <w:t xml:space="preserve"> and </w:t>
      </w:r>
      <w:r w:rsidR="00DF35F8" w:rsidRPr="00DF35F8">
        <w:rPr>
          <w:i/>
        </w:rPr>
        <w:t xml:space="preserve">Manchester </w:t>
      </w:r>
      <w:r w:rsidR="001E4FD2">
        <w:rPr>
          <w:i/>
        </w:rPr>
        <w:t>Times</w:t>
      </w:r>
      <w:r w:rsidR="00DF35F8">
        <w:t xml:space="preserve"> presented a broadly neutral image of </w:t>
      </w:r>
      <w:r w:rsidR="001B1530">
        <w:t>execution</w:t>
      </w:r>
      <w:r w:rsidR="00DF35F8">
        <w:t xml:space="preserve"> crowd</w:t>
      </w:r>
      <w:r w:rsidR="001B1530">
        <w:t>s</w:t>
      </w:r>
      <w:r w:rsidR="00DF35F8">
        <w:t xml:space="preserve">, although, as will be seen below, they were critical on occasions where they believed that the crowd had undermined notions of respectability. In contrast, the </w:t>
      </w:r>
      <w:r w:rsidR="00DF35F8" w:rsidRPr="00DF35F8">
        <w:rPr>
          <w:i/>
        </w:rPr>
        <w:t>Liverpool Mercury</w:t>
      </w:r>
      <w:r w:rsidR="00DF35F8">
        <w:t xml:space="preserve"> tended to be much more critical in its reportage of execution crowds, frequently castigating them at length. Moreover, in contrast to the other three Lancashire newspapers, the </w:t>
      </w:r>
      <w:r w:rsidR="00DF35F8" w:rsidRPr="00DF35F8">
        <w:rPr>
          <w:i/>
        </w:rPr>
        <w:t>Mercury</w:t>
      </w:r>
      <w:r w:rsidR="003211D1">
        <w:t xml:space="preserve"> used its critique of the crowd as a way of criticizing capital punishment more broadly and agitating for its abolition. </w:t>
      </w:r>
      <w:r w:rsidR="00A85FEC" w:rsidRPr="00A85FEC">
        <w:rPr>
          <w:color w:val="FF0000"/>
        </w:rPr>
        <w:t xml:space="preserve">The analysis is summarised in </w:t>
      </w:r>
      <w:r w:rsidR="0052096D">
        <w:rPr>
          <w:color w:val="FF0000"/>
        </w:rPr>
        <w:t>figure 4:</w:t>
      </w:r>
    </w:p>
    <w:p w14:paraId="63D218E0" w14:textId="77777777" w:rsidR="00A85FEC" w:rsidRDefault="00A85FEC" w:rsidP="006A28FC">
      <w:pPr>
        <w:spacing w:line="480" w:lineRule="auto"/>
        <w:jc w:val="both"/>
      </w:pPr>
    </w:p>
    <w:tbl>
      <w:tblPr>
        <w:tblStyle w:val="TableGrid"/>
        <w:tblW w:w="0" w:type="auto"/>
        <w:tblLayout w:type="fixed"/>
        <w:tblLook w:val="04A0" w:firstRow="1" w:lastRow="0" w:firstColumn="1" w:lastColumn="0" w:noHBand="0" w:noVBand="1"/>
      </w:tblPr>
      <w:tblGrid>
        <w:gridCol w:w="2802"/>
        <w:gridCol w:w="1599"/>
        <w:gridCol w:w="1289"/>
        <w:gridCol w:w="1506"/>
        <w:gridCol w:w="1320"/>
      </w:tblGrid>
      <w:tr w:rsidR="001A1C27" w:rsidRPr="00FE0574" w14:paraId="5CB3D9C5" w14:textId="4415A5A5" w:rsidTr="001A1C27">
        <w:tc>
          <w:tcPr>
            <w:tcW w:w="2802" w:type="dxa"/>
            <w:vMerge w:val="restart"/>
          </w:tcPr>
          <w:p w14:paraId="653F2EA8" w14:textId="20541829" w:rsidR="001A1C27" w:rsidRPr="00FE0574" w:rsidRDefault="001A1C27" w:rsidP="00FE0574">
            <w:pPr>
              <w:jc w:val="center"/>
              <w:rPr>
                <w:b/>
                <w:color w:val="FF0000"/>
              </w:rPr>
            </w:pPr>
            <w:r w:rsidRPr="00FE0574">
              <w:rPr>
                <w:b/>
                <w:color w:val="FF0000"/>
              </w:rPr>
              <w:t>Description of Crowd</w:t>
            </w:r>
          </w:p>
        </w:tc>
        <w:tc>
          <w:tcPr>
            <w:tcW w:w="5714" w:type="dxa"/>
            <w:gridSpan w:val="4"/>
          </w:tcPr>
          <w:p w14:paraId="155443A5" w14:textId="6581AB89" w:rsidR="001A1C27" w:rsidRPr="00FE0574" w:rsidRDefault="001A1C27" w:rsidP="00FE0574">
            <w:pPr>
              <w:jc w:val="center"/>
              <w:rPr>
                <w:b/>
                <w:color w:val="FF0000"/>
              </w:rPr>
            </w:pPr>
            <w:r w:rsidRPr="00FE0574">
              <w:rPr>
                <w:b/>
                <w:color w:val="FF0000"/>
              </w:rPr>
              <w:t>Newspaper</w:t>
            </w:r>
          </w:p>
        </w:tc>
      </w:tr>
      <w:tr w:rsidR="001A1C27" w:rsidRPr="00FE0574" w14:paraId="0ADFCEC3" w14:textId="17E86D85" w:rsidTr="001A1C27">
        <w:tc>
          <w:tcPr>
            <w:tcW w:w="2802" w:type="dxa"/>
            <w:vMerge/>
          </w:tcPr>
          <w:p w14:paraId="7E13F2A8" w14:textId="77777777" w:rsidR="001A1C27" w:rsidRPr="00FE0574" w:rsidRDefault="001A1C27" w:rsidP="00FE0574">
            <w:pPr>
              <w:jc w:val="center"/>
              <w:rPr>
                <w:color w:val="FF0000"/>
              </w:rPr>
            </w:pPr>
          </w:p>
        </w:tc>
        <w:tc>
          <w:tcPr>
            <w:tcW w:w="1599" w:type="dxa"/>
          </w:tcPr>
          <w:p w14:paraId="5E512325" w14:textId="3A9E9D3B" w:rsidR="001A1C27" w:rsidRPr="00FE0574" w:rsidRDefault="001A1C27" w:rsidP="00FE0574">
            <w:pPr>
              <w:jc w:val="center"/>
              <w:rPr>
                <w:b/>
                <w:i/>
                <w:color w:val="FF0000"/>
              </w:rPr>
            </w:pPr>
            <w:r w:rsidRPr="00FE0574">
              <w:rPr>
                <w:b/>
                <w:i/>
                <w:color w:val="FF0000"/>
              </w:rPr>
              <w:t>Manchester Courier</w:t>
            </w:r>
          </w:p>
        </w:tc>
        <w:tc>
          <w:tcPr>
            <w:tcW w:w="1289" w:type="dxa"/>
          </w:tcPr>
          <w:p w14:paraId="69BE360E" w14:textId="7202C0F0" w:rsidR="001A1C27" w:rsidRPr="00FE0574" w:rsidRDefault="001A1C27" w:rsidP="00FE0574">
            <w:pPr>
              <w:jc w:val="center"/>
              <w:rPr>
                <w:b/>
                <w:i/>
                <w:color w:val="FF0000"/>
              </w:rPr>
            </w:pPr>
            <w:r w:rsidRPr="00FE0574">
              <w:rPr>
                <w:b/>
                <w:i/>
                <w:color w:val="FF0000"/>
              </w:rPr>
              <w:t>Lancaster Gazette</w:t>
            </w:r>
          </w:p>
        </w:tc>
        <w:tc>
          <w:tcPr>
            <w:tcW w:w="1506" w:type="dxa"/>
          </w:tcPr>
          <w:p w14:paraId="412C9B57" w14:textId="33559DA5" w:rsidR="001A1C27" w:rsidRPr="00FE0574" w:rsidRDefault="001A1C27" w:rsidP="00FE0574">
            <w:pPr>
              <w:jc w:val="center"/>
              <w:rPr>
                <w:b/>
                <w:i/>
                <w:color w:val="FF0000"/>
              </w:rPr>
            </w:pPr>
            <w:r w:rsidRPr="00FE0574">
              <w:rPr>
                <w:b/>
                <w:i/>
                <w:color w:val="FF0000"/>
              </w:rPr>
              <w:t>Manchester Times</w:t>
            </w:r>
          </w:p>
        </w:tc>
        <w:tc>
          <w:tcPr>
            <w:tcW w:w="1320" w:type="dxa"/>
          </w:tcPr>
          <w:p w14:paraId="675033CB" w14:textId="58A71F44" w:rsidR="001A1C27" w:rsidRPr="00FE0574" w:rsidRDefault="001A1C27" w:rsidP="00FE0574">
            <w:pPr>
              <w:jc w:val="center"/>
              <w:rPr>
                <w:b/>
                <w:i/>
                <w:color w:val="FF0000"/>
              </w:rPr>
            </w:pPr>
            <w:r w:rsidRPr="00FE0574">
              <w:rPr>
                <w:b/>
                <w:i/>
                <w:color w:val="FF0000"/>
              </w:rPr>
              <w:t>Liverpool Mercury</w:t>
            </w:r>
          </w:p>
        </w:tc>
      </w:tr>
      <w:tr w:rsidR="001A1C27" w:rsidRPr="00FE0574" w14:paraId="2541B31F" w14:textId="7F04CDDD" w:rsidTr="001A1C27">
        <w:tc>
          <w:tcPr>
            <w:tcW w:w="2802" w:type="dxa"/>
          </w:tcPr>
          <w:p w14:paraId="7AB649AF" w14:textId="6E721536" w:rsidR="001A1C27" w:rsidRPr="00FE0574" w:rsidRDefault="001A1C27" w:rsidP="00FE0574">
            <w:pPr>
              <w:jc w:val="center"/>
              <w:rPr>
                <w:color w:val="FF0000"/>
              </w:rPr>
            </w:pPr>
            <w:r w:rsidRPr="00FE0574">
              <w:rPr>
                <w:rFonts w:eastAsia="Times New Roman" w:cs="Arial"/>
                <w:color w:val="FF0000"/>
              </w:rPr>
              <w:t>No mention</w:t>
            </w:r>
          </w:p>
        </w:tc>
        <w:tc>
          <w:tcPr>
            <w:tcW w:w="1599" w:type="dxa"/>
          </w:tcPr>
          <w:p w14:paraId="1F5EA059" w14:textId="77777777" w:rsidR="001A1C27" w:rsidRPr="00FE0574" w:rsidRDefault="001A1C27" w:rsidP="00FE0574">
            <w:pPr>
              <w:jc w:val="center"/>
              <w:rPr>
                <w:rFonts w:cs="Arial"/>
                <w:color w:val="FF0000"/>
              </w:rPr>
            </w:pPr>
            <w:r w:rsidRPr="00FE0574">
              <w:rPr>
                <w:rFonts w:cs="Arial"/>
                <w:color w:val="FF0000"/>
              </w:rPr>
              <w:t>5</w:t>
            </w:r>
          </w:p>
          <w:p w14:paraId="3E35A6BA" w14:textId="0C3A4709" w:rsidR="001A1C27" w:rsidRPr="00FE0574" w:rsidRDefault="001A1C27" w:rsidP="00FE0574">
            <w:pPr>
              <w:jc w:val="center"/>
              <w:rPr>
                <w:color w:val="FF0000"/>
              </w:rPr>
            </w:pPr>
            <w:r w:rsidRPr="00FE0574">
              <w:rPr>
                <w:rFonts w:cs="Arial"/>
                <w:color w:val="FF0000"/>
              </w:rPr>
              <w:t>(14%)</w:t>
            </w:r>
          </w:p>
        </w:tc>
        <w:tc>
          <w:tcPr>
            <w:tcW w:w="1289" w:type="dxa"/>
          </w:tcPr>
          <w:p w14:paraId="77D9AD00" w14:textId="77777777" w:rsidR="001A1C27" w:rsidRPr="00FE0574" w:rsidRDefault="001A1C27" w:rsidP="00FE0574">
            <w:pPr>
              <w:jc w:val="center"/>
              <w:rPr>
                <w:rFonts w:cs="Arial"/>
                <w:color w:val="FF0000"/>
              </w:rPr>
            </w:pPr>
            <w:r w:rsidRPr="00FE0574">
              <w:rPr>
                <w:rFonts w:cs="Arial"/>
                <w:color w:val="FF0000"/>
              </w:rPr>
              <w:t>4</w:t>
            </w:r>
          </w:p>
          <w:p w14:paraId="2B49F3A1" w14:textId="74CED35B" w:rsidR="001A1C27" w:rsidRPr="00FE0574" w:rsidRDefault="001A1C27" w:rsidP="00FE0574">
            <w:pPr>
              <w:jc w:val="center"/>
              <w:rPr>
                <w:color w:val="FF0000"/>
              </w:rPr>
            </w:pPr>
            <w:r w:rsidRPr="00FE0574">
              <w:rPr>
                <w:rFonts w:cs="Arial"/>
                <w:color w:val="FF0000"/>
              </w:rPr>
              <w:t>(11%)</w:t>
            </w:r>
          </w:p>
        </w:tc>
        <w:tc>
          <w:tcPr>
            <w:tcW w:w="1506" w:type="dxa"/>
          </w:tcPr>
          <w:p w14:paraId="310F5E7A" w14:textId="77777777" w:rsidR="001A1C27" w:rsidRDefault="001A1C27" w:rsidP="00350041">
            <w:pPr>
              <w:jc w:val="center"/>
              <w:rPr>
                <w:rFonts w:cs="Arial"/>
                <w:color w:val="FF0000"/>
              </w:rPr>
            </w:pPr>
            <w:r w:rsidRPr="00FE0574">
              <w:rPr>
                <w:rFonts w:cs="Arial"/>
                <w:color w:val="FF0000"/>
              </w:rPr>
              <w:t>4</w:t>
            </w:r>
          </w:p>
          <w:p w14:paraId="4F143AF5" w14:textId="35A83EDF" w:rsidR="001A1C27" w:rsidRPr="00FE0574" w:rsidRDefault="001A1C27" w:rsidP="00FE0574">
            <w:pPr>
              <w:jc w:val="center"/>
              <w:rPr>
                <w:color w:val="FF0000"/>
              </w:rPr>
            </w:pPr>
            <w:r>
              <w:rPr>
                <w:rFonts w:cs="Arial"/>
                <w:color w:val="FF0000"/>
              </w:rPr>
              <w:t>(12%)</w:t>
            </w:r>
          </w:p>
        </w:tc>
        <w:tc>
          <w:tcPr>
            <w:tcW w:w="1320" w:type="dxa"/>
          </w:tcPr>
          <w:p w14:paraId="7AF72C19" w14:textId="77777777" w:rsidR="001A1C27" w:rsidRDefault="001A1C27" w:rsidP="00350041">
            <w:pPr>
              <w:jc w:val="center"/>
              <w:rPr>
                <w:rFonts w:cs="Arial"/>
                <w:color w:val="FF0000"/>
              </w:rPr>
            </w:pPr>
            <w:r w:rsidRPr="00FE0574">
              <w:rPr>
                <w:rFonts w:cs="Arial"/>
                <w:color w:val="FF0000"/>
              </w:rPr>
              <w:t>4</w:t>
            </w:r>
          </w:p>
          <w:p w14:paraId="5626B02E" w14:textId="7763B0F1" w:rsidR="001A1C27" w:rsidRPr="00FE0574" w:rsidRDefault="001A1C27" w:rsidP="00FE0574">
            <w:pPr>
              <w:jc w:val="center"/>
              <w:rPr>
                <w:color w:val="FF0000"/>
              </w:rPr>
            </w:pPr>
            <w:r>
              <w:rPr>
                <w:rFonts w:cs="Arial"/>
                <w:color w:val="FF0000"/>
              </w:rPr>
              <w:t>(10%)</w:t>
            </w:r>
          </w:p>
        </w:tc>
      </w:tr>
      <w:tr w:rsidR="001A1C27" w:rsidRPr="00FE0574" w14:paraId="0C426D71" w14:textId="0AB7BC14" w:rsidTr="001A1C27">
        <w:tc>
          <w:tcPr>
            <w:tcW w:w="2802" w:type="dxa"/>
          </w:tcPr>
          <w:p w14:paraId="64818101" w14:textId="3159ADF1" w:rsidR="001A1C27" w:rsidRPr="00FE0574" w:rsidRDefault="001A1C27" w:rsidP="00FE0574">
            <w:pPr>
              <w:jc w:val="center"/>
              <w:rPr>
                <w:color w:val="FF0000"/>
              </w:rPr>
            </w:pPr>
            <w:r w:rsidRPr="00FE0574">
              <w:rPr>
                <w:rFonts w:eastAsia="Times New Roman" w:cs="Arial"/>
                <w:color w:val="FF0000"/>
              </w:rPr>
              <w:t>General Description</w:t>
            </w:r>
          </w:p>
        </w:tc>
        <w:tc>
          <w:tcPr>
            <w:tcW w:w="1599" w:type="dxa"/>
          </w:tcPr>
          <w:p w14:paraId="32C3C96F" w14:textId="77777777" w:rsidR="001A1C27" w:rsidRPr="00FE0574" w:rsidRDefault="001A1C27" w:rsidP="00FE0574">
            <w:pPr>
              <w:jc w:val="center"/>
              <w:rPr>
                <w:rFonts w:cs="Arial"/>
                <w:color w:val="FF0000"/>
              </w:rPr>
            </w:pPr>
            <w:r w:rsidRPr="00FE0574">
              <w:rPr>
                <w:rFonts w:cs="Arial"/>
                <w:color w:val="FF0000"/>
              </w:rPr>
              <w:t>13</w:t>
            </w:r>
          </w:p>
          <w:p w14:paraId="573EEDE9" w14:textId="1C1384C3" w:rsidR="001A1C27" w:rsidRPr="00FE0574" w:rsidRDefault="001A1C27" w:rsidP="00FE0574">
            <w:pPr>
              <w:jc w:val="center"/>
              <w:rPr>
                <w:color w:val="FF0000"/>
              </w:rPr>
            </w:pPr>
            <w:r w:rsidRPr="00FE0574">
              <w:rPr>
                <w:rFonts w:cs="Arial"/>
                <w:color w:val="FF0000"/>
              </w:rPr>
              <w:t>(37%)</w:t>
            </w:r>
          </w:p>
        </w:tc>
        <w:tc>
          <w:tcPr>
            <w:tcW w:w="1289" w:type="dxa"/>
          </w:tcPr>
          <w:p w14:paraId="3D8F3BBA" w14:textId="77777777" w:rsidR="001A1C27" w:rsidRPr="00FE0574" w:rsidRDefault="001A1C27" w:rsidP="00FE0574">
            <w:pPr>
              <w:jc w:val="center"/>
              <w:rPr>
                <w:rFonts w:cs="Arial"/>
                <w:color w:val="FF0000"/>
              </w:rPr>
            </w:pPr>
            <w:r w:rsidRPr="00FE0574">
              <w:rPr>
                <w:rFonts w:cs="Arial"/>
                <w:color w:val="FF0000"/>
              </w:rPr>
              <w:t>9</w:t>
            </w:r>
          </w:p>
          <w:p w14:paraId="2439E8BA" w14:textId="3AF3172D" w:rsidR="001A1C27" w:rsidRPr="00FE0574" w:rsidRDefault="001A1C27" w:rsidP="00FE0574">
            <w:pPr>
              <w:jc w:val="center"/>
              <w:rPr>
                <w:color w:val="FF0000"/>
              </w:rPr>
            </w:pPr>
            <w:r w:rsidRPr="00FE0574">
              <w:rPr>
                <w:rFonts w:cs="Arial"/>
                <w:color w:val="FF0000"/>
              </w:rPr>
              <w:t>(24%)</w:t>
            </w:r>
          </w:p>
        </w:tc>
        <w:tc>
          <w:tcPr>
            <w:tcW w:w="1506" w:type="dxa"/>
          </w:tcPr>
          <w:p w14:paraId="6DB72F9F" w14:textId="77777777" w:rsidR="001A1C27" w:rsidRDefault="001A1C27" w:rsidP="00350041">
            <w:pPr>
              <w:jc w:val="center"/>
              <w:rPr>
                <w:rFonts w:cs="Arial"/>
                <w:color w:val="FF0000"/>
              </w:rPr>
            </w:pPr>
            <w:r w:rsidRPr="00FE0574">
              <w:rPr>
                <w:rFonts w:cs="Arial"/>
                <w:color w:val="FF0000"/>
              </w:rPr>
              <w:t>10</w:t>
            </w:r>
          </w:p>
          <w:p w14:paraId="5CA1DC52" w14:textId="27AAD342" w:rsidR="001A1C27" w:rsidRPr="00FE0574" w:rsidRDefault="001A1C27" w:rsidP="00FE0574">
            <w:pPr>
              <w:jc w:val="center"/>
              <w:rPr>
                <w:color w:val="FF0000"/>
              </w:rPr>
            </w:pPr>
            <w:r>
              <w:rPr>
                <w:rFonts w:cs="Arial"/>
                <w:color w:val="FF0000"/>
              </w:rPr>
              <w:t>(29%)</w:t>
            </w:r>
          </w:p>
        </w:tc>
        <w:tc>
          <w:tcPr>
            <w:tcW w:w="1320" w:type="dxa"/>
          </w:tcPr>
          <w:p w14:paraId="6AEC4939" w14:textId="77777777" w:rsidR="001A1C27" w:rsidRDefault="001A1C27" w:rsidP="00350041">
            <w:pPr>
              <w:jc w:val="center"/>
              <w:rPr>
                <w:rFonts w:cs="Arial"/>
                <w:color w:val="FF0000"/>
              </w:rPr>
            </w:pPr>
            <w:r w:rsidRPr="00FE0574">
              <w:rPr>
                <w:rFonts w:cs="Arial"/>
                <w:color w:val="FF0000"/>
              </w:rPr>
              <w:t>5</w:t>
            </w:r>
          </w:p>
          <w:p w14:paraId="488E0AD5" w14:textId="05C1F9CF" w:rsidR="001A1C27" w:rsidRPr="00FE0574" w:rsidRDefault="001A1C27" w:rsidP="00FE0574">
            <w:pPr>
              <w:jc w:val="center"/>
              <w:rPr>
                <w:color w:val="FF0000"/>
              </w:rPr>
            </w:pPr>
            <w:r>
              <w:rPr>
                <w:rFonts w:cs="Arial"/>
                <w:color w:val="FF0000"/>
              </w:rPr>
              <w:t>(13%)</w:t>
            </w:r>
          </w:p>
        </w:tc>
      </w:tr>
      <w:tr w:rsidR="001A1C27" w:rsidRPr="00FE0574" w14:paraId="79FEE988" w14:textId="16B3E394" w:rsidTr="001A1C27">
        <w:tc>
          <w:tcPr>
            <w:tcW w:w="2802" w:type="dxa"/>
          </w:tcPr>
          <w:p w14:paraId="6B6D3647" w14:textId="0D230CA6" w:rsidR="001A1C27" w:rsidRPr="00FE0574" w:rsidRDefault="001A1C27" w:rsidP="00FE0574">
            <w:pPr>
              <w:jc w:val="center"/>
              <w:rPr>
                <w:rFonts w:eastAsia="Times New Roman" w:cs="Arial"/>
                <w:color w:val="FF0000"/>
              </w:rPr>
            </w:pPr>
            <w:r w:rsidRPr="00FE0574">
              <w:rPr>
                <w:rFonts w:eastAsia="Times New Roman" w:cs="Arial"/>
                <w:color w:val="FF0000"/>
              </w:rPr>
              <w:t>Neutral</w:t>
            </w:r>
          </w:p>
        </w:tc>
        <w:tc>
          <w:tcPr>
            <w:tcW w:w="1599" w:type="dxa"/>
          </w:tcPr>
          <w:p w14:paraId="33D8F3B9" w14:textId="77777777" w:rsidR="001A1C27" w:rsidRPr="00FE0574" w:rsidRDefault="001A1C27" w:rsidP="00FE0574">
            <w:pPr>
              <w:jc w:val="center"/>
              <w:rPr>
                <w:rFonts w:cs="Arial"/>
                <w:color w:val="FF0000"/>
              </w:rPr>
            </w:pPr>
            <w:r w:rsidRPr="00FE0574">
              <w:rPr>
                <w:rFonts w:cs="Arial"/>
                <w:color w:val="FF0000"/>
              </w:rPr>
              <w:t>6</w:t>
            </w:r>
          </w:p>
          <w:p w14:paraId="57C844C4" w14:textId="250AD39B" w:rsidR="001A1C27" w:rsidRPr="00FE0574" w:rsidRDefault="001A1C27" w:rsidP="00FE0574">
            <w:pPr>
              <w:jc w:val="center"/>
              <w:rPr>
                <w:color w:val="FF0000"/>
              </w:rPr>
            </w:pPr>
            <w:r w:rsidRPr="00FE0574">
              <w:rPr>
                <w:rFonts w:cs="Arial"/>
                <w:color w:val="FF0000"/>
              </w:rPr>
              <w:t>(17%)</w:t>
            </w:r>
          </w:p>
        </w:tc>
        <w:tc>
          <w:tcPr>
            <w:tcW w:w="1289" w:type="dxa"/>
          </w:tcPr>
          <w:p w14:paraId="1ACCF390" w14:textId="77777777" w:rsidR="001A1C27" w:rsidRPr="00FE0574" w:rsidRDefault="001A1C27" w:rsidP="00FE0574">
            <w:pPr>
              <w:jc w:val="center"/>
              <w:rPr>
                <w:rFonts w:cs="Arial"/>
                <w:color w:val="FF0000"/>
              </w:rPr>
            </w:pPr>
            <w:r w:rsidRPr="00FE0574">
              <w:rPr>
                <w:rFonts w:cs="Arial"/>
                <w:color w:val="FF0000"/>
              </w:rPr>
              <w:t>9</w:t>
            </w:r>
          </w:p>
          <w:p w14:paraId="39030086" w14:textId="43A8A976" w:rsidR="001A1C27" w:rsidRPr="00FE0574" w:rsidRDefault="001A1C27" w:rsidP="00FE0574">
            <w:pPr>
              <w:jc w:val="center"/>
              <w:rPr>
                <w:color w:val="FF0000"/>
              </w:rPr>
            </w:pPr>
            <w:r w:rsidRPr="00FE0574">
              <w:rPr>
                <w:rFonts w:cs="Arial"/>
                <w:color w:val="FF0000"/>
              </w:rPr>
              <w:t>(24%)</w:t>
            </w:r>
          </w:p>
        </w:tc>
        <w:tc>
          <w:tcPr>
            <w:tcW w:w="1506" w:type="dxa"/>
          </w:tcPr>
          <w:p w14:paraId="027A7691" w14:textId="77777777" w:rsidR="001A1C27" w:rsidRDefault="001A1C27" w:rsidP="00350041">
            <w:pPr>
              <w:jc w:val="center"/>
              <w:rPr>
                <w:rFonts w:cs="Arial"/>
                <w:color w:val="FF0000"/>
              </w:rPr>
            </w:pPr>
            <w:r w:rsidRPr="00FE0574">
              <w:rPr>
                <w:rFonts w:cs="Arial"/>
                <w:color w:val="FF0000"/>
              </w:rPr>
              <w:t>9</w:t>
            </w:r>
          </w:p>
          <w:p w14:paraId="4337EF0B" w14:textId="2F235119" w:rsidR="001A1C27" w:rsidRPr="00FE0574" w:rsidRDefault="001A1C27" w:rsidP="00FE0574">
            <w:pPr>
              <w:jc w:val="center"/>
              <w:rPr>
                <w:color w:val="FF0000"/>
              </w:rPr>
            </w:pPr>
            <w:r>
              <w:rPr>
                <w:rFonts w:cs="Arial"/>
                <w:color w:val="FF0000"/>
              </w:rPr>
              <w:t>(26%)</w:t>
            </w:r>
          </w:p>
        </w:tc>
        <w:tc>
          <w:tcPr>
            <w:tcW w:w="1320" w:type="dxa"/>
          </w:tcPr>
          <w:p w14:paraId="79A50A11" w14:textId="77777777" w:rsidR="001A1C27" w:rsidRDefault="001A1C27" w:rsidP="00350041">
            <w:pPr>
              <w:jc w:val="center"/>
              <w:rPr>
                <w:rFonts w:cs="Arial"/>
                <w:color w:val="FF0000"/>
              </w:rPr>
            </w:pPr>
            <w:r w:rsidRPr="00FE0574">
              <w:rPr>
                <w:rFonts w:cs="Arial"/>
                <w:color w:val="FF0000"/>
              </w:rPr>
              <w:t>5</w:t>
            </w:r>
          </w:p>
          <w:p w14:paraId="53DA5515" w14:textId="4B80277C" w:rsidR="001A1C27" w:rsidRPr="00FE0574" w:rsidRDefault="001A1C27" w:rsidP="00FE0574">
            <w:pPr>
              <w:jc w:val="center"/>
              <w:rPr>
                <w:color w:val="FF0000"/>
              </w:rPr>
            </w:pPr>
            <w:r>
              <w:rPr>
                <w:rFonts w:cs="Arial"/>
                <w:color w:val="FF0000"/>
              </w:rPr>
              <w:t>(13%)</w:t>
            </w:r>
          </w:p>
        </w:tc>
      </w:tr>
      <w:tr w:rsidR="001A1C27" w:rsidRPr="00FE0574" w14:paraId="1DE01E06" w14:textId="26D8E7B6" w:rsidTr="001A1C27">
        <w:tc>
          <w:tcPr>
            <w:tcW w:w="2802" w:type="dxa"/>
          </w:tcPr>
          <w:p w14:paraId="4351FD9E" w14:textId="13F47624" w:rsidR="001A1C27" w:rsidRPr="00FE0574" w:rsidRDefault="001A1C27" w:rsidP="00FE0574">
            <w:pPr>
              <w:jc w:val="center"/>
              <w:rPr>
                <w:color w:val="FF0000"/>
              </w:rPr>
            </w:pPr>
            <w:r w:rsidRPr="00FE0574">
              <w:rPr>
                <w:rFonts w:eastAsia="Times New Roman" w:cs="Arial"/>
                <w:color w:val="FF0000"/>
              </w:rPr>
              <w:t>Negative</w:t>
            </w:r>
          </w:p>
        </w:tc>
        <w:tc>
          <w:tcPr>
            <w:tcW w:w="1599" w:type="dxa"/>
          </w:tcPr>
          <w:p w14:paraId="2B649B28" w14:textId="77777777" w:rsidR="001A1C27" w:rsidRPr="00FE0574" w:rsidRDefault="001A1C27" w:rsidP="00FE0574">
            <w:pPr>
              <w:jc w:val="center"/>
              <w:rPr>
                <w:rFonts w:cs="Arial"/>
                <w:color w:val="FF0000"/>
              </w:rPr>
            </w:pPr>
            <w:r w:rsidRPr="00FE0574">
              <w:rPr>
                <w:rFonts w:cs="Arial"/>
                <w:color w:val="FF0000"/>
              </w:rPr>
              <w:t>4</w:t>
            </w:r>
          </w:p>
          <w:p w14:paraId="3B7B6FF0" w14:textId="4DA109B3" w:rsidR="001A1C27" w:rsidRPr="00FE0574" w:rsidRDefault="001A1C27" w:rsidP="00FE0574">
            <w:pPr>
              <w:jc w:val="center"/>
              <w:rPr>
                <w:color w:val="FF0000"/>
              </w:rPr>
            </w:pPr>
            <w:r w:rsidRPr="00FE0574">
              <w:rPr>
                <w:rFonts w:cs="Arial"/>
                <w:color w:val="FF0000"/>
              </w:rPr>
              <w:t>(11%)</w:t>
            </w:r>
          </w:p>
        </w:tc>
        <w:tc>
          <w:tcPr>
            <w:tcW w:w="1289" w:type="dxa"/>
          </w:tcPr>
          <w:p w14:paraId="3879FF04" w14:textId="77777777" w:rsidR="001A1C27" w:rsidRPr="00FE0574" w:rsidRDefault="001A1C27" w:rsidP="00FE0574">
            <w:pPr>
              <w:jc w:val="center"/>
              <w:rPr>
                <w:rFonts w:cs="Arial"/>
                <w:color w:val="FF0000"/>
              </w:rPr>
            </w:pPr>
            <w:r w:rsidRPr="00FE0574">
              <w:rPr>
                <w:rFonts w:cs="Arial"/>
                <w:color w:val="FF0000"/>
              </w:rPr>
              <w:t>13</w:t>
            </w:r>
          </w:p>
          <w:p w14:paraId="0982265A" w14:textId="3B390C8D" w:rsidR="001A1C27" w:rsidRPr="00FE0574" w:rsidRDefault="001A1C27" w:rsidP="00FE0574">
            <w:pPr>
              <w:jc w:val="center"/>
              <w:rPr>
                <w:color w:val="FF0000"/>
              </w:rPr>
            </w:pPr>
            <w:r w:rsidRPr="00FE0574">
              <w:rPr>
                <w:rFonts w:cs="Arial"/>
                <w:color w:val="FF0000"/>
              </w:rPr>
              <w:t>(35%)</w:t>
            </w:r>
          </w:p>
        </w:tc>
        <w:tc>
          <w:tcPr>
            <w:tcW w:w="1506" w:type="dxa"/>
          </w:tcPr>
          <w:p w14:paraId="6A048648" w14:textId="77777777" w:rsidR="001A1C27" w:rsidRDefault="001A1C27" w:rsidP="00350041">
            <w:pPr>
              <w:jc w:val="center"/>
              <w:rPr>
                <w:rFonts w:cs="Arial"/>
                <w:color w:val="FF0000"/>
              </w:rPr>
            </w:pPr>
            <w:r w:rsidRPr="00FE0574">
              <w:rPr>
                <w:rFonts w:cs="Arial"/>
                <w:color w:val="FF0000"/>
              </w:rPr>
              <w:t>5</w:t>
            </w:r>
          </w:p>
          <w:p w14:paraId="61060E34" w14:textId="4AA05631" w:rsidR="001A1C27" w:rsidRPr="00FE0574" w:rsidRDefault="001A1C27" w:rsidP="00FE0574">
            <w:pPr>
              <w:jc w:val="center"/>
              <w:rPr>
                <w:color w:val="FF0000"/>
              </w:rPr>
            </w:pPr>
            <w:r>
              <w:rPr>
                <w:rFonts w:cs="Arial"/>
                <w:color w:val="FF0000"/>
              </w:rPr>
              <w:t>(15%)</w:t>
            </w:r>
          </w:p>
        </w:tc>
        <w:tc>
          <w:tcPr>
            <w:tcW w:w="1320" w:type="dxa"/>
          </w:tcPr>
          <w:p w14:paraId="1DCA65F7" w14:textId="77777777" w:rsidR="001A1C27" w:rsidRDefault="001A1C27" w:rsidP="00350041">
            <w:pPr>
              <w:jc w:val="center"/>
              <w:rPr>
                <w:rFonts w:cs="Arial"/>
                <w:color w:val="FF0000"/>
              </w:rPr>
            </w:pPr>
            <w:r w:rsidRPr="00FE0574">
              <w:rPr>
                <w:rFonts w:cs="Arial"/>
                <w:color w:val="FF0000"/>
              </w:rPr>
              <w:t>19</w:t>
            </w:r>
          </w:p>
          <w:p w14:paraId="405BD3FB" w14:textId="78B682BA" w:rsidR="001A1C27" w:rsidRPr="00FE0574" w:rsidRDefault="001A1C27" w:rsidP="00FE0574">
            <w:pPr>
              <w:jc w:val="center"/>
              <w:rPr>
                <w:color w:val="FF0000"/>
              </w:rPr>
            </w:pPr>
            <w:r>
              <w:rPr>
                <w:rFonts w:cs="Arial"/>
                <w:color w:val="FF0000"/>
              </w:rPr>
              <w:t>(49%)</w:t>
            </w:r>
          </w:p>
        </w:tc>
      </w:tr>
      <w:tr w:rsidR="001A1C27" w:rsidRPr="00FE0574" w14:paraId="1038D6D6" w14:textId="63AB2A90" w:rsidTr="001A1C27">
        <w:tc>
          <w:tcPr>
            <w:tcW w:w="2802" w:type="dxa"/>
          </w:tcPr>
          <w:p w14:paraId="39EC9DDA" w14:textId="24650A7D" w:rsidR="001A1C27" w:rsidRPr="00FE0574" w:rsidRDefault="001A1C27" w:rsidP="00FE0574">
            <w:pPr>
              <w:jc w:val="center"/>
              <w:rPr>
                <w:color w:val="FF0000"/>
              </w:rPr>
            </w:pPr>
            <w:r w:rsidRPr="00FE0574">
              <w:rPr>
                <w:rFonts w:eastAsia="Times New Roman" w:cs="Arial"/>
                <w:color w:val="FF0000"/>
              </w:rPr>
              <w:t>Positive</w:t>
            </w:r>
          </w:p>
        </w:tc>
        <w:tc>
          <w:tcPr>
            <w:tcW w:w="1599" w:type="dxa"/>
          </w:tcPr>
          <w:p w14:paraId="35FDEC66" w14:textId="77777777" w:rsidR="001A1C27" w:rsidRPr="00FE0574" w:rsidRDefault="001A1C27" w:rsidP="00FE0574">
            <w:pPr>
              <w:jc w:val="center"/>
              <w:rPr>
                <w:rFonts w:cs="Arial"/>
                <w:color w:val="FF0000"/>
              </w:rPr>
            </w:pPr>
            <w:r w:rsidRPr="00FE0574">
              <w:rPr>
                <w:rFonts w:cs="Arial"/>
                <w:color w:val="FF0000"/>
              </w:rPr>
              <w:t>7</w:t>
            </w:r>
          </w:p>
          <w:p w14:paraId="45708D96" w14:textId="6962CCC2" w:rsidR="001A1C27" w:rsidRPr="00FE0574" w:rsidRDefault="001A1C27" w:rsidP="00FE0574">
            <w:pPr>
              <w:jc w:val="center"/>
              <w:rPr>
                <w:color w:val="FF0000"/>
              </w:rPr>
            </w:pPr>
            <w:r w:rsidRPr="00FE0574">
              <w:rPr>
                <w:rFonts w:cs="Arial"/>
                <w:color w:val="FF0000"/>
              </w:rPr>
              <w:t>(20%)</w:t>
            </w:r>
          </w:p>
        </w:tc>
        <w:tc>
          <w:tcPr>
            <w:tcW w:w="1289" w:type="dxa"/>
          </w:tcPr>
          <w:p w14:paraId="16A35DBC" w14:textId="77777777" w:rsidR="001A1C27" w:rsidRPr="00FE0574" w:rsidRDefault="001A1C27" w:rsidP="00FE0574">
            <w:pPr>
              <w:jc w:val="center"/>
              <w:rPr>
                <w:rFonts w:cs="Arial"/>
                <w:color w:val="FF0000"/>
              </w:rPr>
            </w:pPr>
            <w:r w:rsidRPr="00FE0574">
              <w:rPr>
                <w:rFonts w:cs="Arial"/>
                <w:color w:val="FF0000"/>
              </w:rPr>
              <w:t>2</w:t>
            </w:r>
          </w:p>
          <w:p w14:paraId="09F481B9" w14:textId="144FA6FA" w:rsidR="001A1C27" w:rsidRPr="00FE0574" w:rsidRDefault="001A1C27" w:rsidP="00FE0574">
            <w:pPr>
              <w:jc w:val="center"/>
              <w:rPr>
                <w:color w:val="FF0000"/>
              </w:rPr>
            </w:pPr>
            <w:r w:rsidRPr="00FE0574">
              <w:rPr>
                <w:rFonts w:cs="Arial"/>
                <w:color w:val="FF0000"/>
              </w:rPr>
              <w:t>(5%)</w:t>
            </w:r>
          </w:p>
        </w:tc>
        <w:tc>
          <w:tcPr>
            <w:tcW w:w="1506" w:type="dxa"/>
          </w:tcPr>
          <w:p w14:paraId="11E65AF8" w14:textId="77777777" w:rsidR="001A1C27" w:rsidRDefault="001A1C27" w:rsidP="00350041">
            <w:pPr>
              <w:jc w:val="center"/>
              <w:rPr>
                <w:rFonts w:cs="Arial"/>
                <w:color w:val="FF0000"/>
              </w:rPr>
            </w:pPr>
            <w:r w:rsidRPr="00FE0574">
              <w:rPr>
                <w:rFonts w:cs="Arial"/>
                <w:color w:val="FF0000"/>
              </w:rPr>
              <w:t>6</w:t>
            </w:r>
          </w:p>
          <w:p w14:paraId="04213B9A" w14:textId="4D3C98EF" w:rsidR="001A1C27" w:rsidRPr="00FE0574" w:rsidRDefault="001A1C27" w:rsidP="00FE0574">
            <w:pPr>
              <w:jc w:val="center"/>
              <w:rPr>
                <w:color w:val="FF0000"/>
              </w:rPr>
            </w:pPr>
            <w:r>
              <w:rPr>
                <w:rFonts w:cs="Arial"/>
                <w:color w:val="FF0000"/>
              </w:rPr>
              <w:t>(18%)</w:t>
            </w:r>
          </w:p>
        </w:tc>
        <w:tc>
          <w:tcPr>
            <w:tcW w:w="1320" w:type="dxa"/>
          </w:tcPr>
          <w:p w14:paraId="0DE4ECC9" w14:textId="77777777" w:rsidR="001A1C27" w:rsidRDefault="001A1C27" w:rsidP="00350041">
            <w:pPr>
              <w:jc w:val="center"/>
              <w:rPr>
                <w:rFonts w:cs="Arial"/>
                <w:color w:val="FF0000"/>
              </w:rPr>
            </w:pPr>
            <w:r w:rsidRPr="00FE0574">
              <w:rPr>
                <w:rFonts w:cs="Arial"/>
                <w:color w:val="FF0000"/>
              </w:rPr>
              <w:t>6</w:t>
            </w:r>
          </w:p>
          <w:p w14:paraId="09F82890" w14:textId="225C946B" w:rsidR="001A1C27" w:rsidRPr="00FE0574" w:rsidRDefault="001A1C27" w:rsidP="00FE0574">
            <w:pPr>
              <w:jc w:val="center"/>
              <w:rPr>
                <w:color w:val="FF0000"/>
              </w:rPr>
            </w:pPr>
            <w:r>
              <w:rPr>
                <w:rFonts w:cs="Arial"/>
                <w:color w:val="FF0000"/>
              </w:rPr>
              <w:t>(15%)</w:t>
            </w:r>
          </w:p>
        </w:tc>
      </w:tr>
      <w:tr w:rsidR="001A1C27" w:rsidRPr="00FE0574" w14:paraId="73A2EA7A" w14:textId="089F1639" w:rsidTr="001A1C27">
        <w:tc>
          <w:tcPr>
            <w:tcW w:w="2802" w:type="dxa"/>
          </w:tcPr>
          <w:p w14:paraId="65582532" w14:textId="4C0A4C3F" w:rsidR="001A1C27" w:rsidRPr="00FE0574" w:rsidRDefault="001A1C27" w:rsidP="00FE0574">
            <w:pPr>
              <w:jc w:val="center"/>
              <w:rPr>
                <w:rFonts w:eastAsia="Times New Roman" w:cs="Arial"/>
                <w:color w:val="FF0000"/>
              </w:rPr>
            </w:pPr>
            <w:r w:rsidRPr="00FE0574">
              <w:rPr>
                <w:rFonts w:eastAsia="Times New Roman" w:cs="Arial"/>
                <w:b/>
                <w:color w:val="FF0000"/>
              </w:rPr>
              <w:t>Total</w:t>
            </w:r>
          </w:p>
        </w:tc>
        <w:tc>
          <w:tcPr>
            <w:tcW w:w="1599" w:type="dxa"/>
          </w:tcPr>
          <w:p w14:paraId="0E56282A" w14:textId="77777777" w:rsidR="001A1C27" w:rsidRPr="00FE0574" w:rsidRDefault="001A1C27" w:rsidP="00FE0574">
            <w:pPr>
              <w:jc w:val="center"/>
              <w:rPr>
                <w:rFonts w:cs="Arial"/>
                <w:color w:val="FF0000"/>
              </w:rPr>
            </w:pPr>
            <w:r w:rsidRPr="00FE0574">
              <w:rPr>
                <w:rFonts w:cs="Arial"/>
                <w:color w:val="FF0000"/>
              </w:rPr>
              <w:t>35</w:t>
            </w:r>
          </w:p>
          <w:p w14:paraId="0197E69B" w14:textId="1A4F8623" w:rsidR="001A1C27" w:rsidRPr="00FE0574" w:rsidRDefault="001A1C27" w:rsidP="00FE0574">
            <w:pPr>
              <w:jc w:val="center"/>
              <w:rPr>
                <w:color w:val="FF0000"/>
              </w:rPr>
            </w:pPr>
            <w:r w:rsidRPr="00FE0574">
              <w:rPr>
                <w:rFonts w:cs="Arial"/>
                <w:color w:val="FF0000"/>
              </w:rPr>
              <w:t>(100%)</w:t>
            </w:r>
          </w:p>
        </w:tc>
        <w:tc>
          <w:tcPr>
            <w:tcW w:w="1289" w:type="dxa"/>
          </w:tcPr>
          <w:p w14:paraId="4EC588B4" w14:textId="77777777" w:rsidR="001A1C27" w:rsidRPr="00FE0574" w:rsidRDefault="001A1C27" w:rsidP="00FE0574">
            <w:pPr>
              <w:jc w:val="center"/>
              <w:rPr>
                <w:rFonts w:cs="Arial"/>
                <w:color w:val="FF0000"/>
              </w:rPr>
            </w:pPr>
            <w:r w:rsidRPr="00FE0574">
              <w:rPr>
                <w:rFonts w:cs="Arial"/>
                <w:color w:val="FF0000"/>
              </w:rPr>
              <w:t>37</w:t>
            </w:r>
          </w:p>
          <w:p w14:paraId="3B7669F4" w14:textId="0B1A50F6" w:rsidR="001A1C27" w:rsidRPr="00FE0574" w:rsidRDefault="001A1C27" w:rsidP="00FE0574">
            <w:pPr>
              <w:jc w:val="center"/>
              <w:rPr>
                <w:color w:val="FF0000"/>
              </w:rPr>
            </w:pPr>
            <w:r w:rsidRPr="00FE0574">
              <w:rPr>
                <w:rFonts w:cs="Arial"/>
                <w:color w:val="FF0000"/>
              </w:rPr>
              <w:t>(100%)</w:t>
            </w:r>
          </w:p>
        </w:tc>
        <w:tc>
          <w:tcPr>
            <w:tcW w:w="1506" w:type="dxa"/>
          </w:tcPr>
          <w:p w14:paraId="00AFC4D8" w14:textId="77777777" w:rsidR="001A1C27" w:rsidRDefault="001A1C27" w:rsidP="00350041">
            <w:pPr>
              <w:jc w:val="center"/>
              <w:rPr>
                <w:rFonts w:cs="Arial"/>
                <w:color w:val="FF0000"/>
              </w:rPr>
            </w:pPr>
            <w:r w:rsidRPr="00FE0574">
              <w:rPr>
                <w:rFonts w:cs="Arial"/>
                <w:color w:val="FF0000"/>
              </w:rPr>
              <w:t>34</w:t>
            </w:r>
          </w:p>
          <w:p w14:paraId="48CB7E79" w14:textId="721F42CB" w:rsidR="001A1C27" w:rsidRPr="00FE0574" w:rsidRDefault="001A1C27" w:rsidP="00FE0574">
            <w:pPr>
              <w:jc w:val="center"/>
              <w:rPr>
                <w:color w:val="FF0000"/>
              </w:rPr>
            </w:pPr>
            <w:r>
              <w:rPr>
                <w:rFonts w:cs="Arial"/>
                <w:color w:val="FF0000"/>
              </w:rPr>
              <w:t>(100%)</w:t>
            </w:r>
          </w:p>
        </w:tc>
        <w:tc>
          <w:tcPr>
            <w:tcW w:w="1320" w:type="dxa"/>
          </w:tcPr>
          <w:p w14:paraId="792FDEF3" w14:textId="77777777" w:rsidR="001A1C27" w:rsidRDefault="001A1C27" w:rsidP="00350041">
            <w:pPr>
              <w:jc w:val="center"/>
              <w:rPr>
                <w:rFonts w:cs="Arial"/>
                <w:color w:val="FF0000"/>
              </w:rPr>
            </w:pPr>
            <w:r w:rsidRPr="00FE0574">
              <w:rPr>
                <w:rFonts w:cs="Arial"/>
                <w:color w:val="FF0000"/>
              </w:rPr>
              <w:t>39</w:t>
            </w:r>
          </w:p>
          <w:p w14:paraId="41BFBC2D" w14:textId="3C88FC1A" w:rsidR="001A1C27" w:rsidRPr="00FE0574" w:rsidRDefault="001A1C27" w:rsidP="00FE0574">
            <w:pPr>
              <w:jc w:val="center"/>
              <w:rPr>
                <w:color w:val="FF0000"/>
              </w:rPr>
            </w:pPr>
            <w:r>
              <w:rPr>
                <w:rFonts w:cs="Arial"/>
                <w:color w:val="FF0000"/>
              </w:rPr>
              <w:t>(100%)</w:t>
            </w:r>
          </w:p>
        </w:tc>
      </w:tr>
    </w:tbl>
    <w:p w14:paraId="7A193CE0" w14:textId="1D5EDD1C" w:rsidR="00FB02C5" w:rsidRDefault="0052096D" w:rsidP="0052096D">
      <w:pPr>
        <w:jc w:val="both"/>
        <w:rPr>
          <w:color w:val="FF0000"/>
        </w:rPr>
      </w:pPr>
      <w:r w:rsidRPr="0052096D">
        <w:rPr>
          <w:b/>
          <w:color w:val="FF0000"/>
        </w:rPr>
        <w:t>Figure 4:</w:t>
      </w:r>
      <w:r w:rsidRPr="0052096D">
        <w:rPr>
          <w:color w:val="FF0000"/>
        </w:rPr>
        <w:t xml:space="preserve"> the </w:t>
      </w:r>
      <w:r w:rsidR="00FB02C5">
        <w:rPr>
          <w:color w:val="FF0000"/>
        </w:rPr>
        <w:t>manner in which execution crowds were represented in newspaper reports in the Lancashire press, 1830-68.</w:t>
      </w:r>
    </w:p>
    <w:p w14:paraId="293F6D8A" w14:textId="77777777" w:rsidR="00FB02C5" w:rsidRDefault="00FB02C5" w:rsidP="0052096D">
      <w:pPr>
        <w:jc w:val="both"/>
        <w:rPr>
          <w:color w:val="FF0000"/>
        </w:rPr>
      </w:pPr>
    </w:p>
    <w:p w14:paraId="6D62F9CC" w14:textId="77777777" w:rsidR="00A85FEC" w:rsidRDefault="00A85FEC" w:rsidP="006A28FC">
      <w:pPr>
        <w:spacing w:line="480" w:lineRule="auto"/>
        <w:jc w:val="both"/>
      </w:pPr>
    </w:p>
    <w:p w14:paraId="3CA48C83" w14:textId="77777777" w:rsidR="002478A9" w:rsidRDefault="002478A9" w:rsidP="006A28FC">
      <w:pPr>
        <w:spacing w:line="480" w:lineRule="auto"/>
        <w:jc w:val="both"/>
      </w:pPr>
    </w:p>
    <w:p w14:paraId="71F1561B" w14:textId="0E6FDBEF" w:rsidR="00F31C2E" w:rsidRDefault="00F37675" w:rsidP="006A28FC">
      <w:pPr>
        <w:spacing w:line="480" w:lineRule="auto"/>
        <w:jc w:val="both"/>
      </w:pPr>
      <w:r>
        <w:tab/>
        <w:t>In the majority of exe</w:t>
      </w:r>
      <w:r w:rsidR="001E4FD2">
        <w:t xml:space="preserve">cution reportage in </w:t>
      </w:r>
      <w:r w:rsidR="001A1C27" w:rsidRPr="001A1C27">
        <w:rPr>
          <w:color w:val="FF0000"/>
        </w:rPr>
        <w:t xml:space="preserve">the </w:t>
      </w:r>
      <w:r w:rsidR="001A1C27" w:rsidRPr="001A1C27">
        <w:rPr>
          <w:i/>
          <w:color w:val="FF0000"/>
        </w:rPr>
        <w:t>Manchester Courier</w:t>
      </w:r>
      <w:r w:rsidR="001A1C27" w:rsidRPr="001A1C27">
        <w:rPr>
          <w:color w:val="FF0000"/>
        </w:rPr>
        <w:t xml:space="preserve">, </w:t>
      </w:r>
      <w:r w:rsidR="001A1C27" w:rsidRPr="001A1C27">
        <w:rPr>
          <w:i/>
          <w:color w:val="FF0000"/>
        </w:rPr>
        <w:t>Lancaster Gazette</w:t>
      </w:r>
      <w:r w:rsidR="001A1C27" w:rsidRPr="001A1C27">
        <w:rPr>
          <w:color w:val="FF0000"/>
        </w:rPr>
        <w:t xml:space="preserve"> and </w:t>
      </w:r>
      <w:r w:rsidR="001A1C27" w:rsidRPr="001A1C27">
        <w:rPr>
          <w:i/>
          <w:color w:val="FF0000"/>
        </w:rPr>
        <w:t>Manchester Times</w:t>
      </w:r>
      <w:r w:rsidR="001A1C27">
        <w:t xml:space="preserve">, </w:t>
      </w:r>
      <w:r>
        <w:t xml:space="preserve">execution crowds were typically described in a </w:t>
      </w:r>
      <w:r w:rsidR="001A1C27" w:rsidRPr="001A1C27">
        <w:rPr>
          <w:color w:val="FF0000"/>
        </w:rPr>
        <w:t>general</w:t>
      </w:r>
      <w:r w:rsidR="00C13430" w:rsidRPr="001A1C27">
        <w:rPr>
          <w:color w:val="FF0000"/>
        </w:rPr>
        <w:t xml:space="preserve"> </w:t>
      </w:r>
      <w:r w:rsidR="00C13430">
        <w:t xml:space="preserve">manner; </w:t>
      </w:r>
      <w:r w:rsidR="00291706" w:rsidRPr="00291706">
        <w:rPr>
          <w:color w:val="FF0000"/>
        </w:rPr>
        <w:t xml:space="preserve">between a quarter and two-fifths of </w:t>
      </w:r>
      <w:r w:rsidRPr="00291706">
        <w:rPr>
          <w:color w:val="FF0000"/>
        </w:rPr>
        <w:t xml:space="preserve">the reports </w:t>
      </w:r>
      <w:r w:rsidR="00291706" w:rsidRPr="00291706">
        <w:rPr>
          <w:color w:val="FF0000"/>
        </w:rPr>
        <w:t>simply commented</w:t>
      </w:r>
      <w:r w:rsidR="00291706">
        <w:t xml:space="preserve"> </w:t>
      </w:r>
      <w:r>
        <w:t xml:space="preserve">on their size and </w:t>
      </w:r>
      <w:r w:rsidR="00163687">
        <w:t>composition</w:t>
      </w:r>
      <w:r w:rsidR="00C13430">
        <w:t xml:space="preserve"> without passing any </w:t>
      </w:r>
      <w:r w:rsidR="007109D8">
        <w:t xml:space="preserve">real </w:t>
      </w:r>
      <w:r w:rsidR="00C13430">
        <w:t>comment, either</w:t>
      </w:r>
      <w:r w:rsidR="00F31C2E">
        <w:t xml:space="preserve"> positive or negative</w:t>
      </w:r>
      <w:r>
        <w:t>.</w:t>
      </w:r>
      <w:r w:rsidR="00755CAA">
        <w:rPr>
          <w:rStyle w:val="EndnoteReference"/>
        </w:rPr>
        <w:endnoteReference w:id="18"/>
      </w:r>
      <w:r>
        <w:t xml:space="preserve"> </w:t>
      </w:r>
      <w:r w:rsidR="00755CAA">
        <w:t xml:space="preserve">The crowd that witnessed the execution of </w:t>
      </w:r>
      <w:r w:rsidR="00C13430" w:rsidRPr="00422013">
        <w:t>J</w:t>
      </w:r>
      <w:r w:rsidR="00422013" w:rsidRPr="00422013">
        <w:t>ames</w:t>
      </w:r>
      <w:r w:rsidR="00755CAA">
        <w:t xml:space="preserve"> Barlow in August 1835, for example, was described by the </w:t>
      </w:r>
      <w:r w:rsidR="00755CAA" w:rsidRPr="00755CAA">
        <w:rPr>
          <w:i/>
        </w:rPr>
        <w:t>Manchester Courier</w:t>
      </w:r>
      <w:r w:rsidR="00755CAA">
        <w:t xml:space="preserve"> simply as </w:t>
      </w:r>
      <w:r w:rsidR="0075753F">
        <w:t>‘</w:t>
      </w:r>
      <w:r w:rsidR="000655DC" w:rsidRPr="00755CAA">
        <w:t>immense, and has been estimated at b</w:t>
      </w:r>
      <w:r w:rsidR="00755CAA">
        <w:t>etween forty and fifty thousand</w:t>
      </w:r>
      <w:r w:rsidR="0075753F">
        <w:t>’</w:t>
      </w:r>
      <w:r w:rsidR="00755CAA">
        <w:t>, while</w:t>
      </w:r>
      <w:r w:rsidR="00C13430">
        <w:t xml:space="preserve">, according to the </w:t>
      </w:r>
      <w:r w:rsidR="00C13430" w:rsidRPr="00C13430">
        <w:rPr>
          <w:i/>
        </w:rPr>
        <w:t>Manchester Times</w:t>
      </w:r>
      <w:r w:rsidR="00C13430">
        <w:t>,</w:t>
      </w:r>
      <w:r w:rsidR="00755CAA">
        <w:t xml:space="preserve"> </w:t>
      </w:r>
      <w:r w:rsidR="0075753F">
        <w:t>‘</w:t>
      </w:r>
      <w:r w:rsidR="00755CAA">
        <w:t>about 8,000 people</w:t>
      </w:r>
      <w:r w:rsidR="0075753F">
        <w:t>’</w:t>
      </w:r>
      <w:r w:rsidR="00755CAA">
        <w:t xml:space="preserve"> gathered in the rain to witness that of </w:t>
      </w:r>
      <w:r w:rsidR="00C13430">
        <w:t>Patrick M’Caffery in 1862.</w:t>
      </w:r>
      <w:r w:rsidR="000655DC" w:rsidRPr="00AD2856">
        <w:rPr>
          <w:sz w:val="22"/>
          <w:szCs w:val="22"/>
          <w:vertAlign w:val="superscript"/>
        </w:rPr>
        <w:endnoteReference w:id="19"/>
      </w:r>
      <w:r w:rsidR="00C13430">
        <w:t xml:space="preserve"> </w:t>
      </w:r>
      <w:r w:rsidR="00A82648">
        <w:t xml:space="preserve">Similarly, in its report of the execution of Thomas Miller in Lancaster in April 1830, the </w:t>
      </w:r>
      <w:r w:rsidR="00A82648" w:rsidRPr="00A82648">
        <w:rPr>
          <w:i/>
        </w:rPr>
        <w:t>Lancaster Gazette</w:t>
      </w:r>
      <w:r w:rsidR="00A82648">
        <w:t xml:space="preserve"> described how </w:t>
      </w:r>
      <w:r w:rsidR="0075753F">
        <w:t>‘</w:t>
      </w:r>
      <w:r w:rsidR="00A82648" w:rsidRPr="00A82648">
        <w:t>a vast crowd had assembled to witness the end of the unfortunate wretch</w:t>
      </w:r>
      <w:r w:rsidR="0075753F">
        <w:t>’</w:t>
      </w:r>
      <w:r w:rsidR="00A82648">
        <w:t xml:space="preserve">, adding how </w:t>
      </w:r>
      <w:r w:rsidR="0075753F">
        <w:t>‘</w:t>
      </w:r>
      <w:r w:rsidR="00A82648" w:rsidRPr="00A82648">
        <w:t>every place which afforded a view of the fatal spot, both in the Church-yard and on the Castle parade was literally crowded to excess</w:t>
      </w:r>
      <w:r w:rsidR="0075753F">
        <w:t>’</w:t>
      </w:r>
      <w:r w:rsidR="00A82648">
        <w:t>.</w:t>
      </w:r>
      <w:r w:rsidR="00A82648">
        <w:rPr>
          <w:rStyle w:val="EndnoteReference"/>
        </w:rPr>
        <w:endnoteReference w:id="20"/>
      </w:r>
      <w:r w:rsidR="00F31C2E">
        <w:t xml:space="preserve"> </w:t>
      </w:r>
    </w:p>
    <w:p w14:paraId="426924A3" w14:textId="77777777" w:rsidR="00F31C2E" w:rsidRDefault="00F31C2E" w:rsidP="006A28FC">
      <w:pPr>
        <w:spacing w:line="480" w:lineRule="auto"/>
        <w:jc w:val="both"/>
      </w:pPr>
    </w:p>
    <w:p w14:paraId="25061DA6" w14:textId="3C5B2333" w:rsidR="00EE57C9" w:rsidRPr="00E32383" w:rsidRDefault="00C13430" w:rsidP="00E32383">
      <w:pPr>
        <w:spacing w:line="480" w:lineRule="auto"/>
        <w:ind w:firstLine="720"/>
        <w:jc w:val="both"/>
      </w:pPr>
      <w:r>
        <w:t xml:space="preserve">Other reports </w:t>
      </w:r>
      <w:r w:rsidR="00E32383" w:rsidRPr="00E32383">
        <w:rPr>
          <w:color w:val="FF0000"/>
        </w:rPr>
        <w:t xml:space="preserve">– between 17% and a quarter – </w:t>
      </w:r>
      <w:r>
        <w:t xml:space="preserve">went further, providing </w:t>
      </w:r>
      <w:r w:rsidR="00CA09A7">
        <w:t xml:space="preserve">often-detailed </w:t>
      </w:r>
      <w:r>
        <w:t>description</w:t>
      </w:r>
      <w:r w:rsidR="00537CB6">
        <w:t>s</w:t>
      </w:r>
      <w:r w:rsidR="00CA09A7">
        <w:t xml:space="preserve"> </w:t>
      </w:r>
      <w:r>
        <w:t>of the crowds</w:t>
      </w:r>
      <w:r w:rsidR="00CA09A7">
        <w:t xml:space="preserve">, describing </w:t>
      </w:r>
      <w:r w:rsidR="007109D8">
        <w:t xml:space="preserve">from where people had travelled to witness the execution, the types of people present, </w:t>
      </w:r>
      <w:r w:rsidR="00CA09A7">
        <w:t>as well as their behaviour</w:t>
      </w:r>
      <w:r>
        <w:t>.</w:t>
      </w:r>
      <w:r w:rsidR="00864ACD">
        <w:t xml:space="preserve"> </w:t>
      </w:r>
      <w:r w:rsidR="00864ACD" w:rsidRPr="00864ACD">
        <w:rPr>
          <w:i/>
        </w:rPr>
        <w:t>The Manchester Times,</w:t>
      </w:r>
      <w:r w:rsidR="00864ACD">
        <w:t xml:space="preserve"> for example, described how the execution of Jonathan Heywood in 1856 </w:t>
      </w:r>
      <w:r w:rsidR="0075753F">
        <w:t>‘</w:t>
      </w:r>
      <w:r w:rsidR="00864ACD" w:rsidRPr="00864ACD">
        <w:t>was witnessed by nearly 10,000 persons, chiefly of the lowest caste, but including a few hundreds of country people, apparently from</w:t>
      </w:r>
      <w:r w:rsidR="00864ACD">
        <w:t xml:space="preserve"> Rochdale and its neighbourhood</w:t>
      </w:r>
      <w:r w:rsidR="0075753F">
        <w:t>’</w:t>
      </w:r>
      <w:r w:rsidR="00864ACD">
        <w:t>.</w:t>
      </w:r>
      <w:r w:rsidR="00864ACD">
        <w:rPr>
          <w:rStyle w:val="EndnoteReference"/>
        </w:rPr>
        <w:endnoteReference w:id="21"/>
      </w:r>
      <w:r w:rsidR="00864ACD">
        <w:t xml:space="preserve"> Similarly, The </w:t>
      </w:r>
      <w:r w:rsidR="00864ACD" w:rsidRPr="00864ACD">
        <w:rPr>
          <w:i/>
        </w:rPr>
        <w:t>Lancaster Gazette</w:t>
      </w:r>
      <w:r w:rsidR="00864ACD">
        <w:t xml:space="preserve"> detailed how the majority of the estimated 100,000 persons that attended the execution of </w:t>
      </w:r>
      <w:r w:rsidR="00864ACD">
        <w:lastRenderedPageBreak/>
        <w:t xml:space="preserve">William Taylor and John Ward in 1862 </w:t>
      </w:r>
      <w:r w:rsidR="0075753F">
        <w:t>‘</w:t>
      </w:r>
      <w:r w:rsidR="00864ACD">
        <w:t>…</w:t>
      </w:r>
      <w:r w:rsidR="00864ACD" w:rsidRPr="00864ACD">
        <w:t xml:space="preserve">came from Liverpool and the immediate neighbourhood, but a great many were known to have walked from Ashton-under-Lyne, </w:t>
      </w:r>
      <w:r w:rsidR="001111C8" w:rsidRPr="00864ACD">
        <w:t>Oldham</w:t>
      </w:r>
      <w:r w:rsidR="00864ACD" w:rsidRPr="00864ACD">
        <w:t>, and Manchester, carrying their provisions with them</w:t>
      </w:r>
      <w:r w:rsidR="0075753F">
        <w:t>’</w:t>
      </w:r>
      <w:r w:rsidR="00864ACD">
        <w:t xml:space="preserve">. </w:t>
      </w:r>
      <w:r w:rsidR="0075753F">
        <w:t>‘</w:t>
      </w:r>
      <w:r w:rsidR="00864ACD">
        <w:t>More than a thousand persons</w:t>
      </w:r>
      <w:r w:rsidR="0075753F">
        <w:t>’</w:t>
      </w:r>
      <w:r w:rsidR="00864ACD">
        <w:t xml:space="preserve">, the newspaper went on, </w:t>
      </w:r>
      <w:r w:rsidR="0075753F">
        <w:t>‘</w:t>
      </w:r>
      <w:r w:rsidR="00864ACD">
        <w:t>camped out in the brickfields in front of the gaol during the night, and 400 slept at the Warrington workhouse, on their way to the scene</w:t>
      </w:r>
      <w:r w:rsidR="0075753F">
        <w:t>’</w:t>
      </w:r>
      <w:r w:rsidR="00864ACD">
        <w:t>.</w:t>
      </w:r>
      <w:r w:rsidR="00EE57C9">
        <w:t xml:space="preserve"> </w:t>
      </w:r>
      <w:r w:rsidR="00EE57C9" w:rsidRPr="00864ACD">
        <w:rPr>
          <w:vertAlign w:val="superscript"/>
        </w:rPr>
        <w:endnoteReference w:id="22"/>
      </w:r>
      <w:r w:rsidR="006455DE">
        <w:rPr>
          <w:sz w:val="22"/>
          <w:szCs w:val="22"/>
          <w:vertAlign w:val="superscript"/>
        </w:rPr>
        <w:t xml:space="preserve"> </w:t>
      </w:r>
      <w:r w:rsidR="006455DE">
        <w:t xml:space="preserve">In an article that it republished from the </w:t>
      </w:r>
      <w:r w:rsidR="006455DE" w:rsidRPr="006455DE">
        <w:rPr>
          <w:i/>
        </w:rPr>
        <w:t>Liverpool Mercury</w:t>
      </w:r>
      <w:r w:rsidR="006455DE">
        <w:t xml:space="preserve">, the </w:t>
      </w:r>
      <w:r w:rsidR="006455DE" w:rsidRPr="006455DE">
        <w:rPr>
          <w:i/>
        </w:rPr>
        <w:t>Manchester Times</w:t>
      </w:r>
      <w:r w:rsidR="006455DE">
        <w:t xml:space="preserve"> described </w:t>
      </w:r>
      <w:r w:rsidR="00EE57C9">
        <w:t xml:space="preserve">in great detail the composition of the crowd that attended the execution of Henry Reid in 1859; </w:t>
      </w:r>
    </w:p>
    <w:p w14:paraId="457FD1AA" w14:textId="77777777" w:rsidR="00245878" w:rsidRPr="00245878" w:rsidRDefault="00245878" w:rsidP="006A28FC">
      <w:pPr>
        <w:spacing w:line="480" w:lineRule="auto"/>
        <w:ind w:firstLine="720"/>
        <w:jc w:val="both"/>
        <w:rPr>
          <w:sz w:val="22"/>
          <w:szCs w:val="22"/>
          <w:vertAlign w:val="superscript"/>
        </w:rPr>
      </w:pPr>
    </w:p>
    <w:p w14:paraId="6A0C2D9B" w14:textId="0029690F" w:rsidR="00EE57C9" w:rsidRDefault="00245878" w:rsidP="006A28FC">
      <w:pPr>
        <w:spacing w:line="480" w:lineRule="auto"/>
        <w:ind w:left="567"/>
        <w:jc w:val="both"/>
      </w:pPr>
      <w:r>
        <w:t>…</w:t>
      </w:r>
      <w:r w:rsidR="00EE57C9">
        <w:t>we found the policemen almost as numerous as the spectators, then chiefly confined to lads in their working attire, and a female here and there. One respect</w:t>
      </w:r>
      <w:r w:rsidR="00A1250E" w:rsidRPr="00A1250E">
        <w:rPr>
          <w:color w:val="FF0000"/>
        </w:rPr>
        <w:t>ably</w:t>
      </w:r>
      <w:r w:rsidR="00EE57C9">
        <w:t>-dressed young couple had taken a seat by the side of the pile of bricks in the field opposite the scaffold. Another very lady-like young person was observed endeavouring to get a view of the scaffold without herself being seen…The respect</w:t>
      </w:r>
      <w:r w:rsidR="00A1250E" w:rsidRPr="00A1250E">
        <w:rPr>
          <w:color w:val="FF0000"/>
        </w:rPr>
        <w:t>ably</w:t>
      </w:r>
      <w:r w:rsidR="00EE57C9">
        <w:t>-attired female who stood immediately in front of the gallows and close to the barrier, gazing intently at the dread instrument of death, had with her a little girl whom she held by the hand, besides another in her arms, and her appearance indicated that she was far advanced in pregnancy</w:t>
      </w:r>
      <w:r>
        <w:t>…</w:t>
      </w:r>
      <w:r w:rsidRPr="00245878">
        <w:t xml:space="preserve"> </w:t>
      </w:r>
      <w:r>
        <w:t xml:space="preserve">Some of them whiled away the time in smoking, talking, and passing jokes amongst </w:t>
      </w:r>
      <w:r w:rsidR="001111C8">
        <w:t>themselves</w:t>
      </w:r>
      <w:r>
        <w:t xml:space="preserve">. A few at the lower end of the field were regularly </w:t>
      </w:r>
      <w:r w:rsidR="001111C8">
        <w:t>regaling</w:t>
      </w:r>
      <w:r>
        <w:t xml:space="preserve"> themselves with spirits, which they drank from bottles they had brought with them. The juvenile portion of the crowd amused themselves by playing at pitch and toss and other games, apparently indifferent to the tragic scene which was about to be enacted.</w:t>
      </w:r>
      <w:r>
        <w:rPr>
          <w:rStyle w:val="EndnoteReference"/>
        </w:rPr>
        <w:endnoteReference w:id="23"/>
      </w:r>
      <w:r>
        <w:t xml:space="preserve"> </w:t>
      </w:r>
      <w:r w:rsidR="00EE57C9" w:rsidRPr="00EE57C9">
        <w:t xml:space="preserve"> </w:t>
      </w:r>
    </w:p>
    <w:p w14:paraId="2B2C1786" w14:textId="76AC3534" w:rsidR="008C1A96" w:rsidRDefault="00864ACD" w:rsidP="006A28FC">
      <w:pPr>
        <w:spacing w:line="480" w:lineRule="auto"/>
        <w:ind w:firstLine="720"/>
        <w:jc w:val="both"/>
        <w:rPr>
          <w:sz w:val="22"/>
          <w:szCs w:val="22"/>
          <w:vertAlign w:val="superscript"/>
        </w:rPr>
      </w:pPr>
      <w:r w:rsidRPr="00864ACD">
        <w:rPr>
          <w:sz w:val="22"/>
          <w:szCs w:val="22"/>
          <w:vertAlign w:val="superscript"/>
        </w:rPr>
        <w:t xml:space="preserve"> </w:t>
      </w:r>
    </w:p>
    <w:p w14:paraId="3B1F9333" w14:textId="5FD0B69D" w:rsidR="000655DC" w:rsidRDefault="00245878" w:rsidP="006A28FC">
      <w:pPr>
        <w:spacing w:line="480" w:lineRule="auto"/>
        <w:jc w:val="both"/>
      </w:pPr>
      <w:r>
        <w:lastRenderedPageBreak/>
        <w:t>That is not to deny</w:t>
      </w:r>
      <w:r w:rsidR="00436345">
        <w:t xml:space="preserve"> that in some cases, these more detailed reports contained passing criticism of an aspect of a particular crowd’s composition, behaviour or perceived attitude to the execution scene. </w:t>
      </w:r>
      <w:r w:rsidR="003B7214">
        <w:t xml:space="preserve">The </w:t>
      </w:r>
      <w:r w:rsidR="003B7214" w:rsidRPr="003B7214">
        <w:rPr>
          <w:i/>
        </w:rPr>
        <w:t>Manchester Courier</w:t>
      </w:r>
      <w:r w:rsidR="003B7214">
        <w:t xml:space="preserve">, for example, described how the execution of Gleeson Wilson in 1849 </w:t>
      </w:r>
      <w:r w:rsidR="0075753F">
        <w:t>‘</w:t>
      </w:r>
      <w:r w:rsidR="0065702A" w:rsidRPr="0065702A">
        <w:t>had the appearance of a fair</w:t>
      </w:r>
      <w:r w:rsidR="0075753F">
        <w:t>’</w:t>
      </w:r>
      <w:r w:rsidR="0065702A">
        <w:t xml:space="preserve">, adding that </w:t>
      </w:r>
      <w:r w:rsidR="0075753F">
        <w:t>‘</w:t>
      </w:r>
      <w:r w:rsidR="0065702A">
        <w:t>Even ladies, we believe, came from distant parts to see the dreadful spectacle</w:t>
      </w:r>
      <w:r w:rsidR="0075753F">
        <w:t>’</w:t>
      </w:r>
      <w:r w:rsidR="0065702A">
        <w:t>.</w:t>
      </w:r>
      <w:r w:rsidR="0065702A">
        <w:rPr>
          <w:rStyle w:val="EndnoteReference"/>
        </w:rPr>
        <w:endnoteReference w:id="24"/>
      </w:r>
      <w:r w:rsidR="0065702A">
        <w:t xml:space="preserve"> However, the general tone of </w:t>
      </w:r>
      <w:r w:rsidR="00F81527">
        <w:t>around</w:t>
      </w:r>
      <w:r w:rsidR="0065702A">
        <w:t xml:space="preserve"> half of the articles sampled </w:t>
      </w:r>
      <w:r w:rsidR="00F81527">
        <w:t>from each of the three newspap</w:t>
      </w:r>
      <w:r w:rsidR="001E4FD2">
        <w:t>ers was broadly neutral in tone, pa</w:t>
      </w:r>
      <w:r w:rsidR="004E3D0A">
        <w:t>s</w:t>
      </w:r>
      <w:r w:rsidR="001E4FD2">
        <w:t>sing no comment – either positive or negative – on the crowds and their behavio</w:t>
      </w:r>
      <w:r w:rsidR="001111C8">
        <w:t>u</w:t>
      </w:r>
      <w:r w:rsidR="001E4FD2">
        <w:t>r.</w:t>
      </w:r>
    </w:p>
    <w:p w14:paraId="65D86959" w14:textId="77777777" w:rsidR="00436345" w:rsidRDefault="00436345" w:rsidP="006A28FC">
      <w:pPr>
        <w:spacing w:line="480" w:lineRule="auto"/>
        <w:jc w:val="both"/>
      </w:pPr>
    </w:p>
    <w:p w14:paraId="1C3B6280" w14:textId="6F24B34D" w:rsidR="00023863" w:rsidRDefault="00612B3E" w:rsidP="006A28FC">
      <w:pPr>
        <w:spacing w:line="480" w:lineRule="auto"/>
        <w:jc w:val="both"/>
      </w:pPr>
      <w:r>
        <w:tab/>
        <w:t xml:space="preserve">Negative representations of execution crowds were found in a much lower proportion of the </w:t>
      </w:r>
      <w:r w:rsidR="001E4FD2" w:rsidRPr="001E4FD2">
        <w:rPr>
          <w:i/>
        </w:rPr>
        <w:t xml:space="preserve">Manchester Times, Lancaster Gazette </w:t>
      </w:r>
      <w:r w:rsidR="001E4FD2" w:rsidRPr="001E4FD2">
        <w:t>and</w:t>
      </w:r>
      <w:r w:rsidR="001E4FD2" w:rsidRPr="001E4FD2">
        <w:rPr>
          <w:i/>
        </w:rPr>
        <w:t xml:space="preserve"> Manchester Courier</w:t>
      </w:r>
      <w:r w:rsidR="001E4FD2" w:rsidRPr="001E4FD2">
        <w:t>’s reports</w:t>
      </w:r>
      <w:r w:rsidRPr="001E4FD2">
        <w:t xml:space="preserve">, </w:t>
      </w:r>
      <w:r>
        <w:t xml:space="preserve">ranging from </w:t>
      </w:r>
      <w:r w:rsidR="00023863">
        <w:t>just over</w:t>
      </w:r>
      <w:r>
        <w:t xml:space="preserve"> one in ten (</w:t>
      </w:r>
      <w:r w:rsidRPr="00612B3E">
        <w:rPr>
          <w:i/>
        </w:rPr>
        <w:t xml:space="preserve">Manchester </w:t>
      </w:r>
      <w:r w:rsidR="00023863">
        <w:rPr>
          <w:i/>
        </w:rPr>
        <w:t>Courier</w:t>
      </w:r>
      <w:r>
        <w:t xml:space="preserve">) to </w:t>
      </w:r>
      <w:r w:rsidR="00023863">
        <w:t>around a</w:t>
      </w:r>
      <w:r>
        <w:t xml:space="preserve"> third (</w:t>
      </w:r>
      <w:r w:rsidRPr="00612B3E">
        <w:rPr>
          <w:i/>
        </w:rPr>
        <w:t>Lancaster Gazette</w:t>
      </w:r>
      <w:r>
        <w:t xml:space="preserve">). Moreover, </w:t>
      </w:r>
      <w:r w:rsidR="00023863" w:rsidRPr="00023863">
        <w:rPr>
          <w:color w:val="FF0000"/>
        </w:rPr>
        <w:t>as can be seen in figure 5</w:t>
      </w:r>
      <w:r w:rsidR="00023863">
        <w:t xml:space="preserve">, </w:t>
      </w:r>
      <w:r>
        <w:t>no clear pattern may be discerned in t</w:t>
      </w:r>
      <w:r w:rsidR="00023863">
        <w:t>he pattern of negative reports:</w:t>
      </w:r>
    </w:p>
    <w:p w14:paraId="30AFF464" w14:textId="77777777" w:rsidR="00FB7134" w:rsidRDefault="00FB7134" w:rsidP="006A28FC">
      <w:pPr>
        <w:spacing w:line="480" w:lineRule="auto"/>
        <w:jc w:val="both"/>
      </w:pPr>
    </w:p>
    <w:tbl>
      <w:tblPr>
        <w:tblStyle w:val="TableGrid"/>
        <w:tblW w:w="0" w:type="auto"/>
        <w:tblLook w:val="04A0" w:firstRow="1" w:lastRow="0" w:firstColumn="1" w:lastColumn="0" w:noHBand="0" w:noVBand="1"/>
      </w:tblPr>
      <w:tblGrid>
        <w:gridCol w:w="1209"/>
        <w:gridCol w:w="1577"/>
        <w:gridCol w:w="1470"/>
        <w:gridCol w:w="1438"/>
        <w:gridCol w:w="1578"/>
        <w:gridCol w:w="1018"/>
      </w:tblGrid>
      <w:tr w:rsidR="00E6074C" w:rsidRPr="00CA4E46" w14:paraId="128FEDB9" w14:textId="6C99B5D8" w:rsidTr="00E6074C">
        <w:tc>
          <w:tcPr>
            <w:tcW w:w="1298" w:type="dxa"/>
            <w:vMerge w:val="restart"/>
          </w:tcPr>
          <w:p w14:paraId="19434365" w14:textId="31CFA6A1" w:rsidR="00E6074C" w:rsidRPr="00CA4E46" w:rsidRDefault="00E6074C" w:rsidP="00CA4E46">
            <w:pPr>
              <w:jc w:val="center"/>
              <w:rPr>
                <w:color w:val="FF0000"/>
              </w:rPr>
            </w:pPr>
            <w:r w:rsidRPr="00CA4E46">
              <w:rPr>
                <w:color w:val="FF0000"/>
              </w:rPr>
              <w:t>Years</w:t>
            </w:r>
          </w:p>
        </w:tc>
        <w:tc>
          <w:tcPr>
            <w:tcW w:w="6199" w:type="dxa"/>
            <w:gridSpan w:val="4"/>
          </w:tcPr>
          <w:p w14:paraId="29C8AC8A" w14:textId="1A6BBA1D" w:rsidR="00E6074C" w:rsidRPr="00CA4E46" w:rsidRDefault="00E6074C" w:rsidP="00CA4E46">
            <w:pPr>
              <w:jc w:val="center"/>
              <w:rPr>
                <w:b/>
                <w:color w:val="FF0000"/>
              </w:rPr>
            </w:pPr>
            <w:r w:rsidRPr="00CA4E46">
              <w:rPr>
                <w:b/>
                <w:color w:val="FF0000"/>
              </w:rPr>
              <w:t>Newspaper</w:t>
            </w:r>
          </w:p>
        </w:tc>
        <w:tc>
          <w:tcPr>
            <w:tcW w:w="1019" w:type="dxa"/>
            <w:vMerge w:val="restart"/>
          </w:tcPr>
          <w:p w14:paraId="5FE2145B" w14:textId="248F8917" w:rsidR="00E6074C" w:rsidRPr="00CA4E46" w:rsidRDefault="00E6074C" w:rsidP="00CA4E46">
            <w:pPr>
              <w:jc w:val="center"/>
              <w:rPr>
                <w:b/>
                <w:color w:val="FF0000"/>
              </w:rPr>
            </w:pPr>
            <w:r>
              <w:rPr>
                <w:b/>
                <w:color w:val="FF0000"/>
              </w:rPr>
              <w:t>Total</w:t>
            </w:r>
          </w:p>
        </w:tc>
      </w:tr>
      <w:tr w:rsidR="00E6074C" w:rsidRPr="00CA4E46" w14:paraId="22B06CFA" w14:textId="7F33CEAE" w:rsidTr="00E6074C">
        <w:tc>
          <w:tcPr>
            <w:tcW w:w="1298" w:type="dxa"/>
            <w:vMerge/>
          </w:tcPr>
          <w:p w14:paraId="686A1584" w14:textId="77777777" w:rsidR="00E6074C" w:rsidRPr="00CA4E46" w:rsidRDefault="00E6074C" w:rsidP="00CA4E46">
            <w:pPr>
              <w:jc w:val="center"/>
              <w:rPr>
                <w:color w:val="FF0000"/>
              </w:rPr>
            </w:pPr>
          </w:p>
        </w:tc>
        <w:tc>
          <w:tcPr>
            <w:tcW w:w="1600" w:type="dxa"/>
          </w:tcPr>
          <w:p w14:paraId="48C867A8" w14:textId="71E1104F" w:rsidR="00E6074C" w:rsidRPr="00CA4E46" w:rsidRDefault="00E6074C" w:rsidP="00CA4E46">
            <w:pPr>
              <w:jc w:val="center"/>
              <w:rPr>
                <w:b/>
                <w:i/>
                <w:color w:val="FF0000"/>
              </w:rPr>
            </w:pPr>
            <w:r w:rsidRPr="00CA4E46">
              <w:rPr>
                <w:b/>
                <w:i/>
                <w:color w:val="FF0000"/>
              </w:rPr>
              <w:t>Manchester Courier</w:t>
            </w:r>
          </w:p>
        </w:tc>
        <w:tc>
          <w:tcPr>
            <w:tcW w:w="1512" w:type="dxa"/>
          </w:tcPr>
          <w:p w14:paraId="4B3D77CA" w14:textId="0E0CCB3F" w:rsidR="00E6074C" w:rsidRPr="00CA4E46" w:rsidRDefault="00E6074C" w:rsidP="00CA4E46">
            <w:pPr>
              <w:jc w:val="center"/>
              <w:rPr>
                <w:b/>
                <w:i/>
                <w:color w:val="FF0000"/>
              </w:rPr>
            </w:pPr>
            <w:r w:rsidRPr="00CA4E46">
              <w:rPr>
                <w:b/>
                <w:i/>
                <w:color w:val="FF0000"/>
              </w:rPr>
              <w:t>Lancaster Gazette</w:t>
            </w:r>
          </w:p>
        </w:tc>
        <w:tc>
          <w:tcPr>
            <w:tcW w:w="1486" w:type="dxa"/>
          </w:tcPr>
          <w:p w14:paraId="10295F78" w14:textId="1BDDEE9B" w:rsidR="00E6074C" w:rsidRPr="00CA4E46" w:rsidRDefault="00E6074C" w:rsidP="00CA4E46">
            <w:pPr>
              <w:jc w:val="center"/>
              <w:rPr>
                <w:b/>
                <w:i/>
                <w:color w:val="FF0000"/>
              </w:rPr>
            </w:pPr>
            <w:r w:rsidRPr="00CA4E46">
              <w:rPr>
                <w:b/>
                <w:i/>
                <w:color w:val="FF0000"/>
              </w:rPr>
              <w:t>Liverpool Mercury</w:t>
            </w:r>
          </w:p>
        </w:tc>
        <w:tc>
          <w:tcPr>
            <w:tcW w:w="1601" w:type="dxa"/>
          </w:tcPr>
          <w:p w14:paraId="1E404554" w14:textId="2C17650F" w:rsidR="00E6074C" w:rsidRPr="00CA4E46" w:rsidRDefault="00E6074C" w:rsidP="00CA4E46">
            <w:pPr>
              <w:jc w:val="center"/>
              <w:rPr>
                <w:b/>
                <w:i/>
                <w:color w:val="FF0000"/>
              </w:rPr>
            </w:pPr>
            <w:r w:rsidRPr="00CA4E46">
              <w:rPr>
                <w:b/>
                <w:i/>
                <w:color w:val="FF0000"/>
              </w:rPr>
              <w:t>Manchester Times</w:t>
            </w:r>
          </w:p>
        </w:tc>
        <w:tc>
          <w:tcPr>
            <w:tcW w:w="1019" w:type="dxa"/>
            <w:vMerge/>
          </w:tcPr>
          <w:p w14:paraId="018CF16F" w14:textId="77777777" w:rsidR="00E6074C" w:rsidRPr="00CA4E46" w:rsidRDefault="00E6074C" w:rsidP="00CA4E46">
            <w:pPr>
              <w:jc w:val="center"/>
              <w:rPr>
                <w:b/>
                <w:i/>
                <w:color w:val="FF0000"/>
              </w:rPr>
            </w:pPr>
          </w:p>
        </w:tc>
      </w:tr>
      <w:tr w:rsidR="00E6074C" w:rsidRPr="00CA4E46" w14:paraId="6C1C3C55" w14:textId="1716EB7F" w:rsidTr="00E6074C">
        <w:tc>
          <w:tcPr>
            <w:tcW w:w="1298" w:type="dxa"/>
          </w:tcPr>
          <w:p w14:paraId="655174E8" w14:textId="6A44C810" w:rsidR="00E6074C" w:rsidRPr="00CA4E46" w:rsidRDefault="00E6074C" w:rsidP="00CA4E46">
            <w:pPr>
              <w:jc w:val="center"/>
              <w:rPr>
                <w:color w:val="FF0000"/>
              </w:rPr>
            </w:pPr>
            <w:r w:rsidRPr="00CA4E46">
              <w:rPr>
                <w:color w:val="FF0000"/>
              </w:rPr>
              <w:t>1830-9</w:t>
            </w:r>
          </w:p>
        </w:tc>
        <w:tc>
          <w:tcPr>
            <w:tcW w:w="1600" w:type="dxa"/>
          </w:tcPr>
          <w:p w14:paraId="6D8511AB" w14:textId="77777777" w:rsidR="00E6074C" w:rsidRDefault="00E6074C" w:rsidP="00CA4E46">
            <w:pPr>
              <w:jc w:val="center"/>
              <w:rPr>
                <w:color w:val="FF0000"/>
              </w:rPr>
            </w:pPr>
            <w:r w:rsidRPr="00CA4E46">
              <w:rPr>
                <w:color w:val="FF0000"/>
              </w:rPr>
              <w:t>10%</w:t>
            </w:r>
          </w:p>
          <w:p w14:paraId="00FECA11" w14:textId="2503CA2E" w:rsidR="00E6074C" w:rsidRPr="00CA4E46" w:rsidRDefault="00E6074C" w:rsidP="00CA4E46">
            <w:pPr>
              <w:jc w:val="center"/>
              <w:rPr>
                <w:color w:val="FF0000"/>
              </w:rPr>
            </w:pPr>
            <w:r>
              <w:rPr>
                <w:color w:val="FF0000"/>
              </w:rPr>
              <w:t>(1)</w:t>
            </w:r>
          </w:p>
        </w:tc>
        <w:tc>
          <w:tcPr>
            <w:tcW w:w="1512" w:type="dxa"/>
          </w:tcPr>
          <w:p w14:paraId="3569ABA9" w14:textId="77777777" w:rsidR="00E6074C" w:rsidRDefault="00E6074C" w:rsidP="00CA4E46">
            <w:pPr>
              <w:jc w:val="center"/>
              <w:rPr>
                <w:color w:val="FF0000"/>
              </w:rPr>
            </w:pPr>
            <w:r w:rsidRPr="00CA4E46">
              <w:rPr>
                <w:color w:val="FF0000"/>
              </w:rPr>
              <w:t>29%</w:t>
            </w:r>
          </w:p>
          <w:p w14:paraId="499AA33A" w14:textId="31EB53CD" w:rsidR="00E6074C" w:rsidRPr="00CA4E46" w:rsidRDefault="00E6074C" w:rsidP="00CA4E46">
            <w:pPr>
              <w:jc w:val="center"/>
              <w:rPr>
                <w:color w:val="FF0000"/>
              </w:rPr>
            </w:pPr>
            <w:r>
              <w:rPr>
                <w:color w:val="FF0000"/>
              </w:rPr>
              <w:t>(4)</w:t>
            </w:r>
          </w:p>
        </w:tc>
        <w:tc>
          <w:tcPr>
            <w:tcW w:w="1486" w:type="dxa"/>
          </w:tcPr>
          <w:p w14:paraId="65F60B81" w14:textId="77777777" w:rsidR="00E6074C" w:rsidRDefault="00E6074C" w:rsidP="00CA4E46">
            <w:pPr>
              <w:jc w:val="center"/>
              <w:rPr>
                <w:color w:val="FF0000"/>
              </w:rPr>
            </w:pPr>
            <w:r w:rsidRPr="00CA4E46">
              <w:rPr>
                <w:color w:val="FF0000"/>
              </w:rPr>
              <w:t>33%</w:t>
            </w:r>
          </w:p>
          <w:p w14:paraId="4C74B2A0" w14:textId="2B244981" w:rsidR="00E6074C" w:rsidRPr="00CA4E46" w:rsidRDefault="00E6074C" w:rsidP="00CA4E46">
            <w:pPr>
              <w:jc w:val="center"/>
              <w:rPr>
                <w:color w:val="FF0000"/>
              </w:rPr>
            </w:pPr>
            <w:r>
              <w:rPr>
                <w:color w:val="FF0000"/>
              </w:rPr>
              <w:t>(4)</w:t>
            </w:r>
          </w:p>
        </w:tc>
        <w:tc>
          <w:tcPr>
            <w:tcW w:w="1601" w:type="dxa"/>
          </w:tcPr>
          <w:p w14:paraId="03BCF384" w14:textId="77777777" w:rsidR="00E6074C" w:rsidRDefault="00E6074C" w:rsidP="00CA4E46">
            <w:pPr>
              <w:jc w:val="center"/>
              <w:rPr>
                <w:color w:val="FF0000"/>
              </w:rPr>
            </w:pPr>
            <w:r w:rsidRPr="00CA4E46">
              <w:rPr>
                <w:color w:val="FF0000"/>
              </w:rPr>
              <w:t>27%</w:t>
            </w:r>
          </w:p>
          <w:p w14:paraId="33F57F2A" w14:textId="02D6D384" w:rsidR="00E6074C" w:rsidRPr="00CA4E46" w:rsidRDefault="00E6074C" w:rsidP="00CA4E46">
            <w:pPr>
              <w:jc w:val="center"/>
              <w:rPr>
                <w:color w:val="FF0000"/>
              </w:rPr>
            </w:pPr>
            <w:r>
              <w:rPr>
                <w:color w:val="FF0000"/>
              </w:rPr>
              <w:t>(3)</w:t>
            </w:r>
          </w:p>
        </w:tc>
        <w:tc>
          <w:tcPr>
            <w:tcW w:w="1019" w:type="dxa"/>
          </w:tcPr>
          <w:p w14:paraId="706DA1CC" w14:textId="77777777" w:rsidR="00E6074C" w:rsidRDefault="00E6074C" w:rsidP="00CA4E46">
            <w:pPr>
              <w:jc w:val="center"/>
              <w:rPr>
                <w:color w:val="FF0000"/>
              </w:rPr>
            </w:pPr>
            <w:r>
              <w:rPr>
                <w:color w:val="FF0000"/>
              </w:rPr>
              <w:t>26%</w:t>
            </w:r>
          </w:p>
          <w:p w14:paraId="65551524" w14:textId="38E507AB" w:rsidR="00E6074C" w:rsidRPr="00CA4E46" w:rsidRDefault="00E6074C" w:rsidP="00CA4E46">
            <w:pPr>
              <w:jc w:val="center"/>
              <w:rPr>
                <w:color w:val="FF0000"/>
              </w:rPr>
            </w:pPr>
            <w:r>
              <w:rPr>
                <w:color w:val="FF0000"/>
              </w:rPr>
              <w:t>(12)</w:t>
            </w:r>
          </w:p>
        </w:tc>
      </w:tr>
      <w:tr w:rsidR="00E6074C" w:rsidRPr="00CA4E46" w14:paraId="210E61CF" w14:textId="0C18FFA7" w:rsidTr="00E6074C">
        <w:tc>
          <w:tcPr>
            <w:tcW w:w="1298" w:type="dxa"/>
          </w:tcPr>
          <w:p w14:paraId="12436D10" w14:textId="2380A9E6" w:rsidR="00E6074C" w:rsidRPr="00CA4E46" w:rsidRDefault="00E6074C" w:rsidP="00CA4E46">
            <w:pPr>
              <w:jc w:val="center"/>
              <w:rPr>
                <w:color w:val="FF0000"/>
              </w:rPr>
            </w:pPr>
            <w:r w:rsidRPr="00CA4E46">
              <w:rPr>
                <w:color w:val="FF0000"/>
              </w:rPr>
              <w:t>1840-9</w:t>
            </w:r>
          </w:p>
        </w:tc>
        <w:tc>
          <w:tcPr>
            <w:tcW w:w="1600" w:type="dxa"/>
          </w:tcPr>
          <w:p w14:paraId="1D700055" w14:textId="77777777" w:rsidR="00E6074C" w:rsidRDefault="00E6074C" w:rsidP="00CA4E46">
            <w:pPr>
              <w:jc w:val="center"/>
              <w:rPr>
                <w:color w:val="FF0000"/>
              </w:rPr>
            </w:pPr>
            <w:r w:rsidRPr="00CA4E46">
              <w:rPr>
                <w:color w:val="FF0000"/>
              </w:rPr>
              <w:t>33%</w:t>
            </w:r>
          </w:p>
          <w:p w14:paraId="3FBBACBE" w14:textId="6CC98A81" w:rsidR="00E6074C" w:rsidRPr="00CA4E46" w:rsidRDefault="00E6074C" w:rsidP="00CA4E46">
            <w:pPr>
              <w:jc w:val="center"/>
              <w:rPr>
                <w:color w:val="FF0000"/>
              </w:rPr>
            </w:pPr>
            <w:r>
              <w:rPr>
                <w:color w:val="FF0000"/>
              </w:rPr>
              <w:t>(2)</w:t>
            </w:r>
          </w:p>
        </w:tc>
        <w:tc>
          <w:tcPr>
            <w:tcW w:w="1512" w:type="dxa"/>
          </w:tcPr>
          <w:p w14:paraId="2BFABE69" w14:textId="77777777" w:rsidR="00E6074C" w:rsidRDefault="00E6074C" w:rsidP="00CA4E46">
            <w:pPr>
              <w:jc w:val="center"/>
              <w:rPr>
                <w:color w:val="FF0000"/>
              </w:rPr>
            </w:pPr>
            <w:r w:rsidRPr="00CA4E46">
              <w:rPr>
                <w:color w:val="FF0000"/>
              </w:rPr>
              <w:t>50%</w:t>
            </w:r>
          </w:p>
          <w:p w14:paraId="1DDEDC21" w14:textId="4D677AF1" w:rsidR="00E6074C" w:rsidRPr="00CA4E46" w:rsidRDefault="00E6074C" w:rsidP="00CA4E46">
            <w:pPr>
              <w:jc w:val="center"/>
              <w:rPr>
                <w:color w:val="FF0000"/>
              </w:rPr>
            </w:pPr>
            <w:r>
              <w:rPr>
                <w:color w:val="FF0000"/>
              </w:rPr>
              <w:t>(2)</w:t>
            </w:r>
          </w:p>
        </w:tc>
        <w:tc>
          <w:tcPr>
            <w:tcW w:w="1486" w:type="dxa"/>
          </w:tcPr>
          <w:p w14:paraId="2A249416" w14:textId="77777777" w:rsidR="00E6074C" w:rsidRDefault="00E6074C" w:rsidP="00CA4E46">
            <w:pPr>
              <w:jc w:val="center"/>
              <w:rPr>
                <w:color w:val="FF0000"/>
              </w:rPr>
            </w:pPr>
            <w:r w:rsidRPr="00CA4E46">
              <w:rPr>
                <w:color w:val="FF0000"/>
              </w:rPr>
              <w:t>71%</w:t>
            </w:r>
          </w:p>
          <w:p w14:paraId="09AF8F12" w14:textId="5851C8A3" w:rsidR="00E6074C" w:rsidRPr="00CA4E46" w:rsidRDefault="00E6074C" w:rsidP="00CA4E46">
            <w:pPr>
              <w:jc w:val="center"/>
              <w:rPr>
                <w:color w:val="FF0000"/>
              </w:rPr>
            </w:pPr>
            <w:r>
              <w:rPr>
                <w:color w:val="FF0000"/>
              </w:rPr>
              <w:t>(5)</w:t>
            </w:r>
          </w:p>
        </w:tc>
        <w:tc>
          <w:tcPr>
            <w:tcW w:w="1601" w:type="dxa"/>
          </w:tcPr>
          <w:p w14:paraId="067D2A26" w14:textId="77777777" w:rsidR="00E6074C" w:rsidRDefault="00E6074C" w:rsidP="00CA4E46">
            <w:pPr>
              <w:jc w:val="center"/>
              <w:rPr>
                <w:color w:val="FF0000"/>
              </w:rPr>
            </w:pPr>
            <w:r w:rsidRPr="00CA4E46">
              <w:rPr>
                <w:color w:val="FF0000"/>
              </w:rPr>
              <w:t>17%</w:t>
            </w:r>
          </w:p>
          <w:p w14:paraId="2F10580B" w14:textId="0AC6BA51" w:rsidR="00E6074C" w:rsidRPr="00CA4E46" w:rsidRDefault="00E6074C" w:rsidP="00CA4E46">
            <w:pPr>
              <w:jc w:val="center"/>
              <w:rPr>
                <w:color w:val="FF0000"/>
              </w:rPr>
            </w:pPr>
            <w:r>
              <w:rPr>
                <w:color w:val="FF0000"/>
              </w:rPr>
              <w:t>(1)</w:t>
            </w:r>
          </w:p>
        </w:tc>
        <w:tc>
          <w:tcPr>
            <w:tcW w:w="1019" w:type="dxa"/>
          </w:tcPr>
          <w:p w14:paraId="45640F00" w14:textId="3B4769A9" w:rsidR="00E6074C" w:rsidRDefault="00E6074C" w:rsidP="00CA4E46">
            <w:pPr>
              <w:jc w:val="center"/>
              <w:rPr>
                <w:color w:val="FF0000"/>
              </w:rPr>
            </w:pPr>
            <w:r>
              <w:rPr>
                <w:color w:val="FF0000"/>
              </w:rPr>
              <w:t>43%</w:t>
            </w:r>
          </w:p>
          <w:p w14:paraId="36146550" w14:textId="3A47BC0C" w:rsidR="00E6074C" w:rsidRPr="00CA4E46" w:rsidRDefault="00E6074C" w:rsidP="00E6074C">
            <w:pPr>
              <w:jc w:val="center"/>
              <w:rPr>
                <w:color w:val="FF0000"/>
              </w:rPr>
            </w:pPr>
            <w:r>
              <w:rPr>
                <w:color w:val="FF0000"/>
              </w:rPr>
              <w:t>(10)</w:t>
            </w:r>
          </w:p>
        </w:tc>
      </w:tr>
      <w:tr w:rsidR="00E6074C" w:rsidRPr="00CA4E46" w14:paraId="17F3EEBD" w14:textId="477F7804" w:rsidTr="00E6074C">
        <w:tc>
          <w:tcPr>
            <w:tcW w:w="1298" w:type="dxa"/>
          </w:tcPr>
          <w:p w14:paraId="3FCB0470" w14:textId="70FC0E95" w:rsidR="00E6074C" w:rsidRPr="00CA4E46" w:rsidRDefault="00E6074C" w:rsidP="00CA4E46">
            <w:pPr>
              <w:jc w:val="center"/>
              <w:rPr>
                <w:color w:val="FF0000"/>
              </w:rPr>
            </w:pPr>
            <w:r w:rsidRPr="00CA4E46">
              <w:rPr>
                <w:color w:val="FF0000"/>
              </w:rPr>
              <w:t>1850-9</w:t>
            </w:r>
          </w:p>
        </w:tc>
        <w:tc>
          <w:tcPr>
            <w:tcW w:w="1600" w:type="dxa"/>
          </w:tcPr>
          <w:p w14:paraId="6A76060A" w14:textId="51906955" w:rsidR="00E6074C" w:rsidRPr="00CA4E46" w:rsidRDefault="00E6074C" w:rsidP="00CA4E46">
            <w:pPr>
              <w:jc w:val="center"/>
              <w:rPr>
                <w:color w:val="FF0000"/>
              </w:rPr>
            </w:pPr>
            <w:r w:rsidRPr="00CA4E46">
              <w:rPr>
                <w:color w:val="FF0000"/>
              </w:rPr>
              <w:t>0</w:t>
            </w:r>
          </w:p>
        </w:tc>
        <w:tc>
          <w:tcPr>
            <w:tcW w:w="1512" w:type="dxa"/>
          </w:tcPr>
          <w:p w14:paraId="15E43D41" w14:textId="77777777" w:rsidR="00E6074C" w:rsidRDefault="00E6074C" w:rsidP="00CA4E46">
            <w:pPr>
              <w:jc w:val="center"/>
              <w:rPr>
                <w:color w:val="FF0000"/>
              </w:rPr>
            </w:pPr>
            <w:r w:rsidRPr="00CA4E46">
              <w:rPr>
                <w:color w:val="FF0000"/>
              </w:rPr>
              <w:t>20%</w:t>
            </w:r>
          </w:p>
          <w:p w14:paraId="4CD2A72B" w14:textId="700EA7F3" w:rsidR="00E6074C" w:rsidRPr="00CA4E46" w:rsidRDefault="00E6074C" w:rsidP="00CA4E46">
            <w:pPr>
              <w:jc w:val="center"/>
              <w:rPr>
                <w:color w:val="FF0000"/>
              </w:rPr>
            </w:pPr>
            <w:r>
              <w:rPr>
                <w:color w:val="FF0000"/>
              </w:rPr>
              <w:t>(1)</w:t>
            </w:r>
          </w:p>
        </w:tc>
        <w:tc>
          <w:tcPr>
            <w:tcW w:w="1486" w:type="dxa"/>
          </w:tcPr>
          <w:p w14:paraId="548AFB57" w14:textId="77777777" w:rsidR="00E6074C" w:rsidRDefault="00E6074C" w:rsidP="00CA4E46">
            <w:pPr>
              <w:jc w:val="center"/>
              <w:rPr>
                <w:color w:val="FF0000"/>
              </w:rPr>
            </w:pPr>
            <w:r w:rsidRPr="00CA4E46">
              <w:rPr>
                <w:color w:val="FF0000"/>
              </w:rPr>
              <w:t>40%</w:t>
            </w:r>
          </w:p>
          <w:p w14:paraId="4863E7ED" w14:textId="72D9288C" w:rsidR="00E6074C" w:rsidRPr="00CA4E46" w:rsidRDefault="00E6074C" w:rsidP="00CA4E46">
            <w:pPr>
              <w:jc w:val="center"/>
              <w:rPr>
                <w:color w:val="FF0000"/>
              </w:rPr>
            </w:pPr>
            <w:r>
              <w:rPr>
                <w:color w:val="FF0000"/>
              </w:rPr>
              <w:t>(2)</w:t>
            </w:r>
          </w:p>
        </w:tc>
        <w:tc>
          <w:tcPr>
            <w:tcW w:w="1601" w:type="dxa"/>
          </w:tcPr>
          <w:p w14:paraId="3BC537A1" w14:textId="740B8BF8" w:rsidR="00E6074C" w:rsidRPr="00CA4E46" w:rsidRDefault="00E6074C" w:rsidP="00CA4E46">
            <w:pPr>
              <w:jc w:val="center"/>
              <w:rPr>
                <w:color w:val="FF0000"/>
              </w:rPr>
            </w:pPr>
            <w:r w:rsidRPr="00CA4E46">
              <w:rPr>
                <w:color w:val="FF0000"/>
              </w:rPr>
              <w:t>0</w:t>
            </w:r>
          </w:p>
        </w:tc>
        <w:tc>
          <w:tcPr>
            <w:tcW w:w="1019" w:type="dxa"/>
          </w:tcPr>
          <w:p w14:paraId="6D05D87F" w14:textId="144F6C90" w:rsidR="00E6074C" w:rsidRDefault="00E6074C" w:rsidP="00CA4E46">
            <w:pPr>
              <w:jc w:val="center"/>
              <w:rPr>
                <w:color w:val="FF0000"/>
              </w:rPr>
            </w:pPr>
            <w:r>
              <w:rPr>
                <w:color w:val="FF0000"/>
              </w:rPr>
              <w:t>15%</w:t>
            </w:r>
          </w:p>
          <w:p w14:paraId="002C1603" w14:textId="1C105AE0" w:rsidR="00E6074C" w:rsidRPr="00CA4E46" w:rsidRDefault="00E6074C" w:rsidP="00E6074C">
            <w:pPr>
              <w:jc w:val="center"/>
              <w:rPr>
                <w:color w:val="FF0000"/>
              </w:rPr>
            </w:pPr>
            <w:r>
              <w:rPr>
                <w:color w:val="FF0000"/>
              </w:rPr>
              <w:t>(3)</w:t>
            </w:r>
          </w:p>
        </w:tc>
      </w:tr>
      <w:tr w:rsidR="00E6074C" w:rsidRPr="00CA4E46" w14:paraId="4F7C2FDB" w14:textId="36551B6D" w:rsidTr="00E6074C">
        <w:tc>
          <w:tcPr>
            <w:tcW w:w="1298" w:type="dxa"/>
          </w:tcPr>
          <w:p w14:paraId="041A7492" w14:textId="5E0E558B" w:rsidR="00E6074C" w:rsidRPr="00CA4E46" w:rsidRDefault="00E6074C" w:rsidP="00CA4E46">
            <w:pPr>
              <w:jc w:val="center"/>
              <w:rPr>
                <w:color w:val="FF0000"/>
              </w:rPr>
            </w:pPr>
            <w:r w:rsidRPr="00CA4E46">
              <w:rPr>
                <w:color w:val="FF0000"/>
              </w:rPr>
              <w:t>1860-8</w:t>
            </w:r>
          </w:p>
        </w:tc>
        <w:tc>
          <w:tcPr>
            <w:tcW w:w="1600" w:type="dxa"/>
          </w:tcPr>
          <w:p w14:paraId="68D44F3D" w14:textId="77777777" w:rsidR="00E6074C" w:rsidRDefault="00E6074C" w:rsidP="00CA4E46">
            <w:pPr>
              <w:jc w:val="center"/>
              <w:rPr>
                <w:color w:val="FF0000"/>
              </w:rPr>
            </w:pPr>
            <w:r w:rsidRPr="00CA4E46">
              <w:rPr>
                <w:color w:val="FF0000"/>
              </w:rPr>
              <w:t>7%</w:t>
            </w:r>
          </w:p>
          <w:p w14:paraId="05F6C974" w14:textId="33F0BC04" w:rsidR="00E6074C" w:rsidRPr="00CA4E46" w:rsidRDefault="00E6074C" w:rsidP="00CA4E46">
            <w:pPr>
              <w:jc w:val="center"/>
              <w:rPr>
                <w:color w:val="FF0000"/>
              </w:rPr>
            </w:pPr>
            <w:r>
              <w:rPr>
                <w:color w:val="FF0000"/>
              </w:rPr>
              <w:t>(1)</w:t>
            </w:r>
          </w:p>
        </w:tc>
        <w:tc>
          <w:tcPr>
            <w:tcW w:w="1512" w:type="dxa"/>
          </w:tcPr>
          <w:p w14:paraId="7D4DFE19" w14:textId="77777777" w:rsidR="00E6074C" w:rsidRDefault="00E6074C" w:rsidP="00CA4E46">
            <w:pPr>
              <w:jc w:val="center"/>
              <w:rPr>
                <w:color w:val="FF0000"/>
              </w:rPr>
            </w:pPr>
            <w:r w:rsidRPr="00CA4E46">
              <w:rPr>
                <w:color w:val="FF0000"/>
              </w:rPr>
              <w:t>43%</w:t>
            </w:r>
          </w:p>
          <w:p w14:paraId="679B1465" w14:textId="341A09C8" w:rsidR="00E6074C" w:rsidRPr="00CA4E46" w:rsidRDefault="00E6074C" w:rsidP="00CA4E46">
            <w:pPr>
              <w:jc w:val="center"/>
              <w:rPr>
                <w:color w:val="FF0000"/>
              </w:rPr>
            </w:pPr>
            <w:r>
              <w:rPr>
                <w:color w:val="FF0000"/>
              </w:rPr>
              <w:t>(6)</w:t>
            </w:r>
          </w:p>
        </w:tc>
        <w:tc>
          <w:tcPr>
            <w:tcW w:w="1486" w:type="dxa"/>
          </w:tcPr>
          <w:p w14:paraId="0FF56AF0" w14:textId="77777777" w:rsidR="00E6074C" w:rsidRDefault="00E6074C" w:rsidP="00CA4E46">
            <w:pPr>
              <w:jc w:val="center"/>
              <w:rPr>
                <w:color w:val="FF0000"/>
              </w:rPr>
            </w:pPr>
            <w:r w:rsidRPr="00CA4E46">
              <w:rPr>
                <w:color w:val="FF0000"/>
              </w:rPr>
              <w:t>53%</w:t>
            </w:r>
          </w:p>
          <w:p w14:paraId="436A5BCE" w14:textId="55143834" w:rsidR="00E6074C" w:rsidRPr="00CA4E46" w:rsidRDefault="00E6074C" w:rsidP="00CA4E46">
            <w:pPr>
              <w:jc w:val="center"/>
              <w:rPr>
                <w:color w:val="FF0000"/>
              </w:rPr>
            </w:pPr>
            <w:r>
              <w:rPr>
                <w:color w:val="FF0000"/>
              </w:rPr>
              <w:t>(8)</w:t>
            </w:r>
          </w:p>
        </w:tc>
        <w:tc>
          <w:tcPr>
            <w:tcW w:w="1601" w:type="dxa"/>
          </w:tcPr>
          <w:p w14:paraId="04E67CFA" w14:textId="77777777" w:rsidR="00E6074C" w:rsidRDefault="00E6074C" w:rsidP="00CA4E46">
            <w:pPr>
              <w:jc w:val="center"/>
              <w:rPr>
                <w:color w:val="FF0000"/>
              </w:rPr>
            </w:pPr>
            <w:r w:rsidRPr="00CA4E46">
              <w:rPr>
                <w:color w:val="FF0000"/>
              </w:rPr>
              <w:t>8%</w:t>
            </w:r>
          </w:p>
          <w:p w14:paraId="6250C400" w14:textId="195538F3" w:rsidR="00E6074C" w:rsidRPr="00CA4E46" w:rsidRDefault="00E6074C" w:rsidP="00CA4E46">
            <w:pPr>
              <w:jc w:val="center"/>
              <w:rPr>
                <w:color w:val="FF0000"/>
              </w:rPr>
            </w:pPr>
            <w:r>
              <w:rPr>
                <w:color w:val="FF0000"/>
              </w:rPr>
              <w:t>(1)</w:t>
            </w:r>
          </w:p>
        </w:tc>
        <w:tc>
          <w:tcPr>
            <w:tcW w:w="1019" w:type="dxa"/>
          </w:tcPr>
          <w:p w14:paraId="3A7AFA00" w14:textId="1AD59570" w:rsidR="00E6074C" w:rsidRDefault="00E6074C" w:rsidP="00CA4E46">
            <w:pPr>
              <w:jc w:val="center"/>
              <w:rPr>
                <w:color w:val="FF0000"/>
              </w:rPr>
            </w:pPr>
            <w:r>
              <w:rPr>
                <w:color w:val="FF0000"/>
              </w:rPr>
              <w:t>29%</w:t>
            </w:r>
          </w:p>
          <w:p w14:paraId="7A09F020" w14:textId="516D8EE5" w:rsidR="00E6074C" w:rsidRPr="00CA4E46" w:rsidRDefault="00E6074C" w:rsidP="00CA4E46">
            <w:pPr>
              <w:jc w:val="center"/>
              <w:rPr>
                <w:color w:val="FF0000"/>
              </w:rPr>
            </w:pPr>
            <w:r>
              <w:rPr>
                <w:color w:val="FF0000"/>
              </w:rPr>
              <w:t>(16)</w:t>
            </w:r>
          </w:p>
        </w:tc>
      </w:tr>
      <w:tr w:rsidR="003B560B" w:rsidRPr="00CA4E46" w14:paraId="380296C2" w14:textId="77777777" w:rsidTr="00E6074C">
        <w:tc>
          <w:tcPr>
            <w:tcW w:w="1298" w:type="dxa"/>
          </w:tcPr>
          <w:p w14:paraId="2C3A556D" w14:textId="565E6931" w:rsidR="003B560B" w:rsidRPr="00CA4E46" w:rsidRDefault="003B560B" w:rsidP="00CA4E46">
            <w:pPr>
              <w:jc w:val="center"/>
              <w:rPr>
                <w:color w:val="FF0000"/>
              </w:rPr>
            </w:pPr>
            <w:r>
              <w:rPr>
                <w:color w:val="FF0000"/>
              </w:rPr>
              <w:t>Total</w:t>
            </w:r>
          </w:p>
        </w:tc>
        <w:tc>
          <w:tcPr>
            <w:tcW w:w="1600" w:type="dxa"/>
          </w:tcPr>
          <w:p w14:paraId="24402468" w14:textId="58F74E42" w:rsidR="005562E9" w:rsidRDefault="005562E9" w:rsidP="005562E9">
            <w:pPr>
              <w:jc w:val="center"/>
              <w:rPr>
                <w:color w:val="FF0000"/>
              </w:rPr>
            </w:pPr>
            <w:r>
              <w:rPr>
                <w:color w:val="FF0000"/>
              </w:rPr>
              <w:t>11%</w:t>
            </w:r>
          </w:p>
          <w:p w14:paraId="54EC0B7E" w14:textId="1E0064C8" w:rsidR="003B560B" w:rsidRPr="00CA4E46" w:rsidRDefault="005562E9" w:rsidP="005562E9">
            <w:pPr>
              <w:jc w:val="center"/>
              <w:rPr>
                <w:color w:val="FF0000"/>
              </w:rPr>
            </w:pPr>
            <w:r>
              <w:rPr>
                <w:color w:val="FF0000"/>
              </w:rPr>
              <w:t>(</w:t>
            </w:r>
            <w:r w:rsidR="006109DA">
              <w:rPr>
                <w:color w:val="FF0000"/>
              </w:rPr>
              <w:t>4</w:t>
            </w:r>
            <w:r>
              <w:rPr>
                <w:color w:val="FF0000"/>
              </w:rPr>
              <w:t>)</w:t>
            </w:r>
          </w:p>
        </w:tc>
        <w:tc>
          <w:tcPr>
            <w:tcW w:w="1512" w:type="dxa"/>
          </w:tcPr>
          <w:p w14:paraId="34E42852" w14:textId="2FEBA20A" w:rsidR="005562E9" w:rsidRDefault="005562E9" w:rsidP="005562E9">
            <w:pPr>
              <w:jc w:val="center"/>
              <w:rPr>
                <w:color w:val="FF0000"/>
              </w:rPr>
            </w:pPr>
            <w:r>
              <w:rPr>
                <w:color w:val="FF0000"/>
              </w:rPr>
              <w:t>35%</w:t>
            </w:r>
          </w:p>
          <w:p w14:paraId="7E81B2E4" w14:textId="027E3948" w:rsidR="003B560B" w:rsidRPr="00CA4E46" w:rsidRDefault="005562E9" w:rsidP="005562E9">
            <w:pPr>
              <w:jc w:val="center"/>
              <w:rPr>
                <w:color w:val="FF0000"/>
              </w:rPr>
            </w:pPr>
            <w:r>
              <w:rPr>
                <w:color w:val="FF0000"/>
              </w:rPr>
              <w:t>(</w:t>
            </w:r>
            <w:r w:rsidR="006109DA">
              <w:rPr>
                <w:color w:val="FF0000"/>
              </w:rPr>
              <w:t>13</w:t>
            </w:r>
            <w:r>
              <w:rPr>
                <w:color w:val="FF0000"/>
              </w:rPr>
              <w:t>)</w:t>
            </w:r>
          </w:p>
        </w:tc>
        <w:tc>
          <w:tcPr>
            <w:tcW w:w="1486" w:type="dxa"/>
          </w:tcPr>
          <w:p w14:paraId="7013C895" w14:textId="4202DF69" w:rsidR="004F0C79" w:rsidRDefault="004F0C79" w:rsidP="004F0C79">
            <w:pPr>
              <w:jc w:val="center"/>
              <w:rPr>
                <w:color w:val="FF0000"/>
              </w:rPr>
            </w:pPr>
            <w:r>
              <w:rPr>
                <w:color w:val="FF0000"/>
              </w:rPr>
              <w:t>49%</w:t>
            </w:r>
          </w:p>
          <w:p w14:paraId="50B8D807" w14:textId="6F10BC46" w:rsidR="003B560B" w:rsidRPr="00CA4E46" w:rsidRDefault="004F0C79" w:rsidP="004F0C79">
            <w:pPr>
              <w:jc w:val="center"/>
              <w:rPr>
                <w:color w:val="FF0000"/>
              </w:rPr>
            </w:pPr>
            <w:r>
              <w:rPr>
                <w:color w:val="FF0000"/>
              </w:rPr>
              <w:t>(</w:t>
            </w:r>
            <w:r w:rsidR="006109DA">
              <w:rPr>
                <w:color w:val="FF0000"/>
              </w:rPr>
              <w:t>19</w:t>
            </w:r>
            <w:r>
              <w:rPr>
                <w:color w:val="FF0000"/>
              </w:rPr>
              <w:t>)</w:t>
            </w:r>
          </w:p>
        </w:tc>
        <w:tc>
          <w:tcPr>
            <w:tcW w:w="1601" w:type="dxa"/>
          </w:tcPr>
          <w:p w14:paraId="6A322DDB" w14:textId="22160D77" w:rsidR="004F0C79" w:rsidRDefault="004F0C79" w:rsidP="004F0C79">
            <w:pPr>
              <w:jc w:val="center"/>
              <w:rPr>
                <w:color w:val="FF0000"/>
              </w:rPr>
            </w:pPr>
            <w:r>
              <w:rPr>
                <w:color w:val="FF0000"/>
              </w:rPr>
              <w:t>15%</w:t>
            </w:r>
          </w:p>
          <w:p w14:paraId="5E44607A" w14:textId="60A30CE2" w:rsidR="003B560B" w:rsidRPr="00CA4E46" w:rsidRDefault="004F0C79" w:rsidP="004F0C79">
            <w:pPr>
              <w:jc w:val="center"/>
              <w:rPr>
                <w:color w:val="FF0000"/>
              </w:rPr>
            </w:pPr>
            <w:r>
              <w:rPr>
                <w:color w:val="FF0000"/>
              </w:rPr>
              <w:t>(</w:t>
            </w:r>
            <w:r w:rsidR="006109DA">
              <w:rPr>
                <w:color w:val="FF0000"/>
              </w:rPr>
              <w:t>5</w:t>
            </w:r>
            <w:r>
              <w:rPr>
                <w:color w:val="FF0000"/>
              </w:rPr>
              <w:t>)</w:t>
            </w:r>
          </w:p>
        </w:tc>
        <w:tc>
          <w:tcPr>
            <w:tcW w:w="1019" w:type="dxa"/>
          </w:tcPr>
          <w:p w14:paraId="7EF6676C" w14:textId="77777777" w:rsidR="003B560B" w:rsidRDefault="003B560B" w:rsidP="00CA4E46">
            <w:pPr>
              <w:jc w:val="center"/>
              <w:rPr>
                <w:color w:val="FF0000"/>
              </w:rPr>
            </w:pPr>
            <w:r>
              <w:rPr>
                <w:color w:val="FF0000"/>
              </w:rPr>
              <w:t>41</w:t>
            </w:r>
          </w:p>
          <w:p w14:paraId="003623A8" w14:textId="392E4F4C" w:rsidR="003B560B" w:rsidRDefault="003B560B" w:rsidP="00CA4E46">
            <w:pPr>
              <w:jc w:val="center"/>
              <w:rPr>
                <w:color w:val="FF0000"/>
              </w:rPr>
            </w:pPr>
            <w:r>
              <w:rPr>
                <w:color w:val="FF0000"/>
              </w:rPr>
              <w:t>(100%)</w:t>
            </w:r>
          </w:p>
        </w:tc>
      </w:tr>
    </w:tbl>
    <w:p w14:paraId="1AD900D3" w14:textId="4DEA8648" w:rsidR="003304FA" w:rsidRPr="00CA4E46" w:rsidRDefault="00FB7134" w:rsidP="003304FA">
      <w:pPr>
        <w:jc w:val="both"/>
        <w:rPr>
          <w:color w:val="FF0000"/>
        </w:rPr>
      </w:pPr>
      <w:r w:rsidRPr="00CA4E46">
        <w:rPr>
          <w:b/>
          <w:color w:val="FF0000"/>
        </w:rPr>
        <w:t>Figure 5:</w:t>
      </w:r>
      <w:r w:rsidRPr="00CA4E46">
        <w:rPr>
          <w:color w:val="FF0000"/>
        </w:rPr>
        <w:t xml:space="preserve"> </w:t>
      </w:r>
      <w:r w:rsidR="003304FA" w:rsidRPr="00CA4E46">
        <w:rPr>
          <w:color w:val="FF0000"/>
        </w:rPr>
        <w:t xml:space="preserve">the percentage </w:t>
      </w:r>
      <w:r w:rsidR="00CA4E46">
        <w:rPr>
          <w:color w:val="FF0000"/>
        </w:rPr>
        <w:t xml:space="preserve">and number </w:t>
      </w:r>
      <w:r w:rsidR="003304FA" w:rsidRPr="00CA4E46">
        <w:rPr>
          <w:color w:val="FF0000"/>
        </w:rPr>
        <w:t xml:space="preserve">of articles with negative representations of execution crowds </w:t>
      </w:r>
      <w:r w:rsidR="004A64CE">
        <w:rPr>
          <w:color w:val="FF0000"/>
        </w:rPr>
        <w:t>as proportion of</w:t>
      </w:r>
      <w:r w:rsidR="003304FA" w:rsidRPr="00CA4E46">
        <w:rPr>
          <w:color w:val="FF0000"/>
        </w:rPr>
        <w:t xml:space="preserve"> all articles in four Lancashire newspapers, 1830-68</w:t>
      </w:r>
    </w:p>
    <w:p w14:paraId="51C51061" w14:textId="77777777" w:rsidR="00023863" w:rsidRDefault="00023863" w:rsidP="006A28FC">
      <w:pPr>
        <w:spacing w:line="480" w:lineRule="auto"/>
        <w:jc w:val="both"/>
      </w:pPr>
    </w:p>
    <w:p w14:paraId="22D1ECA2" w14:textId="77777777" w:rsidR="003304FA" w:rsidRDefault="003304FA" w:rsidP="006A28FC">
      <w:pPr>
        <w:spacing w:line="480" w:lineRule="auto"/>
        <w:jc w:val="both"/>
      </w:pPr>
    </w:p>
    <w:p w14:paraId="1ACADE8E" w14:textId="152348E1" w:rsidR="003E19CC" w:rsidRPr="003E19CC" w:rsidRDefault="003E19CC" w:rsidP="006A28FC">
      <w:pPr>
        <w:spacing w:line="480" w:lineRule="auto"/>
        <w:jc w:val="both"/>
      </w:pPr>
      <w:r>
        <w:rPr>
          <w:color w:val="FF0000"/>
        </w:rPr>
        <w:lastRenderedPageBreak/>
        <w:t xml:space="preserve">While the percentage of </w:t>
      </w:r>
      <w:r w:rsidR="001B1530">
        <w:rPr>
          <w:color w:val="FF0000"/>
        </w:rPr>
        <w:t xml:space="preserve">negative </w:t>
      </w:r>
      <w:r>
        <w:rPr>
          <w:color w:val="FF0000"/>
        </w:rPr>
        <w:t xml:space="preserve">articles across the four newspapers increased </w:t>
      </w:r>
      <w:r w:rsidR="001B1530">
        <w:rPr>
          <w:color w:val="FF0000"/>
        </w:rPr>
        <w:t xml:space="preserve">slightly </w:t>
      </w:r>
      <w:r>
        <w:rPr>
          <w:color w:val="FF0000"/>
        </w:rPr>
        <w:t xml:space="preserve">between 1830-9 and 1860-9, there was no clear, unbroken trajectory over the period. Rather, the 1840s saw the highest proportion of articles depicting execution crowds in a negative way (43% or ten of the twenty-three articles sampled). </w:t>
      </w:r>
      <w:r w:rsidRPr="003E19CC">
        <w:t xml:space="preserve">Nor (with the exception of the </w:t>
      </w:r>
      <w:r w:rsidRPr="003E19CC">
        <w:rPr>
          <w:i/>
        </w:rPr>
        <w:t>Liverpool Mercury</w:t>
      </w:r>
      <w:r w:rsidRPr="003E19CC">
        <w:t xml:space="preserve">) were liberal newspapers significantly more critical of crowds than </w:t>
      </w:r>
      <w:r>
        <w:t>conservative</w:t>
      </w:r>
      <w:r w:rsidRPr="003E19CC">
        <w:t xml:space="preserve"> ones, or </w:t>
      </w:r>
      <w:r w:rsidRPr="003E19CC">
        <w:rPr>
          <w:i/>
        </w:rPr>
        <w:t>vice versa</w:t>
      </w:r>
      <w:r w:rsidRPr="003E19CC">
        <w:rPr>
          <w:color w:val="FF0000"/>
        </w:rPr>
        <w:t xml:space="preserve">. </w:t>
      </w:r>
      <w:r w:rsidR="00703191" w:rsidRPr="003E19CC">
        <w:rPr>
          <w:color w:val="FF0000"/>
        </w:rPr>
        <w:t xml:space="preserve">While the </w:t>
      </w:r>
      <w:r w:rsidR="00E6074C" w:rsidRPr="003E19CC">
        <w:rPr>
          <w:color w:val="FF0000"/>
        </w:rPr>
        <w:t>percentage</w:t>
      </w:r>
      <w:r w:rsidR="00703191" w:rsidRPr="003E19CC">
        <w:rPr>
          <w:color w:val="FF0000"/>
        </w:rPr>
        <w:t xml:space="preserve"> of </w:t>
      </w:r>
      <w:r>
        <w:rPr>
          <w:color w:val="FF0000"/>
        </w:rPr>
        <w:t xml:space="preserve">critical </w:t>
      </w:r>
      <w:r w:rsidR="00703191" w:rsidRPr="003E19CC">
        <w:rPr>
          <w:color w:val="FF0000"/>
        </w:rPr>
        <w:t xml:space="preserve">articles increased in the </w:t>
      </w:r>
      <w:r w:rsidR="00703191" w:rsidRPr="003E19CC">
        <w:rPr>
          <w:i/>
          <w:color w:val="FF0000"/>
        </w:rPr>
        <w:t>Lancaster Gazette</w:t>
      </w:r>
      <w:r w:rsidR="00703191" w:rsidRPr="003E19CC">
        <w:rPr>
          <w:color w:val="FF0000"/>
        </w:rPr>
        <w:t xml:space="preserve"> and </w:t>
      </w:r>
      <w:r w:rsidR="00703191" w:rsidRPr="003E19CC">
        <w:rPr>
          <w:i/>
          <w:color w:val="FF0000"/>
        </w:rPr>
        <w:t>Liverpool Mercury</w:t>
      </w:r>
      <w:r>
        <w:rPr>
          <w:i/>
          <w:color w:val="FF0000"/>
        </w:rPr>
        <w:t xml:space="preserve"> </w:t>
      </w:r>
      <w:r w:rsidRPr="003E19CC">
        <w:rPr>
          <w:color w:val="FF0000"/>
        </w:rPr>
        <w:t>over the period</w:t>
      </w:r>
      <w:r w:rsidR="00703191" w:rsidRPr="003E19CC">
        <w:rPr>
          <w:color w:val="FF0000"/>
        </w:rPr>
        <w:t xml:space="preserve">, the </w:t>
      </w:r>
      <w:r w:rsidR="00E6074C" w:rsidRPr="003E19CC">
        <w:rPr>
          <w:color w:val="FF0000"/>
        </w:rPr>
        <w:t>percentage</w:t>
      </w:r>
      <w:r w:rsidR="00703191" w:rsidRPr="003E19CC">
        <w:rPr>
          <w:color w:val="FF0000"/>
        </w:rPr>
        <w:t xml:space="preserve"> fell in the other two Lancashire Newspapers. </w:t>
      </w:r>
      <w:r w:rsidRPr="003E19CC">
        <w:t xml:space="preserve">Rather, any differences were between newspapers of the same political position: the </w:t>
      </w:r>
      <w:r w:rsidRPr="003B560B">
        <w:rPr>
          <w:i/>
        </w:rPr>
        <w:t>Liverpool Mercury</w:t>
      </w:r>
      <w:r w:rsidRPr="003E19CC">
        <w:t xml:space="preserve"> was significantly more critical of execution crowds than the </w:t>
      </w:r>
      <w:r w:rsidRPr="003B560B">
        <w:rPr>
          <w:i/>
        </w:rPr>
        <w:t>Manchester Times</w:t>
      </w:r>
      <w:r w:rsidRPr="003E19CC">
        <w:t xml:space="preserve">, while the </w:t>
      </w:r>
      <w:r w:rsidRPr="003B560B">
        <w:rPr>
          <w:i/>
        </w:rPr>
        <w:t>Lancaster Gazette</w:t>
      </w:r>
      <w:r w:rsidRPr="003E19CC">
        <w:t xml:space="preserve"> was more so than the </w:t>
      </w:r>
      <w:r w:rsidRPr="003B560B">
        <w:rPr>
          <w:i/>
        </w:rPr>
        <w:t>Manchester Courier</w:t>
      </w:r>
      <w:r w:rsidRPr="003E19CC">
        <w:t>. This may reflect the fact that both Lancaster and Liverpool held the execution of felons for most</w:t>
      </w:r>
      <w:r w:rsidR="00374E43">
        <w:t>,</w:t>
      </w:r>
      <w:r w:rsidRPr="003E19CC">
        <w:t xml:space="preserve"> if not all</w:t>
      </w:r>
      <w:r w:rsidR="00374E43">
        <w:t>,</w:t>
      </w:r>
      <w:r w:rsidRPr="003E19CC">
        <w:t xml:space="preserve"> of the period (the first execution in Liverpool was </w:t>
      </w:r>
      <w:r w:rsidR="00374E43">
        <w:t xml:space="preserve">that of </w:t>
      </w:r>
      <w:r w:rsidRPr="003E19CC">
        <w:t>James Barlow in 1835). In contrast, Manchester only held three executions between 1866 and 1868. It may be possible, then, that the Lancaster and Liverpool press were more critical of execution crowds because they experienced them at close hand on a more regular basis.</w:t>
      </w:r>
    </w:p>
    <w:p w14:paraId="75AEF3C3" w14:textId="77777777" w:rsidR="003E19CC" w:rsidRDefault="003E19CC" w:rsidP="006A28FC">
      <w:pPr>
        <w:spacing w:line="480" w:lineRule="auto"/>
        <w:jc w:val="both"/>
      </w:pPr>
    </w:p>
    <w:p w14:paraId="5C32817F" w14:textId="77777777" w:rsidR="002F140F" w:rsidRDefault="002F140F" w:rsidP="006A28FC">
      <w:pPr>
        <w:spacing w:line="480" w:lineRule="auto"/>
        <w:jc w:val="both"/>
      </w:pPr>
    </w:p>
    <w:p w14:paraId="59460349" w14:textId="34443614" w:rsidR="0073598E" w:rsidRDefault="002F140F" w:rsidP="006A28FC">
      <w:pPr>
        <w:spacing w:line="480" w:lineRule="auto"/>
        <w:jc w:val="both"/>
      </w:pPr>
      <w:r>
        <w:tab/>
        <w:t xml:space="preserve">Negative reports across all four newspapers highlighted those actions and characteristics of execution crowds that either challenged </w:t>
      </w:r>
      <w:r w:rsidR="00377BE1">
        <w:t>middle class ideas</w:t>
      </w:r>
      <w:r>
        <w:t xml:space="preserve"> of respectability and propriety or potentially undermined the ritual ceremony of execution. As </w:t>
      </w:r>
      <w:r w:rsidR="004F0C79">
        <w:t xml:space="preserve">noted </w:t>
      </w:r>
      <w:r w:rsidR="00A045A8">
        <w:t xml:space="preserve">previously, </w:t>
      </w:r>
      <w:r w:rsidR="00377BE1">
        <w:t xml:space="preserve">over the course of the nineteenth century, various forms of violent working class entertainments, including attending executions, </w:t>
      </w:r>
      <w:r w:rsidR="00377BE1">
        <w:lastRenderedPageBreak/>
        <w:t xml:space="preserve">became increasingly problematized </w:t>
      </w:r>
      <w:r w:rsidR="00A045A8" w:rsidRPr="00A045A8">
        <w:rPr>
          <w:color w:val="FF0000"/>
        </w:rPr>
        <w:t>as remnants of a less civilised era</w:t>
      </w:r>
      <w:r w:rsidR="00A045A8">
        <w:t xml:space="preserve"> </w:t>
      </w:r>
      <w:r w:rsidR="00377BE1">
        <w:t>by middle class commentators</w:t>
      </w:r>
      <w:r w:rsidR="00645BA9">
        <w:t>.</w:t>
      </w:r>
      <w:r w:rsidR="00374E43">
        <w:t xml:space="preserve"> </w:t>
      </w:r>
      <w:r w:rsidR="00A045A8">
        <w:t xml:space="preserve">Indeed, </w:t>
      </w:r>
      <w:r w:rsidR="00377BE1">
        <w:t xml:space="preserve">the persistence of aspects of these entertainments may be read as a form of working class resistance against </w:t>
      </w:r>
      <w:r w:rsidR="003F0F07">
        <w:t>middle class</w:t>
      </w:r>
      <w:r w:rsidR="00377BE1">
        <w:t xml:space="preserve"> cultural hegemony</w:t>
      </w:r>
      <w:r w:rsidR="00A045A8">
        <w:rPr>
          <w:rStyle w:val="EndnoteReference"/>
        </w:rPr>
        <w:endnoteReference w:id="25"/>
      </w:r>
      <w:r w:rsidR="00377BE1">
        <w:t>.</w:t>
      </w:r>
      <w:r w:rsidR="003F0F07">
        <w:t xml:space="preserve"> Moreover, defenders of public executions were keen to both stress their propriety and attack those elements of the ceremony, most notably </w:t>
      </w:r>
      <w:r w:rsidR="004F0C79">
        <w:t>crowds, which</w:t>
      </w:r>
      <w:r w:rsidR="003F0F07">
        <w:t xml:space="preserve"> potentially undermined the ceremony of execution.</w:t>
      </w:r>
      <w:r w:rsidR="003F0F07">
        <w:rPr>
          <w:rStyle w:val="EndnoteReference"/>
        </w:rPr>
        <w:endnoteReference w:id="26"/>
      </w:r>
      <w:r w:rsidR="0073598E">
        <w:t xml:space="preserve"> </w:t>
      </w:r>
    </w:p>
    <w:p w14:paraId="001B35E6" w14:textId="77777777" w:rsidR="0073598E" w:rsidRDefault="0073598E" w:rsidP="006A28FC">
      <w:pPr>
        <w:spacing w:line="480" w:lineRule="auto"/>
        <w:jc w:val="both"/>
      </w:pPr>
    </w:p>
    <w:p w14:paraId="3F6AF429" w14:textId="1873AF1E" w:rsidR="00A57349" w:rsidRDefault="0073598E" w:rsidP="006A28FC">
      <w:pPr>
        <w:spacing w:line="480" w:lineRule="auto"/>
        <w:ind w:firstLine="720"/>
        <w:jc w:val="both"/>
      </w:pPr>
      <w:r>
        <w:t>T</w:t>
      </w:r>
      <w:r w:rsidR="00DB1B48">
        <w:t>wo</w:t>
      </w:r>
      <w:r>
        <w:t xml:space="preserve"> main areas of crowd behavio</w:t>
      </w:r>
      <w:r w:rsidR="001111C8">
        <w:t>u</w:t>
      </w:r>
      <w:r>
        <w:t>r were highlighted for opprobrium across all four newspapers.</w:t>
      </w:r>
      <w:r w:rsidR="00453F15">
        <w:t xml:space="preserve"> The first was the presence of persons not deemed to be an appropriate audience for executions, namely women and children.</w:t>
      </w:r>
      <w:r w:rsidR="00A57349">
        <w:t xml:space="preserve"> </w:t>
      </w:r>
      <w:r w:rsidR="00BD32E7">
        <w:t>This was by no means peculiar to the Lancashire press: newspapers across the country regularly bemoaned the presence of women and children at executions, particularly on those occasions where they outnumbered men.</w:t>
      </w:r>
      <w:r w:rsidR="004626D8">
        <w:rPr>
          <w:rStyle w:val="EndnoteReference"/>
        </w:rPr>
        <w:endnoteReference w:id="27"/>
      </w:r>
      <w:r w:rsidR="00BD32E7">
        <w:t xml:space="preserve"> Reflecting the emerging middle class ideology of ‘separate spheres’ for men and women, executions were defined as morally </w:t>
      </w:r>
      <w:r w:rsidR="003A1E20">
        <w:t xml:space="preserve">– and sometimes physically – </w:t>
      </w:r>
      <w:r w:rsidR="00BD32E7">
        <w:t>dangerous spaces unsuitable for women</w:t>
      </w:r>
      <w:r w:rsidR="003A1E20">
        <w:t>.</w:t>
      </w:r>
      <w:r w:rsidR="003A1E20">
        <w:rPr>
          <w:rStyle w:val="EndnoteReference"/>
        </w:rPr>
        <w:endnoteReference w:id="28"/>
      </w:r>
      <w:r w:rsidR="003A1E20">
        <w:t xml:space="preserve"> Similarly, it was feared that children attending executions would become hardened to death and physical suffering at an early age.</w:t>
      </w:r>
      <w:r w:rsidR="004626D8">
        <w:rPr>
          <w:rStyle w:val="EndnoteReference"/>
        </w:rPr>
        <w:endnoteReference w:id="29"/>
      </w:r>
      <w:r w:rsidR="003A1E20">
        <w:t xml:space="preserve"> Nevertheless, executions operated as a powerful magnet to both these groups</w:t>
      </w:r>
      <w:r w:rsidR="00056228">
        <w:t xml:space="preserve">. </w:t>
      </w:r>
      <w:r w:rsidR="00243DA8">
        <w:t xml:space="preserve">Indeed, Gatrell argues that children </w:t>
      </w:r>
      <w:r w:rsidR="004E3D0A">
        <w:t>were often</w:t>
      </w:r>
      <w:r w:rsidR="00243DA8">
        <w:t xml:space="preserve"> taken to executions by their mothers; the death of the felon producing a stark </w:t>
      </w:r>
      <w:r w:rsidR="00BF07E7">
        <w:t>moral</w:t>
      </w:r>
      <w:r w:rsidR="00243DA8">
        <w:t xml:space="preserve"> lesson </w:t>
      </w:r>
      <w:r w:rsidR="00BF07E7">
        <w:t>for their offspring</w:t>
      </w:r>
      <w:r w:rsidR="00243DA8">
        <w:t xml:space="preserve">. Moreover, attending one’s first execution was also an important </w:t>
      </w:r>
      <w:r w:rsidR="004E3D0A">
        <w:t>rite of passage</w:t>
      </w:r>
      <w:r w:rsidR="00243DA8">
        <w:t xml:space="preserve"> for many young men of all social classes.</w:t>
      </w:r>
      <w:r w:rsidR="004626D8">
        <w:rPr>
          <w:rStyle w:val="EndnoteReference"/>
        </w:rPr>
        <w:endnoteReference w:id="30"/>
      </w:r>
      <w:r w:rsidR="00243DA8">
        <w:t xml:space="preserve"> </w:t>
      </w:r>
      <w:r w:rsidR="00056228">
        <w:t>Thus</w:t>
      </w:r>
      <w:r w:rsidR="006F5E5A">
        <w:t xml:space="preserve">, for example, the </w:t>
      </w:r>
      <w:r w:rsidR="006F5E5A" w:rsidRPr="00A0556A">
        <w:rPr>
          <w:i/>
        </w:rPr>
        <w:t>Lancaster Gazette</w:t>
      </w:r>
      <w:r w:rsidR="006F5E5A">
        <w:t xml:space="preserve"> </w:t>
      </w:r>
      <w:r w:rsidR="00A0556A">
        <w:t xml:space="preserve">bemoaned </w:t>
      </w:r>
      <w:r w:rsidR="006F5E5A">
        <w:t>in its account of the exec</w:t>
      </w:r>
      <w:r w:rsidR="004E3D0A">
        <w:t xml:space="preserve">ution of Mary Holden in 1834 </w:t>
      </w:r>
      <w:r w:rsidR="006F5E5A">
        <w:t xml:space="preserve">how </w:t>
      </w:r>
      <w:r w:rsidR="00A0556A">
        <w:t xml:space="preserve">the presence of </w:t>
      </w:r>
      <w:r w:rsidR="0075753F">
        <w:t>‘</w:t>
      </w:r>
      <w:r w:rsidR="00A0556A">
        <w:t>a large portion of females, many respectfully dressed, and a great number of children…</w:t>
      </w:r>
      <w:r w:rsidR="00A0556A" w:rsidRPr="00A0556A">
        <w:t xml:space="preserve"> does not reflect much credit on their guardians, </w:t>
      </w:r>
      <w:r w:rsidR="00A0556A" w:rsidRPr="00A0556A">
        <w:lastRenderedPageBreak/>
        <w:t>nor is it calculated to operate favourably on their minds, but rather to deaden the senses and blunt t</w:t>
      </w:r>
      <w:r w:rsidR="00A0556A">
        <w:t>he best feelings of our nature</w:t>
      </w:r>
      <w:r w:rsidR="0075753F">
        <w:t>’</w:t>
      </w:r>
      <w:r w:rsidR="00A0556A">
        <w:t>.</w:t>
      </w:r>
      <w:r w:rsidR="00A0556A">
        <w:rPr>
          <w:rStyle w:val="EndnoteReference"/>
        </w:rPr>
        <w:endnoteReference w:id="31"/>
      </w:r>
      <w:r w:rsidR="00A0556A">
        <w:t xml:space="preserve"> Similarly, both liberal newspapers gave the same description of the crowd that attended the execution of John Roach the previous year. In doing so, they bemoaned how </w:t>
      </w:r>
    </w:p>
    <w:p w14:paraId="0E836836" w14:textId="77777777" w:rsidR="00A0556A" w:rsidRDefault="00A0556A" w:rsidP="006A28FC">
      <w:pPr>
        <w:spacing w:line="480" w:lineRule="auto"/>
        <w:ind w:firstLine="720"/>
        <w:jc w:val="both"/>
      </w:pPr>
    </w:p>
    <w:p w14:paraId="3F8AACCC" w14:textId="7994364E" w:rsidR="000655DC" w:rsidRPr="00A0556A" w:rsidRDefault="00A0556A" w:rsidP="006A28FC">
      <w:pPr>
        <w:spacing w:line="480" w:lineRule="auto"/>
        <w:ind w:left="567"/>
        <w:jc w:val="both"/>
      </w:pPr>
      <w:r w:rsidRPr="00A0556A">
        <w:t>…</w:t>
      </w:r>
      <w:r w:rsidR="000655DC" w:rsidRPr="00A0556A">
        <w:t xml:space="preserve">notwithstanding the efforts which have been made by the press to prevent the congregation of boys and females at such a place, we are sorry to state, that great numbers of </w:t>
      </w:r>
      <w:r w:rsidRPr="00A0556A">
        <w:t xml:space="preserve">[children and women] </w:t>
      </w:r>
      <w:r w:rsidR="000655DC" w:rsidRPr="00A0556A">
        <w:t>were present, and of the latter many had infants in their arms. To add to the manifest impropriety of attending the melancholy place, the boys of all ages up to about fourteen or fifteen, behaved in the most indecorous manner, running about, hooting, shouting, and laughing as if they were in the midst of a fair. Can such exhibitions have a good effect on the habits and morals of the community? Surely n</w:t>
      </w:r>
      <w:r w:rsidRPr="00A0556A">
        <w:t>ot.</w:t>
      </w:r>
      <w:r w:rsidR="000655DC" w:rsidRPr="00A0556A">
        <w:rPr>
          <w:vertAlign w:val="superscript"/>
        </w:rPr>
        <w:endnoteReference w:id="32"/>
      </w:r>
    </w:p>
    <w:p w14:paraId="24ACAC82" w14:textId="77777777" w:rsidR="000655DC" w:rsidRDefault="000655DC" w:rsidP="006A28FC">
      <w:pPr>
        <w:spacing w:line="480" w:lineRule="auto"/>
      </w:pPr>
    </w:p>
    <w:p w14:paraId="45F448FE" w14:textId="5AE0AC22" w:rsidR="00A0556A" w:rsidRDefault="00A0556A" w:rsidP="006A28FC">
      <w:pPr>
        <w:spacing w:line="480" w:lineRule="auto"/>
        <w:jc w:val="both"/>
      </w:pPr>
      <w:r>
        <w:t xml:space="preserve">Indeed, </w:t>
      </w:r>
      <w:r w:rsidR="0000512B">
        <w:t xml:space="preserve">evidence for the draw that executions could have for children of the very elites who regularly bemoaned executions is provided by the </w:t>
      </w:r>
      <w:r w:rsidR="0000512B" w:rsidRPr="0000512B">
        <w:rPr>
          <w:i/>
        </w:rPr>
        <w:t>Liverpool Mercury</w:t>
      </w:r>
      <w:r w:rsidR="0000512B">
        <w:t xml:space="preserve"> in its report of the execution of Thomas Edwards in Liverpool in 1863. According to the </w:t>
      </w:r>
      <w:r w:rsidR="0000512B" w:rsidRPr="0000512B">
        <w:rPr>
          <w:i/>
        </w:rPr>
        <w:t>Mercury</w:t>
      </w:r>
      <w:r w:rsidR="0000512B">
        <w:t xml:space="preserve">, </w:t>
      </w:r>
    </w:p>
    <w:p w14:paraId="39930C46" w14:textId="77777777" w:rsidR="0000512B" w:rsidRDefault="0000512B" w:rsidP="006A28FC">
      <w:pPr>
        <w:spacing w:line="480" w:lineRule="auto"/>
        <w:ind w:left="567"/>
        <w:jc w:val="both"/>
      </w:pPr>
    </w:p>
    <w:p w14:paraId="55145192" w14:textId="25A9ACE9" w:rsidR="0000512B" w:rsidRPr="0000512B" w:rsidRDefault="0000512B" w:rsidP="006A28FC">
      <w:pPr>
        <w:spacing w:line="480" w:lineRule="auto"/>
        <w:ind w:left="567"/>
        <w:jc w:val="both"/>
        <w:rPr>
          <w:b/>
        </w:rPr>
      </w:pPr>
      <w:r w:rsidRPr="0000512B">
        <w:t xml:space="preserve">Shortly after eleven o’clock a neat four-wheeled carriage, driven by a livery, made its appearance near the scaffold. The vehicle contained three boys and three girls, all well dressed and ruddy looking. The driver, on being questioned by the police, said his master had given him instructions to give the ‘children a drive anywhere,’ and the juveniles having heard of the </w:t>
      </w:r>
      <w:r w:rsidRPr="0000512B">
        <w:lastRenderedPageBreak/>
        <w:t>execution, directed ‘Jehn’ to give them a sight of the gallows. The driver accordingly obeyed the orders of the children. The boys got out and gratified themselves with a sight of the awful instrument of death, but, much to the credit of the girls, they declined to leave the vehicle. Upon the recommendation of the police, the driver then left the ground with his juvenile ‘sight-seers’</w:t>
      </w:r>
      <w:r w:rsidR="0075753F">
        <w:t>’</w:t>
      </w:r>
      <w:r w:rsidRPr="0000512B">
        <w:t>.</w:t>
      </w:r>
      <w:r w:rsidRPr="0000512B">
        <w:rPr>
          <w:rStyle w:val="EndnoteReference"/>
        </w:rPr>
        <w:endnoteReference w:id="33"/>
      </w:r>
    </w:p>
    <w:p w14:paraId="02E590FB" w14:textId="77777777" w:rsidR="0000512B" w:rsidRDefault="0000512B" w:rsidP="006A28FC">
      <w:pPr>
        <w:spacing w:line="480" w:lineRule="auto"/>
      </w:pPr>
    </w:p>
    <w:p w14:paraId="7C6A37C2" w14:textId="0A9E8713" w:rsidR="007E3F74" w:rsidRDefault="00A3104F" w:rsidP="006A28FC">
      <w:pPr>
        <w:spacing w:line="480" w:lineRule="auto"/>
        <w:jc w:val="both"/>
      </w:pPr>
      <w:r>
        <w:tab/>
      </w:r>
      <w:r w:rsidR="00B43C66">
        <w:t>In addition to the presence of inappropriate persons, t</w:t>
      </w:r>
      <w:r>
        <w:t>he four newspapers also</w:t>
      </w:r>
      <w:r w:rsidR="00B43C66">
        <w:t xml:space="preserve"> railed against what </w:t>
      </w:r>
      <w:r w:rsidR="00374E43">
        <w:t>they</w:t>
      </w:r>
      <w:r w:rsidR="00B43C66">
        <w:t xml:space="preserve"> saw as crowd’s inappropriate behavio</w:t>
      </w:r>
      <w:r w:rsidR="001111C8">
        <w:t>u</w:t>
      </w:r>
      <w:r w:rsidR="00B43C66">
        <w:t xml:space="preserve">r at the execution scene. </w:t>
      </w:r>
      <w:r w:rsidR="00A045A8">
        <w:t xml:space="preserve">Echoing the criticisms of Dickens, Wakefield and others, </w:t>
      </w:r>
      <w:r w:rsidR="00B43C66">
        <w:t xml:space="preserve">the four newspapers excoriated execution crowds for their levity, shouting and jeering as well as for their perceived ghoulishness. The </w:t>
      </w:r>
      <w:r w:rsidR="00B43C66" w:rsidRPr="00B43C66">
        <w:rPr>
          <w:i/>
        </w:rPr>
        <w:t>Lancaster Gazette</w:t>
      </w:r>
      <w:r w:rsidR="00B43C66">
        <w:t xml:space="preserve">, for example, noted with chagrin that the crowd that gathered to witness the execution of Roach </w:t>
      </w:r>
      <w:r w:rsidR="0075753F">
        <w:t>‘</w:t>
      </w:r>
      <w:r w:rsidR="00B43C66">
        <w:t>…</w:t>
      </w:r>
      <w:r w:rsidR="00B43C66" w:rsidRPr="00B43C66">
        <w:t>laughed and talked, evincing the utmost levity, as if it had been a bull-bait, a fair, or some other object of amusement</w:t>
      </w:r>
      <w:r w:rsidR="00B43C66">
        <w:t xml:space="preserve"> that had called them together</w:t>
      </w:r>
      <w:r w:rsidR="0075753F">
        <w:t>’</w:t>
      </w:r>
      <w:r w:rsidR="00B43C66">
        <w:t>.</w:t>
      </w:r>
      <w:r w:rsidR="00B43C66">
        <w:rPr>
          <w:rStyle w:val="EndnoteReference"/>
        </w:rPr>
        <w:endnoteReference w:id="34"/>
      </w:r>
      <w:r w:rsidR="00B43C66">
        <w:t xml:space="preserve"> Three decades later in 1864, it described how at the execution of </w:t>
      </w:r>
      <w:r w:rsidR="00E45F3F">
        <w:t xml:space="preserve">Luke Charles in Liverpool, </w:t>
      </w:r>
      <w:r w:rsidR="0075753F">
        <w:t>‘</w:t>
      </w:r>
      <w:r w:rsidR="00E45F3F" w:rsidRPr="00E45F3F">
        <w:t>Several of the youths and men filled up a portion of the intervening time by disporting themselves upon the frozen ponds in the adjacent brick-fields, and a burst of laughter might now and then be heard as some unlucky wight got a roll upon the ice</w:t>
      </w:r>
      <w:r w:rsidR="0075753F">
        <w:t>’</w:t>
      </w:r>
      <w:r w:rsidR="00E45F3F">
        <w:t>.</w:t>
      </w:r>
      <w:r w:rsidR="00E45F3F">
        <w:rPr>
          <w:rStyle w:val="EndnoteReference"/>
        </w:rPr>
        <w:endnoteReference w:id="35"/>
      </w:r>
      <w:r w:rsidR="00E45F3F">
        <w:t xml:space="preserve"> Reporting on the first execution in Manchester, that of James Burrows in 1866, the </w:t>
      </w:r>
      <w:r w:rsidR="00E45F3F" w:rsidRPr="00E45F3F">
        <w:rPr>
          <w:i/>
        </w:rPr>
        <w:t>Manchester C</w:t>
      </w:r>
      <w:r w:rsidR="007E3F74">
        <w:rPr>
          <w:i/>
        </w:rPr>
        <w:t>ourier</w:t>
      </w:r>
      <w:r w:rsidR="00E45F3F">
        <w:t xml:space="preserve"> </w:t>
      </w:r>
      <w:r w:rsidR="007E3F74">
        <w:t xml:space="preserve">questioned the attraction of execution for some members of the community. Acknowledging how easy it was to attract a crowd </w:t>
      </w:r>
      <w:r w:rsidR="0075753F">
        <w:t>‘</w:t>
      </w:r>
      <w:r w:rsidR="007E3F74">
        <w:t>at the least</w:t>
      </w:r>
      <w:r w:rsidR="0075753F">
        <w:t>’</w:t>
      </w:r>
      <w:r w:rsidR="007E3F74">
        <w:t xml:space="preserve"> occasion, it waxed nevertheless that; </w:t>
      </w:r>
    </w:p>
    <w:p w14:paraId="4E5207B1" w14:textId="77777777" w:rsidR="007E3F74" w:rsidRDefault="007E3F74" w:rsidP="006A28FC">
      <w:pPr>
        <w:spacing w:line="480" w:lineRule="auto"/>
        <w:jc w:val="both"/>
      </w:pPr>
    </w:p>
    <w:p w14:paraId="2828E4F3" w14:textId="3BFDE406" w:rsidR="007E3F74" w:rsidRDefault="007E3F74" w:rsidP="006A28FC">
      <w:pPr>
        <w:spacing w:line="480" w:lineRule="auto"/>
        <w:ind w:left="567"/>
        <w:jc w:val="both"/>
      </w:pPr>
      <w:r w:rsidRPr="007E3F74">
        <w:lastRenderedPageBreak/>
        <w:t>there is something awful in the thought that thousands of persons of both sexes – young, middle-aged, and old – will assemble together and voluntarily undergo severe discomfort, and encounter the absolute risk of death or bodily mutilation, to get a chance of seeing the convulsive struggles of a fellow-being in the last agonies of a shameful death upon the scaffold. However, so it is; and whilst executions continue to be held in public, to gratify the wonder or curiosity of the vulgar throng, we may expect a morbid taste for the horrible – and more especially among the uneducated classes, to which such tragic spectacles minister with degrading effect.</w:t>
      </w:r>
      <w:r>
        <w:rPr>
          <w:rStyle w:val="EndnoteReference"/>
        </w:rPr>
        <w:endnoteReference w:id="36"/>
      </w:r>
    </w:p>
    <w:p w14:paraId="5AD0E152" w14:textId="77777777" w:rsidR="007E3F74" w:rsidRDefault="007E3F74" w:rsidP="006A28FC">
      <w:pPr>
        <w:spacing w:line="480" w:lineRule="auto"/>
        <w:jc w:val="both"/>
      </w:pPr>
    </w:p>
    <w:p w14:paraId="1C7E7E8E" w14:textId="6310BCE1" w:rsidR="0045697D" w:rsidRPr="00E02DE1" w:rsidRDefault="00DB1B48" w:rsidP="006A28FC">
      <w:pPr>
        <w:spacing w:line="480" w:lineRule="auto"/>
        <w:jc w:val="both"/>
        <w:rPr>
          <w:color w:val="FF0000"/>
        </w:rPr>
      </w:pPr>
      <w:r>
        <w:tab/>
      </w:r>
      <w:r w:rsidR="008946FB">
        <w:t xml:space="preserve">Conversely, positive descriptions of execution crowds across the four newspapers emphasised their orderly and respectful attitude and behaviour. </w:t>
      </w:r>
      <w:r w:rsidR="00D934CF" w:rsidRPr="00E02DE1">
        <w:rPr>
          <w:color w:val="FF0000"/>
        </w:rPr>
        <w:t>Such descriptions were found in around a seventh of the articles sampled (14%)</w:t>
      </w:r>
      <w:r w:rsidR="008946FB" w:rsidRPr="00E02DE1">
        <w:rPr>
          <w:color w:val="FF0000"/>
        </w:rPr>
        <w:t xml:space="preserve">, </w:t>
      </w:r>
      <w:r w:rsidR="00D934CF" w:rsidRPr="00E02DE1">
        <w:rPr>
          <w:color w:val="FF0000"/>
        </w:rPr>
        <w:t xml:space="preserve">ranging from 5% of articles in the </w:t>
      </w:r>
      <w:r w:rsidR="00D934CF" w:rsidRPr="00E02DE1">
        <w:rPr>
          <w:i/>
          <w:color w:val="FF0000"/>
        </w:rPr>
        <w:t>Lancaster Gazette</w:t>
      </w:r>
      <w:r w:rsidR="00D934CF" w:rsidRPr="00E02DE1">
        <w:rPr>
          <w:color w:val="FF0000"/>
        </w:rPr>
        <w:t xml:space="preserve"> to </w:t>
      </w:r>
      <w:r w:rsidR="00374E43">
        <w:rPr>
          <w:color w:val="FF0000"/>
        </w:rPr>
        <w:t>a fifth of those</w:t>
      </w:r>
      <w:r w:rsidR="00D934CF" w:rsidRPr="00E02DE1">
        <w:rPr>
          <w:color w:val="FF0000"/>
        </w:rPr>
        <w:t xml:space="preserve"> in the </w:t>
      </w:r>
      <w:r w:rsidR="00D934CF" w:rsidRPr="00E02DE1">
        <w:rPr>
          <w:i/>
          <w:color w:val="FF0000"/>
        </w:rPr>
        <w:t>Manchester Courier</w:t>
      </w:r>
      <w:r w:rsidR="00D934CF" w:rsidRPr="00E02DE1">
        <w:rPr>
          <w:color w:val="FF0000"/>
        </w:rPr>
        <w:t>.</w:t>
      </w:r>
      <w:r w:rsidR="00E02DE1">
        <w:rPr>
          <w:color w:val="FF0000"/>
        </w:rPr>
        <w:t xml:space="preserve"> </w:t>
      </w:r>
      <w:r w:rsidR="0095009A">
        <w:t xml:space="preserve">The crowd that gathered to witness the execution of George Evans and Thomas Stew in Liverpool in 1845, for example, was described by the </w:t>
      </w:r>
      <w:r w:rsidR="0095009A" w:rsidRPr="0095009A">
        <w:rPr>
          <w:i/>
        </w:rPr>
        <w:t>Manchester Courier</w:t>
      </w:r>
      <w:r w:rsidR="0095009A">
        <w:t xml:space="preserve"> as having being </w:t>
      </w:r>
      <w:r w:rsidR="0075753F">
        <w:t>‘</w:t>
      </w:r>
      <w:r w:rsidR="0095009A" w:rsidRPr="0095009A">
        <w:t>not so numerous as is usual on these dreadful occasions</w:t>
      </w:r>
      <w:r w:rsidR="0075753F">
        <w:t>’</w:t>
      </w:r>
      <w:r w:rsidR="0095009A">
        <w:t xml:space="preserve">, and having </w:t>
      </w:r>
      <w:r w:rsidR="0075753F">
        <w:t>‘</w:t>
      </w:r>
      <w:r w:rsidR="0095009A" w:rsidRPr="0095009A">
        <w:t>behaved with great order and decency</w:t>
      </w:r>
      <w:r w:rsidR="0075753F">
        <w:t>’</w:t>
      </w:r>
      <w:r w:rsidR="0095009A">
        <w:t>.</w:t>
      </w:r>
      <w:r w:rsidR="0095009A">
        <w:rPr>
          <w:rStyle w:val="EndnoteReference"/>
        </w:rPr>
        <w:endnoteReference w:id="37"/>
      </w:r>
      <w:r w:rsidR="0095009A" w:rsidRPr="0095009A">
        <w:t xml:space="preserve"> </w:t>
      </w:r>
      <w:r w:rsidR="0095009A">
        <w:t xml:space="preserve">Similarly, the </w:t>
      </w:r>
      <w:r w:rsidR="0095009A" w:rsidRPr="0095009A">
        <w:rPr>
          <w:i/>
        </w:rPr>
        <w:t>Lancaster Gazette</w:t>
      </w:r>
      <w:r w:rsidR="0095009A">
        <w:t xml:space="preserve"> described how </w:t>
      </w:r>
      <w:r w:rsidR="0075753F">
        <w:t>‘</w:t>
      </w:r>
      <w:r w:rsidR="0095009A">
        <w:t>the utmost decorum was observed</w:t>
      </w:r>
      <w:r w:rsidR="0075753F">
        <w:t>’</w:t>
      </w:r>
      <w:r w:rsidR="0095009A">
        <w:t xml:space="preserve"> by the crowd at the execution of Richard Hardman in 1856, the crowd quietly dispersing afterwards.</w:t>
      </w:r>
      <w:r w:rsidR="0095009A">
        <w:rPr>
          <w:rStyle w:val="EndnoteReference"/>
        </w:rPr>
        <w:endnoteReference w:id="38"/>
      </w:r>
      <w:r w:rsidR="0045697D">
        <w:t xml:space="preserve"> Indeed, even the </w:t>
      </w:r>
      <w:r w:rsidR="0045697D" w:rsidRPr="004E3D0A">
        <w:rPr>
          <w:i/>
        </w:rPr>
        <w:t>Liverpool Mercury</w:t>
      </w:r>
      <w:r w:rsidR="0045697D">
        <w:t xml:space="preserve"> was on occasions positive in its treatment of some crowds. Thus, while the crowd that gathered to witness the execution of Richard Pedder in 1853 </w:t>
      </w:r>
      <w:r w:rsidR="0075753F">
        <w:t>‘</w:t>
      </w:r>
      <w:r w:rsidR="0045697D" w:rsidRPr="0045697D">
        <w:t>exhibited so morbid a taste</w:t>
      </w:r>
      <w:r w:rsidR="0045697D">
        <w:t>…</w:t>
      </w:r>
      <w:r w:rsidR="0045697D" w:rsidRPr="0045697D">
        <w:t>we must say that their conduct generally was orderly and decorous, only a few unthinking young men displaying a levity most</w:t>
      </w:r>
      <w:r w:rsidR="0045697D">
        <w:t xml:space="preserve"> unbecoming the dreadful scene.</w:t>
      </w:r>
      <w:r w:rsidR="0075753F">
        <w:t>’</w:t>
      </w:r>
      <w:r w:rsidR="0045697D">
        <w:rPr>
          <w:rStyle w:val="EndnoteReference"/>
        </w:rPr>
        <w:endnoteReference w:id="39"/>
      </w:r>
    </w:p>
    <w:p w14:paraId="486C031A" w14:textId="77777777" w:rsidR="000655DC" w:rsidRDefault="000655DC" w:rsidP="006A28FC">
      <w:pPr>
        <w:spacing w:line="480" w:lineRule="auto"/>
        <w:jc w:val="both"/>
      </w:pPr>
    </w:p>
    <w:p w14:paraId="08697A8E" w14:textId="793BD6BB" w:rsidR="00372467" w:rsidRPr="003F57BB" w:rsidRDefault="0045697D" w:rsidP="00994A5F">
      <w:pPr>
        <w:spacing w:line="480" w:lineRule="auto"/>
        <w:jc w:val="both"/>
        <w:rPr>
          <w:color w:val="00B050"/>
        </w:rPr>
      </w:pPr>
      <w:r>
        <w:tab/>
        <w:t xml:space="preserve">On the whole, however, the </w:t>
      </w:r>
      <w:r w:rsidRPr="0045697D">
        <w:rPr>
          <w:i/>
        </w:rPr>
        <w:t>Liverpool Mercury</w:t>
      </w:r>
      <w:r>
        <w:t xml:space="preserve"> was typically much more negative in its reportage of execution crowds than the other three newspapers. This </w:t>
      </w:r>
      <w:r w:rsidR="00DC03ED">
        <w:t xml:space="preserve">was part of a broader campaign </w:t>
      </w:r>
      <w:r w:rsidR="004E3D0A">
        <w:t xml:space="preserve">against </w:t>
      </w:r>
      <w:r w:rsidR="00DC03ED">
        <w:t xml:space="preserve">capital punishment that was carried out in the </w:t>
      </w:r>
      <w:r w:rsidR="00DC03ED" w:rsidRPr="004E3D0A">
        <w:rPr>
          <w:i/>
        </w:rPr>
        <w:t>Mercury</w:t>
      </w:r>
      <w:r w:rsidR="00DC03ED">
        <w:t>’s pages; a campaign that stemmed from the reformist efforts of its proprietor-editor, Egerton Smith</w:t>
      </w:r>
      <w:r w:rsidR="00D0268B">
        <w:t>, and, following his death in 1841, subsequent editors.</w:t>
      </w:r>
      <w:r w:rsidR="00D0268B">
        <w:rPr>
          <w:rStyle w:val="EndnoteReference"/>
        </w:rPr>
        <w:endnoteReference w:id="40"/>
      </w:r>
      <w:r w:rsidR="00DC03ED">
        <w:t xml:space="preserve"> </w:t>
      </w:r>
      <w:r w:rsidR="00994A5F" w:rsidRPr="00994A5F">
        <w:t>By highlighting, and possibly exaggerating, the disorderly nature of the crowds that gathered to witness executions in the county, the newspaper hoped to show all that was wrong with public executions and capital punishment.</w:t>
      </w:r>
      <w:r w:rsidR="00994A5F">
        <w:t xml:space="preserve"> </w:t>
      </w:r>
    </w:p>
    <w:p w14:paraId="716836EA" w14:textId="77777777" w:rsidR="00E02DE1" w:rsidRDefault="00E02DE1" w:rsidP="006A28FC">
      <w:pPr>
        <w:spacing w:line="480" w:lineRule="auto"/>
        <w:jc w:val="both"/>
      </w:pPr>
    </w:p>
    <w:p w14:paraId="503F4AD0" w14:textId="6EA5C934" w:rsidR="00D37B95" w:rsidRDefault="00EE152D" w:rsidP="00E02DE1">
      <w:pPr>
        <w:spacing w:line="480" w:lineRule="auto"/>
        <w:ind w:firstLine="720"/>
        <w:jc w:val="both"/>
      </w:pPr>
      <w:r>
        <w:t xml:space="preserve">Just under half of the reports published in the </w:t>
      </w:r>
      <w:r w:rsidRPr="00EE152D">
        <w:rPr>
          <w:i/>
        </w:rPr>
        <w:t>Mercury</w:t>
      </w:r>
      <w:r>
        <w:t xml:space="preserve"> that were sampled were critical of the crowds that attended executions</w:t>
      </w:r>
      <w:r w:rsidR="00D96FB5">
        <w:t xml:space="preserve"> </w:t>
      </w:r>
      <w:r w:rsidR="00D96FB5" w:rsidRPr="00D96FB5">
        <w:rPr>
          <w:color w:val="FF0000"/>
        </w:rPr>
        <w:t>(49%)</w:t>
      </w:r>
      <w:r w:rsidRPr="00D96FB5">
        <w:rPr>
          <w:color w:val="FF0000"/>
        </w:rPr>
        <w:t xml:space="preserve">. </w:t>
      </w:r>
      <w:r>
        <w:t xml:space="preserve">In addition to the two areas of criticism explored above, the </w:t>
      </w:r>
      <w:r w:rsidRPr="00EE152D">
        <w:rPr>
          <w:i/>
        </w:rPr>
        <w:t>Mercury</w:t>
      </w:r>
      <w:r>
        <w:t xml:space="preserve"> also regularly bemoaned the presence of respectable people – or at least those with pretentions to respectability – at executions. This, again, was trope that was regularly rehearsed by both critics and defenders of capital punishment</w:t>
      </w:r>
      <w:r w:rsidR="001B1530">
        <w:t xml:space="preserve"> alike</w:t>
      </w:r>
      <w:r>
        <w:t xml:space="preserve">; that no respectable person would willingly attend an execution. </w:t>
      </w:r>
      <w:r w:rsidR="00D70149">
        <w:t>Several of those who gave evidence to the Capital Punishment Commission, for example, claimed to have either never attended an execution or have only done so reluctantly in the course of their official duties. As</w:t>
      </w:r>
      <w:r w:rsidR="00B27414">
        <w:t xml:space="preserve"> </w:t>
      </w:r>
      <w:r w:rsidR="001B1530">
        <w:t>one</w:t>
      </w:r>
      <w:r w:rsidR="00B27414">
        <w:t xml:space="preserve"> opponent of capital punishment told the Commission, </w:t>
      </w:r>
      <w:r w:rsidR="0075753F">
        <w:t>‘</w:t>
      </w:r>
      <w:r w:rsidR="00B27414">
        <w:t>no gentleman, except from pure eccentricity, and no respectable woman, would go to see an execution</w:t>
      </w:r>
      <w:r w:rsidR="0075753F">
        <w:t>’</w:t>
      </w:r>
      <w:r w:rsidR="00B27414">
        <w:t xml:space="preserve">. Those that did, he went on, </w:t>
      </w:r>
      <w:r w:rsidR="0075753F">
        <w:t>‘</w:t>
      </w:r>
      <w:r w:rsidR="00B27414">
        <w:t>is considered to belong to a degraded class of persons who like to witness horrible and repulsive sights</w:t>
      </w:r>
      <w:r w:rsidR="0075753F">
        <w:t>’</w:t>
      </w:r>
      <w:r w:rsidR="00B27414">
        <w:t>.</w:t>
      </w:r>
      <w:r w:rsidR="00B27414">
        <w:rPr>
          <w:rStyle w:val="EndnoteReference"/>
        </w:rPr>
        <w:endnoteReference w:id="41"/>
      </w:r>
      <w:r w:rsidR="00B43279">
        <w:t xml:space="preserve"> </w:t>
      </w:r>
    </w:p>
    <w:p w14:paraId="75983BAA" w14:textId="77777777" w:rsidR="00D37B95" w:rsidRDefault="00D37B95" w:rsidP="006A28FC">
      <w:pPr>
        <w:spacing w:line="480" w:lineRule="auto"/>
        <w:ind w:firstLine="720"/>
        <w:jc w:val="both"/>
      </w:pPr>
    </w:p>
    <w:p w14:paraId="736A93C6" w14:textId="78F10F0A" w:rsidR="0054146E" w:rsidRDefault="00B43279" w:rsidP="006A28FC">
      <w:pPr>
        <w:spacing w:line="480" w:lineRule="auto"/>
        <w:ind w:firstLine="720"/>
        <w:jc w:val="both"/>
      </w:pPr>
      <w:r>
        <w:lastRenderedPageBreak/>
        <w:t>Nevertheless, respectable members of society regularly attended executions</w:t>
      </w:r>
      <w:r w:rsidR="00D37B95">
        <w:t>, in Liverpool as elsewhere.</w:t>
      </w:r>
      <w:r>
        <w:t xml:space="preserve"> </w:t>
      </w:r>
      <w:r w:rsidR="00D37B95">
        <w:t xml:space="preserve">The </w:t>
      </w:r>
      <w:r w:rsidR="00D37B95" w:rsidRPr="00D37B95">
        <w:rPr>
          <w:i/>
        </w:rPr>
        <w:t>Liverpool Mercury</w:t>
      </w:r>
      <w:r w:rsidR="00D37B95">
        <w:t xml:space="preserve"> excoriated against this, stating in no uncertain terms in its report of the execution of Thomas Gallagher in </w:t>
      </w:r>
      <w:r w:rsidR="00D37B95" w:rsidRPr="00D37B95">
        <w:t xml:space="preserve">1860, </w:t>
      </w:r>
      <w:r w:rsidR="0075753F">
        <w:t>‘</w:t>
      </w:r>
      <w:r w:rsidR="00E970A6" w:rsidRPr="00D37B95">
        <w:t>It was a most sickening sight to see hundreds of women, many respectfully attired, gazing with an anxious look upon the scaffold, and many of them holding their offspring in their arms to obtain a good view of the horrible spectacle</w:t>
      </w:r>
      <w:r w:rsidR="0075753F">
        <w:t>’</w:t>
      </w:r>
      <w:r w:rsidR="00D37B95">
        <w:t>.</w:t>
      </w:r>
      <w:r w:rsidR="00E970A6" w:rsidRPr="00D37B95">
        <w:rPr>
          <w:rStyle w:val="EndnoteReference"/>
        </w:rPr>
        <w:endnoteReference w:id="42"/>
      </w:r>
      <w:r w:rsidR="00D37B95">
        <w:t xml:space="preserve"> Likewise, it observed at the execution of Thomas Edwards three years later, how </w:t>
      </w:r>
      <w:r w:rsidR="0075753F">
        <w:t>‘</w:t>
      </w:r>
      <w:r w:rsidR="00D37B95">
        <w:t xml:space="preserve">amongst the </w:t>
      </w:r>
      <w:r w:rsidR="00D37B95" w:rsidRPr="00D37B95">
        <w:t xml:space="preserve">individuals who thus sought to gratify their morbid curiosity was observed a female in the attire of a lady – muff, veil, and the </w:t>
      </w:r>
      <w:r w:rsidR="00D37B95" w:rsidRPr="00D37B95">
        <w:rPr>
          <w:i/>
        </w:rPr>
        <w:t>etceteras</w:t>
      </w:r>
      <w:r w:rsidR="00D37B95">
        <w:t>…</w:t>
      </w:r>
      <w:proofErr w:type="gramStart"/>
      <w:r w:rsidR="0075753F">
        <w:t>’</w:t>
      </w:r>
      <w:r w:rsidR="00D37B95">
        <w:t>.</w:t>
      </w:r>
      <w:proofErr w:type="gramEnd"/>
      <w:r w:rsidR="00D37B95">
        <w:rPr>
          <w:rStyle w:val="EndnoteReference"/>
        </w:rPr>
        <w:endnoteReference w:id="43"/>
      </w:r>
      <w:r w:rsidR="00D37B95">
        <w:t xml:space="preserve"> Nevertheless, it reserved particular opprobrium for those in attendance who affected respectability</w:t>
      </w:r>
      <w:r w:rsidR="0054146E">
        <w:t xml:space="preserve">, such as the ‘no inconsiderable portion of [women] who attended the execution of Taylor and Ward in 1862. These, the newspaper related,  </w:t>
      </w:r>
    </w:p>
    <w:p w14:paraId="0FF6A233" w14:textId="77777777" w:rsidR="0054146E" w:rsidRDefault="0054146E" w:rsidP="006A28FC">
      <w:pPr>
        <w:spacing w:line="480" w:lineRule="auto"/>
        <w:jc w:val="both"/>
      </w:pPr>
    </w:p>
    <w:p w14:paraId="63F705CA" w14:textId="167187B4" w:rsidR="00E970A6" w:rsidRPr="0054146E" w:rsidRDefault="0054146E" w:rsidP="006A28FC">
      <w:pPr>
        <w:spacing w:line="480" w:lineRule="auto"/>
        <w:ind w:left="567"/>
        <w:jc w:val="both"/>
      </w:pPr>
      <w:r>
        <w:t>…</w:t>
      </w:r>
      <w:r w:rsidR="00E970A6" w:rsidRPr="0054146E">
        <w:t xml:space="preserve">were anxious to pass for ‘ladies,’ being arrayed in ‘silks and satins,’ velvet mantles, and carrying flashly-coloured parasols. Some of these ‘ladies’ met with rather unpleasant treatment, in the shape of getting their crinolines ‘crushed up to nothing,’ and some of them got knocked down and trampled on, to their great annoyance of course, which they expressed </w:t>
      </w:r>
      <w:r>
        <w:t>in no measured or elegant terms.</w:t>
      </w:r>
      <w:r w:rsidR="00E970A6" w:rsidRPr="0054146E">
        <w:rPr>
          <w:rStyle w:val="EndnoteReference"/>
        </w:rPr>
        <w:endnoteReference w:id="44"/>
      </w:r>
    </w:p>
    <w:p w14:paraId="35E9D2CC" w14:textId="77777777" w:rsidR="0054146E" w:rsidRDefault="0054146E" w:rsidP="006A28FC">
      <w:pPr>
        <w:spacing w:line="480" w:lineRule="auto"/>
        <w:jc w:val="both"/>
      </w:pPr>
    </w:p>
    <w:p w14:paraId="3342AB52" w14:textId="50DDD59C" w:rsidR="0085475B" w:rsidRDefault="0054146E" w:rsidP="006A28FC">
      <w:pPr>
        <w:spacing w:line="480" w:lineRule="auto"/>
        <w:jc w:val="both"/>
      </w:pPr>
      <w:r>
        <w:tab/>
        <w:t xml:space="preserve">Indeed, it is notable that </w:t>
      </w:r>
      <w:r w:rsidR="00BD0284">
        <w:t xml:space="preserve">on many occasions the </w:t>
      </w:r>
      <w:r w:rsidR="00BD0284" w:rsidRPr="00CD7AC9">
        <w:rPr>
          <w:i/>
        </w:rPr>
        <w:t>Mercury</w:t>
      </w:r>
      <w:r w:rsidR="00BD0284">
        <w:t xml:space="preserve"> described the crowd at a particular execution in negative terms</w:t>
      </w:r>
      <w:r w:rsidR="004022B3">
        <w:t xml:space="preserve"> </w:t>
      </w:r>
      <w:r w:rsidR="00804953">
        <w:t>while acknowledging</w:t>
      </w:r>
      <w:r w:rsidR="004022B3">
        <w:t xml:space="preserve"> that it behaved in a relatively orderly way. </w:t>
      </w:r>
      <w:r w:rsidR="00A17737">
        <w:t>In its reportage of the execution of Captain Rogers</w:t>
      </w:r>
      <w:r w:rsidR="00BF07E7">
        <w:t xml:space="preserve"> in 1857</w:t>
      </w:r>
      <w:r w:rsidR="00A17737">
        <w:t xml:space="preserve">, for example, the newspaper bemoaned </w:t>
      </w:r>
      <w:r w:rsidR="0085475B">
        <w:t xml:space="preserve">how the occasion had </w:t>
      </w:r>
      <w:r w:rsidR="0085475B">
        <w:lastRenderedPageBreak/>
        <w:t xml:space="preserve">brought together </w:t>
      </w:r>
      <w:r w:rsidR="0075753F">
        <w:t>‘</w:t>
      </w:r>
      <w:r w:rsidR="0085475B" w:rsidRPr="0085475B">
        <w:t>that the great portion of the scum of society</w:t>
      </w:r>
      <w:r w:rsidR="0075753F">
        <w:t>’</w:t>
      </w:r>
      <w:r w:rsidR="0085475B">
        <w:t xml:space="preserve"> comprising </w:t>
      </w:r>
      <w:r w:rsidR="0075753F">
        <w:t>‘</w:t>
      </w:r>
      <w:r w:rsidR="0085475B" w:rsidRPr="0085475B">
        <w:t>wretched and debased men and women – prostitutes, thieves, and vagabonds of every description – the residents of filthy and abominable courts and cellars, places known only to the police</w:t>
      </w:r>
      <w:r w:rsidR="0075753F">
        <w:t>’</w:t>
      </w:r>
      <w:r w:rsidR="0085475B">
        <w:t xml:space="preserve">;  </w:t>
      </w:r>
    </w:p>
    <w:p w14:paraId="36DCDC87" w14:textId="77777777" w:rsidR="0085475B" w:rsidRDefault="0085475B" w:rsidP="006A28FC">
      <w:pPr>
        <w:spacing w:line="480" w:lineRule="auto"/>
        <w:jc w:val="both"/>
      </w:pPr>
    </w:p>
    <w:p w14:paraId="4047210C" w14:textId="3190620D" w:rsidR="0085475B" w:rsidRDefault="0085475B" w:rsidP="006A28FC">
      <w:pPr>
        <w:spacing w:line="480" w:lineRule="auto"/>
        <w:ind w:left="567"/>
        <w:jc w:val="both"/>
      </w:pPr>
      <w:r w:rsidRPr="0085475B">
        <w:t>There were, we are sorry to say, many decently-attired, respectable-looking females pushing their way in the crowd, but the majority of the women were disreputable and abandoned characters, who seemed, by their conversation and manner, highly delighted at having an opportunity of seeing a man hanged. The most deplorable sight of all, we thought, was to see fathers and mothers with babes in their arms, and children led by their hand, wending their way through the dirty and muddy streets to the place of execution. Another melancholy spectacle was observable in gangs of bareheaded ragged urchins, boys and girls, ranging from five to twelve years of age.</w:t>
      </w:r>
      <w:r>
        <w:rPr>
          <w:rStyle w:val="EndnoteReference"/>
        </w:rPr>
        <w:endnoteReference w:id="45"/>
      </w:r>
    </w:p>
    <w:p w14:paraId="5205072D" w14:textId="77777777" w:rsidR="0085475B" w:rsidRDefault="0085475B" w:rsidP="006A28FC">
      <w:pPr>
        <w:spacing w:line="480" w:lineRule="auto"/>
        <w:jc w:val="both"/>
      </w:pPr>
    </w:p>
    <w:p w14:paraId="5742C777" w14:textId="1C2FE7F1" w:rsidR="0085475B" w:rsidRDefault="0085475B" w:rsidP="006A28FC">
      <w:pPr>
        <w:spacing w:line="480" w:lineRule="auto"/>
        <w:jc w:val="both"/>
      </w:pPr>
      <w:r>
        <w:t xml:space="preserve">Nevertheless, the newspaper went on, the crowd </w:t>
      </w:r>
      <w:r w:rsidR="0075753F">
        <w:t>‘</w:t>
      </w:r>
      <w:r w:rsidRPr="0085475B">
        <w:t>well-behaved and orderly; as much so as could be expected under the circumstances</w:t>
      </w:r>
      <w:r w:rsidR="0075753F">
        <w:t>’</w:t>
      </w:r>
      <w:r>
        <w:t xml:space="preserve"> and </w:t>
      </w:r>
      <w:r w:rsidR="0075753F">
        <w:t>‘</w:t>
      </w:r>
      <w:r>
        <w:t>behaved with the utmost decorum</w:t>
      </w:r>
      <w:r w:rsidR="0075753F">
        <w:t>’</w:t>
      </w:r>
      <w:r>
        <w:t>.</w:t>
      </w:r>
      <w:r>
        <w:rPr>
          <w:rStyle w:val="EndnoteReference"/>
        </w:rPr>
        <w:endnoteReference w:id="46"/>
      </w:r>
    </w:p>
    <w:p w14:paraId="2C5D738E" w14:textId="77777777" w:rsidR="00854A8C" w:rsidRDefault="00854A8C" w:rsidP="006A28FC">
      <w:pPr>
        <w:spacing w:line="480" w:lineRule="auto"/>
        <w:jc w:val="both"/>
      </w:pPr>
    </w:p>
    <w:p w14:paraId="613BB7B9" w14:textId="15E3B417" w:rsidR="000655DC" w:rsidRDefault="00854A8C" w:rsidP="006A28FC">
      <w:pPr>
        <w:spacing w:line="480" w:lineRule="auto"/>
        <w:jc w:val="both"/>
      </w:pPr>
      <w:r>
        <w:tab/>
        <w:t xml:space="preserve">Similarly, in its report of the execution of </w:t>
      </w:r>
      <w:r w:rsidR="00583D21">
        <w:t>Duncan MacPhail and George Woods in 1863</w:t>
      </w:r>
      <w:r>
        <w:t xml:space="preserve">, </w:t>
      </w:r>
      <w:r w:rsidR="00583D21">
        <w:t xml:space="preserve">the </w:t>
      </w:r>
      <w:r w:rsidR="00583D21" w:rsidRPr="00583D21">
        <w:rPr>
          <w:i/>
        </w:rPr>
        <w:t>Mercury</w:t>
      </w:r>
      <w:r>
        <w:t xml:space="preserve"> </w:t>
      </w:r>
      <w:r w:rsidR="00583D21">
        <w:t xml:space="preserve">denounced </w:t>
      </w:r>
      <w:r w:rsidR="0075753F">
        <w:t>‘</w:t>
      </w:r>
      <w:r w:rsidR="00583D21">
        <w:t>t</w:t>
      </w:r>
      <w:r w:rsidR="00583D21" w:rsidRPr="00583D21">
        <w:t>he morbid curiosity displayed on these occasions</w:t>
      </w:r>
      <w:r w:rsidR="0075753F">
        <w:t>’</w:t>
      </w:r>
      <w:r w:rsidR="00583D21">
        <w:t xml:space="preserve"> as </w:t>
      </w:r>
      <w:r w:rsidR="0075753F">
        <w:t>‘</w:t>
      </w:r>
      <w:r w:rsidR="00583D21">
        <w:t>something astonishing</w:t>
      </w:r>
      <w:r w:rsidR="0075753F">
        <w:t>’</w:t>
      </w:r>
      <w:r w:rsidR="00583D21">
        <w:t xml:space="preserve">, highlighting for particular opprobrium </w:t>
      </w:r>
      <w:r w:rsidR="0075753F">
        <w:t>‘</w:t>
      </w:r>
      <w:r w:rsidR="00583D21" w:rsidRPr="00583D21">
        <w:t>The behavio</w:t>
      </w:r>
      <w:r w:rsidR="001111C8">
        <w:t>u</w:t>
      </w:r>
      <w:r w:rsidR="00583D21" w:rsidRPr="00583D21">
        <w:t>r of some of the younger men</w:t>
      </w:r>
      <w:r w:rsidR="0075753F">
        <w:t>’</w:t>
      </w:r>
      <w:r w:rsidR="00583D21">
        <w:t xml:space="preserve">. This, it claimed </w:t>
      </w:r>
      <w:r w:rsidR="0075753F">
        <w:t>‘</w:t>
      </w:r>
      <w:r w:rsidR="00583D21" w:rsidRPr="00583D21">
        <w:t>was anything but creditable; the foul expressions used and the levity disp</w:t>
      </w:r>
      <w:r w:rsidR="00583D21">
        <w:t>layed were perfectly disgraceful</w:t>
      </w:r>
      <w:r w:rsidR="004E3D0A">
        <w:t>’</w:t>
      </w:r>
      <w:r w:rsidR="00583D21">
        <w:t xml:space="preserve">. In addition, the newspaper noted the presence of </w:t>
      </w:r>
      <w:r w:rsidR="0075753F">
        <w:t>‘</w:t>
      </w:r>
      <w:r w:rsidR="00583D21">
        <w:t>many respectably-</w:t>
      </w:r>
      <w:r w:rsidR="00583D21">
        <w:lastRenderedPageBreak/>
        <w:t>dressed persons, and even women with children in their arms</w:t>
      </w:r>
      <w:r w:rsidR="0075753F">
        <w:t>’</w:t>
      </w:r>
      <w:r w:rsidR="00583D21">
        <w:t xml:space="preserve">, who were seen pushing their way to the front of the crowd in order to obtain a good view of the execution. Nevertheless, it went on, the number of women present was less than on former occasions, and </w:t>
      </w:r>
      <w:r w:rsidR="0075753F">
        <w:t>‘</w:t>
      </w:r>
      <w:r w:rsidR="00583D21" w:rsidRPr="00583D21">
        <w:t>The crowd from the time the culprits made their appearance on the scaffold, behaved in the most orderly manner</w:t>
      </w:r>
      <w:r w:rsidR="00583D21">
        <w:t>…</w:t>
      </w:r>
      <w:proofErr w:type="gramStart"/>
      <w:r w:rsidR="0075753F">
        <w:t>’</w:t>
      </w:r>
      <w:r w:rsidR="00583D21">
        <w:t>.</w:t>
      </w:r>
      <w:proofErr w:type="gramEnd"/>
      <w:r w:rsidR="00223E02">
        <w:rPr>
          <w:rStyle w:val="EndnoteReference"/>
        </w:rPr>
        <w:endnoteReference w:id="47"/>
      </w:r>
      <w:r w:rsidR="00583D21">
        <w:t xml:space="preserve"> In this way, </w:t>
      </w:r>
      <w:r w:rsidR="00BC15F3">
        <w:t xml:space="preserve">the </w:t>
      </w:r>
      <w:r w:rsidR="00BC15F3" w:rsidRPr="00036203">
        <w:rPr>
          <w:i/>
        </w:rPr>
        <w:t>Mercury</w:t>
      </w:r>
      <w:r w:rsidR="00BC15F3">
        <w:t xml:space="preserve"> railed against both the </w:t>
      </w:r>
      <w:r w:rsidR="001111C8">
        <w:t>plebeian</w:t>
      </w:r>
      <w:r w:rsidR="00BC15F3">
        <w:t xml:space="preserve"> nature of crowd </w:t>
      </w:r>
      <w:r w:rsidR="002063BD">
        <w:t xml:space="preserve">and the presence of respectable persons on such occasions, even where the former’s </w:t>
      </w:r>
      <w:r w:rsidR="002063BD" w:rsidRPr="00036203">
        <w:t>behaviour</w:t>
      </w:r>
      <w:r w:rsidR="002063BD">
        <w:t xml:space="preserve"> was not disorderly. The presence of persons of any social class or gender at an execution was</w:t>
      </w:r>
      <w:r w:rsidR="00171D0F">
        <w:t xml:space="preserve"> thus</w:t>
      </w:r>
      <w:r w:rsidR="002063BD">
        <w:t xml:space="preserve">, for it, </w:t>
      </w:r>
      <w:r w:rsidR="00171D0F">
        <w:t>deplorable in its own right, irrespective of how decorous or not their behaviour.</w:t>
      </w:r>
    </w:p>
    <w:p w14:paraId="5E98089A" w14:textId="77777777" w:rsidR="00C35FF8" w:rsidRDefault="00C35FF8" w:rsidP="006A28FC">
      <w:pPr>
        <w:spacing w:line="480" w:lineRule="auto"/>
        <w:jc w:val="both"/>
      </w:pPr>
    </w:p>
    <w:p w14:paraId="1C5B7B33" w14:textId="1A1F4441" w:rsidR="00455CF8" w:rsidRPr="00B50F67" w:rsidRDefault="00243252" w:rsidP="006A28FC">
      <w:pPr>
        <w:spacing w:line="480" w:lineRule="auto"/>
        <w:jc w:val="both"/>
        <w:rPr>
          <w:color w:val="FF0000"/>
        </w:rPr>
      </w:pPr>
      <w:r>
        <w:tab/>
      </w:r>
      <w:r w:rsidR="004D1B1E" w:rsidRPr="00B50F67">
        <w:rPr>
          <w:color w:val="FF0000"/>
        </w:rPr>
        <w:t xml:space="preserve">Indeed, on several occasions the </w:t>
      </w:r>
      <w:r w:rsidR="004D1B1E" w:rsidRPr="00B50F67">
        <w:rPr>
          <w:i/>
          <w:color w:val="FF0000"/>
        </w:rPr>
        <w:t>Liverpool Mercury</w:t>
      </w:r>
      <w:r w:rsidR="004D1B1E" w:rsidRPr="00B50F67">
        <w:rPr>
          <w:color w:val="FF0000"/>
        </w:rPr>
        <w:t xml:space="preserve"> presented an ambivalent description of the crowd at a particular execution </w:t>
      </w:r>
      <w:r w:rsidR="00EC3AEA" w:rsidRPr="00B50F67">
        <w:rPr>
          <w:color w:val="FF0000"/>
        </w:rPr>
        <w:t xml:space="preserve">where the other newspapers described it in neutral or even positive terms. </w:t>
      </w:r>
      <w:r w:rsidR="00DB39B9" w:rsidRPr="00B50F67">
        <w:rPr>
          <w:color w:val="FF0000"/>
        </w:rPr>
        <w:t xml:space="preserve">The </w:t>
      </w:r>
      <w:r w:rsidR="00DB39B9" w:rsidRPr="00B50F67">
        <w:rPr>
          <w:i/>
          <w:color w:val="FF0000"/>
        </w:rPr>
        <w:t xml:space="preserve">Manchester Courier </w:t>
      </w:r>
      <w:r w:rsidR="00DB39B9" w:rsidRPr="00B50F67">
        <w:rPr>
          <w:color w:val="FF0000"/>
        </w:rPr>
        <w:t>described the crowd at the execution of Thomas Grimes in 1866 in neutral terms, highlighting that it was initially a lot smaller than previous crowds, large numbers being presumably deterred from standing outside for several hours before the execution by the inclement weather. However, as the time of execution drew near the size of the crowd increased until there were around 50,000 persons present.</w:t>
      </w:r>
      <w:r w:rsidR="00DB39B9" w:rsidRPr="00B50F67">
        <w:rPr>
          <w:rStyle w:val="EndnoteReference"/>
          <w:color w:val="FF0000"/>
        </w:rPr>
        <w:endnoteReference w:id="48"/>
      </w:r>
      <w:r w:rsidR="00DB39B9" w:rsidRPr="00B50F67">
        <w:rPr>
          <w:color w:val="FF0000"/>
        </w:rPr>
        <w:t xml:space="preserve"> Both the </w:t>
      </w:r>
      <w:r w:rsidR="00DB39B9" w:rsidRPr="00B50F67">
        <w:rPr>
          <w:i/>
          <w:color w:val="FF0000"/>
        </w:rPr>
        <w:t>Lancaster Gazette</w:t>
      </w:r>
      <w:r w:rsidR="00DB39B9" w:rsidRPr="00B50F67">
        <w:rPr>
          <w:color w:val="FF0000"/>
        </w:rPr>
        <w:t xml:space="preserve"> and the </w:t>
      </w:r>
      <w:r w:rsidR="00DB39B9" w:rsidRPr="00B50F67">
        <w:rPr>
          <w:i/>
          <w:color w:val="FF0000"/>
        </w:rPr>
        <w:t>Manchester Times</w:t>
      </w:r>
      <w:r w:rsidR="00DB39B9" w:rsidRPr="00B50F67">
        <w:rPr>
          <w:color w:val="FF0000"/>
        </w:rPr>
        <w:t xml:space="preserve"> were positive in their appraisal of the crowd, the former noting with approval how it was generally quiet and orderly with little noise – either from larking roughs or psalm singers. There were also </w:t>
      </w:r>
      <w:r w:rsidR="00455CF8" w:rsidRPr="00B50F67">
        <w:rPr>
          <w:color w:val="FF0000"/>
        </w:rPr>
        <w:t>comparatively</w:t>
      </w:r>
      <w:r w:rsidR="00DB39B9" w:rsidRPr="00B50F67">
        <w:rPr>
          <w:color w:val="FF0000"/>
        </w:rPr>
        <w:t xml:space="preserve"> few women present. </w:t>
      </w:r>
      <w:r w:rsidR="00455CF8" w:rsidRPr="00B50F67">
        <w:rPr>
          <w:color w:val="FF0000"/>
        </w:rPr>
        <w:t>The latter agreed, adding that ‘as the time for the execution drew near, the crowd quieted down still more, and whatever talk there was carried on in little above a whisper’.</w:t>
      </w:r>
      <w:r w:rsidR="00455CF8" w:rsidRPr="00B50F67">
        <w:rPr>
          <w:rStyle w:val="EndnoteReference"/>
          <w:color w:val="FF0000"/>
        </w:rPr>
        <w:endnoteReference w:id="49"/>
      </w:r>
      <w:r w:rsidR="00455CF8" w:rsidRPr="00B50F67">
        <w:rPr>
          <w:color w:val="FF0000"/>
        </w:rPr>
        <w:t xml:space="preserve"> In contrast, while </w:t>
      </w:r>
      <w:r w:rsidR="00455CF8" w:rsidRPr="00B50F67">
        <w:rPr>
          <w:color w:val="FF0000"/>
        </w:rPr>
        <w:lastRenderedPageBreak/>
        <w:t xml:space="preserve">agreeing that the crowd ‘was very orderly – unusually so, in fact’, the </w:t>
      </w:r>
      <w:r w:rsidR="00455CF8" w:rsidRPr="00B50F67">
        <w:rPr>
          <w:i/>
          <w:color w:val="FF0000"/>
        </w:rPr>
        <w:t>Liverpool Mercury</w:t>
      </w:r>
      <w:r w:rsidR="00455CF8" w:rsidRPr="00B50F67">
        <w:rPr>
          <w:color w:val="FF0000"/>
        </w:rPr>
        <w:t xml:space="preserve"> nevertheless bemoaned at length </w:t>
      </w:r>
      <w:r w:rsidR="00B949BC" w:rsidRPr="00B50F67">
        <w:rPr>
          <w:color w:val="FF0000"/>
        </w:rPr>
        <w:t xml:space="preserve">the behaviour and motivations of those in attendance. </w:t>
      </w:r>
      <w:r w:rsidR="00312EE3" w:rsidRPr="00B50F67">
        <w:rPr>
          <w:color w:val="FF0000"/>
        </w:rPr>
        <w:t xml:space="preserve">Noting that the crowd appeared more respectable than on previous occasions, it added caustically ‘that is, if respectability is to be judged of from the clothes which people wear’. Clearly, for the </w:t>
      </w:r>
      <w:r w:rsidR="00312EE3" w:rsidRPr="00B50F67">
        <w:rPr>
          <w:i/>
          <w:color w:val="FF0000"/>
        </w:rPr>
        <w:t>Mercury</w:t>
      </w:r>
      <w:r w:rsidR="00312EE3" w:rsidRPr="00B50F67">
        <w:rPr>
          <w:color w:val="FF0000"/>
        </w:rPr>
        <w:t>, no respectable person would attend an execution. The newspaper also noted that many men were accompanied by ‘sweethearts dressed in their best’, some of them carrying infants. The execution of a felon, it speculated, being ‘evidently the first sight in their day of “pleasure”’. Indeed, it interpreted the lack of psalm singers and tract distributors at the execution as evidence of a realisation on their part that thos</w:t>
      </w:r>
      <w:r w:rsidR="00600214" w:rsidRPr="00B50F67">
        <w:rPr>
          <w:color w:val="FF0000"/>
        </w:rPr>
        <w:t xml:space="preserve">e to who they hoped to minister were unlikely to approach the occasion with the appropriate, receptive solemnity. Certainly, it concluded, </w:t>
      </w:r>
      <w:r w:rsidR="00374E43">
        <w:rPr>
          <w:color w:val="FF0000"/>
        </w:rPr>
        <w:t>‘</w:t>
      </w:r>
      <w:r w:rsidR="00600214" w:rsidRPr="00B50F67">
        <w:rPr>
          <w:color w:val="FF0000"/>
        </w:rPr>
        <w:t>The ribald language in which some of the visitors indulged as they proceeded on their way to the scene of the execution is at any rate against the supposition that they were at all affected by the sight they were about to witness’.</w:t>
      </w:r>
      <w:r w:rsidR="00600214" w:rsidRPr="00B50F67">
        <w:rPr>
          <w:rStyle w:val="EndnoteReference"/>
          <w:color w:val="FF0000"/>
        </w:rPr>
        <w:endnoteReference w:id="50"/>
      </w:r>
    </w:p>
    <w:p w14:paraId="1BE4A3B5" w14:textId="77777777" w:rsidR="00243252" w:rsidRDefault="00243252" w:rsidP="006A28FC">
      <w:pPr>
        <w:spacing w:line="480" w:lineRule="auto"/>
        <w:jc w:val="both"/>
      </w:pPr>
    </w:p>
    <w:p w14:paraId="73F93E0E" w14:textId="788C043D" w:rsidR="000655DC" w:rsidRPr="00614A1F" w:rsidRDefault="000655DC" w:rsidP="006A28FC">
      <w:pPr>
        <w:spacing w:line="480" w:lineRule="auto"/>
        <w:jc w:val="both"/>
        <w:rPr>
          <w:color w:val="00B0F0"/>
        </w:rPr>
      </w:pPr>
    </w:p>
    <w:p w14:paraId="10996852" w14:textId="6843D2F9" w:rsidR="00277607" w:rsidRPr="00277607" w:rsidRDefault="00277607" w:rsidP="00614A1F">
      <w:pPr>
        <w:spacing w:line="480" w:lineRule="auto"/>
        <w:jc w:val="both"/>
        <w:outlineLvl w:val="0"/>
        <w:rPr>
          <w:b/>
          <w:sz w:val="28"/>
          <w:szCs w:val="28"/>
        </w:rPr>
      </w:pPr>
      <w:r w:rsidRPr="00277607">
        <w:rPr>
          <w:b/>
          <w:sz w:val="28"/>
          <w:szCs w:val="28"/>
        </w:rPr>
        <w:t>Conclusion</w:t>
      </w:r>
    </w:p>
    <w:p w14:paraId="6AFE6657" w14:textId="77777777" w:rsidR="00415F24" w:rsidRDefault="00415F24" w:rsidP="006A28FC">
      <w:pPr>
        <w:spacing w:line="480" w:lineRule="auto"/>
        <w:rPr>
          <w:b/>
        </w:rPr>
      </w:pPr>
    </w:p>
    <w:p w14:paraId="584E9C5E" w14:textId="0008D6A6" w:rsidR="00A94CDD" w:rsidRDefault="00A363FB" w:rsidP="00A94CDD">
      <w:pPr>
        <w:spacing w:line="480" w:lineRule="auto"/>
        <w:jc w:val="both"/>
        <w:rPr>
          <w:color w:val="FF0000"/>
        </w:rPr>
      </w:pPr>
      <w:r>
        <w:rPr>
          <w:color w:val="FF0000"/>
        </w:rPr>
        <w:t xml:space="preserve">To conclude, </w:t>
      </w:r>
      <w:r w:rsidR="00400AFA" w:rsidRPr="00400AFA">
        <w:rPr>
          <w:color w:val="FF0000"/>
        </w:rPr>
        <w:t>the evidence from the Lancashire press suggest</w:t>
      </w:r>
      <w:r>
        <w:rPr>
          <w:color w:val="FF0000"/>
        </w:rPr>
        <w:t xml:space="preserve">s two possible conclusions. On the one hand, the large proportion of neutral descriptions found in the </w:t>
      </w:r>
      <w:r w:rsidRPr="00A363FB">
        <w:rPr>
          <w:i/>
          <w:color w:val="FF0000"/>
        </w:rPr>
        <w:t>Lancaster Gazette</w:t>
      </w:r>
      <w:r>
        <w:rPr>
          <w:color w:val="FF0000"/>
        </w:rPr>
        <w:t xml:space="preserve">, </w:t>
      </w:r>
      <w:r w:rsidRPr="00A363FB">
        <w:rPr>
          <w:i/>
          <w:color w:val="FF0000"/>
        </w:rPr>
        <w:t>Manchester Times</w:t>
      </w:r>
      <w:r>
        <w:rPr>
          <w:color w:val="FF0000"/>
        </w:rPr>
        <w:t xml:space="preserve"> and </w:t>
      </w:r>
      <w:r w:rsidRPr="00A363FB">
        <w:rPr>
          <w:i/>
          <w:color w:val="FF0000"/>
        </w:rPr>
        <w:t>Manchester Courier</w:t>
      </w:r>
      <w:r>
        <w:rPr>
          <w:color w:val="FF0000"/>
        </w:rPr>
        <w:t xml:space="preserve"> suggests that provincial execution crowds, at least in Lancaster, were possibly better behaved than those in the Metropolis. </w:t>
      </w:r>
      <w:r w:rsidR="00400AFA" w:rsidRPr="00400AFA">
        <w:rPr>
          <w:color w:val="FF0000"/>
        </w:rPr>
        <w:t xml:space="preserve">In other words, it is possible that the image of riotous execution crowds found in the polemics of commentators such as Dickens and </w:t>
      </w:r>
      <w:r w:rsidR="00400AFA" w:rsidRPr="00400AFA">
        <w:rPr>
          <w:color w:val="FF0000"/>
        </w:rPr>
        <w:lastRenderedPageBreak/>
        <w:t>Wakefield and, indeed, the work of subsequent historians were largely a Metropolitan phenomenon. On the other, a more radical conclusion that could be drawn, developing from that of White, is that the riotous execution crowd was an invention of – or at least an exaggeration propounded by – critics of capital punishment.</w:t>
      </w:r>
      <w:r w:rsidR="00400AFA">
        <w:rPr>
          <w:color w:val="FF0000"/>
        </w:rPr>
        <w:t xml:space="preserve"> </w:t>
      </w:r>
    </w:p>
    <w:p w14:paraId="3AC697A1" w14:textId="77777777" w:rsidR="00A94CDD" w:rsidRDefault="00A94CDD" w:rsidP="00A94CDD">
      <w:pPr>
        <w:spacing w:line="480" w:lineRule="auto"/>
        <w:jc w:val="both"/>
        <w:rPr>
          <w:color w:val="FF0000"/>
        </w:rPr>
      </w:pPr>
    </w:p>
    <w:p w14:paraId="4591C621" w14:textId="1055E31C" w:rsidR="00FE0854" w:rsidRPr="004936BF" w:rsidRDefault="00A94CDD" w:rsidP="00A94CDD">
      <w:pPr>
        <w:spacing w:line="480" w:lineRule="auto"/>
        <w:ind w:firstLine="720"/>
        <w:jc w:val="both"/>
        <w:rPr>
          <w:color w:val="FF0000"/>
        </w:rPr>
      </w:pPr>
      <w:r>
        <w:rPr>
          <w:color w:val="FF0000"/>
        </w:rPr>
        <w:t>D</w:t>
      </w:r>
      <w:r w:rsidR="00FE0854" w:rsidRPr="004936BF">
        <w:rPr>
          <w:color w:val="FF0000"/>
        </w:rPr>
        <w:t xml:space="preserve">espite the growing critique of execution crowds from the 1840s onwards, the majority of execution reportage in three of the Lancashire newspapers sampled described such crowds in the county in neutral terms. </w:t>
      </w:r>
      <w:r w:rsidR="00991646" w:rsidRPr="004936BF">
        <w:rPr>
          <w:color w:val="FF0000"/>
        </w:rPr>
        <w:t xml:space="preserve">Between a quarter and two-fifths of the execution reports published in the </w:t>
      </w:r>
      <w:r w:rsidR="00991646" w:rsidRPr="00A94CDD">
        <w:rPr>
          <w:i/>
          <w:color w:val="FF0000"/>
        </w:rPr>
        <w:t>Manchester Courier, Lancaster Gazette</w:t>
      </w:r>
      <w:r w:rsidR="00991646" w:rsidRPr="00A94CDD">
        <w:rPr>
          <w:color w:val="FF0000"/>
        </w:rPr>
        <w:t xml:space="preserve"> and</w:t>
      </w:r>
      <w:r w:rsidR="00991646" w:rsidRPr="00A94CDD">
        <w:rPr>
          <w:i/>
          <w:color w:val="FF0000"/>
        </w:rPr>
        <w:t xml:space="preserve"> Manchester Times</w:t>
      </w:r>
      <w:r w:rsidR="00991646" w:rsidRPr="004936BF">
        <w:rPr>
          <w:color w:val="FF0000"/>
        </w:rPr>
        <w:t xml:space="preserve"> simply described the size and composition of the crowd without passing any real comment. Between 17% and a quarter provided more detail on the crowd without passing any positive or negative comment on their behaviour. </w:t>
      </w:r>
      <w:r w:rsidR="00991646" w:rsidRPr="004936BF">
        <w:t xml:space="preserve">That is to say, bearing in mind that the four newspapers did not hold back in criticizing crowds when they behaved in a manner that offended middle class sensibilities, neutral descriptions (or even a complete absence of a mention) could be read as evidence for the crowds on these occasions behaving in a manner that was not deemed as meriting concern.  </w:t>
      </w:r>
    </w:p>
    <w:p w14:paraId="046AB82F" w14:textId="77777777" w:rsidR="00FE0854" w:rsidRDefault="00FE0854" w:rsidP="006A28FC">
      <w:pPr>
        <w:spacing w:line="480" w:lineRule="auto"/>
        <w:rPr>
          <w:b/>
        </w:rPr>
      </w:pPr>
    </w:p>
    <w:p w14:paraId="19843C31" w14:textId="04E2EAC9" w:rsidR="004936BF" w:rsidRPr="004936BF" w:rsidRDefault="004936BF" w:rsidP="004936BF">
      <w:pPr>
        <w:spacing w:line="480" w:lineRule="auto"/>
        <w:jc w:val="both"/>
      </w:pPr>
      <w:r>
        <w:rPr>
          <w:b/>
        </w:rPr>
        <w:tab/>
      </w:r>
      <w:r w:rsidR="00A94CDD">
        <w:rPr>
          <w:color w:val="FF0000"/>
        </w:rPr>
        <w:t>Leaving</w:t>
      </w:r>
      <w:r w:rsidRPr="004936BF">
        <w:rPr>
          <w:color w:val="FF0000"/>
        </w:rPr>
        <w:t xml:space="preserve"> to one side the execution reportage found in the </w:t>
      </w:r>
      <w:r w:rsidRPr="004936BF">
        <w:rPr>
          <w:i/>
          <w:color w:val="FF0000"/>
        </w:rPr>
        <w:t>Liverpool Mercury</w:t>
      </w:r>
      <w:r w:rsidRPr="004936BF">
        <w:rPr>
          <w:color w:val="FF0000"/>
        </w:rPr>
        <w:t xml:space="preserve">, only between 11% and just over a third of descriptions of execution crowds found in the Lancashire newspapers sampled presented the crowd negatively. Moreover, the proportion of negative descriptions did not increase across any of the newspapers as execution crowds became increasingly problematized in elite discourse from the 1840s onwards. </w:t>
      </w:r>
      <w:r>
        <w:rPr>
          <w:color w:val="FF0000"/>
        </w:rPr>
        <w:t xml:space="preserve">That said, </w:t>
      </w:r>
      <w:r w:rsidRPr="004936BF">
        <w:t xml:space="preserve">negative reportage repeated the </w:t>
      </w:r>
      <w:r w:rsidRPr="004936BF">
        <w:lastRenderedPageBreak/>
        <w:t>same kinds of criticisms that were found in national debates; that such crowds acted in an inappropriate manner, betrayed an inappropriate attitude to the moral lesson before them, or contained persons deemed to be an inappropriate audience for such displays. In contrast, positive reports emphasized the crowd’s decorous behaviour and the solemnity of the occasion.</w:t>
      </w:r>
      <w:r>
        <w:t xml:space="preserve"> </w:t>
      </w:r>
      <w:r w:rsidRPr="004936BF">
        <w:t>In other words, execution crowds were seen and judged through the prism of middle class notions of respectability</w:t>
      </w:r>
      <w:r>
        <w:t>.</w:t>
      </w:r>
      <w:r w:rsidR="00A72AD1">
        <w:t xml:space="preserve"> The irony here is that, like Dickens, journalists and other correspondents bemoaned the awfulness of public executions while simultaneously </w:t>
      </w:r>
      <w:r w:rsidR="00232D9A">
        <w:t>attending and describing them in detail to their readers. Indeed, the space given to execution reports in contemporary newspapers shows both their ‘newsworthiness’ and the interest that they generated for their readership.</w:t>
      </w:r>
    </w:p>
    <w:p w14:paraId="1D1223AB" w14:textId="77777777" w:rsidR="004936BF" w:rsidRDefault="004936BF" w:rsidP="004936BF">
      <w:pPr>
        <w:spacing w:line="480" w:lineRule="auto"/>
        <w:jc w:val="both"/>
        <w:rPr>
          <w:b/>
        </w:rPr>
      </w:pPr>
    </w:p>
    <w:p w14:paraId="6E98F878" w14:textId="5BA556C4" w:rsidR="0009167C" w:rsidRDefault="004936BF" w:rsidP="004936BF">
      <w:pPr>
        <w:spacing w:line="480" w:lineRule="auto"/>
        <w:jc w:val="both"/>
      </w:pPr>
      <w:r>
        <w:rPr>
          <w:b/>
        </w:rPr>
        <w:tab/>
      </w:r>
      <w:r w:rsidR="00A94CDD">
        <w:rPr>
          <w:color w:val="FF0000"/>
        </w:rPr>
        <w:t xml:space="preserve">As </w:t>
      </w:r>
      <w:r w:rsidR="0009167C" w:rsidRPr="0009167C">
        <w:rPr>
          <w:color w:val="FF0000"/>
        </w:rPr>
        <w:t>John Tulloch has observed,</w:t>
      </w:r>
      <w:r w:rsidR="0009167C" w:rsidRPr="0009167C">
        <w:rPr>
          <w:b/>
          <w:color w:val="FF0000"/>
        </w:rPr>
        <w:t xml:space="preserve"> </w:t>
      </w:r>
      <w:r w:rsidR="0009167C" w:rsidRPr="0009167C">
        <w:t xml:space="preserve">journalists during this period ‘arguably…saw in the </w:t>
      </w:r>
      <w:r w:rsidR="00A94CDD">
        <w:t xml:space="preserve">[execution] </w:t>
      </w:r>
      <w:r w:rsidR="0009167C" w:rsidRPr="0009167C">
        <w:t>crowd what they wanted to see’.</w:t>
      </w:r>
      <w:r w:rsidR="0009167C" w:rsidRPr="0009167C">
        <w:rPr>
          <w:vertAlign w:val="superscript"/>
        </w:rPr>
        <w:endnoteReference w:id="51"/>
      </w:r>
      <w:r w:rsidR="0009167C" w:rsidRPr="0009167C">
        <w:t xml:space="preserve"> This was particularly the case with the </w:t>
      </w:r>
      <w:r w:rsidR="0009167C" w:rsidRPr="0009167C">
        <w:rPr>
          <w:i/>
        </w:rPr>
        <w:t>Liverpool Mercury</w:t>
      </w:r>
      <w:r w:rsidR="0009167C" w:rsidRPr="0009167C">
        <w:t xml:space="preserve">, which was a vehement critic of capital punishment and the practice of public executions over the period under investigation. In contrast to the other three newspapers, the majority of execution reports published in the </w:t>
      </w:r>
      <w:r w:rsidR="0009167C" w:rsidRPr="0009167C">
        <w:rPr>
          <w:i/>
        </w:rPr>
        <w:t xml:space="preserve">Mercury </w:t>
      </w:r>
      <w:r w:rsidR="0009167C" w:rsidRPr="0009167C">
        <w:t xml:space="preserve">depicted the crowds in a negative way. Indeed, it did so even while simultaneously </w:t>
      </w:r>
      <w:r w:rsidR="0009167C" w:rsidRPr="0009167C">
        <w:rPr>
          <w:color w:val="FF0000"/>
        </w:rPr>
        <w:t>agreeing with other published accounts</w:t>
      </w:r>
      <w:r w:rsidR="0009167C" w:rsidRPr="0009167C">
        <w:t xml:space="preserve"> that a particular crowd had generally behaved in an orderly and respectful manner. In this way, the </w:t>
      </w:r>
      <w:r w:rsidR="0009167C" w:rsidRPr="0009167C">
        <w:rPr>
          <w:i/>
        </w:rPr>
        <w:t>Mercury</w:t>
      </w:r>
      <w:r w:rsidR="0009167C" w:rsidRPr="0009167C">
        <w:t xml:space="preserve"> saw and depicted execution crowds as a symbol of all that was wrong with public executions and capital punishment more broadly. Both were remnants of a less civilized age that did not deter would be offenders, but only served to further brutalise those who witnessed, as the newspaper termed it, ‘a fellow-creature strangled by the hands of the common executioner’.</w:t>
      </w:r>
      <w:r w:rsidR="0009167C" w:rsidRPr="0009167C">
        <w:rPr>
          <w:vertAlign w:val="superscript"/>
        </w:rPr>
        <w:endnoteReference w:id="52"/>
      </w:r>
    </w:p>
    <w:p w14:paraId="4CE5C49C" w14:textId="77777777" w:rsidR="00413B0D" w:rsidRDefault="00413B0D" w:rsidP="004936BF">
      <w:pPr>
        <w:spacing w:line="480" w:lineRule="auto"/>
        <w:jc w:val="both"/>
      </w:pPr>
    </w:p>
    <w:p w14:paraId="10EFB198" w14:textId="36B34D6B" w:rsidR="00F51FC4" w:rsidRDefault="00413B0D" w:rsidP="004936BF">
      <w:pPr>
        <w:spacing w:line="480" w:lineRule="auto"/>
        <w:jc w:val="both"/>
        <w:rPr>
          <w:color w:val="FF0000"/>
        </w:rPr>
      </w:pPr>
      <w:r>
        <w:tab/>
      </w:r>
      <w:r w:rsidR="00F51FC4">
        <w:rPr>
          <w:color w:val="FF0000"/>
        </w:rPr>
        <w:t xml:space="preserve"> </w:t>
      </w:r>
    </w:p>
    <w:p w14:paraId="2C0B6ED6" w14:textId="77777777" w:rsidR="003F1196" w:rsidRDefault="003F1196" w:rsidP="004936BF">
      <w:pPr>
        <w:spacing w:line="480" w:lineRule="auto"/>
        <w:jc w:val="both"/>
      </w:pPr>
    </w:p>
    <w:p w14:paraId="4DA7D033" w14:textId="77777777" w:rsidR="003F1196" w:rsidRDefault="003F1196" w:rsidP="004936BF">
      <w:pPr>
        <w:spacing w:line="480" w:lineRule="auto"/>
        <w:jc w:val="both"/>
      </w:pPr>
    </w:p>
    <w:p w14:paraId="7D81119F" w14:textId="77777777" w:rsidR="0009167C" w:rsidRPr="00FE0854" w:rsidRDefault="0009167C" w:rsidP="004936BF">
      <w:pPr>
        <w:spacing w:line="480" w:lineRule="auto"/>
        <w:jc w:val="both"/>
        <w:rPr>
          <w:b/>
        </w:rPr>
      </w:pPr>
    </w:p>
    <w:p w14:paraId="353DDC90" w14:textId="7377903F" w:rsidR="009B40B6" w:rsidRDefault="009B59E8" w:rsidP="006A28FC">
      <w:pPr>
        <w:spacing w:line="480" w:lineRule="auto"/>
        <w:jc w:val="both"/>
      </w:pPr>
      <w:r>
        <w:tab/>
      </w:r>
    </w:p>
    <w:p w14:paraId="2E7858DA" w14:textId="77777777" w:rsidR="00DA7A25" w:rsidRDefault="00DA7A25" w:rsidP="006A28FC">
      <w:pPr>
        <w:spacing w:line="480" w:lineRule="auto"/>
        <w:jc w:val="both"/>
      </w:pPr>
    </w:p>
    <w:p w14:paraId="0EBA46C2" w14:textId="77777777" w:rsidR="00E702E3" w:rsidRDefault="00E702E3" w:rsidP="006A28FC">
      <w:pPr>
        <w:spacing w:line="480" w:lineRule="auto"/>
        <w:jc w:val="both"/>
      </w:pPr>
    </w:p>
    <w:p w14:paraId="19B75B7E" w14:textId="77777777" w:rsidR="00E702E3" w:rsidRDefault="00E702E3" w:rsidP="006A28FC">
      <w:pPr>
        <w:spacing w:line="480" w:lineRule="auto"/>
        <w:jc w:val="both"/>
        <w:rPr>
          <w:b/>
          <w:sz w:val="28"/>
          <w:szCs w:val="28"/>
        </w:rPr>
      </w:pPr>
    </w:p>
    <w:p w14:paraId="3319E8FD" w14:textId="77777777" w:rsidR="00F179C2" w:rsidRDefault="00F179C2" w:rsidP="006A28FC">
      <w:pPr>
        <w:spacing w:line="480" w:lineRule="auto"/>
        <w:rPr>
          <w:b/>
          <w:sz w:val="28"/>
          <w:szCs w:val="28"/>
        </w:rPr>
      </w:pPr>
      <w:r>
        <w:rPr>
          <w:b/>
          <w:sz w:val="28"/>
          <w:szCs w:val="28"/>
        </w:rPr>
        <w:br w:type="page"/>
      </w:r>
    </w:p>
    <w:p w14:paraId="77CC4104" w14:textId="6A720440" w:rsidR="008839A6" w:rsidRPr="008839A6" w:rsidRDefault="008839A6" w:rsidP="00614A1F">
      <w:pPr>
        <w:spacing w:line="480" w:lineRule="auto"/>
        <w:jc w:val="both"/>
        <w:outlineLvl w:val="0"/>
        <w:rPr>
          <w:b/>
          <w:sz w:val="28"/>
          <w:szCs w:val="28"/>
        </w:rPr>
      </w:pPr>
      <w:r w:rsidRPr="008839A6">
        <w:rPr>
          <w:b/>
          <w:sz w:val="28"/>
          <w:szCs w:val="28"/>
        </w:rPr>
        <w:lastRenderedPageBreak/>
        <w:t>Notes</w:t>
      </w:r>
    </w:p>
    <w:sectPr w:rsidR="008839A6" w:rsidRPr="008839A6" w:rsidSect="00A07A5B">
      <w:footerReference w:type="default" r:id="rId10"/>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F7D81" w14:textId="77777777" w:rsidR="008B4171" w:rsidRDefault="008B4171" w:rsidP="008839A6">
      <w:r>
        <w:separator/>
      </w:r>
    </w:p>
  </w:endnote>
  <w:endnote w:type="continuationSeparator" w:id="0">
    <w:p w14:paraId="12667E95" w14:textId="77777777" w:rsidR="008B4171" w:rsidRDefault="008B4171" w:rsidP="008839A6">
      <w:r>
        <w:continuationSeparator/>
      </w:r>
    </w:p>
  </w:endnote>
  <w:endnote w:id="1">
    <w:p w14:paraId="5C763339" w14:textId="0D4002AE" w:rsidR="00E418B0" w:rsidRPr="00584BDF" w:rsidRDefault="00E418B0" w:rsidP="00AF1187">
      <w:pPr>
        <w:pStyle w:val="EndnoteText"/>
        <w:jc w:val="both"/>
      </w:pPr>
      <w:r>
        <w:rPr>
          <w:rStyle w:val="EndnoteReference"/>
        </w:rPr>
        <w:endnoteRef/>
      </w:r>
      <w:r>
        <w:t xml:space="preserve"> Dickens was no stranger to executions, having witnessed at least four or five other prior to that of the Mannings, including possibly an execution by guillotine in Rome. For a discussion of his ambivalent attitude to public executions, see F.S. Schwarzbach, ‘‘All the hideous apparatus of death’: Dickens and Executions’, in William B. Thesig, </w:t>
      </w:r>
      <w:r w:rsidRPr="0060483C">
        <w:rPr>
          <w:i/>
        </w:rPr>
        <w:t>Executions and the British experience from the 17</w:t>
      </w:r>
      <w:r w:rsidRPr="0060483C">
        <w:rPr>
          <w:i/>
          <w:vertAlign w:val="superscript"/>
        </w:rPr>
        <w:t>th</w:t>
      </w:r>
      <w:r w:rsidRPr="0060483C">
        <w:rPr>
          <w:i/>
        </w:rPr>
        <w:t xml:space="preserve"> to the 20</w:t>
      </w:r>
      <w:r w:rsidRPr="0060483C">
        <w:rPr>
          <w:i/>
          <w:vertAlign w:val="superscript"/>
        </w:rPr>
        <w:t>th</w:t>
      </w:r>
      <w:r w:rsidRPr="0060483C">
        <w:rPr>
          <w:i/>
        </w:rPr>
        <w:t xml:space="preserve"> century: a collection of essays</w:t>
      </w:r>
      <w:r>
        <w:t xml:space="preserve"> (Jefferson, NC: McFarland and Company Inc. Publishers, 1990), 93-110</w:t>
      </w:r>
    </w:p>
  </w:endnote>
  <w:endnote w:id="2">
    <w:p w14:paraId="55B43E7C" w14:textId="694BDF1A" w:rsidR="00E418B0" w:rsidRPr="005E43B2" w:rsidRDefault="00E418B0" w:rsidP="00AF1187">
      <w:pPr>
        <w:pStyle w:val="EndnoteText"/>
        <w:jc w:val="both"/>
      </w:pPr>
      <w:r>
        <w:rPr>
          <w:rStyle w:val="EndnoteReference"/>
        </w:rPr>
        <w:endnoteRef/>
      </w:r>
      <w:r>
        <w:t xml:space="preserve"> Charles Dickens, ‘</w:t>
      </w:r>
      <w:r w:rsidRPr="00C70A85">
        <w:t>Letters to the editor</w:t>
      </w:r>
      <w:r>
        <w:t>’</w:t>
      </w:r>
      <w:r w:rsidRPr="00C70A85">
        <w:t>, </w:t>
      </w:r>
      <w:r w:rsidRPr="005E43B2">
        <w:rPr>
          <w:i/>
          <w:iCs/>
        </w:rPr>
        <w:t>The Times</w:t>
      </w:r>
      <w:r w:rsidRPr="005E43B2">
        <w:t>, November 14, 1849, p. 4.</w:t>
      </w:r>
    </w:p>
  </w:endnote>
  <w:endnote w:id="3">
    <w:p w14:paraId="4837D4FB" w14:textId="4E3CDCF4" w:rsidR="00E418B0" w:rsidRDefault="00E418B0" w:rsidP="00D66579">
      <w:pPr>
        <w:pStyle w:val="EndnoteText"/>
        <w:jc w:val="both"/>
      </w:pPr>
      <w:r>
        <w:rPr>
          <w:rStyle w:val="EndnoteReference"/>
        </w:rPr>
        <w:endnoteRef/>
      </w:r>
      <w:r>
        <w:t xml:space="preserve"> See for example, Edward Gibbon Wakefield, </w:t>
      </w:r>
      <w:r w:rsidRPr="00F65BBB">
        <w:rPr>
          <w:i/>
        </w:rPr>
        <w:t>Facts relating to the punishment of death in the metropolis</w:t>
      </w:r>
      <w:r>
        <w:t xml:space="preserve"> (London, James Ridgway, 1831); James Grant, </w:t>
      </w:r>
      <w:r w:rsidRPr="00E01D2B">
        <w:rPr>
          <w:i/>
        </w:rPr>
        <w:t>The Great Metropolis</w:t>
      </w:r>
      <w:r>
        <w:t>, 2</w:t>
      </w:r>
      <w:r w:rsidRPr="00E01D2B">
        <w:rPr>
          <w:vertAlign w:val="superscript"/>
        </w:rPr>
        <w:t>nd</w:t>
      </w:r>
      <w:r>
        <w:t xml:space="preserve"> Ser. (London, Saunders and Otley, 1837); </w:t>
      </w:r>
      <w:r w:rsidRPr="00AF1187">
        <w:t>‘Report of the Capital Punishment Commission; together with the minutes of evidence and appendix’, PP 1866, xxi.1 [3590], passim.</w:t>
      </w:r>
    </w:p>
  </w:endnote>
  <w:endnote w:id="4">
    <w:p w14:paraId="1A80BDBC" w14:textId="4589BD3A" w:rsidR="00E418B0" w:rsidRDefault="00E418B0" w:rsidP="009F251F">
      <w:pPr>
        <w:pStyle w:val="EndnoteText"/>
        <w:jc w:val="both"/>
      </w:pPr>
      <w:r>
        <w:rPr>
          <w:rStyle w:val="EndnoteReference"/>
        </w:rPr>
        <w:endnoteRef/>
      </w:r>
      <w:r>
        <w:t xml:space="preserve"> Douglas Hay, ‘Property, authority and the criminal law’, in Douglas Hay, Peter Linebaugh, John G. Rule, E.P. Thompson and Cal Winslow, </w:t>
      </w:r>
      <w:r w:rsidRPr="00F91B72">
        <w:rPr>
          <w:i/>
        </w:rPr>
        <w:t>Albion’s Fatal Tree: crime and society in eighteenth-century England</w:t>
      </w:r>
      <w:r>
        <w:t xml:space="preserve"> (London, Verso, 2011), 17-64. </w:t>
      </w:r>
      <w:r w:rsidRPr="00F91B72">
        <w:rPr>
          <w:i/>
        </w:rPr>
        <w:t>Michel Foucault, Discipline and Punish: The birth of the</w:t>
      </w:r>
      <w:r>
        <w:t xml:space="preserve"> </w:t>
      </w:r>
      <w:r w:rsidRPr="00F91B72">
        <w:rPr>
          <w:i/>
        </w:rPr>
        <w:t>prison</w:t>
      </w:r>
      <w:r>
        <w:t xml:space="preserve"> (Harmondsworth, Penguin Books, 1991)</w:t>
      </w:r>
    </w:p>
  </w:endnote>
  <w:endnote w:id="5">
    <w:p w14:paraId="74CC3721" w14:textId="17A96ED6" w:rsidR="00E418B0" w:rsidRDefault="00E418B0" w:rsidP="009F251F">
      <w:pPr>
        <w:pStyle w:val="EndnoteText"/>
        <w:jc w:val="both"/>
      </w:pPr>
      <w:r>
        <w:rPr>
          <w:rStyle w:val="EndnoteReference"/>
        </w:rPr>
        <w:endnoteRef/>
      </w:r>
      <w:r>
        <w:t xml:space="preserve"> </w:t>
      </w:r>
      <w:r w:rsidRPr="009F251F">
        <w:t xml:space="preserve">Thomas Laqueur, ‘Crowds, carnival and the state in English executions, 1604-1868’, in A.L. Beier, David Cannadine, James M. Rosenheim and Lawrence Stone (eds.) </w:t>
      </w:r>
      <w:r w:rsidRPr="00495930">
        <w:rPr>
          <w:i/>
        </w:rPr>
        <w:t>The First modern society: essays in English history in honour of Lawrence Stone</w:t>
      </w:r>
      <w:r>
        <w:t xml:space="preserve"> (Cambridge, Cambridge Unive</w:t>
      </w:r>
      <w:r w:rsidRPr="009F251F">
        <w:t>rsity Press, 1989), 305-55.</w:t>
      </w:r>
    </w:p>
  </w:endnote>
  <w:endnote w:id="6">
    <w:p w14:paraId="22E5A456" w14:textId="567F8BA0" w:rsidR="00E418B0" w:rsidRDefault="00E418B0" w:rsidP="007E76BF">
      <w:pPr>
        <w:pStyle w:val="EndnoteText"/>
        <w:jc w:val="both"/>
      </w:pPr>
      <w:r>
        <w:rPr>
          <w:rStyle w:val="EndnoteReference"/>
        </w:rPr>
        <w:endnoteRef/>
      </w:r>
      <w:r>
        <w:t xml:space="preserve"> V.A.C. Gatrell, </w:t>
      </w:r>
      <w:r w:rsidRPr="007E76BF">
        <w:rPr>
          <w:i/>
        </w:rPr>
        <w:t>The Hanging Tree: execution and the English People 1770-1868</w:t>
      </w:r>
      <w:r>
        <w:t xml:space="preserve"> (Oxford, Oxford University Press, 1996).</w:t>
      </w:r>
    </w:p>
  </w:endnote>
  <w:endnote w:id="7">
    <w:p w14:paraId="5D241D39" w14:textId="21011FBC" w:rsidR="00E418B0" w:rsidRDefault="00E418B0" w:rsidP="00495930">
      <w:pPr>
        <w:pStyle w:val="EndnoteText"/>
        <w:jc w:val="both"/>
      </w:pPr>
      <w:r>
        <w:rPr>
          <w:rStyle w:val="EndnoteReference"/>
        </w:rPr>
        <w:endnoteRef/>
      </w:r>
      <w:r>
        <w:t xml:space="preserve"> </w:t>
      </w:r>
      <w:r w:rsidRPr="00495930">
        <w:t xml:space="preserve">Matthew White, </w:t>
      </w:r>
      <w:r w:rsidRPr="00495930">
        <w:rPr>
          <w:i/>
        </w:rPr>
        <w:t>Ordering the Mob: London’s Public Punishments, c. 1783-1868</w:t>
      </w:r>
      <w:r w:rsidRPr="00495930">
        <w:t xml:space="preserve"> (PhD, University of Hertfordshire, 2009); Matthew White, ‘‘Rogues of the Meaner Sort’? Old Bailey executions and the crowd in the early nineteenth century’, </w:t>
      </w:r>
      <w:r w:rsidRPr="00495930">
        <w:rPr>
          <w:i/>
        </w:rPr>
        <w:t>The London Journal</w:t>
      </w:r>
      <w:r w:rsidRPr="00495930">
        <w:t>, 33, 2 (2008), 135-53.</w:t>
      </w:r>
    </w:p>
  </w:endnote>
  <w:endnote w:id="8">
    <w:p w14:paraId="4836099F" w14:textId="2143B2B8" w:rsidR="00E418B0" w:rsidRDefault="00E418B0" w:rsidP="00F47A1F">
      <w:pPr>
        <w:pStyle w:val="EndnoteText"/>
        <w:jc w:val="both"/>
      </w:pPr>
      <w:r>
        <w:rPr>
          <w:rStyle w:val="EndnoteReference"/>
        </w:rPr>
        <w:endnoteRef/>
      </w:r>
      <w:r>
        <w:t xml:space="preserve"> Rosalind Crone, </w:t>
      </w:r>
      <w:r w:rsidRPr="00F47A1F">
        <w:rPr>
          <w:i/>
        </w:rPr>
        <w:t xml:space="preserve">Violent Victorians: popular entertainment in nineteenth-century London </w:t>
      </w:r>
      <w:r>
        <w:t>(Manchester, University of Manchester Press, 2012)</w:t>
      </w:r>
    </w:p>
  </w:endnote>
  <w:endnote w:id="9">
    <w:p w14:paraId="390846C1" w14:textId="454D0CE1" w:rsidR="00E418B0" w:rsidRDefault="00E418B0">
      <w:pPr>
        <w:pStyle w:val="EndnoteText"/>
      </w:pPr>
      <w:r>
        <w:rPr>
          <w:rStyle w:val="EndnoteReference"/>
        </w:rPr>
        <w:endnoteRef/>
      </w:r>
      <w:r>
        <w:t xml:space="preserve"> Gatrell, </w:t>
      </w:r>
      <w:proofErr w:type="gramStart"/>
      <w:r w:rsidRPr="007E76BF">
        <w:rPr>
          <w:i/>
        </w:rPr>
        <w:t>The</w:t>
      </w:r>
      <w:proofErr w:type="gramEnd"/>
      <w:r w:rsidRPr="007E76BF">
        <w:rPr>
          <w:i/>
        </w:rPr>
        <w:t xml:space="preserve"> Hanging Tree</w:t>
      </w:r>
      <w:r>
        <w:t>, 39.</w:t>
      </w:r>
    </w:p>
  </w:endnote>
  <w:endnote w:id="10">
    <w:p w14:paraId="2BAC8D60" w14:textId="0EAB8DF8" w:rsidR="00E418B0" w:rsidRPr="00223A22" w:rsidRDefault="00E418B0" w:rsidP="00223A22">
      <w:pPr>
        <w:pStyle w:val="EndnoteText"/>
        <w:jc w:val="both"/>
      </w:pPr>
      <w:r>
        <w:rPr>
          <w:rStyle w:val="EndnoteReference"/>
        </w:rPr>
        <w:endnoteRef/>
      </w:r>
      <w:r>
        <w:t xml:space="preserve"> John Tulloch, ‘The Privatising of Pain: Lincoln Newspapers, ‘mediated publicness’ and the end of public execution’, </w:t>
      </w:r>
      <w:r w:rsidRPr="007428B1">
        <w:rPr>
          <w:i/>
        </w:rPr>
        <w:t>Journalism Studies</w:t>
      </w:r>
      <w:r>
        <w:t xml:space="preserve">, 7, 3 (2006), 437-51. </w:t>
      </w:r>
    </w:p>
  </w:endnote>
  <w:endnote w:id="11">
    <w:p w14:paraId="3324D37C" w14:textId="372ED4DC" w:rsidR="00E418B0" w:rsidRPr="00C52C91" w:rsidRDefault="00E418B0" w:rsidP="00C52C91">
      <w:pPr>
        <w:pStyle w:val="EndnoteText"/>
        <w:jc w:val="both"/>
      </w:pPr>
      <w:r>
        <w:rPr>
          <w:rStyle w:val="EndnoteReference"/>
        </w:rPr>
        <w:endnoteRef/>
      </w:r>
      <w:r>
        <w:t xml:space="preserve"> Zoe Dyndor, ‘Death recorded: capital punishment and the press in Northampton, 1780-1834’, </w:t>
      </w:r>
      <w:r w:rsidRPr="00C52C91">
        <w:rPr>
          <w:i/>
        </w:rPr>
        <w:t>Midland History</w:t>
      </w:r>
      <w:r>
        <w:t>, 33, 2 (2008), 179-95</w:t>
      </w:r>
    </w:p>
  </w:endnote>
  <w:endnote w:id="12">
    <w:p w14:paraId="03A8BC86" w14:textId="7D76CAA2" w:rsidR="00E418B0" w:rsidRPr="00772E0E" w:rsidRDefault="00E418B0" w:rsidP="00772E0E">
      <w:pPr>
        <w:pStyle w:val="EndnoteText"/>
        <w:jc w:val="both"/>
      </w:pPr>
      <w:r>
        <w:rPr>
          <w:rStyle w:val="EndnoteReference"/>
        </w:rPr>
        <w:endnoteRef/>
      </w:r>
      <w:r>
        <w:t xml:space="preserve"> John Walliss, ‘Representations of Justice executed at Norwich Castle: A Comparative Analysis of Execution Reports in the </w:t>
      </w:r>
      <w:r w:rsidRPr="00772E0E">
        <w:rPr>
          <w:i/>
        </w:rPr>
        <w:t>Norfolk Chronicle</w:t>
      </w:r>
      <w:r>
        <w:t xml:space="preserve"> and </w:t>
      </w:r>
      <w:r w:rsidRPr="00772E0E">
        <w:rPr>
          <w:i/>
        </w:rPr>
        <w:t>Bury and Norwich Post, 1805-1867</w:t>
      </w:r>
      <w:r>
        <w:t xml:space="preserve">’, </w:t>
      </w:r>
      <w:r w:rsidRPr="00772E0E">
        <w:rPr>
          <w:i/>
        </w:rPr>
        <w:t>Law Crime and History</w:t>
      </w:r>
      <w:r>
        <w:t>, 3, 2, (2013), 30-51.</w:t>
      </w:r>
    </w:p>
  </w:endnote>
  <w:endnote w:id="13">
    <w:p w14:paraId="4024668C" w14:textId="1F457EAF" w:rsidR="00E418B0" w:rsidRDefault="00E418B0">
      <w:pPr>
        <w:pStyle w:val="EndnoteText"/>
      </w:pPr>
      <w:r>
        <w:rPr>
          <w:rStyle w:val="EndnoteReference"/>
        </w:rPr>
        <w:endnoteRef/>
      </w:r>
      <w:r>
        <w:t xml:space="preserve"> See- REFERENCE WITHHELD FOR THE PURPOSE OF BLIND REVIEW</w:t>
      </w:r>
    </w:p>
  </w:endnote>
  <w:endnote w:id="14">
    <w:p w14:paraId="4FB6283E" w14:textId="77777777" w:rsidR="00E418B0" w:rsidRDefault="00E418B0" w:rsidP="00F6556B">
      <w:pPr>
        <w:pStyle w:val="EndnoteText"/>
      </w:pPr>
      <w:r>
        <w:rPr>
          <w:rStyle w:val="EndnoteReference"/>
        </w:rPr>
        <w:endnoteRef/>
      </w:r>
      <w:r>
        <w:t xml:space="preserve"> </w:t>
      </w:r>
      <w:hyperlink r:id="rId1" w:history="1">
        <w:r w:rsidRPr="00937D2A">
          <w:rPr>
            <w:rStyle w:val="Hyperlink"/>
          </w:rPr>
          <w:t>http://www.britishnewspaperarchive.co.uk/</w:t>
        </w:r>
      </w:hyperlink>
    </w:p>
  </w:endnote>
  <w:endnote w:id="15">
    <w:p w14:paraId="32EA4614" w14:textId="28390434" w:rsidR="00E418B0" w:rsidRPr="00FA189C" w:rsidRDefault="00E418B0" w:rsidP="00FA189C">
      <w:pPr>
        <w:pStyle w:val="EndnoteText"/>
        <w:jc w:val="both"/>
        <w:rPr>
          <w:lang w:val="en-US"/>
        </w:rPr>
      </w:pPr>
      <w:r>
        <w:rPr>
          <w:rStyle w:val="EndnoteReference"/>
        </w:rPr>
        <w:endnoteRef/>
      </w:r>
      <w:r>
        <w:t xml:space="preserve"> </w:t>
      </w:r>
      <w:r>
        <w:rPr>
          <w:lang w:val="en-US"/>
        </w:rPr>
        <w:t xml:space="preserve">‘Circulation of the Lancashire Newspapers’, </w:t>
      </w:r>
      <w:r w:rsidRPr="00FA189C">
        <w:rPr>
          <w:i/>
          <w:lang w:val="en-US"/>
        </w:rPr>
        <w:t>Manchester Times</w:t>
      </w:r>
      <w:r>
        <w:rPr>
          <w:lang w:val="en-US"/>
        </w:rPr>
        <w:t>, 8</w:t>
      </w:r>
      <w:r w:rsidRPr="00FA189C">
        <w:rPr>
          <w:vertAlign w:val="superscript"/>
          <w:lang w:val="en-US"/>
        </w:rPr>
        <w:t>th</w:t>
      </w:r>
      <w:r>
        <w:rPr>
          <w:lang w:val="en-US"/>
        </w:rPr>
        <w:t xml:space="preserve"> April 1854, p. 5.</w:t>
      </w:r>
    </w:p>
  </w:endnote>
  <w:endnote w:id="16">
    <w:p w14:paraId="6088937F" w14:textId="61DFBFD2" w:rsidR="00E418B0" w:rsidRPr="00350041" w:rsidRDefault="00E418B0" w:rsidP="00350041">
      <w:pPr>
        <w:pStyle w:val="EndnoteText"/>
        <w:jc w:val="both"/>
        <w:rPr>
          <w:lang w:val="en-US"/>
        </w:rPr>
      </w:pPr>
      <w:r>
        <w:rPr>
          <w:rStyle w:val="EndnoteReference"/>
        </w:rPr>
        <w:endnoteRef/>
      </w:r>
      <w:r>
        <w:t xml:space="preserve"> On this phenomenon, see Andrew Hobbs, ‘When the provincial press was the national press (c. 1836-c.1900)’, </w:t>
      </w:r>
      <w:r w:rsidRPr="00E47EC4">
        <w:rPr>
          <w:i/>
        </w:rPr>
        <w:t>International Journal of Regional and Local History</w:t>
      </w:r>
      <w:r>
        <w:t xml:space="preserve">, 5, 1 (2009), </w:t>
      </w:r>
      <w:r w:rsidRPr="00E47EC4">
        <w:t>16-43</w:t>
      </w:r>
      <w:r>
        <w:t>.</w:t>
      </w:r>
    </w:p>
  </w:endnote>
  <w:endnote w:id="17">
    <w:p w14:paraId="24E1A016" w14:textId="6E04790B" w:rsidR="00E418B0" w:rsidRDefault="00E418B0">
      <w:pPr>
        <w:pStyle w:val="EndnoteText"/>
      </w:pPr>
      <w:r>
        <w:rPr>
          <w:rStyle w:val="EndnoteReference"/>
        </w:rPr>
        <w:endnoteRef/>
      </w:r>
      <w:r>
        <w:t xml:space="preserve"> Walliss, ‘Representations of Justice executed at Norwich Castle’.</w:t>
      </w:r>
    </w:p>
  </w:endnote>
  <w:endnote w:id="18">
    <w:p w14:paraId="54D60900" w14:textId="62F8948D" w:rsidR="00E418B0" w:rsidRDefault="00E418B0">
      <w:pPr>
        <w:pStyle w:val="EndnoteText"/>
      </w:pPr>
      <w:r>
        <w:rPr>
          <w:rStyle w:val="EndnoteReference"/>
        </w:rPr>
        <w:endnoteRef/>
      </w:r>
      <w:r>
        <w:t xml:space="preserve"> Cf. Walliss, ‘Representations of Justice executed at Norwich Castle’.</w:t>
      </w:r>
    </w:p>
  </w:endnote>
  <w:endnote w:id="19">
    <w:p w14:paraId="040CBA67" w14:textId="01D9B916" w:rsidR="00E418B0" w:rsidRDefault="00E418B0" w:rsidP="00C13430">
      <w:pPr>
        <w:pStyle w:val="EndnoteText"/>
        <w:jc w:val="both"/>
      </w:pPr>
      <w:r>
        <w:rPr>
          <w:rStyle w:val="EndnoteReference"/>
        </w:rPr>
        <w:endnoteRef/>
      </w:r>
      <w:r>
        <w:t xml:space="preserve"> ‘Execution of </w:t>
      </w:r>
      <w:r w:rsidRPr="002640FA">
        <w:t>James</w:t>
      </w:r>
      <w:r>
        <w:t xml:space="preserve"> Barlow for the murder of his wife’, </w:t>
      </w:r>
      <w:r w:rsidRPr="00CF3D22">
        <w:rPr>
          <w:i/>
        </w:rPr>
        <w:t>Manchester Courier</w:t>
      </w:r>
      <w:r>
        <w:t>, 29</w:t>
      </w:r>
      <w:r w:rsidRPr="00C13430">
        <w:rPr>
          <w:vertAlign w:val="superscript"/>
        </w:rPr>
        <w:t>th</w:t>
      </w:r>
      <w:r>
        <w:t xml:space="preserve"> August 1835, 4; ‘Execution of the Fulwood Murderer’, </w:t>
      </w:r>
      <w:r w:rsidRPr="00C13430">
        <w:rPr>
          <w:i/>
        </w:rPr>
        <w:t>Manchester Times</w:t>
      </w:r>
      <w:r>
        <w:t>, 18</w:t>
      </w:r>
      <w:r w:rsidRPr="00C13430">
        <w:rPr>
          <w:vertAlign w:val="superscript"/>
        </w:rPr>
        <w:t>th</w:t>
      </w:r>
      <w:r>
        <w:t xml:space="preserve"> January 1862, 3.</w:t>
      </w:r>
    </w:p>
  </w:endnote>
  <w:endnote w:id="20">
    <w:p w14:paraId="7C8ADF86" w14:textId="6B1E809E" w:rsidR="00E418B0" w:rsidRDefault="00E418B0" w:rsidP="00864ACD">
      <w:pPr>
        <w:pStyle w:val="EndnoteText"/>
        <w:jc w:val="both"/>
      </w:pPr>
      <w:r>
        <w:rPr>
          <w:rStyle w:val="EndnoteReference"/>
        </w:rPr>
        <w:endnoteRef/>
      </w:r>
      <w:r>
        <w:t xml:space="preserve"> ‘</w:t>
      </w:r>
      <w:r w:rsidRPr="00A82648">
        <w:t>Execution of Miller for a desperate burglary near Liverpool’</w:t>
      </w:r>
      <w:r>
        <w:t xml:space="preserve">, </w:t>
      </w:r>
      <w:r w:rsidRPr="00CF3D22">
        <w:rPr>
          <w:i/>
        </w:rPr>
        <w:t>Lancaster Gazette</w:t>
      </w:r>
      <w:r>
        <w:t>, 10</w:t>
      </w:r>
      <w:r w:rsidRPr="00A82648">
        <w:rPr>
          <w:vertAlign w:val="superscript"/>
        </w:rPr>
        <w:t>th</w:t>
      </w:r>
      <w:r>
        <w:t xml:space="preserve"> April 1830, 3. </w:t>
      </w:r>
    </w:p>
  </w:endnote>
  <w:endnote w:id="21">
    <w:p w14:paraId="1B54AEBF" w14:textId="7615CF7E" w:rsidR="00E418B0" w:rsidRDefault="00E418B0" w:rsidP="00864ACD">
      <w:pPr>
        <w:pStyle w:val="EndnoteText"/>
        <w:jc w:val="both"/>
      </w:pPr>
      <w:r>
        <w:rPr>
          <w:rStyle w:val="EndnoteReference"/>
        </w:rPr>
        <w:endnoteRef/>
      </w:r>
      <w:r>
        <w:t xml:space="preserve"> ‘Execution of Jonathan Heywood, </w:t>
      </w:r>
      <w:proofErr w:type="gramStart"/>
      <w:r>
        <w:t>The</w:t>
      </w:r>
      <w:proofErr w:type="gramEnd"/>
      <w:r>
        <w:t xml:space="preserve"> Rochdale Murderer’, </w:t>
      </w:r>
      <w:r w:rsidRPr="00CF581E">
        <w:rPr>
          <w:i/>
        </w:rPr>
        <w:t>Manchester Times</w:t>
      </w:r>
      <w:r>
        <w:t>, 12</w:t>
      </w:r>
      <w:r w:rsidRPr="00CF581E">
        <w:rPr>
          <w:vertAlign w:val="superscript"/>
        </w:rPr>
        <w:t>th</w:t>
      </w:r>
      <w:r>
        <w:t xml:space="preserve"> January 1856, 12.</w:t>
      </w:r>
    </w:p>
  </w:endnote>
  <w:endnote w:id="22">
    <w:p w14:paraId="1BDBFDDB" w14:textId="77777777" w:rsidR="00E418B0" w:rsidRDefault="00E418B0" w:rsidP="00EE57C9">
      <w:pPr>
        <w:pStyle w:val="EndnoteText"/>
      </w:pPr>
      <w:r>
        <w:rPr>
          <w:rStyle w:val="EndnoteReference"/>
        </w:rPr>
        <w:endnoteRef/>
      </w:r>
      <w:r>
        <w:t xml:space="preserve"> ‘Execution of Taylor and Ward’, </w:t>
      </w:r>
      <w:r w:rsidRPr="00864ACD">
        <w:rPr>
          <w:i/>
        </w:rPr>
        <w:t>Lancaster Gazette</w:t>
      </w:r>
      <w:r>
        <w:t>, 20</w:t>
      </w:r>
      <w:r w:rsidRPr="00864ACD">
        <w:rPr>
          <w:vertAlign w:val="superscript"/>
        </w:rPr>
        <w:t>th</w:t>
      </w:r>
      <w:r>
        <w:t xml:space="preserve"> September 1862, 10.</w:t>
      </w:r>
    </w:p>
  </w:endnote>
  <w:endnote w:id="23">
    <w:p w14:paraId="08BE610A" w14:textId="6D92BEE1" w:rsidR="00E418B0" w:rsidRDefault="00E418B0" w:rsidP="006455DE">
      <w:pPr>
        <w:pStyle w:val="EndnoteText"/>
        <w:jc w:val="both"/>
      </w:pPr>
      <w:r>
        <w:rPr>
          <w:rStyle w:val="EndnoteReference"/>
        </w:rPr>
        <w:endnoteRef/>
      </w:r>
      <w:r>
        <w:t xml:space="preserve"> ‘The execution of Henry Reid, at Liverpool’, </w:t>
      </w:r>
      <w:r w:rsidRPr="009E7DB0">
        <w:rPr>
          <w:i/>
        </w:rPr>
        <w:t>Manchester Times</w:t>
      </w:r>
      <w:r>
        <w:t>, 8</w:t>
      </w:r>
      <w:r w:rsidRPr="009E7DB0">
        <w:rPr>
          <w:vertAlign w:val="superscript"/>
        </w:rPr>
        <w:t>th</w:t>
      </w:r>
      <w:r>
        <w:t xml:space="preserve"> January 1859, 2.</w:t>
      </w:r>
    </w:p>
  </w:endnote>
  <w:endnote w:id="24">
    <w:p w14:paraId="21B07B7E" w14:textId="61BE8468" w:rsidR="00E418B0" w:rsidRDefault="00E418B0" w:rsidP="0065702A">
      <w:pPr>
        <w:pStyle w:val="EndnoteText"/>
        <w:jc w:val="both"/>
      </w:pPr>
      <w:r>
        <w:rPr>
          <w:rStyle w:val="EndnoteReference"/>
        </w:rPr>
        <w:endnoteRef/>
      </w:r>
      <w:r>
        <w:t xml:space="preserve"> ‘</w:t>
      </w:r>
      <w:r w:rsidRPr="0065702A">
        <w:t>Execution of Gleeson Wilson, the murderer of the Hinrichson family’</w:t>
      </w:r>
      <w:r>
        <w:t xml:space="preserve">, </w:t>
      </w:r>
      <w:r w:rsidRPr="0065702A">
        <w:rPr>
          <w:i/>
        </w:rPr>
        <w:t>Manchester Courier</w:t>
      </w:r>
      <w:r>
        <w:t>, 22</w:t>
      </w:r>
      <w:r w:rsidRPr="0065702A">
        <w:rPr>
          <w:vertAlign w:val="superscript"/>
        </w:rPr>
        <w:t>nd</w:t>
      </w:r>
      <w:r>
        <w:t xml:space="preserve"> November 1849, 10.</w:t>
      </w:r>
    </w:p>
  </w:endnote>
  <w:endnote w:id="25">
    <w:p w14:paraId="20F634C4" w14:textId="1C88D9E4" w:rsidR="00E418B0" w:rsidRDefault="00E418B0">
      <w:pPr>
        <w:pStyle w:val="EndnoteText"/>
      </w:pPr>
      <w:r>
        <w:rPr>
          <w:rStyle w:val="EndnoteReference"/>
        </w:rPr>
        <w:endnoteRef/>
      </w:r>
      <w:r>
        <w:t xml:space="preserve"> Crone, </w:t>
      </w:r>
      <w:r w:rsidRPr="00A045A8">
        <w:rPr>
          <w:i/>
        </w:rPr>
        <w:t>Violent Victorians</w:t>
      </w:r>
      <w:r>
        <w:t>.</w:t>
      </w:r>
    </w:p>
  </w:endnote>
  <w:endnote w:id="26">
    <w:p w14:paraId="1B0E4F61" w14:textId="1463D7EF" w:rsidR="00E418B0" w:rsidRPr="003F0F07" w:rsidRDefault="00E418B0">
      <w:pPr>
        <w:pStyle w:val="EndnoteText"/>
      </w:pPr>
      <w:r>
        <w:rPr>
          <w:rStyle w:val="EndnoteReference"/>
        </w:rPr>
        <w:endnoteRef/>
      </w:r>
      <w:r>
        <w:t xml:space="preserve"> See Walliss, ‘Representations of Justice executed at Norwich Castle’.</w:t>
      </w:r>
    </w:p>
  </w:endnote>
  <w:endnote w:id="27">
    <w:p w14:paraId="74D3DB14" w14:textId="7578D1FC" w:rsidR="00E418B0" w:rsidRDefault="00E418B0">
      <w:pPr>
        <w:pStyle w:val="EndnoteText"/>
      </w:pPr>
      <w:r>
        <w:rPr>
          <w:rStyle w:val="EndnoteReference"/>
        </w:rPr>
        <w:endnoteRef/>
      </w:r>
      <w:r>
        <w:t xml:space="preserve"> CF walliss, </w:t>
      </w:r>
      <w:r w:rsidRPr="004626D8">
        <w:t>‘Representations of Justice executed at Norwich Castle’.</w:t>
      </w:r>
    </w:p>
  </w:endnote>
  <w:endnote w:id="28">
    <w:p w14:paraId="2F72A0B6" w14:textId="06C5E9F6" w:rsidR="00E418B0" w:rsidRPr="003A1E20" w:rsidRDefault="00E418B0" w:rsidP="003A1E20">
      <w:pPr>
        <w:pStyle w:val="EndnoteText"/>
        <w:jc w:val="both"/>
      </w:pPr>
      <w:r>
        <w:rPr>
          <w:rStyle w:val="EndnoteReference"/>
        </w:rPr>
        <w:endnoteRef/>
      </w:r>
      <w:r>
        <w:t xml:space="preserve"> On separate spheres, see Leonore Hall and Catherine Hall, </w:t>
      </w:r>
      <w:r w:rsidRPr="003A1E20">
        <w:rPr>
          <w:i/>
        </w:rPr>
        <w:t xml:space="preserve">Family Fortunes: Men and Women of the English Middle Class 1780-1850 </w:t>
      </w:r>
      <w:r>
        <w:t>[Revised Edition] (London, Routledge, 2002)</w:t>
      </w:r>
    </w:p>
  </w:endnote>
  <w:endnote w:id="29">
    <w:p w14:paraId="2911D436" w14:textId="5413C029" w:rsidR="00E418B0" w:rsidRDefault="00E418B0" w:rsidP="00243252">
      <w:pPr>
        <w:pStyle w:val="EndnoteText"/>
        <w:jc w:val="both"/>
      </w:pPr>
      <w:r>
        <w:rPr>
          <w:rStyle w:val="EndnoteReference"/>
        </w:rPr>
        <w:endnoteRef/>
      </w:r>
      <w:r>
        <w:t xml:space="preserve"> Randall McGowen, ‘Civilizing punishment: the end of public execution in England’, </w:t>
      </w:r>
      <w:r w:rsidRPr="00243252">
        <w:rPr>
          <w:i/>
        </w:rPr>
        <w:t>Journal of British Studies</w:t>
      </w:r>
      <w:r>
        <w:t xml:space="preserve">, 33, 3 (1994), 257-82; </w:t>
      </w:r>
      <w:r w:rsidRPr="00AF1187">
        <w:t>‘Report of the Capital Punishment Commission; together with the minutes of evidence and appendix’, PP 1866, xxi.1 [3590], passim.</w:t>
      </w:r>
    </w:p>
  </w:endnote>
  <w:endnote w:id="30">
    <w:p w14:paraId="5E8277DD" w14:textId="762F87A5" w:rsidR="00E418B0" w:rsidRDefault="00E418B0">
      <w:pPr>
        <w:pStyle w:val="EndnoteText"/>
      </w:pPr>
      <w:r>
        <w:rPr>
          <w:rStyle w:val="EndnoteReference"/>
        </w:rPr>
        <w:endnoteRef/>
      </w:r>
      <w:r>
        <w:t xml:space="preserve"> Gatrell, </w:t>
      </w:r>
      <w:proofErr w:type="gramStart"/>
      <w:r w:rsidRPr="004626D8">
        <w:rPr>
          <w:i/>
        </w:rPr>
        <w:t>The</w:t>
      </w:r>
      <w:proofErr w:type="gramEnd"/>
      <w:r w:rsidRPr="004626D8">
        <w:rPr>
          <w:i/>
        </w:rPr>
        <w:t xml:space="preserve"> Hanging Tree</w:t>
      </w:r>
      <w:r>
        <w:t>.</w:t>
      </w:r>
    </w:p>
  </w:endnote>
  <w:endnote w:id="31">
    <w:p w14:paraId="1CAAD085" w14:textId="03DEC74A" w:rsidR="00E418B0" w:rsidRPr="00A0556A" w:rsidRDefault="00E418B0">
      <w:pPr>
        <w:pStyle w:val="EndnoteText"/>
      </w:pPr>
      <w:r>
        <w:rPr>
          <w:rStyle w:val="EndnoteReference"/>
        </w:rPr>
        <w:endnoteRef/>
      </w:r>
      <w:r>
        <w:t xml:space="preserve"> </w:t>
      </w:r>
      <w:r w:rsidRPr="00A0556A">
        <w:t xml:space="preserve">‘Execution of Mary Holden’, </w:t>
      </w:r>
      <w:r w:rsidRPr="00A0556A">
        <w:rPr>
          <w:i/>
        </w:rPr>
        <w:t>Lancaster Gazette</w:t>
      </w:r>
      <w:r>
        <w:t xml:space="preserve">, 22nd March 1834, </w:t>
      </w:r>
      <w:r w:rsidRPr="00A0556A">
        <w:t>4.</w:t>
      </w:r>
    </w:p>
  </w:endnote>
  <w:endnote w:id="32">
    <w:p w14:paraId="56938A26" w14:textId="214F488D" w:rsidR="00E418B0" w:rsidRDefault="00E418B0" w:rsidP="000655DC">
      <w:pPr>
        <w:pStyle w:val="EndnoteText"/>
      </w:pPr>
      <w:r>
        <w:rPr>
          <w:rStyle w:val="EndnoteReference"/>
        </w:rPr>
        <w:endnoteRef/>
      </w:r>
      <w:r>
        <w:t xml:space="preserve"> ‘Execution at Lancaster’, </w:t>
      </w:r>
      <w:r w:rsidRPr="00BB38EE">
        <w:rPr>
          <w:i/>
        </w:rPr>
        <w:t>Manchester Times</w:t>
      </w:r>
      <w:r>
        <w:t>, 7</w:t>
      </w:r>
      <w:r w:rsidRPr="00BB38EE">
        <w:rPr>
          <w:vertAlign w:val="superscript"/>
        </w:rPr>
        <w:t>th</w:t>
      </w:r>
      <w:r>
        <w:t xml:space="preserve"> September 1833, 7.</w:t>
      </w:r>
    </w:p>
  </w:endnote>
  <w:endnote w:id="33">
    <w:p w14:paraId="078A2CAD" w14:textId="2B52AE60" w:rsidR="00E418B0" w:rsidRDefault="00E418B0" w:rsidP="0000512B">
      <w:pPr>
        <w:pStyle w:val="EndnoteText"/>
      </w:pPr>
      <w:r>
        <w:rPr>
          <w:rStyle w:val="EndnoteReference"/>
        </w:rPr>
        <w:endnoteRef/>
      </w:r>
      <w:r>
        <w:t xml:space="preserve"> ‘Execution of Edwards, the murderer’, </w:t>
      </w:r>
      <w:r w:rsidRPr="0000512B">
        <w:rPr>
          <w:i/>
        </w:rPr>
        <w:t>Liverpool Mercury</w:t>
      </w:r>
      <w:r>
        <w:t>, 5</w:t>
      </w:r>
      <w:r w:rsidRPr="00986F8D">
        <w:rPr>
          <w:vertAlign w:val="superscript"/>
        </w:rPr>
        <w:t>th</w:t>
      </w:r>
      <w:r>
        <w:t xml:space="preserve"> January 1863, 6.</w:t>
      </w:r>
    </w:p>
  </w:endnote>
  <w:endnote w:id="34">
    <w:p w14:paraId="14CD9D41" w14:textId="07356707" w:rsidR="00E418B0" w:rsidRDefault="00E418B0" w:rsidP="00F53BAC">
      <w:pPr>
        <w:pStyle w:val="EndnoteText"/>
        <w:jc w:val="both"/>
      </w:pPr>
      <w:r>
        <w:rPr>
          <w:rStyle w:val="EndnoteReference"/>
        </w:rPr>
        <w:endnoteRef/>
      </w:r>
      <w:r>
        <w:t xml:space="preserve"> </w:t>
      </w:r>
      <w:r w:rsidRPr="00B43C66">
        <w:t xml:space="preserve">‘Execution at Lancaster’, </w:t>
      </w:r>
      <w:r w:rsidRPr="00A1250E">
        <w:rPr>
          <w:i/>
        </w:rPr>
        <w:t>Lancaster Gazette</w:t>
      </w:r>
      <w:r>
        <w:t xml:space="preserve">, 24th August 1833, </w:t>
      </w:r>
      <w:r w:rsidRPr="00B43C66">
        <w:t>4.</w:t>
      </w:r>
      <w:r>
        <w:t xml:space="preserve"> In its subsequent issue, the newspaper observed ruefully that: </w:t>
      </w:r>
    </w:p>
    <w:p w14:paraId="26BE1E35" w14:textId="26A56807" w:rsidR="00E418B0" w:rsidRPr="00B43C66" w:rsidRDefault="00E418B0" w:rsidP="00F53BAC">
      <w:pPr>
        <w:pStyle w:val="EndnoteText"/>
        <w:ind w:left="567"/>
        <w:jc w:val="both"/>
      </w:pPr>
      <w:r>
        <w:t>When exhibitions of this description take place, it is certainly becoming the solemn occasion, that the ceremony should be performed with profound reverence, and with the least noise possible; so we sincerely hope, that it will not be our painful duty again to record the unbecoming behaviour of a great number of the spectators, as was the case at the last execution (</w:t>
      </w:r>
      <w:r w:rsidRPr="00F53BAC">
        <w:rPr>
          <w:i/>
        </w:rPr>
        <w:t>Lancaster Gazette</w:t>
      </w:r>
      <w:r>
        <w:t>, 31</w:t>
      </w:r>
      <w:r w:rsidRPr="00F53BAC">
        <w:rPr>
          <w:vertAlign w:val="superscript"/>
        </w:rPr>
        <w:t>st</w:t>
      </w:r>
      <w:r>
        <w:t xml:space="preserve"> August 1833, 3)</w:t>
      </w:r>
    </w:p>
  </w:endnote>
  <w:endnote w:id="35">
    <w:p w14:paraId="4A1BC39D" w14:textId="0DEF1E07" w:rsidR="00E418B0" w:rsidRPr="00E45F3F" w:rsidRDefault="00E418B0">
      <w:pPr>
        <w:pStyle w:val="EndnoteText"/>
      </w:pPr>
      <w:r>
        <w:rPr>
          <w:rStyle w:val="EndnoteReference"/>
        </w:rPr>
        <w:endnoteRef/>
      </w:r>
      <w:r>
        <w:t xml:space="preserve"> </w:t>
      </w:r>
      <w:r w:rsidRPr="00E45F3F">
        <w:t xml:space="preserve">‘Execution of Luke Charles’, </w:t>
      </w:r>
      <w:r w:rsidRPr="00CF3D22">
        <w:rPr>
          <w:i/>
        </w:rPr>
        <w:t>Lancaster Gazette</w:t>
      </w:r>
      <w:r>
        <w:t xml:space="preserve">, 16th January 1864, </w:t>
      </w:r>
      <w:r w:rsidRPr="00E45F3F">
        <w:t>10.</w:t>
      </w:r>
    </w:p>
  </w:endnote>
  <w:endnote w:id="36">
    <w:p w14:paraId="1621820A" w14:textId="64B7D2EF" w:rsidR="00E418B0" w:rsidRPr="007E3F74" w:rsidRDefault="00E418B0">
      <w:pPr>
        <w:pStyle w:val="EndnoteText"/>
      </w:pPr>
      <w:r>
        <w:rPr>
          <w:rStyle w:val="EndnoteReference"/>
        </w:rPr>
        <w:endnoteRef/>
      </w:r>
      <w:r>
        <w:t xml:space="preserve"> </w:t>
      </w:r>
      <w:r w:rsidRPr="007E3F74">
        <w:t>‘Execution of the convict Burrows’</w:t>
      </w:r>
      <w:r>
        <w:t xml:space="preserve">, </w:t>
      </w:r>
      <w:r w:rsidRPr="007E3F74">
        <w:rPr>
          <w:i/>
        </w:rPr>
        <w:t>Manchester Courier</w:t>
      </w:r>
      <w:r>
        <w:t>, 27</w:t>
      </w:r>
      <w:r w:rsidRPr="007E3F74">
        <w:rPr>
          <w:vertAlign w:val="superscript"/>
        </w:rPr>
        <w:t>th</w:t>
      </w:r>
      <w:r>
        <w:t xml:space="preserve"> August 1866, 3.</w:t>
      </w:r>
    </w:p>
  </w:endnote>
  <w:endnote w:id="37">
    <w:p w14:paraId="085B02DB" w14:textId="3E03DC26" w:rsidR="00E418B0" w:rsidRPr="0095009A" w:rsidRDefault="00E418B0" w:rsidP="0095009A">
      <w:pPr>
        <w:pStyle w:val="EndnoteText"/>
        <w:jc w:val="both"/>
      </w:pPr>
      <w:r>
        <w:rPr>
          <w:rStyle w:val="EndnoteReference"/>
        </w:rPr>
        <w:endnoteRef/>
      </w:r>
      <w:r>
        <w:t xml:space="preserve"> </w:t>
      </w:r>
      <w:r w:rsidRPr="0095009A">
        <w:t xml:space="preserve">‘Execution of the condemned murderers – Stew and Evans’, </w:t>
      </w:r>
      <w:r w:rsidRPr="0095009A">
        <w:rPr>
          <w:i/>
        </w:rPr>
        <w:t>Manchester C</w:t>
      </w:r>
      <w:r w:rsidR="00CF3D22">
        <w:rPr>
          <w:i/>
        </w:rPr>
        <w:t>ourier</w:t>
      </w:r>
      <w:r>
        <w:t xml:space="preserve">, 11th January 1845, </w:t>
      </w:r>
      <w:r w:rsidRPr="0095009A">
        <w:t>3.</w:t>
      </w:r>
    </w:p>
  </w:endnote>
  <w:endnote w:id="38">
    <w:p w14:paraId="4EDBD097" w14:textId="2CEC2D52" w:rsidR="00E418B0" w:rsidRPr="0095009A" w:rsidRDefault="00E418B0" w:rsidP="0095009A">
      <w:pPr>
        <w:pStyle w:val="EndnoteText"/>
        <w:jc w:val="both"/>
      </w:pPr>
      <w:r>
        <w:rPr>
          <w:rStyle w:val="EndnoteReference"/>
        </w:rPr>
        <w:endnoteRef/>
      </w:r>
      <w:r>
        <w:t xml:space="preserve"> </w:t>
      </w:r>
      <w:r w:rsidRPr="0095009A">
        <w:t xml:space="preserve">‘The execution of Hardman for the murder of his wife at Chorley’, </w:t>
      </w:r>
      <w:r w:rsidRPr="0095009A">
        <w:rPr>
          <w:i/>
        </w:rPr>
        <w:t>Lancaster Gazette</w:t>
      </w:r>
      <w:r>
        <w:t xml:space="preserve">, 5th September 1857, </w:t>
      </w:r>
      <w:r w:rsidRPr="0095009A">
        <w:t>6.</w:t>
      </w:r>
    </w:p>
  </w:endnote>
  <w:endnote w:id="39">
    <w:p w14:paraId="58544E5A" w14:textId="30624D1B" w:rsidR="00E418B0" w:rsidRPr="0045697D" w:rsidRDefault="00E418B0">
      <w:pPr>
        <w:pStyle w:val="EndnoteText"/>
      </w:pPr>
      <w:r>
        <w:rPr>
          <w:rStyle w:val="EndnoteReference"/>
        </w:rPr>
        <w:endnoteRef/>
      </w:r>
      <w:r>
        <w:t xml:space="preserve"> </w:t>
      </w:r>
      <w:r w:rsidRPr="0045697D">
        <w:t xml:space="preserve">‘Execution at Lancaster’, </w:t>
      </w:r>
      <w:r w:rsidRPr="0045697D">
        <w:rPr>
          <w:i/>
        </w:rPr>
        <w:t>Liverpool Mercury</w:t>
      </w:r>
      <w:r>
        <w:t xml:space="preserve">, 30th August 1853, </w:t>
      </w:r>
      <w:r w:rsidRPr="0045697D">
        <w:t>3.</w:t>
      </w:r>
    </w:p>
  </w:endnote>
  <w:endnote w:id="40">
    <w:p w14:paraId="381B5C1D" w14:textId="70ABED90" w:rsidR="00E418B0" w:rsidRPr="00D0268B" w:rsidRDefault="00E418B0" w:rsidP="00D0268B">
      <w:pPr>
        <w:pStyle w:val="EndnoteText"/>
        <w:jc w:val="both"/>
      </w:pPr>
      <w:r>
        <w:rPr>
          <w:rStyle w:val="EndnoteReference"/>
        </w:rPr>
        <w:endnoteRef/>
      </w:r>
      <w:r>
        <w:t xml:space="preserve"> Anthony Foggo, ‘Liverpool Mercury’ in Laurel Brake and Marysa Demor (eds.) </w:t>
      </w:r>
      <w:r w:rsidRPr="00D0268B">
        <w:rPr>
          <w:i/>
        </w:rPr>
        <w:t>Dictionary of nineteenth century journalism</w:t>
      </w:r>
      <w:r>
        <w:t xml:space="preserve"> (London: British Library Publishing Division, 2009), 368-9. </w:t>
      </w:r>
    </w:p>
  </w:endnote>
  <w:endnote w:id="41">
    <w:p w14:paraId="5BAD2764" w14:textId="2FAF23BF" w:rsidR="00E418B0" w:rsidRPr="00B27414" w:rsidRDefault="00E418B0">
      <w:pPr>
        <w:pStyle w:val="EndnoteText"/>
      </w:pPr>
      <w:r>
        <w:rPr>
          <w:rStyle w:val="EndnoteReference"/>
        </w:rPr>
        <w:endnoteRef/>
      </w:r>
      <w:r>
        <w:t xml:space="preserve"> ‘Report of the Capital Punishment Commission’, 351-2.</w:t>
      </w:r>
    </w:p>
  </w:endnote>
  <w:endnote w:id="42">
    <w:p w14:paraId="7A368742" w14:textId="497BA12A" w:rsidR="00E418B0" w:rsidRDefault="00E418B0" w:rsidP="00E970A6">
      <w:pPr>
        <w:pStyle w:val="EndnoteText"/>
      </w:pPr>
      <w:r>
        <w:rPr>
          <w:rStyle w:val="EndnoteReference"/>
        </w:rPr>
        <w:endnoteRef/>
      </w:r>
      <w:r>
        <w:t xml:space="preserve"> ‘Execution of Thomas Gallagher’, </w:t>
      </w:r>
      <w:r w:rsidRPr="00D37B95">
        <w:rPr>
          <w:i/>
        </w:rPr>
        <w:t>Liverpool Mercury</w:t>
      </w:r>
      <w:r>
        <w:t>, 10</w:t>
      </w:r>
      <w:r w:rsidRPr="00667639">
        <w:rPr>
          <w:vertAlign w:val="superscript"/>
        </w:rPr>
        <w:t>th</w:t>
      </w:r>
      <w:r>
        <w:t xml:space="preserve"> September 1860, 3.</w:t>
      </w:r>
    </w:p>
  </w:endnote>
  <w:endnote w:id="43">
    <w:p w14:paraId="4988ADBB" w14:textId="70A19E85" w:rsidR="00E418B0" w:rsidRPr="00D37B95" w:rsidRDefault="00E418B0">
      <w:pPr>
        <w:pStyle w:val="EndnoteText"/>
      </w:pPr>
      <w:r>
        <w:rPr>
          <w:rStyle w:val="EndnoteReference"/>
        </w:rPr>
        <w:endnoteRef/>
      </w:r>
      <w:r>
        <w:t xml:space="preserve"> ‘Execution of Edwards, the murderer’</w:t>
      </w:r>
    </w:p>
  </w:endnote>
  <w:endnote w:id="44">
    <w:p w14:paraId="48A05EE8" w14:textId="041BB48A" w:rsidR="00E418B0" w:rsidRDefault="00E418B0" w:rsidP="00E970A6">
      <w:pPr>
        <w:pStyle w:val="EndnoteText"/>
      </w:pPr>
      <w:r>
        <w:rPr>
          <w:rStyle w:val="EndnoteReference"/>
        </w:rPr>
        <w:endnoteRef/>
      </w:r>
      <w:r>
        <w:t xml:space="preserve"> ‘Double execution at Kirkdale Gaol’, </w:t>
      </w:r>
      <w:r w:rsidRPr="0054146E">
        <w:rPr>
          <w:i/>
        </w:rPr>
        <w:t>Liverpool Mercury</w:t>
      </w:r>
      <w:r>
        <w:t>, 15</w:t>
      </w:r>
      <w:r w:rsidRPr="007846F7">
        <w:rPr>
          <w:vertAlign w:val="superscript"/>
        </w:rPr>
        <w:t>th</w:t>
      </w:r>
      <w:r>
        <w:t xml:space="preserve"> September 1862, 5. </w:t>
      </w:r>
    </w:p>
  </w:endnote>
  <w:endnote w:id="45">
    <w:p w14:paraId="0B0E48BE" w14:textId="4391D1A7" w:rsidR="00E418B0" w:rsidRDefault="00E418B0" w:rsidP="0085475B">
      <w:pPr>
        <w:pStyle w:val="EndnoteText"/>
        <w:jc w:val="both"/>
      </w:pPr>
      <w:r>
        <w:rPr>
          <w:rStyle w:val="EndnoteReference"/>
        </w:rPr>
        <w:endnoteRef/>
      </w:r>
      <w:r>
        <w:t xml:space="preserve"> </w:t>
      </w:r>
      <w:r w:rsidRPr="0085475B">
        <w:t xml:space="preserve">‘The murder on the high seas. Execution of Captain Henry Rogers’, </w:t>
      </w:r>
      <w:r w:rsidRPr="0085475B">
        <w:rPr>
          <w:i/>
        </w:rPr>
        <w:t>Liverpool Mercury</w:t>
      </w:r>
      <w:r w:rsidRPr="0085475B">
        <w:t xml:space="preserve"> – 14</w:t>
      </w:r>
      <w:r w:rsidRPr="0085475B">
        <w:rPr>
          <w:vertAlign w:val="superscript"/>
        </w:rPr>
        <w:t>th</w:t>
      </w:r>
      <w:r>
        <w:t xml:space="preserve"> September 1857, </w:t>
      </w:r>
      <w:r w:rsidRPr="0085475B">
        <w:t>5.</w:t>
      </w:r>
    </w:p>
  </w:endnote>
  <w:endnote w:id="46">
    <w:p w14:paraId="2E1B90AB" w14:textId="4CF0F8CD" w:rsidR="00E418B0" w:rsidRDefault="00E418B0">
      <w:pPr>
        <w:pStyle w:val="EndnoteText"/>
      </w:pPr>
      <w:r>
        <w:rPr>
          <w:rStyle w:val="EndnoteReference"/>
        </w:rPr>
        <w:endnoteRef/>
      </w:r>
      <w:r>
        <w:t xml:space="preserve"> </w:t>
      </w:r>
      <w:r w:rsidRPr="0085475B">
        <w:t>‘The murder on the high seas. Exe</w:t>
      </w:r>
      <w:r>
        <w:t>cution of Captain Henry Rogers’.</w:t>
      </w:r>
    </w:p>
  </w:endnote>
  <w:endnote w:id="47">
    <w:p w14:paraId="6DCB8F1B" w14:textId="6329C7C0" w:rsidR="00E418B0" w:rsidRDefault="00E418B0">
      <w:pPr>
        <w:pStyle w:val="EndnoteText"/>
      </w:pPr>
      <w:r>
        <w:rPr>
          <w:rStyle w:val="EndnoteReference"/>
        </w:rPr>
        <w:endnoteRef/>
      </w:r>
      <w:r>
        <w:t xml:space="preserve"> </w:t>
      </w:r>
      <w:r w:rsidRPr="00223E02">
        <w:t xml:space="preserve">‘Double execution at Kirkdale’, </w:t>
      </w:r>
      <w:r w:rsidRPr="00223E02">
        <w:rPr>
          <w:i/>
        </w:rPr>
        <w:t>Liverpool Mercury</w:t>
      </w:r>
      <w:r w:rsidRPr="00223E02">
        <w:t>, 28</w:t>
      </w:r>
      <w:r w:rsidRPr="00223E02">
        <w:rPr>
          <w:vertAlign w:val="superscript"/>
        </w:rPr>
        <w:t>th</w:t>
      </w:r>
      <w:r>
        <w:t xml:space="preserve"> April 1863, </w:t>
      </w:r>
      <w:r w:rsidRPr="00223E02">
        <w:t>10.</w:t>
      </w:r>
    </w:p>
  </w:endnote>
  <w:endnote w:id="48">
    <w:p w14:paraId="232F90AD" w14:textId="009EB4F8" w:rsidR="00E418B0" w:rsidRDefault="00E418B0">
      <w:pPr>
        <w:pStyle w:val="EndnoteText"/>
      </w:pPr>
      <w:r>
        <w:rPr>
          <w:rStyle w:val="EndnoteReference"/>
        </w:rPr>
        <w:endnoteRef/>
      </w:r>
      <w:r>
        <w:t xml:space="preserve"> </w:t>
      </w:r>
      <w:r w:rsidRPr="00906B01">
        <w:t xml:space="preserve">Execution of Thomas Grime’, </w:t>
      </w:r>
      <w:r w:rsidRPr="00CF3D22">
        <w:rPr>
          <w:i/>
        </w:rPr>
        <w:t>Lancaster Gazette</w:t>
      </w:r>
      <w:r w:rsidRPr="00906B01">
        <w:t>, 8th September 1866, 10</w:t>
      </w:r>
      <w:r>
        <w:t>.</w:t>
      </w:r>
    </w:p>
  </w:endnote>
  <w:endnote w:id="49">
    <w:p w14:paraId="56E2EFCC" w14:textId="3D4AFB7D" w:rsidR="00E418B0" w:rsidRPr="00906B01" w:rsidRDefault="00E418B0" w:rsidP="00906B01">
      <w:pPr>
        <w:pStyle w:val="EndnoteText"/>
        <w:jc w:val="both"/>
        <w:rPr>
          <w:color w:val="FF0000"/>
        </w:rPr>
      </w:pPr>
      <w:r w:rsidRPr="00906B01">
        <w:rPr>
          <w:rStyle w:val="EndnoteReference"/>
        </w:rPr>
        <w:endnoteRef/>
      </w:r>
      <w:r w:rsidRPr="00906B01">
        <w:t xml:space="preserve"> ‘Execution of the Wigan Murderer’, </w:t>
      </w:r>
      <w:r w:rsidRPr="00906B01">
        <w:rPr>
          <w:i/>
        </w:rPr>
        <w:t>Manchester Times</w:t>
      </w:r>
      <w:r w:rsidRPr="00906B01">
        <w:t xml:space="preserve">, 8th September 1866, 7. </w:t>
      </w:r>
    </w:p>
  </w:endnote>
  <w:endnote w:id="50">
    <w:p w14:paraId="2ABD90E3" w14:textId="647473E2" w:rsidR="00E418B0" w:rsidRPr="00600214" w:rsidRDefault="00E418B0" w:rsidP="00906B01">
      <w:pPr>
        <w:pStyle w:val="EndnoteText"/>
        <w:jc w:val="both"/>
        <w:rPr>
          <w:b/>
        </w:rPr>
      </w:pPr>
      <w:r w:rsidRPr="00906B01">
        <w:rPr>
          <w:rStyle w:val="EndnoteReference"/>
        </w:rPr>
        <w:endnoteRef/>
      </w:r>
      <w:r w:rsidRPr="00906B01">
        <w:t xml:space="preserve"> ‘Execution at Kirkdale Gaol’, </w:t>
      </w:r>
      <w:r w:rsidRPr="00906B01">
        <w:rPr>
          <w:i/>
        </w:rPr>
        <w:t>Liverpool Mercury</w:t>
      </w:r>
      <w:r w:rsidRPr="00906B01">
        <w:t>, 4th September 1866, 9.</w:t>
      </w:r>
    </w:p>
  </w:endnote>
  <w:endnote w:id="51">
    <w:p w14:paraId="0F40F719" w14:textId="77777777" w:rsidR="0009167C" w:rsidRPr="00B00EB1" w:rsidRDefault="0009167C" w:rsidP="0009167C">
      <w:pPr>
        <w:pStyle w:val="EndnoteText"/>
      </w:pPr>
      <w:r>
        <w:rPr>
          <w:rStyle w:val="EndnoteReference"/>
        </w:rPr>
        <w:endnoteRef/>
      </w:r>
      <w:r>
        <w:t xml:space="preserve"> Tulloch, ‘The privatising of pain’, 441.</w:t>
      </w:r>
    </w:p>
  </w:endnote>
  <w:endnote w:id="52">
    <w:p w14:paraId="4A542E88" w14:textId="77777777" w:rsidR="0009167C" w:rsidRPr="00E702E3" w:rsidRDefault="0009167C" w:rsidP="0009167C">
      <w:pPr>
        <w:pStyle w:val="EndnoteText"/>
      </w:pPr>
      <w:r>
        <w:rPr>
          <w:rStyle w:val="EndnoteReference"/>
        </w:rPr>
        <w:endnoteRef/>
      </w:r>
      <w:r>
        <w:t xml:space="preserve"> </w:t>
      </w:r>
      <w:r w:rsidRPr="00E702E3">
        <w:t xml:space="preserve">‘Double execution at Kirkdale’, </w:t>
      </w:r>
      <w:r w:rsidRPr="00E702E3">
        <w:rPr>
          <w:i/>
        </w:rPr>
        <w:t>Liverpool Mercury</w:t>
      </w:r>
      <w:r>
        <w:t xml:space="preserve">, 28th April 1863, </w:t>
      </w:r>
      <w:r w:rsidRPr="00E702E3">
        <w:t>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426275"/>
      <w:docPartObj>
        <w:docPartGallery w:val="Page Numbers (Bottom of Page)"/>
        <w:docPartUnique/>
      </w:docPartObj>
    </w:sdtPr>
    <w:sdtEndPr>
      <w:rPr>
        <w:noProof/>
      </w:rPr>
    </w:sdtEndPr>
    <w:sdtContent>
      <w:p w14:paraId="0D370084" w14:textId="4178125C" w:rsidR="00E418B0" w:rsidRDefault="00E418B0">
        <w:pPr>
          <w:pStyle w:val="Footer"/>
          <w:jc w:val="right"/>
        </w:pPr>
        <w:r>
          <w:fldChar w:fldCharType="begin"/>
        </w:r>
        <w:r>
          <w:instrText xml:space="preserve"> PAGE   \* MERGEFORMAT </w:instrText>
        </w:r>
        <w:r>
          <w:fldChar w:fldCharType="separate"/>
        </w:r>
        <w:r w:rsidR="009F1440">
          <w:rPr>
            <w:noProof/>
          </w:rPr>
          <w:t>4</w:t>
        </w:r>
        <w:r>
          <w:rPr>
            <w:noProof/>
          </w:rPr>
          <w:fldChar w:fldCharType="end"/>
        </w:r>
      </w:p>
    </w:sdtContent>
  </w:sdt>
  <w:p w14:paraId="2DC5AAF3" w14:textId="77777777" w:rsidR="00E418B0" w:rsidRDefault="00E41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F6095" w14:textId="77777777" w:rsidR="008B4171" w:rsidRDefault="008B4171" w:rsidP="008839A6">
      <w:r>
        <w:separator/>
      </w:r>
    </w:p>
  </w:footnote>
  <w:footnote w:type="continuationSeparator" w:id="0">
    <w:p w14:paraId="776662EA" w14:textId="77777777" w:rsidR="008B4171" w:rsidRDefault="008B4171" w:rsidP="00883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136"/>
    <w:multiLevelType w:val="hybridMultilevel"/>
    <w:tmpl w:val="3EF83FE6"/>
    <w:lvl w:ilvl="0" w:tplc="B4B6492A">
      <w:start w:val="1"/>
      <w:numFmt w:val="bullet"/>
      <w:lvlText w:val=""/>
      <w:lvlJc w:val="left"/>
      <w:pPr>
        <w:ind w:left="720" w:hanging="360"/>
      </w:pPr>
      <w:rPr>
        <w:rFonts w:ascii="Symbol" w:eastAsiaTheme="minorEastAsi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E08C8"/>
    <w:multiLevelType w:val="hybridMultilevel"/>
    <w:tmpl w:val="FC946560"/>
    <w:lvl w:ilvl="0" w:tplc="A00A476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82D82"/>
    <w:multiLevelType w:val="hybridMultilevel"/>
    <w:tmpl w:val="FC946560"/>
    <w:lvl w:ilvl="0" w:tplc="A00A476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430FE"/>
    <w:multiLevelType w:val="hybridMultilevel"/>
    <w:tmpl w:val="661CC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F6955"/>
    <w:multiLevelType w:val="hybridMultilevel"/>
    <w:tmpl w:val="85A6C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93B5A"/>
    <w:multiLevelType w:val="hybridMultilevel"/>
    <w:tmpl w:val="3E828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C765F0"/>
    <w:multiLevelType w:val="hybridMultilevel"/>
    <w:tmpl w:val="B4B648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50FAE648">
      <w:start w:val="1"/>
      <w:numFmt w:val="lowerRoman"/>
      <w:lvlText w:val="%3."/>
      <w:lvlJc w:val="right"/>
      <w:pPr>
        <w:ind w:left="2160" w:hanging="180"/>
      </w:pPr>
      <w:rPr>
        <w:b w:val="0"/>
      </w:rPr>
    </w:lvl>
    <w:lvl w:ilvl="3" w:tplc="0809000F">
      <w:start w:val="1"/>
      <w:numFmt w:val="decimal"/>
      <w:lvlText w:val="%4."/>
      <w:lvlJc w:val="left"/>
      <w:pPr>
        <w:ind w:left="2880" w:hanging="360"/>
      </w:pPr>
    </w:lvl>
    <w:lvl w:ilvl="4" w:tplc="04A0B12A">
      <w:start w:val="1"/>
      <w:numFmt w:val="lowerLetter"/>
      <w:lvlText w:val="%5."/>
      <w:lvlJc w:val="left"/>
      <w:pPr>
        <w:ind w:left="3600" w:hanging="360"/>
      </w:pPr>
      <w:rPr>
        <w:b w:val="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5D"/>
    <w:rsid w:val="00004ABF"/>
    <w:rsid w:val="0000512B"/>
    <w:rsid w:val="00006189"/>
    <w:rsid w:val="00020B35"/>
    <w:rsid w:val="00023597"/>
    <w:rsid w:val="00023863"/>
    <w:rsid w:val="00036203"/>
    <w:rsid w:val="000454FF"/>
    <w:rsid w:val="00056228"/>
    <w:rsid w:val="000655DC"/>
    <w:rsid w:val="0009167C"/>
    <w:rsid w:val="000924F6"/>
    <w:rsid w:val="000A1265"/>
    <w:rsid w:val="000A766F"/>
    <w:rsid w:val="000A7694"/>
    <w:rsid w:val="000C0F0D"/>
    <w:rsid w:val="000D6607"/>
    <w:rsid w:val="000F4F1D"/>
    <w:rsid w:val="001111C8"/>
    <w:rsid w:val="0013740C"/>
    <w:rsid w:val="00137BE0"/>
    <w:rsid w:val="001550A6"/>
    <w:rsid w:val="00163687"/>
    <w:rsid w:val="001705CE"/>
    <w:rsid w:val="00171D0F"/>
    <w:rsid w:val="00174CD1"/>
    <w:rsid w:val="001821C1"/>
    <w:rsid w:val="001A1C27"/>
    <w:rsid w:val="001A6634"/>
    <w:rsid w:val="001B1530"/>
    <w:rsid w:val="001E4FD2"/>
    <w:rsid w:val="001F24A1"/>
    <w:rsid w:val="001F7358"/>
    <w:rsid w:val="002063BD"/>
    <w:rsid w:val="00223A22"/>
    <w:rsid w:val="00223E02"/>
    <w:rsid w:val="00232D9A"/>
    <w:rsid w:val="00243252"/>
    <w:rsid w:val="00243DA8"/>
    <w:rsid w:val="00245878"/>
    <w:rsid w:val="002478A9"/>
    <w:rsid w:val="002640FA"/>
    <w:rsid w:val="00277607"/>
    <w:rsid w:val="00291706"/>
    <w:rsid w:val="002A21A6"/>
    <w:rsid w:val="002A2A48"/>
    <w:rsid w:val="002A57B0"/>
    <w:rsid w:val="002B0801"/>
    <w:rsid w:val="002B0DA9"/>
    <w:rsid w:val="002C3C6D"/>
    <w:rsid w:val="002C502A"/>
    <w:rsid w:val="002F140F"/>
    <w:rsid w:val="003023D4"/>
    <w:rsid w:val="00312EE3"/>
    <w:rsid w:val="003139CB"/>
    <w:rsid w:val="003211D1"/>
    <w:rsid w:val="003304FA"/>
    <w:rsid w:val="0033158C"/>
    <w:rsid w:val="00340EFF"/>
    <w:rsid w:val="00342415"/>
    <w:rsid w:val="00344FC7"/>
    <w:rsid w:val="00350041"/>
    <w:rsid w:val="00363F9E"/>
    <w:rsid w:val="00366E5D"/>
    <w:rsid w:val="00372467"/>
    <w:rsid w:val="00374E43"/>
    <w:rsid w:val="00377BE1"/>
    <w:rsid w:val="0039021C"/>
    <w:rsid w:val="003A1E20"/>
    <w:rsid w:val="003B560B"/>
    <w:rsid w:val="003B7214"/>
    <w:rsid w:val="003C6C6A"/>
    <w:rsid w:val="003E19CC"/>
    <w:rsid w:val="003E6D12"/>
    <w:rsid w:val="003F0F07"/>
    <w:rsid w:val="003F1196"/>
    <w:rsid w:val="003F57BB"/>
    <w:rsid w:val="00400AFA"/>
    <w:rsid w:val="004022B3"/>
    <w:rsid w:val="00413B0D"/>
    <w:rsid w:val="00415F24"/>
    <w:rsid w:val="00422013"/>
    <w:rsid w:val="00427C6E"/>
    <w:rsid w:val="00436345"/>
    <w:rsid w:val="00445B35"/>
    <w:rsid w:val="00446DF3"/>
    <w:rsid w:val="00453F15"/>
    <w:rsid w:val="00455CF8"/>
    <w:rsid w:val="0045697D"/>
    <w:rsid w:val="004626D8"/>
    <w:rsid w:val="00476542"/>
    <w:rsid w:val="004936BF"/>
    <w:rsid w:val="00495930"/>
    <w:rsid w:val="004A64CE"/>
    <w:rsid w:val="004A69FF"/>
    <w:rsid w:val="004B471E"/>
    <w:rsid w:val="004D1B1E"/>
    <w:rsid w:val="004D37AF"/>
    <w:rsid w:val="004D3AAC"/>
    <w:rsid w:val="004E01C3"/>
    <w:rsid w:val="004E2360"/>
    <w:rsid w:val="004E3D0A"/>
    <w:rsid w:val="004F0C79"/>
    <w:rsid w:val="004F484B"/>
    <w:rsid w:val="00511994"/>
    <w:rsid w:val="00516EC1"/>
    <w:rsid w:val="0052096D"/>
    <w:rsid w:val="00521B4F"/>
    <w:rsid w:val="00533669"/>
    <w:rsid w:val="00537CB6"/>
    <w:rsid w:val="0054146E"/>
    <w:rsid w:val="00551BEE"/>
    <w:rsid w:val="00553996"/>
    <w:rsid w:val="005562E9"/>
    <w:rsid w:val="0056755B"/>
    <w:rsid w:val="00570620"/>
    <w:rsid w:val="00574553"/>
    <w:rsid w:val="0057499F"/>
    <w:rsid w:val="00583D21"/>
    <w:rsid w:val="00584BDF"/>
    <w:rsid w:val="00594B96"/>
    <w:rsid w:val="005A0574"/>
    <w:rsid w:val="005B0535"/>
    <w:rsid w:val="005B7918"/>
    <w:rsid w:val="005C155C"/>
    <w:rsid w:val="005C274A"/>
    <w:rsid w:val="005C4FC7"/>
    <w:rsid w:val="005E43B2"/>
    <w:rsid w:val="005E7FA7"/>
    <w:rsid w:val="00600214"/>
    <w:rsid w:val="006036B6"/>
    <w:rsid w:val="0060483C"/>
    <w:rsid w:val="006109DA"/>
    <w:rsid w:val="00612B3E"/>
    <w:rsid w:val="00612B9A"/>
    <w:rsid w:val="0061359B"/>
    <w:rsid w:val="00614A1F"/>
    <w:rsid w:val="00625A46"/>
    <w:rsid w:val="006455DE"/>
    <w:rsid w:val="00645BA9"/>
    <w:rsid w:val="006513D6"/>
    <w:rsid w:val="00651C48"/>
    <w:rsid w:val="00655291"/>
    <w:rsid w:val="0065702A"/>
    <w:rsid w:val="00662D84"/>
    <w:rsid w:val="00664F91"/>
    <w:rsid w:val="00676A73"/>
    <w:rsid w:val="00680364"/>
    <w:rsid w:val="0068397F"/>
    <w:rsid w:val="00690CA7"/>
    <w:rsid w:val="00691315"/>
    <w:rsid w:val="006942C6"/>
    <w:rsid w:val="006A28FC"/>
    <w:rsid w:val="006A5534"/>
    <w:rsid w:val="006D15CD"/>
    <w:rsid w:val="006D37EA"/>
    <w:rsid w:val="006F2B7E"/>
    <w:rsid w:val="006F51D2"/>
    <w:rsid w:val="006F5E5A"/>
    <w:rsid w:val="00703191"/>
    <w:rsid w:val="007109D8"/>
    <w:rsid w:val="00713074"/>
    <w:rsid w:val="0072095D"/>
    <w:rsid w:val="00725234"/>
    <w:rsid w:val="007306F1"/>
    <w:rsid w:val="00734D9B"/>
    <w:rsid w:val="0073598E"/>
    <w:rsid w:val="007375BB"/>
    <w:rsid w:val="007428B1"/>
    <w:rsid w:val="00742EBB"/>
    <w:rsid w:val="00755CAA"/>
    <w:rsid w:val="0075753F"/>
    <w:rsid w:val="007670FC"/>
    <w:rsid w:val="00772E0E"/>
    <w:rsid w:val="00785DA5"/>
    <w:rsid w:val="007A32DA"/>
    <w:rsid w:val="007A6B6F"/>
    <w:rsid w:val="007B35F6"/>
    <w:rsid w:val="007C63AA"/>
    <w:rsid w:val="007E3F74"/>
    <w:rsid w:val="007E4C3D"/>
    <w:rsid w:val="007E76BF"/>
    <w:rsid w:val="007F5572"/>
    <w:rsid w:val="00804953"/>
    <w:rsid w:val="00824F33"/>
    <w:rsid w:val="0083448F"/>
    <w:rsid w:val="008406FE"/>
    <w:rsid w:val="00846D03"/>
    <w:rsid w:val="008505D7"/>
    <w:rsid w:val="008536D3"/>
    <w:rsid w:val="0085475B"/>
    <w:rsid w:val="00854A8C"/>
    <w:rsid w:val="00864ACD"/>
    <w:rsid w:val="008668E9"/>
    <w:rsid w:val="008727C9"/>
    <w:rsid w:val="008839A6"/>
    <w:rsid w:val="008843E3"/>
    <w:rsid w:val="0089055E"/>
    <w:rsid w:val="0089222B"/>
    <w:rsid w:val="008946FB"/>
    <w:rsid w:val="00896475"/>
    <w:rsid w:val="008A0389"/>
    <w:rsid w:val="008B4171"/>
    <w:rsid w:val="008B5357"/>
    <w:rsid w:val="008C1A96"/>
    <w:rsid w:val="008D0324"/>
    <w:rsid w:val="008D1489"/>
    <w:rsid w:val="008D59A7"/>
    <w:rsid w:val="008E54C5"/>
    <w:rsid w:val="00904130"/>
    <w:rsid w:val="00906B01"/>
    <w:rsid w:val="00937D2A"/>
    <w:rsid w:val="0095009A"/>
    <w:rsid w:val="00956C1B"/>
    <w:rsid w:val="00963648"/>
    <w:rsid w:val="00967ED2"/>
    <w:rsid w:val="009714C5"/>
    <w:rsid w:val="009759A2"/>
    <w:rsid w:val="00991646"/>
    <w:rsid w:val="00994A5F"/>
    <w:rsid w:val="009A7E16"/>
    <w:rsid w:val="009B40B6"/>
    <w:rsid w:val="009B59E8"/>
    <w:rsid w:val="009F1440"/>
    <w:rsid w:val="009F251F"/>
    <w:rsid w:val="00A045A8"/>
    <w:rsid w:val="00A0556A"/>
    <w:rsid w:val="00A07A5B"/>
    <w:rsid w:val="00A1249E"/>
    <w:rsid w:val="00A1250E"/>
    <w:rsid w:val="00A17737"/>
    <w:rsid w:val="00A3104F"/>
    <w:rsid w:val="00A363FB"/>
    <w:rsid w:val="00A458F4"/>
    <w:rsid w:val="00A57349"/>
    <w:rsid w:val="00A634C5"/>
    <w:rsid w:val="00A64CFC"/>
    <w:rsid w:val="00A651C2"/>
    <w:rsid w:val="00A72AD1"/>
    <w:rsid w:val="00A82648"/>
    <w:rsid w:val="00A85FEC"/>
    <w:rsid w:val="00A86510"/>
    <w:rsid w:val="00A94CDD"/>
    <w:rsid w:val="00AE20A5"/>
    <w:rsid w:val="00AE2A62"/>
    <w:rsid w:val="00AF1187"/>
    <w:rsid w:val="00B00EB1"/>
    <w:rsid w:val="00B023F1"/>
    <w:rsid w:val="00B0793D"/>
    <w:rsid w:val="00B27414"/>
    <w:rsid w:val="00B353E0"/>
    <w:rsid w:val="00B40FED"/>
    <w:rsid w:val="00B43279"/>
    <w:rsid w:val="00B43C66"/>
    <w:rsid w:val="00B50F67"/>
    <w:rsid w:val="00B718D6"/>
    <w:rsid w:val="00B71EE6"/>
    <w:rsid w:val="00B72030"/>
    <w:rsid w:val="00B81546"/>
    <w:rsid w:val="00B87A6C"/>
    <w:rsid w:val="00B949BC"/>
    <w:rsid w:val="00BB78CD"/>
    <w:rsid w:val="00BC15F3"/>
    <w:rsid w:val="00BC7FA0"/>
    <w:rsid w:val="00BD0284"/>
    <w:rsid w:val="00BD32E7"/>
    <w:rsid w:val="00BE4061"/>
    <w:rsid w:val="00BF07E7"/>
    <w:rsid w:val="00BF5198"/>
    <w:rsid w:val="00C056CC"/>
    <w:rsid w:val="00C07FB0"/>
    <w:rsid w:val="00C12AAA"/>
    <w:rsid w:val="00C13430"/>
    <w:rsid w:val="00C22606"/>
    <w:rsid w:val="00C35FF8"/>
    <w:rsid w:val="00C45464"/>
    <w:rsid w:val="00C51FB5"/>
    <w:rsid w:val="00C52C91"/>
    <w:rsid w:val="00C6232B"/>
    <w:rsid w:val="00C66932"/>
    <w:rsid w:val="00C70A85"/>
    <w:rsid w:val="00C86E17"/>
    <w:rsid w:val="00CA09A7"/>
    <w:rsid w:val="00CA477E"/>
    <w:rsid w:val="00CA4E46"/>
    <w:rsid w:val="00CC7E52"/>
    <w:rsid w:val="00CD7AC9"/>
    <w:rsid w:val="00CE11CD"/>
    <w:rsid w:val="00CF0D84"/>
    <w:rsid w:val="00CF1F04"/>
    <w:rsid w:val="00CF3D22"/>
    <w:rsid w:val="00D0268B"/>
    <w:rsid w:val="00D37B95"/>
    <w:rsid w:val="00D43CE2"/>
    <w:rsid w:val="00D45AC0"/>
    <w:rsid w:val="00D47CD2"/>
    <w:rsid w:val="00D506E6"/>
    <w:rsid w:val="00D66579"/>
    <w:rsid w:val="00D70149"/>
    <w:rsid w:val="00D934CF"/>
    <w:rsid w:val="00D96FB5"/>
    <w:rsid w:val="00DA0739"/>
    <w:rsid w:val="00DA7A25"/>
    <w:rsid w:val="00DB1B48"/>
    <w:rsid w:val="00DB39B9"/>
    <w:rsid w:val="00DB4709"/>
    <w:rsid w:val="00DB6BF8"/>
    <w:rsid w:val="00DC03ED"/>
    <w:rsid w:val="00DC54B0"/>
    <w:rsid w:val="00DF1997"/>
    <w:rsid w:val="00DF35F8"/>
    <w:rsid w:val="00E01D2B"/>
    <w:rsid w:val="00E02DE1"/>
    <w:rsid w:val="00E127EA"/>
    <w:rsid w:val="00E203C6"/>
    <w:rsid w:val="00E212F5"/>
    <w:rsid w:val="00E32383"/>
    <w:rsid w:val="00E325A1"/>
    <w:rsid w:val="00E37A62"/>
    <w:rsid w:val="00E418B0"/>
    <w:rsid w:val="00E45F3F"/>
    <w:rsid w:val="00E47EC4"/>
    <w:rsid w:val="00E6074C"/>
    <w:rsid w:val="00E702E3"/>
    <w:rsid w:val="00E93272"/>
    <w:rsid w:val="00E970A6"/>
    <w:rsid w:val="00EA68B5"/>
    <w:rsid w:val="00EC0D68"/>
    <w:rsid w:val="00EC3AEA"/>
    <w:rsid w:val="00EC6B18"/>
    <w:rsid w:val="00ED698A"/>
    <w:rsid w:val="00EE0F73"/>
    <w:rsid w:val="00EE152D"/>
    <w:rsid w:val="00EE4340"/>
    <w:rsid w:val="00EE57C9"/>
    <w:rsid w:val="00EE748B"/>
    <w:rsid w:val="00EF0038"/>
    <w:rsid w:val="00F066FD"/>
    <w:rsid w:val="00F179C2"/>
    <w:rsid w:val="00F24EB6"/>
    <w:rsid w:val="00F3178A"/>
    <w:rsid w:val="00F31C2E"/>
    <w:rsid w:val="00F33BFE"/>
    <w:rsid w:val="00F37675"/>
    <w:rsid w:val="00F47A1F"/>
    <w:rsid w:val="00F51FC4"/>
    <w:rsid w:val="00F53BAC"/>
    <w:rsid w:val="00F6556B"/>
    <w:rsid w:val="00F65BBB"/>
    <w:rsid w:val="00F65D0D"/>
    <w:rsid w:val="00F77B2C"/>
    <w:rsid w:val="00F81527"/>
    <w:rsid w:val="00F828E1"/>
    <w:rsid w:val="00F91B72"/>
    <w:rsid w:val="00FA0B67"/>
    <w:rsid w:val="00FA189C"/>
    <w:rsid w:val="00FB02C5"/>
    <w:rsid w:val="00FB7134"/>
    <w:rsid w:val="00FB79A4"/>
    <w:rsid w:val="00FC627A"/>
    <w:rsid w:val="00FC7D21"/>
    <w:rsid w:val="00FD478D"/>
    <w:rsid w:val="00FE0574"/>
    <w:rsid w:val="00FE0854"/>
    <w:rsid w:val="00FF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F4AED"/>
  <w15:docId w15:val="{84FF1505-ADF6-46AE-90A9-3B7B101F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839A6"/>
  </w:style>
  <w:style w:type="character" w:customStyle="1" w:styleId="EndnoteTextChar">
    <w:name w:val="Endnote Text Char"/>
    <w:basedOn w:val="DefaultParagraphFont"/>
    <w:link w:val="EndnoteText"/>
    <w:uiPriority w:val="99"/>
    <w:rsid w:val="008839A6"/>
  </w:style>
  <w:style w:type="character" w:styleId="EndnoteReference">
    <w:name w:val="endnote reference"/>
    <w:basedOn w:val="DefaultParagraphFont"/>
    <w:uiPriority w:val="99"/>
    <w:unhideWhenUsed/>
    <w:rsid w:val="008839A6"/>
    <w:rPr>
      <w:vertAlign w:val="superscript"/>
    </w:rPr>
  </w:style>
  <w:style w:type="paragraph" w:styleId="ListParagraph">
    <w:name w:val="List Paragraph"/>
    <w:basedOn w:val="Normal"/>
    <w:uiPriority w:val="34"/>
    <w:qFormat/>
    <w:rsid w:val="005C274A"/>
    <w:pPr>
      <w:spacing w:after="200"/>
      <w:ind w:left="720"/>
      <w:contextualSpacing/>
    </w:pPr>
    <w:rPr>
      <w:lang w:eastAsia="ja-JP"/>
    </w:rPr>
  </w:style>
  <w:style w:type="character" w:styleId="Hyperlink">
    <w:name w:val="Hyperlink"/>
    <w:basedOn w:val="DefaultParagraphFont"/>
    <w:uiPriority w:val="99"/>
    <w:unhideWhenUsed/>
    <w:rsid w:val="005C274A"/>
    <w:rPr>
      <w:color w:val="0000FF" w:themeColor="hyperlink"/>
      <w:u w:val="single"/>
    </w:rPr>
  </w:style>
  <w:style w:type="paragraph" w:styleId="FootnoteText">
    <w:name w:val="footnote text"/>
    <w:basedOn w:val="Normal"/>
    <w:link w:val="FootnoteTextChar"/>
    <w:uiPriority w:val="99"/>
    <w:semiHidden/>
    <w:unhideWhenUsed/>
    <w:rsid w:val="00772E0E"/>
    <w:rPr>
      <w:sz w:val="20"/>
      <w:szCs w:val="20"/>
    </w:rPr>
  </w:style>
  <w:style w:type="character" w:customStyle="1" w:styleId="FootnoteTextChar">
    <w:name w:val="Footnote Text Char"/>
    <w:basedOn w:val="DefaultParagraphFont"/>
    <w:link w:val="FootnoteText"/>
    <w:uiPriority w:val="99"/>
    <w:semiHidden/>
    <w:rsid w:val="00772E0E"/>
    <w:rPr>
      <w:sz w:val="20"/>
      <w:szCs w:val="20"/>
    </w:rPr>
  </w:style>
  <w:style w:type="character" w:styleId="FootnoteReference">
    <w:name w:val="footnote reference"/>
    <w:basedOn w:val="DefaultParagraphFont"/>
    <w:uiPriority w:val="99"/>
    <w:semiHidden/>
    <w:unhideWhenUsed/>
    <w:rsid w:val="00772E0E"/>
    <w:rPr>
      <w:vertAlign w:val="superscript"/>
    </w:rPr>
  </w:style>
  <w:style w:type="paragraph" w:styleId="Header">
    <w:name w:val="header"/>
    <w:basedOn w:val="Normal"/>
    <w:link w:val="HeaderChar"/>
    <w:uiPriority w:val="99"/>
    <w:unhideWhenUsed/>
    <w:rsid w:val="00B40FED"/>
    <w:pPr>
      <w:tabs>
        <w:tab w:val="center" w:pos="4513"/>
        <w:tab w:val="right" w:pos="9026"/>
      </w:tabs>
    </w:pPr>
  </w:style>
  <w:style w:type="character" w:customStyle="1" w:styleId="HeaderChar">
    <w:name w:val="Header Char"/>
    <w:basedOn w:val="DefaultParagraphFont"/>
    <w:link w:val="Header"/>
    <w:uiPriority w:val="99"/>
    <w:rsid w:val="00B40FED"/>
  </w:style>
  <w:style w:type="paragraph" w:styleId="Footer">
    <w:name w:val="footer"/>
    <w:basedOn w:val="Normal"/>
    <w:link w:val="FooterChar"/>
    <w:uiPriority w:val="99"/>
    <w:unhideWhenUsed/>
    <w:rsid w:val="00B40FED"/>
    <w:pPr>
      <w:tabs>
        <w:tab w:val="center" w:pos="4513"/>
        <w:tab w:val="right" w:pos="9026"/>
      </w:tabs>
    </w:pPr>
  </w:style>
  <w:style w:type="character" w:customStyle="1" w:styleId="FooterChar">
    <w:name w:val="Footer Char"/>
    <w:basedOn w:val="DefaultParagraphFont"/>
    <w:link w:val="Footer"/>
    <w:uiPriority w:val="99"/>
    <w:rsid w:val="00B40FED"/>
  </w:style>
  <w:style w:type="character" w:styleId="FollowedHyperlink">
    <w:name w:val="FollowedHyperlink"/>
    <w:basedOn w:val="DefaultParagraphFont"/>
    <w:uiPriority w:val="99"/>
    <w:semiHidden/>
    <w:unhideWhenUsed/>
    <w:rsid w:val="00937D2A"/>
    <w:rPr>
      <w:color w:val="800080" w:themeColor="followedHyperlink"/>
      <w:u w:val="single"/>
    </w:rPr>
  </w:style>
  <w:style w:type="paragraph" w:styleId="BalloonText">
    <w:name w:val="Balloon Text"/>
    <w:basedOn w:val="Normal"/>
    <w:link w:val="BalloonTextChar"/>
    <w:uiPriority w:val="99"/>
    <w:semiHidden/>
    <w:unhideWhenUsed/>
    <w:rsid w:val="00A3104F"/>
    <w:rPr>
      <w:rFonts w:ascii="Tahoma" w:hAnsi="Tahoma" w:cs="Tahoma"/>
      <w:sz w:val="16"/>
      <w:szCs w:val="16"/>
    </w:rPr>
  </w:style>
  <w:style w:type="character" w:customStyle="1" w:styleId="BalloonTextChar">
    <w:name w:val="Balloon Text Char"/>
    <w:basedOn w:val="DefaultParagraphFont"/>
    <w:link w:val="BalloonText"/>
    <w:uiPriority w:val="99"/>
    <w:semiHidden/>
    <w:rsid w:val="00A3104F"/>
    <w:rPr>
      <w:rFonts w:ascii="Tahoma" w:hAnsi="Tahoma" w:cs="Tahoma"/>
      <w:sz w:val="16"/>
      <w:szCs w:val="16"/>
    </w:rPr>
  </w:style>
  <w:style w:type="character" w:styleId="CommentReference">
    <w:name w:val="annotation reference"/>
    <w:basedOn w:val="DefaultParagraphFont"/>
    <w:uiPriority w:val="99"/>
    <w:semiHidden/>
    <w:unhideWhenUsed/>
    <w:rsid w:val="00E45F3F"/>
    <w:rPr>
      <w:sz w:val="16"/>
      <w:szCs w:val="16"/>
    </w:rPr>
  </w:style>
  <w:style w:type="paragraph" w:styleId="CommentText">
    <w:name w:val="annotation text"/>
    <w:basedOn w:val="Normal"/>
    <w:link w:val="CommentTextChar"/>
    <w:uiPriority w:val="99"/>
    <w:semiHidden/>
    <w:unhideWhenUsed/>
    <w:rsid w:val="00E45F3F"/>
    <w:rPr>
      <w:sz w:val="20"/>
      <w:szCs w:val="20"/>
    </w:rPr>
  </w:style>
  <w:style w:type="character" w:customStyle="1" w:styleId="CommentTextChar">
    <w:name w:val="Comment Text Char"/>
    <w:basedOn w:val="DefaultParagraphFont"/>
    <w:link w:val="CommentText"/>
    <w:uiPriority w:val="99"/>
    <w:semiHidden/>
    <w:rsid w:val="00E45F3F"/>
    <w:rPr>
      <w:sz w:val="20"/>
      <w:szCs w:val="20"/>
    </w:rPr>
  </w:style>
  <w:style w:type="paragraph" w:styleId="CommentSubject">
    <w:name w:val="annotation subject"/>
    <w:basedOn w:val="CommentText"/>
    <w:next w:val="CommentText"/>
    <w:link w:val="CommentSubjectChar"/>
    <w:uiPriority w:val="99"/>
    <w:semiHidden/>
    <w:unhideWhenUsed/>
    <w:rsid w:val="00E45F3F"/>
    <w:rPr>
      <w:b/>
      <w:bCs/>
    </w:rPr>
  </w:style>
  <w:style w:type="character" w:customStyle="1" w:styleId="CommentSubjectChar">
    <w:name w:val="Comment Subject Char"/>
    <w:basedOn w:val="CommentTextChar"/>
    <w:link w:val="CommentSubject"/>
    <w:uiPriority w:val="99"/>
    <w:semiHidden/>
    <w:rsid w:val="00E45F3F"/>
    <w:rPr>
      <w:b/>
      <w:bCs/>
      <w:sz w:val="20"/>
      <w:szCs w:val="20"/>
    </w:rPr>
  </w:style>
  <w:style w:type="table" w:styleId="TableGrid">
    <w:name w:val="Table Grid"/>
    <w:basedOn w:val="TableNormal"/>
    <w:uiPriority w:val="59"/>
    <w:rsid w:val="00BB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123943">
      <w:bodyDiv w:val="1"/>
      <w:marLeft w:val="0"/>
      <w:marRight w:val="0"/>
      <w:marTop w:val="0"/>
      <w:marBottom w:val="0"/>
      <w:divBdr>
        <w:top w:val="none" w:sz="0" w:space="0" w:color="auto"/>
        <w:left w:val="none" w:sz="0" w:space="0" w:color="auto"/>
        <w:bottom w:val="none" w:sz="0" w:space="0" w:color="auto"/>
        <w:right w:val="none" w:sz="0" w:space="0" w:color="auto"/>
      </w:divBdr>
    </w:div>
    <w:div w:id="519468122">
      <w:bodyDiv w:val="1"/>
      <w:marLeft w:val="0"/>
      <w:marRight w:val="0"/>
      <w:marTop w:val="0"/>
      <w:marBottom w:val="0"/>
      <w:divBdr>
        <w:top w:val="none" w:sz="0" w:space="0" w:color="auto"/>
        <w:left w:val="none" w:sz="0" w:space="0" w:color="auto"/>
        <w:bottom w:val="none" w:sz="0" w:space="0" w:color="auto"/>
        <w:right w:val="none" w:sz="0" w:space="0" w:color="auto"/>
      </w:divBdr>
    </w:div>
    <w:div w:id="1712455702">
      <w:bodyDiv w:val="1"/>
      <w:marLeft w:val="0"/>
      <w:marRight w:val="0"/>
      <w:marTop w:val="0"/>
      <w:marBottom w:val="0"/>
      <w:divBdr>
        <w:top w:val="none" w:sz="0" w:space="0" w:color="auto"/>
        <w:left w:val="none" w:sz="0" w:space="0" w:color="auto"/>
        <w:bottom w:val="none" w:sz="0" w:space="0" w:color="auto"/>
        <w:right w:val="none" w:sz="0" w:space="0" w:color="auto"/>
      </w:divBdr>
    </w:div>
    <w:div w:id="1909340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lisj@hop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endnotes.xml.rels><?xml version="1.0" encoding="UTF-8" standalone="yes"?>
<Relationships xmlns="http://schemas.openxmlformats.org/package/2006/relationships"><Relationship Id="rId1" Type="http://schemas.openxmlformats.org/officeDocument/2006/relationships/hyperlink" Target="http://www.britishnewspaperarchive.co.u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numRef>
              <c:f>Sheet1!$A$2:$A$40</c:f>
              <c:numCache>
                <c:formatCode>General</c:formatCode>
                <c:ptCount val="39"/>
                <c:pt idx="0">
                  <c:v>1830</c:v>
                </c:pt>
                <c:pt idx="1">
                  <c:v>1831</c:v>
                </c:pt>
                <c:pt idx="2">
                  <c:v>1832</c:v>
                </c:pt>
                <c:pt idx="3">
                  <c:v>1833</c:v>
                </c:pt>
                <c:pt idx="4">
                  <c:v>1834</c:v>
                </c:pt>
                <c:pt idx="5">
                  <c:v>1835</c:v>
                </c:pt>
                <c:pt idx="6">
                  <c:v>1836</c:v>
                </c:pt>
                <c:pt idx="7">
                  <c:v>1837</c:v>
                </c:pt>
                <c:pt idx="8">
                  <c:v>1838</c:v>
                </c:pt>
                <c:pt idx="9">
                  <c:v>1839</c:v>
                </c:pt>
                <c:pt idx="10">
                  <c:v>1840</c:v>
                </c:pt>
                <c:pt idx="11">
                  <c:v>1841</c:v>
                </c:pt>
                <c:pt idx="12">
                  <c:v>1842</c:v>
                </c:pt>
                <c:pt idx="13">
                  <c:v>1843</c:v>
                </c:pt>
                <c:pt idx="14">
                  <c:v>1844</c:v>
                </c:pt>
                <c:pt idx="15">
                  <c:v>1845</c:v>
                </c:pt>
                <c:pt idx="16">
                  <c:v>1846</c:v>
                </c:pt>
                <c:pt idx="17">
                  <c:v>1847</c:v>
                </c:pt>
                <c:pt idx="18">
                  <c:v>1848</c:v>
                </c:pt>
                <c:pt idx="19">
                  <c:v>1849</c:v>
                </c:pt>
                <c:pt idx="20">
                  <c:v>1850</c:v>
                </c:pt>
                <c:pt idx="21">
                  <c:v>1851</c:v>
                </c:pt>
                <c:pt idx="22">
                  <c:v>1852</c:v>
                </c:pt>
                <c:pt idx="23">
                  <c:v>1853</c:v>
                </c:pt>
                <c:pt idx="24">
                  <c:v>1854</c:v>
                </c:pt>
                <c:pt idx="25">
                  <c:v>1855</c:v>
                </c:pt>
                <c:pt idx="26">
                  <c:v>1856</c:v>
                </c:pt>
                <c:pt idx="27">
                  <c:v>1857</c:v>
                </c:pt>
                <c:pt idx="28">
                  <c:v>1858</c:v>
                </c:pt>
                <c:pt idx="29">
                  <c:v>1859</c:v>
                </c:pt>
                <c:pt idx="30">
                  <c:v>1860</c:v>
                </c:pt>
                <c:pt idx="31">
                  <c:v>1861</c:v>
                </c:pt>
                <c:pt idx="32">
                  <c:v>1862</c:v>
                </c:pt>
                <c:pt idx="33">
                  <c:v>1863</c:v>
                </c:pt>
                <c:pt idx="34">
                  <c:v>1864</c:v>
                </c:pt>
                <c:pt idx="35">
                  <c:v>1865</c:v>
                </c:pt>
                <c:pt idx="36">
                  <c:v>1866</c:v>
                </c:pt>
                <c:pt idx="37">
                  <c:v>1867</c:v>
                </c:pt>
                <c:pt idx="38">
                  <c:v>1868</c:v>
                </c:pt>
              </c:numCache>
            </c:numRef>
          </c:cat>
          <c:val>
            <c:numRef>
              <c:f>Sheet1!$B$2:$B$40</c:f>
              <c:numCache>
                <c:formatCode>General</c:formatCode>
                <c:ptCount val="39"/>
                <c:pt idx="0">
                  <c:v>3</c:v>
                </c:pt>
                <c:pt idx="1">
                  <c:v>5</c:v>
                </c:pt>
                <c:pt idx="2">
                  <c:v>2</c:v>
                </c:pt>
                <c:pt idx="3">
                  <c:v>3</c:v>
                </c:pt>
                <c:pt idx="4">
                  <c:v>2</c:v>
                </c:pt>
                <c:pt idx="5">
                  <c:v>3</c:v>
                </c:pt>
                <c:pt idx="6">
                  <c:v>1</c:v>
                </c:pt>
                <c:pt idx="8">
                  <c:v>1</c:v>
                </c:pt>
                <c:pt idx="12">
                  <c:v>1</c:v>
                </c:pt>
                <c:pt idx="13">
                  <c:v>2</c:v>
                </c:pt>
                <c:pt idx="14">
                  <c:v>1</c:v>
                </c:pt>
                <c:pt idx="15">
                  <c:v>2</c:v>
                </c:pt>
                <c:pt idx="18">
                  <c:v>1</c:v>
                </c:pt>
                <c:pt idx="19">
                  <c:v>2</c:v>
                </c:pt>
                <c:pt idx="21">
                  <c:v>1</c:v>
                </c:pt>
                <c:pt idx="23">
                  <c:v>1</c:v>
                </c:pt>
                <c:pt idx="26">
                  <c:v>1</c:v>
                </c:pt>
                <c:pt idx="27">
                  <c:v>2</c:v>
                </c:pt>
                <c:pt idx="29">
                  <c:v>1</c:v>
                </c:pt>
                <c:pt idx="30">
                  <c:v>1</c:v>
                </c:pt>
                <c:pt idx="32">
                  <c:v>3</c:v>
                </c:pt>
                <c:pt idx="33">
                  <c:v>7</c:v>
                </c:pt>
                <c:pt idx="34">
                  <c:v>2</c:v>
                </c:pt>
                <c:pt idx="35">
                  <c:v>2</c:v>
                </c:pt>
                <c:pt idx="36">
                  <c:v>2</c:v>
                </c:pt>
                <c:pt idx="37">
                  <c:v>4</c:v>
                </c:pt>
                <c:pt idx="38">
                  <c:v>2</c:v>
                </c:pt>
              </c:numCache>
            </c:numRef>
          </c:val>
        </c:ser>
        <c:dLbls>
          <c:showLegendKey val="0"/>
          <c:showVal val="0"/>
          <c:showCatName val="0"/>
          <c:showSerName val="0"/>
          <c:showPercent val="0"/>
          <c:showBubbleSize val="0"/>
        </c:dLbls>
        <c:gapWidth val="150"/>
        <c:axId val="220910256"/>
        <c:axId val="226173648"/>
      </c:barChart>
      <c:catAx>
        <c:axId val="220910256"/>
        <c:scaling>
          <c:orientation val="minMax"/>
        </c:scaling>
        <c:delete val="0"/>
        <c:axPos val="b"/>
        <c:title>
          <c:tx>
            <c:rich>
              <a:bodyPr/>
              <a:lstStyle/>
              <a:p>
                <a:pPr>
                  <a:defRPr/>
                </a:pPr>
                <a:r>
                  <a:rPr lang="en-US">
                    <a:solidFill>
                      <a:srgbClr val="FF0000"/>
                    </a:solidFill>
                  </a:rPr>
                  <a:t>Year</a:t>
                </a:r>
              </a:p>
            </c:rich>
          </c:tx>
          <c:overlay val="0"/>
        </c:title>
        <c:numFmt formatCode="General" sourceLinked="1"/>
        <c:majorTickMark val="out"/>
        <c:minorTickMark val="none"/>
        <c:tickLblPos val="nextTo"/>
        <c:txPr>
          <a:bodyPr/>
          <a:lstStyle/>
          <a:p>
            <a:pPr>
              <a:defRPr>
                <a:solidFill>
                  <a:srgbClr val="FF0000"/>
                </a:solidFill>
              </a:defRPr>
            </a:pPr>
            <a:endParaRPr lang="en-US"/>
          </a:p>
        </c:txPr>
        <c:crossAx val="226173648"/>
        <c:crosses val="autoZero"/>
        <c:auto val="1"/>
        <c:lblAlgn val="ctr"/>
        <c:lblOffset val="100"/>
        <c:noMultiLvlLbl val="0"/>
      </c:catAx>
      <c:valAx>
        <c:axId val="226173648"/>
        <c:scaling>
          <c:orientation val="minMax"/>
        </c:scaling>
        <c:delete val="0"/>
        <c:axPos val="l"/>
        <c:majorGridlines/>
        <c:title>
          <c:tx>
            <c:rich>
              <a:bodyPr rot="-5400000" vert="horz"/>
              <a:lstStyle/>
              <a:p>
                <a:pPr>
                  <a:defRPr>
                    <a:solidFill>
                      <a:srgbClr val="FF0000"/>
                    </a:solidFill>
                  </a:defRPr>
                </a:pPr>
                <a:r>
                  <a:rPr lang="en-US">
                    <a:solidFill>
                      <a:srgbClr val="FF0000"/>
                    </a:solidFill>
                  </a:rPr>
                  <a:t>Number of Executions</a:t>
                </a:r>
              </a:p>
            </c:rich>
          </c:tx>
          <c:overlay val="0"/>
        </c:title>
        <c:numFmt formatCode="General" sourceLinked="1"/>
        <c:majorTickMark val="out"/>
        <c:minorTickMark val="none"/>
        <c:tickLblPos val="nextTo"/>
        <c:txPr>
          <a:bodyPr/>
          <a:lstStyle/>
          <a:p>
            <a:pPr>
              <a:defRPr>
                <a:solidFill>
                  <a:srgbClr val="FF0000"/>
                </a:solidFill>
              </a:defRPr>
            </a:pPr>
            <a:endParaRPr lang="en-US"/>
          </a:p>
        </c:txPr>
        <c:crossAx val="2209102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EBECEFB6-01A0-45F3-AD83-A969E132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6062</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Walliss</dc:creator>
  <cp:lastModifiedBy>JOHN WALLISS </cp:lastModifiedBy>
  <cp:revision>3</cp:revision>
  <cp:lastPrinted>2015-11-27T08:44:00Z</cp:lastPrinted>
  <dcterms:created xsi:type="dcterms:W3CDTF">2015-11-30T13:42:00Z</dcterms:created>
  <dcterms:modified xsi:type="dcterms:W3CDTF">2015-11-30T13:43:00Z</dcterms:modified>
</cp:coreProperties>
</file>