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306DA" w14:textId="2C8A3B9E" w:rsidR="009F16FB" w:rsidRPr="00BC779C" w:rsidRDefault="00632F4D" w:rsidP="00A0346F">
      <w:pPr>
        <w:pStyle w:val="NoSpacing"/>
        <w:suppressLineNumbers/>
        <w:rPr>
          <w:rFonts w:ascii="Times New Roman" w:hAnsi="Times New Roman" w:cs="Times New Roman"/>
          <w:sz w:val="24"/>
          <w:szCs w:val="24"/>
        </w:rPr>
      </w:pPr>
      <w:bookmarkStart w:id="0" w:name="_GoBack"/>
      <w:bookmarkEnd w:id="0"/>
      <w:r w:rsidRPr="00BC779C">
        <w:rPr>
          <w:rFonts w:ascii="Times New Roman" w:hAnsi="Times New Roman" w:cs="Times New Roman"/>
          <w:b/>
          <w:sz w:val="24"/>
          <w:szCs w:val="24"/>
        </w:rPr>
        <w:t>Title:</w:t>
      </w:r>
      <w:r w:rsidRPr="00BC779C">
        <w:rPr>
          <w:rFonts w:ascii="Times New Roman" w:hAnsi="Times New Roman" w:cs="Times New Roman"/>
          <w:sz w:val="24"/>
          <w:szCs w:val="24"/>
        </w:rPr>
        <w:t xml:space="preserve"> </w:t>
      </w:r>
      <w:r w:rsidR="009F16FB" w:rsidRPr="00BC779C">
        <w:rPr>
          <w:rFonts w:ascii="Times New Roman" w:hAnsi="Times New Roman" w:cs="Times New Roman"/>
          <w:sz w:val="24"/>
          <w:szCs w:val="24"/>
        </w:rPr>
        <w:t xml:space="preserve">Soluble corn fiber </w:t>
      </w:r>
      <w:r w:rsidR="00BB0F77" w:rsidRPr="00BC779C">
        <w:rPr>
          <w:rFonts w:ascii="Times New Roman" w:hAnsi="Times New Roman" w:cs="Times New Roman"/>
          <w:sz w:val="24"/>
          <w:szCs w:val="24"/>
        </w:rPr>
        <w:t>increases</w:t>
      </w:r>
      <w:r w:rsidR="009F16FB" w:rsidRPr="00BC779C">
        <w:rPr>
          <w:rFonts w:ascii="Times New Roman" w:hAnsi="Times New Roman" w:cs="Times New Roman"/>
          <w:sz w:val="24"/>
          <w:szCs w:val="24"/>
        </w:rPr>
        <w:t xml:space="preserve"> calcium absorption </w:t>
      </w:r>
      <w:r w:rsidR="006A0EB4" w:rsidRPr="00BC779C">
        <w:rPr>
          <w:rFonts w:ascii="Times New Roman" w:hAnsi="Times New Roman" w:cs="Times New Roman"/>
          <w:sz w:val="24"/>
          <w:szCs w:val="24"/>
        </w:rPr>
        <w:t xml:space="preserve">associated with shifts in the gut microbiome:  A </w:t>
      </w:r>
      <w:r w:rsidRPr="00BC779C">
        <w:rPr>
          <w:rFonts w:ascii="Times New Roman" w:hAnsi="Times New Roman" w:cs="Times New Roman"/>
          <w:sz w:val="24"/>
          <w:szCs w:val="24"/>
        </w:rPr>
        <w:t>r</w:t>
      </w:r>
      <w:r w:rsidR="006A0EB4" w:rsidRPr="00BC779C">
        <w:rPr>
          <w:rFonts w:ascii="Times New Roman" w:hAnsi="Times New Roman" w:cs="Times New Roman"/>
          <w:sz w:val="24"/>
          <w:szCs w:val="24"/>
        </w:rPr>
        <w:t xml:space="preserve">andomized </w:t>
      </w:r>
      <w:r w:rsidR="00B844AD" w:rsidRPr="00BC779C">
        <w:rPr>
          <w:rFonts w:ascii="Times New Roman" w:hAnsi="Times New Roman" w:cs="Times New Roman"/>
          <w:sz w:val="24"/>
          <w:szCs w:val="24"/>
        </w:rPr>
        <w:t xml:space="preserve">dose-response </w:t>
      </w:r>
      <w:r w:rsidRPr="00BC779C">
        <w:rPr>
          <w:rFonts w:ascii="Times New Roman" w:hAnsi="Times New Roman" w:cs="Times New Roman"/>
          <w:sz w:val="24"/>
          <w:szCs w:val="24"/>
        </w:rPr>
        <w:t>t</w:t>
      </w:r>
      <w:r w:rsidR="006A0EB4" w:rsidRPr="00BC779C">
        <w:rPr>
          <w:rFonts w:ascii="Times New Roman" w:hAnsi="Times New Roman" w:cs="Times New Roman"/>
          <w:sz w:val="24"/>
          <w:szCs w:val="24"/>
        </w:rPr>
        <w:t>rial in free-living pubertal girls</w:t>
      </w:r>
    </w:p>
    <w:p w14:paraId="2F2AA061" w14:textId="77777777" w:rsidR="009F16FB" w:rsidRPr="00BC779C" w:rsidRDefault="009F16FB" w:rsidP="00A0346F">
      <w:pPr>
        <w:suppressLineNumbers/>
        <w:spacing w:after="0" w:line="240" w:lineRule="auto"/>
        <w:rPr>
          <w:rFonts w:ascii="Times New Roman" w:hAnsi="Times New Roman" w:cs="Times New Roman"/>
          <w:sz w:val="24"/>
          <w:szCs w:val="24"/>
        </w:rPr>
      </w:pPr>
    </w:p>
    <w:p w14:paraId="35D69D4C" w14:textId="61984D45" w:rsidR="009C26F0" w:rsidRPr="00BC779C" w:rsidRDefault="00632F4D"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b/>
          <w:sz w:val="24"/>
          <w:szCs w:val="24"/>
        </w:rPr>
        <w:t>Authors:</w:t>
      </w:r>
      <w:r w:rsidRPr="00BC779C">
        <w:rPr>
          <w:rFonts w:ascii="Times New Roman" w:hAnsi="Times New Roman" w:cs="Times New Roman"/>
          <w:sz w:val="24"/>
          <w:szCs w:val="24"/>
        </w:rPr>
        <w:t xml:space="preserve"> </w:t>
      </w:r>
      <w:r w:rsidR="003351FF" w:rsidRPr="00BC779C">
        <w:rPr>
          <w:rFonts w:ascii="Times New Roman" w:hAnsi="Times New Roman" w:cs="Times New Roman"/>
          <w:sz w:val="24"/>
          <w:szCs w:val="24"/>
          <w:vertAlign w:val="superscript"/>
        </w:rPr>
        <w:t>1</w:t>
      </w:r>
      <w:r w:rsidR="009F16FB" w:rsidRPr="00BC779C">
        <w:rPr>
          <w:rFonts w:ascii="Times New Roman" w:hAnsi="Times New Roman" w:cs="Times New Roman"/>
          <w:sz w:val="24"/>
          <w:szCs w:val="24"/>
        </w:rPr>
        <w:t>Corrie M Whisner</w:t>
      </w:r>
      <w:r w:rsidR="001E002E" w:rsidRPr="00BC779C">
        <w:rPr>
          <w:rFonts w:ascii="Times New Roman" w:hAnsi="Times New Roman" w:cs="Times New Roman"/>
          <w:sz w:val="24"/>
          <w:szCs w:val="24"/>
        </w:rPr>
        <w:t xml:space="preserve">, </w:t>
      </w:r>
      <w:r w:rsidR="003351FF" w:rsidRPr="00BC779C">
        <w:rPr>
          <w:rFonts w:ascii="Times New Roman" w:hAnsi="Times New Roman" w:cs="Times New Roman"/>
          <w:sz w:val="24"/>
          <w:szCs w:val="24"/>
          <w:vertAlign w:val="superscript"/>
        </w:rPr>
        <w:t>2</w:t>
      </w:r>
      <w:r w:rsidR="009F16FB" w:rsidRPr="00BC779C">
        <w:rPr>
          <w:rFonts w:ascii="Times New Roman" w:hAnsi="Times New Roman" w:cs="Times New Roman"/>
          <w:sz w:val="24"/>
          <w:szCs w:val="24"/>
        </w:rPr>
        <w:t>Berdine R Martin</w:t>
      </w:r>
      <w:r w:rsidR="001E002E" w:rsidRPr="00BC779C">
        <w:rPr>
          <w:rFonts w:ascii="Times New Roman" w:hAnsi="Times New Roman" w:cs="Times New Roman"/>
          <w:sz w:val="24"/>
          <w:szCs w:val="24"/>
        </w:rPr>
        <w:t xml:space="preserve">, </w:t>
      </w:r>
      <w:r w:rsidR="003351FF" w:rsidRPr="00BC779C">
        <w:rPr>
          <w:rFonts w:ascii="Times New Roman" w:hAnsi="Times New Roman" w:cs="Times New Roman"/>
          <w:sz w:val="24"/>
          <w:szCs w:val="24"/>
          <w:vertAlign w:val="superscript"/>
        </w:rPr>
        <w:t>3</w:t>
      </w:r>
      <w:r w:rsidR="009F16FB" w:rsidRPr="00BC779C">
        <w:rPr>
          <w:rFonts w:ascii="Times New Roman" w:hAnsi="Times New Roman" w:cs="Times New Roman"/>
          <w:sz w:val="24"/>
          <w:szCs w:val="24"/>
        </w:rPr>
        <w:t>Cindy H Nakatsu</w:t>
      </w:r>
      <w:r w:rsidR="001E002E" w:rsidRPr="00BC779C">
        <w:rPr>
          <w:rFonts w:ascii="Times New Roman" w:hAnsi="Times New Roman" w:cs="Times New Roman"/>
          <w:sz w:val="24"/>
          <w:szCs w:val="24"/>
        </w:rPr>
        <w:t xml:space="preserve">, </w:t>
      </w:r>
      <w:r w:rsidR="003351FF" w:rsidRPr="00BC779C">
        <w:rPr>
          <w:rFonts w:ascii="Times New Roman" w:hAnsi="Times New Roman" w:cs="Times New Roman"/>
          <w:sz w:val="24"/>
          <w:szCs w:val="24"/>
          <w:vertAlign w:val="superscript"/>
        </w:rPr>
        <w:t>2</w:t>
      </w:r>
      <w:r w:rsidR="009F16FB" w:rsidRPr="00BC779C">
        <w:rPr>
          <w:rFonts w:ascii="Times New Roman" w:hAnsi="Times New Roman" w:cs="Times New Roman"/>
          <w:sz w:val="24"/>
          <w:szCs w:val="24"/>
        </w:rPr>
        <w:t xml:space="preserve">Jon </w:t>
      </w:r>
      <w:r w:rsidRPr="00BC779C">
        <w:rPr>
          <w:rFonts w:ascii="Times New Roman" w:hAnsi="Times New Roman" w:cs="Times New Roman"/>
          <w:sz w:val="24"/>
          <w:szCs w:val="24"/>
        </w:rPr>
        <w:t xml:space="preserve">A </w:t>
      </w:r>
      <w:r w:rsidR="009F16FB" w:rsidRPr="00BC779C">
        <w:rPr>
          <w:rFonts w:ascii="Times New Roman" w:hAnsi="Times New Roman" w:cs="Times New Roman"/>
          <w:sz w:val="24"/>
          <w:szCs w:val="24"/>
        </w:rPr>
        <w:t>Story</w:t>
      </w:r>
      <w:r w:rsidR="001E002E" w:rsidRPr="00BC779C">
        <w:rPr>
          <w:rFonts w:ascii="Times New Roman" w:hAnsi="Times New Roman" w:cs="Times New Roman"/>
          <w:sz w:val="24"/>
          <w:szCs w:val="24"/>
        </w:rPr>
        <w:t xml:space="preserve">, </w:t>
      </w:r>
    </w:p>
    <w:p w14:paraId="11577226" w14:textId="3883A648" w:rsidR="009F16FB" w:rsidRPr="00BC779C" w:rsidRDefault="003351FF"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sz w:val="24"/>
          <w:szCs w:val="24"/>
          <w:vertAlign w:val="superscript"/>
        </w:rPr>
        <w:t>2</w:t>
      </w:r>
      <w:r w:rsidR="00C409AA" w:rsidRPr="00BC779C">
        <w:rPr>
          <w:rFonts w:ascii="Times New Roman" w:hAnsi="Times New Roman" w:cs="Times New Roman"/>
          <w:sz w:val="24"/>
          <w:szCs w:val="24"/>
        </w:rPr>
        <w:t>Claire</w:t>
      </w:r>
      <w:r w:rsidR="001D15AE" w:rsidRPr="00BC779C">
        <w:rPr>
          <w:rFonts w:ascii="Times New Roman" w:hAnsi="Times New Roman" w:cs="Times New Roman"/>
          <w:sz w:val="24"/>
          <w:szCs w:val="24"/>
        </w:rPr>
        <w:t xml:space="preserve"> </w:t>
      </w:r>
      <w:r w:rsidR="006131BE" w:rsidRPr="00BC779C">
        <w:rPr>
          <w:rFonts w:ascii="Times New Roman" w:hAnsi="Times New Roman" w:cs="Times New Roman"/>
          <w:sz w:val="24"/>
          <w:szCs w:val="24"/>
        </w:rPr>
        <w:t xml:space="preserve">J </w:t>
      </w:r>
      <w:r w:rsidR="00C409AA" w:rsidRPr="00BC779C">
        <w:rPr>
          <w:rFonts w:ascii="Times New Roman" w:hAnsi="Times New Roman" w:cs="Times New Roman"/>
          <w:sz w:val="24"/>
          <w:szCs w:val="24"/>
        </w:rPr>
        <w:t>MacDonald-</w:t>
      </w:r>
      <w:r w:rsidR="009C26F0" w:rsidRPr="00BC779C">
        <w:rPr>
          <w:rFonts w:ascii="Times New Roman" w:hAnsi="Times New Roman" w:cs="Times New Roman"/>
          <w:sz w:val="24"/>
          <w:szCs w:val="24"/>
        </w:rPr>
        <w:t>Clark</w:t>
      </w:r>
      <w:r w:rsidR="00CA3519" w:rsidRPr="00BC779C">
        <w:rPr>
          <w:rFonts w:ascii="Times New Roman" w:hAnsi="Times New Roman" w:cs="Times New Roman"/>
          <w:sz w:val="24"/>
          <w:szCs w:val="24"/>
        </w:rPr>
        <w:t>e</w:t>
      </w:r>
      <w:r w:rsidR="009C26F0" w:rsidRPr="00BC779C">
        <w:rPr>
          <w:rFonts w:ascii="Times New Roman" w:hAnsi="Times New Roman" w:cs="Times New Roman"/>
          <w:sz w:val="24"/>
          <w:szCs w:val="24"/>
        </w:rPr>
        <w:t>,</w:t>
      </w:r>
      <w:r w:rsidR="00632F4D" w:rsidRPr="00BC779C">
        <w:rPr>
          <w:rFonts w:ascii="Times New Roman" w:hAnsi="Times New Roman" w:cs="Times New Roman"/>
          <w:sz w:val="24"/>
          <w:szCs w:val="24"/>
        </w:rPr>
        <w:t xml:space="preserve"> </w:t>
      </w:r>
      <w:r w:rsidRPr="00BC779C">
        <w:rPr>
          <w:rFonts w:ascii="Times New Roman" w:hAnsi="Times New Roman" w:cs="Times New Roman"/>
          <w:sz w:val="24"/>
          <w:szCs w:val="24"/>
          <w:vertAlign w:val="superscript"/>
        </w:rPr>
        <w:t>2</w:t>
      </w:r>
      <w:r w:rsidR="009F16FB" w:rsidRPr="00BC779C">
        <w:rPr>
          <w:rFonts w:ascii="Times New Roman" w:hAnsi="Times New Roman" w:cs="Times New Roman"/>
          <w:sz w:val="24"/>
          <w:szCs w:val="24"/>
        </w:rPr>
        <w:t>Linda D McCabe</w:t>
      </w:r>
      <w:r w:rsidR="001E002E" w:rsidRPr="00BC779C">
        <w:rPr>
          <w:rFonts w:ascii="Times New Roman" w:hAnsi="Times New Roman" w:cs="Times New Roman"/>
          <w:sz w:val="24"/>
          <w:szCs w:val="24"/>
        </w:rPr>
        <w:t xml:space="preserve">, </w:t>
      </w:r>
      <w:r w:rsidRPr="00BC779C">
        <w:rPr>
          <w:rFonts w:ascii="Times New Roman" w:hAnsi="Times New Roman" w:cs="Times New Roman"/>
          <w:sz w:val="24"/>
          <w:szCs w:val="24"/>
          <w:vertAlign w:val="superscript"/>
        </w:rPr>
        <w:t>4</w:t>
      </w:r>
      <w:r w:rsidR="009F16FB" w:rsidRPr="00BC779C">
        <w:rPr>
          <w:rFonts w:ascii="Times New Roman" w:hAnsi="Times New Roman" w:cs="Times New Roman"/>
          <w:sz w:val="24"/>
          <w:szCs w:val="24"/>
        </w:rPr>
        <w:t>George P McCabe</w:t>
      </w:r>
      <w:r w:rsidR="001E002E" w:rsidRPr="00BC779C">
        <w:rPr>
          <w:rFonts w:ascii="Times New Roman" w:hAnsi="Times New Roman" w:cs="Times New Roman"/>
          <w:sz w:val="24"/>
          <w:szCs w:val="24"/>
        </w:rPr>
        <w:t xml:space="preserve">, </w:t>
      </w:r>
      <w:r w:rsidRPr="00BC779C">
        <w:rPr>
          <w:rFonts w:ascii="Times New Roman" w:hAnsi="Times New Roman" w:cs="Times New Roman"/>
          <w:sz w:val="24"/>
          <w:szCs w:val="24"/>
          <w:vertAlign w:val="superscript"/>
        </w:rPr>
        <w:t>2</w:t>
      </w:r>
      <w:r w:rsidR="009F16FB" w:rsidRPr="00BC779C">
        <w:rPr>
          <w:rFonts w:ascii="Times New Roman" w:hAnsi="Times New Roman" w:cs="Times New Roman"/>
          <w:sz w:val="24"/>
          <w:szCs w:val="24"/>
        </w:rPr>
        <w:t>Connie M Weaver</w:t>
      </w:r>
    </w:p>
    <w:p w14:paraId="0E31C2B8" w14:textId="77777777" w:rsidR="001D15AE" w:rsidRPr="00BC779C" w:rsidRDefault="001D15AE" w:rsidP="00A0346F">
      <w:pPr>
        <w:suppressLineNumbers/>
        <w:spacing w:after="0" w:line="240" w:lineRule="auto"/>
        <w:rPr>
          <w:rFonts w:ascii="Times New Roman" w:hAnsi="Times New Roman" w:cs="Times New Roman"/>
          <w:b/>
          <w:sz w:val="24"/>
          <w:szCs w:val="24"/>
        </w:rPr>
      </w:pPr>
      <w:r w:rsidRPr="00BC779C">
        <w:rPr>
          <w:rFonts w:ascii="Times New Roman" w:hAnsi="Times New Roman" w:cs="Times New Roman"/>
          <w:b/>
          <w:sz w:val="24"/>
          <w:szCs w:val="24"/>
        </w:rPr>
        <w:t>Affiliations:</w:t>
      </w:r>
    </w:p>
    <w:p w14:paraId="6512C049" w14:textId="79E7B1CA" w:rsidR="001E002E" w:rsidRPr="00BC779C" w:rsidRDefault="003351FF"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sz w:val="24"/>
          <w:szCs w:val="24"/>
          <w:vertAlign w:val="superscript"/>
        </w:rPr>
        <w:t>1</w:t>
      </w:r>
      <w:r w:rsidR="001E002E" w:rsidRPr="00BC779C">
        <w:rPr>
          <w:rFonts w:ascii="Times New Roman" w:hAnsi="Times New Roman" w:cs="Times New Roman"/>
          <w:sz w:val="24"/>
          <w:szCs w:val="24"/>
        </w:rPr>
        <w:t>School of Nutrition and Health Promotion, Arizona State University, Phoenix, AZ</w:t>
      </w:r>
    </w:p>
    <w:p w14:paraId="1B679D2B" w14:textId="4648BA12" w:rsidR="009F16FB" w:rsidRPr="00BC779C" w:rsidRDefault="003351FF"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sz w:val="24"/>
          <w:szCs w:val="24"/>
          <w:vertAlign w:val="superscript"/>
        </w:rPr>
        <w:t>2</w:t>
      </w:r>
      <w:r w:rsidR="009F16FB" w:rsidRPr="00BC779C">
        <w:rPr>
          <w:rFonts w:ascii="Times New Roman" w:hAnsi="Times New Roman" w:cs="Times New Roman"/>
          <w:sz w:val="24"/>
          <w:szCs w:val="24"/>
        </w:rPr>
        <w:t>Department of Nutrition Science, Purdue University, West Lafayette, IN</w:t>
      </w:r>
      <w:r w:rsidR="0046477D" w:rsidRPr="00BC779C">
        <w:rPr>
          <w:rFonts w:ascii="Times New Roman" w:hAnsi="Times New Roman" w:cs="Times New Roman"/>
          <w:sz w:val="24"/>
          <w:szCs w:val="24"/>
        </w:rPr>
        <w:t xml:space="preserve"> </w:t>
      </w:r>
    </w:p>
    <w:p w14:paraId="71053CA1" w14:textId="6371325E" w:rsidR="009F16FB" w:rsidRPr="00BC779C" w:rsidRDefault="003351FF"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sz w:val="24"/>
          <w:szCs w:val="24"/>
          <w:vertAlign w:val="superscript"/>
        </w:rPr>
        <w:t>3</w:t>
      </w:r>
      <w:r w:rsidR="009F16FB" w:rsidRPr="00BC779C">
        <w:rPr>
          <w:rFonts w:ascii="Times New Roman" w:hAnsi="Times New Roman" w:cs="Times New Roman"/>
          <w:sz w:val="24"/>
          <w:szCs w:val="24"/>
        </w:rPr>
        <w:t>Department of Agronomy, Purdue University, West Lafayette, IN</w:t>
      </w:r>
    </w:p>
    <w:p w14:paraId="70F3EDA9" w14:textId="00D8523D" w:rsidR="009F16FB" w:rsidRPr="00BC779C" w:rsidRDefault="003351FF"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sz w:val="24"/>
          <w:szCs w:val="24"/>
          <w:vertAlign w:val="superscript"/>
        </w:rPr>
        <w:t>4</w:t>
      </w:r>
      <w:r w:rsidR="009F16FB" w:rsidRPr="00BC779C">
        <w:rPr>
          <w:rFonts w:ascii="Times New Roman" w:hAnsi="Times New Roman" w:cs="Times New Roman"/>
          <w:sz w:val="24"/>
          <w:szCs w:val="24"/>
        </w:rPr>
        <w:t>Department of Statistics, Purdu</w:t>
      </w:r>
      <w:r w:rsidRPr="00BC779C">
        <w:rPr>
          <w:rFonts w:ascii="Times New Roman" w:hAnsi="Times New Roman" w:cs="Times New Roman"/>
          <w:sz w:val="24"/>
          <w:szCs w:val="24"/>
        </w:rPr>
        <w:t>e University, West Lafayette, IN</w:t>
      </w:r>
    </w:p>
    <w:p w14:paraId="58F1724A" w14:textId="77777777" w:rsidR="009F16FB" w:rsidRPr="00BC779C" w:rsidRDefault="009F16FB" w:rsidP="00A0346F">
      <w:pPr>
        <w:suppressLineNumbers/>
        <w:spacing w:after="0" w:line="240" w:lineRule="auto"/>
        <w:rPr>
          <w:rFonts w:ascii="Times New Roman" w:hAnsi="Times New Roman" w:cs="Times New Roman"/>
          <w:sz w:val="24"/>
          <w:szCs w:val="24"/>
        </w:rPr>
      </w:pPr>
    </w:p>
    <w:p w14:paraId="7CA905FB" w14:textId="381D07A3" w:rsidR="001D15AE" w:rsidRPr="00BC779C" w:rsidRDefault="008F734E"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b/>
          <w:sz w:val="24"/>
          <w:szCs w:val="24"/>
        </w:rPr>
        <w:t>Last Names for PubM</w:t>
      </w:r>
      <w:r w:rsidR="001D15AE" w:rsidRPr="00BC779C">
        <w:rPr>
          <w:rFonts w:ascii="Times New Roman" w:hAnsi="Times New Roman" w:cs="Times New Roman"/>
          <w:b/>
          <w:sz w:val="24"/>
          <w:szCs w:val="24"/>
        </w:rPr>
        <w:t>ed Indexing:</w:t>
      </w:r>
      <w:r w:rsidR="001D15AE" w:rsidRPr="00BC779C">
        <w:rPr>
          <w:rFonts w:ascii="Times New Roman" w:hAnsi="Times New Roman" w:cs="Times New Roman"/>
          <w:sz w:val="24"/>
          <w:szCs w:val="24"/>
        </w:rPr>
        <w:t xml:space="preserve"> </w:t>
      </w:r>
    </w:p>
    <w:p w14:paraId="5CD0FE42" w14:textId="0D9F5388" w:rsidR="001D15AE" w:rsidRPr="00BC779C" w:rsidRDefault="001D15AE"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sz w:val="24"/>
          <w:szCs w:val="24"/>
        </w:rPr>
        <w:t>Whisner, Martin, Nakatsu, Story, MacDonald-Clark</w:t>
      </w:r>
      <w:r w:rsidR="00034829">
        <w:rPr>
          <w:rFonts w:ascii="Times New Roman" w:hAnsi="Times New Roman" w:cs="Times New Roman"/>
          <w:sz w:val="24"/>
          <w:szCs w:val="24"/>
        </w:rPr>
        <w:t>e</w:t>
      </w:r>
      <w:r w:rsidRPr="00BC779C">
        <w:rPr>
          <w:rFonts w:ascii="Times New Roman" w:hAnsi="Times New Roman" w:cs="Times New Roman"/>
          <w:sz w:val="24"/>
          <w:szCs w:val="24"/>
        </w:rPr>
        <w:t>, McCabe, McCabe, Weaver</w:t>
      </w:r>
    </w:p>
    <w:p w14:paraId="650CDC7D" w14:textId="77777777" w:rsidR="00A204E6" w:rsidRPr="00BC779C" w:rsidRDefault="00A204E6" w:rsidP="00A0346F">
      <w:pPr>
        <w:suppressLineNumbers/>
        <w:spacing w:after="0" w:line="240" w:lineRule="auto"/>
        <w:rPr>
          <w:rFonts w:ascii="Times New Roman" w:hAnsi="Times New Roman" w:cs="Times New Roman"/>
          <w:b/>
          <w:sz w:val="24"/>
          <w:szCs w:val="24"/>
        </w:rPr>
      </w:pPr>
    </w:p>
    <w:p w14:paraId="6BBE8921" w14:textId="77777777" w:rsidR="00A204E6" w:rsidRPr="00BC779C" w:rsidRDefault="00A204E6" w:rsidP="00A0346F">
      <w:pPr>
        <w:suppressLineNumbers/>
        <w:spacing w:after="0" w:line="240" w:lineRule="auto"/>
        <w:rPr>
          <w:rFonts w:ascii="Times New Roman" w:hAnsi="Times New Roman" w:cs="Times New Roman"/>
          <w:b/>
          <w:sz w:val="24"/>
          <w:szCs w:val="24"/>
        </w:rPr>
      </w:pPr>
      <w:r w:rsidRPr="00BC779C">
        <w:rPr>
          <w:rFonts w:ascii="Times New Roman" w:hAnsi="Times New Roman" w:cs="Times New Roman"/>
          <w:b/>
          <w:sz w:val="24"/>
          <w:szCs w:val="24"/>
        </w:rPr>
        <w:t>Corresponding Author and Reprint Requests:</w:t>
      </w:r>
    </w:p>
    <w:p w14:paraId="079F9879" w14:textId="77777777" w:rsidR="00A204E6" w:rsidRPr="00BC779C" w:rsidRDefault="00A204E6"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sz w:val="24"/>
          <w:szCs w:val="24"/>
        </w:rPr>
        <w:t xml:space="preserve">Connie M Weaver </w:t>
      </w:r>
    </w:p>
    <w:p w14:paraId="10A91993" w14:textId="77777777" w:rsidR="00A204E6" w:rsidRPr="00BC779C" w:rsidRDefault="00A204E6"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sz w:val="24"/>
          <w:szCs w:val="24"/>
        </w:rPr>
        <w:t>Department of Nutrition Science, Purdue University, 700 W State St, West Lafayette, IN 47907</w:t>
      </w:r>
    </w:p>
    <w:p w14:paraId="18C0F79E" w14:textId="6DFEF8C1" w:rsidR="00A204E6" w:rsidRPr="00BC779C" w:rsidRDefault="004C17C5" w:rsidP="00A0346F">
      <w:pPr>
        <w:suppressLineNumbers/>
        <w:spacing w:after="0" w:line="240" w:lineRule="auto"/>
        <w:rPr>
          <w:rFonts w:ascii="Times New Roman" w:hAnsi="Times New Roman" w:cs="Times New Roman"/>
          <w:sz w:val="24"/>
          <w:szCs w:val="24"/>
          <w:lang w:val="fr-BE"/>
        </w:rPr>
      </w:pPr>
      <w:r w:rsidRPr="00BC779C">
        <w:rPr>
          <w:rFonts w:ascii="Times New Roman" w:hAnsi="Times New Roman" w:cs="Times New Roman"/>
          <w:sz w:val="24"/>
          <w:szCs w:val="24"/>
        </w:rPr>
        <w:t xml:space="preserve">Email: </w:t>
      </w:r>
      <w:hyperlink r:id="rId8" w:history="1">
        <w:r w:rsidR="00A204E6" w:rsidRPr="00BC779C">
          <w:rPr>
            <w:rStyle w:val="Hyperlink"/>
            <w:rFonts w:ascii="Times New Roman" w:hAnsi="Times New Roman"/>
            <w:sz w:val="24"/>
            <w:szCs w:val="24"/>
            <w:lang w:val="fr-BE"/>
          </w:rPr>
          <w:t>weavercm@purdue.edu</w:t>
        </w:r>
      </w:hyperlink>
      <w:r w:rsidRPr="00BC779C">
        <w:rPr>
          <w:rStyle w:val="Hyperlink"/>
          <w:rFonts w:ascii="Times New Roman" w:hAnsi="Times New Roman"/>
          <w:sz w:val="24"/>
          <w:szCs w:val="24"/>
          <w:lang w:val="fr-BE"/>
        </w:rPr>
        <w:t xml:space="preserve">, </w:t>
      </w:r>
      <w:r w:rsidR="00A204E6" w:rsidRPr="00BC779C">
        <w:rPr>
          <w:rFonts w:ascii="Times New Roman" w:hAnsi="Times New Roman" w:cs="Times New Roman"/>
          <w:sz w:val="24"/>
          <w:szCs w:val="24"/>
          <w:lang w:val="fr-BE"/>
        </w:rPr>
        <w:t>Phone: 765-494-8237</w:t>
      </w:r>
      <w:r w:rsidRPr="00BC779C">
        <w:rPr>
          <w:rFonts w:ascii="Times New Roman" w:hAnsi="Times New Roman" w:cs="Times New Roman"/>
          <w:sz w:val="24"/>
          <w:szCs w:val="24"/>
          <w:lang w:val="fr-BE"/>
        </w:rPr>
        <w:t xml:space="preserve">, </w:t>
      </w:r>
      <w:r w:rsidR="00A204E6" w:rsidRPr="00BC779C">
        <w:rPr>
          <w:rFonts w:ascii="Times New Roman" w:hAnsi="Times New Roman" w:cs="Times New Roman"/>
          <w:sz w:val="24"/>
          <w:szCs w:val="24"/>
          <w:lang w:val="fr-BE"/>
        </w:rPr>
        <w:t>Fax: (765) 494-0674</w:t>
      </w:r>
    </w:p>
    <w:p w14:paraId="27FB38CB" w14:textId="77777777" w:rsidR="00A204E6" w:rsidRPr="00BC779C" w:rsidRDefault="00A204E6" w:rsidP="00A0346F">
      <w:pPr>
        <w:suppressLineNumbers/>
        <w:spacing w:after="0" w:line="240" w:lineRule="auto"/>
        <w:rPr>
          <w:rFonts w:ascii="Times New Roman" w:hAnsi="Times New Roman" w:cs="Times New Roman"/>
          <w:sz w:val="24"/>
          <w:szCs w:val="24"/>
        </w:rPr>
      </w:pPr>
    </w:p>
    <w:p w14:paraId="67B60B5B" w14:textId="12830916" w:rsidR="003351FF" w:rsidRPr="00BC779C" w:rsidRDefault="003351FF"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b/>
          <w:sz w:val="24"/>
          <w:szCs w:val="24"/>
        </w:rPr>
        <w:t xml:space="preserve">Word Count (abstract through references): </w:t>
      </w:r>
      <w:r w:rsidR="006C714E" w:rsidRPr="00BC779C">
        <w:rPr>
          <w:rFonts w:ascii="Times New Roman" w:hAnsi="Times New Roman" w:cs="Times New Roman"/>
          <w:sz w:val="24"/>
          <w:szCs w:val="24"/>
        </w:rPr>
        <w:t>6550</w:t>
      </w:r>
    </w:p>
    <w:p w14:paraId="62A0E00D" w14:textId="642B1936" w:rsidR="003351FF" w:rsidRPr="00BC779C" w:rsidRDefault="003351FF"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b/>
          <w:sz w:val="24"/>
          <w:szCs w:val="24"/>
        </w:rPr>
        <w:t xml:space="preserve">Number of Figures: </w:t>
      </w:r>
      <w:r w:rsidR="00627EE8" w:rsidRPr="00BC779C">
        <w:rPr>
          <w:rFonts w:ascii="Times New Roman" w:hAnsi="Times New Roman" w:cs="Times New Roman"/>
          <w:sz w:val="24"/>
          <w:szCs w:val="24"/>
        </w:rPr>
        <w:t>5</w:t>
      </w:r>
    </w:p>
    <w:p w14:paraId="50C03999" w14:textId="3AA518C8" w:rsidR="003351FF" w:rsidRPr="00BC779C" w:rsidRDefault="003351FF"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b/>
          <w:sz w:val="24"/>
          <w:szCs w:val="24"/>
        </w:rPr>
        <w:t xml:space="preserve">Number of Tables: </w:t>
      </w:r>
      <w:r w:rsidRPr="00BC779C">
        <w:rPr>
          <w:rFonts w:ascii="Times New Roman" w:hAnsi="Times New Roman" w:cs="Times New Roman"/>
          <w:sz w:val="24"/>
          <w:szCs w:val="24"/>
        </w:rPr>
        <w:t>4</w:t>
      </w:r>
    </w:p>
    <w:p w14:paraId="5E706B8B" w14:textId="6BACFCBD" w:rsidR="001D15AE" w:rsidRPr="00BC779C" w:rsidRDefault="003351FF" w:rsidP="00A0346F">
      <w:pPr>
        <w:suppressLineNumbers/>
        <w:spacing w:after="0" w:line="240" w:lineRule="auto"/>
        <w:rPr>
          <w:rFonts w:ascii="Times New Roman" w:hAnsi="Times New Roman" w:cs="Times New Roman"/>
          <w:b/>
          <w:sz w:val="24"/>
          <w:szCs w:val="24"/>
        </w:rPr>
      </w:pPr>
      <w:r w:rsidRPr="00BC779C">
        <w:rPr>
          <w:rFonts w:ascii="Times New Roman" w:hAnsi="Times New Roman" w:cs="Times New Roman"/>
          <w:b/>
          <w:sz w:val="24"/>
          <w:szCs w:val="24"/>
        </w:rPr>
        <w:t>OSM Submitted:</w:t>
      </w:r>
      <w:r w:rsidRPr="00BC779C">
        <w:rPr>
          <w:rFonts w:ascii="Times New Roman" w:hAnsi="Times New Roman" w:cs="Times New Roman"/>
          <w:sz w:val="24"/>
          <w:szCs w:val="24"/>
        </w:rPr>
        <w:t xml:space="preserve"> </w:t>
      </w:r>
      <w:r w:rsidR="00FF27A4" w:rsidRPr="00BC779C">
        <w:rPr>
          <w:rFonts w:ascii="Times New Roman" w:hAnsi="Times New Roman" w:cs="Times New Roman"/>
          <w:sz w:val="24"/>
          <w:szCs w:val="24"/>
        </w:rPr>
        <w:t>1</w:t>
      </w:r>
      <w:r w:rsidR="00627EE8" w:rsidRPr="00BC779C">
        <w:rPr>
          <w:rFonts w:ascii="Times New Roman" w:hAnsi="Times New Roman" w:cs="Times New Roman"/>
          <w:sz w:val="24"/>
          <w:szCs w:val="24"/>
        </w:rPr>
        <w:t xml:space="preserve"> figure</w:t>
      </w:r>
    </w:p>
    <w:p w14:paraId="5796066F" w14:textId="06BADE61" w:rsidR="00A204E6" w:rsidRPr="00BC779C" w:rsidRDefault="00A204E6" w:rsidP="00A0346F">
      <w:pPr>
        <w:suppressLineNumbers/>
        <w:spacing w:after="0" w:line="240" w:lineRule="auto"/>
        <w:rPr>
          <w:rFonts w:ascii="Times New Roman" w:hAnsi="Times New Roman" w:cs="Times New Roman"/>
          <w:sz w:val="24"/>
          <w:szCs w:val="24"/>
        </w:rPr>
      </w:pPr>
      <w:r w:rsidRPr="00BC779C">
        <w:rPr>
          <w:rFonts w:ascii="Times New Roman" w:hAnsi="Times New Roman" w:cs="Times New Roman"/>
          <w:b/>
          <w:sz w:val="24"/>
          <w:szCs w:val="24"/>
        </w:rPr>
        <w:t xml:space="preserve">Running Title: </w:t>
      </w:r>
      <w:r w:rsidR="00C96982" w:rsidRPr="00BC779C">
        <w:rPr>
          <w:rFonts w:ascii="Times New Roman" w:hAnsi="Times New Roman" w:cs="Times New Roman"/>
          <w:sz w:val="24"/>
          <w:szCs w:val="24"/>
        </w:rPr>
        <w:t>F</w:t>
      </w:r>
      <w:r w:rsidR="00F37CC0" w:rsidRPr="00BC779C">
        <w:rPr>
          <w:rFonts w:ascii="Times New Roman" w:hAnsi="Times New Roman" w:cs="Times New Roman"/>
          <w:sz w:val="24"/>
          <w:szCs w:val="24"/>
        </w:rPr>
        <w:t xml:space="preserve">iber and teen </w:t>
      </w:r>
      <w:r w:rsidR="00C96982" w:rsidRPr="00BC779C">
        <w:rPr>
          <w:rFonts w:ascii="Times New Roman" w:hAnsi="Times New Roman" w:cs="Times New Roman"/>
          <w:sz w:val="24"/>
          <w:szCs w:val="24"/>
        </w:rPr>
        <w:t xml:space="preserve">calcium absorption </w:t>
      </w:r>
      <w:r w:rsidR="00F37CC0" w:rsidRPr="00BC779C">
        <w:rPr>
          <w:rFonts w:ascii="Times New Roman" w:hAnsi="Times New Roman" w:cs="Times New Roman"/>
          <w:sz w:val="24"/>
          <w:szCs w:val="24"/>
        </w:rPr>
        <w:t>efficacy trial</w:t>
      </w:r>
    </w:p>
    <w:p w14:paraId="2E80CE06" w14:textId="77777777" w:rsidR="00A204E6" w:rsidRPr="00BC779C" w:rsidRDefault="00A204E6" w:rsidP="00A0346F">
      <w:pPr>
        <w:suppressLineNumbers/>
        <w:spacing w:after="0" w:line="240" w:lineRule="auto"/>
        <w:rPr>
          <w:rFonts w:ascii="Times New Roman" w:hAnsi="Times New Roman" w:cs="Times New Roman"/>
          <w:b/>
          <w:sz w:val="24"/>
          <w:szCs w:val="24"/>
        </w:rPr>
      </w:pPr>
      <w:r w:rsidRPr="00BC779C">
        <w:rPr>
          <w:rFonts w:ascii="Times New Roman" w:hAnsi="Times New Roman" w:cs="Times New Roman"/>
          <w:b/>
          <w:sz w:val="24"/>
          <w:szCs w:val="24"/>
        </w:rPr>
        <w:t>Footnotes:</w:t>
      </w:r>
    </w:p>
    <w:p w14:paraId="26EEADD2" w14:textId="1E6C9246" w:rsidR="008F734E" w:rsidRPr="00BC779C" w:rsidRDefault="008F734E" w:rsidP="00A0346F">
      <w:pPr>
        <w:suppressLineNumbers/>
        <w:spacing w:after="0" w:line="240" w:lineRule="auto"/>
        <w:ind w:left="720"/>
        <w:rPr>
          <w:rFonts w:ascii="Times New Roman" w:hAnsi="Times New Roman" w:cs="Times New Roman"/>
          <w:b/>
          <w:sz w:val="24"/>
          <w:szCs w:val="24"/>
        </w:rPr>
      </w:pPr>
      <w:r w:rsidRPr="00BC779C">
        <w:rPr>
          <w:rFonts w:ascii="Times New Roman" w:hAnsi="Times New Roman" w:cs="Times New Roman"/>
          <w:b/>
          <w:sz w:val="24"/>
          <w:szCs w:val="24"/>
        </w:rPr>
        <w:t>Abbreviations:</w:t>
      </w:r>
    </w:p>
    <w:p w14:paraId="401437A5" w14:textId="77777777" w:rsidR="00F37CC0" w:rsidRPr="00BC779C" w:rsidRDefault="00F37CC0"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BAP – bone alkaline phosphatase</w:t>
      </w:r>
    </w:p>
    <w:p w14:paraId="03D1D273" w14:textId="0D649A27" w:rsidR="00F37CC0" w:rsidRPr="00BC779C" w:rsidRDefault="00F37CC0"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BMC – bone mineral content</w:t>
      </w:r>
    </w:p>
    <w:p w14:paraId="657089A5" w14:textId="62A787BC" w:rsidR="008F734E" w:rsidRPr="00BC779C" w:rsidRDefault="008F734E"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BMD – bone mineral density</w:t>
      </w:r>
    </w:p>
    <w:p w14:paraId="500F2C7C" w14:textId="712A6E2E" w:rsidR="00F37CC0" w:rsidRPr="00BC779C" w:rsidRDefault="00F37CC0"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Ca - calcium</w:t>
      </w:r>
    </w:p>
    <w:p w14:paraId="3AB188AC" w14:textId="546F2E6A" w:rsidR="008F734E" w:rsidRPr="00BC779C" w:rsidRDefault="008F734E"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DEXA – dual energy x-ray absorptiometry</w:t>
      </w:r>
    </w:p>
    <w:p w14:paraId="25F9506F" w14:textId="3D46C4B4" w:rsidR="004701BE" w:rsidRPr="00BC779C" w:rsidRDefault="004701BE"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EAR – estimated average requirement</w:t>
      </w:r>
    </w:p>
    <w:p w14:paraId="00DF7152" w14:textId="3FDCB890" w:rsidR="004701BE" w:rsidRPr="00BC779C" w:rsidRDefault="00CA0C5F" w:rsidP="004701BE">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FxABS – fractional calcium absorption</w:t>
      </w:r>
    </w:p>
    <w:p w14:paraId="29C4DDEA" w14:textId="27CCBF9A" w:rsidR="007659B0" w:rsidRPr="00BC779C" w:rsidRDefault="007659B0"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NTX/Cre – N-telopeptides of collagen cross links corrected for urinary creatinine</w:t>
      </w:r>
    </w:p>
    <w:p w14:paraId="6A8BE93C" w14:textId="6550A01B" w:rsidR="007659B0" w:rsidRPr="00BC779C" w:rsidRDefault="007659B0"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OC – osteocalcin</w:t>
      </w:r>
    </w:p>
    <w:p w14:paraId="59452949" w14:textId="17426353" w:rsidR="0020506F" w:rsidRPr="00BC779C" w:rsidRDefault="0020506F"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OUT – operational taxonomic unit</w:t>
      </w:r>
    </w:p>
    <w:p w14:paraId="5767858F" w14:textId="2FF41E91" w:rsidR="004C17C5" w:rsidRPr="00BC779C" w:rsidRDefault="004C17C5"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PTH – parathyroid hormone</w:t>
      </w:r>
    </w:p>
    <w:p w14:paraId="1CA99053" w14:textId="62E1C682" w:rsidR="005840BF" w:rsidRPr="00BC779C" w:rsidRDefault="005840BF"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rRNA – ribosomal ribonucleic acid</w:t>
      </w:r>
    </w:p>
    <w:p w14:paraId="39B28A3A" w14:textId="77777777" w:rsidR="008F734E" w:rsidRPr="00BC779C" w:rsidRDefault="008F734E"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SCF – soluble corn fiber</w:t>
      </w:r>
    </w:p>
    <w:p w14:paraId="31603F75" w14:textId="329FF27C" w:rsidR="008F734E" w:rsidRPr="00BC779C" w:rsidRDefault="008F734E" w:rsidP="00A0346F">
      <w:pPr>
        <w:suppressLineNumbers/>
        <w:spacing w:after="0" w:line="240" w:lineRule="auto"/>
        <w:ind w:left="1440"/>
        <w:rPr>
          <w:rFonts w:ascii="Times New Roman" w:hAnsi="Times New Roman" w:cs="Times New Roman"/>
          <w:sz w:val="24"/>
          <w:szCs w:val="24"/>
        </w:rPr>
      </w:pPr>
      <w:r w:rsidRPr="00BC779C">
        <w:rPr>
          <w:rFonts w:ascii="Times New Roman" w:hAnsi="Times New Roman" w:cs="Times New Roman"/>
          <w:sz w:val="24"/>
          <w:szCs w:val="24"/>
        </w:rPr>
        <w:t>SCFA</w:t>
      </w:r>
      <w:r w:rsidR="00E42957" w:rsidRPr="00BC779C">
        <w:rPr>
          <w:rFonts w:ascii="Times New Roman" w:hAnsi="Times New Roman" w:cs="Times New Roman"/>
          <w:sz w:val="24"/>
          <w:szCs w:val="24"/>
        </w:rPr>
        <w:t xml:space="preserve"> – short chain fatty acid</w:t>
      </w:r>
    </w:p>
    <w:p w14:paraId="1282BF7D" w14:textId="77777777" w:rsidR="00FF27A4" w:rsidRPr="00BC779C" w:rsidRDefault="00FF27A4" w:rsidP="00A0346F">
      <w:pPr>
        <w:suppressLineNumbers/>
        <w:spacing w:after="0" w:line="240" w:lineRule="auto"/>
        <w:ind w:left="720"/>
        <w:rPr>
          <w:rFonts w:ascii="Times New Roman" w:hAnsi="Times New Roman" w:cs="Times New Roman"/>
          <w:b/>
          <w:sz w:val="24"/>
          <w:szCs w:val="24"/>
        </w:rPr>
      </w:pPr>
      <w:r w:rsidRPr="00BC779C">
        <w:rPr>
          <w:rFonts w:ascii="Times New Roman" w:hAnsi="Times New Roman" w:cs="Times New Roman"/>
          <w:b/>
          <w:sz w:val="24"/>
          <w:szCs w:val="24"/>
        </w:rPr>
        <w:t xml:space="preserve">Source of Support: </w:t>
      </w:r>
      <w:r w:rsidRPr="00BC779C">
        <w:rPr>
          <w:rFonts w:ascii="Times New Roman" w:hAnsi="Times New Roman" w:cs="Times New Roman"/>
          <w:sz w:val="24"/>
          <w:szCs w:val="24"/>
        </w:rPr>
        <w:t>Tate &amp; Lyle Ingredients Americas LLC</w:t>
      </w:r>
      <w:r w:rsidRPr="00BC779C">
        <w:rPr>
          <w:rFonts w:ascii="Times New Roman" w:hAnsi="Times New Roman" w:cs="Times New Roman"/>
          <w:b/>
          <w:sz w:val="24"/>
          <w:szCs w:val="24"/>
        </w:rPr>
        <w:t xml:space="preserve"> </w:t>
      </w:r>
    </w:p>
    <w:p w14:paraId="4B0F5003" w14:textId="3CF8DCAD" w:rsidR="00A204E6" w:rsidRPr="00BC779C" w:rsidRDefault="00A204E6" w:rsidP="00A0346F">
      <w:pPr>
        <w:suppressLineNumbers/>
        <w:spacing w:after="0" w:line="240" w:lineRule="auto"/>
        <w:ind w:left="720"/>
        <w:rPr>
          <w:rFonts w:ascii="Times New Roman" w:hAnsi="Times New Roman" w:cs="Times New Roman"/>
          <w:sz w:val="24"/>
          <w:szCs w:val="24"/>
        </w:rPr>
      </w:pPr>
      <w:r w:rsidRPr="00BC779C">
        <w:rPr>
          <w:rFonts w:ascii="Times New Roman" w:hAnsi="Times New Roman" w:cs="Times New Roman"/>
          <w:b/>
          <w:sz w:val="24"/>
          <w:szCs w:val="24"/>
        </w:rPr>
        <w:t>Conflicts of Interest</w:t>
      </w:r>
      <w:r w:rsidR="00E25F03" w:rsidRPr="00BC779C">
        <w:rPr>
          <w:rFonts w:ascii="Times New Roman" w:hAnsi="Times New Roman" w:cs="Times New Roman"/>
          <w:b/>
          <w:sz w:val="24"/>
          <w:szCs w:val="24"/>
        </w:rPr>
        <w:t xml:space="preserve"> and Disclosures</w:t>
      </w:r>
      <w:r w:rsidRPr="00BC779C">
        <w:rPr>
          <w:rFonts w:ascii="Times New Roman" w:hAnsi="Times New Roman" w:cs="Times New Roman"/>
          <w:b/>
          <w:sz w:val="24"/>
          <w:szCs w:val="24"/>
        </w:rPr>
        <w:t xml:space="preserve">: </w:t>
      </w:r>
      <w:r w:rsidRPr="00BC779C">
        <w:rPr>
          <w:rFonts w:ascii="Times New Roman" w:hAnsi="Times New Roman" w:cs="Times New Roman"/>
          <w:sz w:val="24"/>
          <w:szCs w:val="24"/>
        </w:rPr>
        <w:t xml:space="preserve">Connie M Weaver is an </w:t>
      </w:r>
      <w:r w:rsidR="00D54207" w:rsidRPr="00BC779C">
        <w:rPr>
          <w:rFonts w:ascii="Times New Roman" w:hAnsi="Times New Roman" w:cs="Times New Roman"/>
          <w:sz w:val="24"/>
          <w:szCs w:val="24"/>
        </w:rPr>
        <w:t>A</w:t>
      </w:r>
      <w:r w:rsidRPr="00BC779C">
        <w:rPr>
          <w:rFonts w:ascii="Times New Roman" w:hAnsi="Times New Roman" w:cs="Times New Roman"/>
          <w:sz w:val="24"/>
          <w:szCs w:val="24"/>
        </w:rPr>
        <w:t xml:space="preserve">dvisory </w:t>
      </w:r>
      <w:r w:rsidR="00D54207" w:rsidRPr="00BC779C">
        <w:rPr>
          <w:rFonts w:ascii="Times New Roman" w:hAnsi="Times New Roman" w:cs="Times New Roman"/>
          <w:sz w:val="24"/>
          <w:szCs w:val="24"/>
        </w:rPr>
        <w:t>B</w:t>
      </w:r>
      <w:r w:rsidRPr="00BC779C">
        <w:rPr>
          <w:rFonts w:ascii="Times New Roman" w:hAnsi="Times New Roman" w:cs="Times New Roman"/>
          <w:sz w:val="24"/>
          <w:szCs w:val="24"/>
        </w:rPr>
        <w:t xml:space="preserve">oard </w:t>
      </w:r>
      <w:r w:rsidR="00D54207" w:rsidRPr="00BC779C">
        <w:rPr>
          <w:rFonts w:ascii="Times New Roman" w:hAnsi="Times New Roman" w:cs="Times New Roman"/>
          <w:sz w:val="24"/>
          <w:szCs w:val="24"/>
        </w:rPr>
        <w:t>M</w:t>
      </w:r>
      <w:r w:rsidRPr="00BC779C">
        <w:rPr>
          <w:rFonts w:ascii="Times New Roman" w:hAnsi="Times New Roman" w:cs="Times New Roman"/>
          <w:sz w:val="24"/>
          <w:szCs w:val="24"/>
        </w:rPr>
        <w:t>ember for Pharmavite; all remaining authors have no conflicts of interest to declare</w:t>
      </w:r>
    </w:p>
    <w:p w14:paraId="5E2DD7FE" w14:textId="1B8E4A0D" w:rsidR="00FF27A4" w:rsidRPr="00BC779C" w:rsidRDefault="00FF27A4" w:rsidP="00A0346F">
      <w:pPr>
        <w:suppressLineNumbers/>
        <w:spacing w:after="0" w:line="240" w:lineRule="auto"/>
        <w:ind w:left="720"/>
        <w:rPr>
          <w:rFonts w:ascii="Times New Roman" w:hAnsi="Times New Roman" w:cs="Times New Roman"/>
          <w:sz w:val="24"/>
          <w:szCs w:val="24"/>
        </w:rPr>
      </w:pPr>
      <w:r w:rsidRPr="00BC779C">
        <w:rPr>
          <w:rFonts w:ascii="Times New Roman" w:hAnsi="Times New Roman" w:cs="Times New Roman"/>
          <w:b/>
          <w:sz w:val="24"/>
          <w:szCs w:val="24"/>
        </w:rPr>
        <w:t>Online Supporting Material:</w:t>
      </w:r>
      <w:r w:rsidRPr="00BC779C">
        <w:rPr>
          <w:rFonts w:ascii="Times New Roman" w:hAnsi="Times New Roman" w:cs="Times New Roman"/>
          <w:sz w:val="24"/>
          <w:szCs w:val="24"/>
        </w:rPr>
        <w:t xml:space="preserve"> Supplemental </w:t>
      </w:r>
      <w:r w:rsidR="00627EE8" w:rsidRPr="00BC779C">
        <w:rPr>
          <w:rFonts w:ascii="Times New Roman" w:hAnsi="Times New Roman" w:cs="Times New Roman"/>
          <w:sz w:val="24"/>
          <w:szCs w:val="24"/>
        </w:rPr>
        <w:t>Figur</w:t>
      </w:r>
      <w:r w:rsidRPr="00BC779C">
        <w:rPr>
          <w:rFonts w:ascii="Times New Roman" w:hAnsi="Times New Roman" w:cs="Times New Roman"/>
          <w:sz w:val="24"/>
          <w:szCs w:val="24"/>
        </w:rPr>
        <w:t xml:space="preserve">e 1 is available from the “Online Supporting Material” link in the online posting of the article and from the same link in the online table of contents at </w:t>
      </w:r>
      <w:hyperlink r:id="rId9" w:tooltip="http://jn.nutrition.org/" w:history="1">
        <w:r w:rsidRPr="00BC779C">
          <w:rPr>
            <w:rStyle w:val="Hyperlink"/>
            <w:rFonts w:ascii="Times New Roman" w:hAnsi="Times New Roman"/>
            <w:sz w:val="24"/>
            <w:szCs w:val="24"/>
          </w:rPr>
          <w:t>jn.nutrition.org</w:t>
        </w:r>
      </w:hyperlink>
      <w:r w:rsidRPr="00BC779C">
        <w:rPr>
          <w:rFonts w:ascii="Times New Roman" w:hAnsi="Times New Roman" w:cs="Times New Roman"/>
          <w:sz w:val="24"/>
          <w:szCs w:val="24"/>
        </w:rPr>
        <w:t>.</w:t>
      </w:r>
    </w:p>
    <w:p w14:paraId="17F36270" w14:textId="540B0435" w:rsidR="001002B9" w:rsidRPr="00BC779C" w:rsidRDefault="00A204E6" w:rsidP="00D12A80">
      <w:pPr>
        <w:spacing w:after="100" w:afterAutospacing="1" w:line="480" w:lineRule="auto"/>
        <w:rPr>
          <w:rFonts w:ascii="Times New Roman" w:hAnsi="Times New Roman" w:cs="Times New Roman"/>
          <w:b/>
          <w:sz w:val="24"/>
          <w:szCs w:val="24"/>
        </w:rPr>
      </w:pPr>
      <w:r w:rsidRPr="00BC779C">
        <w:rPr>
          <w:rFonts w:ascii="Times New Roman" w:hAnsi="Times New Roman" w:cs="Times New Roman"/>
          <w:b/>
          <w:sz w:val="24"/>
          <w:szCs w:val="24"/>
        </w:rPr>
        <w:lastRenderedPageBreak/>
        <w:t>A</w:t>
      </w:r>
      <w:r w:rsidR="001002B9" w:rsidRPr="00BC779C">
        <w:rPr>
          <w:rFonts w:ascii="Times New Roman" w:hAnsi="Times New Roman" w:cs="Times New Roman"/>
          <w:b/>
          <w:sz w:val="24"/>
          <w:szCs w:val="24"/>
        </w:rPr>
        <w:t>BSTRACT</w:t>
      </w:r>
    </w:p>
    <w:p w14:paraId="424CD694" w14:textId="2E3F23DB" w:rsidR="00F035A6" w:rsidRPr="00BC779C" w:rsidRDefault="00F035A6" w:rsidP="00D12A80">
      <w:pPr>
        <w:spacing w:after="100" w:afterAutospacing="1" w:line="480" w:lineRule="auto"/>
        <w:rPr>
          <w:rFonts w:ascii="Times New Roman" w:hAnsi="Times New Roman" w:cs="Times New Roman"/>
          <w:sz w:val="24"/>
          <w:szCs w:val="24"/>
        </w:rPr>
      </w:pPr>
      <w:r w:rsidRPr="00BC779C">
        <w:rPr>
          <w:rFonts w:ascii="Times New Roman" w:hAnsi="Times New Roman" w:cs="Times New Roman"/>
          <w:b/>
          <w:sz w:val="24"/>
          <w:szCs w:val="24"/>
        </w:rPr>
        <w:t>Background:</w:t>
      </w:r>
      <w:r w:rsidRPr="00BC779C">
        <w:rPr>
          <w:rFonts w:ascii="Times New Roman" w:hAnsi="Times New Roman" w:cs="Times New Roman"/>
          <w:sz w:val="24"/>
          <w:szCs w:val="24"/>
        </w:rPr>
        <w:t xml:space="preserve"> </w:t>
      </w:r>
      <w:r w:rsidR="00B25F8C" w:rsidRPr="00BC779C">
        <w:rPr>
          <w:rFonts w:ascii="Times New Roman" w:hAnsi="Times New Roman" w:cs="Times New Roman"/>
          <w:sz w:val="24"/>
          <w:szCs w:val="24"/>
        </w:rPr>
        <w:t>S</w:t>
      </w:r>
      <w:r w:rsidR="00D604FE" w:rsidRPr="00BC779C">
        <w:rPr>
          <w:rFonts w:ascii="Times New Roman" w:hAnsi="Times New Roman" w:cs="Times New Roman"/>
          <w:sz w:val="24"/>
          <w:szCs w:val="24"/>
        </w:rPr>
        <w:t>oluble corn fiber (SCF</w:t>
      </w:r>
      <w:r w:rsidR="006A0EB4" w:rsidRPr="00BC779C">
        <w:rPr>
          <w:rFonts w:ascii="Times New Roman" w:hAnsi="Times New Roman" w:cs="Times New Roman"/>
          <w:sz w:val="24"/>
          <w:szCs w:val="24"/>
        </w:rPr>
        <w:t>, 12 g</w:t>
      </w:r>
      <w:r w:rsidR="008362E6" w:rsidRPr="00BC779C">
        <w:rPr>
          <w:rFonts w:ascii="Times New Roman" w:hAnsi="Times New Roman" w:cs="Times New Roman"/>
          <w:sz w:val="24"/>
          <w:szCs w:val="24"/>
        </w:rPr>
        <w:t>/d fiber</w:t>
      </w:r>
      <w:r w:rsidR="00D604FE" w:rsidRPr="00BC779C">
        <w:rPr>
          <w:rFonts w:ascii="Times New Roman" w:hAnsi="Times New Roman" w:cs="Times New Roman"/>
          <w:sz w:val="24"/>
          <w:szCs w:val="24"/>
        </w:rPr>
        <w:t>)</w:t>
      </w:r>
      <w:r w:rsidR="00FA38F0" w:rsidRPr="00BC779C">
        <w:rPr>
          <w:rFonts w:ascii="Times New Roman" w:hAnsi="Times New Roman" w:cs="Times New Roman"/>
          <w:sz w:val="24"/>
          <w:szCs w:val="24"/>
        </w:rPr>
        <w:t xml:space="preserve"> </w:t>
      </w:r>
      <w:r w:rsidR="00F37CC0" w:rsidRPr="00BC779C">
        <w:rPr>
          <w:rFonts w:ascii="Times New Roman" w:hAnsi="Times New Roman" w:cs="Times New Roman"/>
          <w:sz w:val="24"/>
          <w:szCs w:val="24"/>
        </w:rPr>
        <w:t>has been shown to increase calcium</w:t>
      </w:r>
      <w:r w:rsidR="00C80428" w:rsidRPr="00BC779C">
        <w:rPr>
          <w:rFonts w:ascii="Times New Roman" w:hAnsi="Times New Roman" w:cs="Times New Roman"/>
          <w:sz w:val="24"/>
          <w:szCs w:val="24"/>
        </w:rPr>
        <w:t xml:space="preserve"> </w:t>
      </w:r>
      <w:r w:rsidR="00F37CC0" w:rsidRPr="00BC779C">
        <w:rPr>
          <w:rFonts w:ascii="Times New Roman" w:hAnsi="Times New Roman" w:cs="Times New Roman"/>
          <w:sz w:val="24"/>
          <w:szCs w:val="24"/>
        </w:rPr>
        <w:t>abs</w:t>
      </w:r>
      <w:r w:rsidR="00FA38F0" w:rsidRPr="00BC779C">
        <w:rPr>
          <w:rFonts w:ascii="Times New Roman" w:hAnsi="Times New Roman" w:cs="Times New Roman"/>
          <w:sz w:val="24"/>
          <w:szCs w:val="24"/>
        </w:rPr>
        <w:t>orption efficiency</w:t>
      </w:r>
      <w:r w:rsidR="00F37CC0" w:rsidRPr="00BC779C">
        <w:rPr>
          <w:rFonts w:ascii="Times New Roman" w:hAnsi="Times New Roman" w:cs="Times New Roman"/>
          <w:sz w:val="24"/>
          <w:szCs w:val="24"/>
        </w:rPr>
        <w:t>,</w:t>
      </w:r>
      <w:r w:rsidR="006A0EB4" w:rsidRPr="00BC779C">
        <w:rPr>
          <w:rFonts w:ascii="Times New Roman" w:hAnsi="Times New Roman" w:cs="Times New Roman"/>
          <w:sz w:val="24"/>
          <w:szCs w:val="24"/>
        </w:rPr>
        <w:t xml:space="preserve"> associated with shifts in gut microbiota in adolescent boys and girls </w:t>
      </w:r>
      <w:r w:rsidR="0020459B" w:rsidRPr="00BC779C">
        <w:rPr>
          <w:rFonts w:ascii="Times New Roman" w:hAnsi="Times New Roman" w:cs="Times New Roman"/>
          <w:sz w:val="24"/>
          <w:szCs w:val="24"/>
        </w:rPr>
        <w:t xml:space="preserve">participating </w:t>
      </w:r>
      <w:r w:rsidR="00B25F8C" w:rsidRPr="00BC779C">
        <w:rPr>
          <w:rFonts w:ascii="Times New Roman" w:hAnsi="Times New Roman" w:cs="Times New Roman"/>
          <w:sz w:val="24"/>
          <w:szCs w:val="24"/>
        </w:rPr>
        <w:t>in a controlled feeding study.</w:t>
      </w:r>
    </w:p>
    <w:p w14:paraId="37EE8B45" w14:textId="00A20278" w:rsidR="00F035A6" w:rsidRPr="00BC779C" w:rsidRDefault="00F035A6" w:rsidP="00D12A80">
      <w:pPr>
        <w:spacing w:after="100" w:afterAutospacing="1" w:line="480" w:lineRule="auto"/>
        <w:rPr>
          <w:rFonts w:ascii="Times New Roman" w:hAnsi="Times New Roman" w:cs="Times New Roman"/>
          <w:sz w:val="24"/>
          <w:szCs w:val="24"/>
        </w:rPr>
      </w:pPr>
      <w:r w:rsidRPr="00BC779C">
        <w:rPr>
          <w:rFonts w:ascii="Times New Roman" w:hAnsi="Times New Roman" w:cs="Times New Roman"/>
          <w:b/>
          <w:sz w:val="24"/>
          <w:szCs w:val="24"/>
        </w:rPr>
        <w:t>Objective:</w:t>
      </w:r>
      <w:r w:rsidRPr="00BC779C">
        <w:rPr>
          <w:rFonts w:ascii="Times New Roman" w:hAnsi="Times New Roman" w:cs="Times New Roman"/>
          <w:sz w:val="24"/>
          <w:szCs w:val="24"/>
        </w:rPr>
        <w:t xml:space="preserve"> </w:t>
      </w:r>
      <w:r w:rsidR="009D7889" w:rsidRPr="00BC779C">
        <w:rPr>
          <w:rFonts w:ascii="Times New Roman" w:hAnsi="Times New Roman" w:cs="Times New Roman"/>
          <w:sz w:val="24"/>
          <w:szCs w:val="24"/>
        </w:rPr>
        <w:t>Study goals</w:t>
      </w:r>
      <w:r w:rsidR="001002B9" w:rsidRPr="00BC779C">
        <w:rPr>
          <w:rFonts w:ascii="Times New Roman" w:hAnsi="Times New Roman" w:cs="Times New Roman"/>
          <w:sz w:val="24"/>
          <w:szCs w:val="24"/>
        </w:rPr>
        <w:t xml:space="preserve"> </w:t>
      </w:r>
      <w:r w:rsidR="00D604FE" w:rsidRPr="00BC779C">
        <w:rPr>
          <w:rFonts w:ascii="Times New Roman" w:hAnsi="Times New Roman" w:cs="Times New Roman"/>
          <w:sz w:val="24"/>
          <w:szCs w:val="24"/>
        </w:rPr>
        <w:t>w</w:t>
      </w:r>
      <w:r w:rsidR="002674D9" w:rsidRPr="00BC779C">
        <w:rPr>
          <w:rFonts w:ascii="Times New Roman" w:hAnsi="Times New Roman" w:cs="Times New Roman"/>
          <w:sz w:val="24"/>
          <w:szCs w:val="24"/>
        </w:rPr>
        <w:t>ere</w:t>
      </w:r>
      <w:r w:rsidR="00D604FE" w:rsidRPr="00BC779C">
        <w:rPr>
          <w:rFonts w:ascii="Times New Roman" w:hAnsi="Times New Roman" w:cs="Times New Roman"/>
          <w:sz w:val="24"/>
          <w:szCs w:val="24"/>
        </w:rPr>
        <w:t xml:space="preserve"> </w:t>
      </w:r>
      <w:r w:rsidR="001002B9" w:rsidRPr="00BC779C">
        <w:rPr>
          <w:rFonts w:ascii="Times New Roman" w:hAnsi="Times New Roman" w:cs="Times New Roman"/>
          <w:sz w:val="24"/>
          <w:szCs w:val="24"/>
        </w:rPr>
        <w:t>to evaluate the dose response</w:t>
      </w:r>
      <w:r w:rsidR="008362E6" w:rsidRPr="00BC779C">
        <w:rPr>
          <w:rFonts w:ascii="Times New Roman" w:hAnsi="Times New Roman" w:cs="Times New Roman"/>
          <w:sz w:val="24"/>
          <w:szCs w:val="24"/>
        </w:rPr>
        <w:t xml:space="preserve"> of </w:t>
      </w:r>
      <w:r w:rsidR="002E7276" w:rsidRPr="00BC779C">
        <w:rPr>
          <w:rFonts w:ascii="Times New Roman" w:hAnsi="Times New Roman" w:cs="Times New Roman"/>
          <w:sz w:val="24"/>
          <w:szCs w:val="24"/>
        </w:rPr>
        <w:t>0,</w:t>
      </w:r>
      <w:r w:rsidR="00453FF2" w:rsidRPr="00BC779C">
        <w:rPr>
          <w:rFonts w:ascii="Times New Roman" w:hAnsi="Times New Roman" w:cs="Times New Roman"/>
          <w:sz w:val="24"/>
          <w:szCs w:val="24"/>
        </w:rPr>
        <w:t xml:space="preserve"> </w:t>
      </w:r>
      <w:r w:rsidR="002E7276" w:rsidRPr="00BC779C">
        <w:rPr>
          <w:rFonts w:ascii="Times New Roman" w:hAnsi="Times New Roman" w:cs="Times New Roman"/>
          <w:sz w:val="24"/>
          <w:szCs w:val="24"/>
        </w:rPr>
        <w:t>10,</w:t>
      </w:r>
      <w:r w:rsidR="00453FF2" w:rsidRPr="00BC779C">
        <w:rPr>
          <w:rFonts w:ascii="Times New Roman" w:hAnsi="Times New Roman" w:cs="Times New Roman"/>
          <w:sz w:val="24"/>
          <w:szCs w:val="24"/>
        </w:rPr>
        <w:t xml:space="preserve"> </w:t>
      </w:r>
      <w:r w:rsidR="002E7276" w:rsidRPr="00BC779C">
        <w:rPr>
          <w:rFonts w:ascii="Times New Roman" w:hAnsi="Times New Roman" w:cs="Times New Roman"/>
          <w:sz w:val="24"/>
          <w:szCs w:val="24"/>
        </w:rPr>
        <w:t>20 g</w:t>
      </w:r>
      <w:r w:rsidR="000C0CFD" w:rsidRPr="00BC779C">
        <w:rPr>
          <w:rFonts w:ascii="Times New Roman" w:hAnsi="Times New Roman" w:cs="Times New Roman"/>
          <w:sz w:val="24"/>
          <w:szCs w:val="24"/>
        </w:rPr>
        <w:t xml:space="preserve"> fiber/d </w:t>
      </w:r>
      <w:r w:rsidR="008362E6" w:rsidRPr="00BC779C">
        <w:rPr>
          <w:rFonts w:ascii="Times New Roman" w:hAnsi="Times New Roman" w:cs="Times New Roman"/>
          <w:sz w:val="24"/>
          <w:szCs w:val="24"/>
        </w:rPr>
        <w:t>delivered via</w:t>
      </w:r>
      <w:r w:rsidR="003810B3" w:rsidRPr="00BC779C">
        <w:rPr>
          <w:rFonts w:ascii="Times New Roman" w:hAnsi="Times New Roman" w:cs="Times New Roman"/>
          <w:sz w:val="24"/>
          <w:szCs w:val="24"/>
        </w:rPr>
        <w:t xml:space="preserve"> </w:t>
      </w:r>
      <w:r w:rsidR="00453FF2" w:rsidRPr="00BC779C">
        <w:rPr>
          <w:rFonts w:ascii="Times New Roman" w:hAnsi="Times New Roman" w:cs="Times New Roman"/>
          <w:sz w:val="24"/>
          <w:szCs w:val="24"/>
          <w:lang w:val="en-IE"/>
        </w:rPr>
        <w:t>PROMITOR</w:t>
      </w:r>
      <w:r w:rsidR="00453FF2" w:rsidRPr="00BC779C">
        <w:rPr>
          <w:rFonts w:ascii="Times New Roman" w:hAnsi="Times New Roman" w:cs="Times New Roman"/>
          <w:sz w:val="24"/>
          <w:szCs w:val="24"/>
          <w:vertAlign w:val="superscript"/>
          <w:lang w:val="en-IE"/>
        </w:rPr>
        <w:t>®</w:t>
      </w:r>
      <w:r w:rsidR="00453FF2" w:rsidRPr="00BC779C">
        <w:rPr>
          <w:rFonts w:ascii="Times New Roman" w:hAnsi="Times New Roman" w:cs="Times New Roman"/>
          <w:sz w:val="24"/>
          <w:szCs w:val="24"/>
          <w:lang w:val="en-IE"/>
        </w:rPr>
        <w:t xml:space="preserve"> </w:t>
      </w:r>
      <w:r w:rsidR="003810B3" w:rsidRPr="00BC779C">
        <w:rPr>
          <w:rFonts w:ascii="Times New Roman" w:hAnsi="Times New Roman" w:cs="Times New Roman"/>
          <w:sz w:val="24"/>
          <w:szCs w:val="24"/>
        </w:rPr>
        <w:t>SCF</w:t>
      </w:r>
      <w:r w:rsidR="00453FF2" w:rsidRPr="00BC779C">
        <w:rPr>
          <w:rFonts w:ascii="Times New Roman" w:hAnsi="Times New Roman" w:cs="Times New Roman"/>
          <w:sz w:val="24"/>
          <w:szCs w:val="24"/>
        </w:rPr>
        <w:t xml:space="preserve"> </w:t>
      </w:r>
      <w:r w:rsidR="008362E6" w:rsidRPr="00BC779C">
        <w:rPr>
          <w:rFonts w:ascii="Times New Roman" w:hAnsi="Times New Roman" w:cs="Times New Roman"/>
          <w:sz w:val="24"/>
          <w:szCs w:val="24"/>
        </w:rPr>
        <w:t>85 (85% fiber)</w:t>
      </w:r>
      <w:r w:rsidR="001002B9" w:rsidRPr="00BC779C">
        <w:rPr>
          <w:rFonts w:ascii="Times New Roman" w:hAnsi="Times New Roman" w:cs="Times New Roman"/>
          <w:sz w:val="24"/>
          <w:szCs w:val="24"/>
        </w:rPr>
        <w:t xml:space="preserve"> on calcium absorption</w:t>
      </w:r>
      <w:r w:rsidR="002674D9" w:rsidRPr="00BC779C">
        <w:rPr>
          <w:rFonts w:ascii="Times New Roman" w:hAnsi="Times New Roman" w:cs="Times New Roman"/>
          <w:sz w:val="24"/>
          <w:szCs w:val="24"/>
        </w:rPr>
        <w:t>,</w:t>
      </w:r>
      <w:r w:rsidR="001002B9" w:rsidRPr="00BC779C">
        <w:rPr>
          <w:rFonts w:ascii="Times New Roman" w:hAnsi="Times New Roman" w:cs="Times New Roman"/>
          <w:sz w:val="24"/>
          <w:szCs w:val="24"/>
        </w:rPr>
        <w:t xml:space="preserve"> biochemical bone properties</w:t>
      </w:r>
      <w:r w:rsidR="002674D9" w:rsidRPr="00BC779C">
        <w:rPr>
          <w:rFonts w:ascii="Times New Roman" w:hAnsi="Times New Roman" w:cs="Times New Roman"/>
          <w:sz w:val="24"/>
          <w:szCs w:val="24"/>
        </w:rPr>
        <w:t xml:space="preserve"> and the fecal microbiome</w:t>
      </w:r>
      <w:r w:rsidR="001002B9" w:rsidRPr="00BC779C">
        <w:rPr>
          <w:rFonts w:ascii="Times New Roman" w:hAnsi="Times New Roman" w:cs="Times New Roman"/>
          <w:sz w:val="24"/>
          <w:szCs w:val="24"/>
        </w:rPr>
        <w:t xml:space="preserve"> in free-living adolescents. </w:t>
      </w:r>
    </w:p>
    <w:p w14:paraId="11366286" w14:textId="48AA29A5" w:rsidR="00F035A6" w:rsidRPr="00BC779C" w:rsidRDefault="003351FF" w:rsidP="00D12A80">
      <w:pPr>
        <w:spacing w:after="100" w:afterAutospacing="1" w:line="480" w:lineRule="auto"/>
        <w:rPr>
          <w:rFonts w:ascii="Times New Roman" w:hAnsi="Times New Roman" w:cs="Times New Roman"/>
          <w:sz w:val="24"/>
          <w:szCs w:val="24"/>
          <w:lang w:val="en-IE"/>
        </w:rPr>
      </w:pPr>
      <w:r w:rsidRPr="00BC779C">
        <w:rPr>
          <w:rFonts w:ascii="Times New Roman" w:hAnsi="Times New Roman" w:cs="Times New Roman"/>
          <w:b/>
          <w:sz w:val="24"/>
          <w:szCs w:val="24"/>
        </w:rPr>
        <w:t>Methods</w:t>
      </w:r>
      <w:r w:rsidR="00F035A6" w:rsidRPr="00BC779C">
        <w:rPr>
          <w:rFonts w:ascii="Times New Roman" w:hAnsi="Times New Roman" w:cs="Times New Roman"/>
          <w:b/>
          <w:sz w:val="24"/>
          <w:szCs w:val="24"/>
        </w:rPr>
        <w:t>:</w:t>
      </w:r>
      <w:r w:rsidR="00F035A6" w:rsidRPr="00BC779C">
        <w:rPr>
          <w:rFonts w:ascii="Times New Roman" w:hAnsi="Times New Roman" w:cs="Times New Roman"/>
          <w:sz w:val="24"/>
          <w:szCs w:val="24"/>
        </w:rPr>
        <w:t xml:space="preserve"> </w:t>
      </w:r>
      <w:r w:rsidR="00B25F8C" w:rsidRPr="00BC779C">
        <w:rPr>
          <w:rFonts w:ascii="Times New Roman" w:hAnsi="Times New Roman" w:cs="Times New Roman"/>
          <w:sz w:val="24"/>
          <w:szCs w:val="24"/>
        </w:rPr>
        <w:t>H</w:t>
      </w:r>
      <w:r w:rsidR="002674D9" w:rsidRPr="00BC779C">
        <w:rPr>
          <w:rFonts w:ascii="Times New Roman" w:hAnsi="Times New Roman" w:cs="Times New Roman"/>
          <w:sz w:val="24"/>
          <w:szCs w:val="24"/>
        </w:rPr>
        <w:t>ealthy</w:t>
      </w:r>
      <w:r w:rsidR="007125C5" w:rsidRPr="00BC779C">
        <w:rPr>
          <w:rFonts w:ascii="Times New Roman" w:hAnsi="Times New Roman" w:cs="Times New Roman"/>
          <w:sz w:val="24"/>
          <w:szCs w:val="24"/>
        </w:rPr>
        <w:t xml:space="preserve"> </w:t>
      </w:r>
      <w:r w:rsidR="001002B9" w:rsidRPr="00BC779C">
        <w:rPr>
          <w:rFonts w:ascii="Times New Roman" w:hAnsi="Times New Roman" w:cs="Times New Roman"/>
          <w:sz w:val="24"/>
          <w:szCs w:val="24"/>
        </w:rPr>
        <w:t>females</w:t>
      </w:r>
      <w:r w:rsidR="003B6FAB" w:rsidRPr="00BC779C">
        <w:rPr>
          <w:rFonts w:ascii="Times New Roman" w:hAnsi="Times New Roman" w:cs="Times New Roman"/>
          <w:sz w:val="24"/>
          <w:szCs w:val="24"/>
        </w:rPr>
        <w:t xml:space="preserve"> (n=28; </w:t>
      </w:r>
      <w:r w:rsidR="001002B9" w:rsidRPr="00BC779C">
        <w:rPr>
          <w:rFonts w:ascii="Times New Roman" w:hAnsi="Times New Roman" w:cs="Times New Roman"/>
          <w:sz w:val="24"/>
          <w:szCs w:val="24"/>
        </w:rPr>
        <w:t>aged 11-14 y</w:t>
      </w:r>
      <w:r w:rsidR="003B6FAB" w:rsidRPr="00BC779C">
        <w:rPr>
          <w:rFonts w:ascii="Times New Roman" w:hAnsi="Times New Roman" w:cs="Times New Roman"/>
          <w:sz w:val="24"/>
          <w:szCs w:val="24"/>
        </w:rPr>
        <w:t>)</w:t>
      </w:r>
      <w:r w:rsidR="005840BF" w:rsidRPr="00BC779C">
        <w:rPr>
          <w:rFonts w:ascii="Times New Roman" w:hAnsi="Times New Roman" w:cs="Times New Roman"/>
          <w:sz w:val="24"/>
          <w:szCs w:val="24"/>
        </w:rPr>
        <w:t>,</w:t>
      </w:r>
      <w:r w:rsidR="001002B9" w:rsidRPr="00BC779C">
        <w:rPr>
          <w:rFonts w:ascii="Times New Roman" w:hAnsi="Times New Roman" w:cs="Times New Roman"/>
          <w:sz w:val="24"/>
          <w:szCs w:val="24"/>
        </w:rPr>
        <w:t xml:space="preserve"> randomized into </w:t>
      </w:r>
      <w:r w:rsidR="00AF4181" w:rsidRPr="00BC779C">
        <w:rPr>
          <w:rFonts w:ascii="Times New Roman" w:hAnsi="Times New Roman" w:cs="Times New Roman"/>
          <w:sz w:val="24"/>
          <w:szCs w:val="24"/>
        </w:rPr>
        <w:t>a</w:t>
      </w:r>
      <w:r w:rsidR="001002B9" w:rsidRPr="00BC779C">
        <w:rPr>
          <w:rFonts w:ascii="Times New Roman" w:hAnsi="Times New Roman" w:cs="Times New Roman"/>
          <w:sz w:val="24"/>
          <w:szCs w:val="24"/>
        </w:rPr>
        <w:t xml:space="preserve"> 3-phase, double blind, cross</w:t>
      </w:r>
      <w:r w:rsidR="005840BF" w:rsidRPr="00BC779C">
        <w:rPr>
          <w:rFonts w:ascii="Times New Roman" w:hAnsi="Times New Roman" w:cs="Times New Roman"/>
          <w:sz w:val="24"/>
          <w:szCs w:val="24"/>
        </w:rPr>
        <w:t>-</w:t>
      </w:r>
      <w:r w:rsidR="001002B9" w:rsidRPr="00BC779C">
        <w:rPr>
          <w:rFonts w:ascii="Times New Roman" w:hAnsi="Times New Roman" w:cs="Times New Roman"/>
          <w:sz w:val="24"/>
          <w:szCs w:val="24"/>
        </w:rPr>
        <w:t>over study</w:t>
      </w:r>
      <w:r w:rsidR="0020459B" w:rsidRPr="00BC779C">
        <w:rPr>
          <w:rFonts w:ascii="Times New Roman" w:hAnsi="Times New Roman" w:cs="Times New Roman"/>
          <w:sz w:val="24"/>
          <w:szCs w:val="24"/>
        </w:rPr>
        <w:t>,</w:t>
      </w:r>
      <w:r w:rsidR="001002B9" w:rsidRPr="00BC779C">
        <w:rPr>
          <w:rFonts w:ascii="Times New Roman" w:hAnsi="Times New Roman" w:cs="Times New Roman"/>
          <w:sz w:val="24"/>
          <w:szCs w:val="24"/>
        </w:rPr>
        <w:t xml:space="preserve"> consumed</w:t>
      </w:r>
      <w:r w:rsidR="006A0EB4" w:rsidRPr="00BC779C">
        <w:rPr>
          <w:rFonts w:ascii="Times New Roman" w:hAnsi="Times New Roman" w:cs="Times New Roman"/>
          <w:sz w:val="24"/>
          <w:szCs w:val="24"/>
        </w:rPr>
        <w:t xml:space="preserve"> SCF for 4 weeks</w:t>
      </w:r>
      <w:r w:rsidR="001002B9" w:rsidRPr="00BC779C">
        <w:rPr>
          <w:rFonts w:ascii="Times New Roman" w:hAnsi="Times New Roman" w:cs="Times New Roman"/>
          <w:sz w:val="24"/>
          <w:szCs w:val="24"/>
        </w:rPr>
        <w:t xml:space="preserve"> </w:t>
      </w:r>
      <w:r w:rsidR="00B25F8C" w:rsidRPr="00BC779C">
        <w:rPr>
          <w:rFonts w:ascii="Times New Roman" w:hAnsi="Times New Roman" w:cs="Times New Roman"/>
          <w:sz w:val="24"/>
          <w:szCs w:val="24"/>
        </w:rPr>
        <w:t>at each dose</w:t>
      </w:r>
      <w:r w:rsidR="005840BF" w:rsidRPr="00BC779C">
        <w:rPr>
          <w:rFonts w:ascii="Times New Roman" w:hAnsi="Times New Roman" w:cs="Times New Roman"/>
          <w:sz w:val="24"/>
          <w:szCs w:val="24"/>
        </w:rPr>
        <w:t xml:space="preserve"> (0, 10 and 20 g</w:t>
      </w:r>
      <w:r w:rsidR="001137C6" w:rsidRPr="00BC779C">
        <w:rPr>
          <w:rFonts w:ascii="Times New Roman" w:hAnsi="Times New Roman" w:cs="Times New Roman"/>
          <w:sz w:val="24"/>
          <w:szCs w:val="24"/>
        </w:rPr>
        <w:t xml:space="preserve"> fiber/d</w:t>
      </w:r>
      <w:r w:rsidR="00477537" w:rsidRPr="00BC779C">
        <w:rPr>
          <w:rFonts w:ascii="Times New Roman" w:hAnsi="Times New Roman" w:cs="Times New Roman"/>
          <w:sz w:val="24"/>
          <w:szCs w:val="24"/>
        </w:rPr>
        <w:t xml:space="preserve"> from SCF</w:t>
      </w:r>
      <w:r w:rsidR="005840BF" w:rsidRPr="00BC779C">
        <w:rPr>
          <w:rFonts w:ascii="Times New Roman" w:hAnsi="Times New Roman" w:cs="Times New Roman"/>
          <w:sz w:val="24"/>
          <w:szCs w:val="24"/>
        </w:rPr>
        <w:t>)</w:t>
      </w:r>
      <w:r w:rsidR="006A0EB4" w:rsidRPr="00BC779C">
        <w:rPr>
          <w:rFonts w:ascii="Times New Roman" w:hAnsi="Times New Roman" w:cs="Times New Roman"/>
          <w:sz w:val="24"/>
          <w:szCs w:val="24"/>
        </w:rPr>
        <w:t xml:space="preserve"> </w:t>
      </w:r>
      <w:r w:rsidR="0020459B" w:rsidRPr="00BC779C">
        <w:rPr>
          <w:rFonts w:ascii="Times New Roman" w:hAnsi="Times New Roman" w:cs="Times New Roman"/>
          <w:sz w:val="24"/>
          <w:szCs w:val="24"/>
        </w:rPr>
        <w:t>alongside</w:t>
      </w:r>
      <w:r w:rsidR="009C5C74" w:rsidRPr="00BC779C">
        <w:rPr>
          <w:rFonts w:ascii="Times New Roman" w:hAnsi="Times New Roman" w:cs="Times New Roman"/>
          <w:sz w:val="24"/>
          <w:szCs w:val="24"/>
        </w:rPr>
        <w:t xml:space="preserve"> their </w:t>
      </w:r>
      <w:r w:rsidR="00DB04CC" w:rsidRPr="00BC779C">
        <w:rPr>
          <w:rFonts w:ascii="Times New Roman" w:hAnsi="Times New Roman" w:cs="Times New Roman"/>
          <w:sz w:val="24"/>
          <w:szCs w:val="24"/>
        </w:rPr>
        <w:t>habitual</w:t>
      </w:r>
      <w:r w:rsidR="009C5C74" w:rsidRPr="00BC779C">
        <w:rPr>
          <w:rFonts w:ascii="Times New Roman" w:hAnsi="Times New Roman" w:cs="Times New Roman"/>
          <w:sz w:val="24"/>
          <w:szCs w:val="24"/>
        </w:rPr>
        <w:t xml:space="preserve"> diet </w:t>
      </w:r>
      <w:r w:rsidR="001002B9" w:rsidRPr="00BC779C">
        <w:rPr>
          <w:rFonts w:ascii="Times New Roman" w:hAnsi="Times New Roman" w:cs="Times New Roman"/>
          <w:sz w:val="24"/>
          <w:szCs w:val="24"/>
        </w:rPr>
        <w:t>followed by 3-day clinical visit</w:t>
      </w:r>
      <w:r w:rsidR="00DB04CC" w:rsidRPr="00BC779C">
        <w:rPr>
          <w:rFonts w:ascii="Times New Roman" w:hAnsi="Times New Roman" w:cs="Times New Roman"/>
          <w:sz w:val="24"/>
          <w:szCs w:val="24"/>
        </w:rPr>
        <w:t>s</w:t>
      </w:r>
      <w:r w:rsidR="001002B9" w:rsidRPr="00BC779C">
        <w:rPr>
          <w:rFonts w:ascii="Times New Roman" w:hAnsi="Times New Roman" w:cs="Times New Roman"/>
          <w:sz w:val="24"/>
          <w:szCs w:val="24"/>
        </w:rPr>
        <w:t xml:space="preserve"> and 3-week washout</w:t>
      </w:r>
      <w:r w:rsidR="005B2832" w:rsidRPr="00BC779C">
        <w:rPr>
          <w:rFonts w:ascii="Times New Roman" w:hAnsi="Times New Roman" w:cs="Times New Roman"/>
          <w:sz w:val="24"/>
          <w:szCs w:val="24"/>
        </w:rPr>
        <w:t xml:space="preserve"> periods</w:t>
      </w:r>
      <w:r w:rsidR="001002B9" w:rsidRPr="00BC779C">
        <w:rPr>
          <w:rFonts w:ascii="Times New Roman" w:hAnsi="Times New Roman" w:cs="Times New Roman"/>
          <w:sz w:val="24"/>
          <w:szCs w:val="24"/>
        </w:rPr>
        <w:t xml:space="preserve">. </w:t>
      </w:r>
      <w:r w:rsidR="00C80428" w:rsidRPr="00BC779C">
        <w:rPr>
          <w:rFonts w:ascii="Times New Roman" w:hAnsi="Times New Roman" w:cs="Times New Roman"/>
          <w:sz w:val="24"/>
          <w:szCs w:val="24"/>
          <w:lang w:val="en-IE"/>
        </w:rPr>
        <w:t>Stable i</w:t>
      </w:r>
      <w:r w:rsidR="001002B9" w:rsidRPr="00BC779C">
        <w:rPr>
          <w:rFonts w:ascii="Times New Roman" w:hAnsi="Times New Roman" w:cs="Times New Roman"/>
          <w:sz w:val="24"/>
          <w:szCs w:val="24"/>
          <w:lang w:val="en-IE"/>
        </w:rPr>
        <w:t xml:space="preserve">sotope </w:t>
      </w:r>
      <w:r w:rsidR="00C80428" w:rsidRPr="00BC779C">
        <w:rPr>
          <w:rFonts w:ascii="Times New Roman" w:hAnsi="Times New Roman" w:cs="Times New Roman"/>
          <w:sz w:val="24"/>
          <w:szCs w:val="24"/>
          <w:lang w:val="en-IE"/>
        </w:rPr>
        <w:t>(</w:t>
      </w:r>
      <w:r w:rsidR="00C80428" w:rsidRPr="00BC779C">
        <w:rPr>
          <w:rFonts w:ascii="Times New Roman" w:hAnsi="Times New Roman" w:cs="Times New Roman"/>
          <w:sz w:val="24"/>
          <w:szCs w:val="24"/>
          <w:vertAlign w:val="superscript"/>
          <w:lang w:val="en-IE"/>
        </w:rPr>
        <w:t>44</w:t>
      </w:r>
      <w:r w:rsidR="00C80428" w:rsidRPr="00BC779C">
        <w:rPr>
          <w:rFonts w:ascii="Times New Roman" w:hAnsi="Times New Roman" w:cs="Times New Roman"/>
          <w:sz w:val="24"/>
          <w:szCs w:val="24"/>
          <w:lang w:val="en-IE"/>
        </w:rPr>
        <w:t xml:space="preserve">Ca and </w:t>
      </w:r>
      <w:r w:rsidR="00C80428" w:rsidRPr="00BC779C">
        <w:rPr>
          <w:rFonts w:ascii="Times New Roman" w:hAnsi="Times New Roman" w:cs="Times New Roman"/>
          <w:sz w:val="24"/>
          <w:szCs w:val="24"/>
          <w:vertAlign w:val="superscript"/>
          <w:lang w:val="en-IE"/>
        </w:rPr>
        <w:t>43</w:t>
      </w:r>
      <w:r w:rsidR="00C80428" w:rsidRPr="00BC779C">
        <w:rPr>
          <w:rFonts w:ascii="Times New Roman" w:hAnsi="Times New Roman" w:cs="Times New Roman"/>
          <w:sz w:val="24"/>
          <w:szCs w:val="24"/>
          <w:lang w:val="en-IE"/>
        </w:rPr>
        <w:t xml:space="preserve">Ca) </w:t>
      </w:r>
      <w:r w:rsidR="001002B9" w:rsidRPr="00BC779C">
        <w:rPr>
          <w:rFonts w:ascii="Times New Roman" w:hAnsi="Times New Roman" w:cs="Times New Roman"/>
          <w:sz w:val="24"/>
          <w:szCs w:val="24"/>
          <w:lang w:val="en-IE"/>
        </w:rPr>
        <w:t xml:space="preserve">enrichment </w:t>
      </w:r>
      <w:r w:rsidR="00C80428" w:rsidRPr="00BC779C">
        <w:rPr>
          <w:rFonts w:ascii="Times New Roman" w:hAnsi="Times New Roman" w:cs="Times New Roman"/>
          <w:sz w:val="24"/>
          <w:szCs w:val="24"/>
          <w:lang w:val="en-IE"/>
        </w:rPr>
        <w:t xml:space="preserve">in pooled urine </w:t>
      </w:r>
      <w:r w:rsidR="001002B9" w:rsidRPr="00BC779C">
        <w:rPr>
          <w:rFonts w:ascii="Times New Roman" w:hAnsi="Times New Roman" w:cs="Times New Roman"/>
          <w:sz w:val="24"/>
          <w:szCs w:val="24"/>
          <w:lang w:val="en-IE"/>
        </w:rPr>
        <w:t xml:space="preserve">was measured by </w:t>
      </w:r>
      <w:r w:rsidR="00471EB1" w:rsidRPr="00BC779C">
        <w:rPr>
          <w:rFonts w:ascii="Times New Roman" w:hAnsi="Times New Roman" w:cs="Times New Roman"/>
          <w:sz w:val="24"/>
          <w:szCs w:val="24"/>
          <w:lang w:val="en-IE"/>
        </w:rPr>
        <w:t>Inductively Coupled Plasma Mass Spectrometry</w:t>
      </w:r>
      <w:r w:rsidR="001002B9" w:rsidRPr="00BC779C">
        <w:rPr>
          <w:rFonts w:ascii="Times New Roman" w:hAnsi="Times New Roman" w:cs="Times New Roman"/>
          <w:sz w:val="24"/>
          <w:szCs w:val="24"/>
          <w:lang w:val="en-IE"/>
        </w:rPr>
        <w:t xml:space="preserve">. </w:t>
      </w:r>
      <w:r w:rsidR="00AE6CBF" w:rsidRPr="00BC779C">
        <w:rPr>
          <w:rFonts w:ascii="Times New Roman" w:hAnsi="Times New Roman" w:cs="Times New Roman"/>
          <w:sz w:val="24"/>
          <w:szCs w:val="24"/>
          <w:lang w:val="en-IE"/>
        </w:rPr>
        <w:t xml:space="preserve">Microbial community composition </w:t>
      </w:r>
      <w:r w:rsidR="0020459B" w:rsidRPr="00BC779C">
        <w:rPr>
          <w:rFonts w:ascii="Times New Roman" w:hAnsi="Times New Roman" w:cs="Times New Roman"/>
          <w:sz w:val="24"/>
          <w:szCs w:val="24"/>
          <w:lang w:val="en-IE"/>
        </w:rPr>
        <w:t>of feces was assessed by</w:t>
      </w:r>
      <w:r w:rsidR="00AE6CBF" w:rsidRPr="00BC779C">
        <w:rPr>
          <w:rFonts w:ascii="Times New Roman" w:hAnsi="Times New Roman" w:cs="Times New Roman"/>
          <w:sz w:val="24"/>
          <w:szCs w:val="24"/>
          <w:lang w:val="en-IE"/>
        </w:rPr>
        <w:t xml:space="preserve"> </w:t>
      </w:r>
      <w:r w:rsidR="007340EA" w:rsidRPr="00BC779C">
        <w:rPr>
          <w:rFonts w:ascii="Times New Roman" w:hAnsi="Times New Roman" w:cs="Times New Roman"/>
          <w:sz w:val="24"/>
          <w:szCs w:val="24"/>
          <w:lang w:val="en-IE"/>
        </w:rPr>
        <w:t>high</w:t>
      </w:r>
      <w:r w:rsidR="00622C48" w:rsidRPr="00BC779C">
        <w:rPr>
          <w:rFonts w:ascii="Times New Roman" w:hAnsi="Times New Roman" w:cs="Times New Roman"/>
          <w:sz w:val="24"/>
          <w:szCs w:val="24"/>
          <w:lang w:val="en-IE"/>
        </w:rPr>
        <w:t>-</w:t>
      </w:r>
      <w:r w:rsidR="00AC31A8" w:rsidRPr="00BC779C">
        <w:rPr>
          <w:rFonts w:ascii="Times New Roman" w:hAnsi="Times New Roman" w:cs="Times New Roman"/>
          <w:sz w:val="24"/>
          <w:szCs w:val="24"/>
          <w:lang w:val="en-IE"/>
        </w:rPr>
        <w:t>throughput</w:t>
      </w:r>
      <w:r w:rsidR="00AE6CBF" w:rsidRPr="00BC779C">
        <w:rPr>
          <w:rFonts w:ascii="Times New Roman" w:hAnsi="Times New Roman" w:cs="Times New Roman"/>
          <w:sz w:val="24"/>
          <w:szCs w:val="24"/>
          <w:lang w:val="en-IE"/>
        </w:rPr>
        <w:t xml:space="preserve"> sequencing</w:t>
      </w:r>
      <w:r w:rsidR="00AC31A8" w:rsidRPr="00BC779C">
        <w:rPr>
          <w:rFonts w:ascii="Times New Roman" w:hAnsi="Times New Roman" w:cs="Times New Roman"/>
          <w:sz w:val="24"/>
          <w:szCs w:val="24"/>
          <w:lang w:val="en-IE"/>
        </w:rPr>
        <w:t xml:space="preserve"> (Illumina)</w:t>
      </w:r>
      <w:r w:rsidR="00AE6CBF" w:rsidRPr="00BC779C">
        <w:rPr>
          <w:rFonts w:ascii="Times New Roman" w:hAnsi="Times New Roman" w:cs="Times New Roman"/>
          <w:sz w:val="24"/>
          <w:szCs w:val="24"/>
          <w:lang w:val="en-IE"/>
        </w:rPr>
        <w:t xml:space="preserve"> of </w:t>
      </w:r>
      <w:r w:rsidR="005840BF" w:rsidRPr="00BC779C">
        <w:rPr>
          <w:rFonts w:ascii="Times New Roman" w:hAnsi="Times New Roman" w:cs="Times New Roman"/>
          <w:sz w:val="24"/>
          <w:szCs w:val="24"/>
          <w:lang w:val="en-IE"/>
        </w:rPr>
        <w:t>PCR-</w:t>
      </w:r>
      <w:r w:rsidR="00AE6CBF" w:rsidRPr="00BC779C">
        <w:rPr>
          <w:rFonts w:ascii="Times New Roman" w:hAnsi="Times New Roman" w:cs="Times New Roman"/>
          <w:sz w:val="24"/>
          <w:szCs w:val="24"/>
          <w:lang w:val="en-IE"/>
        </w:rPr>
        <w:t xml:space="preserve">amplified </w:t>
      </w:r>
      <w:r w:rsidR="00AE6CBF" w:rsidRPr="00BC779C">
        <w:rPr>
          <w:rFonts w:ascii="Times New Roman" w:hAnsi="Times New Roman" w:cs="Times New Roman"/>
          <w:i/>
          <w:sz w:val="24"/>
          <w:szCs w:val="24"/>
          <w:lang w:val="en-IE"/>
        </w:rPr>
        <w:t>16S</w:t>
      </w:r>
      <w:r w:rsidR="00AE6CBF" w:rsidRPr="00BC779C">
        <w:rPr>
          <w:rFonts w:ascii="Times New Roman" w:hAnsi="Times New Roman" w:cs="Times New Roman"/>
          <w:sz w:val="24"/>
          <w:szCs w:val="24"/>
          <w:lang w:val="en-IE"/>
        </w:rPr>
        <w:t xml:space="preserve"> rRNA gene</w:t>
      </w:r>
      <w:r w:rsidR="00AC31A8" w:rsidRPr="00BC779C">
        <w:rPr>
          <w:rFonts w:ascii="Times New Roman" w:hAnsi="Times New Roman" w:cs="Times New Roman"/>
          <w:sz w:val="24"/>
          <w:szCs w:val="24"/>
          <w:lang w:val="en-IE"/>
        </w:rPr>
        <w:t>s</w:t>
      </w:r>
      <w:r w:rsidR="00AE6CBF" w:rsidRPr="00BC779C">
        <w:rPr>
          <w:rFonts w:ascii="Times New Roman" w:hAnsi="Times New Roman" w:cs="Times New Roman"/>
          <w:sz w:val="24"/>
          <w:szCs w:val="24"/>
          <w:lang w:val="en-IE"/>
        </w:rPr>
        <w:t xml:space="preserve">.  </w:t>
      </w:r>
      <w:r w:rsidR="003B6FAB" w:rsidRPr="00BC779C">
        <w:rPr>
          <w:rFonts w:ascii="Times New Roman" w:hAnsi="Times New Roman" w:cs="Times New Roman"/>
          <w:sz w:val="24"/>
          <w:szCs w:val="24"/>
          <w:lang w:val="en-IE"/>
        </w:rPr>
        <w:t>M</w:t>
      </w:r>
      <w:r w:rsidR="00D604FE" w:rsidRPr="00BC779C">
        <w:rPr>
          <w:rFonts w:ascii="Times New Roman" w:hAnsi="Times New Roman" w:cs="Times New Roman"/>
          <w:sz w:val="24"/>
          <w:szCs w:val="24"/>
          <w:lang w:val="en-IE"/>
        </w:rPr>
        <w:t xml:space="preserve">ixed model </w:t>
      </w:r>
      <w:r w:rsidR="00FA38F0" w:rsidRPr="00BC779C">
        <w:rPr>
          <w:rFonts w:ascii="Times New Roman" w:hAnsi="Times New Roman" w:cs="Times New Roman"/>
          <w:sz w:val="24"/>
          <w:szCs w:val="24"/>
          <w:lang w:val="en-IE"/>
        </w:rPr>
        <w:t>ANOVA</w:t>
      </w:r>
      <w:r w:rsidR="00CE25F2" w:rsidRPr="00BC779C">
        <w:rPr>
          <w:rFonts w:ascii="Times New Roman" w:hAnsi="Times New Roman" w:cs="Times New Roman"/>
          <w:sz w:val="24"/>
          <w:szCs w:val="24"/>
          <w:lang w:val="en-IE"/>
        </w:rPr>
        <w:t xml:space="preserve"> </w:t>
      </w:r>
      <w:r w:rsidR="003B6FAB" w:rsidRPr="00BC779C">
        <w:rPr>
          <w:rFonts w:ascii="Times New Roman" w:hAnsi="Times New Roman" w:cs="Times New Roman"/>
          <w:sz w:val="24"/>
          <w:szCs w:val="24"/>
          <w:lang w:val="en-IE"/>
        </w:rPr>
        <w:t>and Friedman analysis were</w:t>
      </w:r>
      <w:r w:rsidR="00D604FE" w:rsidRPr="00BC779C">
        <w:rPr>
          <w:rFonts w:ascii="Times New Roman" w:hAnsi="Times New Roman" w:cs="Times New Roman"/>
          <w:sz w:val="24"/>
          <w:szCs w:val="24"/>
          <w:lang w:val="en-IE"/>
        </w:rPr>
        <w:t xml:space="preserve"> used to </w:t>
      </w:r>
      <w:r w:rsidR="003B6FAB" w:rsidRPr="00BC779C">
        <w:rPr>
          <w:rFonts w:ascii="Times New Roman" w:hAnsi="Times New Roman" w:cs="Times New Roman"/>
          <w:sz w:val="24"/>
          <w:szCs w:val="24"/>
          <w:lang w:val="en-IE"/>
        </w:rPr>
        <w:t xml:space="preserve">determine </w:t>
      </w:r>
      <w:r w:rsidR="001002B9" w:rsidRPr="00BC779C">
        <w:rPr>
          <w:rFonts w:ascii="Times New Roman" w:hAnsi="Times New Roman" w:cs="Times New Roman"/>
          <w:sz w:val="24"/>
          <w:szCs w:val="24"/>
          <w:lang w:val="en-IE"/>
        </w:rPr>
        <w:t>effects of SCF on calcium absorption</w:t>
      </w:r>
      <w:r w:rsidR="00D604FE" w:rsidRPr="00BC779C">
        <w:rPr>
          <w:rFonts w:ascii="Times New Roman" w:hAnsi="Times New Roman" w:cs="Times New Roman"/>
          <w:sz w:val="24"/>
          <w:szCs w:val="24"/>
          <w:lang w:val="en-IE"/>
        </w:rPr>
        <w:t xml:space="preserve"> </w:t>
      </w:r>
      <w:r w:rsidR="003B6FAB" w:rsidRPr="00BC779C">
        <w:rPr>
          <w:rFonts w:ascii="Times New Roman" w:hAnsi="Times New Roman" w:cs="Times New Roman"/>
          <w:sz w:val="24"/>
          <w:szCs w:val="24"/>
          <w:lang w:val="en-IE"/>
        </w:rPr>
        <w:t>and compare mean</w:t>
      </w:r>
      <w:r w:rsidR="00FA38F0" w:rsidRPr="00BC779C">
        <w:rPr>
          <w:rFonts w:ascii="Times New Roman" w:hAnsi="Times New Roman" w:cs="Times New Roman"/>
          <w:sz w:val="24"/>
          <w:szCs w:val="24"/>
          <w:lang w:val="en-IE"/>
        </w:rPr>
        <w:t xml:space="preserve"> microbial proportions</w:t>
      </w:r>
      <w:r w:rsidR="003B6FAB" w:rsidRPr="00BC779C">
        <w:rPr>
          <w:rFonts w:ascii="Times New Roman" w:hAnsi="Times New Roman" w:cs="Times New Roman"/>
          <w:sz w:val="24"/>
          <w:szCs w:val="24"/>
          <w:lang w:val="en-IE"/>
        </w:rPr>
        <w:t>, respectively</w:t>
      </w:r>
      <w:r w:rsidR="00FA38F0" w:rsidRPr="00BC779C">
        <w:rPr>
          <w:rFonts w:ascii="Times New Roman" w:hAnsi="Times New Roman" w:cs="Times New Roman"/>
          <w:sz w:val="24"/>
          <w:szCs w:val="24"/>
          <w:lang w:val="en-IE"/>
        </w:rPr>
        <w:t>.</w:t>
      </w:r>
    </w:p>
    <w:p w14:paraId="6F141E54" w14:textId="1BEE50B9" w:rsidR="001002B9" w:rsidRPr="00BC779C" w:rsidRDefault="00F035A6" w:rsidP="00D12A80">
      <w:pPr>
        <w:spacing w:after="100" w:afterAutospacing="1" w:line="480" w:lineRule="auto"/>
        <w:rPr>
          <w:rFonts w:ascii="Times New Roman" w:hAnsi="Times New Roman" w:cs="Times New Roman"/>
          <w:sz w:val="24"/>
          <w:szCs w:val="24"/>
        </w:rPr>
      </w:pPr>
      <w:r w:rsidRPr="00BC779C">
        <w:rPr>
          <w:rFonts w:ascii="Times New Roman" w:hAnsi="Times New Roman" w:cs="Times New Roman"/>
          <w:b/>
          <w:sz w:val="24"/>
          <w:szCs w:val="24"/>
          <w:lang w:val="en-IE"/>
        </w:rPr>
        <w:t>Results:</w:t>
      </w:r>
      <w:r w:rsidRPr="00BC779C">
        <w:rPr>
          <w:rFonts w:ascii="Times New Roman" w:hAnsi="Times New Roman" w:cs="Times New Roman"/>
          <w:sz w:val="24"/>
          <w:szCs w:val="24"/>
          <w:lang w:val="en-IE"/>
        </w:rPr>
        <w:t xml:space="preserve"> </w:t>
      </w:r>
      <w:r w:rsidR="001002B9" w:rsidRPr="00BC779C">
        <w:rPr>
          <w:rFonts w:ascii="Times New Roman" w:hAnsi="Times New Roman" w:cs="Times New Roman"/>
          <w:sz w:val="24"/>
          <w:szCs w:val="24"/>
        </w:rPr>
        <w:t>Calcium absorption increased significantly</w:t>
      </w:r>
      <w:r w:rsidR="00DB04CC" w:rsidRPr="00BC779C">
        <w:rPr>
          <w:rFonts w:ascii="Times New Roman" w:hAnsi="Times New Roman" w:cs="Times New Roman"/>
          <w:sz w:val="24"/>
          <w:szCs w:val="24"/>
        </w:rPr>
        <w:t xml:space="preserve"> with 10</w:t>
      </w:r>
      <w:r w:rsidR="004C17C5" w:rsidRPr="00BC779C">
        <w:rPr>
          <w:rFonts w:ascii="Times New Roman" w:hAnsi="Times New Roman" w:cs="Times New Roman"/>
          <w:sz w:val="24"/>
          <w:szCs w:val="24"/>
        </w:rPr>
        <w:t xml:space="preserve"> (</w:t>
      </w:r>
      <w:r w:rsidR="00C80428" w:rsidRPr="00BC779C">
        <w:rPr>
          <w:rFonts w:ascii="Times New Roman" w:hAnsi="Times New Roman" w:cs="Times New Roman"/>
          <w:sz w:val="24"/>
          <w:szCs w:val="24"/>
        </w:rPr>
        <w:t>+</w:t>
      </w:r>
      <w:r w:rsidR="004C17C5" w:rsidRPr="00BC779C">
        <w:rPr>
          <w:rFonts w:ascii="Times New Roman" w:hAnsi="Times New Roman" w:cs="Times New Roman"/>
          <w:sz w:val="24"/>
          <w:szCs w:val="24"/>
        </w:rPr>
        <w:t xml:space="preserve">13.3 ± 5.3%; p=0.042) </w:t>
      </w:r>
      <w:r w:rsidR="00DB04CC" w:rsidRPr="00BC779C">
        <w:rPr>
          <w:rFonts w:ascii="Times New Roman" w:hAnsi="Times New Roman" w:cs="Times New Roman"/>
          <w:sz w:val="24"/>
          <w:szCs w:val="24"/>
        </w:rPr>
        <w:t>and 20 g</w:t>
      </w:r>
      <w:r w:rsidR="000C0CFD" w:rsidRPr="00BC779C">
        <w:rPr>
          <w:rFonts w:ascii="Times New Roman" w:hAnsi="Times New Roman" w:cs="Times New Roman"/>
          <w:sz w:val="24"/>
          <w:szCs w:val="24"/>
        </w:rPr>
        <w:t xml:space="preserve"> fiber</w:t>
      </w:r>
      <w:r w:rsidR="00DB04CC" w:rsidRPr="00BC779C">
        <w:rPr>
          <w:rFonts w:ascii="Times New Roman" w:hAnsi="Times New Roman" w:cs="Times New Roman"/>
          <w:sz w:val="24"/>
          <w:szCs w:val="24"/>
        </w:rPr>
        <w:t xml:space="preserve">/d </w:t>
      </w:r>
      <w:r w:rsidR="004C17C5" w:rsidRPr="00BC779C">
        <w:rPr>
          <w:rFonts w:ascii="Times New Roman" w:hAnsi="Times New Roman" w:cs="Times New Roman"/>
          <w:sz w:val="24"/>
          <w:szCs w:val="24"/>
        </w:rPr>
        <w:t>(</w:t>
      </w:r>
      <w:r w:rsidR="00C80428" w:rsidRPr="00BC779C">
        <w:rPr>
          <w:rFonts w:ascii="Times New Roman" w:hAnsi="Times New Roman" w:cs="Times New Roman"/>
          <w:sz w:val="24"/>
          <w:szCs w:val="24"/>
        </w:rPr>
        <w:t>+</w:t>
      </w:r>
      <w:r w:rsidR="004C17C5" w:rsidRPr="00BC779C">
        <w:rPr>
          <w:rFonts w:ascii="Times New Roman" w:hAnsi="Times New Roman" w:cs="Times New Roman"/>
          <w:sz w:val="24"/>
          <w:szCs w:val="24"/>
        </w:rPr>
        <w:t xml:space="preserve">12.9 ± 3.6%; p=0.026) </w:t>
      </w:r>
      <w:r w:rsidR="00DB04CC" w:rsidRPr="00BC779C">
        <w:rPr>
          <w:rFonts w:ascii="Times New Roman" w:hAnsi="Times New Roman" w:cs="Times New Roman"/>
          <w:sz w:val="24"/>
          <w:szCs w:val="24"/>
        </w:rPr>
        <w:t>from SCF relative to control</w:t>
      </w:r>
      <w:r w:rsidR="001002B9" w:rsidRPr="00BC779C">
        <w:rPr>
          <w:rFonts w:ascii="Times New Roman" w:hAnsi="Times New Roman" w:cs="Times New Roman"/>
          <w:sz w:val="24"/>
          <w:szCs w:val="24"/>
        </w:rPr>
        <w:t>.</w:t>
      </w:r>
      <w:r w:rsidR="00942C00" w:rsidRPr="00BC779C">
        <w:rPr>
          <w:rFonts w:ascii="Times New Roman" w:hAnsi="Times New Roman" w:cs="Times New Roman"/>
          <w:sz w:val="24"/>
          <w:szCs w:val="24"/>
        </w:rPr>
        <w:t xml:space="preserve"> </w:t>
      </w:r>
      <w:r w:rsidR="00AC31A8" w:rsidRPr="00BC779C">
        <w:rPr>
          <w:rFonts w:ascii="Times New Roman" w:hAnsi="Times New Roman" w:cs="Times New Roman"/>
          <w:sz w:val="24"/>
          <w:szCs w:val="24"/>
        </w:rPr>
        <w:t>Significant differences in</w:t>
      </w:r>
      <w:r w:rsidR="00C9397C" w:rsidRPr="00BC779C">
        <w:rPr>
          <w:rFonts w:ascii="Times New Roman" w:hAnsi="Times New Roman" w:cs="Times New Roman"/>
          <w:sz w:val="24"/>
          <w:szCs w:val="24"/>
        </w:rPr>
        <w:t xml:space="preserve"> fecal microbial community</w:t>
      </w:r>
      <w:r w:rsidR="00AC31A8" w:rsidRPr="00BC779C">
        <w:rPr>
          <w:rFonts w:ascii="Times New Roman" w:hAnsi="Times New Roman" w:cs="Times New Roman"/>
          <w:sz w:val="24"/>
          <w:szCs w:val="24"/>
        </w:rPr>
        <w:t xml:space="preserve"> diversity were found </w:t>
      </w:r>
      <w:r w:rsidR="00C9397C" w:rsidRPr="00BC779C">
        <w:rPr>
          <w:rFonts w:ascii="Times New Roman" w:hAnsi="Times New Roman" w:cs="Times New Roman"/>
          <w:sz w:val="24"/>
          <w:szCs w:val="24"/>
        </w:rPr>
        <w:t>after</w:t>
      </w:r>
      <w:r w:rsidR="00EF15C2" w:rsidRPr="00BC779C">
        <w:rPr>
          <w:rFonts w:ascii="Times New Roman" w:hAnsi="Times New Roman" w:cs="Times New Roman"/>
          <w:sz w:val="24"/>
          <w:szCs w:val="24"/>
        </w:rPr>
        <w:t xml:space="preserve"> </w:t>
      </w:r>
      <w:r w:rsidR="003A29EA" w:rsidRPr="00BC779C">
        <w:rPr>
          <w:rFonts w:ascii="Times New Roman" w:hAnsi="Times New Roman" w:cs="Times New Roman"/>
          <w:sz w:val="24"/>
          <w:szCs w:val="24"/>
        </w:rPr>
        <w:t>consuming</w:t>
      </w:r>
      <w:r w:rsidR="00AC31A8" w:rsidRPr="00BC779C">
        <w:rPr>
          <w:rFonts w:ascii="Times New Roman" w:hAnsi="Times New Roman" w:cs="Times New Roman"/>
          <w:sz w:val="24"/>
          <w:szCs w:val="24"/>
        </w:rPr>
        <w:t xml:space="preserve"> </w:t>
      </w:r>
      <w:r w:rsidR="00C235F0" w:rsidRPr="00BC779C">
        <w:rPr>
          <w:rFonts w:ascii="Times New Roman" w:hAnsi="Times New Roman" w:cs="Times New Roman"/>
          <w:sz w:val="24"/>
          <w:szCs w:val="24"/>
        </w:rPr>
        <w:t xml:space="preserve">SCF </w:t>
      </w:r>
      <w:r w:rsidR="00AC31A8" w:rsidRPr="00BC779C">
        <w:rPr>
          <w:rFonts w:ascii="Times New Roman" w:hAnsi="Times New Roman" w:cs="Times New Roman"/>
          <w:sz w:val="24"/>
          <w:szCs w:val="24"/>
        </w:rPr>
        <w:t>(</w:t>
      </w:r>
      <w:r w:rsidR="009479E8" w:rsidRPr="00BC779C">
        <w:rPr>
          <w:rFonts w:ascii="Times New Roman" w:hAnsi="Times New Roman" w:cs="Times New Roman"/>
          <w:sz w:val="24"/>
          <w:szCs w:val="24"/>
        </w:rPr>
        <w:t xml:space="preserve">OTU measures of </w:t>
      </w:r>
      <w:r w:rsidR="009479E8" w:rsidRPr="00BC779C">
        <w:rPr>
          <w:rFonts w:ascii="Times New Roman" w:eastAsia="Times New Roman" w:hAnsi="Times New Roman" w:cs="Times New Roman"/>
          <w:color w:val="000000"/>
          <w:sz w:val="24"/>
          <w:szCs w:val="24"/>
        </w:rPr>
        <w:t xml:space="preserve">601.4±83.5, 634.5±83.8, and 649.6±75.5 </w:t>
      </w:r>
      <w:r w:rsidR="009479E8" w:rsidRPr="00BC779C">
        <w:rPr>
          <w:rFonts w:ascii="Times New Roman" w:hAnsi="Times New Roman" w:cs="Times New Roman"/>
          <w:sz w:val="24"/>
          <w:szCs w:val="24"/>
        </w:rPr>
        <w:t>for 0, 10 and 20 g</w:t>
      </w:r>
      <w:r w:rsidR="000C0CFD" w:rsidRPr="00BC779C">
        <w:rPr>
          <w:rFonts w:ascii="Times New Roman" w:hAnsi="Times New Roman" w:cs="Times New Roman"/>
          <w:sz w:val="24"/>
          <w:szCs w:val="24"/>
        </w:rPr>
        <w:t xml:space="preserve"> fiber</w:t>
      </w:r>
      <w:r w:rsidR="009479E8" w:rsidRPr="00BC779C">
        <w:rPr>
          <w:rFonts w:ascii="Times New Roman" w:hAnsi="Times New Roman" w:cs="Times New Roman"/>
          <w:sz w:val="24"/>
          <w:szCs w:val="24"/>
        </w:rPr>
        <w:t xml:space="preserve">/d, respectively; </w:t>
      </w:r>
      <w:r w:rsidR="00AC31A8" w:rsidRPr="00BC779C">
        <w:rPr>
          <w:rFonts w:ascii="Times New Roman" w:hAnsi="Times New Roman" w:cs="Times New Roman"/>
          <w:sz w:val="24"/>
          <w:szCs w:val="24"/>
        </w:rPr>
        <w:t xml:space="preserve">p &lt; 0.05).  </w:t>
      </w:r>
      <w:r w:rsidR="009D7889" w:rsidRPr="00BC779C">
        <w:rPr>
          <w:rFonts w:ascii="Times New Roman" w:hAnsi="Times New Roman" w:cs="Times New Roman"/>
          <w:sz w:val="24"/>
          <w:szCs w:val="24"/>
        </w:rPr>
        <w:t>Proportions of the genus</w:t>
      </w:r>
      <w:r w:rsidR="00AC31A8" w:rsidRPr="00BC779C">
        <w:rPr>
          <w:rFonts w:ascii="Times New Roman" w:hAnsi="Times New Roman" w:cs="Times New Roman"/>
          <w:sz w:val="24"/>
          <w:szCs w:val="24"/>
        </w:rPr>
        <w:t xml:space="preserve"> </w:t>
      </w:r>
      <w:r w:rsidR="00AC31A8" w:rsidRPr="00BC779C">
        <w:rPr>
          <w:rFonts w:ascii="Times New Roman" w:hAnsi="Times New Roman" w:cs="Times New Roman"/>
          <w:i/>
          <w:sz w:val="24"/>
          <w:szCs w:val="24"/>
        </w:rPr>
        <w:t>Parabacteroides</w:t>
      </w:r>
      <w:r w:rsidR="00AC31A8" w:rsidRPr="00BC779C">
        <w:rPr>
          <w:rFonts w:ascii="Times New Roman" w:hAnsi="Times New Roman" w:cs="Times New Roman"/>
          <w:sz w:val="24"/>
          <w:szCs w:val="24"/>
        </w:rPr>
        <w:t xml:space="preserve"> significantly increased with SCF dos</w:t>
      </w:r>
      <w:r w:rsidR="00B25F8C" w:rsidRPr="00BC779C">
        <w:rPr>
          <w:rFonts w:ascii="Times New Roman" w:hAnsi="Times New Roman" w:cs="Times New Roman"/>
          <w:sz w:val="24"/>
          <w:szCs w:val="24"/>
        </w:rPr>
        <w:t>e</w:t>
      </w:r>
      <w:r w:rsidR="00C80428" w:rsidRPr="00BC779C">
        <w:rPr>
          <w:rFonts w:ascii="Times New Roman" w:hAnsi="Times New Roman" w:cs="Times New Roman"/>
          <w:sz w:val="24"/>
          <w:szCs w:val="24"/>
        </w:rPr>
        <w:t xml:space="preserve"> (1.1</w:t>
      </w:r>
      <w:r w:rsidR="00C80428" w:rsidRPr="00BC779C">
        <w:rPr>
          <w:rFonts w:ascii="Times New Roman" w:eastAsia="Times New Roman" w:hAnsi="Times New Roman" w:cs="Times New Roman"/>
          <w:color w:val="000000"/>
          <w:sz w:val="24"/>
          <w:szCs w:val="24"/>
        </w:rPr>
        <w:t>±0.8%, 2.1±1.6% and 3.0±2.0% for 0, 10 and 20 g</w:t>
      </w:r>
      <w:r w:rsidR="001137C6" w:rsidRPr="00BC779C">
        <w:rPr>
          <w:rFonts w:ascii="Times New Roman" w:eastAsia="Times New Roman" w:hAnsi="Times New Roman" w:cs="Times New Roman"/>
          <w:color w:val="000000"/>
          <w:sz w:val="24"/>
          <w:szCs w:val="24"/>
        </w:rPr>
        <w:t xml:space="preserve"> fiber/d</w:t>
      </w:r>
      <w:r w:rsidR="00C80428" w:rsidRPr="00BC779C">
        <w:rPr>
          <w:rFonts w:ascii="Times New Roman" w:eastAsia="Times New Roman" w:hAnsi="Times New Roman" w:cs="Times New Roman"/>
          <w:color w:val="000000"/>
          <w:sz w:val="24"/>
          <w:szCs w:val="24"/>
        </w:rPr>
        <w:t xml:space="preserve"> from SCF, respectively; p&lt;0.05)</w:t>
      </w:r>
      <w:r w:rsidR="00AC31A8" w:rsidRPr="00BC779C">
        <w:rPr>
          <w:rFonts w:ascii="Times New Roman" w:hAnsi="Times New Roman" w:cs="Times New Roman"/>
          <w:sz w:val="24"/>
          <w:szCs w:val="24"/>
        </w:rPr>
        <w:t>.</w:t>
      </w:r>
      <w:r w:rsidR="00BB566F" w:rsidRPr="00BC779C">
        <w:rPr>
          <w:rFonts w:ascii="Times New Roman" w:hAnsi="Times New Roman" w:cs="Times New Roman"/>
          <w:sz w:val="24"/>
          <w:szCs w:val="24"/>
        </w:rPr>
        <w:t xml:space="preserve"> Increase</w:t>
      </w:r>
      <w:r w:rsidR="00B25F8C" w:rsidRPr="00BC779C">
        <w:rPr>
          <w:rFonts w:ascii="Times New Roman" w:hAnsi="Times New Roman" w:cs="Times New Roman"/>
          <w:sz w:val="24"/>
          <w:szCs w:val="24"/>
        </w:rPr>
        <w:t>s</w:t>
      </w:r>
      <w:r w:rsidR="00BB566F" w:rsidRPr="00BC779C">
        <w:rPr>
          <w:rFonts w:ascii="Times New Roman" w:hAnsi="Times New Roman" w:cs="Times New Roman"/>
          <w:sz w:val="24"/>
          <w:szCs w:val="24"/>
        </w:rPr>
        <w:t xml:space="preserve"> in calcium </w:t>
      </w:r>
      <w:r w:rsidR="00BB566F" w:rsidRPr="00BC779C">
        <w:rPr>
          <w:rFonts w:ascii="Times New Roman" w:hAnsi="Times New Roman" w:cs="Times New Roman"/>
          <w:sz w:val="24"/>
          <w:szCs w:val="24"/>
        </w:rPr>
        <w:lastRenderedPageBreak/>
        <w:t xml:space="preserve">absorption positively correlated with increases in </w:t>
      </w:r>
      <w:r w:rsidR="00BB566F" w:rsidRPr="00BC779C">
        <w:rPr>
          <w:rFonts w:ascii="Times New Roman" w:hAnsi="Times New Roman" w:cs="Times New Roman"/>
          <w:i/>
          <w:sz w:val="24"/>
          <w:szCs w:val="24"/>
        </w:rPr>
        <w:t>Clostridium</w:t>
      </w:r>
      <w:r w:rsidR="00BB566F" w:rsidRPr="00BC779C">
        <w:rPr>
          <w:rFonts w:ascii="Times New Roman" w:hAnsi="Times New Roman" w:cs="Times New Roman"/>
          <w:sz w:val="24"/>
          <w:szCs w:val="24"/>
        </w:rPr>
        <w:t xml:space="preserve"> </w:t>
      </w:r>
      <w:r w:rsidR="00C9397C" w:rsidRPr="00BC779C">
        <w:rPr>
          <w:rFonts w:ascii="Times New Roman" w:hAnsi="Times New Roman" w:cs="Times New Roman"/>
          <w:sz w:val="24"/>
          <w:szCs w:val="24"/>
        </w:rPr>
        <w:t xml:space="preserve">(r=0.44, p=0.023) </w:t>
      </w:r>
      <w:r w:rsidR="00BB566F" w:rsidRPr="00BC779C">
        <w:rPr>
          <w:rFonts w:ascii="Times New Roman" w:hAnsi="Times New Roman" w:cs="Times New Roman"/>
          <w:sz w:val="24"/>
          <w:szCs w:val="24"/>
        </w:rPr>
        <w:t>and unclassified Clostridiaceae</w:t>
      </w:r>
      <w:r w:rsidR="00C9397C" w:rsidRPr="00BC779C">
        <w:rPr>
          <w:rFonts w:ascii="Times New Roman" w:hAnsi="Times New Roman" w:cs="Times New Roman"/>
          <w:sz w:val="24"/>
          <w:szCs w:val="24"/>
        </w:rPr>
        <w:t xml:space="preserve"> (r=0.40, p=0.040)</w:t>
      </w:r>
      <w:r w:rsidR="00BB566F" w:rsidRPr="00BC779C">
        <w:rPr>
          <w:rFonts w:ascii="Times New Roman" w:hAnsi="Times New Roman" w:cs="Times New Roman"/>
          <w:sz w:val="24"/>
          <w:szCs w:val="24"/>
        </w:rPr>
        <w:t>.</w:t>
      </w:r>
    </w:p>
    <w:p w14:paraId="78E50605" w14:textId="7E3ECD2C" w:rsidR="00E25F03" w:rsidRPr="00BC779C" w:rsidRDefault="005840BF" w:rsidP="00A0346F">
      <w:pPr>
        <w:spacing w:after="100" w:afterAutospacing="1" w:line="480" w:lineRule="auto"/>
        <w:rPr>
          <w:rFonts w:ascii="Times New Roman" w:hAnsi="Times New Roman" w:cs="Times New Roman"/>
          <w:sz w:val="24"/>
          <w:szCs w:val="24"/>
        </w:rPr>
      </w:pPr>
      <w:r w:rsidRPr="00BC779C">
        <w:rPr>
          <w:rFonts w:ascii="Times New Roman" w:hAnsi="Times New Roman" w:cs="Times New Roman"/>
          <w:b/>
          <w:sz w:val="24"/>
          <w:szCs w:val="24"/>
        </w:rPr>
        <w:t xml:space="preserve">Conclusions: </w:t>
      </w:r>
      <w:r w:rsidR="003B6FAB" w:rsidRPr="00BC779C">
        <w:rPr>
          <w:rFonts w:ascii="Times New Roman" w:hAnsi="Times New Roman" w:cs="Times New Roman"/>
          <w:sz w:val="24"/>
          <w:szCs w:val="24"/>
        </w:rPr>
        <w:t xml:space="preserve">SCF, a </w:t>
      </w:r>
      <w:r w:rsidRPr="00BC779C">
        <w:rPr>
          <w:rFonts w:ascii="Times New Roman" w:hAnsi="Times New Roman" w:cs="Times New Roman"/>
          <w:sz w:val="24"/>
          <w:szCs w:val="24"/>
        </w:rPr>
        <w:t xml:space="preserve">non-digestible </w:t>
      </w:r>
      <w:r w:rsidR="00B56496" w:rsidRPr="00BC779C">
        <w:rPr>
          <w:rFonts w:ascii="Times New Roman" w:hAnsi="Times New Roman" w:cs="Times New Roman"/>
          <w:sz w:val="24"/>
          <w:szCs w:val="24"/>
        </w:rPr>
        <w:t>carbohydrate</w:t>
      </w:r>
      <w:r w:rsidR="003B6FAB" w:rsidRPr="00BC779C">
        <w:rPr>
          <w:rFonts w:ascii="Times New Roman" w:hAnsi="Times New Roman" w:cs="Times New Roman"/>
          <w:sz w:val="24"/>
          <w:szCs w:val="24"/>
        </w:rPr>
        <w:t>,</w:t>
      </w:r>
      <w:r w:rsidRPr="00BC779C">
        <w:rPr>
          <w:rFonts w:ascii="Times New Roman" w:hAnsi="Times New Roman" w:cs="Times New Roman"/>
          <w:sz w:val="24"/>
          <w:szCs w:val="24"/>
        </w:rPr>
        <w:t xml:space="preserve"> increase</w:t>
      </w:r>
      <w:r w:rsidR="003B6FAB" w:rsidRPr="00BC779C">
        <w:rPr>
          <w:rFonts w:ascii="Times New Roman" w:hAnsi="Times New Roman" w:cs="Times New Roman"/>
          <w:sz w:val="24"/>
          <w:szCs w:val="24"/>
        </w:rPr>
        <w:t>d</w:t>
      </w:r>
      <w:r w:rsidRPr="00BC779C">
        <w:rPr>
          <w:rFonts w:ascii="Times New Roman" w:hAnsi="Times New Roman" w:cs="Times New Roman"/>
          <w:sz w:val="24"/>
          <w:szCs w:val="24"/>
        </w:rPr>
        <w:t xml:space="preserve"> calcium absorption in free-living adolescent females.</w:t>
      </w:r>
      <w:r w:rsidR="007405EB" w:rsidRPr="00BC779C">
        <w:rPr>
          <w:rFonts w:ascii="Times New Roman" w:hAnsi="Times New Roman" w:cs="Times New Roman"/>
          <w:sz w:val="24"/>
          <w:szCs w:val="24"/>
        </w:rPr>
        <w:t xml:space="preserve"> </w:t>
      </w:r>
      <w:r w:rsidR="00BB566F" w:rsidRPr="00BC779C">
        <w:rPr>
          <w:rFonts w:ascii="Times New Roman" w:hAnsi="Times New Roman" w:cs="Times New Roman"/>
          <w:sz w:val="24"/>
          <w:szCs w:val="24"/>
        </w:rPr>
        <w:t xml:space="preserve"> Two gro</w:t>
      </w:r>
      <w:r w:rsidR="00C95503" w:rsidRPr="00BC779C">
        <w:rPr>
          <w:rFonts w:ascii="Times New Roman" w:hAnsi="Times New Roman" w:cs="Times New Roman"/>
          <w:sz w:val="24"/>
          <w:szCs w:val="24"/>
        </w:rPr>
        <w:t>ups of b</w:t>
      </w:r>
      <w:r w:rsidR="00B25F8C" w:rsidRPr="00BC779C">
        <w:rPr>
          <w:rFonts w:ascii="Times New Roman" w:hAnsi="Times New Roman" w:cs="Times New Roman"/>
          <w:sz w:val="24"/>
          <w:szCs w:val="24"/>
        </w:rPr>
        <w:t>acteria may be involved;</w:t>
      </w:r>
      <w:r w:rsidR="003B6FAB" w:rsidRPr="00BC779C">
        <w:rPr>
          <w:rFonts w:ascii="Times New Roman" w:hAnsi="Times New Roman" w:cs="Times New Roman"/>
          <w:sz w:val="24"/>
          <w:szCs w:val="24"/>
        </w:rPr>
        <w:t xml:space="preserve"> one </w:t>
      </w:r>
      <w:r w:rsidR="00BB566F" w:rsidRPr="00BC779C">
        <w:rPr>
          <w:rFonts w:ascii="Times New Roman" w:hAnsi="Times New Roman" w:cs="Times New Roman"/>
          <w:sz w:val="24"/>
          <w:szCs w:val="24"/>
        </w:rPr>
        <w:t xml:space="preserve">directly fermenting SCF and </w:t>
      </w:r>
      <w:r w:rsidR="003B6FAB" w:rsidRPr="00BC779C">
        <w:rPr>
          <w:rFonts w:ascii="Times New Roman" w:hAnsi="Times New Roman" w:cs="Times New Roman"/>
          <w:sz w:val="24"/>
          <w:szCs w:val="24"/>
        </w:rPr>
        <w:t>the</w:t>
      </w:r>
      <w:r w:rsidR="00BB566F" w:rsidRPr="00BC779C">
        <w:rPr>
          <w:rFonts w:ascii="Times New Roman" w:hAnsi="Times New Roman" w:cs="Times New Roman"/>
          <w:sz w:val="24"/>
          <w:szCs w:val="24"/>
        </w:rPr>
        <w:t xml:space="preserve"> second </w:t>
      </w:r>
      <w:r w:rsidR="00042A89" w:rsidRPr="00BC779C">
        <w:rPr>
          <w:rFonts w:ascii="Times New Roman" w:hAnsi="Times New Roman" w:cs="Times New Roman"/>
          <w:sz w:val="24"/>
          <w:szCs w:val="24"/>
        </w:rPr>
        <w:t xml:space="preserve">fermenting </w:t>
      </w:r>
      <w:r w:rsidR="00EF15C2" w:rsidRPr="00BC779C">
        <w:rPr>
          <w:rFonts w:ascii="Times New Roman" w:hAnsi="Times New Roman" w:cs="Times New Roman"/>
          <w:sz w:val="24"/>
          <w:szCs w:val="24"/>
        </w:rPr>
        <w:t>SCF</w:t>
      </w:r>
      <w:r w:rsidR="00BB566F" w:rsidRPr="00BC779C">
        <w:rPr>
          <w:rFonts w:ascii="Times New Roman" w:hAnsi="Times New Roman" w:cs="Times New Roman"/>
          <w:sz w:val="24"/>
          <w:szCs w:val="24"/>
        </w:rPr>
        <w:t xml:space="preserve"> </w:t>
      </w:r>
      <w:r w:rsidR="00B25F8C" w:rsidRPr="00BC779C">
        <w:rPr>
          <w:rFonts w:ascii="Times New Roman" w:hAnsi="Times New Roman" w:cs="Times New Roman"/>
          <w:sz w:val="24"/>
          <w:szCs w:val="24"/>
        </w:rPr>
        <w:t>metabolites</w:t>
      </w:r>
      <w:r w:rsidR="00DB04CC" w:rsidRPr="00BC779C">
        <w:rPr>
          <w:rFonts w:ascii="Times New Roman" w:hAnsi="Times New Roman" w:cs="Times New Roman"/>
          <w:sz w:val="24"/>
          <w:szCs w:val="24"/>
        </w:rPr>
        <w:t xml:space="preserve"> further</w:t>
      </w:r>
      <w:r w:rsidR="003B6FAB" w:rsidRPr="00BC779C">
        <w:rPr>
          <w:rFonts w:ascii="Times New Roman" w:hAnsi="Times New Roman" w:cs="Times New Roman"/>
          <w:sz w:val="24"/>
          <w:szCs w:val="24"/>
        </w:rPr>
        <w:t>,</w:t>
      </w:r>
      <w:r w:rsidR="00DB04CC" w:rsidRPr="00BC779C">
        <w:rPr>
          <w:rFonts w:ascii="Times New Roman" w:hAnsi="Times New Roman" w:cs="Times New Roman"/>
          <w:sz w:val="24"/>
          <w:szCs w:val="24"/>
        </w:rPr>
        <w:t xml:space="preserve"> thereby</w:t>
      </w:r>
      <w:r w:rsidR="00042A89" w:rsidRPr="00BC779C">
        <w:rPr>
          <w:rFonts w:ascii="Times New Roman" w:hAnsi="Times New Roman" w:cs="Times New Roman"/>
          <w:sz w:val="24"/>
          <w:szCs w:val="24"/>
        </w:rPr>
        <w:t xml:space="preserve"> </w:t>
      </w:r>
      <w:r w:rsidR="00DB04CC" w:rsidRPr="00BC779C">
        <w:rPr>
          <w:rFonts w:ascii="Times New Roman" w:hAnsi="Times New Roman" w:cs="Times New Roman"/>
          <w:sz w:val="24"/>
          <w:szCs w:val="24"/>
        </w:rPr>
        <w:t>promoting</w:t>
      </w:r>
      <w:r w:rsidR="00137EFC" w:rsidRPr="00BC779C">
        <w:rPr>
          <w:rFonts w:ascii="Times New Roman" w:hAnsi="Times New Roman" w:cs="Times New Roman"/>
          <w:sz w:val="24"/>
          <w:szCs w:val="24"/>
        </w:rPr>
        <w:t xml:space="preserve"> increased Ca absorption</w:t>
      </w:r>
      <w:r w:rsidR="007340EA" w:rsidRPr="00BC779C">
        <w:rPr>
          <w:rFonts w:ascii="Times New Roman" w:hAnsi="Times New Roman" w:cs="Times New Roman"/>
          <w:sz w:val="24"/>
          <w:szCs w:val="24"/>
        </w:rPr>
        <w:t>.</w:t>
      </w:r>
    </w:p>
    <w:p w14:paraId="64AD3E8C" w14:textId="69491F72" w:rsidR="00C66B66" w:rsidRPr="00BC779C" w:rsidRDefault="00C66B66" w:rsidP="00A0346F">
      <w:pPr>
        <w:spacing w:after="100" w:afterAutospacing="1" w:line="480" w:lineRule="auto"/>
        <w:rPr>
          <w:rFonts w:ascii="Times New Roman" w:hAnsi="Times New Roman" w:cs="Times New Roman"/>
          <w:sz w:val="24"/>
          <w:szCs w:val="24"/>
        </w:rPr>
      </w:pPr>
      <w:r w:rsidRPr="00BC779C">
        <w:rPr>
          <w:rFonts w:ascii="Times New Roman" w:hAnsi="Times New Roman" w:cs="Times New Roman"/>
          <w:b/>
          <w:sz w:val="24"/>
          <w:szCs w:val="24"/>
        </w:rPr>
        <w:t xml:space="preserve">Clinical Trials Registration: </w:t>
      </w:r>
      <w:r w:rsidRPr="00BC779C">
        <w:rPr>
          <w:rFonts w:ascii="Times New Roman" w:hAnsi="Times New Roman" w:cs="Times New Roman"/>
          <w:sz w:val="24"/>
          <w:szCs w:val="24"/>
        </w:rPr>
        <w:t>Clinicaltrials.gov NCT01660503</w:t>
      </w:r>
    </w:p>
    <w:p w14:paraId="7AB0773E" w14:textId="10A03EC3" w:rsidR="00E25F03" w:rsidRPr="00BC779C" w:rsidRDefault="00E25F03" w:rsidP="00D12A80">
      <w:pPr>
        <w:spacing w:after="100" w:afterAutospacing="1" w:line="480" w:lineRule="auto"/>
        <w:rPr>
          <w:rFonts w:ascii="Times New Roman" w:hAnsi="Times New Roman" w:cs="Times New Roman"/>
          <w:sz w:val="24"/>
          <w:szCs w:val="24"/>
        </w:rPr>
      </w:pPr>
      <w:r w:rsidRPr="00BC779C">
        <w:rPr>
          <w:rFonts w:ascii="Times New Roman" w:hAnsi="Times New Roman" w:cs="Times New Roman"/>
          <w:b/>
          <w:sz w:val="24"/>
          <w:szCs w:val="24"/>
        </w:rPr>
        <w:t xml:space="preserve">KEYWORDS: </w:t>
      </w:r>
      <w:r w:rsidRPr="00BC779C">
        <w:rPr>
          <w:rFonts w:ascii="Times New Roman" w:hAnsi="Times New Roman" w:cs="Times New Roman"/>
          <w:sz w:val="24"/>
          <w:szCs w:val="24"/>
        </w:rPr>
        <w:t>adolescent, calcium, bone health, prebiotic, osteoporosis, microbiome, short chain fatty acid</w:t>
      </w:r>
    </w:p>
    <w:p w14:paraId="165611BD" w14:textId="77777777" w:rsidR="00F559CE" w:rsidRPr="00BC779C" w:rsidRDefault="00F559CE" w:rsidP="00D12A80">
      <w:pPr>
        <w:suppressLineNumbers/>
        <w:spacing w:after="100" w:afterAutospacing="1" w:line="480" w:lineRule="auto"/>
        <w:rPr>
          <w:rFonts w:ascii="Times New Roman" w:hAnsi="Times New Roman" w:cs="Times New Roman"/>
          <w:sz w:val="24"/>
          <w:szCs w:val="24"/>
        </w:rPr>
      </w:pPr>
    </w:p>
    <w:p w14:paraId="08E57B50" w14:textId="77777777" w:rsidR="009F0BA5" w:rsidRPr="00BC779C" w:rsidRDefault="009F0BA5" w:rsidP="00D12A80">
      <w:pPr>
        <w:suppressLineNumbers/>
        <w:spacing w:after="100" w:afterAutospacing="1" w:line="480" w:lineRule="auto"/>
        <w:rPr>
          <w:rFonts w:ascii="Times New Roman" w:hAnsi="Times New Roman" w:cs="Times New Roman"/>
          <w:sz w:val="24"/>
          <w:szCs w:val="24"/>
        </w:rPr>
      </w:pPr>
    </w:p>
    <w:p w14:paraId="2369D2AD" w14:textId="77777777" w:rsidR="009F0BA5" w:rsidRPr="00BC779C" w:rsidRDefault="009F0BA5" w:rsidP="00D12A80">
      <w:pPr>
        <w:suppressLineNumbers/>
        <w:spacing w:after="100" w:afterAutospacing="1" w:line="480" w:lineRule="auto"/>
        <w:rPr>
          <w:rFonts w:ascii="Times New Roman" w:hAnsi="Times New Roman" w:cs="Times New Roman"/>
          <w:sz w:val="24"/>
          <w:szCs w:val="24"/>
        </w:rPr>
      </w:pPr>
    </w:p>
    <w:p w14:paraId="35C71783" w14:textId="77777777" w:rsidR="009F0BA5" w:rsidRPr="00BC779C" w:rsidRDefault="009F0BA5" w:rsidP="00D12A80">
      <w:pPr>
        <w:suppressLineNumbers/>
        <w:spacing w:after="100" w:afterAutospacing="1" w:line="480" w:lineRule="auto"/>
        <w:rPr>
          <w:rFonts w:ascii="Times New Roman" w:hAnsi="Times New Roman" w:cs="Times New Roman"/>
          <w:sz w:val="24"/>
          <w:szCs w:val="24"/>
        </w:rPr>
      </w:pPr>
    </w:p>
    <w:p w14:paraId="66728D44" w14:textId="77777777" w:rsidR="009F0BA5" w:rsidRPr="00BC779C" w:rsidRDefault="009F0BA5" w:rsidP="00D12A80">
      <w:pPr>
        <w:suppressLineNumbers/>
        <w:spacing w:after="100" w:afterAutospacing="1" w:line="480" w:lineRule="auto"/>
        <w:rPr>
          <w:rFonts w:ascii="Times New Roman" w:hAnsi="Times New Roman" w:cs="Times New Roman"/>
          <w:sz w:val="24"/>
          <w:szCs w:val="24"/>
        </w:rPr>
      </w:pPr>
    </w:p>
    <w:p w14:paraId="2E45CF04" w14:textId="77777777" w:rsidR="009F0BA5" w:rsidRPr="00BC779C" w:rsidRDefault="009F0BA5" w:rsidP="00D12A80">
      <w:pPr>
        <w:suppressLineNumbers/>
        <w:spacing w:after="100" w:afterAutospacing="1" w:line="480" w:lineRule="auto"/>
        <w:rPr>
          <w:rFonts w:ascii="Times New Roman" w:hAnsi="Times New Roman" w:cs="Times New Roman"/>
          <w:sz w:val="24"/>
          <w:szCs w:val="24"/>
        </w:rPr>
      </w:pPr>
    </w:p>
    <w:p w14:paraId="758423F0" w14:textId="77777777" w:rsidR="009F0BA5" w:rsidRPr="00BC779C" w:rsidRDefault="009F0BA5" w:rsidP="00D12A80">
      <w:pPr>
        <w:suppressLineNumbers/>
        <w:spacing w:after="100" w:afterAutospacing="1" w:line="480" w:lineRule="auto"/>
        <w:rPr>
          <w:rFonts w:ascii="Times New Roman" w:hAnsi="Times New Roman" w:cs="Times New Roman"/>
          <w:sz w:val="24"/>
          <w:szCs w:val="24"/>
        </w:rPr>
      </w:pPr>
    </w:p>
    <w:p w14:paraId="3F0A9BCC" w14:textId="77777777" w:rsidR="00CA0C5F" w:rsidRPr="00BC779C" w:rsidRDefault="00CA0C5F" w:rsidP="00D12A80">
      <w:pPr>
        <w:suppressLineNumbers/>
        <w:spacing w:after="100" w:afterAutospacing="1" w:line="480" w:lineRule="auto"/>
        <w:rPr>
          <w:rFonts w:ascii="Times New Roman" w:hAnsi="Times New Roman" w:cs="Times New Roman"/>
          <w:sz w:val="24"/>
          <w:szCs w:val="24"/>
        </w:rPr>
      </w:pPr>
    </w:p>
    <w:p w14:paraId="1F0AEA69" w14:textId="77777777" w:rsidR="009F0BA5" w:rsidRPr="00BC779C" w:rsidRDefault="009F0BA5" w:rsidP="00D12A80">
      <w:pPr>
        <w:suppressLineNumbers/>
        <w:spacing w:after="100" w:afterAutospacing="1" w:line="480" w:lineRule="auto"/>
        <w:rPr>
          <w:rFonts w:ascii="Times New Roman" w:hAnsi="Times New Roman" w:cs="Times New Roman"/>
          <w:sz w:val="24"/>
          <w:szCs w:val="24"/>
        </w:rPr>
      </w:pPr>
    </w:p>
    <w:p w14:paraId="0C4548DD" w14:textId="77777777" w:rsidR="009F16FB" w:rsidRPr="00BC779C" w:rsidRDefault="009F16FB" w:rsidP="00D12A80">
      <w:pPr>
        <w:spacing w:after="100" w:afterAutospacing="1" w:line="480" w:lineRule="auto"/>
        <w:rPr>
          <w:rFonts w:ascii="Times New Roman" w:hAnsi="Times New Roman" w:cs="Times New Roman"/>
          <w:b/>
          <w:sz w:val="24"/>
          <w:szCs w:val="24"/>
        </w:rPr>
      </w:pPr>
      <w:r w:rsidRPr="00BC779C">
        <w:rPr>
          <w:rFonts w:ascii="Times New Roman" w:hAnsi="Times New Roman" w:cs="Times New Roman"/>
          <w:b/>
          <w:sz w:val="24"/>
          <w:szCs w:val="24"/>
        </w:rPr>
        <w:lastRenderedPageBreak/>
        <w:t>INTRODUCTION</w:t>
      </w:r>
    </w:p>
    <w:p w14:paraId="5908F5B7" w14:textId="46DE79A3" w:rsidR="009F16FB" w:rsidRPr="00BC779C" w:rsidRDefault="009F16FB"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 xml:space="preserve">Calcium is an essential nutrient for bone </w:t>
      </w:r>
      <w:r w:rsidR="006A0EB4" w:rsidRPr="00BC779C">
        <w:rPr>
          <w:rFonts w:ascii="Times New Roman" w:hAnsi="Times New Roman" w:cs="Times New Roman"/>
          <w:sz w:val="24"/>
          <w:szCs w:val="24"/>
        </w:rPr>
        <w:t>mineral deposition and the greatest demand is</w:t>
      </w:r>
      <w:r w:rsidRPr="00BC779C">
        <w:rPr>
          <w:rFonts w:ascii="Times New Roman" w:hAnsi="Times New Roman" w:cs="Times New Roman"/>
          <w:sz w:val="24"/>
          <w:szCs w:val="24"/>
        </w:rPr>
        <w:t xml:space="preserve"> during the pubertal growth spurt during which approximately 26% of adult bone mass is achieved</w:t>
      </w:r>
      <w:r w:rsidR="000B10EA" w:rsidRPr="00BC779C">
        <w:rPr>
          <w:rFonts w:ascii="Times New Roman" w:hAnsi="Times New Roman" w:cs="Times New Roman"/>
          <w:sz w:val="24"/>
          <w:szCs w:val="24"/>
        </w:rPr>
        <w:t xml:space="preserve"> </w:t>
      </w:r>
      <w:r w:rsidR="008C2C90" w:rsidRPr="00BC779C">
        <w:rPr>
          <w:rFonts w:ascii="Times New Roman" w:hAnsi="Times New Roman" w:cs="Times New Roman"/>
          <w:sz w:val="24"/>
          <w:szCs w:val="24"/>
        </w:rPr>
        <w:fldChar w:fldCharType="begin" w:fldLock="1"/>
      </w:r>
      <w:r w:rsidR="00636820" w:rsidRPr="00BC779C">
        <w:rPr>
          <w:rFonts w:ascii="Times New Roman" w:hAnsi="Times New Roman" w:cs="Times New Roman"/>
          <w:sz w:val="24"/>
          <w:szCs w:val="24"/>
        </w:rPr>
        <w:instrText>ADDIN CSL_CITATION { "citationItems" : [ { "id" : "ITEM-1", "itemData" : { "DOI" : "10.1359/jbmr.2000.15.11.2245", "ISSN" : "08840431", "PMID" : "11092406", "abstract" : "The primary purpose of this study was to estimate the magnitude and variability of peak calcium accretion rates in the skeletons of healthy white adolescents. Total-body bone mineral content (BMC) was measured annually on six occasions by dual-energy X-ray absorptiometry (DXA; Hologic 2000, array mode), a BMC velocity curve was generated for each child by a cubic spline fit, and peak accretion rates were determined. Anthropometric measures were collected every 6 months and a 24-h dietary recall was recorded two to three times per year. Of the 113 boys and 115 girls initially enrolled in the study, 60 boys and 53 girls who had peak height velocity (PHV) and peak BMC velocity values were used in this longitudinal analysis. When the individual BMC velocity curves were aligned on the age of peak bone mineral velocity, the resulting mean peak bone mineral accrual rate was 407 g/year for boys (SD, 92 g/year; range, 226-651 g/year) and 322 g/year for girls (SD, 66 g/year; range, 194-520 g/year). Using 32.2% as the fraction of calcium in bone mineral, as determined by neutron activation analysis (Ellis et al., J Bone Miner Res 1996;11:843-848), these corresponded to peak calcium accretion rates of 359 mg/day for boys (81 mg/day; 199-574 mg/day) and 284 mg/day for girls (58 mg/day; 171-459 mg/day). These longitudinal results are 27-34% higher than our previous cross-sectional analysis in which we reported mean values of 282 mg/day for boys and 212 mg/day for girls (Martin et al., Am J Clin Nutr 1997;66:611-615). Mean age of peak calcium accretion was 14.0 years for the boys (1.0 years; 12.0-15.9 years), and 12.5 years for the girls (0.9 years; 10.5-14.6 years). Dietary calcium intake, determined as the mean of all assessments up to the age of peak accretion was 1140 mg/day (SD, 392 mg/day) for boys and 1113 mg/day (SD, 378 mg/day) for girls. We estimate that 26% of adult calcium is laid down during the 2 adolescent years of peak skeletal growth. This period of rapid growth requires high accretion rates of calcium, achieved in part by increased retention efficiency of dietary calcium.", "author" : [ { "dropping-particle" : "", "family" : "Bailey", "given" : "Donald A.", "non-dropping-particle" : "", "parse-names" : false, "suffix" : "" }, { "dropping-particle" : "", "family" : "Martin", "given" : "Alan D.", "non-dropping-particle" : "", "parse-names" : false, "suffix" : "" }, { "dropping-particle" : "", "family" : "McKay", "given" : "Heather A.", "non-dropping-particle" : "", "parse-names" : false, "suffix" : "" }, { "dropping-particle" : "", "family" : "Whiting", "given" : "Susan", "non-dropping-particle" : "", "parse-names" : false, "suffix" : "" }, { "dropping-particle" : "", "family" : "Mirwald", "given" : "Robert", "non-dropping-particle" : "", "parse-names" : false, "suffix" : "" } ], "container-title" : "Journal of Bone and Mineral Research", "id" : "ITEM-1", "issue" : "11", "issued" : { "date-parts" : [ [ "2000", "11", "1" ] ] }, "page" : "2245-2250", "title" : "Calcium accretion in girls and boys during puberty: a longitudinal analysis", "type" : "article-journal", "volume" : "15" }, "uris" : [ "http://www.mendeley.com/documents/?uuid=0f364669-64ee-4362-911a-11d49f1c6f4f" ] } ], "mendeley" : { "formattedCitation" : "(1)", "plainTextFormattedCitation" : "(1)", "previouslyFormattedCitation" : "(1)" }, "properties" : { "noteIndex" : 0 }, "schema" : "https://github.com/citation-style-language/schema/raw/master/csl-citation.json" }</w:instrText>
      </w:r>
      <w:r w:rsidR="008C2C90"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(1)</w:t>
      </w:r>
      <w:r w:rsidR="008C2C90" w:rsidRPr="00BC779C">
        <w:rPr>
          <w:rFonts w:ascii="Times New Roman" w:hAnsi="Times New Roman" w:cs="Times New Roman"/>
          <w:sz w:val="24"/>
          <w:szCs w:val="24"/>
        </w:rPr>
        <w:fldChar w:fldCharType="end"/>
      </w:r>
      <w:r w:rsidR="000B10EA" w:rsidRPr="00BC779C">
        <w:rPr>
          <w:rFonts w:ascii="Times New Roman" w:hAnsi="Times New Roman" w:cs="Times New Roman"/>
          <w:sz w:val="24"/>
          <w:szCs w:val="24"/>
        </w:rPr>
        <w:t>.</w:t>
      </w:r>
      <w:r w:rsidRPr="00BC779C">
        <w:rPr>
          <w:rFonts w:ascii="Times New Roman" w:hAnsi="Times New Roman" w:cs="Times New Roman"/>
          <w:sz w:val="24"/>
          <w:szCs w:val="24"/>
        </w:rPr>
        <w:t xml:space="preserve"> Daily calcium consumption among adolescents, especially females, falls below recommended intakes</w:t>
      </w:r>
      <w:r w:rsidR="000B10EA" w:rsidRPr="00BC779C">
        <w:rPr>
          <w:rFonts w:ascii="Times New Roman" w:hAnsi="Times New Roman" w:cs="Times New Roman"/>
          <w:sz w:val="24"/>
          <w:szCs w:val="24"/>
        </w:rPr>
        <w:t xml:space="preserve"> </w:t>
      </w:r>
      <w:r w:rsidR="008C2C90" w:rsidRPr="00BC779C">
        <w:rPr>
          <w:rFonts w:ascii="Times New Roman" w:hAnsi="Times New Roman" w:cs="Times New Roman"/>
          <w:sz w:val="24"/>
          <w:szCs w:val="24"/>
        </w:rPr>
        <w:fldChar w:fldCharType="begin" w:fldLock="1"/>
      </w:r>
      <w:r w:rsidR="00D12A80" w:rsidRPr="00BC779C">
        <w:rPr>
          <w:rFonts w:ascii="Times New Roman" w:hAnsi="Times New Roman" w:cs="Times New Roman"/>
          <w:sz w:val="24"/>
          <w:szCs w:val="24"/>
        </w:rPr>
        <w:instrText>ADDIN CSL_CITATION { "citationItems" : [ { "id" : "ITEM-1", "itemData" : { "DOI" : "10.3945/jn.109.118539", "ISSN" : "1541-6100", "PMID" : "20181782", "abstract" : "Our objective in this study was to estimate calcium intakes from food, water, dietary supplements, and antacids for U.S. citizens aged &gt;or=1 y using NHANES 2003-2006 data and the Dietary Reference Intake panel age groupings. Similar estimates were calculated for vitamin D intake from food and dietary supplements using NHANES 2005-2006. Diet was assessed with 2 24-h recalls; dietary supplement and antacid use were determined by questionnaire. The National Cancer Institute method was used to estimate usual nutrient intake from dietary sources. The mean daily nutrient intake from supplemental sources was added to the adjusted dietary intake estimates to produce total usual nutrient intakes for calcium and vitamin D. A total of 53% of the U.S. population reported using any dietary supplement (2003-2006), 43% used calcium (2003-2006), and 37% used vitamin D (2005-2006). For users, dietary supplements provided the adequate intake (AI) recommendation for calcium intake for approximately 12% of those &gt;or=71 y. Males and females aged 1-3 y had the highest prevalence of meeting the AI from dietary and total calcium intakes. For total vitamin D intake, males and females &gt;or=71, and females 14-18 y had the lowest prevalence of meeting the AI. Dietary supplement use is associated with higher prevalence of groups meeting the AI for calcium and vitamin D. Monitoring usual total nutrient intake is necessary to adequately characterize and evaluate the population's nutritional status and adherence to recommendations for nutrient intake.", "author" : [ { "dropping-particle" : "", "family" : "Bailey", "given" : "Regan L", "non-dropping-particle" : "", "parse-names" : false, "suffix" : "" }, { "dropping-particle" : "", "family" : "Dodd", "given" : "Kevin W", "non-dropping-particle" : "", "parse-names" : false, "suffix" : "" }, { "dropping-particle" : "", "family" : "Goldman", "given" : "Joseph A", "non-dropping-particle" : "", "parse-names" : false, "suffix" : "" }, { "dropping-particle" : "", "family" : "Gahche", "given" : "Jaime J", "non-dropping-particle" : "", "parse-names" : false, "suffix" : "" }, { "dropping-particle" : "", "family" : "Dwyer", "given" : "Johanna T", "non-dropping-particle" : "", "parse-names" : false, "suffix" : "" }, { "dropping-particle" : "", "family" : "Moshfegh", "given" : "Alanna J", "non-dropping-particle" : "", "parse-names" : false, "suffix" : "" }, { "dropping-particle" : "", "family" : "Sempos", "given" : "Christopher T", "non-dropping-particle" : "", "parse-names" : false, "suffix" : "" }, { "dropping-particle" : "", "family" : "Picciano", "given" : "Mary Frances", "non-dropping-particle" : "", "parse-names" : false, "suffix" : "" } ], "container-title" : "The Journal of nutrition", "id" : "ITEM-1", "issue" : "4", "issued" : { "date-parts" : [ [ "2010", "4" ] ] }, "page" : "817-22", "title" : "Estimation of total usual calcium and vitamin D intakes in the United States.", "type" : "article-journal", "volume" : "140" }, "uris" : [ "http://www.mendeley.com/documents/?uuid=487e9e4b-124b-47ff-b6c3-4746e45ec7cf" ] } ], "mendeley" : { "formattedCitation" : "(2)", "plainTextFormattedCitation" : "(2)", "previouslyFormattedCitation" : "(2)" }, "properties" : { "noteIndex" : 0 }, "schema" : "https://github.com/citation-style-language/schema/raw/master/csl-citation.json" }</w:instrText>
      </w:r>
      <w:r w:rsidR="008C2C90"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(2)</w:t>
      </w:r>
      <w:r w:rsidR="008C2C90" w:rsidRPr="00BC779C">
        <w:rPr>
          <w:rFonts w:ascii="Times New Roman" w:hAnsi="Times New Roman" w:cs="Times New Roman"/>
          <w:sz w:val="24"/>
          <w:szCs w:val="24"/>
        </w:rPr>
        <w:fldChar w:fldCharType="end"/>
      </w:r>
      <w:r w:rsidRPr="00BC779C">
        <w:rPr>
          <w:rFonts w:ascii="Times New Roman" w:hAnsi="Times New Roman" w:cs="Times New Roman"/>
          <w:sz w:val="24"/>
          <w:szCs w:val="24"/>
        </w:rPr>
        <w:t xml:space="preserve"> thereby increasing the risk of</w:t>
      </w:r>
      <w:r w:rsidR="006A0EB4" w:rsidRPr="00BC779C">
        <w:rPr>
          <w:rFonts w:ascii="Times New Roman" w:hAnsi="Times New Roman" w:cs="Times New Roman"/>
          <w:sz w:val="24"/>
          <w:szCs w:val="24"/>
        </w:rPr>
        <w:t xml:space="preserve"> reduced peak bone mass development and ultimately </w:t>
      </w:r>
      <w:r w:rsidR="00811D23" w:rsidRPr="00BC779C">
        <w:rPr>
          <w:rFonts w:ascii="Times New Roman" w:hAnsi="Times New Roman" w:cs="Times New Roman"/>
          <w:sz w:val="24"/>
          <w:szCs w:val="24"/>
        </w:rPr>
        <w:t xml:space="preserve">increased </w:t>
      </w:r>
      <w:r w:rsidR="006A0EB4" w:rsidRPr="00BC779C">
        <w:rPr>
          <w:rFonts w:ascii="Times New Roman" w:hAnsi="Times New Roman" w:cs="Times New Roman"/>
          <w:sz w:val="24"/>
          <w:szCs w:val="24"/>
        </w:rPr>
        <w:t xml:space="preserve">risk of </w:t>
      </w:r>
      <w:r w:rsidRPr="00BC779C">
        <w:rPr>
          <w:rFonts w:ascii="Times New Roman" w:hAnsi="Times New Roman" w:cs="Times New Roman"/>
          <w:sz w:val="24"/>
          <w:szCs w:val="24"/>
        </w:rPr>
        <w:t>osteoporosis and fractures later in life.</w:t>
      </w:r>
      <w:r w:rsidR="00B844AD" w:rsidRPr="00BC779C" w:rsidDel="00B844AD">
        <w:rPr>
          <w:rFonts w:ascii="Times New Roman" w:hAnsi="Times New Roman" w:cs="Times New Roman"/>
          <w:sz w:val="24"/>
          <w:szCs w:val="24"/>
        </w:rPr>
        <w:t xml:space="preserve"> </w:t>
      </w:r>
      <w:r w:rsidR="008C2C90" w:rsidRPr="00BC779C">
        <w:rPr>
          <w:rFonts w:ascii="Times New Roman" w:hAnsi="Times New Roman" w:cs="Times New Roman"/>
          <w:sz w:val="24"/>
          <w:szCs w:val="24"/>
        </w:rPr>
        <w:t>A strategy for impro</w:t>
      </w:r>
      <w:r w:rsidR="006A0EB4" w:rsidRPr="00BC779C">
        <w:rPr>
          <w:rFonts w:ascii="Times New Roman" w:hAnsi="Times New Roman" w:cs="Times New Roman"/>
          <w:sz w:val="24"/>
          <w:szCs w:val="24"/>
        </w:rPr>
        <w:t>ving calcium nutrition</w:t>
      </w:r>
      <w:r w:rsidR="009D5741" w:rsidRPr="00BC779C">
        <w:rPr>
          <w:rFonts w:ascii="Times New Roman" w:hAnsi="Times New Roman" w:cs="Times New Roman"/>
          <w:sz w:val="24"/>
          <w:szCs w:val="24"/>
        </w:rPr>
        <w:t xml:space="preserve"> is through enhancing </w:t>
      </w:r>
      <w:r w:rsidR="00811D23" w:rsidRPr="00BC779C">
        <w:rPr>
          <w:rFonts w:ascii="Times New Roman" w:hAnsi="Times New Roman" w:cs="Times New Roman"/>
          <w:sz w:val="24"/>
          <w:szCs w:val="24"/>
        </w:rPr>
        <w:t xml:space="preserve">the </w:t>
      </w:r>
      <w:r w:rsidR="009D5741" w:rsidRPr="00BC779C">
        <w:rPr>
          <w:rFonts w:ascii="Times New Roman" w:hAnsi="Times New Roman" w:cs="Times New Roman"/>
          <w:sz w:val="24"/>
          <w:szCs w:val="24"/>
        </w:rPr>
        <w:t>absorption</w:t>
      </w:r>
      <w:r w:rsidR="00811D23" w:rsidRPr="00BC779C">
        <w:rPr>
          <w:rFonts w:ascii="Times New Roman" w:hAnsi="Times New Roman" w:cs="Times New Roman"/>
          <w:sz w:val="24"/>
          <w:szCs w:val="24"/>
        </w:rPr>
        <w:t xml:space="preserve"> of any calcium present in the diet</w:t>
      </w:r>
      <w:r w:rsidR="009D5741" w:rsidRPr="00BC779C">
        <w:rPr>
          <w:rFonts w:ascii="Times New Roman" w:hAnsi="Times New Roman" w:cs="Times New Roman"/>
          <w:sz w:val="24"/>
          <w:szCs w:val="24"/>
        </w:rPr>
        <w:t xml:space="preserve"> </w:t>
      </w:r>
      <w:r w:rsidR="003A29EA" w:rsidRPr="00BC779C">
        <w:rPr>
          <w:rFonts w:ascii="Times New Roman" w:hAnsi="Times New Roman" w:cs="Times New Roman"/>
          <w:sz w:val="24"/>
          <w:szCs w:val="24"/>
        </w:rPr>
        <w:t>with</w:t>
      </w:r>
      <w:r w:rsidR="009D5741" w:rsidRPr="00BC779C">
        <w:rPr>
          <w:rFonts w:ascii="Times New Roman" w:hAnsi="Times New Roman" w:cs="Times New Roman"/>
          <w:sz w:val="24"/>
          <w:szCs w:val="24"/>
        </w:rPr>
        <w:t xml:space="preserve"> </w:t>
      </w:r>
      <w:r w:rsidRPr="00BC779C">
        <w:rPr>
          <w:rFonts w:ascii="Times New Roman" w:hAnsi="Times New Roman" w:cs="Times New Roman"/>
          <w:sz w:val="24"/>
          <w:szCs w:val="24"/>
        </w:rPr>
        <w:t>prebiotic</w:t>
      </w:r>
      <w:r w:rsidR="009C5C74" w:rsidRPr="00BC779C">
        <w:rPr>
          <w:rFonts w:ascii="Times New Roman" w:hAnsi="Times New Roman" w:cs="Times New Roman"/>
          <w:sz w:val="24"/>
          <w:szCs w:val="24"/>
        </w:rPr>
        <w:t xml:space="preserve"> dietary fibers</w:t>
      </w:r>
      <w:r w:rsidRPr="00BC779C">
        <w:rPr>
          <w:rFonts w:ascii="Times New Roman" w:hAnsi="Times New Roman" w:cs="Times New Roman"/>
          <w:sz w:val="24"/>
          <w:szCs w:val="24"/>
        </w:rPr>
        <w:t>, such as non-digestible oligo</w:t>
      </w:r>
      <w:r w:rsidR="00811D23" w:rsidRPr="00BC779C">
        <w:rPr>
          <w:rFonts w:ascii="Times New Roman" w:hAnsi="Times New Roman" w:cs="Times New Roman"/>
          <w:sz w:val="24"/>
          <w:szCs w:val="24"/>
        </w:rPr>
        <w:t>- and poly</w:t>
      </w:r>
      <w:r w:rsidRPr="00BC779C">
        <w:rPr>
          <w:rFonts w:ascii="Times New Roman" w:hAnsi="Times New Roman" w:cs="Times New Roman"/>
          <w:sz w:val="24"/>
          <w:szCs w:val="24"/>
        </w:rPr>
        <w:t>saccharides</w:t>
      </w:r>
      <w:r w:rsidR="000B10EA" w:rsidRPr="00BC779C">
        <w:rPr>
          <w:rFonts w:ascii="Times New Roman" w:hAnsi="Times New Roman" w:cs="Times New Roman"/>
          <w:sz w:val="24"/>
          <w:szCs w:val="24"/>
        </w:rPr>
        <w:t xml:space="preserve"> </w:t>
      </w:r>
      <w:r w:rsidR="00280E2D"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"10.1007/s11914-015-0257-0", "ISSN" : "1544-2241", "PMID" : "25616772", "abstract" : "Interactions between the environment, the gut microbiome, and host characteristics that influence bone health are beginning to be explored. This is the first area where functional benefits from diet-induced changes in the gut microbiome have been reported for healthy people. Several prebiotics that reach the lower intestine have resulted in an altered gut microbiome that is thought to enhance fermentation of the fibers to produce short-chain fatty acids. These changes are positively correlated with increases in fractional calcium absorption in adolescents and with increases in measures of bone density and strength in animal models. New methodologies are available to explore mechanisms and to refine intervention strategies.", "author" : [ { "dropping-particle" : "", "family" : "Weaver", "given" : "Connie M", "non-dropping-particle" : "", "parse-names" : false, "suffix" : "" } ], "container-title" : "Current osteoporosis reports", "id" : "ITEM-1", "issue" : "2", "issued" : { "date-parts" : [ [ "2015", "4" ] ] }, "page" : "125-30", "title" : "Diet, gut microbiome, and bone health", "type" : "article-journal", "volume" : "13" }, "uris" : [ "http://www.mendeley.com/documents/?uuid=8a737ff7-431a-4d0a-9cf4-a6f1d3d78647" ] } ], "mendeley" : { "formattedCitation" : "(3)", "plainTextFormattedCitation" : "(3)", "previouslyFormattedCitation" : "(3)" }, "properties" : { "noteIndex" : 0 }, "schema" : "https://github.com/citation-style-language/schema/raw/master/csl-citation.json" }</w:instrText>
      </w:r>
      <w:r w:rsidR="00280E2D"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(3)</w:t>
      </w:r>
      <w:r w:rsidR="00280E2D" w:rsidRPr="00BC779C">
        <w:rPr>
          <w:rFonts w:ascii="Times New Roman" w:hAnsi="Times New Roman" w:cs="Times New Roman"/>
          <w:sz w:val="24"/>
          <w:szCs w:val="24"/>
        </w:rPr>
        <w:fldChar w:fldCharType="end"/>
      </w:r>
      <w:r w:rsidR="000B10EA" w:rsidRPr="00BC779C">
        <w:rPr>
          <w:rFonts w:ascii="Times New Roman" w:hAnsi="Times New Roman" w:cs="Times New Roman"/>
          <w:sz w:val="24"/>
          <w:szCs w:val="24"/>
        </w:rPr>
        <w:t>.</w:t>
      </w:r>
      <w:r w:rsidR="00930D2D" w:rsidRPr="00BC779C">
        <w:rPr>
          <w:rFonts w:ascii="Times New Roman" w:hAnsi="Times New Roman" w:cs="Times New Roman"/>
          <w:sz w:val="24"/>
          <w:szCs w:val="24"/>
        </w:rPr>
        <w:t xml:space="preserve"> In addition to the numerous health benefits associated with prebiotic consumption, the impact of such bioactive fibers on skeletal health is less well recognized.</w:t>
      </w:r>
    </w:p>
    <w:p w14:paraId="47C7467F" w14:textId="361960A3" w:rsidR="009F16FB" w:rsidRPr="00BC779C" w:rsidRDefault="009F16FB"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Known for its association with improved intestinal health</w:t>
      </w:r>
      <w:r w:rsidR="000B10EA" w:rsidRPr="00BC779C">
        <w:rPr>
          <w:rFonts w:ascii="Times New Roman" w:hAnsi="Times New Roman" w:cs="Times New Roman"/>
          <w:sz w:val="24"/>
          <w:szCs w:val="24"/>
        </w:rPr>
        <w:t xml:space="preserve"> </w:t>
      </w:r>
      <w:r w:rsidR="008C2C90" w:rsidRPr="00BC779C">
        <w:rPr>
          <w:rFonts w:ascii="Times New Roman" w:hAnsi="Times New Roman" w:cs="Times New Roman"/>
          <w:sz w:val="24"/>
          <w:szCs w:val="24"/>
        </w:rPr>
        <w:fldChar w:fldCharType="begin" w:fldLock="1"/>
      </w:r>
      <w:r w:rsidR="00636820" w:rsidRPr="00BC779C">
        <w:rPr>
          <w:rFonts w:ascii="Times New Roman" w:hAnsi="Times New Roman" w:cs="Times New Roman"/>
          <w:sz w:val="24"/>
          <w:szCs w:val="24"/>
        </w:rPr>
        <w:instrText>ADDIN CSL_CITATION { "citationItems" : [ { "id" : "ITEM-1", "itemData" : { "DOI" : "10.3945/jn.111.139022", "ISSN" : "1541-6100", "PMID" : "21562241", "abstract" : "Our goal in this study was to determine the potential for dietary fibers to prevent gut inflammation in IL-10-deficient (IL-10(-/-)) mice. C57BL/6J wild-type (WT) mice (n = 90) and IL-10(-/-) mice (n = 185) were assigned to a control diet or diets supplemented with PROMITOR soluble corn fiber (SCF), STA-LITE III polydextrose (PDX), Biogum (BG), Pullulan (PI-20), PROMITOR resistant starch-75 (RS-75), SCF&amp;BG, RS-75&amp;BG, and inulin (4 g fiber/100 g diet). On d 47, spleen, mesenteric lymph nodes (MLN), duodenum, jejunum, ileum, and colon were macroscopically and histologically evaluated. The spleen and Peyer's patches (PP) were collected for isolating mononuclear cells and measuring the percentages of regulatory T cells (Treg) and cytokines produced by CD4(+) T cells (i.e. IFN\u03b3 and IL-10). Dietary supplementation with RS-75, SCF, RS-75&amp;BG, and inulin ameliorated disease activity on d 47. Dietary RS-75 and inulin supplementation decreased ileal and colonic inflammatory lesions. RS-75, SCF, and inulin decreased IFN\u03b3 production by effector CD4(+) T cells from PP and RS-75 increased the IL-10-expressing cells in spleen of WT mice. Dietary SCF, PDX, BG, PI-20, and RS-75 upregulated colonic PPAR\u03b3 expression in WT mice and SCF upregulated Supressor of cytokine signaling 3 in IL-10(-/-) mice. These data suggest that soluble fibers and resistant starch influence Treg cells, IFN\u03b3, and colonic PPAR\u03b3 expression to suppress gut inflammation.", "author" : [ { "dropping-particle" : "", "family" : "Bassaganya-Riera", "given" : "Josep", "non-dropping-particle" : "", "parse-names" : false, "suffix" : "" }, { "dropping-particle" : "", "family" : "DiGuardo", "given" : "Margaret", "non-dropping-particle" : "", "parse-names" : false, "suffix" : "" }, { "dropping-particle" : "", "family" : "Viladomiu", "given" : "Monica", "non-dropping-particle" : "", "parse-names" : false, "suffix" : "" }, { "dropping-particle" : "", "family" : "Horna", "given" : "Anibal", "non-dropping-particle" : "de", "parse-names" : false, "suffix" : "" }, { "dropping-particle" : "", "family" : "Sanchez", "given" : "Sandra", "non-dropping-particle" : "", "parse-names" : false, "suffix" : "" }, { "dropping-particle" : "", "family" : "Einerhand", "given" : "Alexandra W C", "non-dropping-particle" : "", "parse-names" : false, "suffix" : "" }, { "dropping-particle" : "", "family" : "Sanders", "given" : "Lisa", "non-dropping-particle" : "", "parse-names" : false, "suffix" : "" }, { "dropping-particle" : "", "family" : "Hontecillas", "given" : "Raquel", "non-dropping-particle" : "", "parse-names" : false, "suffix" : "" } ], "container-title" : "The Journal of nutrition", "id" : "ITEM-1", "issue" : "7", "issued" : { "date-parts" : [ [ "2011", "7" ] ] }, "page" : "1318-25", "title" : "Soluble fibers and resistant starch ameliorate disease activity in interleukin-10-deficient mice with inflammatory bowel disease.", "type" : "article-journal", "volume" : "141" }, "uris" : [ "http://www.mendeley.com/documents/?uuid=80c5d52f-d777-46a6-bc1f-c94215eac702" ] }, { "id" : "ITEM-2", "itemData" : { "DOI" : "10.3390/nu5020396", "ISSN" : "2072-6643", "PMID" : "23381099", "abstract" : "The objective of this study was to evaluate health outcomes resulting from dietary supplementation of novel, low-digestible carbohydrates in the cecum and colon of Sprague-Dawley rats randomly assigned to one of four treatment groups for 21 days: 5% cellulose (Control), Pectin, soluble fiber dextrin (SFD), or soluble corn fiber (SCF). Rats fed Pectin had a higher average daily food intake, but no differences in final body weights or rates of weight gain among treatments were observed. No differences were observed in total short-chain fatty acid (SCFA) or branched-chain fatty acid (BCFA) concentrations in the cecum and colon of rats fed either SFD or SCF. The SFD and SCF treatments increased cecal propionate and decreased butyrate concentrations compared to Control or Pectin. Pectin resulted in increased BCFA in the cecum and colon. Supplementation of SFD and SCF had no effect on cecal microbial populations compared to Control. Consumption of SFD and SCF increased total and empty cecal weight but not colon weight. Gut histomorphology was positively affected by SFD and SCF. Increased crypt depth, goblet cell numbers, and acidic mucin were observed in both the cecum and colon of rats supplemented with SFD, SCF, and Pectin. These novel, low-digestible carbohydrates appear to be beneficial in modulating indices of hindgut morphology when supplemented in the diet of the rat.", "author" : [ { "dropping-particle" : "", "family" : "Knapp", "given" : "Brenda", "non-dropping-particle" : "", "parse-names" : false, "suffix" : "" }, { "dropping-particle" : "", "family" : "Bauer", "given" : "Laura", "non-dropping-particle" : "", "parse-names" : false, "suffix" : "" }, { "dropping-particle" : "", "family" : "Swanson", "given" : "Kelly", "non-dropping-particle" : "", "parse-names" : false, "suffix" : "" }, { "dropping-particle" : "", "family" : "Tappenden", "given" : "Kelly", "non-dropping-particle" : "", "parse-names" : false, "suffix" : "" }, { "dropping-particle" : "", "family" : "Fahey", "given" : "George", "non-dropping-particle" : "", "parse-names" : false, "suffix" : "" }, { "dropping-particle" : "", "family" : "Godoy", "given" : "Maria", "non-dropping-particle" : "de", "parse-names" : false, "suffix" : "" } ], "container-title" : "Nutrients", "id" : "ITEM-2", "issue" : "2", "issued" : { "date-parts" : [ [ "2013", "2", "4" ] ] }, "page" : "396-410", "title" : "Soluble fiber dextrin and soluble corn fiber supplementation modify indices of health in cecum and colon of sprague-dawley rats", "type" : "article-journal", "volume" : "5" }, "uris" : [ "http://www.mendeley.com/documents/?uuid=8639c2ce-81ee-4393-b0d7-8bbf5fc504d4" ] } ], "mendeley" : { "formattedCitation" : "(4,5)", "plainTextFormattedCitation" : "(4,5)", "previouslyFormattedCitation" : "(4,5)" }, "properties" : { "noteIndex" : 0 }, "schema" : "https://github.com/citation-style-language/schema/raw/master/csl-citation.json" }</w:instrText>
      </w:r>
      <w:r w:rsidR="008C2C90"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(4,5)</w:t>
      </w:r>
      <w:r w:rsidR="008C2C90" w:rsidRPr="00BC779C">
        <w:rPr>
          <w:rFonts w:ascii="Times New Roman" w:hAnsi="Times New Roman" w:cs="Times New Roman"/>
          <w:sz w:val="24"/>
          <w:szCs w:val="24"/>
        </w:rPr>
        <w:fldChar w:fldCharType="end"/>
      </w:r>
      <w:r w:rsidR="008C2C90" w:rsidRPr="00BC779C">
        <w:rPr>
          <w:rFonts w:ascii="Times New Roman" w:hAnsi="Times New Roman" w:cs="Times New Roman"/>
          <w:sz w:val="24"/>
          <w:szCs w:val="24"/>
        </w:rPr>
        <w:t xml:space="preserve"> </w:t>
      </w:r>
      <w:r w:rsidRPr="00BC779C">
        <w:rPr>
          <w:rFonts w:ascii="Times New Roman" w:hAnsi="Times New Roman" w:cs="Times New Roman"/>
          <w:sz w:val="24"/>
          <w:szCs w:val="24"/>
        </w:rPr>
        <w:t xml:space="preserve">and influence on colonic </w:t>
      </w:r>
      <w:r w:rsidR="00042A89" w:rsidRPr="00BC779C">
        <w:rPr>
          <w:rFonts w:ascii="Times New Roman" w:hAnsi="Times New Roman" w:cs="Times New Roman"/>
          <w:sz w:val="24"/>
          <w:szCs w:val="24"/>
        </w:rPr>
        <w:t xml:space="preserve">microbiota </w:t>
      </w:r>
      <w:r w:rsidRPr="00BC779C">
        <w:rPr>
          <w:rFonts w:ascii="Times New Roman" w:hAnsi="Times New Roman" w:cs="Times New Roman"/>
          <w:sz w:val="24"/>
          <w:szCs w:val="24"/>
        </w:rPr>
        <w:t>content</w:t>
      </w:r>
      <w:r w:rsidR="000B10EA" w:rsidRPr="00BC779C">
        <w:rPr>
          <w:rFonts w:ascii="Times New Roman" w:hAnsi="Times New Roman" w:cs="Times New Roman"/>
          <w:sz w:val="24"/>
          <w:szCs w:val="24"/>
        </w:rPr>
        <w:t xml:space="preserve"> </w:t>
      </w:r>
      <w:r w:rsidR="005B2692"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"10.1017/S0007114513000019", "ISSN" : "1475-2662", "PMID" : "23388502", "abstract" : "Fibre has been shown to exert a number of benefits on gastrointestinal (GI) health, yet its intake is low. Addition of novel fibres to food products may increase fibre intake and improve gut health. The objective of the present study was to evaluate the influence of three novel fibres on GI outcomes in healthy human subjects. A total of twenty healthy participants (ten men and ten women) with normal BMI (23 (sem 2) kg/m2) participated in the present randomised, double-blind, cross-over study with five treatment periods. Participants consumed a maltodextrin control or 20\u201325 g/d fibre from soluble maize fibre (SCF) or resistant starch (RS), alone or in combination with pullulan (SCF+P and RS+P). The treatment periods were 7 d with a 3-week washout between the periods. Stool samples were collected on day 7 of each period, and GI tolerance was assessed via a questionnaire on days 1 and 6. There were no treatment differences in stool weight or consistency. SCF significantly reduced stool pH and increased total SCFA production compared with RS and control. RS+P significantly increased the percentage of butyrate compared with all the other treatments. Overall, GI symptoms were minimal. SCF+P led to the highest GI score on day 1, while RS+P had the highest score on day 6. Both SCF treatments caused a significant shift in the gut microbial community. These functional fibres are generally well tolerated, have minimal effects on laxation and may lead to beneficial changes in SCFA production in healthy adults.", "author" : [ { "dropping-particle" : "", "family" : "Klosterbuer", "given" : "Abby S", "non-dropping-particle" : "", "parse-names" : false, "suffix" : "" }, { "dropping-particle" : "", "family" : "Hullar", "given" : "Meredith A J", "non-dropping-particle" : "", "parse-names" : false, "suffix" : "" }, { "dropping-particle" : "", "family" : "Li", "given" : "Fei", "non-dropping-particle" : "", "parse-names" : false, "suffix" : "" }, { "dropping-particle" : "", "family" : "Traylor", "given" : "Elizabeth", "non-dropping-particle" : "", "parse-names" : false, "suffix" : "" }, { "dropping-particle" : "", "family" : "Lampe", "given" : "Johanna W", "non-dropping-particle" : "", "parse-names" : false, "suffix" : "" }, { "dropping-particle" : "", "family" : "Thomas", "given" : "William", "non-dropping-particle" : "", "parse-names" : false, "suffix" : "" }, { "dropping-particle" : "", "family" : "Slavin", "given" : "Joanne L", "non-dropping-particle" : "", "parse-names" : false, "suffix" : "" } ], "container-title" : "The British journal of nutrition", "id" : "ITEM-1", "issue" : "6", "issued" : { "date-parts" : [ [ "2013", "9", "28" ] ] }, "page" : "1068-74", "title" : "Gastrointestinal effects of resistant starch, soluble maize fibre and pullulan in healthy adults", "type" : "article-journal", "volume" : "110" }, "uris" : [ "http://www.mendeley.com/documents/?uuid=c023783c-9be6-4e18-919b-9c124ded644a" ] }, { "id" : "ITEM-2", "itemData" : { "ISSN" : "1541-1087", "PMID" : "20516265", "abstract" : "OBJECTIVE: To investigate the effect of 5 newly developed maize-based fibers on the activity and composition of the microbiota in the colon. The fibers tested were glucose-based and had variable structures, including 2 resistant starch preparations, soluble corn fiber, pullulan, and soluble fiber dextrin. METHODS: The fibers were predigested, mono- and disaccharides were removed, and the residual polymer was used to assess the production of microbial metabolites and changes in composition of the microbiota using a dynamic, validated, in vitro model of the large intestine. RESULTS: Microbial metabolite analysis showed an increase in short-chain fatty acids for all fibers, with varying levels of butyrate production for each fiber. The greatest increase of butyrate, both in terms of absolute amounts and as a proportion of total short-chain fatty acids, was observed for pullulan. All fibers also reduced toxic metabolites from protein fermentation compared to the poorly fermentable control (cellulose). Microbial composition was assessed using a micro-array platform. All fibers showed increases of bifidobacteria and some Lactobacillus species, although different species were stimulated by different fibers. Pullulan showed the largest increase of bifidobacteria. CONCLUSIONS: All fibers showed prebiotic activity in terms of increases in growth and/or activity of beneficial microbes. In addition, compared to the control, health-promoting metabolites were produced in higher amounts, while putrefactive metabolites were reduced for all fibers. The importance of the findings lies in the fact that the newly developed, maize-based fibers shift the intestinal environment to a healthier milieu, with increased health-promoting metabolites and health-beneficial microbes.", "author" : [ { "dropping-particle" : "", "family" : "Maathuis", "given" : "Annet", "non-dropping-particle" : "", "parse-names" : false, "suffix" : "" }, { "dropping-particle" : "", "family" : "Hoffman", "given" : "Andrew", "non-dropping-particle" : "", "parse-names" : false, "suffix" : "" }, { "dropping-particle" : "", "family" : "Evans", "given" : "Annette", "non-dropping-particle" : "", "parse-names" : false, "suffix" : "" }, { "dropping-particle" : "", "family" : "Sanders", "given" : "Lisa", "non-dropping-particle" : "", "parse-names" : false, "suffix" : "" }, { "dropping-particle" : "", "family" : "Venema", "given" : "Koen", "non-dropping-particle" : "", "parse-names" : false, "suffix" : "" } ], "container-title" : "Journal of the American College of Nutrition", "id" : "ITEM-2", "issue" : "6", "issued" : { "date-parts" : [ [ "2009", "12" ] ] }, "page" : "657-66", "title" : "The effect of the undigested fraction of maize products on the activity and composition of the microbiota determined in a dynamic in vitro model of the human proximal large intestine", "type" : "article-journal", "volume" : "28" }, "uris" : [ "http://www.mendeley.com/documents/?uuid=6e8966b7-5647-4cdb-b118-874696b66c1a" ] } ], "mendeley" : { "formattedCitation" : "(6,7)", "plainTextFormattedCitation" : "(6,7)", "previouslyFormattedCitation" : "(6,7)" }, "properties" : { "noteIndex" : 0 }, "schema" : "https://github.com/citation-style-language/schema/raw/master/csl-citation.json" }</w:instrText>
      </w:r>
      <w:r w:rsidR="005B2692"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(6,7)</w:t>
      </w:r>
      <w:r w:rsidR="005B2692" w:rsidRPr="00BC779C">
        <w:rPr>
          <w:rFonts w:ascii="Times New Roman" w:hAnsi="Times New Roman" w:cs="Times New Roman"/>
          <w:sz w:val="24"/>
          <w:szCs w:val="24"/>
        </w:rPr>
        <w:fldChar w:fldCharType="end"/>
      </w:r>
      <w:r w:rsidR="000B10EA" w:rsidRPr="00BC779C">
        <w:rPr>
          <w:rFonts w:ascii="Times New Roman" w:hAnsi="Times New Roman" w:cs="Times New Roman"/>
          <w:sz w:val="24"/>
          <w:szCs w:val="24"/>
        </w:rPr>
        <w:t>,</w:t>
      </w:r>
      <w:r w:rsidR="005B2692" w:rsidRPr="00BC779C">
        <w:rPr>
          <w:rFonts w:ascii="Times New Roman" w:hAnsi="Times New Roman" w:cs="Times New Roman"/>
          <w:sz w:val="24"/>
          <w:szCs w:val="24"/>
        </w:rPr>
        <w:t xml:space="preserve"> </w:t>
      </w:r>
      <w:hyperlink w:anchor="_ENREF_3" w:tooltip="Maathuis, 2009 #186" w:history="1"/>
      <w:r w:rsidR="00F16D02" w:rsidRPr="00BC779C">
        <w:rPr>
          <w:rFonts w:ascii="Times New Roman" w:hAnsi="Times New Roman" w:cs="Times New Roman"/>
          <w:sz w:val="24"/>
          <w:szCs w:val="24"/>
        </w:rPr>
        <w:t xml:space="preserve"> the corn-derived non-digestible carbohydrate</w:t>
      </w:r>
      <w:r w:rsidRPr="00BC779C">
        <w:rPr>
          <w:rFonts w:ascii="Times New Roman" w:hAnsi="Times New Roman" w:cs="Times New Roman"/>
          <w:sz w:val="24"/>
          <w:szCs w:val="24"/>
        </w:rPr>
        <w:t>, soluble corn fiber (SCF)</w:t>
      </w:r>
      <w:r w:rsidR="00EF15C2" w:rsidRPr="00BC779C">
        <w:rPr>
          <w:rFonts w:ascii="Times New Roman" w:hAnsi="Times New Roman" w:cs="Times New Roman"/>
          <w:sz w:val="24"/>
          <w:szCs w:val="24"/>
        </w:rPr>
        <w:t>,</w:t>
      </w:r>
      <w:r w:rsidRPr="00BC779C">
        <w:rPr>
          <w:rFonts w:ascii="Times New Roman" w:hAnsi="Times New Roman" w:cs="Times New Roman"/>
          <w:sz w:val="24"/>
          <w:szCs w:val="24"/>
        </w:rPr>
        <w:t xml:space="preserve"> has recently been evaluated for its beneficial effects on calcium absorption and bone health. SCF has been found to greatly enhance calcium utilization and bone </w:t>
      </w:r>
      <w:r w:rsidR="00B33C3E" w:rsidRPr="00BC779C">
        <w:rPr>
          <w:rFonts w:ascii="Times New Roman" w:hAnsi="Times New Roman" w:cs="Times New Roman"/>
          <w:sz w:val="24"/>
          <w:szCs w:val="24"/>
        </w:rPr>
        <w:t xml:space="preserve">strength </w:t>
      </w:r>
      <w:r w:rsidRPr="00BC779C">
        <w:rPr>
          <w:rFonts w:ascii="Times New Roman" w:hAnsi="Times New Roman" w:cs="Times New Roman"/>
          <w:sz w:val="24"/>
          <w:szCs w:val="24"/>
        </w:rPr>
        <w:t>pr</w:t>
      </w:r>
      <w:r w:rsidR="00B33C3E" w:rsidRPr="00BC779C">
        <w:rPr>
          <w:rFonts w:ascii="Times New Roman" w:hAnsi="Times New Roman" w:cs="Times New Roman"/>
          <w:sz w:val="24"/>
          <w:szCs w:val="24"/>
        </w:rPr>
        <w:t>operties in a growing rat model</w:t>
      </w:r>
      <w:r w:rsidR="00C96982" w:rsidRPr="00BC779C">
        <w:rPr>
          <w:rFonts w:ascii="Times New Roman" w:hAnsi="Times New Roman" w:cs="Times New Roman"/>
          <w:sz w:val="24"/>
          <w:szCs w:val="24"/>
        </w:rPr>
        <w:t xml:space="preserve"> more than other novel fibers</w:t>
      </w:r>
      <w:r w:rsidR="00B33C3E" w:rsidRPr="00BC779C">
        <w:rPr>
          <w:rFonts w:ascii="Times New Roman" w:hAnsi="Times New Roman" w:cs="Times New Roman"/>
          <w:sz w:val="24"/>
          <w:szCs w:val="24"/>
        </w:rPr>
        <w:t xml:space="preserve"> </w:t>
      </w:r>
      <w:r w:rsidR="005B2692" w:rsidRPr="00BC779C">
        <w:rPr>
          <w:rFonts w:ascii="Times New Roman" w:hAnsi="Times New Roman" w:cs="Times New Roman"/>
          <w:sz w:val="24"/>
          <w:szCs w:val="24"/>
        </w:rPr>
        <w:fldChar w:fldCharType="begin" w:fldLock="1"/>
      </w:r>
      <w:r w:rsidR="00636820" w:rsidRPr="00BC779C">
        <w:rPr>
          <w:rFonts w:ascii="Times New Roman" w:hAnsi="Times New Roman" w:cs="Times New Roman"/>
          <w:sz w:val="24"/>
          <w:szCs w:val="24"/>
        </w:rPr>
        <w:instrText>ADDIN CSL_CITATION { "citationItems" : [ { "id" : "ITEM-1", "itemData" : { "DOI" : "10.1021/jf904086d", "ISSN" : "0021-8561", "PMID" : "20677817", "abstract" : "Dietary fibers are thought to benefit bone health through increasing mineral absorption and retention following fermentation in the lower gut and solubilization of minerals. This study compared eight fibers to cellulose following a 12 week intervention for production of short-chain fatty acids (SCFA), calcium absorption, mineral retention and bone content, and bone density and strength in a weanling rat model. Benefits to bone were poorly to modestly related to SCFA production, calcium absorption, or mineral retention, but some parameters were better predicted by cecal content weight, suggesting other mechanisms may be important. Nevertheless, two resistant starches, a soluble fiber dextrin and Polydextrose, increased bone calcium content. Soluble corn fiber and soluble fiber dextrin had the greatest benefit to bone properties including whole body bone mineral content and density and greater volumetric bone mineral density, cortical thickness and area, and peak breaking strength of the distal femur.", "author" : [ { "dropping-particle" : "", "family" : "Weaver", "given" : "Connie M.", "non-dropping-particle" : "", "parse-names" : false, "suffix" : "" }, { "dropping-particle" : "", "family" : "Martin", "given" : "Berdine R.", "non-dropping-particle" : "", "parse-names" : false, "suffix" : "" }, { "dropping-particle" : "", "family" : "Story", "given" : "Jon A.", "non-dropping-particle" : "", "parse-names" : false, "suffix" : "" }, { "dropping-particle" : "", "family" : "Hutchinson", "given" : "Ingrid", "non-dropping-particle" : "", "parse-names" : false, "suffix" : "" }, { "dropping-particle" : "", "family" : "Sanders", "given" : "Lisa", "non-dropping-particle" : "", "parse-names" : false, "suffix" : "" } ], "container-title" : "Journal of Agricultural and Food Chemistry", "id" : "ITEM-1", "issue" : "16", "issued" : { "date-parts" : [ [ "2010", "8", "25" ] ] }, "page" : "8952-8957", "title" : "Novel fibers increase bone calcium content and strength beyond efficiency of large intestine fermentation", "type" : "article-journal", "volume" : "58" }, "uris" : [ "http://www.mendeley.com/documents/?uuid=d294ca92-0f5a-4863-8fd3-0627e41503f1" ] } ], "mendeley" : { "formattedCitation" : "(8)", "plainTextFormattedCitation" : "(8)", "previouslyFormattedCitation" : "(8)" }, "properties" : { "noteIndex" : 0 }, "schema" : "https://github.com/citation-style-language/schema/raw/master/csl-citation.json" }</w:instrText>
      </w:r>
      <w:r w:rsidR="005B2692"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(8)</w:t>
      </w:r>
      <w:r w:rsidR="005B2692" w:rsidRPr="00BC779C">
        <w:rPr>
          <w:rFonts w:ascii="Times New Roman" w:hAnsi="Times New Roman" w:cs="Times New Roman"/>
          <w:sz w:val="24"/>
          <w:szCs w:val="24"/>
        </w:rPr>
        <w:fldChar w:fldCharType="end"/>
      </w:r>
      <w:r w:rsidR="000B10EA" w:rsidRPr="00BC779C">
        <w:rPr>
          <w:rFonts w:ascii="Times New Roman" w:hAnsi="Times New Roman" w:cs="Times New Roman"/>
          <w:sz w:val="24"/>
          <w:szCs w:val="24"/>
        </w:rPr>
        <w:t>.</w:t>
      </w:r>
      <w:r w:rsidR="009D5741" w:rsidRPr="00BC779C">
        <w:rPr>
          <w:rFonts w:ascii="Times New Roman" w:hAnsi="Times New Roman" w:cs="Times New Roman"/>
          <w:sz w:val="24"/>
          <w:szCs w:val="24"/>
        </w:rPr>
        <w:t xml:space="preserve">  </w:t>
      </w:r>
      <w:r w:rsidR="00B33C3E" w:rsidRPr="00BC779C">
        <w:rPr>
          <w:rFonts w:ascii="Times New Roman" w:hAnsi="Times New Roman" w:cs="Times New Roman"/>
          <w:sz w:val="24"/>
          <w:szCs w:val="24"/>
        </w:rPr>
        <w:t>We</w:t>
      </w:r>
      <w:r w:rsidR="009D5741" w:rsidRPr="00BC779C">
        <w:rPr>
          <w:rFonts w:ascii="Times New Roman" w:hAnsi="Times New Roman" w:cs="Times New Roman"/>
          <w:sz w:val="24"/>
          <w:szCs w:val="24"/>
        </w:rPr>
        <w:t xml:space="preserve"> demonstrated in an</w:t>
      </w:r>
      <w:r w:rsidR="00B33C3E" w:rsidRPr="00BC779C">
        <w:rPr>
          <w:rFonts w:ascii="Times New Roman" w:hAnsi="Times New Roman" w:cs="Times New Roman"/>
          <w:sz w:val="24"/>
          <w:szCs w:val="24"/>
        </w:rPr>
        <w:t xml:space="preserve"> earlier</w:t>
      </w:r>
      <w:r w:rsidR="009D5741" w:rsidRPr="00BC779C">
        <w:rPr>
          <w:rFonts w:ascii="Times New Roman" w:hAnsi="Times New Roman" w:cs="Times New Roman"/>
          <w:sz w:val="24"/>
          <w:szCs w:val="24"/>
        </w:rPr>
        <w:t xml:space="preserve"> efficacy study using two </w:t>
      </w:r>
      <w:r w:rsidR="00BF67CE" w:rsidRPr="00BC779C">
        <w:rPr>
          <w:rFonts w:ascii="Times New Roman" w:hAnsi="Times New Roman" w:cs="Times New Roman"/>
          <w:sz w:val="24"/>
          <w:szCs w:val="24"/>
        </w:rPr>
        <w:t xml:space="preserve">randomized </w:t>
      </w:r>
      <w:r w:rsidR="009D5741" w:rsidRPr="00BC779C">
        <w:rPr>
          <w:rFonts w:ascii="Times New Roman" w:hAnsi="Times New Roman" w:cs="Times New Roman"/>
          <w:sz w:val="24"/>
          <w:szCs w:val="24"/>
        </w:rPr>
        <w:t>3-wk (0 and 12 g</w:t>
      </w:r>
      <w:r w:rsidR="005B2832" w:rsidRPr="00BC779C">
        <w:rPr>
          <w:rFonts w:ascii="Times New Roman" w:hAnsi="Times New Roman" w:cs="Times New Roman"/>
          <w:sz w:val="24"/>
          <w:szCs w:val="24"/>
        </w:rPr>
        <w:t>/d</w:t>
      </w:r>
      <w:r w:rsidR="009D5741" w:rsidRPr="00BC779C">
        <w:rPr>
          <w:rFonts w:ascii="Times New Roman" w:hAnsi="Times New Roman" w:cs="Times New Roman"/>
          <w:sz w:val="24"/>
          <w:szCs w:val="24"/>
        </w:rPr>
        <w:t xml:space="preserve"> </w:t>
      </w:r>
      <w:r w:rsidR="005B2832" w:rsidRPr="00BC779C">
        <w:rPr>
          <w:rFonts w:ascii="Times New Roman" w:hAnsi="Times New Roman" w:cs="Times New Roman"/>
          <w:sz w:val="24"/>
          <w:szCs w:val="24"/>
        </w:rPr>
        <w:t>fiber</w:t>
      </w:r>
      <w:r w:rsidR="009D5741" w:rsidRPr="00BC779C">
        <w:rPr>
          <w:rFonts w:ascii="Times New Roman" w:hAnsi="Times New Roman" w:cs="Times New Roman"/>
          <w:sz w:val="24"/>
          <w:szCs w:val="24"/>
        </w:rPr>
        <w:t>)</w:t>
      </w:r>
      <w:r w:rsidR="005B2692" w:rsidRPr="00BC779C">
        <w:rPr>
          <w:rFonts w:ascii="Times New Roman" w:hAnsi="Times New Roman" w:cs="Times New Roman"/>
          <w:sz w:val="24"/>
          <w:szCs w:val="24"/>
        </w:rPr>
        <w:t xml:space="preserve"> </w:t>
      </w:r>
      <w:r w:rsidR="009D5741" w:rsidRPr="00BC779C">
        <w:rPr>
          <w:rFonts w:ascii="Times New Roman" w:hAnsi="Times New Roman" w:cs="Times New Roman"/>
          <w:sz w:val="24"/>
          <w:szCs w:val="24"/>
        </w:rPr>
        <w:t xml:space="preserve">controlled feeding </w:t>
      </w:r>
      <w:r w:rsidR="00BF67CE" w:rsidRPr="00BC779C">
        <w:rPr>
          <w:rFonts w:ascii="Times New Roman" w:hAnsi="Times New Roman" w:cs="Times New Roman"/>
          <w:sz w:val="24"/>
          <w:szCs w:val="24"/>
        </w:rPr>
        <w:t>sessions</w:t>
      </w:r>
      <w:r w:rsidR="009D5741" w:rsidRPr="00BC779C">
        <w:rPr>
          <w:rFonts w:ascii="Times New Roman" w:hAnsi="Times New Roman" w:cs="Times New Roman"/>
          <w:sz w:val="24"/>
          <w:szCs w:val="24"/>
        </w:rPr>
        <w:t xml:space="preserve"> in </w:t>
      </w:r>
      <w:r w:rsidRPr="00BC779C">
        <w:rPr>
          <w:rFonts w:ascii="Times New Roman" w:hAnsi="Times New Roman" w:cs="Times New Roman"/>
          <w:sz w:val="24"/>
          <w:szCs w:val="24"/>
        </w:rPr>
        <w:t xml:space="preserve">adolescent boys and girls </w:t>
      </w:r>
      <w:r w:rsidR="009D5741" w:rsidRPr="00BC779C">
        <w:rPr>
          <w:rFonts w:ascii="Times New Roman" w:hAnsi="Times New Roman" w:cs="Times New Roman"/>
          <w:sz w:val="24"/>
          <w:szCs w:val="24"/>
        </w:rPr>
        <w:t>that</w:t>
      </w:r>
      <w:r w:rsidR="005B2692" w:rsidRPr="00BC779C">
        <w:rPr>
          <w:rFonts w:ascii="Times New Roman" w:hAnsi="Times New Roman" w:cs="Times New Roman"/>
          <w:sz w:val="24"/>
          <w:szCs w:val="24"/>
        </w:rPr>
        <w:t xml:space="preserve"> </w:t>
      </w:r>
      <w:r w:rsidR="009D5741" w:rsidRPr="00BC779C">
        <w:rPr>
          <w:rFonts w:ascii="Times New Roman" w:hAnsi="Times New Roman" w:cs="Times New Roman"/>
          <w:sz w:val="24"/>
          <w:szCs w:val="24"/>
        </w:rPr>
        <w:t>SCF increased</w:t>
      </w:r>
      <w:r w:rsidRPr="00BC779C">
        <w:rPr>
          <w:rFonts w:ascii="Times New Roman" w:hAnsi="Times New Roman" w:cs="Times New Roman"/>
          <w:sz w:val="24"/>
          <w:szCs w:val="24"/>
        </w:rPr>
        <w:t xml:space="preserve"> calcium absorption</w:t>
      </w:r>
      <w:r w:rsidR="009D5741" w:rsidRPr="00BC779C">
        <w:rPr>
          <w:rFonts w:ascii="Times New Roman" w:hAnsi="Times New Roman" w:cs="Times New Roman"/>
          <w:sz w:val="24"/>
          <w:szCs w:val="24"/>
        </w:rPr>
        <w:t xml:space="preserve"> efficiency by 12%</w:t>
      </w:r>
      <w:r w:rsidR="000B10EA" w:rsidRPr="00BC779C">
        <w:rPr>
          <w:rFonts w:ascii="Times New Roman" w:hAnsi="Times New Roman" w:cs="Times New Roman"/>
          <w:sz w:val="24"/>
          <w:szCs w:val="24"/>
        </w:rPr>
        <w:t xml:space="preserve"> </w:t>
      </w:r>
      <w:r w:rsidR="00280E2D"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"10.1017/S0007114514000981", "ISSN" : "1475-2662", "PMID" : "24848974", "abstract" : "Soluble maize fibre (SCF) has been found to significantly improve bone mineral density and strength in growing rats compared with several other novel prebiotic fibres. The objective of the present study was to investigate the effect of SCF on Ca absorption and retention in pubertal children by studying the potential absorption mechanisms of the intestinal microbiota. A total of twenty-four adolescent boys and girls (12-15 years) participated in two 3-week metabolic balance studies testing 0 g/d SCF (control (CON) treatment) and 12 g/d SCF (SCF treatment) in a random order by inclusion in a low-Ca diet (600 mg/d). Fractional Ca absorption was measured at the end of the two intervention periods using a dual-stable isotope method. Diet composites and faecal and urine samples were collected daily and analysed for Ca content. Ca retention was calculated as dietary Ca intake minus Ca excretion in faeces and urine over the last 2 weeks. Microbial community composition in the faecal samples collected at the beginning and end of each session was determined by 454 pyrosequencing of the PCR-amplified 16S ribosomal RNA gene. Fractional Ca absorption was 12 % higher (41 mg/d) after the SCF treatment compared with that after the CON treatment (0\u00b7664 (sd 0\u00b7129) and 0\u00b7595 (sd 0\u00b7142), respectively; P= 0\u00b702), but Ca retention was unaffected. The average proportion of bacteria of the phylum Bacteroidetes was significantly greater in the participants after the SCF treatment than after the CON treatment. These results suggest that moderate daily intake of SCF, a well-tolerated prebiotic fibre, increases short-term Ca absorption in adolescents consuming less than the recommended amounts of Ca.", "author" : [ { "dropping-particle" : "", "family" : "Whisner", "given" : "Corrie M", "non-dropping-particle" : "", "parse-names" : false, "suffix" : "" }, { "dropping-particle" : "", "family" : "Martin", "given" : "Berdine R", "non-dropping-particle" : "", "parse-names" : false, "suffix" : "" }, { "dropping-particle" : "", "family" : "Nakatsu", "given" : "Cindy H", "non-dropping-particle" : "", "parse-names" : false, "suffix" : "" }, { "dropping-particle" : "", "family" : "McCabe", "given" : "George P", "non-dropping-particle" : "", "parse-names" : false, "suffix" : "" }, { "dropping-particle" : "", "family" : "McCabe", "given" : "Linda D", "non-dropping-particle" : "", "parse-names" : false, "suffix" : "" }, { "dropping-particle" : "", "family" : "Peacock", "given" : "Munro", "non-dropping-particle" : "", "parse-names" : false, "suffix" : "" }, { "dropping-particle" : "", "family" : "Weaver", "given" : "Connie M", "non-dropping-particle" : "", "parse-names" : false, "suffix" : "" } ], "container-title" : "The British journal of nutrition", "id" : "ITEM-1", "issue" : "3", "issued" : { "date-parts" : [ [ "2014", "8" ] ] }, "page" : "446-56", "title" : "Soluble maize fibre affects short-term calcium absorption in adolescent boys and girls: a randomised controlled trial using dual stable isotopic tracers", "type" : "article-journal", "volume" : "112" }, "uris" : [ "http://www.mendeley.com/documents/?uuid=8745de69-6a21-4f5e-ad5e-057128c87b73" ] } ], "mendeley" : { "formattedCitation" : "(9)", "plainTextFormattedCitation" : "(9)", "previouslyFormattedCitation" : "(9)" }, "properties" : { "noteIndex" : 0 }, "schema" : "https://github.com/citation-style-language/schema/raw/master/csl-citation.json" }</w:instrText>
      </w:r>
      <w:r w:rsidR="00280E2D"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(9)</w:t>
      </w:r>
      <w:r w:rsidR="00280E2D" w:rsidRPr="00BC779C">
        <w:rPr>
          <w:rFonts w:ascii="Times New Roman" w:hAnsi="Times New Roman" w:cs="Times New Roman"/>
          <w:sz w:val="24"/>
          <w:szCs w:val="24"/>
        </w:rPr>
        <w:fldChar w:fldCharType="end"/>
      </w:r>
      <w:r w:rsidR="000B10EA" w:rsidRPr="00BC779C">
        <w:rPr>
          <w:rFonts w:ascii="Times New Roman" w:hAnsi="Times New Roman" w:cs="Times New Roman"/>
          <w:sz w:val="24"/>
          <w:szCs w:val="24"/>
        </w:rPr>
        <w:t>.</w:t>
      </w:r>
      <w:r w:rsidR="00F53A8A" w:rsidRPr="00BC779C">
        <w:rPr>
          <w:rFonts w:ascii="Times New Roman" w:hAnsi="Times New Roman" w:cs="Times New Roman"/>
          <w:sz w:val="24"/>
          <w:szCs w:val="24"/>
        </w:rPr>
        <w:t xml:space="preserve"> </w:t>
      </w:r>
      <w:r w:rsidR="00BF67CE" w:rsidRPr="00BC779C">
        <w:rPr>
          <w:rFonts w:ascii="Times New Roman" w:hAnsi="Times New Roman" w:cs="Times New Roman"/>
          <w:sz w:val="24"/>
          <w:szCs w:val="24"/>
        </w:rPr>
        <w:t>SCF consumption</w:t>
      </w:r>
      <w:r w:rsidR="00F53A8A" w:rsidRPr="00BC779C">
        <w:rPr>
          <w:rFonts w:ascii="Times New Roman" w:hAnsi="Times New Roman" w:cs="Times New Roman"/>
          <w:sz w:val="24"/>
          <w:szCs w:val="24"/>
        </w:rPr>
        <w:t xml:space="preserve"> was associated with a greater proportion of microbiota from the phylum Bacteroidetes</w:t>
      </w:r>
      <w:r w:rsidR="009D5741" w:rsidRPr="00BC779C">
        <w:rPr>
          <w:rFonts w:ascii="Times New Roman" w:hAnsi="Times New Roman" w:cs="Times New Roman"/>
          <w:sz w:val="24"/>
          <w:szCs w:val="24"/>
        </w:rPr>
        <w:t xml:space="preserve"> and </w:t>
      </w:r>
      <w:r w:rsidR="00F53A8A" w:rsidRPr="00BC779C">
        <w:rPr>
          <w:rFonts w:ascii="Times New Roman" w:hAnsi="Times New Roman" w:cs="Times New Roman"/>
          <w:sz w:val="24"/>
          <w:szCs w:val="24"/>
        </w:rPr>
        <w:t xml:space="preserve">the increase in absorption was specifically correlated with microbial genera </w:t>
      </w:r>
      <w:r w:rsidR="00930D2D" w:rsidRPr="00BC779C">
        <w:rPr>
          <w:rFonts w:ascii="Times New Roman" w:hAnsi="Times New Roman" w:cs="Times New Roman"/>
          <w:sz w:val="24"/>
          <w:szCs w:val="24"/>
        </w:rPr>
        <w:t xml:space="preserve">from phyla Bacteroidetes and Firmicutes </w:t>
      </w:r>
      <w:r w:rsidR="00F53A8A" w:rsidRPr="00BC779C">
        <w:rPr>
          <w:rFonts w:ascii="Times New Roman" w:hAnsi="Times New Roman" w:cs="Times New Roman"/>
          <w:sz w:val="24"/>
          <w:szCs w:val="24"/>
        </w:rPr>
        <w:t>known to ferment starch and fiber</w:t>
      </w:r>
      <w:r w:rsidR="000B10EA" w:rsidRPr="00BC779C">
        <w:rPr>
          <w:rFonts w:ascii="Times New Roman" w:hAnsi="Times New Roman" w:cs="Times New Roman"/>
          <w:sz w:val="24"/>
          <w:szCs w:val="24"/>
        </w:rPr>
        <w:t xml:space="preserve"> </w:t>
      </w:r>
      <w:r w:rsidR="005B2692"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"10.1017/S0007114514000981", "ISSN" : "1475-2662", "PMID" : "24848974", "abstract" : "Soluble maize fibre (SCF) has been found to significantly improve bone mineral density and strength in growing rats compared with several other novel prebiotic fibres. The objective of the present study was to investigate the effect of SCF on Ca absorption and retention in pubertal children by studying the potential absorption mechanisms of the intestinal microbiota. A total of twenty-four adolescent boys and girls (12-15 years) participated in two 3-week metabolic balance studies testing 0 g/d SCF (control (CON) treatment) and 12 g/d SCF (SCF treatment) in a random order by inclusion in a low-Ca diet (600 mg/d). Fractional Ca absorption was measured at the end of the two intervention periods using a dual-stable isotope method. Diet composites and faecal and urine samples were collected daily and analysed for Ca content. Ca retention was calculated as dietary Ca intake minus Ca excretion in faeces and urine over the last 2 weeks. Microbial community composition in the faecal samples collected at the beginning and end of each session was determined by 454 pyrosequencing of the PCR-amplified 16S ribosomal RNA gene. Fractional Ca absorption was 12 % higher (41 mg/d) after the SCF treatment compared with that after the CON treatment (0\u00b7664 (sd 0\u00b7129) and 0\u00b7595 (sd 0\u00b7142), respectively; P= 0\u00b702), but Ca retention was unaffected. The average proportion of bacteria of the phylum Bacteroidetes was significantly greater in the participants after the SCF treatment than after the CON treatment. These results suggest that moderate daily intake of SCF, a well-tolerated prebiotic fibre, increases short-term Ca absorption in adolescents consuming less than the recommended amounts of Ca.", "author" : [ { "dropping-particle" : "", "family" : "Whisner", "given" : "Corrie M", "non-dropping-particle" : "", "parse-names" : false, "suffix" : "" }, { "dropping-particle" : "", "family" : "Martin", "given" : "Berdine R", "non-dropping-particle" : "", "parse-names" : false, "suffix" : "" }, { "dropping-particle" : "", "family" : "Nakatsu", "given" : "Cindy H", "non-dropping-particle" : "", "parse-names" : false, "suffix" : "" }, { "dropping-particle" : "", "family" : "McCabe", "given" : "George P", "non-dropping-particle" : "", "parse-names" : false, "suffix" : "" }, { "dropping-particle" : "", "family" : "McCabe", "given" : "Linda D", "non-dropping-particle" : "", "parse-names" : false, "suffix" : "" }, { "dropping-particle" : "", "family" : "Peacock", "given" : "Munro", "non-dropping-particle" : "", "parse-names" : false, "suffix" : "" }, { "dropping-particle" : "", "family" : "Weaver", "given" : "Connie M", "non-dropping-particle" : "", "parse-names" : false, "suffix" : "" } ], "container-title" : "The British journal of nutrition", "id" : "ITEM-1", "issue" : "3", "issued" : { "date-parts" : [ [ "2014", "8" ] ] }, "page" : "446-56", "title" : "Soluble maize fibre affects short-term calcium absorption in adolescent boys and girls: a randomised controlled trial using dual stable isotopic tracers", "type" : "article-journal", "volume" : "112" }, "uris" : [ "http://www.mendeley.com/documents/?uuid=8745de69-6a21-4f5e-ad5e-057128c87b73" ] } ], "mendeley" : { "formattedCitation" : "(9)", "plainTextFormattedCitation" : "(9)", "previouslyFormattedCitation" : "(9)" }, "properties" : { "noteIndex" : 0 }, "schema" : "https://github.com/citation-style-language/schema/raw/master/csl-citation.json" }</w:instrText>
      </w:r>
      <w:r w:rsidR="005B2692"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(9)</w:t>
      </w:r>
      <w:r w:rsidR="005B2692" w:rsidRPr="00BC779C">
        <w:rPr>
          <w:rFonts w:ascii="Times New Roman" w:hAnsi="Times New Roman" w:cs="Times New Roman"/>
          <w:sz w:val="24"/>
          <w:szCs w:val="24"/>
        </w:rPr>
        <w:fldChar w:fldCharType="end"/>
      </w:r>
      <w:r w:rsidR="000B10EA" w:rsidRPr="00BC779C">
        <w:rPr>
          <w:rFonts w:ascii="Times New Roman" w:hAnsi="Times New Roman" w:cs="Times New Roman"/>
          <w:sz w:val="24"/>
          <w:szCs w:val="24"/>
        </w:rPr>
        <w:t>.</w:t>
      </w:r>
      <w:r w:rsidRPr="00BC779C">
        <w:rPr>
          <w:rFonts w:ascii="Times New Roman" w:hAnsi="Times New Roman" w:cs="Times New Roman"/>
          <w:sz w:val="24"/>
          <w:szCs w:val="24"/>
        </w:rPr>
        <w:t xml:space="preserve"> </w:t>
      </w:r>
      <w:r w:rsidR="009D5741" w:rsidRPr="00BC779C">
        <w:rPr>
          <w:rFonts w:ascii="Times New Roman" w:hAnsi="Times New Roman" w:cs="Times New Roman"/>
          <w:sz w:val="24"/>
          <w:szCs w:val="24"/>
        </w:rPr>
        <w:t xml:space="preserve"> This </w:t>
      </w:r>
      <w:r w:rsidR="005B2692" w:rsidRPr="00BC779C">
        <w:rPr>
          <w:rFonts w:ascii="Times New Roman" w:hAnsi="Times New Roman" w:cs="Times New Roman"/>
          <w:sz w:val="24"/>
          <w:szCs w:val="24"/>
        </w:rPr>
        <w:t>was</w:t>
      </w:r>
      <w:r w:rsidR="009D5741" w:rsidRPr="00BC779C">
        <w:rPr>
          <w:rFonts w:ascii="Times New Roman" w:hAnsi="Times New Roman" w:cs="Times New Roman"/>
          <w:sz w:val="24"/>
          <w:szCs w:val="24"/>
        </w:rPr>
        <w:t xml:space="preserve"> the first study to demonstrate a diet-induced change in gut microbiota associated with </w:t>
      </w:r>
      <w:r w:rsidR="00BF67CE" w:rsidRPr="00BC779C">
        <w:rPr>
          <w:rFonts w:ascii="Times New Roman" w:hAnsi="Times New Roman" w:cs="Times New Roman"/>
          <w:sz w:val="24"/>
          <w:szCs w:val="24"/>
        </w:rPr>
        <w:t>a</w:t>
      </w:r>
      <w:r w:rsidR="00FD4063" w:rsidRPr="00BC779C">
        <w:rPr>
          <w:rFonts w:ascii="Times New Roman" w:hAnsi="Times New Roman" w:cs="Times New Roman"/>
          <w:sz w:val="24"/>
          <w:szCs w:val="24"/>
        </w:rPr>
        <w:t xml:space="preserve"> </w:t>
      </w:r>
      <w:r w:rsidR="009D5741" w:rsidRPr="00BC779C">
        <w:rPr>
          <w:rFonts w:ascii="Times New Roman" w:hAnsi="Times New Roman" w:cs="Times New Roman"/>
          <w:sz w:val="24"/>
          <w:szCs w:val="24"/>
        </w:rPr>
        <w:t xml:space="preserve">physiological benefit </w:t>
      </w:r>
      <w:r w:rsidR="00FD4063" w:rsidRPr="00BC779C">
        <w:rPr>
          <w:rFonts w:ascii="Times New Roman" w:hAnsi="Times New Roman" w:cs="Times New Roman"/>
          <w:sz w:val="24"/>
          <w:szCs w:val="24"/>
        </w:rPr>
        <w:t xml:space="preserve">of increased calcium uptake </w:t>
      </w:r>
      <w:r w:rsidR="009D5741" w:rsidRPr="00BC779C">
        <w:rPr>
          <w:rFonts w:ascii="Times New Roman" w:hAnsi="Times New Roman" w:cs="Times New Roman"/>
          <w:sz w:val="24"/>
          <w:szCs w:val="24"/>
        </w:rPr>
        <w:t>in healthy people.</w:t>
      </w:r>
    </w:p>
    <w:p w14:paraId="641A8975" w14:textId="6598A8D3" w:rsidR="009F16FB" w:rsidRPr="00BC779C" w:rsidRDefault="009D5741"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lastRenderedPageBreak/>
        <w:t xml:space="preserve">The ability of SCF to alter gut microbiota and enhance calcium absorption efficiency in free-living </w:t>
      </w:r>
      <w:r w:rsidR="00B33C3E" w:rsidRPr="00BC779C">
        <w:rPr>
          <w:rFonts w:ascii="Times New Roman" w:hAnsi="Times New Roman" w:cs="Times New Roman"/>
          <w:sz w:val="24"/>
          <w:szCs w:val="24"/>
        </w:rPr>
        <w:t>adolescent girls</w:t>
      </w:r>
      <w:r w:rsidRPr="00BC779C">
        <w:rPr>
          <w:rFonts w:ascii="Times New Roman" w:hAnsi="Times New Roman" w:cs="Times New Roman"/>
          <w:sz w:val="24"/>
          <w:szCs w:val="24"/>
        </w:rPr>
        <w:t xml:space="preserve"> on a self-selected diet </w:t>
      </w:r>
      <w:r w:rsidR="00B33C3E" w:rsidRPr="00BC779C">
        <w:rPr>
          <w:rFonts w:ascii="Times New Roman" w:hAnsi="Times New Roman" w:cs="Times New Roman"/>
          <w:sz w:val="24"/>
          <w:szCs w:val="24"/>
        </w:rPr>
        <w:t>r</w:t>
      </w:r>
      <w:r w:rsidR="00071055" w:rsidRPr="00BC779C">
        <w:rPr>
          <w:rFonts w:ascii="Times New Roman" w:hAnsi="Times New Roman" w:cs="Times New Roman"/>
          <w:sz w:val="24"/>
          <w:szCs w:val="24"/>
        </w:rPr>
        <w:t>emain</w:t>
      </w:r>
      <w:r w:rsidR="00B33C3E" w:rsidRPr="00BC779C">
        <w:rPr>
          <w:rFonts w:ascii="Times New Roman" w:hAnsi="Times New Roman" w:cs="Times New Roman"/>
          <w:sz w:val="24"/>
          <w:szCs w:val="24"/>
        </w:rPr>
        <w:t xml:space="preserve"> important question</w:t>
      </w:r>
      <w:r w:rsidR="00071055" w:rsidRPr="00BC779C">
        <w:rPr>
          <w:rFonts w:ascii="Times New Roman" w:hAnsi="Times New Roman" w:cs="Times New Roman"/>
          <w:sz w:val="24"/>
          <w:szCs w:val="24"/>
        </w:rPr>
        <w:t>s</w:t>
      </w:r>
      <w:r w:rsidR="00B33C3E" w:rsidRPr="00BC779C">
        <w:rPr>
          <w:rFonts w:ascii="Times New Roman" w:hAnsi="Times New Roman" w:cs="Times New Roman"/>
          <w:sz w:val="24"/>
          <w:szCs w:val="24"/>
        </w:rPr>
        <w:t xml:space="preserve"> given</w:t>
      </w:r>
      <w:r w:rsidR="007E4DEC" w:rsidRPr="00BC779C">
        <w:rPr>
          <w:rFonts w:ascii="Times New Roman" w:hAnsi="Times New Roman" w:cs="Times New Roman"/>
          <w:sz w:val="24"/>
          <w:szCs w:val="24"/>
        </w:rPr>
        <w:t xml:space="preserve"> that the majority of bone mineral accretion is achieved during adolescence</w:t>
      </w:r>
      <w:r w:rsidR="008A377E" w:rsidRPr="00BC779C">
        <w:rPr>
          <w:rFonts w:ascii="Times New Roman" w:hAnsi="Times New Roman" w:cs="Times New Roman"/>
          <w:sz w:val="24"/>
          <w:szCs w:val="24"/>
        </w:rPr>
        <w:t xml:space="preserve"> thereby presenting an opportunity to maximize peak bone mass</w:t>
      </w:r>
      <w:r w:rsidR="00BF67CE" w:rsidRPr="00BC779C">
        <w:rPr>
          <w:rFonts w:ascii="Times New Roman" w:hAnsi="Times New Roman" w:cs="Times New Roman"/>
          <w:sz w:val="24"/>
          <w:szCs w:val="24"/>
        </w:rPr>
        <w:t xml:space="preserve"> and reduce the risk of osteoporosis</w:t>
      </w:r>
      <w:r w:rsidR="008A377E" w:rsidRPr="00BC779C">
        <w:rPr>
          <w:rFonts w:ascii="Times New Roman" w:hAnsi="Times New Roman" w:cs="Times New Roman"/>
          <w:sz w:val="24"/>
          <w:szCs w:val="24"/>
        </w:rPr>
        <w:t xml:space="preserve"> </w:t>
      </w:r>
      <w:r w:rsidR="00BF67CE" w:rsidRPr="00BC779C">
        <w:rPr>
          <w:rFonts w:ascii="Times New Roman" w:hAnsi="Times New Roman" w:cs="Times New Roman"/>
          <w:sz w:val="24"/>
          <w:szCs w:val="24"/>
        </w:rPr>
        <w:fldChar w:fldCharType="begin" w:fldLock="1"/>
      </w:r>
      <w:r w:rsidR="00636820" w:rsidRPr="00BC779C">
        <w:rPr>
          <w:rFonts w:ascii="Times New Roman" w:hAnsi="Times New Roman" w:cs="Times New Roman"/>
          <w:sz w:val="24"/>
          <w:szCs w:val="24"/>
        </w:rPr>
        <w:instrText>ADDIN CSL_CITATION { "citationItems" : [ { "id" : "ITEM-1", "itemData" : { "author" : [ { "dropping-particle" : "", "family" : "Bonjour", "given" : "J-P", "non-dropping-particle" : "", "parse-names" : false, "suffix" : "" }, { "dropping-particle" : "", "family" : "Thientz", "given" : "G", "non-dropping-particle" : "", "parse-names" : false, "suffix" : "" }, { "dropping-particle" : "", "family" : "Buchs", "given" : "B", "non-dropping-particle" : "", "parse-names" : false, "suffix" : "" }, { "dropping-particle" : "", "family" : "Slosman", "given" : "D", "non-dropping-particle" : "", "parse-names" : false, "suffix" : "" }, { "dropping-particle" : "", "family" : "Rizzoli", "given" : "R", "non-dropping-particle" : "", "parse-names" : false, "suffix" : "" } ], "container-title" : "Journal of Clinical Endocrinology and Metabolism", "id" : "ITEM-1", "issued" : { "date-parts" : [ [ "1992" ] ] }, "page" : "555-556", "title" : "Critical years and stages of puberty for spinal and femoral bone mass accumulation during adolescence", "type" : "article-journal", "volume" : "73" }, "uris" : [ "http://www.mendeley.com/documents/?uuid=97ae143a-14cb-406b-a4d2-aeee351b2cd2" ] }, { "id" : "ITEM-2", "itemData" : { "author" : [ { "dropping-particle" : "", "family" : "Weaver", "given" : "Connie M.", "non-dropping-particle" : "", "parse-names" : false, "suffix" : "" } ], "container-title" : "Proceedings of the Nutrition Society", "id" : "ITEM-2", "issued" : { "date-parts" : [ [ "2000" ] ] }, "page" : "303-306", "title" : "The growing years and prevention of osteoporosis in later life", "type" : "article-journal", "volume" : "59" }, "uris" : [ "http://www.mendeley.com/documents/?uuid=86b30f00-be94-439a-a2c3-4f4b7417f934" ] } ], "mendeley" : { "formattedCitation" : "(10,11)", "plainTextFormattedCitation" : "(10,11)", "previouslyFormattedCitation" : "(10,11)" }, "properties" : { "noteIndex" : 0 }, "schema" : "https://github.com/citation-style-language/schema/raw/master/csl-citation.json" }</w:instrText>
      </w:r>
      <w:r w:rsidR="00BF67CE" w:rsidRPr="00BC779C">
        <w:rPr>
          <w:rFonts w:ascii="Times New Roman" w:hAnsi="Times New Roman" w:cs="Times New Roman"/>
          <w:sz w:val="24"/>
          <w:szCs w:val="24"/>
        </w:rPr>
        <w:fldChar w:fldCharType="separate"/>
      </w:r>
      <w:r w:rsidR="00BF67CE" w:rsidRPr="00BC779C">
        <w:rPr>
          <w:rFonts w:ascii="Times New Roman" w:hAnsi="Times New Roman" w:cs="Times New Roman"/>
          <w:noProof/>
          <w:sz w:val="24"/>
          <w:szCs w:val="24"/>
        </w:rPr>
        <w:t>(10,11)</w:t>
      </w:r>
      <w:r w:rsidR="00BF67CE" w:rsidRPr="00BC779C">
        <w:rPr>
          <w:rFonts w:ascii="Times New Roman" w:hAnsi="Times New Roman" w:cs="Times New Roman"/>
          <w:sz w:val="24"/>
          <w:szCs w:val="24"/>
        </w:rPr>
        <w:fldChar w:fldCharType="end"/>
      </w:r>
      <w:r w:rsidRPr="00BC779C">
        <w:rPr>
          <w:rFonts w:ascii="Times New Roman" w:hAnsi="Times New Roman" w:cs="Times New Roman"/>
          <w:sz w:val="24"/>
          <w:szCs w:val="24"/>
        </w:rPr>
        <w:t>. To this end we designed an effectiv</w:t>
      </w:r>
      <w:r w:rsidR="00071055" w:rsidRPr="00BC779C">
        <w:rPr>
          <w:rFonts w:ascii="Times New Roman" w:hAnsi="Times New Roman" w:cs="Times New Roman"/>
          <w:sz w:val="24"/>
          <w:szCs w:val="24"/>
        </w:rPr>
        <w:t>eness study in adolescent girls, for which t</w:t>
      </w:r>
      <w:r w:rsidR="009F16FB" w:rsidRPr="00BC779C">
        <w:rPr>
          <w:rFonts w:ascii="Times New Roman" w:hAnsi="Times New Roman" w:cs="Times New Roman"/>
          <w:sz w:val="24"/>
          <w:szCs w:val="24"/>
        </w:rPr>
        <w:t>he primary objective was to evaluate the dose res</w:t>
      </w:r>
      <w:r w:rsidR="00D92116" w:rsidRPr="00BC779C">
        <w:rPr>
          <w:rFonts w:ascii="Times New Roman" w:hAnsi="Times New Roman" w:cs="Times New Roman"/>
          <w:sz w:val="24"/>
          <w:szCs w:val="24"/>
        </w:rPr>
        <w:t>ponse (0, 10, 20 g</w:t>
      </w:r>
      <w:r w:rsidR="000C0CFD" w:rsidRPr="00BC779C">
        <w:rPr>
          <w:rFonts w:ascii="Times New Roman" w:hAnsi="Times New Roman" w:cs="Times New Roman"/>
          <w:sz w:val="24"/>
          <w:szCs w:val="24"/>
        </w:rPr>
        <w:t xml:space="preserve"> fiber/d</w:t>
      </w:r>
      <w:r w:rsidR="009F16FB" w:rsidRPr="00BC779C">
        <w:rPr>
          <w:rFonts w:ascii="Times New Roman" w:hAnsi="Times New Roman" w:cs="Times New Roman"/>
          <w:sz w:val="24"/>
          <w:szCs w:val="24"/>
        </w:rPr>
        <w:t xml:space="preserve">) of SCF supplementation </w:t>
      </w:r>
      <w:r w:rsidR="00071055" w:rsidRPr="00BC779C">
        <w:rPr>
          <w:rFonts w:ascii="Times New Roman" w:hAnsi="Times New Roman" w:cs="Times New Roman"/>
          <w:sz w:val="24"/>
          <w:szCs w:val="24"/>
        </w:rPr>
        <w:t>(</w:t>
      </w:r>
      <w:r w:rsidR="009F16FB" w:rsidRPr="00BC779C">
        <w:rPr>
          <w:rFonts w:ascii="Times New Roman" w:hAnsi="Times New Roman" w:cs="Times New Roman"/>
          <w:sz w:val="24"/>
          <w:szCs w:val="24"/>
        </w:rPr>
        <w:t>with</w:t>
      </w:r>
      <w:r w:rsidR="009C5C74" w:rsidRPr="00BC779C">
        <w:rPr>
          <w:rFonts w:ascii="Times New Roman" w:hAnsi="Times New Roman" w:cs="Times New Roman"/>
          <w:sz w:val="24"/>
          <w:szCs w:val="24"/>
        </w:rPr>
        <w:t>in</w:t>
      </w:r>
      <w:r w:rsidR="009F16FB" w:rsidRPr="00BC779C">
        <w:rPr>
          <w:rFonts w:ascii="Times New Roman" w:hAnsi="Times New Roman" w:cs="Times New Roman"/>
          <w:sz w:val="24"/>
          <w:szCs w:val="24"/>
        </w:rPr>
        <w:t xml:space="preserve"> muffins and drink mixes</w:t>
      </w:r>
      <w:r w:rsidR="00071055" w:rsidRPr="00BC779C">
        <w:rPr>
          <w:rFonts w:ascii="Times New Roman" w:hAnsi="Times New Roman" w:cs="Times New Roman"/>
          <w:sz w:val="24"/>
          <w:szCs w:val="24"/>
        </w:rPr>
        <w:t>)</w:t>
      </w:r>
      <w:r w:rsidR="009F16FB" w:rsidRPr="00BC779C">
        <w:rPr>
          <w:rFonts w:ascii="Times New Roman" w:hAnsi="Times New Roman" w:cs="Times New Roman"/>
          <w:sz w:val="24"/>
          <w:szCs w:val="24"/>
        </w:rPr>
        <w:t xml:space="preserve"> on calcium absorption</w:t>
      </w:r>
      <w:r w:rsidR="00DF2BC6" w:rsidRPr="00BC779C">
        <w:rPr>
          <w:rFonts w:ascii="Times New Roman" w:hAnsi="Times New Roman" w:cs="Times New Roman"/>
          <w:sz w:val="24"/>
          <w:szCs w:val="24"/>
        </w:rPr>
        <w:t xml:space="preserve"> efficiency</w:t>
      </w:r>
      <w:r w:rsidR="009F16FB" w:rsidRPr="00BC779C">
        <w:rPr>
          <w:rFonts w:ascii="Times New Roman" w:hAnsi="Times New Roman" w:cs="Times New Roman"/>
          <w:sz w:val="24"/>
          <w:szCs w:val="24"/>
        </w:rPr>
        <w:t xml:space="preserve"> and biochemical markers of bone turnover</w:t>
      </w:r>
      <w:r w:rsidR="00DF2BC6" w:rsidRPr="00BC779C">
        <w:rPr>
          <w:rFonts w:ascii="Times New Roman" w:hAnsi="Times New Roman" w:cs="Times New Roman"/>
          <w:sz w:val="24"/>
          <w:szCs w:val="24"/>
        </w:rPr>
        <w:t xml:space="preserve"> in free-living adolescent girls.</w:t>
      </w:r>
      <w:r w:rsidR="009F16FB" w:rsidRPr="00BC779C">
        <w:rPr>
          <w:rFonts w:ascii="Times New Roman" w:hAnsi="Times New Roman" w:cs="Times New Roman"/>
          <w:sz w:val="24"/>
          <w:szCs w:val="24"/>
        </w:rPr>
        <w:t xml:space="preserve"> A</w:t>
      </w:r>
      <w:r w:rsidR="00F217E2" w:rsidRPr="00BC779C">
        <w:rPr>
          <w:rFonts w:ascii="Times New Roman" w:hAnsi="Times New Roman" w:cs="Times New Roman"/>
          <w:sz w:val="24"/>
          <w:szCs w:val="24"/>
        </w:rPr>
        <w:t>s secondary endpoints,</w:t>
      </w:r>
      <w:r w:rsidR="009F16FB" w:rsidRPr="00BC779C">
        <w:rPr>
          <w:rFonts w:ascii="Times New Roman" w:hAnsi="Times New Roman" w:cs="Times New Roman"/>
          <w:sz w:val="24"/>
          <w:szCs w:val="24"/>
        </w:rPr>
        <w:t xml:space="preserve"> the dose response effect of </w:t>
      </w:r>
      <w:r w:rsidR="00C96982" w:rsidRPr="00BC779C">
        <w:rPr>
          <w:rFonts w:ascii="Times New Roman" w:hAnsi="Times New Roman" w:cs="Times New Roman"/>
          <w:sz w:val="24"/>
          <w:szCs w:val="24"/>
        </w:rPr>
        <w:t>SCF</w:t>
      </w:r>
      <w:r w:rsidR="009F16FB" w:rsidRPr="00BC779C">
        <w:rPr>
          <w:rFonts w:ascii="Times New Roman" w:hAnsi="Times New Roman" w:cs="Times New Roman"/>
          <w:sz w:val="24"/>
          <w:szCs w:val="24"/>
        </w:rPr>
        <w:t xml:space="preserve"> on fecal microbial community content, short chain fatty acid</w:t>
      </w:r>
      <w:r w:rsidR="00E42957" w:rsidRPr="00BC779C">
        <w:rPr>
          <w:rFonts w:ascii="Times New Roman" w:hAnsi="Times New Roman" w:cs="Times New Roman"/>
          <w:sz w:val="24"/>
          <w:szCs w:val="24"/>
        </w:rPr>
        <w:t xml:space="preserve"> (SCFA)</w:t>
      </w:r>
      <w:r w:rsidR="009F16FB" w:rsidRPr="00BC779C">
        <w:rPr>
          <w:rFonts w:ascii="Times New Roman" w:hAnsi="Times New Roman" w:cs="Times New Roman"/>
          <w:sz w:val="24"/>
          <w:szCs w:val="24"/>
        </w:rPr>
        <w:t xml:space="preserve"> production</w:t>
      </w:r>
      <w:r w:rsidR="00B33C3E" w:rsidRPr="00BC779C">
        <w:rPr>
          <w:rFonts w:ascii="Times New Roman" w:hAnsi="Times New Roman" w:cs="Times New Roman"/>
          <w:sz w:val="24"/>
          <w:szCs w:val="24"/>
        </w:rPr>
        <w:t xml:space="preserve"> and fecal pH </w:t>
      </w:r>
      <w:r w:rsidR="009F16FB" w:rsidRPr="00BC779C">
        <w:rPr>
          <w:rFonts w:ascii="Times New Roman" w:hAnsi="Times New Roman" w:cs="Times New Roman"/>
          <w:sz w:val="24"/>
          <w:szCs w:val="24"/>
        </w:rPr>
        <w:t xml:space="preserve">were </w:t>
      </w:r>
      <w:r w:rsidR="00DF2BC6" w:rsidRPr="00BC779C">
        <w:rPr>
          <w:rFonts w:ascii="Times New Roman" w:hAnsi="Times New Roman" w:cs="Times New Roman"/>
          <w:sz w:val="24"/>
          <w:szCs w:val="24"/>
        </w:rPr>
        <w:t>measur</w:t>
      </w:r>
      <w:r w:rsidR="009F16FB" w:rsidRPr="00BC779C">
        <w:rPr>
          <w:rFonts w:ascii="Times New Roman" w:hAnsi="Times New Roman" w:cs="Times New Roman"/>
          <w:sz w:val="24"/>
          <w:szCs w:val="24"/>
        </w:rPr>
        <w:t>ed to elucidate potential mechanisms.</w:t>
      </w:r>
      <w:r w:rsidR="00B33C3E" w:rsidRPr="00BC779C">
        <w:rPr>
          <w:rFonts w:ascii="Times New Roman" w:hAnsi="Times New Roman" w:cs="Times New Roman"/>
          <w:sz w:val="24"/>
          <w:szCs w:val="24"/>
        </w:rPr>
        <w:t xml:space="preserve"> Specifically, we hypothesized that</w:t>
      </w:r>
      <w:r w:rsidR="00071055" w:rsidRPr="00BC779C">
        <w:rPr>
          <w:rFonts w:ascii="Times New Roman" w:hAnsi="Times New Roman" w:cs="Times New Roman"/>
          <w:sz w:val="24"/>
          <w:szCs w:val="24"/>
        </w:rPr>
        <w:t>: 1)</w:t>
      </w:r>
      <w:r w:rsidR="00B33C3E" w:rsidRPr="00BC779C">
        <w:rPr>
          <w:rFonts w:ascii="Times New Roman" w:hAnsi="Times New Roman" w:cs="Times New Roman"/>
          <w:sz w:val="24"/>
          <w:szCs w:val="24"/>
        </w:rPr>
        <w:t xml:space="preserve"> </w:t>
      </w:r>
      <w:r w:rsidR="00071055" w:rsidRPr="00BC779C">
        <w:rPr>
          <w:rFonts w:ascii="Times New Roman" w:hAnsi="Times New Roman" w:cs="Times New Roman"/>
          <w:sz w:val="24"/>
          <w:szCs w:val="24"/>
        </w:rPr>
        <w:t xml:space="preserve">increasing </w:t>
      </w:r>
      <w:r w:rsidR="00C96982" w:rsidRPr="00BC779C">
        <w:rPr>
          <w:rFonts w:ascii="Times New Roman" w:hAnsi="Times New Roman" w:cs="Times New Roman"/>
          <w:sz w:val="24"/>
          <w:szCs w:val="24"/>
        </w:rPr>
        <w:t xml:space="preserve">intakes </w:t>
      </w:r>
      <w:r w:rsidR="00071055" w:rsidRPr="00BC779C">
        <w:rPr>
          <w:rFonts w:ascii="Times New Roman" w:hAnsi="Times New Roman" w:cs="Times New Roman"/>
          <w:sz w:val="24"/>
          <w:szCs w:val="24"/>
        </w:rPr>
        <w:t xml:space="preserve">of SCF would result in greater fractional calcium absorption; 2) markers of bone formation would be greater with higher SCF </w:t>
      </w:r>
      <w:r w:rsidR="00C96982" w:rsidRPr="00BC779C">
        <w:rPr>
          <w:rFonts w:ascii="Times New Roman" w:hAnsi="Times New Roman" w:cs="Times New Roman"/>
          <w:sz w:val="24"/>
          <w:szCs w:val="24"/>
        </w:rPr>
        <w:t>intakes</w:t>
      </w:r>
      <w:r w:rsidR="00071055" w:rsidRPr="00BC779C">
        <w:rPr>
          <w:rFonts w:ascii="Times New Roman" w:hAnsi="Times New Roman" w:cs="Times New Roman"/>
          <w:sz w:val="24"/>
          <w:szCs w:val="24"/>
        </w:rPr>
        <w:t>; 3) changes in fecal parameters would be suggestive of fermentation mechanisms</w:t>
      </w:r>
      <w:r w:rsidR="00C96982" w:rsidRPr="00BC779C">
        <w:rPr>
          <w:rFonts w:ascii="Times New Roman" w:hAnsi="Times New Roman" w:cs="Times New Roman"/>
          <w:sz w:val="24"/>
          <w:szCs w:val="24"/>
        </w:rPr>
        <w:t>.</w:t>
      </w:r>
    </w:p>
    <w:p w14:paraId="620E4595" w14:textId="41C5E4CD" w:rsidR="004B2637" w:rsidRPr="00BC779C" w:rsidRDefault="00F559CE" w:rsidP="00D12A80">
      <w:pPr>
        <w:spacing w:after="100" w:afterAutospacing="1" w:line="480" w:lineRule="auto"/>
        <w:rPr>
          <w:rFonts w:ascii="Times New Roman" w:hAnsi="Times New Roman" w:cs="Times New Roman"/>
          <w:b/>
          <w:sz w:val="24"/>
          <w:szCs w:val="24"/>
        </w:rPr>
      </w:pPr>
      <w:r w:rsidRPr="00BC779C">
        <w:rPr>
          <w:rFonts w:ascii="Times New Roman" w:hAnsi="Times New Roman" w:cs="Times New Roman"/>
          <w:b/>
          <w:sz w:val="24"/>
          <w:szCs w:val="24"/>
        </w:rPr>
        <w:t xml:space="preserve">SUBJECTS AND </w:t>
      </w:r>
      <w:r w:rsidR="004B2637" w:rsidRPr="00BC779C">
        <w:rPr>
          <w:rFonts w:ascii="Times New Roman" w:hAnsi="Times New Roman" w:cs="Times New Roman"/>
          <w:b/>
          <w:sz w:val="24"/>
          <w:szCs w:val="24"/>
        </w:rPr>
        <w:t>METHODS</w:t>
      </w:r>
    </w:p>
    <w:p w14:paraId="589053F2" w14:textId="77777777" w:rsidR="004B2637" w:rsidRPr="00BC779C" w:rsidRDefault="004B2637" w:rsidP="00D12A80">
      <w:pPr>
        <w:spacing w:after="100" w:afterAutospacing="1" w:line="480" w:lineRule="auto"/>
        <w:rPr>
          <w:rFonts w:ascii="Times New Roman" w:hAnsi="Times New Roman" w:cs="Times New Roman"/>
          <w:b/>
          <w:sz w:val="24"/>
          <w:szCs w:val="24"/>
        </w:rPr>
      </w:pPr>
      <w:r w:rsidRPr="00BC779C">
        <w:rPr>
          <w:rFonts w:ascii="Times New Roman" w:hAnsi="Times New Roman" w:cs="Times New Roman"/>
          <w:b/>
          <w:sz w:val="24"/>
          <w:szCs w:val="24"/>
        </w:rPr>
        <w:t>Study Participants</w:t>
      </w:r>
    </w:p>
    <w:p w14:paraId="33F15D8E" w14:textId="63F59FAA" w:rsidR="004B2637" w:rsidRPr="00BC779C" w:rsidRDefault="00016AB4"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 xml:space="preserve">Between the </w:t>
      </w:r>
      <w:r w:rsidR="004B2637" w:rsidRPr="00BC779C">
        <w:rPr>
          <w:rFonts w:ascii="Times New Roman" w:hAnsi="Times New Roman" w:cs="Times New Roman"/>
          <w:sz w:val="24"/>
          <w:szCs w:val="24"/>
        </w:rPr>
        <w:t>summer of 2012</w:t>
      </w:r>
      <w:r w:rsidRPr="00BC779C">
        <w:rPr>
          <w:rFonts w:ascii="Times New Roman" w:hAnsi="Times New Roman" w:cs="Times New Roman"/>
          <w:sz w:val="24"/>
          <w:szCs w:val="24"/>
        </w:rPr>
        <w:t xml:space="preserve"> and winter of 2013</w:t>
      </w:r>
      <w:r w:rsidR="004B2637" w:rsidRPr="00BC779C">
        <w:rPr>
          <w:rFonts w:ascii="Times New Roman" w:hAnsi="Times New Roman" w:cs="Times New Roman"/>
          <w:sz w:val="24"/>
          <w:szCs w:val="24"/>
        </w:rPr>
        <w:t>, thirty</w:t>
      </w:r>
      <w:r w:rsidR="00DB3975" w:rsidRPr="00BC779C">
        <w:rPr>
          <w:rFonts w:ascii="Times New Roman" w:hAnsi="Times New Roman" w:cs="Times New Roman"/>
          <w:sz w:val="24"/>
          <w:szCs w:val="24"/>
        </w:rPr>
        <w:t>-four</w:t>
      </w:r>
      <w:r w:rsidR="004B2637" w:rsidRPr="00BC779C">
        <w:rPr>
          <w:rFonts w:ascii="Times New Roman" w:hAnsi="Times New Roman" w:cs="Times New Roman"/>
          <w:sz w:val="24"/>
          <w:szCs w:val="24"/>
        </w:rPr>
        <w:t xml:space="preserve"> Caucasian, female adolescents (11-14 y) were recruited from local schools, neighborhoods and community establishments</w:t>
      </w:r>
      <w:r w:rsidR="005235CE" w:rsidRPr="00BC779C">
        <w:rPr>
          <w:rFonts w:ascii="Times New Roman" w:hAnsi="Times New Roman" w:cs="Times New Roman"/>
          <w:sz w:val="24"/>
          <w:szCs w:val="24"/>
        </w:rPr>
        <w:t xml:space="preserve"> </w:t>
      </w:r>
      <w:r w:rsidRPr="00BC779C">
        <w:rPr>
          <w:rFonts w:ascii="Times New Roman" w:hAnsi="Times New Roman" w:cs="Times New Roman"/>
          <w:sz w:val="24"/>
          <w:szCs w:val="24"/>
        </w:rPr>
        <w:t xml:space="preserve">to </w:t>
      </w:r>
      <w:r w:rsidR="005235CE" w:rsidRPr="00BC779C">
        <w:rPr>
          <w:rFonts w:ascii="Times New Roman" w:hAnsi="Times New Roman" w:cs="Times New Roman"/>
          <w:sz w:val="24"/>
          <w:szCs w:val="24"/>
        </w:rPr>
        <w:t xml:space="preserve">participate in this randomized cross-over </w:t>
      </w:r>
      <w:r w:rsidRPr="00BC779C">
        <w:rPr>
          <w:rFonts w:ascii="Times New Roman" w:hAnsi="Times New Roman" w:cs="Times New Roman"/>
          <w:sz w:val="24"/>
          <w:szCs w:val="24"/>
        </w:rPr>
        <w:t>dose-response study</w:t>
      </w:r>
      <w:r w:rsidR="004B2637" w:rsidRPr="00BC779C">
        <w:rPr>
          <w:rFonts w:ascii="Times New Roman" w:hAnsi="Times New Roman" w:cs="Times New Roman"/>
          <w:sz w:val="24"/>
          <w:szCs w:val="24"/>
        </w:rPr>
        <w:t>. Eligible participants were identified as healthy adolescents with calcium intakes between the 5</w:t>
      </w:r>
      <w:r w:rsidR="004B2637" w:rsidRPr="00BC779C">
        <w:rPr>
          <w:rFonts w:ascii="Times New Roman" w:hAnsi="Times New Roman" w:cs="Times New Roman"/>
          <w:sz w:val="24"/>
          <w:szCs w:val="24"/>
          <w:vertAlign w:val="superscript"/>
        </w:rPr>
        <w:t>th</w:t>
      </w:r>
      <w:r w:rsidR="004B2637" w:rsidRPr="00BC779C">
        <w:rPr>
          <w:rFonts w:ascii="Times New Roman" w:hAnsi="Times New Roman" w:cs="Times New Roman"/>
          <w:sz w:val="24"/>
          <w:szCs w:val="24"/>
        </w:rPr>
        <w:t xml:space="preserve"> and 95</w:t>
      </w:r>
      <w:r w:rsidR="004B2637" w:rsidRPr="00BC779C">
        <w:rPr>
          <w:rFonts w:ascii="Times New Roman" w:hAnsi="Times New Roman" w:cs="Times New Roman"/>
          <w:sz w:val="24"/>
          <w:szCs w:val="24"/>
          <w:vertAlign w:val="superscript"/>
        </w:rPr>
        <w:t>th</w:t>
      </w:r>
      <w:r w:rsidR="004B2637" w:rsidRPr="00BC779C">
        <w:rPr>
          <w:rFonts w:ascii="Times New Roman" w:hAnsi="Times New Roman" w:cs="Times New Roman"/>
          <w:sz w:val="24"/>
          <w:szCs w:val="24"/>
        </w:rPr>
        <w:t xml:space="preserve"> percentile of usual intake for this age group (550 – 1500 mg/d). Girls were ineligible for participation</w:t>
      </w:r>
      <w:r w:rsidRPr="00BC779C">
        <w:rPr>
          <w:rFonts w:ascii="Times New Roman" w:hAnsi="Times New Roman" w:cs="Times New Roman"/>
          <w:sz w:val="24"/>
          <w:szCs w:val="24"/>
        </w:rPr>
        <w:t xml:space="preserve"> if they reported</w:t>
      </w:r>
      <w:r w:rsidR="004B2637" w:rsidRPr="00BC779C">
        <w:rPr>
          <w:rFonts w:ascii="Times New Roman" w:hAnsi="Times New Roman" w:cs="Times New Roman"/>
          <w:sz w:val="24"/>
          <w:szCs w:val="24"/>
        </w:rPr>
        <w:t xml:space="preserve"> taking medication that influences calcium metabolism, had a history of disordered calcium or bone homeostasis, BMI &gt; 90</w:t>
      </w:r>
      <w:r w:rsidR="004B2637" w:rsidRPr="00BC779C">
        <w:rPr>
          <w:rFonts w:ascii="Times New Roman" w:hAnsi="Times New Roman" w:cs="Times New Roman"/>
          <w:sz w:val="24"/>
          <w:szCs w:val="24"/>
          <w:vertAlign w:val="superscript"/>
        </w:rPr>
        <w:t>th</w:t>
      </w:r>
      <w:r w:rsidRPr="00BC779C">
        <w:rPr>
          <w:rFonts w:ascii="Times New Roman" w:hAnsi="Times New Roman" w:cs="Times New Roman"/>
          <w:sz w:val="24"/>
          <w:szCs w:val="24"/>
        </w:rPr>
        <w:t xml:space="preserve"> percentile for age, </w:t>
      </w:r>
      <w:r w:rsidR="004B2637" w:rsidRPr="00BC779C">
        <w:rPr>
          <w:rFonts w:ascii="Times New Roman" w:hAnsi="Times New Roman" w:cs="Times New Roman"/>
          <w:sz w:val="24"/>
          <w:szCs w:val="24"/>
        </w:rPr>
        <w:t xml:space="preserve">cigarette or </w:t>
      </w:r>
      <w:r w:rsidR="004B2637" w:rsidRPr="00BC779C">
        <w:rPr>
          <w:rFonts w:ascii="Times New Roman" w:hAnsi="Times New Roman" w:cs="Times New Roman"/>
          <w:sz w:val="24"/>
          <w:szCs w:val="24"/>
        </w:rPr>
        <w:lastRenderedPageBreak/>
        <w:t xml:space="preserve">illegal drug use, </w:t>
      </w:r>
      <w:r w:rsidRPr="00BC779C">
        <w:rPr>
          <w:rFonts w:ascii="Times New Roman" w:hAnsi="Times New Roman" w:cs="Times New Roman"/>
          <w:sz w:val="24"/>
          <w:szCs w:val="24"/>
        </w:rPr>
        <w:t xml:space="preserve">diagnosis of </w:t>
      </w:r>
      <w:r w:rsidR="004B2637" w:rsidRPr="00BC779C">
        <w:rPr>
          <w:rFonts w:ascii="Times New Roman" w:hAnsi="Times New Roman" w:cs="Times New Roman"/>
          <w:sz w:val="24"/>
          <w:szCs w:val="24"/>
        </w:rPr>
        <w:t xml:space="preserve">gastrointestinal diseases (Crohn’s, celiac, inflammatory bowel disease) or diseases affecting the kidneys, were consuming foods/drinks containing prebiotics or probiotics, </w:t>
      </w:r>
      <w:r w:rsidRPr="00BC779C">
        <w:rPr>
          <w:rFonts w:ascii="Times New Roman" w:hAnsi="Times New Roman" w:cs="Times New Roman"/>
          <w:sz w:val="24"/>
          <w:szCs w:val="24"/>
        </w:rPr>
        <w:t>and/</w:t>
      </w:r>
      <w:r w:rsidR="004B2637" w:rsidRPr="00BC779C">
        <w:rPr>
          <w:rFonts w:ascii="Times New Roman" w:hAnsi="Times New Roman" w:cs="Times New Roman"/>
          <w:sz w:val="24"/>
          <w:szCs w:val="24"/>
        </w:rPr>
        <w:t xml:space="preserve">or had a broken bone within the last 6 months. Participants were asked to discontinue consumption of nutritional supplements (vitamins, minerals, etc.) and/or foods containing pre- and probiotics for the entire duration of the </w:t>
      </w:r>
      <w:r w:rsidRPr="00BC779C">
        <w:rPr>
          <w:rFonts w:ascii="Times New Roman" w:hAnsi="Times New Roman" w:cs="Times New Roman"/>
          <w:sz w:val="24"/>
          <w:szCs w:val="24"/>
        </w:rPr>
        <w:t xml:space="preserve">study. To assure that participants removed all foods with these bioactive compounds, an extensive list of foods and beverages containing pre- and probiotics was provided to each participant at the time of study enrollment. </w:t>
      </w:r>
      <w:r w:rsidR="004B2637" w:rsidRPr="00BC779C">
        <w:rPr>
          <w:rFonts w:ascii="Times New Roman" w:hAnsi="Times New Roman" w:cs="Times New Roman"/>
          <w:sz w:val="24"/>
          <w:szCs w:val="24"/>
        </w:rPr>
        <w:t>This study was conducted according to the guidelines laid down in the Declaration of Helsinki and all procedures involving human subjects were approved by the Institutional Review Board of Purdue University. Written informed consent was obtained from all subjects and parents/guardians.</w:t>
      </w:r>
    </w:p>
    <w:p w14:paraId="640FEF37" w14:textId="77777777" w:rsidR="004B2637" w:rsidRPr="00BC779C" w:rsidRDefault="004B2637" w:rsidP="00D12A80">
      <w:pPr>
        <w:spacing w:after="100" w:afterAutospacing="1" w:line="480" w:lineRule="auto"/>
        <w:rPr>
          <w:rFonts w:ascii="Times New Roman" w:hAnsi="Times New Roman" w:cs="Times New Roman"/>
          <w:b/>
          <w:sz w:val="24"/>
          <w:szCs w:val="24"/>
        </w:rPr>
      </w:pPr>
      <w:r w:rsidRPr="00BC779C">
        <w:rPr>
          <w:rFonts w:ascii="Times New Roman" w:hAnsi="Times New Roman" w:cs="Times New Roman"/>
          <w:b/>
          <w:sz w:val="24"/>
          <w:szCs w:val="24"/>
        </w:rPr>
        <w:t>Study Design</w:t>
      </w:r>
    </w:p>
    <w:p w14:paraId="52590E7C" w14:textId="1ADBE4A8" w:rsidR="004B2637" w:rsidRPr="00BC779C" w:rsidRDefault="004B2637" w:rsidP="00D12A80">
      <w:pPr>
        <w:spacing w:after="100" w:afterAutospacing="1" w:line="480" w:lineRule="auto"/>
        <w:ind w:firstLine="720"/>
        <w:rPr>
          <w:rFonts w:ascii="Times New Roman" w:hAnsi="Times New Roman" w:cs="Times New Roman"/>
          <w:b/>
          <w:sz w:val="24"/>
          <w:szCs w:val="24"/>
        </w:rPr>
      </w:pPr>
      <w:r w:rsidRPr="00BC779C">
        <w:rPr>
          <w:rFonts w:ascii="Times New Roman" w:hAnsi="Times New Roman" w:cs="Times New Roman"/>
          <w:sz w:val="24"/>
          <w:szCs w:val="24"/>
        </w:rPr>
        <w:t xml:space="preserve">Study participants </w:t>
      </w:r>
      <w:r w:rsidR="005235CE" w:rsidRPr="00BC779C">
        <w:rPr>
          <w:rFonts w:ascii="Times New Roman" w:hAnsi="Times New Roman" w:cs="Times New Roman"/>
          <w:sz w:val="24"/>
          <w:szCs w:val="24"/>
        </w:rPr>
        <w:t>in this 3-phase, double-blind, cross</w:t>
      </w:r>
      <w:r w:rsidR="00E40583" w:rsidRPr="00BC779C">
        <w:rPr>
          <w:rFonts w:ascii="Times New Roman" w:hAnsi="Times New Roman" w:cs="Times New Roman"/>
          <w:sz w:val="24"/>
          <w:szCs w:val="24"/>
        </w:rPr>
        <w:t>-</w:t>
      </w:r>
      <w:r w:rsidR="005235CE" w:rsidRPr="00BC779C">
        <w:rPr>
          <w:rFonts w:ascii="Times New Roman" w:hAnsi="Times New Roman" w:cs="Times New Roman"/>
          <w:sz w:val="24"/>
          <w:szCs w:val="24"/>
        </w:rPr>
        <w:t xml:space="preserve">over study </w:t>
      </w:r>
      <w:r w:rsidRPr="00BC779C">
        <w:rPr>
          <w:rFonts w:ascii="Times New Roman" w:hAnsi="Times New Roman" w:cs="Times New Roman"/>
          <w:sz w:val="24"/>
          <w:szCs w:val="24"/>
        </w:rPr>
        <w:t xml:space="preserve">were assigned 0, 10 and 20 g of fiber from </w:t>
      </w:r>
      <w:r w:rsidRPr="00BC779C">
        <w:rPr>
          <w:rFonts w:ascii="Times New Roman" w:hAnsi="Times New Roman" w:cs="Times New Roman"/>
          <w:sz w:val="24"/>
          <w:szCs w:val="24"/>
          <w:lang w:val="en-IE"/>
        </w:rPr>
        <w:t>PROMITOR</w:t>
      </w:r>
      <w:r w:rsidRPr="00BC779C">
        <w:rPr>
          <w:rFonts w:ascii="Times New Roman" w:hAnsi="Times New Roman" w:cs="Times New Roman"/>
          <w:sz w:val="24"/>
          <w:szCs w:val="24"/>
          <w:vertAlign w:val="superscript"/>
          <w:lang w:val="en-IE"/>
        </w:rPr>
        <w:t>®</w:t>
      </w:r>
      <w:r w:rsidRPr="00BC779C">
        <w:rPr>
          <w:rFonts w:ascii="Times New Roman" w:hAnsi="Times New Roman" w:cs="Times New Roman"/>
          <w:sz w:val="24"/>
          <w:szCs w:val="24"/>
          <w:lang w:val="en-IE"/>
        </w:rPr>
        <w:t xml:space="preserve"> SCF 85 (provided by Tate &amp; Lyle, Hoffman Estates, IL)</w:t>
      </w:r>
      <w:r w:rsidR="005235CE" w:rsidRPr="00BC779C">
        <w:rPr>
          <w:rFonts w:ascii="Times New Roman" w:hAnsi="Times New Roman" w:cs="Times New Roman"/>
          <w:sz w:val="24"/>
          <w:szCs w:val="24"/>
        </w:rPr>
        <w:t xml:space="preserve"> in randomized order</w:t>
      </w:r>
      <w:r w:rsidR="00105187" w:rsidRPr="00BC779C">
        <w:rPr>
          <w:rFonts w:ascii="Times New Roman" w:hAnsi="Times New Roman" w:cs="Times New Roman"/>
          <w:sz w:val="24"/>
          <w:szCs w:val="24"/>
        </w:rPr>
        <w:t xml:space="preserve"> as these doses </w:t>
      </w:r>
      <w:r w:rsidR="00C96982" w:rsidRPr="00BC779C">
        <w:rPr>
          <w:rFonts w:ascii="Times New Roman" w:hAnsi="Times New Roman" w:cs="Times New Roman"/>
          <w:sz w:val="24"/>
          <w:szCs w:val="24"/>
        </w:rPr>
        <w:t xml:space="preserve">of non-digestible fibers </w:t>
      </w:r>
      <w:r w:rsidR="00105187" w:rsidRPr="00BC779C">
        <w:rPr>
          <w:rFonts w:ascii="Times New Roman" w:hAnsi="Times New Roman" w:cs="Times New Roman"/>
          <w:sz w:val="24"/>
          <w:szCs w:val="24"/>
        </w:rPr>
        <w:t xml:space="preserve">were tolerable and effective </w:t>
      </w:r>
      <w:r w:rsidR="007E4DEC" w:rsidRPr="00BC779C">
        <w:rPr>
          <w:rFonts w:ascii="Times New Roman" w:hAnsi="Times New Roman" w:cs="Times New Roman"/>
          <w:sz w:val="24"/>
          <w:szCs w:val="24"/>
        </w:rPr>
        <w:t xml:space="preserve">at improving mineral absorption </w:t>
      </w:r>
      <w:r w:rsidR="00105187" w:rsidRPr="00BC779C">
        <w:rPr>
          <w:rFonts w:ascii="Times New Roman" w:hAnsi="Times New Roman" w:cs="Times New Roman"/>
          <w:sz w:val="24"/>
          <w:szCs w:val="24"/>
        </w:rPr>
        <w:t xml:space="preserve">in similar </w:t>
      </w:r>
      <w:r w:rsidR="00E36E17" w:rsidRPr="00BC779C">
        <w:rPr>
          <w:rFonts w:ascii="Times New Roman" w:hAnsi="Times New Roman" w:cs="Times New Roman"/>
          <w:sz w:val="24"/>
          <w:szCs w:val="24"/>
        </w:rPr>
        <w:t xml:space="preserve">crossover </w:t>
      </w:r>
      <w:r w:rsidR="00105187" w:rsidRPr="00BC779C">
        <w:rPr>
          <w:rFonts w:ascii="Times New Roman" w:hAnsi="Times New Roman" w:cs="Times New Roman"/>
          <w:sz w:val="24"/>
          <w:szCs w:val="24"/>
        </w:rPr>
        <w:t xml:space="preserve">studies using </w:t>
      </w:r>
      <w:r w:rsidR="00E36E17" w:rsidRPr="00BC779C">
        <w:rPr>
          <w:rFonts w:ascii="Times New Roman" w:hAnsi="Times New Roman" w:cs="Times New Roman"/>
          <w:sz w:val="24"/>
          <w:szCs w:val="24"/>
        </w:rPr>
        <w:t>different</w:t>
      </w:r>
      <w:r w:rsidR="00105187" w:rsidRPr="00BC779C">
        <w:rPr>
          <w:rFonts w:ascii="Times New Roman" w:hAnsi="Times New Roman" w:cs="Times New Roman"/>
          <w:sz w:val="24"/>
          <w:szCs w:val="24"/>
        </w:rPr>
        <w:t xml:space="preserve"> prebiotics </w:t>
      </w:r>
      <w:r w:rsidR="00086B0D"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"10.1359/jbmr.1999.14.7.1211", "ISSN" : "08840431", "PMID" : "10404023", "abstract" : "Animal studies have indicated that calcium absorption is increased by lactulose, a synthetic disaccharide. Therefore, the influence of lactulose on calcium absorption was measured in postmenopausal women who may benefit from the possible enhancing effect of lactulose on calcium absorption. Twelve postmenopausal women drank 100 ml of water containing 5 or 10 g of lactulose or a reference substance at breakfast for 9 days. The three treatments were given according to a randomized, double-blind, cross-over design, separated by two 19-day wash-out periods. On the 8th day of each treatment period, 44Ca dissolved in orange juice was drunk immediately after the solution with the study substance and just before a standard breakfast with 162 mg of carrier calcium. Within half an hour, 48Ca was given intravenously. Based on isotope ratios measured in urine collected before and until 36 h after isotope administration, true fractional calcium absorption was calculated. Calcium absorption during the treatments with the reference substance, 5 g and 10 g of lactulose was (mean +/- SD) 27.7 +/- 7.7, 30.0 +/- 7.6, and 32.2 +/- 7.0, respectively. A significant difference in calcium absorption was found between the highest dose of lactulose and the reference treatment (p &lt; 0.01). A significant linear trend was found between the dose of lactulose and its positive effect on calcium absorption. In conclusion, in postmenopausal women a 9-day consumption of lactulose increases calcium absorption in a dose-response way. More research is warranted to explore how lactulose stimulates calcium absorption and whether it is able to improve calcium balance and/or to attenuate the rate of aging bone loss.", "author" : [ { "dropping-particle" : "", "family" : "heuvel", "given" : "Ellen G. H. M.", "non-dropping-particle" : "van den", "parse-names" : false, "suffix" : "" }, { "dropping-particle" : "", "family" : "Muijs", "given" : "Theo", "non-dropping-particle" : "", "parse-names" : false, "suffix" : "" }, { "dropping-particle" : "", "family" : "dokkum", "given" : "Wim", "non-dropping-particle" : "van", "parse-names" : false, "suffix" : "" }, { "dropping-particle" : "", "family" : "Schaafsma", "given" : "Gertjan", "non-dropping-particle" : "", "parse-names" : false, "suffix" : "" } ], "container-title" : "Journal of Bone and Mineral Research", "id" : "ITEM-1", "issue" : "7", "issued" : { "date-parts" : [ [ "1999", "7", "1" ] ] }, "page" : "1211-1216", "title" : "Lactulose stimulates calcium absorption in postmenopausal women", "type" : "article-journal", "volume" : "14" }, "uris" : [ "http://www.mendeley.com/documents/?uuid=6d39e600-53fc-4e22-bfd1-33042eef8c42" ] }, { "id" : "ITEM-2", "itemData" : { "author" : [ { "dropping-particle" : "", "family" : "Heuvel", "given" : "EG", "non-dropping-particle" : "van den", "parse-names" : false, "suffix" : "" }, { "dropping-particle" : "", "family" : "Schoterman", "given" : "MH", "non-dropping-particle" : "", "parse-names" : false, "suffix" : "" }, { "dropping-particle" : "", "family" : "Muijs", "given" : "T", "non-dropping-particle" : "", "parse-names" : false, "suffix" : "" } ], "container-title" : "Journal of Nutrition", "id" : "ITEM-2", "issued" : { "date-parts" : [ [ "2000" ] ] }, "page" : "2938-2942", "title" : "Trans-galactooligosaccharides stimulate calcium absorption in postmenopausal women", "type" : "article-journal", "volume" : "130" }, "uris" : [ "http://www.mendeley.com/documents/?uuid=b31b76e1-8712-4e91-a0b4-800380693c5b" ] }, { "id" : "ITEM-3", "itemData" : { "DOI" : "10.1017/S000711450733674X", "ISSN" : "0007-1145", "PMID" : "17298707", "abstract" : "Deficiency of oestrogen at menopause decreases intestinal Ca absorption, contributing to a negative Ca balance and bone loss. Mg deficiency has also been associated with bone loss. The purpose of the present investigation was to test the hypothesis that treatment with a spray-dried mixture of chicory oligofructose and long-chain inulin (Synergy1; SYN1) would increase the absorption of both Ca and Mg and alter markers of bone turnover. Fifteen postmenopausal women (72.2 (SD 6.4) years) were treated with SYN1 or placebo for 6 weeks using a double-blind, placebo-controlled, cross-over design. Fractional Ca and Mg absorption were measured using dual-tracer stable isotopes before and after treatment. Bone turnover markers were measured at baseline, 3 and 6 weeks. Fractional absorption of Ca and Mg increased following SYN1 compared with placebo (P &lt; 0.05). Bone resorption (by urinary deoxypyridinoline cross-links) was greater than baseline at 6 weeks of active treatment (P &lt; 0.05). Bone formation (by serum osteocalcin) showed an upward trend at 3 weeks and an increase following 6 weeks of SYN1 (P &lt; 0.05). Closer examination revealed a variation in response, with two-thirds of the subjects showing increased absorption with SYN1. Post hoc analyses demonstrated that positive responders had significantly lower lumbar spine bone mineral density than non-responders (dual X-ray absorptiometry 0.887 +/- 0.102 v. 1.104 +/- 0.121 g/cm2; P &lt; 0.01), and changes in bone turnover markers occurred only in responders. These results suggest that 6 weeks of SYN1 can improve mineral absorption and impact markers of bone turnover in postmenopausal women. Further research is needed to determine why a greater response was found in women with lower initial spine bone mineral density.", "author" : [ { "dropping-particle" : "", "family" : "Holloway", "given" : "Leah", "non-dropping-particle" : "", "parse-names" : false, "suffix" : "" }, { "dropping-particle" : "", "family" : "Moynihan", "given" : "Sharon", "non-dropping-particle" : "", "parse-names" : false, "suffix" : "" }, { "dropping-particle" : "", "family" : "Abrams", "given" : "Steven A", "non-dropping-particle" : "", "parse-names" : false, "suffix" : "" }, { "dropping-particle" : "", "family" : "Kent", "given" : "Kyla", "non-dropping-particle" : "", "parse-names" : false, "suffix" : "" }, { "dropping-particle" : "", "family" : "Hsu", "given" : "Andrew R", "non-dropping-particle" : "", "parse-names" : false, "suffix" : "" }, { "dropping-particle" : "", "family" : "Friedlander", "given" : "Anne L", "non-dropping-particle" : "", "parse-names" : false, "suffix" : "" } ], "container-title" : "The British journal of nutrition", "id" : "ITEM-3", "issue" : "2", "issued" : { "date-parts" : [ [ "2007", "3" ] ] }, "page" : "365-72", "title" : "Effects of oligofructose-enriched inulin on intestinal absorption of calcium and magnesium and bone turnover markers in postmenopausal women", "type" : "article-journal", "volume" : "97" }, "uris" : [ "http://www.mendeley.com/documents/?uuid=555bdcda-2d34-4c65-9d2a-daaffcd8e349" ] }, { "id" : "ITEM-4", "itemData" : { "DOI" : "10.1016/j.nutres.2009.03.005", "ISSN" : "1879-0739", "PMID" : "19410973", "abstract" : "Consumption of fructo-oligosaccharides (FOS) has been shown to improve mineral absorption in the short term, but no long-term effects were studied in girls with a low calcium intake. Therefore, we hypothesized that short- and long-term consumption of short-chain FOS (sc-FOS) improves calcium and magnesium absorption in girls with a low habitual calcium intake. Fourteen girls aged between 12 and 14 years received, for 36 days, 10 g sc-FOS (sc-FOS) or maltodextrin (placebo). Short-chain FOS were taken daily for 8 days followed by an intermittent intake mode on 28 random days to mimic noncontinuous intake. In a crossover design, true calcium and magnesium absorption was computed on the 8th and 36th day of each treatment period from isotope enrichment in urine. In addition, the parathyroid hormone and vitamin D in serum and markers of bone resorption in urine (pyridinoline and deoxypyridinoline) were determined. Short-chain FOS increased magnesium absorption by 18% after 36 days (30.1% +/- 9.1% vs 35.4% +/- 12.8%). Magnesium absorption did not change after the initial 8 days of long-term sc-FOS intake. Short-chain FOS did not affect calcium absorption. In addition, sc-FOS did not affect vitamin D, parathyroid hormone, or markers of bone resorption. It is concluded that consumption of sc-FOS for 36 days stimulated magnesium absorption in girls but did not affect calcium absorption.", "author" : [ { "dropping-particle" : "", "family" : "Heuvel", "given" : "Ellen G H M", "non-dropping-particle" : "van den", "parse-names" : false, "suffix" : "" }, { "dropping-particle" : "", "family" : "Muijs", "given" : "Theo", "non-dropping-particle" : "", "parse-names" : false, "suffix" : "" }, { "dropping-particle" : "", "family" : "Brouns", "given" : "Fred", "non-dropping-particle" : "", "parse-names" : false, "suffix" : "" }, { "dropping-particle" : "", "family" : "Hendriks", "given" : "Henk F J", "non-dropping-particle" : "", "parse-names" : false, "suffix" : "" } ], "container-title" : "Nutrition research (New York, N.Y.)", "id" : "ITEM-4", "issue" : "4", "issued" : { "date-parts" : [ [ "2009", "4" ] ] }, "page" : "229-37", "title" : "Short-chain fructo-oligosaccharides improve magnesium absorption in adolescent girls with a low calcium intake", "type" : "article-journal", "volume" : "29" }, "uris" : [ "http://www.mendeley.com/documents/?uuid=a7623bde-68e7-4a1c-a6ca-ec995a5634d5" ] } ], "mendeley" : { "formattedCitation" : "(12\u201315)", "plainTextFormattedCitation" : "(12\u201315)", "previouslyFormattedCitation" : "(12\u201315)" }, "properties" : { "noteIndex" : 0 }, "schema" : "https://github.com/citation-style-language/schema/raw/master/csl-citation.json" }</w:instrText>
      </w:r>
      <w:r w:rsidR="00086B0D"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(12–15)</w:t>
      </w:r>
      <w:r w:rsidR="00086B0D" w:rsidRPr="00BC779C">
        <w:rPr>
          <w:rFonts w:ascii="Times New Roman" w:hAnsi="Times New Roman" w:cs="Times New Roman"/>
          <w:sz w:val="24"/>
          <w:szCs w:val="24"/>
        </w:rPr>
        <w:fldChar w:fldCharType="end"/>
      </w:r>
      <w:r w:rsidR="00086B0D" w:rsidRPr="00BC779C">
        <w:rPr>
          <w:rFonts w:ascii="Times New Roman" w:hAnsi="Times New Roman" w:cs="Times New Roman"/>
          <w:sz w:val="24"/>
          <w:szCs w:val="24"/>
        </w:rPr>
        <w:t>.</w:t>
      </w:r>
      <w:r w:rsidRPr="00BC779C">
        <w:rPr>
          <w:rFonts w:ascii="Times New Roman" w:hAnsi="Times New Roman" w:cs="Times New Roman"/>
          <w:sz w:val="24"/>
          <w:szCs w:val="24"/>
        </w:rPr>
        <w:t xml:space="preserve"> </w:t>
      </w:r>
      <w:r w:rsidR="0008554D" w:rsidRPr="00BC779C">
        <w:rPr>
          <w:rFonts w:ascii="Times New Roman" w:hAnsi="Times New Roman" w:cs="Times New Roman"/>
          <w:sz w:val="24"/>
          <w:szCs w:val="24"/>
        </w:rPr>
        <w:t xml:space="preserve">Randomization was performed such that equal numbers of participants would be assigned to each of the three fiber interventions. </w:t>
      </w:r>
      <w:r w:rsidRPr="00BC779C">
        <w:rPr>
          <w:rFonts w:ascii="Times New Roman" w:hAnsi="Times New Roman" w:cs="Times New Roman"/>
          <w:sz w:val="24"/>
          <w:szCs w:val="24"/>
        </w:rPr>
        <w:t>The SCF ingredient was a fermentable, non-digestible carbohydrate containing a minimum of 85% soluble dietary fiber</w:t>
      </w:r>
      <w:r w:rsidR="00453FF2" w:rsidRPr="00BC779C">
        <w:rPr>
          <w:rFonts w:ascii="Times New Roman" w:hAnsi="Times New Roman" w:cs="Times New Roman"/>
          <w:sz w:val="24"/>
          <w:szCs w:val="24"/>
        </w:rPr>
        <w:t>, less than 2% sugar with a caloric content of 1.2 kcal/g</w:t>
      </w:r>
      <w:r w:rsidRPr="00BC779C">
        <w:rPr>
          <w:rFonts w:ascii="Times New Roman" w:hAnsi="Times New Roman" w:cs="Times New Roman"/>
          <w:sz w:val="24"/>
          <w:szCs w:val="24"/>
        </w:rPr>
        <w:t>. For 4 weeks, participants consumed half of the daily SCF dose</w:t>
      </w:r>
      <w:r w:rsidR="00C3410A" w:rsidRPr="00BC779C">
        <w:rPr>
          <w:rFonts w:ascii="Times New Roman" w:hAnsi="Times New Roman" w:cs="Times New Roman"/>
          <w:sz w:val="24"/>
          <w:szCs w:val="24"/>
        </w:rPr>
        <w:t xml:space="preserve"> (0, 5 and 10 g</w:t>
      </w:r>
      <w:r w:rsidR="000C0CFD" w:rsidRPr="00BC779C">
        <w:rPr>
          <w:rFonts w:ascii="Times New Roman" w:hAnsi="Times New Roman" w:cs="Times New Roman"/>
          <w:sz w:val="24"/>
          <w:szCs w:val="24"/>
        </w:rPr>
        <w:t xml:space="preserve"> fiber</w:t>
      </w:r>
      <w:r w:rsidR="003D266E" w:rsidRPr="00BC779C">
        <w:rPr>
          <w:rFonts w:ascii="Times New Roman" w:hAnsi="Times New Roman" w:cs="Times New Roman"/>
          <w:sz w:val="24"/>
          <w:szCs w:val="24"/>
        </w:rPr>
        <w:t>/d</w:t>
      </w:r>
      <w:r w:rsidR="000C0CFD" w:rsidRPr="00BC779C">
        <w:rPr>
          <w:rFonts w:ascii="Times New Roman" w:hAnsi="Times New Roman" w:cs="Times New Roman"/>
          <w:sz w:val="24"/>
          <w:szCs w:val="24"/>
        </w:rPr>
        <w:t xml:space="preserve"> </w:t>
      </w:r>
      <w:r w:rsidR="00453FF2" w:rsidRPr="00BC779C">
        <w:rPr>
          <w:rFonts w:ascii="Times New Roman" w:hAnsi="Times New Roman" w:cs="Times New Roman"/>
          <w:sz w:val="24"/>
          <w:szCs w:val="24"/>
        </w:rPr>
        <w:t xml:space="preserve">which is 0, 6.67 and 13.37% </w:t>
      </w:r>
      <w:r w:rsidR="00453FF2" w:rsidRPr="00BC779C">
        <w:rPr>
          <w:rFonts w:ascii="Times New Roman" w:hAnsi="Times New Roman" w:cs="Times New Roman"/>
          <w:sz w:val="24"/>
          <w:szCs w:val="24"/>
          <w:lang w:val="en-IE"/>
        </w:rPr>
        <w:t>PROMITOR</w:t>
      </w:r>
      <w:r w:rsidR="00453FF2" w:rsidRPr="00BC779C">
        <w:rPr>
          <w:rFonts w:ascii="Times New Roman" w:hAnsi="Times New Roman" w:cs="Times New Roman"/>
          <w:sz w:val="24"/>
          <w:szCs w:val="24"/>
          <w:vertAlign w:val="superscript"/>
          <w:lang w:val="en-IE"/>
        </w:rPr>
        <w:t>®</w:t>
      </w:r>
      <w:r w:rsidR="00453FF2" w:rsidRPr="00BC779C">
        <w:rPr>
          <w:rFonts w:ascii="Times New Roman" w:hAnsi="Times New Roman" w:cs="Times New Roman"/>
          <w:sz w:val="24"/>
          <w:szCs w:val="24"/>
          <w:lang w:val="en-IE"/>
        </w:rPr>
        <w:t xml:space="preserve"> 85</w:t>
      </w:r>
      <w:r w:rsidR="00C3410A" w:rsidRPr="00BC779C">
        <w:rPr>
          <w:rFonts w:ascii="Times New Roman" w:hAnsi="Times New Roman" w:cs="Times New Roman"/>
          <w:sz w:val="24"/>
          <w:szCs w:val="24"/>
        </w:rPr>
        <w:t>)</w:t>
      </w:r>
      <w:r w:rsidRPr="00BC779C">
        <w:rPr>
          <w:rFonts w:ascii="Times New Roman" w:hAnsi="Times New Roman" w:cs="Times New Roman"/>
          <w:sz w:val="24"/>
          <w:szCs w:val="24"/>
        </w:rPr>
        <w:t xml:space="preserve"> in a </w:t>
      </w:r>
      <w:r w:rsidRPr="00BC779C">
        <w:rPr>
          <w:rFonts w:ascii="Times New Roman" w:hAnsi="Times New Roman" w:cs="Times New Roman"/>
          <w:sz w:val="24"/>
          <w:szCs w:val="24"/>
          <w:lang w:val="en-IE"/>
        </w:rPr>
        <w:t>muffin and t</w:t>
      </w:r>
      <w:r w:rsidR="00EF15C2" w:rsidRPr="00BC779C">
        <w:rPr>
          <w:rFonts w:ascii="Times New Roman" w:hAnsi="Times New Roman" w:cs="Times New Roman"/>
          <w:sz w:val="24"/>
          <w:szCs w:val="24"/>
          <w:lang w:val="en-IE"/>
        </w:rPr>
        <w:t>he second half in a fruit-</w:t>
      </w:r>
      <w:r w:rsidR="00B11E61" w:rsidRPr="00BC779C">
        <w:rPr>
          <w:rFonts w:ascii="Times New Roman" w:hAnsi="Times New Roman" w:cs="Times New Roman"/>
          <w:sz w:val="24"/>
          <w:szCs w:val="24"/>
          <w:lang w:val="en-IE"/>
        </w:rPr>
        <w:t>flavored</w:t>
      </w:r>
      <w:r w:rsidRPr="00BC779C">
        <w:rPr>
          <w:rFonts w:ascii="Times New Roman" w:hAnsi="Times New Roman" w:cs="Times New Roman"/>
          <w:sz w:val="24"/>
          <w:szCs w:val="24"/>
          <w:lang w:val="en-IE"/>
        </w:rPr>
        <w:t xml:space="preserve"> beverage</w:t>
      </w:r>
      <w:r w:rsidR="00C3410A" w:rsidRPr="00BC779C">
        <w:rPr>
          <w:rFonts w:ascii="Times New Roman" w:hAnsi="Times New Roman" w:cs="Times New Roman"/>
          <w:sz w:val="24"/>
          <w:szCs w:val="24"/>
          <w:lang w:val="en-IE"/>
        </w:rPr>
        <w:t xml:space="preserve">. </w:t>
      </w:r>
      <w:r w:rsidR="00890ACF" w:rsidRPr="00BC779C">
        <w:rPr>
          <w:rFonts w:ascii="Times New Roman" w:hAnsi="Times New Roman" w:cs="Times New Roman"/>
          <w:sz w:val="24"/>
          <w:szCs w:val="24"/>
          <w:lang w:val="en-IE"/>
        </w:rPr>
        <w:t>Control</w:t>
      </w:r>
      <w:r w:rsidR="000C0CFD" w:rsidRPr="00BC779C">
        <w:rPr>
          <w:rFonts w:ascii="Times New Roman" w:hAnsi="Times New Roman" w:cs="Times New Roman"/>
          <w:sz w:val="24"/>
          <w:szCs w:val="24"/>
          <w:lang w:val="en-IE"/>
        </w:rPr>
        <w:t xml:space="preserve"> (</w:t>
      </w:r>
      <w:r w:rsidR="001137C6" w:rsidRPr="00BC779C">
        <w:rPr>
          <w:rFonts w:ascii="Times New Roman" w:hAnsi="Times New Roman" w:cs="Times New Roman"/>
          <w:sz w:val="24"/>
          <w:szCs w:val="24"/>
          <w:lang w:val="en-IE"/>
        </w:rPr>
        <w:t>0 g fiber/d</w:t>
      </w:r>
      <w:r w:rsidR="00930BA6" w:rsidRPr="00BC779C">
        <w:rPr>
          <w:rFonts w:ascii="Times New Roman" w:hAnsi="Times New Roman" w:cs="Times New Roman"/>
          <w:sz w:val="24"/>
          <w:szCs w:val="24"/>
          <w:lang w:val="en-IE"/>
        </w:rPr>
        <w:t xml:space="preserve"> from SCF</w:t>
      </w:r>
      <w:r w:rsidR="00342A21" w:rsidRPr="00BC779C">
        <w:rPr>
          <w:rFonts w:ascii="Times New Roman" w:hAnsi="Times New Roman" w:cs="Times New Roman"/>
          <w:sz w:val="24"/>
          <w:szCs w:val="24"/>
          <w:lang w:val="en-IE"/>
        </w:rPr>
        <w:t>)</w:t>
      </w:r>
      <w:r w:rsidR="00890ACF" w:rsidRPr="00BC779C">
        <w:rPr>
          <w:rFonts w:ascii="Times New Roman" w:hAnsi="Times New Roman" w:cs="Times New Roman"/>
          <w:sz w:val="24"/>
          <w:szCs w:val="24"/>
          <w:lang w:val="en-IE"/>
        </w:rPr>
        <w:t xml:space="preserve"> </w:t>
      </w:r>
      <w:r w:rsidR="00C95503" w:rsidRPr="00BC779C">
        <w:rPr>
          <w:rFonts w:ascii="Times New Roman" w:hAnsi="Times New Roman" w:cs="Times New Roman"/>
          <w:sz w:val="24"/>
          <w:szCs w:val="24"/>
          <w:lang w:val="en-IE"/>
        </w:rPr>
        <w:t xml:space="preserve">beverages contained a maltodextrin </w:t>
      </w:r>
      <w:r w:rsidR="00C95503" w:rsidRPr="00BC779C">
        <w:rPr>
          <w:rFonts w:ascii="Times New Roman" w:hAnsi="Times New Roman" w:cs="Times New Roman"/>
          <w:sz w:val="24"/>
          <w:szCs w:val="24"/>
          <w:lang w:val="en-IE"/>
        </w:rPr>
        <w:lastRenderedPageBreak/>
        <w:t>placebo while muffins were prepared per the recipe with no placebo.</w:t>
      </w:r>
      <w:r w:rsidR="00342A21" w:rsidRPr="00BC779C">
        <w:rPr>
          <w:rFonts w:ascii="Times New Roman" w:hAnsi="Times New Roman" w:cs="Times New Roman"/>
          <w:sz w:val="24"/>
          <w:szCs w:val="24"/>
          <w:lang w:val="en-IE"/>
        </w:rPr>
        <w:t xml:space="preserve"> </w:t>
      </w:r>
      <w:r w:rsidR="00C3410A" w:rsidRPr="00BC779C">
        <w:rPr>
          <w:rFonts w:ascii="Times New Roman" w:hAnsi="Times New Roman" w:cs="Times New Roman"/>
          <w:sz w:val="24"/>
          <w:szCs w:val="24"/>
          <w:lang w:val="en-IE"/>
        </w:rPr>
        <w:t>The 4-week consumption period was f</w:t>
      </w:r>
      <w:r w:rsidRPr="00BC779C">
        <w:rPr>
          <w:rFonts w:ascii="Times New Roman" w:hAnsi="Times New Roman" w:cs="Times New Roman"/>
          <w:sz w:val="24"/>
          <w:szCs w:val="24"/>
          <w:lang w:val="en-IE"/>
        </w:rPr>
        <w:t xml:space="preserve">ollowed by a 3-day clinical visit (Friday evening through Sunday </w:t>
      </w:r>
      <w:r w:rsidR="009F55A6" w:rsidRPr="00BC779C">
        <w:rPr>
          <w:rFonts w:ascii="Times New Roman" w:hAnsi="Times New Roman" w:cs="Times New Roman"/>
          <w:sz w:val="24"/>
          <w:szCs w:val="24"/>
          <w:lang w:val="en-IE"/>
        </w:rPr>
        <w:t>evening</w:t>
      </w:r>
      <w:r w:rsidRPr="00BC779C">
        <w:rPr>
          <w:rFonts w:ascii="Times New Roman" w:hAnsi="Times New Roman" w:cs="Times New Roman"/>
          <w:sz w:val="24"/>
          <w:szCs w:val="24"/>
          <w:lang w:val="en-IE"/>
        </w:rPr>
        <w:t xml:space="preserve">) and a 3-4 week washout phase. </w:t>
      </w:r>
      <w:r w:rsidRPr="00BC779C">
        <w:rPr>
          <w:rFonts w:ascii="Times New Roman" w:hAnsi="Times New Roman" w:cs="Times New Roman"/>
          <w:sz w:val="24"/>
          <w:szCs w:val="24"/>
        </w:rPr>
        <w:t xml:space="preserve">During each clinical visit, participants were housed in a local hotel near the Purdue University campus. Participants were provided a controlled basal diet containing </w:t>
      </w:r>
      <w:r w:rsidRPr="00BC779C">
        <w:rPr>
          <w:rFonts w:ascii="Times New Roman" w:hAnsi="Times New Roman" w:cs="Times New Roman"/>
          <w:sz w:val="24"/>
          <w:szCs w:val="24"/>
          <w:lang w:val="en-IE"/>
        </w:rPr>
        <w:t>800 mg/d calcium, 15 g/d fiber</w:t>
      </w:r>
      <w:r w:rsidR="00E1344A" w:rsidRPr="00BC779C">
        <w:rPr>
          <w:rFonts w:ascii="Times New Roman" w:hAnsi="Times New Roman" w:cs="Times New Roman"/>
          <w:sz w:val="24"/>
          <w:szCs w:val="24"/>
          <w:lang w:val="en-IE"/>
        </w:rPr>
        <w:t xml:space="preserve"> (from whole grains, fruits and vegetables)</w:t>
      </w:r>
      <w:r w:rsidRPr="00BC779C">
        <w:rPr>
          <w:rFonts w:ascii="Times New Roman" w:hAnsi="Times New Roman" w:cs="Times New Roman"/>
          <w:sz w:val="24"/>
          <w:szCs w:val="24"/>
          <w:lang w:val="en-IE"/>
        </w:rPr>
        <w:t xml:space="preserve"> and adequate nutrients and calories, as calculated by the Harris-Benedict equation which accounts for resting energy expenditure and activity energy expenditure, in relation to body size</w:t>
      </w:r>
      <w:r w:rsidRPr="00BC779C">
        <w:rPr>
          <w:rFonts w:ascii="Times New Roman" w:hAnsi="Times New Roman" w:cs="Times New Roman"/>
          <w:sz w:val="24"/>
          <w:szCs w:val="24"/>
        </w:rPr>
        <w:t xml:space="preserve">. </w:t>
      </w:r>
    </w:p>
    <w:p w14:paraId="3D8D8E67" w14:textId="746ACA86" w:rsidR="004B2637" w:rsidRPr="00BC779C" w:rsidRDefault="004F7587" w:rsidP="00D12A80">
      <w:pPr>
        <w:spacing w:after="100" w:afterAutospacing="1" w:line="480" w:lineRule="auto"/>
        <w:ind w:firstLine="720"/>
        <w:rPr>
          <w:rFonts w:ascii="Times New Roman" w:hAnsi="Times New Roman" w:cs="Times New Roman"/>
          <w:sz w:val="24"/>
          <w:szCs w:val="24"/>
          <w:lang w:val="en-IE"/>
        </w:rPr>
      </w:pPr>
      <w:r w:rsidRPr="00BC779C">
        <w:rPr>
          <w:rFonts w:ascii="Times New Roman" w:hAnsi="Times New Roman" w:cs="Times New Roman"/>
          <w:sz w:val="24"/>
          <w:szCs w:val="24"/>
        </w:rPr>
        <w:t>Brief questionnaires regarding health history, supplement use and sexual maturation (tanner staging)</w:t>
      </w:r>
      <w:r w:rsidR="000B10EA" w:rsidRPr="00BC779C">
        <w:rPr>
          <w:rFonts w:ascii="Times New Roman" w:hAnsi="Times New Roman" w:cs="Times New Roman"/>
          <w:sz w:val="24"/>
          <w:szCs w:val="24"/>
        </w:rPr>
        <w:t xml:space="preserve"> </w:t>
      </w:r>
      <w:r w:rsidR="00AD6B19"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"ISSN" : "1468-2044", "PMID" : "5785179", "author" : [ { "dropping-particle" : "", "family" : "Marshall", "given" : "W A", "non-dropping-particle" : "", "parse-names" : false, "suffix" : "" }, { "dropping-particle" : "", "family" : "Tanner", "given" : "J M", "non-dropping-particle" : "", "parse-names" : false, "suffix" : "" } ], "container-title" : "Archives of disease in childhood", "id" : "ITEM-1", "issue" : "235", "issued" : { "date-parts" : [ [ "1969", "6" ] ] }, "page" : "291-303", "title" : "Variations in pattern of pubertal changes in girls", "type" : "article-journal", "volume" : "44" }, "uris" : [ "http://www.mendeley.com/documents/?uuid=818407fb-7da7-42e4-b332-b17d4e3a8d4e" ] } ], "mendeley" : { "formattedCitation" : "(16)", "plainTextFormattedCitation" : "(16)", "previouslyFormattedCitation" : "(16)" }, "properties" : { "noteIndex" : 0 }, "schema" : "https://github.com/citation-style-language/schema/raw/master/csl-citation.json" }</w:instrText>
      </w:r>
      <w:r w:rsidR="00AD6B19"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(16)</w:t>
      </w:r>
      <w:r w:rsidR="00AD6B19" w:rsidRPr="00BC779C">
        <w:rPr>
          <w:rFonts w:ascii="Times New Roman" w:hAnsi="Times New Roman" w:cs="Times New Roman"/>
          <w:sz w:val="24"/>
          <w:szCs w:val="24"/>
        </w:rPr>
        <w:fldChar w:fldCharType="end"/>
      </w:r>
      <w:r w:rsidRPr="00BC779C">
        <w:rPr>
          <w:rFonts w:ascii="Times New Roman" w:hAnsi="Times New Roman" w:cs="Times New Roman"/>
          <w:sz w:val="24"/>
          <w:szCs w:val="24"/>
        </w:rPr>
        <w:t xml:space="preserve"> were administered at</w:t>
      </w:r>
      <w:r w:rsidR="004B2637" w:rsidRPr="00BC779C">
        <w:rPr>
          <w:rFonts w:ascii="Times New Roman" w:hAnsi="Times New Roman" w:cs="Times New Roman"/>
          <w:sz w:val="24"/>
          <w:szCs w:val="24"/>
        </w:rPr>
        <w:t xml:space="preserve"> baseline. Participant race and ethnicity were self-reported. Baseline anthropometric measures were taken; height (cm) was measured using a wall-mounted stadiometer and weight (kg) was measured with a digital scale. Habitual dietary intake was estimated using 6-day diet records which were completed before the start of the study and between</w:t>
      </w:r>
      <w:r w:rsidR="00C3410A" w:rsidRPr="00BC779C">
        <w:rPr>
          <w:rFonts w:ascii="Times New Roman" w:hAnsi="Times New Roman" w:cs="Times New Roman"/>
          <w:sz w:val="24"/>
          <w:szCs w:val="24"/>
        </w:rPr>
        <w:t xml:space="preserve"> each subsequent </w:t>
      </w:r>
      <w:r w:rsidR="00D6757B" w:rsidRPr="00BC779C">
        <w:rPr>
          <w:rFonts w:ascii="Times New Roman" w:hAnsi="Times New Roman" w:cs="Times New Roman"/>
          <w:sz w:val="24"/>
          <w:szCs w:val="24"/>
        </w:rPr>
        <w:t>intervention</w:t>
      </w:r>
      <w:r w:rsidR="00C3410A" w:rsidRPr="00BC779C">
        <w:rPr>
          <w:rFonts w:ascii="Times New Roman" w:hAnsi="Times New Roman" w:cs="Times New Roman"/>
          <w:sz w:val="24"/>
          <w:szCs w:val="24"/>
        </w:rPr>
        <w:t>, during the washout phase</w:t>
      </w:r>
      <w:r w:rsidR="004B2637" w:rsidRPr="00BC779C">
        <w:rPr>
          <w:rFonts w:ascii="Times New Roman" w:hAnsi="Times New Roman" w:cs="Times New Roman"/>
          <w:sz w:val="24"/>
          <w:szCs w:val="24"/>
        </w:rPr>
        <w:t xml:space="preserve">. </w:t>
      </w:r>
      <w:r w:rsidR="004B2637" w:rsidRPr="00BC779C">
        <w:rPr>
          <w:rFonts w:ascii="Times New Roman" w:hAnsi="Times New Roman" w:cs="Times New Roman"/>
          <w:sz w:val="24"/>
          <w:szCs w:val="24"/>
          <w:lang w:val="en-IE"/>
        </w:rPr>
        <w:t>Diet record data were analysed with the Nutritio</w:t>
      </w:r>
      <w:r w:rsidR="004701BE" w:rsidRPr="00BC779C">
        <w:rPr>
          <w:rFonts w:ascii="Times New Roman" w:hAnsi="Times New Roman" w:cs="Times New Roman"/>
          <w:sz w:val="24"/>
          <w:szCs w:val="24"/>
          <w:lang w:val="en-IE"/>
        </w:rPr>
        <w:t>n Data System for Research (</w:t>
      </w:r>
      <w:r w:rsidR="006053EF" w:rsidRPr="00BC779C">
        <w:rPr>
          <w:rFonts w:ascii="Times New Roman" w:hAnsi="Times New Roman" w:cs="Times New Roman"/>
          <w:sz w:val="24"/>
          <w:szCs w:val="24"/>
          <w:lang w:val="en-IE"/>
        </w:rPr>
        <w:t>software version</w:t>
      </w:r>
      <w:r w:rsidR="00C1499E" w:rsidRPr="00BC779C">
        <w:rPr>
          <w:rFonts w:ascii="Times New Roman" w:hAnsi="Times New Roman" w:cs="Times New Roman"/>
          <w:sz w:val="24"/>
          <w:szCs w:val="24"/>
          <w:lang w:val="en-IE"/>
        </w:rPr>
        <w:t xml:space="preserve"> </w:t>
      </w:r>
      <w:r w:rsidR="006053EF" w:rsidRPr="00BC779C">
        <w:rPr>
          <w:rFonts w:ascii="Times New Roman" w:hAnsi="Times New Roman" w:cs="Times New Roman"/>
          <w:sz w:val="24"/>
          <w:szCs w:val="24"/>
          <w:lang w:val="en-IE"/>
        </w:rPr>
        <w:t>2013</w:t>
      </w:r>
      <w:r w:rsidR="004B2637" w:rsidRPr="00BC779C">
        <w:rPr>
          <w:rFonts w:ascii="Times New Roman" w:hAnsi="Times New Roman" w:cs="Times New Roman"/>
          <w:sz w:val="24"/>
          <w:szCs w:val="24"/>
          <w:lang w:val="en-IE"/>
        </w:rPr>
        <w:t xml:space="preserve">, </w:t>
      </w:r>
      <w:r w:rsidR="006053EF" w:rsidRPr="00BC779C">
        <w:rPr>
          <w:rFonts w:ascii="Times New Roman" w:hAnsi="Times New Roman" w:cs="Times New Roman"/>
          <w:sz w:val="24"/>
          <w:szCs w:val="24"/>
          <w:lang w:val="en-IE"/>
        </w:rPr>
        <w:t>Nutrition</w:t>
      </w:r>
      <w:r w:rsidR="004701BE" w:rsidRPr="00BC779C">
        <w:rPr>
          <w:rFonts w:ascii="Times New Roman" w:hAnsi="Times New Roman" w:cs="Times New Roman"/>
          <w:sz w:val="24"/>
          <w:szCs w:val="24"/>
          <w:lang w:val="en-IE"/>
        </w:rPr>
        <w:t xml:space="preserve"> Coordinating Center</w:t>
      </w:r>
      <w:r w:rsidR="006053EF" w:rsidRPr="00BC779C">
        <w:rPr>
          <w:rFonts w:ascii="Times New Roman" w:hAnsi="Times New Roman" w:cs="Times New Roman"/>
          <w:sz w:val="24"/>
          <w:szCs w:val="24"/>
          <w:lang w:val="en-IE"/>
        </w:rPr>
        <w:t xml:space="preserve"> </w:t>
      </w:r>
      <w:r w:rsidR="004B2637" w:rsidRPr="00BC779C">
        <w:rPr>
          <w:rFonts w:ascii="Times New Roman" w:hAnsi="Times New Roman" w:cs="Times New Roman"/>
          <w:sz w:val="24"/>
          <w:szCs w:val="24"/>
          <w:lang w:val="en-IE"/>
        </w:rPr>
        <w:t>University of Minnesota</w:t>
      </w:r>
      <w:r w:rsidR="006053EF" w:rsidRPr="00BC779C">
        <w:rPr>
          <w:rFonts w:ascii="Times New Roman" w:hAnsi="Times New Roman" w:cs="Times New Roman"/>
          <w:sz w:val="24"/>
          <w:szCs w:val="24"/>
          <w:lang w:val="en-IE"/>
        </w:rPr>
        <w:t>, Minneapolis, MN</w:t>
      </w:r>
      <w:r w:rsidR="004B2637" w:rsidRPr="00BC779C">
        <w:rPr>
          <w:rFonts w:ascii="Times New Roman" w:hAnsi="Times New Roman" w:cs="Times New Roman"/>
          <w:sz w:val="24"/>
          <w:szCs w:val="24"/>
          <w:lang w:val="en-IE"/>
        </w:rPr>
        <w:t>)</w:t>
      </w:r>
      <w:r w:rsidR="009F55A6" w:rsidRPr="00BC779C">
        <w:rPr>
          <w:rFonts w:ascii="Times New Roman" w:hAnsi="Times New Roman" w:cs="Times New Roman"/>
          <w:sz w:val="24"/>
          <w:szCs w:val="24"/>
          <w:lang w:val="en-IE"/>
        </w:rPr>
        <w:t>.</w:t>
      </w:r>
      <w:r w:rsidR="004B2637" w:rsidRPr="00BC779C">
        <w:rPr>
          <w:rFonts w:ascii="Times New Roman" w:hAnsi="Times New Roman" w:cs="Times New Roman"/>
          <w:sz w:val="24"/>
          <w:szCs w:val="24"/>
          <w:lang w:val="en-IE"/>
        </w:rPr>
        <w:t xml:space="preserve"> </w:t>
      </w:r>
      <w:r w:rsidR="006053EF" w:rsidRPr="00BC779C">
        <w:rPr>
          <w:rFonts w:ascii="Times New Roman" w:hAnsi="Times New Roman" w:cs="Times New Roman"/>
          <w:sz w:val="24"/>
          <w:szCs w:val="24"/>
          <w:lang w:val="en-IE"/>
        </w:rPr>
        <w:t>M</w:t>
      </w:r>
      <w:r w:rsidR="00C3410A" w:rsidRPr="00BC779C">
        <w:rPr>
          <w:rFonts w:ascii="Times New Roman" w:hAnsi="Times New Roman" w:cs="Times New Roman"/>
          <w:sz w:val="24"/>
          <w:szCs w:val="24"/>
          <w:lang w:val="en-IE"/>
        </w:rPr>
        <w:t xml:space="preserve">ean macro- and micronutrient intakes </w:t>
      </w:r>
      <w:r w:rsidR="006053EF" w:rsidRPr="00BC779C">
        <w:rPr>
          <w:rFonts w:ascii="Times New Roman" w:hAnsi="Times New Roman" w:cs="Times New Roman"/>
          <w:sz w:val="24"/>
          <w:szCs w:val="24"/>
          <w:lang w:val="en-IE"/>
        </w:rPr>
        <w:t xml:space="preserve">were </w:t>
      </w:r>
      <w:r w:rsidR="00C3410A" w:rsidRPr="00BC779C">
        <w:rPr>
          <w:rFonts w:ascii="Times New Roman" w:hAnsi="Times New Roman" w:cs="Times New Roman"/>
          <w:sz w:val="24"/>
          <w:szCs w:val="24"/>
          <w:lang w:val="en-IE"/>
        </w:rPr>
        <w:t>calculated to characterize habitual dietary intakes</w:t>
      </w:r>
      <w:r w:rsidR="00144412" w:rsidRPr="00BC779C">
        <w:rPr>
          <w:rFonts w:ascii="Times New Roman" w:hAnsi="Times New Roman" w:cs="Times New Roman"/>
          <w:sz w:val="24"/>
          <w:szCs w:val="24"/>
          <w:lang w:val="en-IE"/>
        </w:rPr>
        <w:t xml:space="preserve">. During </w:t>
      </w:r>
      <w:r w:rsidR="000E55FA" w:rsidRPr="00BC779C">
        <w:rPr>
          <w:rFonts w:ascii="Times New Roman" w:hAnsi="Times New Roman" w:cs="Times New Roman"/>
          <w:sz w:val="24"/>
          <w:szCs w:val="24"/>
          <w:lang w:val="en-IE"/>
        </w:rPr>
        <w:t>one</w:t>
      </w:r>
      <w:r w:rsidR="00144412" w:rsidRPr="00BC779C">
        <w:rPr>
          <w:rFonts w:ascii="Times New Roman" w:hAnsi="Times New Roman" w:cs="Times New Roman"/>
          <w:sz w:val="24"/>
          <w:szCs w:val="24"/>
          <w:lang w:val="en-IE"/>
        </w:rPr>
        <w:t xml:space="preserve"> of the clinical visits, </w:t>
      </w:r>
      <w:r w:rsidR="006053EF" w:rsidRPr="00BC779C">
        <w:rPr>
          <w:rFonts w:ascii="Times New Roman" w:hAnsi="Times New Roman" w:cs="Times New Roman"/>
          <w:sz w:val="24"/>
          <w:szCs w:val="24"/>
          <w:lang w:val="en-IE"/>
        </w:rPr>
        <w:t>D</w:t>
      </w:r>
      <w:r w:rsidR="00144412" w:rsidRPr="00BC779C">
        <w:rPr>
          <w:rFonts w:ascii="Times New Roman" w:hAnsi="Times New Roman" w:cs="Times New Roman"/>
          <w:sz w:val="24"/>
          <w:szCs w:val="24"/>
          <w:lang w:val="en-IE"/>
        </w:rPr>
        <w:t>ual Energy X-Ray Absorptiometry (</w:t>
      </w:r>
      <w:r w:rsidR="00A1263F" w:rsidRPr="00BC779C">
        <w:rPr>
          <w:rFonts w:ascii="Times New Roman" w:hAnsi="Times New Roman" w:cs="Times New Roman"/>
          <w:sz w:val="24"/>
          <w:szCs w:val="24"/>
          <w:lang w:val="en-IE"/>
        </w:rPr>
        <w:t>i</w:t>
      </w:r>
      <w:r w:rsidR="00144412" w:rsidRPr="00BC779C">
        <w:rPr>
          <w:rFonts w:ascii="Times New Roman" w:hAnsi="Times New Roman" w:cs="Times New Roman"/>
          <w:sz w:val="24"/>
          <w:szCs w:val="24"/>
          <w:lang w:val="en-IE"/>
        </w:rPr>
        <w:t xml:space="preserve">DXA, GE Lunar, Madison WI)) scans were taken of the total skeleton, dual hip, and </w:t>
      </w:r>
      <w:r w:rsidR="006053EF" w:rsidRPr="00BC779C">
        <w:rPr>
          <w:rFonts w:ascii="Times New Roman" w:hAnsi="Times New Roman" w:cs="Times New Roman"/>
          <w:sz w:val="24"/>
          <w:szCs w:val="24"/>
          <w:lang w:val="en-IE"/>
        </w:rPr>
        <w:t xml:space="preserve">lumbar </w:t>
      </w:r>
      <w:r w:rsidR="005B2692" w:rsidRPr="00BC779C">
        <w:rPr>
          <w:rFonts w:ascii="Times New Roman" w:hAnsi="Times New Roman" w:cs="Times New Roman"/>
          <w:sz w:val="24"/>
          <w:szCs w:val="24"/>
          <w:lang w:val="en-IE"/>
        </w:rPr>
        <w:t>spine.</w:t>
      </w:r>
    </w:p>
    <w:p w14:paraId="7A9CD9B6" w14:textId="204B489A" w:rsidR="00196F54" w:rsidRPr="00BC779C" w:rsidRDefault="00141F20" w:rsidP="00D12A80">
      <w:pPr>
        <w:autoSpaceDE w:val="0"/>
        <w:autoSpaceDN w:val="0"/>
        <w:adjustRightInd w:val="0"/>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 xml:space="preserve">For each of the three </w:t>
      </w:r>
      <w:r w:rsidR="00D6757B" w:rsidRPr="00BC779C">
        <w:rPr>
          <w:rFonts w:ascii="Times New Roman" w:hAnsi="Times New Roman" w:cs="Times New Roman"/>
          <w:sz w:val="24"/>
          <w:szCs w:val="24"/>
        </w:rPr>
        <w:t>intervention</w:t>
      </w:r>
      <w:r w:rsidRPr="00BC779C">
        <w:rPr>
          <w:rFonts w:ascii="Times New Roman" w:hAnsi="Times New Roman" w:cs="Times New Roman"/>
          <w:sz w:val="24"/>
          <w:szCs w:val="24"/>
        </w:rPr>
        <w:t>s, b</w:t>
      </w:r>
      <w:r w:rsidR="004B2637" w:rsidRPr="00BC779C">
        <w:rPr>
          <w:rFonts w:ascii="Times New Roman" w:hAnsi="Times New Roman" w:cs="Times New Roman"/>
          <w:sz w:val="24"/>
          <w:szCs w:val="24"/>
        </w:rPr>
        <w:t xml:space="preserve">aseline and 4-week </w:t>
      </w:r>
      <w:r w:rsidR="009C5C74" w:rsidRPr="00BC779C">
        <w:rPr>
          <w:rFonts w:ascii="Times New Roman" w:hAnsi="Times New Roman" w:cs="Times New Roman"/>
          <w:sz w:val="24"/>
          <w:szCs w:val="24"/>
        </w:rPr>
        <w:t xml:space="preserve">(end of </w:t>
      </w:r>
      <w:r w:rsidR="00D6757B" w:rsidRPr="00BC779C">
        <w:rPr>
          <w:rFonts w:ascii="Times New Roman" w:hAnsi="Times New Roman" w:cs="Times New Roman"/>
          <w:sz w:val="24"/>
          <w:szCs w:val="24"/>
        </w:rPr>
        <w:t>intervention</w:t>
      </w:r>
      <w:r w:rsidR="009C5C74" w:rsidRPr="00BC779C">
        <w:rPr>
          <w:rFonts w:ascii="Times New Roman" w:hAnsi="Times New Roman" w:cs="Times New Roman"/>
          <w:sz w:val="24"/>
          <w:szCs w:val="24"/>
        </w:rPr>
        <w:t xml:space="preserve">) </w:t>
      </w:r>
      <w:r w:rsidR="004B2637" w:rsidRPr="00BC779C">
        <w:rPr>
          <w:rFonts w:ascii="Times New Roman" w:hAnsi="Times New Roman" w:cs="Times New Roman"/>
          <w:sz w:val="24"/>
          <w:szCs w:val="24"/>
        </w:rPr>
        <w:t>fecal samples were collecte</w:t>
      </w:r>
      <w:r w:rsidR="004F7587" w:rsidRPr="00BC779C">
        <w:rPr>
          <w:rFonts w:ascii="Times New Roman" w:hAnsi="Times New Roman" w:cs="Times New Roman"/>
          <w:sz w:val="24"/>
          <w:szCs w:val="24"/>
        </w:rPr>
        <w:t xml:space="preserve">d for </w:t>
      </w:r>
      <w:r w:rsidR="00622C48" w:rsidRPr="00BC779C">
        <w:rPr>
          <w:rFonts w:ascii="Times New Roman" w:hAnsi="Times New Roman" w:cs="Times New Roman"/>
          <w:sz w:val="24"/>
          <w:szCs w:val="24"/>
        </w:rPr>
        <w:t>high-</w:t>
      </w:r>
      <w:r w:rsidR="009F55A6" w:rsidRPr="00BC779C">
        <w:rPr>
          <w:rFonts w:ascii="Times New Roman" w:hAnsi="Times New Roman" w:cs="Times New Roman"/>
          <w:sz w:val="24"/>
          <w:szCs w:val="24"/>
        </w:rPr>
        <w:t>throughput</w:t>
      </w:r>
      <w:r w:rsidR="004B2637" w:rsidRPr="00BC779C">
        <w:rPr>
          <w:rFonts w:ascii="Times New Roman" w:hAnsi="Times New Roman" w:cs="Times New Roman"/>
          <w:sz w:val="24"/>
          <w:szCs w:val="24"/>
        </w:rPr>
        <w:t xml:space="preserve"> sequencing</w:t>
      </w:r>
      <w:r w:rsidR="004F7587" w:rsidRPr="00BC779C">
        <w:rPr>
          <w:rFonts w:ascii="Times New Roman" w:hAnsi="Times New Roman" w:cs="Times New Roman"/>
          <w:sz w:val="24"/>
          <w:szCs w:val="24"/>
        </w:rPr>
        <w:t xml:space="preserve"> of the </w:t>
      </w:r>
      <w:r w:rsidR="00E1344A" w:rsidRPr="00BC779C">
        <w:rPr>
          <w:rFonts w:ascii="Times New Roman" w:hAnsi="Times New Roman" w:cs="Times New Roman"/>
          <w:sz w:val="24"/>
          <w:szCs w:val="24"/>
        </w:rPr>
        <w:t xml:space="preserve">intestinal </w:t>
      </w:r>
      <w:r w:rsidR="004F7587" w:rsidRPr="00BC779C">
        <w:rPr>
          <w:rFonts w:ascii="Times New Roman" w:hAnsi="Times New Roman" w:cs="Times New Roman"/>
          <w:sz w:val="24"/>
          <w:szCs w:val="24"/>
        </w:rPr>
        <w:t>microbiome</w:t>
      </w:r>
      <w:r w:rsidR="004B2637" w:rsidRPr="00BC779C">
        <w:rPr>
          <w:rFonts w:ascii="Times New Roman" w:hAnsi="Times New Roman" w:cs="Times New Roman"/>
          <w:sz w:val="24"/>
          <w:szCs w:val="24"/>
        </w:rPr>
        <w:t xml:space="preserve">. Participants were provided with fecal collection supplies and instructed to collect the baseline samples at home. These samples were stored on ice and study personnel were notified to pick up the </w:t>
      </w:r>
      <w:r w:rsidR="004B2637" w:rsidRPr="00BC779C">
        <w:rPr>
          <w:rFonts w:ascii="Times New Roman" w:hAnsi="Times New Roman" w:cs="Times New Roman"/>
          <w:sz w:val="24"/>
          <w:szCs w:val="24"/>
        </w:rPr>
        <w:lastRenderedPageBreak/>
        <w:t xml:space="preserve">samples the same day. </w:t>
      </w:r>
      <w:r w:rsidR="00C95503" w:rsidRPr="00BC779C">
        <w:rPr>
          <w:rFonts w:ascii="Times New Roman" w:hAnsi="Times New Roman" w:cs="Times New Roman"/>
          <w:sz w:val="24"/>
          <w:szCs w:val="24"/>
        </w:rPr>
        <w:t>End</w:t>
      </w:r>
      <w:r w:rsidR="00F6216E" w:rsidRPr="00BC779C">
        <w:rPr>
          <w:rFonts w:ascii="Times New Roman" w:hAnsi="Times New Roman" w:cs="Times New Roman"/>
          <w:sz w:val="24"/>
          <w:szCs w:val="24"/>
        </w:rPr>
        <w:t xml:space="preserve"> of </w:t>
      </w:r>
      <w:r w:rsidR="00D6757B" w:rsidRPr="00BC779C">
        <w:rPr>
          <w:rFonts w:ascii="Times New Roman" w:hAnsi="Times New Roman" w:cs="Times New Roman"/>
          <w:sz w:val="24"/>
          <w:szCs w:val="24"/>
        </w:rPr>
        <w:t>intervention</w:t>
      </w:r>
      <w:r w:rsidR="00C95503" w:rsidRPr="00BC779C">
        <w:rPr>
          <w:rFonts w:ascii="Times New Roman" w:hAnsi="Times New Roman" w:cs="Times New Roman"/>
          <w:sz w:val="24"/>
          <w:szCs w:val="24"/>
        </w:rPr>
        <w:t xml:space="preserve"> (post-4 week supplementation</w:t>
      </w:r>
      <w:r w:rsidR="00F6216E" w:rsidRPr="00BC779C">
        <w:rPr>
          <w:rFonts w:ascii="Times New Roman" w:hAnsi="Times New Roman" w:cs="Times New Roman"/>
          <w:sz w:val="24"/>
          <w:szCs w:val="24"/>
        </w:rPr>
        <w:t xml:space="preserve">) </w:t>
      </w:r>
      <w:r w:rsidR="004B2637" w:rsidRPr="00BC779C">
        <w:rPr>
          <w:rFonts w:ascii="Times New Roman" w:hAnsi="Times New Roman" w:cs="Times New Roman"/>
          <w:sz w:val="24"/>
          <w:szCs w:val="24"/>
        </w:rPr>
        <w:t>fecal samples were collected on the Purdue University campus</w:t>
      </w:r>
      <w:r w:rsidR="00C95503" w:rsidRPr="00BC779C">
        <w:rPr>
          <w:rFonts w:ascii="Times New Roman" w:hAnsi="Times New Roman" w:cs="Times New Roman"/>
          <w:sz w:val="24"/>
          <w:szCs w:val="24"/>
        </w:rPr>
        <w:t xml:space="preserve"> or at the local hotel</w:t>
      </w:r>
      <w:r w:rsidR="004B2637" w:rsidRPr="00BC779C">
        <w:rPr>
          <w:rFonts w:ascii="Times New Roman" w:hAnsi="Times New Roman" w:cs="Times New Roman"/>
          <w:sz w:val="24"/>
          <w:szCs w:val="24"/>
        </w:rPr>
        <w:t xml:space="preserve"> during each 3-day clinical visit. All samples were stored in a walk-in refrigerator and processed within 48 hours of collection.</w:t>
      </w:r>
      <w:r w:rsidR="00196F54" w:rsidRPr="00BC779C">
        <w:rPr>
          <w:rFonts w:ascii="Times New Roman" w:hAnsi="Times New Roman" w:cs="Times New Roman"/>
          <w:sz w:val="24"/>
          <w:szCs w:val="24"/>
        </w:rPr>
        <w:t xml:space="preserve"> </w:t>
      </w:r>
    </w:p>
    <w:p w14:paraId="6D277D8E" w14:textId="41DFDC1A" w:rsidR="00DF2BC6" w:rsidRPr="00BC779C" w:rsidRDefault="00DF2BC6" w:rsidP="00D12A80">
      <w:pPr>
        <w:autoSpaceDE w:val="0"/>
        <w:autoSpaceDN w:val="0"/>
        <w:adjustRightInd w:val="0"/>
        <w:spacing w:after="100" w:afterAutospacing="1" w:line="480" w:lineRule="auto"/>
        <w:rPr>
          <w:rFonts w:ascii="Times New Roman" w:hAnsi="Times New Roman" w:cs="Times New Roman"/>
          <w:sz w:val="24"/>
          <w:szCs w:val="24"/>
        </w:rPr>
      </w:pPr>
      <w:r w:rsidRPr="00BC779C">
        <w:rPr>
          <w:rFonts w:ascii="Times New Roman" w:hAnsi="Times New Roman" w:cs="Times New Roman"/>
          <w:b/>
          <w:sz w:val="24"/>
          <w:szCs w:val="24"/>
          <w:lang w:val="en-IE"/>
        </w:rPr>
        <w:t>Calcium Absorption</w:t>
      </w:r>
    </w:p>
    <w:p w14:paraId="68221F82" w14:textId="5ED97BFD" w:rsidR="00E40583" w:rsidRPr="00BC779C" w:rsidRDefault="004B2637" w:rsidP="006123A3">
      <w:pPr>
        <w:spacing w:after="100" w:afterAutospacing="1" w:line="480" w:lineRule="auto"/>
        <w:ind w:firstLine="720"/>
        <w:rPr>
          <w:rFonts w:ascii="Times New Roman" w:hAnsi="Times New Roman" w:cs="Times New Roman"/>
          <w:sz w:val="24"/>
          <w:szCs w:val="24"/>
          <w:lang w:val="en-IE"/>
        </w:rPr>
      </w:pPr>
      <w:r w:rsidRPr="00BC779C">
        <w:rPr>
          <w:rFonts w:ascii="Times New Roman" w:hAnsi="Times New Roman" w:cs="Times New Roman"/>
          <w:sz w:val="24"/>
          <w:szCs w:val="24"/>
          <w:lang w:val="en-IE"/>
        </w:rPr>
        <w:t>On the Saturday of each clinical visit, a calcium absorption test was performed using</w:t>
      </w:r>
      <w:r w:rsidR="0074214E" w:rsidRPr="00BC779C">
        <w:rPr>
          <w:rFonts w:ascii="Times New Roman" w:hAnsi="Times New Roman" w:cs="Times New Roman"/>
          <w:sz w:val="24"/>
          <w:szCs w:val="24"/>
          <w:lang w:val="en-IE"/>
        </w:rPr>
        <w:t xml:space="preserve"> </w:t>
      </w:r>
      <w:r w:rsidR="00C96982" w:rsidRPr="00BC779C">
        <w:rPr>
          <w:rFonts w:ascii="Times New Roman" w:hAnsi="Times New Roman" w:cs="Times New Roman"/>
          <w:sz w:val="24"/>
          <w:szCs w:val="24"/>
          <w:lang w:val="en-IE"/>
        </w:rPr>
        <w:t xml:space="preserve">dual </w:t>
      </w:r>
      <w:r w:rsidR="0074214E" w:rsidRPr="00BC779C">
        <w:rPr>
          <w:rFonts w:ascii="Times New Roman" w:hAnsi="Times New Roman" w:cs="Times New Roman"/>
          <w:sz w:val="24"/>
          <w:szCs w:val="24"/>
          <w:lang w:val="en-IE"/>
        </w:rPr>
        <w:t>stable calcium isotope</w:t>
      </w:r>
      <w:r w:rsidR="00C96982" w:rsidRPr="00BC779C">
        <w:rPr>
          <w:rFonts w:ascii="Times New Roman" w:hAnsi="Times New Roman" w:cs="Times New Roman"/>
          <w:sz w:val="24"/>
          <w:szCs w:val="24"/>
          <w:lang w:val="en-IE"/>
        </w:rPr>
        <w:t xml:space="preserve"> technique</w:t>
      </w:r>
      <w:r w:rsidR="00622C48" w:rsidRPr="00BC779C">
        <w:rPr>
          <w:rFonts w:ascii="Times New Roman" w:hAnsi="Times New Roman" w:cs="Times New Roman"/>
          <w:sz w:val="24"/>
          <w:szCs w:val="24"/>
          <w:lang w:val="en-IE"/>
        </w:rPr>
        <w:t xml:space="preserve">. </w:t>
      </w:r>
      <w:r w:rsidR="00C30408" w:rsidRPr="00BC779C">
        <w:rPr>
          <w:rFonts w:ascii="Times New Roman" w:hAnsi="Times New Roman" w:cs="Times New Roman"/>
          <w:sz w:val="24"/>
          <w:szCs w:val="24"/>
          <w:lang w:val="en-IE"/>
        </w:rPr>
        <w:t>Urine was collected in 12 h</w:t>
      </w:r>
      <w:r w:rsidR="006123A3" w:rsidRPr="00BC779C">
        <w:rPr>
          <w:rFonts w:ascii="Times New Roman" w:hAnsi="Times New Roman" w:cs="Times New Roman"/>
          <w:sz w:val="24"/>
          <w:szCs w:val="24"/>
          <w:lang w:val="en-IE"/>
        </w:rPr>
        <w:t>our pools for up to 48 hours</w:t>
      </w:r>
      <w:r w:rsidR="00C30408" w:rsidRPr="00BC779C">
        <w:rPr>
          <w:rFonts w:ascii="Times New Roman" w:hAnsi="Times New Roman" w:cs="Times New Roman"/>
          <w:sz w:val="24"/>
          <w:szCs w:val="24"/>
          <w:lang w:val="en-IE"/>
        </w:rPr>
        <w:t xml:space="preserve"> and analysed </w:t>
      </w:r>
      <w:r w:rsidR="006123A3" w:rsidRPr="00BC779C">
        <w:rPr>
          <w:rFonts w:ascii="Times New Roman" w:hAnsi="Times New Roman" w:cs="Times New Roman"/>
          <w:sz w:val="24"/>
          <w:szCs w:val="24"/>
          <w:lang w:val="en-IE"/>
        </w:rPr>
        <w:t xml:space="preserve">for isotope enrichment, </w:t>
      </w:r>
      <w:r w:rsidR="00C30408" w:rsidRPr="00BC779C">
        <w:rPr>
          <w:rFonts w:ascii="Times New Roman" w:hAnsi="Times New Roman" w:cs="Times New Roman"/>
          <w:sz w:val="24"/>
          <w:szCs w:val="24"/>
          <w:lang w:val="en-IE"/>
        </w:rPr>
        <w:t xml:space="preserve">as previously described </w:t>
      </w:r>
      <w:r w:rsidR="00C30408" w:rsidRPr="00BC779C">
        <w:rPr>
          <w:rFonts w:ascii="Times New Roman" w:hAnsi="Times New Roman" w:cs="Times New Roman"/>
          <w:sz w:val="24"/>
          <w:szCs w:val="24"/>
          <w:lang w:val="en-IE"/>
        </w:rPr>
        <w:fldChar w:fldCharType="begin" w:fldLock="1"/>
      </w:r>
      <w:r w:rsidR="003C0594" w:rsidRPr="00BC779C">
        <w:rPr>
          <w:rFonts w:ascii="Times New Roman" w:hAnsi="Times New Roman" w:cs="Times New Roman"/>
          <w:sz w:val="24"/>
          <w:szCs w:val="24"/>
          <w:lang w:val="en-IE"/>
        </w:rPr>
        <w:instrText>ADDIN CSL_CITATION { "citationItems" : [ { "id" : "ITEM-1", "itemData" : { "DOI" : "10.1017/S000711451300055X", "ISSN" : "1475-2662", "PMID" : "23507173", "abstract" : "Adolescence is a time for rapid growth that represents an opportunity to influence peak bone mass. Prebiotic agents, such as galacto-oligosaccharides (GOS), increase Ca absorption in animal models and postmenopausal women. The objectives of the present study were to investigate the dose-response relationship of GOS supplementation on Ca absorption during growth and to assess changes in colonic microbiota to better understand the mechanism by which GOS is acting. A total of thirty-one healthy adolescent girls aged 10-13 years consumed smoothie drinks twice daily with 0, 2\u00b75 or 5 g GOS for three 3-week periods in a random order. Fractional Ca absorption was determined from urinary Ca excretion over 48 h at the end of each 3-week period using a dual stable isotope method. Faecal microbiota and bifidobacteria were assessed by PCR-denaturing gradient gel electrophoresis and quantitative PCR. Fractional Ca absorption after the 48 h treatment with control, 5 and 10 g GOS/d was 0\u00b7393 (SD 0\u00b7092), 0\u00b7444 (SD 0\u00b7086) and 0\u00b7419 (SD 0\u00b7099), respectively. Significant improvements in Ca absorption were seen with both low and high doses of GOS compared with the control (P,0\u00b702), but itwas not a dose-response relationship. The increase in absorption was greatest in the urine collected after 24 h, which is consistent with lower gut absorption. Faecal bifidobacteria increased (control 10\u00b789 (SD 13\u00b786), 5 g GOS 22\u00b780 (SD 15\u00b774) and 10 g GOS 11\u00b754 (SD 14\u00b720)) with the GOS treatment (P,0\u00b703). The results suggest that daily consumption of 5 g GOS increases Ca absorption, which may be mediated by the gut microbiota, specifically bifidobacteria.", "author" : [ { "dropping-particle" : "", "family" : "Whisner", "given" : "Corrie M", "non-dropping-particle" : "", "parse-names" : false, "suffix" : "" }, { "dropping-particle" : "", "family" : "Martin", "given" : "Berdine R", "non-dropping-particle" : "", "parse-names" : false, "suffix" : "" }, { "dropping-particle" : "", "family" : "Schoterman", "given" : "Margriet H C", "non-dropping-particle" : "", "parse-names" : false, "suffix" : "" }, { "dropping-particle" : "", "family" : "Nakatsu", "given" : "Cindy H", "non-dropping-particle" : "", "parse-names" : false, "suffix" : "" }, { "dropping-particle" : "", "family" : "McCabe", "given" : "Linda D", "non-dropping-particle" : "", "parse-names" : false, "suffix" : "" }, { "dropping-particle" : "", "family" : "McCabe", "given" : "George P", "non-dropping-particle" : "", "parse-names" : false, "suffix" : "" }, { "dropping-particle" : "", "family" : "Wastney", "given" : "Meryl E", "non-dropping-particle" : "", "parse-names" : false, "suffix" : "" }, { "dropping-particle" : "", "family" : "Heuvel", "given" : "Ellen G H M", "non-dropping-particle" : "van den", "parse-names" : false, "suffix" : "" }, { "dropping-particle" : "", "family" : "Weaver", "given" : "Connie M", "non-dropping-particle" : "", "parse-names" : false, "suffix" : "" } ], "container-title" : "The British journal of nutrition", "id" : "ITEM-1", "issue" : "7", "issued" : { "date-parts" : [ [ "2013", "10" ] ] }, "page" : "1292-303", "title" : "Galacto-oligosaccharides increase calcium absorption and gut bifidobacteria in young girls: a double-blind cross-over trial", "type" : "article-journal", "volume" : "110" }, "uris" : [ "http://www.mendeley.com/documents/?uuid=2df32687-8163-497f-bbe5-640bf26fc062" ] } ], "mendeley" : { "formattedCitation" : "(17)", "plainTextFormattedCitation" : "(17)", "previouslyFormattedCitation" : "(17)" }, "properties" : { "noteIndex" : 0 }, "schema" : "https://github.com/citation-style-language/schema/raw/master/csl-citation.json" }</w:instrText>
      </w:r>
      <w:r w:rsidR="00C30408" w:rsidRPr="00BC779C">
        <w:rPr>
          <w:rFonts w:ascii="Times New Roman" w:hAnsi="Times New Roman" w:cs="Times New Roman"/>
          <w:sz w:val="24"/>
          <w:szCs w:val="24"/>
          <w:lang w:val="en-IE"/>
        </w:rPr>
        <w:fldChar w:fldCharType="separate"/>
      </w:r>
      <w:r w:rsidR="00086B0D" w:rsidRPr="00BC779C">
        <w:rPr>
          <w:rFonts w:ascii="Times New Roman" w:hAnsi="Times New Roman" w:cs="Times New Roman"/>
          <w:noProof/>
          <w:sz w:val="24"/>
          <w:szCs w:val="24"/>
          <w:lang w:val="en-IE"/>
        </w:rPr>
        <w:t>(17)</w:t>
      </w:r>
      <w:r w:rsidR="00C30408" w:rsidRPr="00BC779C">
        <w:rPr>
          <w:rFonts w:ascii="Times New Roman" w:hAnsi="Times New Roman" w:cs="Times New Roman"/>
          <w:sz w:val="24"/>
          <w:szCs w:val="24"/>
          <w:lang w:val="en-IE"/>
        </w:rPr>
        <w:fldChar w:fldCharType="end"/>
      </w:r>
      <w:r w:rsidR="00C30408" w:rsidRPr="00BC779C">
        <w:rPr>
          <w:rFonts w:ascii="Times New Roman" w:hAnsi="Times New Roman" w:cs="Times New Roman"/>
          <w:sz w:val="24"/>
          <w:szCs w:val="24"/>
          <w:lang w:val="en-IE"/>
        </w:rPr>
        <w:t xml:space="preserve">. In brief, </w:t>
      </w:r>
      <w:r w:rsidR="006123A3" w:rsidRPr="00BC779C">
        <w:rPr>
          <w:rFonts w:ascii="Times New Roman" w:hAnsi="Times New Roman" w:cs="Times New Roman"/>
          <w:sz w:val="24"/>
          <w:szCs w:val="24"/>
          <w:lang w:val="en-IE"/>
        </w:rPr>
        <w:t xml:space="preserve">modifications to this protocol included the use of 10 mg of orally-consumed </w:t>
      </w:r>
      <w:r w:rsidR="006123A3" w:rsidRPr="00BC779C">
        <w:rPr>
          <w:rFonts w:ascii="Times New Roman" w:hAnsi="Times New Roman" w:cs="Times New Roman"/>
          <w:sz w:val="24"/>
          <w:szCs w:val="24"/>
          <w:vertAlign w:val="superscript"/>
          <w:lang w:val="en-IE"/>
        </w:rPr>
        <w:t>44</w:t>
      </w:r>
      <w:r w:rsidR="006123A3" w:rsidRPr="00BC779C">
        <w:rPr>
          <w:rFonts w:ascii="Times New Roman" w:hAnsi="Times New Roman" w:cs="Times New Roman"/>
          <w:sz w:val="24"/>
          <w:szCs w:val="24"/>
          <w:lang w:val="en-IE"/>
        </w:rPr>
        <w:t xml:space="preserve">Ca in milk and 3 mg of intravenously-delivered </w:t>
      </w:r>
      <w:r w:rsidR="006123A3" w:rsidRPr="00BC779C">
        <w:rPr>
          <w:rFonts w:ascii="Times New Roman" w:hAnsi="Times New Roman" w:cs="Times New Roman"/>
          <w:sz w:val="24"/>
          <w:szCs w:val="24"/>
          <w:vertAlign w:val="superscript"/>
          <w:lang w:val="en-IE"/>
        </w:rPr>
        <w:t>43</w:t>
      </w:r>
      <w:r w:rsidR="006123A3" w:rsidRPr="00BC779C">
        <w:rPr>
          <w:rFonts w:ascii="Times New Roman" w:hAnsi="Times New Roman" w:cs="Times New Roman"/>
          <w:sz w:val="24"/>
          <w:szCs w:val="24"/>
          <w:lang w:val="en-IE"/>
        </w:rPr>
        <w:t>Ca. Blood draws occurred at baseline, 3, 24 and 36 hours post intravenous infusion, of which the first two were 15 ml</w:t>
      </w:r>
      <w:r w:rsidR="00C96982" w:rsidRPr="00BC779C">
        <w:rPr>
          <w:rFonts w:ascii="Times New Roman" w:hAnsi="Times New Roman" w:cs="Times New Roman"/>
          <w:sz w:val="24"/>
          <w:szCs w:val="24"/>
          <w:lang w:val="en-IE"/>
        </w:rPr>
        <w:t xml:space="preserve"> (taken from intravenous catheter)</w:t>
      </w:r>
      <w:r w:rsidR="006123A3" w:rsidRPr="00BC779C">
        <w:rPr>
          <w:rFonts w:ascii="Times New Roman" w:hAnsi="Times New Roman" w:cs="Times New Roman"/>
          <w:sz w:val="24"/>
          <w:szCs w:val="24"/>
          <w:lang w:val="en-IE"/>
        </w:rPr>
        <w:t xml:space="preserve"> and the last two were 5 ml samples.</w:t>
      </w:r>
    </w:p>
    <w:p w14:paraId="67B6F5C8" w14:textId="77777777" w:rsidR="004B2637" w:rsidRPr="00BC779C" w:rsidRDefault="004B2637" w:rsidP="00D12A80">
      <w:pPr>
        <w:spacing w:after="100" w:afterAutospacing="1" w:line="480" w:lineRule="auto"/>
        <w:ind w:firstLine="720"/>
        <w:rPr>
          <w:rFonts w:ascii="Times New Roman" w:hAnsi="Times New Roman" w:cs="Times New Roman"/>
          <w:sz w:val="24"/>
          <w:szCs w:val="24"/>
          <w:lang w:val="en-IE"/>
        </w:rPr>
      </w:pPr>
      <w:r w:rsidRPr="00BC779C">
        <w:rPr>
          <w:rFonts w:ascii="Times New Roman" w:hAnsi="Times New Roman" w:cs="Times New Roman"/>
          <w:sz w:val="24"/>
          <w:szCs w:val="24"/>
          <w:lang w:val="en-IE"/>
        </w:rPr>
        <w:t>Self-reported compliance was assessed by calendar which was given to the participants to mark when they consumed the muffins and drinks each day.  Any products not consumed were returned during the clinical visits, counted and recorded.  During each intervention phase, weekly questionnaires were administered to assess gastrointestinal symptoms using a likert scale</w:t>
      </w:r>
      <w:r w:rsidR="00144412" w:rsidRPr="00BC779C">
        <w:rPr>
          <w:rFonts w:ascii="Times New Roman" w:hAnsi="Times New Roman" w:cs="Times New Roman"/>
          <w:sz w:val="24"/>
          <w:szCs w:val="24"/>
          <w:lang w:val="en-IE"/>
        </w:rPr>
        <w:t xml:space="preserve"> from zero</w:t>
      </w:r>
      <w:r w:rsidRPr="00BC779C">
        <w:rPr>
          <w:rFonts w:ascii="Times New Roman" w:hAnsi="Times New Roman" w:cs="Times New Roman"/>
          <w:sz w:val="24"/>
          <w:szCs w:val="24"/>
          <w:lang w:val="en-IE"/>
        </w:rPr>
        <w:t xml:space="preserve"> (no</w:t>
      </w:r>
      <w:r w:rsidR="00144412" w:rsidRPr="00BC779C">
        <w:rPr>
          <w:rFonts w:ascii="Times New Roman" w:hAnsi="Times New Roman" w:cs="Times New Roman"/>
          <w:sz w:val="24"/>
          <w:szCs w:val="24"/>
          <w:lang w:val="en-IE"/>
        </w:rPr>
        <w:t xml:space="preserve"> symptoms) to five</w:t>
      </w:r>
      <w:r w:rsidRPr="00BC779C">
        <w:rPr>
          <w:rFonts w:ascii="Times New Roman" w:hAnsi="Times New Roman" w:cs="Times New Roman"/>
          <w:sz w:val="24"/>
          <w:szCs w:val="24"/>
          <w:lang w:val="en-IE"/>
        </w:rPr>
        <w:t xml:space="preserve"> </w:t>
      </w:r>
      <w:r w:rsidR="00144412" w:rsidRPr="00BC779C">
        <w:rPr>
          <w:rFonts w:ascii="Times New Roman" w:hAnsi="Times New Roman" w:cs="Times New Roman"/>
          <w:sz w:val="24"/>
          <w:szCs w:val="24"/>
          <w:lang w:val="en-IE"/>
        </w:rPr>
        <w:t>(</w:t>
      </w:r>
      <w:r w:rsidRPr="00BC779C">
        <w:rPr>
          <w:rFonts w:ascii="Times New Roman" w:hAnsi="Times New Roman" w:cs="Times New Roman"/>
          <w:sz w:val="24"/>
          <w:szCs w:val="24"/>
          <w:lang w:val="en-IE"/>
        </w:rPr>
        <w:t>severe symptoms</w:t>
      </w:r>
      <w:r w:rsidR="00144412" w:rsidRPr="00BC779C">
        <w:rPr>
          <w:rFonts w:ascii="Times New Roman" w:hAnsi="Times New Roman" w:cs="Times New Roman"/>
          <w:sz w:val="24"/>
          <w:szCs w:val="24"/>
          <w:lang w:val="en-IE"/>
        </w:rPr>
        <w:t>)</w:t>
      </w:r>
      <w:r w:rsidRPr="00BC779C">
        <w:rPr>
          <w:rFonts w:ascii="Times New Roman" w:hAnsi="Times New Roman" w:cs="Times New Roman"/>
          <w:sz w:val="24"/>
          <w:szCs w:val="24"/>
          <w:lang w:val="en-IE"/>
        </w:rPr>
        <w:t>.</w:t>
      </w:r>
      <w:r w:rsidR="00144412" w:rsidRPr="00BC779C">
        <w:rPr>
          <w:rFonts w:ascii="Times New Roman" w:hAnsi="Times New Roman" w:cs="Times New Roman"/>
          <w:sz w:val="24"/>
          <w:szCs w:val="24"/>
          <w:lang w:val="en-IE"/>
        </w:rPr>
        <w:t xml:space="preserve"> Symptoms assessed included flatulence, bloating, abdominal pain, diarrhea and stomach noises.</w:t>
      </w:r>
    </w:p>
    <w:p w14:paraId="26FEC026" w14:textId="11C15342" w:rsidR="00457656" w:rsidRPr="00BC779C" w:rsidRDefault="00A0346F" w:rsidP="00D12A80">
      <w:pPr>
        <w:spacing w:after="100" w:afterAutospacing="1" w:line="480" w:lineRule="auto"/>
        <w:rPr>
          <w:rFonts w:ascii="Times New Roman" w:hAnsi="Times New Roman" w:cs="Times New Roman"/>
          <w:b/>
          <w:sz w:val="24"/>
          <w:szCs w:val="24"/>
          <w:lang w:val="en-IE"/>
        </w:rPr>
      </w:pPr>
      <w:r w:rsidRPr="00BC779C">
        <w:rPr>
          <w:rFonts w:ascii="Times New Roman" w:hAnsi="Times New Roman" w:cs="Times New Roman"/>
          <w:b/>
          <w:sz w:val="24"/>
          <w:szCs w:val="24"/>
          <w:lang w:val="en-IE"/>
        </w:rPr>
        <w:t>B</w:t>
      </w:r>
      <w:r w:rsidR="00DF2BC6" w:rsidRPr="00BC779C">
        <w:rPr>
          <w:rFonts w:ascii="Times New Roman" w:hAnsi="Times New Roman" w:cs="Times New Roman"/>
          <w:b/>
          <w:sz w:val="24"/>
          <w:szCs w:val="24"/>
          <w:lang w:val="en-IE"/>
        </w:rPr>
        <w:t>one Turnover Markers</w:t>
      </w:r>
    </w:p>
    <w:p w14:paraId="4D234285" w14:textId="3E7637F2" w:rsidR="00457656" w:rsidRPr="00BC779C" w:rsidRDefault="004B2637" w:rsidP="006123A3">
      <w:pPr>
        <w:spacing w:after="100" w:afterAutospacing="1" w:line="480" w:lineRule="auto"/>
        <w:ind w:firstLine="720"/>
        <w:rPr>
          <w:rFonts w:ascii="Times New Roman" w:hAnsi="Times New Roman" w:cs="Times New Roman"/>
          <w:b/>
          <w:sz w:val="24"/>
          <w:szCs w:val="24"/>
          <w:lang w:val="en-IE"/>
        </w:rPr>
      </w:pPr>
      <w:r w:rsidRPr="00BC779C">
        <w:rPr>
          <w:rFonts w:ascii="Times New Roman" w:hAnsi="Times New Roman" w:cs="Times New Roman"/>
          <w:sz w:val="24"/>
          <w:szCs w:val="24"/>
          <w:lang w:val="en-IE"/>
        </w:rPr>
        <w:t xml:space="preserve">Serum and urine were analysed for markers of bone formation and resorption.  Fasting urine samples </w:t>
      </w:r>
      <w:r w:rsidR="004B2DC2" w:rsidRPr="00BC779C">
        <w:rPr>
          <w:rFonts w:ascii="Times New Roman" w:hAnsi="Times New Roman" w:cs="Times New Roman"/>
          <w:sz w:val="24"/>
          <w:szCs w:val="24"/>
          <w:lang w:val="en-IE"/>
        </w:rPr>
        <w:t xml:space="preserve">collected at the beginning of each clinical visit </w:t>
      </w:r>
      <w:r w:rsidRPr="00BC779C">
        <w:rPr>
          <w:rFonts w:ascii="Times New Roman" w:hAnsi="Times New Roman" w:cs="Times New Roman"/>
          <w:sz w:val="24"/>
          <w:szCs w:val="24"/>
          <w:lang w:val="en-IE"/>
        </w:rPr>
        <w:t xml:space="preserve">were used to </w:t>
      </w:r>
      <w:r w:rsidR="000C0B61" w:rsidRPr="00BC779C">
        <w:rPr>
          <w:rFonts w:ascii="Times New Roman" w:hAnsi="Times New Roman" w:cs="Times New Roman"/>
          <w:sz w:val="24"/>
          <w:szCs w:val="24"/>
          <w:lang w:val="en-IE"/>
        </w:rPr>
        <w:t>analyse</w:t>
      </w:r>
      <w:r w:rsidRPr="00BC779C">
        <w:rPr>
          <w:rFonts w:ascii="Times New Roman" w:hAnsi="Times New Roman" w:cs="Times New Roman"/>
          <w:sz w:val="24"/>
          <w:szCs w:val="24"/>
          <w:lang w:val="en-IE"/>
        </w:rPr>
        <w:t xml:space="preserve"> N-telopeptides of collagen cross links adjusted for urinary creatinine (NTX) (Osteomark®, </w:t>
      </w:r>
      <w:r w:rsidRPr="00BC779C">
        <w:rPr>
          <w:rFonts w:ascii="Times New Roman" w:hAnsi="Times New Roman" w:cs="Times New Roman"/>
          <w:sz w:val="24"/>
          <w:szCs w:val="24"/>
          <w:lang w:val="en-IE"/>
        </w:rPr>
        <w:lastRenderedPageBreak/>
        <w:t xml:space="preserve">Wampole Laboratories, Princeton NJ), a marker of bone resorption.  Fasting serum levels of bone-specific alkaline phosphatase (BAP), </w:t>
      </w:r>
      <w:r w:rsidR="00622C48" w:rsidRPr="00BC779C">
        <w:rPr>
          <w:rFonts w:ascii="Times New Roman" w:hAnsi="Times New Roman" w:cs="Times New Roman"/>
          <w:sz w:val="24"/>
          <w:szCs w:val="24"/>
          <w:lang w:val="en-IE"/>
        </w:rPr>
        <w:t>osteocalcin (OC)</w:t>
      </w:r>
      <w:r w:rsidRPr="00BC779C">
        <w:rPr>
          <w:rFonts w:ascii="Times New Roman" w:hAnsi="Times New Roman" w:cs="Times New Roman"/>
          <w:sz w:val="24"/>
          <w:szCs w:val="24"/>
          <w:lang w:val="en-IE"/>
        </w:rPr>
        <w:t xml:space="preserve"> and intact parathyroid hormone (PTH) were measured by enzyme immunoassay (EIA) (Microvue™ Bone Health, Quidel Corporation, San Diego, CA) to evaluate changes in bone formation (BAP, OC) and calcium metabolism (PTH).  </w:t>
      </w:r>
      <w:r w:rsidR="00A0346F" w:rsidRPr="00BC779C">
        <w:rPr>
          <w:rFonts w:ascii="Times New Roman" w:hAnsi="Times New Roman" w:cs="Times New Roman"/>
          <w:sz w:val="24"/>
          <w:szCs w:val="24"/>
          <w:lang w:val="en-IE"/>
        </w:rPr>
        <w:br/>
      </w:r>
      <w:r w:rsidR="00457656" w:rsidRPr="00BC779C">
        <w:rPr>
          <w:rFonts w:ascii="Times New Roman" w:hAnsi="Times New Roman" w:cs="Times New Roman"/>
          <w:b/>
          <w:sz w:val="24"/>
          <w:szCs w:val="24"/>
          <w:lang w:val="en-IE"/>
        </w:rPr>
        <w:t>Fecal Processing</w:t>
      </w:r>
    </w:p>
    <w:p w14:paraId="5CBBB93D" w14:textId="67BEF415" w:rsidR="00457656" w:rsidRPr="00BC779C" w:rsidRDefault="00457656" w:rsidP="00D12A80">
      <w:pPr>
        <w:autoSpaceDE w:val="0"/>
        <w:autoSpaceDN w:val="0"/>
        <w:adjustRightInd w:val="0"/>
        <w:spacing w:after="100" w:afterAutospacing="1" w:line="480" w:lineRule="auto"/>
        <w:ind w:firstLine="720"/>
        <w:rPr>
          <w:rFonts w:ascii="Times New Roman" w:hAnsi="Times New Roman" w:cs="Times New Roman"/>
          <w:color w:val="000000"/>
          <w:sz w:val="24"/>
          <w:szCs w:val="24"/>
        </w:rPr>
      </w:pPr>
      <w:r w:rsidRPr="00BC779C">
        <w:rPr>
          <w:rFonts w:ascii="Times New Roman" w:hAnsi="Times New Roman" w:cs="Times New Roman"/>
          <w:sz w:val="24"/>
          <w:szCs w:val="24"/>
          <w:lang w:val="en-IE"/>
        </w:rPr>
        <w:t xml:space="preserve">The pH of each fecal sample was assessed by inserting an electrode pH probe (pHSpear, Eutech Instruments, Thermo Fisher Scientific) into three different locations of each stool. Using sterile spatulas, small pieces of the stools were removed and immediately frozen in liquid nitrogen for later analysis of </w:t>
      </w:r>
      <w:r w:rsidR="00E42957" w:rsidRPr="00BC779C">
        <w:rPr>
          <w:rFonts w:ascii="Times New Roman" w:hAnsi="Times New Roman" w:cs="Times New Roman"/>
          <w:sz w:val="24"/>
          <w:szCs w:val="24"/>
          <w:lang w:val="en-IE"/>
        </w:rPr>
        <w:t>SCFA</w:t>
      </w:r>
      <w:r w:rsidR="00EF15C2" w:rsidRPr="00BC779C">
        <w:rPr>
          <w:rFonts w:ascii="Times New Roman" w:hAnsi="Times New Roman" w:cs="Times New Roman"/>
          <w:sz w:val="24"/>
          <w:szCs w:val="24"/>
          <w:lang w:val="en-IE"/>
        </w:rPr>
        <w:t xml:space="preserve"> content (</w:t>
      </w:r>
      <w:r w:rsidRPr="00BC779C">
        <w:rPr>
          <w:rFonts w:ascii="Times New Roman" w:hAnsi="Times New Roman" w:cs="Times New Roman"/>
          <w:sz w:val="24"/>
          <w:szCs w:val="24"/>
          <w:lang w:val="en-IE"/>
        </w:rPr>
        <w:t xml:space="preserve">acetate, propionate, butyrate, isobutyrate, valerate, and isovalerate) using a </w:t>
      </w:r>
      <w:r w:rsidRPr="00BC779C">
        <w:rPr>
          <w:rFonts w:ascii="Times New Roman" w:hAnsi="Times New Roman" w:cs="Times New Roman"/>
          <w:sz w:val="24"/>
          <w:szCs w:val="24"/>
        </w:rPr>
        <w:t>Hewlett-Packard model 6890 gas chromatograph with a flame ionization detector equipped with a 30</w:t>
      </w:r>
      <w:r w:rsidR="00D007E3" w:rsidRPr="00BC779C">
        <w:rPr>
          <w:rFonts w:ascii="Times New Roman" w:hAnsi="Times New Roman" w:cs="Times New Roman"/>
          <w:sz w:val="24"/>
          <w:szCs w:val="24"/>
        </w:rPr>
        <w:t xml:space="preserve"> </w:t>
      </w:r>
      <w:r w:rsidRPr="00BC779C">
        <w:rPr>
          <w:rFonts w:ascii="Times New Roman" w:hAnsi="Times New Roman" w:cs="Times New Roman"/>
          <w:sz w:val="24"/>
          <w:szCs w:val="24"/>
        </w:rPr>
        <w:t>m, 0.53 mm ID capillary column</w:t>
      </w:r>
      <w:r w:rsidR="00BD6DE4" w:rsidRPr="00BC779C">
        <w:rPr>
          <w:rFonts w:ascii="Times New Roman" w:hAnsi="Times New Roman" w:cs="Times New Roman"/>
          <w:sz w:val="24"/>
          <w:szCs w:val="24"/>
        </w:rPr>
        <w:t xml:space="preserve">, as previously described </w:t>
      </w:r>
      <w:r w:rsidR="00135638"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"ISSN" : "0022-3166", "PMID" : "9349850", "abstract" : "To investigate the effects of dietary fibers in colonic luminal physiology and their role in the prevention of colon cancer, a study was conducted using two diet groups and two treatment groups in a 2 x 2 factorial design. The two diets differed only in the type of dietary fiber, wheat bran and oat bran, and the two treatments were injection with the colon-specific carcinogen azoxymethane, or saline, as a control. There were 34 rats in the carcinogen-injected groups and 11 saline-injected rats per diet group. The goal of the study was to determine if a moderate consumption (6 g/100 g diet) of wheat bran or oat bran would alter the development of colonic tumors in this rat model of colon cancer, and if the differences in tumor incidence were correlated to luminal butyrate concentrations, luminal pH or fecal bulk. Short-chain fatty acid concentrations (SCFA) were measured in feces during the first half of the study (the promotion phase of tumor development) and again at the end of the study. Rats consuming oat bran had greater body weights (P &lt; 0. 002), produced much larger concentrations of all SCFA, including butyrate, in both the proximal and distal colon (P &lt; 0.0001), had more acidic luminal pH values (P &lt; 0.0001), but also had significantly more development of colon tumors (P &lt; 0.03). Alternatively, rats consuming wheat bran produced more typical molar ratios of the SCFA (65:10:20), had a relatively greater concentration of butyrate than propionate, and produced a larger volume (P &lt; 0.05) and more bulky stool than the rats fed oat bran. The results of this study support other evidence that an acidic luminal pH is not protective in and of itself, and that diets containing wheat bran are protective against colon cancer development. In addition, these data show that large luminal butyrate concentrations in the distal colon alone, as were present in the rats consuming oat bran diets, are not protective of tumor development.", "author" : [ { "dropping-particle" : "", "family" : "Zoran", "given" : "D L", "non-dropping-particle" : "", "parse-names" : false, "suffix" : "" }, { "dropping-particle" : "", "family" : "Turner", "given" : "N D", "non-dropping-particle" : "", "parse-names" : false, "suffix" : "" }, { "dropping-particle" : "", "family" : "Taddeo", "given" : "S S", "non-dropping-particle" : "", "parse-names" : false, "suffix" : "" }, { "dropping-particle" : "", "family" : "Chapkin", "given" : "R S", "non-dropping-particle" : "", "parse-names" : false, "suffix" : "" }, { "dropping-particle" : "", "family" : "Lupton", "given" : "J R", "non-dropping-particle" : "", "parse-names" : false, "suffix" : "" } ], "container-title" : "The Journal of nutrition", "id" : "ITEM-1", "issue" : "11", "issued" : { "date-parts" : [ [ "1997", "11" ] ] }, "page" : "2217-25", "title" : "Wheat bran diet reduces tumor incidence in a rat model of colon cancer independent of effects on distal luminal butyrate concentrations", "type" : "article-journal", "volume" : "127" }, "uris" : [ "http://www.mendeley.com/documents/?uuid=12206048-0aa8-4282-ad06-276c357c6be9" ] }, { "id" : "ITEM-2", "itemData" : { "DOI" : "10.1038/ajg.2015.220", "ISSN" : "1572-0241", "PMID" : "26303129", "abstract" : "OBJECTIVES: Dysbiosis leading to abnormal intestinal fermentation has been suggested as a possible etiological mechanism in irritable bowel syndrome (IBS). We aimed to investigate the location and magnitude of altered intestinal bacterial fermentation in IBS and its clinical subtypes. METHODS: IBS patients who satisfied the Rome III criteria (114) and 33 healthy controls (HC) were investigated. Intestinal fermentation was assessed using two surrogate measures: intestinal intraluminal pH and fecal short-chain fatty acids (SCFAs). Intraluminal pH and intestinal transit times were measured in the small and large bowel using a wireless motility capsule (SmartPill) in 47 IBS and 10 HC. Fecal SCFAs including acetate, propionate, butyrate, and lactate were analyzed by capillary gas chromatography in all enrolled subjects. Correlations between intestinal pH, fecal SCFAs, intestinal transit time, and IBS symptom scores were analyzed. RESULTS: Colonic intraluminal pH levels were significantly lower in IBS patients compared with HC (total colonic pH, 6.8 for IBS vs. 7.3 for HC, P=0.042). There were no differences in total and segmental pH levels in the small bowel between IBS patients and HC (6.8 vs. 6.8, P=not significant). The intraluminal colonic pH differences were consistent in all IBS subtypes. Total SCFA level was significantly lower in C-IBS patients than in D-IBS and M-IBS patients and HC. The total SCFA level in all IBS subjects was similar with that of HC. Colonic pH levels correlated positively with colon transit time (CTT) and IBS symptoms severity. Total fecal SCFAs levels correlated negatively with CTT and positively with stool frequency. CONCLUSIONS: Colonic intraluminal pH is decreased, suggesting higher colonic fermentation, in IBS patients compared with HC. Fecal SCFAs are not a sensitive marker to estimate intraluminal bacterial fermentation.", "author" : [ { "dropping-particle" : "", "family" : "Ringel-Kulka", "given" : "Tamar", "non-dropping-particle" : "", "parse-names" : false, "suffix" : "" }, { "dropping-particle" : "", "family" : "Choi", "given" : "Chang Hwan", "non-dropping-particle" : "", "parse-names" : false, "suffix" : "" }, { "dropping-particle" : "", "family" : "Temas", "given" : "Daniel", "non-dropping-particle" : "", "parse-names" : false, "suffix" : "" }, { "dropping-particle" : "", "family" : "Kim", "given" : "Ari", "non-dropping-particle" : "", "parse-names" : false, "suffix" : "" }, { "dropping-particle" : "", "family" : "Maier", "given" : "Daniele M", "non-dropping-particle" : "", "parse-names" : false, "suffix" : "" }, { "dropping-particle" : "", "family" : "Scott", "given" : "Karen", "non-dropping-particle" : "", "parse-names" : false, "suffix" : "" }, { "dropping-particle" : "", "family" : "Galanko", "given" : "Joseph A", "non-dropping-particle" : "", "parse-names" : false, "suffix" : "" }, { "dropping-particle" : "", "family" : "Ringel", "given" : "Yehuda", "non-dropping-particle" : "", "parse-names" : false, "suffix" : "" } ], "container-title" : "The American journal of gastroenterology", "id" : "ITEM-2", "issue" : "9", "issued" : { "date-parts" : [ [ "2015", "9", "25" ] ] }, "language" : "English (US)", "page" : "1339-46", "title" : "Altered colonic bacterial fermentation as a potential pathophysiological factor in irritable bowel syndrome", "type" : "article-journal", "volume" : "110" }, "uris" : [ "http://www.mendeley.com/documents/?uuid=8248cd65-3f90-45a3-a167-231eaf84eff8" ] } ], "mendeley" : { "formattedCitation" : "(18,19)", "plainTextFormattedCitation" : "(18,19)", "previouslyFormattedCitation" : "(18,19)" }, "properties" : { "noteIndex" : 0 }, "schema" : "https://github.com/citation-style-language/schema/raw/master/csl-citation.json" }</w:instrText>
      </w:r>
      <w:r w:rsidR="00135638"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(18,19)</w:t>
      </w:r>
      <w:r w:rsidR="00135638" w:rsidRPr="00BC779C">
        <w:rPr>
          <w:rFonts w:ascii="Times New Roman" w:hAnsi="Times New Roman" w:cs="Times New Roman"/>
          <w:sz w:val="24"/>
          <w:szCs w:val="24"/>
        </w:rPr>
        <w:fldChar w:fldCharType="end"/>
      </w:r>
      <w:r w:rsidRPr="00BC779C">
        <w:rPr>
          <w:rFonts w:ascii="Times New Roman" w:hAnsi="Times New Roman" w:cs="Times New Roman"/>
          <w:sz w:val="24"/>
          <w:szCs w:val="24"/>
        </w:rPr>
        <w:t>.</w:t>
      </w:r>
      <w:r w:rsidR="00006469" w:rsidRPr="00BC779C">
        <w:rPr>
          <w:rFonts w:ascii="Times New Roman" w:hAnsi="Times New Roman" w:cs="Times New Roman"/>
          <w:sz w:val="24"/>
          <w:szCs w:val="24"/>
        </w:rPr>
        <w:t xml:space="preserve"> </w:t>
      </w:r>
      <w:r w:rsidRPr="00BC779C">
        <w:rPr>
          <w:rFonts w:ascii="Times New Roman" w:hAnsi="Times New Roman" w:cs="Times New Roman"/>
          <w:color w:val="000000"/>
          <w:sz w:val="24"/>
          <w:szCs w:val="24"/>
        </w:rPr>
        <w:t xml:space="preserve">Remaining fecal samples were weighed and twice this weight in </w:t>
      </w:r>
      <w:r w:rsidR="000C0B61" w:rsidRPr="00BC779C">
        <w:rPr>
          <w:rFonts w:ascii="Times New Roman" w:hAnsi="Times New Roman" w:cs="Times New Roman"/>
          <w:color w:val="000000"/>
          <w:sz w:val="24"/>
          <w:szCs w:val="24"/>
        </w:rPr>
        <w:t>ultra-pure</w:t>
      </w:r>
      <w:r w:rsidR="009F55A6" w:rsidRPr="00BC779C">
        <w:rPr>
          <w:rFonts w:ascii="Times New Roman" w:hAnsi="Times New Roman" w:cs="Times New Roman"/>
          <w:color w:val="000000"/>
          <w:sz w:val="24"/>
          <w:szCs w:val="24"/>
        </w:rPr>
        <w:t xml:space="preserve"> (Milli</w:t>
      </w:r>
      <w:r w:rsidR="004358B4" w:rsidRPr="00BC779C">
        <w:rPr>
          <w:rFonts w:ascii="Times New Roman" w:hAnsi="Times New Roman" w:cs="Times New Roman"/>
          <w:color w:val="000000"/>
          <w:sz w:val="24"/>
          <w:szCs w:val="24"/>
        </w:rPr>
        <w:t>-</w:t>
      </w:r>
      <w:r w:rsidR="009F55A6" w:rsidRPr="00BC779C">
        <w:rPr>
          <w:rFonts w:ascii="Times New Roman" w:hAnsi="Times New Roman" w:cs="Times New Roman"/>
          <w:color w:val="000000"/>
          <w:sz w:val="24"/>
          <w:szCs w:val="24"/>
        </w:rPr>
        <w:t>Q)</w:t>
      </w:r>
      <w:r w:rsidRPr="00BC779C">
        <w:rPr>
          <w:rFonts w:ascii="Times New Roman" w:hAnsi="Times New Roman" w:cs="Times New Roman"/>
          <w:color w:val="000000"/>
          <w:sz w:val="24"/>
          <w:szCs w:val="24"/>
        </w:rPr>
        <w:t xml:space="preserve"> sterile water was added to each sample. Following homogenization, 5-10 ml of the fecal slurry was stored in 15 ml sterile centrifuge tubes at -20</w:t>
      </w:r>
      <w:r w:rsidRPr="00BC779C">
        <w:rPr>
          <w:rFonts w:ascii="Times New Roman" w:hAnsi="Times New Roman" w:cs="Times New Roman"/>
          <w:color w:val="000000"/>
          <w:sz w:val="24"/>
          <w:szCs w:val="24"/>
        </w:rPr>
        <w:sym w:font="Symbol" w:char="F0B0"/>
      </w:r>
      <w:r w:rsidRPr="00BC779C">
        <w:rPr>
          <w:rFonts w:ascii="Times New Roman" w:hAnsi="Times New Roman" w:cs="Times New Roman"/>
          <w:color w:val="000000"/>
          <w:sz w:val="24"/>
          <w:szCs w:val="24"/>
        </w:rPr>
        <w:t>C and used for all further microbiological analyses.</w:t>
      </w:r>
    </w:p>
    <w:p w14:paraId="28BE3998" w14:textId="2B562302" w:rsidR="00AF46AC" w:rsidRPr="00BC779C" w:rsidRDefault="00006469" w:rsidP="00D12A80">
      <w:pPr>
        <w:spacing w:after="100" w:afterAutospacing="1" w:line="480" w:lineRule="auto"/>
        <w:ind w:firstLine="720"/>
        <w:outlineLvl w:val="0"/>
        <w:rPr>
          <w:rFonts w:ascii="Times New Roman" w:hAnsi="Times New Roman" w:cs="Times New Roman"/>
          <w:sz w:val="24"/>
          <w:szCs w:val="24"/>
        </w:rPr>
      </w:pPr>
      <w:r w:rsidRPr="00BC779C">
        <w:rPr>
          <w:rFonts w:ascii="Times New Roman" w:hAnsi="Times New Roman" w:cs="Times New Roman"/>
          <w:color w:val="000000"/>
          <w:sz w:val="24"/>
          <w:szCs w:val="24"/>
        </w:rPr>
        <w:t xml:space="preserve">DNA was extracted </w:t>
      </w:r>
      <w:r w:rsidR="00086B0D" w:rsidRPr="00BC779C">
        <w:rPr>
          <w:rFonts w:ascii="Times New Roman" w:hAnsi="Times New Roman" w:cs="Times New Roman"/>
          <w:color w:val="000000"/>
          <w:sz w:val="24"/>
          <w:szCs w:val="24"/>
        </w:rPr>
        <w:t xml:space="preserve">and quantified as previously described </w:t>
      </w:r>
      <w:r w:rsidR="00086B0D" w:rsidRPr="00BC779C">
        <w:rPr>
          <w:rFonts w:ascii="Times New Roman" w:hAnsi="Times New Roman" w:cs="Times New Roman"/>
          <w:color w:val="000000"/>
          <w:sz w:val="24"/>
          <w:szCs w:val="24"/>
        </w:rPr>
        <w:fldChar w:fldCharType="begin" w:fldLock="1"/>
      </w:r>
      <w:r w:rsidR="003C0594" w:rsidRPr="00BC779C">
        <w:rPr>
          <w:rFonts w:ascii="Times New Roman" w:hAnsi="Times New Roman" w:cs="Times New Roman"/>
          <w:color w:val="000000"/>
          <w:sz w:val="24"/>
          <w:szCs w:val="24"/>
        </w:rPr>
        <w:instrText>ADDIN CSL_CITATION { "citationItems" : [ { "id" : "ITEM-1", "itemData" : { "DOI" : "10.1017/S0007114514000981", "ISSN" : "1475-2662", "PMID" : "24848974", "abstract" : "Soluble maize fibre (SCF) has been found to significantly improve bone mineral density and strength in growing rats compared with several other novel prebiotic fibres. The objective of the present study was to investigate the effect of SCF on Ca absorption and retention in pubertal children by studying the potential absorption mechanisms of the intestinal microbiota. A total of twenty-four adolescent boys and girls (12-15 years) participated in two 3-week metabolic balance studies testing 0 g/d SCF (control (CON) treatment) and 12 g/d SCF (SCF treatment) in a random order by inclusion in a low-Ca diet (600 mg/d). Fractional Ca absorption was measured at the end of the two intervention periods using a dual-stable isotope method. Diet composites and faecal and urine samples were collected daily and analysed for Ca content. Ca retention was calculated as dietary Ca intake minus Ca excretion in faeces and urine over the last 2 weeks. Microbial community composition in the faecal samples collected at the beginning and end of each session was determined by 454 pyrosequencing of the PCR-amplified 16S ribosomal RNA gene. Fractional Ca absorption was 12 % higher (41 mg/d) after the SCF treatment compared with that after the CON treatment (0\u00b7664 (sd 0\u00b7129) and 0\u00b7595 (sd 0\u00b7142), respectively; P= 0\u00b702), but Ca retention was unaffected. The average proportion of bacteria of the phylum Bacteroidetes was significantly greater in the participants after the SCF treatment than after the CON treatment. These results suggest that moderate daily intake of SCF, a well-tolerated prebiotic fibre, increases short-term Ca absorption in adolescents consuming less than the recommended amounts of Ca.", "author" : [ { "dropping-particle" : "", "family" : "Whisner", "given" : "Corrie M", "non-dropping-particle" : "", "parse-names" : false, "suffix" : "" }, { "dropping-particle" : "", "family" : "Martin", "given" : "Berdine R", "non-dropping-particle" : "", "parse-names" : false, "suffix" : "" }, { "dropping-particle" : "", "family" : "Nakatsu", "given" : "Cindy H", "non-dropping-particle" : "", "parse-names" : false, "suffix" : "" }, { "dropping-particle" : "", "family" : "McCabe", "given" : "George P", "non-dropping-particle" : "", "parse-names" : false, "suffix" : "" }, { "dropping-particle" : "", "family" : "McCabe", "given" : "Linda D", "non-dropping-particle" : "", "parse-names" : false, "suffix" : "" }, { "dropping-particle" : "", "family" : "Peacock", "given" : "Munro", "non-dropping-particle" : "", "parse-names" : false, "suffix" : "" }, { "dropping-particle" : "", "family" : "Weaver", "given" : "Connie M", "non-dropping-particle" : "", "parse-names" : false, "suffix" : "" } ], "container-title" : "The British journal of nutrition", "id" : "ITEM-1", "issue" : "3", "issued" : { "date-parts" : [ [ "2014", "8" ] ] }, "page" : "446-56", "title" : "Soluble maize fibre affects short-term calcium absorption in adolescent boys and girls: a randomised controlled trial using dual stable isotopic tracers", "type" : "article-journal", "volume" : "112" }, "uris" : [ "http://www.mendeley.com/documents/?uuid=8745de69-6a21-4f5e-ad5e-057128c87b73" ] } ], "mendeley" : { "formattedCitation" : "(9)", "plainTextFormattedCitation" : "(9)", "previouslyFormattedCitation" : "(9)" }, "properties" : { "noteIndex" : 0 }, "schema" : "https://github.com/citation-style-language/schema/raw/master/csl-citation.json" }</w:instrText>
      </w:r>
      <w:r w:rsidR="00086B0D" w:rsidRPr="00BC779C">
        <w:rPr>
          <w:rFonts w:ascii="Times New Roman" w:hAnsi="Times New Roman" w:cs="Times New Roman"/>
          <w:color w:val="000000"/>
          <w:sz w:val="24"/>
          <w:szCs w:val="24"/>
        </w:rPr>
        <w:fldChar w:fldCharType="separate"/>
      </w:r>
      <w:r w:rsidR="00086B0D" w:rsidRPr="00BC779C">
        <w:rPr>
          <w:rFonts w:ascii="Times New Roman" w:hAnsi="Times New Roman" w:cs="Times New Roman"/>
          <w:noProof/>
          <w:color w:val="000000"/>
          <w:sz w:val="24"/>
          <w:szCs w:val="24"/>
        </w:rPr>
        <w:t>(9)</w:t>
      </w:r>
      <w:r w:rsidR="00086B0D" w:rsidRPr="00BC779C">
        <w:rPr>
          <w:rFonts w:ascii="Times New Roman" w:hAnsi="Times New Roman" w:cs="Times New Roman"/>
          <w:color w:val="000000"/>
          <w:sz w:val="24"/>
          <w:szCs w:val="24"/>
        </w:rPr>
        <w:fldChar w:fldCharType="end"/>
      </w:r>
      <w:r w:rsidR="00086B0D" w:rsidRPr="00BC779C">
        <w:rPr>
          <w:rFonts w:ascii="Times New Roman" w:hAnsi="Times New Roman" w:cs="Times New Roman"/>
          <w:color w:val="000000"/>
          <w:sz w:val="24"/>
          <w:szCs w:val="24"/>
        </w:rPr>
        <w:t xml:space="preserve">. </w:t>
      </w:r>
      <w:r w:rsidR="005E66A8" w:rsidRPr="00BC779C">
        <w:rPr>
          <w:rFonts w:ascii="Times New Roman" w:hAnsi="Times New Roman" w:cs="Times New Roman"/>
          <w:color w:val="000000"/>
          <w:sz w:val="24"/>
          <w:szCs w:val="24"/>
        </w:rPr>
        <w:t xml:space="preserve">Extracted DNA was </w:t>
      </w:r>
      <w:r w:rsidR="00857DD4" w:rsidRPr="00BC779C">
        <w:rPr>
          <w:rFonts w:ascii="Times New Roman" w:hAnsi="Times New Roman" w:cs="Times New Roman"/>
          <w:color w:val="000000"/>
          <w:sz w:val="24"/>
          <w:szCs w:val="24"/>
        </w:rPr>
        <w:t>subjected to PCR in two phases</w:t>
      </w:r>
      <w:r w:rsidR="0044308C" w:rsidRPr="00BC779C">
        <w:rPr>
          <w:rFonts w:ascii="Times New Roman" w:hAnsi="Times New Roman" w:cs="Times New Roman"/>
          <w:color w:val="000000"/>
          <w:sz w:val="24"/>
          <w:szCs w:val="24"/>
        </w:rPr>
        <w:t xml:space="preserve"> </w:t>
      </w:r>
      <w:r w:rsidR="0044308C" w:rsidRPr="00BC779C">
        <w:rPr>
          <w:rFonts w:ascii="Times New Roman" w:hAnsi="Times New Roman" w:cs="Times New Roman"/>
          <w:sz w:val="24"/>
          <w:szCs w:val="24"/>
        </w:rPr>
        <w:t>using Q5® High Fidelity DNA Polymerase (New England Biolabs, Ipswich, MA).</w:t>
      </w:r>
      <w:r w:rsidR="00857DD4" w:rsidRPr="00BC779C">
        <w:rPr>
          <w:rFonts w:ascii="Times New Roman" w:hAnsi="Times New Roman" w:cs="Times New Roman"/>
          <w:color w:val="000000"/>
          <w:sz w:val="24"/>
          <w:szCs w:val="24"/>
        </w:rPr>
        <w:t xml:space="preserve"> The first phase, </w:t>
      </w:r>
      <w:r w:rsidR="005E66A8" w:rsidRPr="00BC779C">
        <w:rPr>
          <w:rFonts w:ascii="Times New Roman" w:hAnsi="Times New Roman" w:cs="Times New Roman"/>
          <w:color w:val="000000"/>
          <w:sz w:val="24"/>
          <w:szCs w:val="24"/>
        </w:rPr>
        <w:t xml:space="preserve">amplified </w:t>
      </w:r>
      <w:r w:rsidR="00857DD4" w:rsidRPr="00BC779C">
        <w:rPr>
          <w:rFonts w:ascii="Times New Roman" w:hAnsi="Times New Roman" w:cs="Times New Roman"/>
          <w:color w:val="000000"/>
          <w:sz w:val="24"/>
          <w:szCs w:val="24"/>
        </w:rPr>
        <w:t>the 16S rRNA gene</w:t>
      </w:r>
      <w:r w:rsidR="00515103" w:rsidRPr="00BC779C">
        <w:rPr>
          <w:rFonts w:ascii="Times New Roman" w:hAnsi="Times New Roman" w:cs="Times New Roman"/>
          <w:color w:val="000000"/>
          <w:sz w:val="24"/>
          <w:szCs w:val="24"/>
        </w:rPr>
        <w:t xml:space="preserve"> using primers specific to the </w:t>
      </w:r>
      <w:r w:rsidR="00515103" w:rsidRPr="00BC779C">
        <w:rPr>
          <w:rFonts w:ascii="Times New Roman" w:hAnsi="Times New Roman" w:cs="Times New Roman"/>
          <w:sz w:val="24"/>
          <w:szCs w:val="24"/>
        </w:rPr>
        <w:t xml:space="preserve">V3-V4 region (forward </w:t>
      </w:r>
      <w:r w:rsidR="00515103" w:rsidRPr="00BC779C">
        <w:rPr>
          <w:rFonts w:ascii="Times New Roman" w:hAnsi="Times New Roman" w:cs="Times New Roman"/>
          <w:color w:val="000000"/>
          <w:sz w:val="24"/>
          <w:szCs w:val="24"/>
        </w:rPr>
        <w:t>TAC GGR AGG CAG</w:t>
      </w:r>
      <w:r w:rsidR="00515103" w:rsidRPr="00BC779C">
        <w:rPr>
          <w:rFonts w:ascii="Times New Roman" w:hAnsi="Times New Roman" w:cs="Times New Roman"/>
          <w:sz w:val="24"/>
          <w:szCs w:val="24"/>
        </w:rPr>
        <w:t xml:space="preserve"> and reverse </w:t>
      </w:r>
      <w:r w:rsidR="00515103" w:rsidRPr="00BC779C">
        <w:rPr>
          <w:rFonts w:ascii="Times New Roman" w:hAnsi="Times New Roman" w:cs="Times New Roman"/>
          <w:color w:val="000000"/>
          <w:sz w:val="24"/>
          <w:szCs w:val="24"/>
        </w:rPr>
        <w:t>CTA CCR GGG TAT CTA ATC C</w:t>
      </w:r>
      <w:r w:rsidR="00515103" w:rsidRPr="00BC779C">
        <w:rPr>
          <w:rFonts w:ascii="Times New Roman" w:hAnsi="Times New Roman" w:cs="Times New Roman"/>
          <w:sz w:val="24"/>
          <w:szCs w:val="24"/>
        </w:rPr>
        <w:t xml:space="preserve"> primers</w:t>
      </w:r>
      <w:r w:rsidR="0044308C" w:rsidRPr="00BC779C">
        <w:rPr>
          <w:rFonts w:ascii="Times New Roman" w:eastAsia="Calibri" w:hAnsi="Times New Roman" w:cs="Times New Roman"/>
          <w:sz w:val="24"/>
          <w:szCs w:val="24"/>
        </w:rPr>
        <w:t>) as previously described</w:t>
      </w:r>
      <w:r w:rsidR="000B10EA" w:rsidRPr="00BC779C">
        <w:rPr>
          <w:rFonts w:ascii="Times New Roman" w:eastAsia="Calibri" w:hAnsi="Times New Roman" w:cs="Times New Roman"/>
          <w:sz w:val="24"/>
          <w:szCs w:val="24"/>
        </w:rPr>
        <w:t xml:space="preserve"> </w:t>
      </w:r>
      <w:r w:rsidR="0000130F" w:rsidRPr="00BC779C">
        <w:rPr>
          <w:rFonts w:ascii="Times New Roman" w:eastAsia="Calibri" w:hAnsi="Times New Roman" w:cs="Times New Roman"/>
          <w:sz w:val="24"/>
          <w:szCs w:val="24"/>
        </w:rPr>
        <w:fldChar w:fldCharType="begin" w:fldLock="1"/>
      </w:r>
      <w:r w:rsidR="003C0594" w:rsidRPr="00BC779C">
        <w:rPr>
          <w:rFonts w:ascii="Times New Roman" w:eastAsia="Calibri" w:hAnsi="Times New Roman" w:cs="Times New Roman"/>
          <w:sz w:val="24"/>
          <w:szCs w:val="24"/>
        </w:rPr>
        <w:instrText>ADDIN CSL_CITATION { "citationItems" : [ { "id" : "ITEM-1", "itemData" : { "DOI" : "10.1093/nar/gkn491", "ISSN" : "1362-4962", "PMID" : "18723574", "abstract" : "The recent introduction of massively parallel pyrosequencers allows rapid, inexpensive analysis of microbial community composition using 16S ribosomal RNA (rRNA) sequences. However, a major challenge is to design a workflow so that taxonomic information can be accurately and rapidly assigned to each read, so that the composition of each community can be linked back to likely ecological roles played by members of each species, genus, family or phylum. Here, we use three large 16S rRNA datasets to test whether taxonomic information based on the full-length sequences can be recaptured by short reads that simulate the pyrosequencer outputs. We find that different taxonomic assignment methods vary radically in their ability to recapture the taxonomic information in full-length 16S rRNA sequences: most methods are sensitive to the region of the 16S rRNA gene that is targeted for sequencing, but many combinations of methods and rRNA regions produce consistent and accurate results. To process large datasets of partial 16S rRNA sequences obtained from surveys of various microbial communities, including those from human body habitats, we recommend the use of Greengenes or RDP classifier with fragments of at least 250 bases, starting from one of the primers R357, R534, R798, F343 or F517.", "author" : [ { "dropping-particle" : "", "family" : "Liu", "given" : "Zongzhi", "non-dropping-particle" : "", "parse-names" : false, "suffix" : "" }, { "dropping-particle" : "", "family" : "DeSantis", "given" : "Todd Z", "non-dropping-particle" : "", "parse-names" : false, "suffix" : "" }, { "dropping-particle" : "", "family" : "Andersen", "given" : "Gary L", "non-dropping-particle" : "", "parse-names" : false, "suffix" : "" }, { "dropping-particle" : "", "family" : "Knight", "given" : "Rob", "non-dropping-particle" : "", "parse-names" : false, "suffix" : "" } ], "container-title" : "Nucleic acids research", "id" : "ITEM-1", "issue" : "18", "issued" : { "date-parts" : [ [ "2008", "10" ] ] }, "page" : "e120", "title" : "Accurate taxonomy assignments from 16S rRNA sequences produced by highly parallel pyrosequencers", "type" : "article-journal", "volume" : "36" }, "uris" : [ "http://www.mendeley.com/documents/?uuid=b080b36d-bae7-4a6e-b31b-49802dab6933" ] }, { "id" : "ITEM-2", "itemData" : { "ISSN" : "2219-2840", "PMID" : "20806429", "abstract" : "AIM: To design and validate broad-range 16S rRNA primers for use in high throughput sequencing to classify bacteria isolated from the human foregut microbiome. METHODS: A foregut microbiome dataset was constructed using 16S rRNA gene sequences obtained from oral, esophageal, and gastric microbiomes produced by Sanger sequencing in previous studies represented by 219 bacterial species. Candidate primers evaluated were from the European rRNA database. To assess the effect of sequence length on accuracy of classification, 16S rRNA genes of various lengths were created by trimming the full length sequences. Sequences spanning various hypervariable regions were selected to simulate the amplicons that would be obtained using possible primer pairs. The sequences were compared with full length 16S rRNA genes for accuracy in taxonomic classification using online software at the Ribosomal Database Project (RDP). The universality of the primer set was evaluated using the RDP 16S rRNA database which is comprised of 433 306 16S rRNA genes, represented by 36 phyla. RESULTS: Truncation to 100 nucleotides (nt) downstream from the position corresponding to base 28 in the Escherichia coli 16S rRNA gene caused misclassification of 87 (39.7%) of the 219 sequences, compared with misclassification of only 29 (13.2%) sequences with truncation to 350 nt. Among 350-nt sequence reads within various regions of the 16S rRNA gene, the reverse read of an amplicon generated using the 343F/798R primers had the least (8.2%) effect on classification. In comparison, truncation to 900 nt mimicking single pass Sanger reads misclassified 5.0% of the 219 sequences. The 343F/798R amplicon accurately assigned 91.8% of the 219 sequences at the species level. Weighted by abundance of the species in the esophageal dataset, the 343F/798R amplicon yielded similar classification accuracy without a significant loss in species coverage (92%). Modification of the 343F/798R primers to 347F/803R increased their universality among foregut species. Assuming that a typical polymerase chain reaction can tolerate 2 mismatches between a primer and a template, the modified 347F and 803R primers should be able to anneal 98% and 99.6% of all 16S rRNA genes in the RDP database. CONCLUSION: 347F/803R is the most suitable pair of primers for classification of foregut 16S rRNA genes but also possess universality suitable for analyses of other complex microbiomes.", "author" : [ { "dropping-particle" : "", "family" : "Nossa", "given" : "Carlos W", "non-dropping-particle" : "", "parse-names" : false, "suffix" : "" }, { "dropping-particle" : "", "family" : "Oberdorf", "given" : "William E", "non-dropping-particle" : "", "parse-names" : false, "suffix" : "" }, { "dropping-particle" : "", "family" : "Yang", "given" : "Liying", "non-dropping-particle" : "", "parse-names" : false, "suffix" : "" }, { "dropping-particle" : "", "family" : "Aas", "given" : "J\u00f8rn A", "non-dropping-particle" : "", "parse-names" : false, "suffix" : "" }, { "dropping-particle" : "", "family" : "Paster", "given" : "Bruce J", "non-dropping-particle" : "", "parse-names" : false, "suffix" : "" }, { "dropping-particle" : "", "family" : "Desantis", "given" : "Todd Z", "non-dropping-particle" : "", "parse-names" : false, "suffix" : "" }, { "dropping-particle" : "", "family" : "Brodie", "given" : "Eoin L", "non-dropping-particle" : "", "parse-names" : false, "suffix" : "" }, { "dropping-particle" : "", "family" : "Malamud", "given" : "Daniel", "non-dropping-particle" : "", "parse-names" : false, "suffix" : "" }, { "dropping-particle" : "", "family" : "Poles", "given" : "Michael A", "non-dropping-particle" : "", "parse-names" : false, "suffix" : "" }, { "dropping-particle" : "", "family" : "Pei", "given" : "Zhiheng", "non-dropping-particle" : "", "parse-names" : false, "suffix" : "" } ], "container-title" : "World journal of gastroenterology : WJG", "id" : "ITEM-2", "issue" : "33", "issued" : { "date-parts" : [ [ "2010", "9", "7" ] ] }, "page" : "4135-44", "title" : "Design of 16S rRNA gene primers for 454 pyrosequencing of the human foregut microbiome", "type" : "article-journal", "volume" : "16" }, "uris" : [ "http://www.mendeley.com/documents/?uuid=2a9bd1bf-7208-4387-8b85-29fa449628e0" ] } ], "mendeley" : { "formattedCitation" : "(20,21)", "plainTextFormattedCitation" : "(20,21)", "previouslyFormattedCitation" : "(20,21)" }, "properties" : { "noteIndex" : 0 }, "schema" : "https://github.com/citation-style-language/schema/raw/master/csl-citation.json" }</w:instrText>
      </w:r>
      <w:r w:rsidR="0000130F" w:rsidRPr="00BC779C">
        <w:rPr>
          <w:rFonts w:ascii="Times New Roman" w:eastAsia="Calibri" w:hAnsi="Times New Roman" w:cs="Times New Roman"/>
          <w:sz w:val="24"/>
          <w:szCs w:val="24"/>
        </w:rPr>
        <w:fldChar w:fldCharType="separate"/>
      </w:r>
      <w:r w:rsidR="00086B0D" w:rsidRPr="00BC779C">
        <w:rPr>
          <w:rFonts w:ascii="Times New Roman" w:eastAsia="Calibri" w:hAnsi="Times New Roman" w:cs="Times New Roman"/>
          <w:noProof/>
          <w:sz w:val="24"/>
          <w:szCs w:val="24"/>
        </w:rPr>
        <w:t>(20,21)</w:t>
      </w:r>
      <w:r w:rsidR="0000130F" w:rsidRPr="00BC779C">
        <w:rPr>
          <w:rFonts w:ascii="Times New Roman" w:eastAsia="Calibri" w:hAnsi="Times New Roman" w:cs="Times New Roman"/>
          <w:sz w:val="24"/>
          <w:szCs w:val="24"/>
        </w:rPr>
        <w:fldChar w:fldCharType="end"/>
      </w:r>
      <w:r w:rsidR="000B10EA" w:rsidRPr="00BC779C">
        <w:rPr>
          <w:rFonts w:ascii="Times New Roman" w:eastAsia="Calibri" w:hAnsi="Times New Roman" w:cs="Times New Roman"/>
          <w:sz w:val="24"/>
          <w:szCs w:val="24"/>
        </w:rPr>
        <w:t>.</w:t>
      </w:r>
      <w:r w:rsidR="0044308C" w:rsidRPr="00BC779C">
        <w:rPr>
          <w:rFonts w:ascii="Times New Roman" w:eastAsia="Calibri" w:hAnsi="Times New Roman" w:cs="Times New Roman"/>
          <w:sz w:val="24"/>
          <w:szCs w:val="24"/>
        </w:rPr>
        <w:t xml:space="preserve"> </w:t>
      </w:r>
      <w:r w:rsidR="00857DD4" w:rsidRPr="00BC779C">
        <w:rPr>
          <w:rFonts w:ascii="Times New Roman" w:hAnsi="Times New Roman" w:cs="Times New Roman"/>
          <w:color w:val="000000"/>
          <w:sz w:val="24"/>
          <w:szCs w:val="24"/>
        </w:rPr>
        <w:t xml:space="preserve"> </w:t>
      </w:r>
      <w:r w:rsidR="0044308C" w:rsidRPr="00BC779C">
        <w:rPr>
          <w:rFonts w:ascii="Times New Roman" w:hAnsi="Times New Roman" w:cs="Times New Roman"/>
          <w:sz w:val="24"/>
          <w:szCs w:val="24"/>
        </w:rPr>
        <w:t>Unincorporated primers and nucleotides were separated from PCR amplicons using Agencourt AMPure XP kit (Becker</w:t>
      </w:r>
      <w:r w:rsidR="00231C0E" w:rsidRPr="00BC779C">
        <w:rPr>
          <w:rFonts w:ascii="Times New Roman" w:hAnsi="Times New Roman" w:cs="Times New Roman"/>
          <w:sz w:val="24"/>
          <w:szCs w:val="24"/>
        </w:rPr>
        <w:t xml:space="preserve"> Coulter, Inc, Brea, CA</w:t>
      </w:r>
      <w:r w:rsidR="0044308C" w:rsidRPr="00BC779C">
        <w:rPr>
          <w:rFonts w:ascii="Times New Roman" w:hAnsi="Times New Roman" w:cs="Times New Roman"/>
          <w:sz w:val="24"/>
          <w:szCs w:val="24"/>
        </w:rPr>
        <w:t xml:space="preserve">). The second PCR phase allowed for incorporation of 8-base pair forward and reverse primer </w:t>
      </w:r>
      <w:r w:rsidR="0044308C" w:rsidRPr="00BC779C">
        <w:rPr>
          <w:rFonts w:ascii="Times New Roman" w:hAnsi="Times New Roman" w:cs="Times New Roman"/>
          <w:sz w:val="24"/>
          <w:szCs w:val="24"/>
        </w:rPr>
        <w:lastRenderedPageBreak/>
        <w:t>tags to allow for sample differentiation after sequencing. The Agencourt AmPure XP Kit</w:t>
      </w:r>
      <w:r w:rsidR="00231C0E" w:rsidRPr="00BC779C">
        <w:rPr>
          <w:rFonts w:ascii="Times New Roman" w:hAnsi="Times New Roman" w:cs="Times New Roman"/>
          <w:sz w:val="24"/>
          <w:szCs w:val="24"/>
        </w:rPr>
        <w:t xml:space="preserve"> (Becker Coulter, Inc, Brea, CA)</w:t>
      </w:r>
      <w:r w:rsidR="0044308C" w:rsidRPr="00BC779C">
        <w:rPr>
          <w:rFonts w:ascii="Times New Roman" w:hAnsi="Times New Roman" w:cs="Times New Roman"/>
          <w:sz w:val="24"/>
          <w:szCs w:val="24"/>
        </w:rPr>
        <w:t xml:space="preserve"> was </w:t>
      </w:r>
      <w:r w:rsidR="00231C0E" w:rsidRPr="00BC779C">
        <w:rPr>
          <w:rFonts w:ascii="Times New Roman" w:hAnsi="Times New Roman" w:cs="Times New Roman"/>
          <w:sz w:val="24"/>
          <w:szCs w:val="24"/>
        </w:rPr>
        <w:t>used to purify second phase PCR products and purified amplicons were quantified by fluorometry after staining with the PicoGreen DNA Assay Kit.</w:t>
      </w:r>
    </w:p>
    <w:p w14:paraId="3405FE41" w14:textId="77777777" w:rsidR="00AF46AC" w:rsidRPr="00BC779C" w:rsidRDefault="00AF46AC" w:rsidP="00D12A80">
      <w:pPr>
        <w:spacing w:after="100" w:afterAutospacing="1" w:line="480" w:lineRule="auto"/>
        <w:outlineLvl w:val="0"/>
        <w:rPr>
          <w:rFonts w:ascii="Times New Roman" w:hAnsi="Times New Roman" w:cs="Times New Roman"/>
          <w:b/>
          <w:sz w:val="24"/>
          <w:szCs w:val="24"/>
        </w:rPr>
      </w:pPr>
      <w:r w:rsidRPr="00BC779C">
        <w:rPr>
          <w:rFonts w:ascii="Times New Roman" w:hAnsi="Times New Roman" w:cs="Times New Roman"/>
          <w:b/>
          <w:sz w:val="24"/>
          <w:szCs w:val="24"/>
        </w:rPr>
        <w:t>Sequence and Phylogenetic Diversity</w:t>
      </w:r>
      <w:r w:rsidR="00CD5754" w:rsidRPr="00BC779C">
        <w:rPr>
          <w:rFonts w:ascii="Times New Roman" w:hAnsi="Times New Roman" w:cs="Times New Roman"/>
          <w:b/>
          <w:sz w:val="24"/>
          <w:szCs w:val="24"/>
        </w:rPr>
        <w:t xml:space="preserve"> Analysis</w:t>
      </w:r>
    </w:p>
    <w:p w14:paraId="64F7CC71" w14:textId="7B0C5F6E" w:rsidR="005E66A8" w:rsidRPr="00BC779C" w:rsidRDefault="003F4D93"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The phylogenetic diversity of bacterial communities was determined after a</w:t>
      </w:r>
      <w:r w:rsidR="00231C0E" w:rsidRPr="00BC779C">
        <w:rPr>
          <w:rFonts w:ascii="Times New Roman" w:hAnsi="Times New Roman" w:cs="Times New Roman"/>
          <w:sz w:val="24"/>
          <w:szCs w:val="24"/>
        </w:rPr>
        <w:t>mplicons from each sample were combined in equivalent quantities and sent to the Purdue Genomics f</w:t>
      </w:r>
      <w:r w:rsidRPr="00BC779C">
        <w:rPr>
          <w:rFonts w:ascii="Times New Roman" w:hAnsi="Times New Roman" w:cs="Times New Roman"/>
          <w:sz w:val="24"/>
          <w:szCs w:val="24"/>
        </w:rPr>
        <w:t>acility</w:t>
      </w:r>
      <w:r w:rsidR="00231C0E" w:rsidRPr="00BC779C">
        <w:rPr>
          <w:rFonts w:ascii="Times New Roman" w:hAnsi="Times New Roman" w:cs="Times New Roman"/>
          <w:sz w:val="24"/>
          <w:szCs w:val="24"/>
        </w:rPr>
        <w:t xml:space="preserve"> (West Lafayette, IN) for sequencing by high-throughput, paired-end, MiSeq technology (Illumina, </w:t>
      </w:r>
      <w:r w:rsidR="00AF46AC" w:rsidRPr="00BC779C">
        <w:rPr>
          <w:rFonts w:ascii="Times New Roman" w:hAnsi="Times New Roman" w:cs="Times New Roman"/>
          <w:sz w:val="24"/>
          <w:szCs w:val="24"/>
        </w:rPr>
        <w:t>San Diego, CA</w:t>
      </w:r>
      <w:r w:rsidR="00231C0E" w:rsidRPr="00BC779C">
        <w:rPr>
          <w:rFonts w:ascii="Times New Roman" w:hAnsi="Times New Roman" w:cs="Times New Roman"/>
          <w:sz w:val="24"/>
          <w:szCs w:val="24"/>
        </w:rPr>
        <w:t xml:space="preserve">). </w:t>
      </w:r>
      <w:r w:rsidR="002E7D6A" w:rsidRPr="00BC779C">
        <w:rPr>
          <w:rFonts w:ascii="Times New Roman" w:hAnsi="Times New Roman" w:cs="Times New Roman"/>
          <w:sz w:val="24"/>
          <w:szCs w:val="24"/>
        </w:rPr>
        <w:t>A</w:t>
      </w:r>
      <w:r w:rsidR="00AF46AC" w:rsidRPr="00BC779C">
        <w:rPr>
          <w:rFonts w:ascii="Times New Roman" w:hAnsi="Times New Roman" w:cs="Times New Roman"/>
          <w:sz w:val="24"/>
          <w:szCs w:val="24"/>
        </w:rPr>
        <w:t>fter removing primer</w:t>
      </w:r>
      <w:r w:rsidR="002E7D6A" w:rsidRPr="00BC779C">
        <w:rPr>
          <w:rFonts w:ascii="Times New Roman" w:hAnsi="Times New Roman" w:cs="Times New Roman"/>
          <w:sz w:val="24"/>
          <w:szCs w:val="24"/>
        </w:rPr>
        <w:t xml:space="preserve"> tags and low quality sequences, paired-end reads were merged</w:t>
      </w:r>
      <w:r w:rsidR="00AF46AC" w:rsidRPr="00BC779C">
        <w:rPr>
          <w:rFonts w:ascii="Times New Roman" w:hAnsi="Times New Roman" w:cs="Times New Roman"/>
          <w:sz w:val="24"/>
          <w:szCs w:val="24"/>
        </w:rPr>
        <w:t xml:space="preserve"> </w:t>
      </w:r>
      <w:r w:rsidR="002E7D6A" w:rsidRPr="00BC779C">
        <w:rPr>
          <w:rFonts w:ascii="Times New Roman" w:hAnsi="Times New Roman" w:cs="Times New Roman"/>
          <w:sz w:val="24"/>
          <w:szCs w:val="24"/>
        </w:rPr>
        <w:t>and analyzed u</w:t>
      </w:r>
      <w:r w:rsidR="002E7D6A" w:rsidRPr="00BC779C">
        <w:rPr>
          <w:rFonts w:ascii="Times New Roman" w:hAnsi="Times New Roman" w:cs="Times New Roman"/>
          <w:color w:val="000000"/>
          <w:sz w:val="24"/>
          <w:szCs w:val="24"/>
        </w:rPr>
        <w:t>sing the QIIME pipeline</w:t>
      </w:r>
      <w:r w:rsidR="00BA761F" w:rsidRPr="00BC779C">
        <w:rPr>
          <w:rFonts w:ascii="Times New Roman" w:hAnsi="Times New Roman" w:cs="Times New Roman"/>
          <w:color w:val="000000"/>
          <w:sz w:val="24"/>
          <w:szCs w:val="24"/>
        </w:rPr>
        <w:t xml:space="preserve"> </w:t>
      </w:r>
      <w:r w:rsidR="0000130F" w:rsidRPr="00BC779C">
        <w:rPr>
          <w:rFonts w:ascii="Times New Roman" w:hAnsi="Times New Roman" w:cs="Times New Roman"/>
          <w:sz w:val="24"/>
          <w:szCs w:val="24"/>
        </w:rPr>
        <w:fldChar w:fldCharType="begin" w:fldLock="1"/>
      </w:r>
      <w:r w:rsidR="00086B0D" w:rsidRPr="00BC779C">
        <w:rPr>
          <w:rFonts w:ascii="Times New Roman" w:hAnsi="Times New Roman" w:cs="Times New Roman"/>
          <w:sz w:val="24"/>
          <w:szCs w:val="24"/>
        </w:rPr>
        <w:instrText>ADDIN CSL_CITATION { "citationItems" : [ { "id" : "ITEM-1", "itemData" : { "DOI" : "10.1038/nmeth.f.303", "ISSN" : "1548-7105", "PMID" : "20383131", "author" : [ { "dropping-particle" : "", "family" : "Caporaso", "given" : "J Gregory", "non-dropping-particle" : "", "parse-names" : false, "suffix" : "" }, { "dropping-particle" : "", "family" : "Kuczynski", "given" : "Justin", "non-dropping-particle" : "", "parse-names" : false, "suffix" : "" }, { "dropping-particle" : "", "family" : "Stombaugh", "given" : "Jesse", "non-dropping-particle" : "", "parse-names" : false, "suffix" : "" }, { "dropping-particle" : "", "family" : "Bittinger", "given" : "Kyle", "non-dropping-particle" : "", "parse-names" : false, "suffix" : "" }, { "dropping-particle" : "", "family" : "Bushman", "given" : "Frederic D", "non-dropping-particle" : "", "parse-names" : false, "suffix" : "" }, { "dropping-particle" : "", "family" : "Costello", "given" : "Elizabeth K", "non-dropping-particle" : "", "parse-names" : false, "suffix" : "" }, { "dropping-particle" : "", "family" : "Fierer", "given" : "Noah", "non-dropping-particle" : "", "parse-names" : false, "suffix" : "" }, { "dropping-particle" : "", "family" : "Pe\u00f1a", "given" : "Antonio Gonzalez", "non-dropping-particle" : "", "parse-names" : false, "suffix" : "" }, { "dropping-particle" : "", "family" : "Goodrich", "given" : "Julia K", "non-dropping-particle" : "", "parse-names" : false, "suffix" : "" }, { "dropping-particle" : "", "family" : "Gordon", "given" : "Jeffrey I", "non-dropping-particle" : "", "parse-names" : false, "suffix" : "" }, { "dropping-particle" : "", "family" : "Huttley", "given" : "Gavin A", "non-dropping-particle" : "", "parse-names" : false, "suffix" : "" }, { "dropping-particle" : "", "family" : "Kelley", "given" : "Scott T", "non-dropping-particle" : "", "parse-names" : false, "suffix" : "" }, { "dropping-particle" : "", "family" : "Knights", "given" : "Dan", "non-dropping-particle" : "", "parse-names" : false, "suffix" : "" }, { "dropping-particle" : "", "family" : "Koenig", "given" : "Jeremy E", "non-dropping-particle" : "", "parse-names" : false, "suffix" : "" }, { "dropping-particle" : "", "family" : "Ley", "given" : "Ruth E", "non-dropping-particle" : "", "parse-names" : false, "suffix" : "" }, { "dropping-particle" : "", "family" : "Lozupone", "given" : "Catherine A", "non-dropping-particle" : "", "parse-names" : false, "suffix" : "" }, { "dropping-particle" : "", "family" : "McDonald", "given" : "Daniel", "non-dropping-particle" : "", "parse-names" : false, "suffix" : "" }, { "dropping-particle" : "", "family" : "Muegge", "given" : "Brian D", "non-dropping-particle" : "", "parse-names" : false, "suffix" : "" }, { "dropping-particle" : "", "family" : "Pirrung", "given" : "Meg", "non-dropping-particle" : "", "parse-names" : false, "suffix" : "" }, { "dropping-particle" : "", "family" : "Reeder", "given" : "Jens", "non-dropping-particle" : "", "parse-names" : false, "suffix" : "" }, { "dropping-particle" : "", "family" : "Sevinsky", "given" : "Joel R", "non-dropping-particle" : "", "parse-names" : false, "suffix" : "" }, { "dropping-particle" : "", "family" : "Turnbaugh", "given" : "Peter J", "non-dropping-particle" : "", "parse-names" : false, "suffix" : "" }, { "dropping-particle" : "", "family" : "Walters", "given" : "William A", "non-dropping-particle" : "", "parse-names" : false, "suffix" : "" }, { "dropping-particle" : "", "family" : "Widmann", "given" : "Jeremy", "non-dropping-particle" : "", "parse-names" : false, "suffix" : "" }, { "dropping-particle" : "", "family" : "Yatsunenko", "given" : "Tanya", "non-dropping-particle" : "", "parse-names" : false, "suffix" : "" }, { "dropping-particle" : "", "family" : "Zaneveld", "given" : "Jesse", "non-dropping-particle" : "", "parse-names" : false, "suffix" : "" }, { "dropping-particle" : "", "family" : "Knight", "given" : "Rob", "non-dropping-particle" : "", "parse-names" : false, "suffix" : "" } ], "container-title" : "Nature methods", "id" : "ITEM-1", "issue" : "5", "issued" : { "date-parts" : [ [ "2010", "5" ] ] }, "page" : "335-6", "title" : "QIIME allows analysis of high-throughput community sequencing data.", "type" : "article-journal", "volume" : "7" }, "uris" : [ "http://www.mendeley.com/documents/?uuid=b8a76d31-359a-4219-a141-6c93062116ac" ] } ], "mendeley" : { "formattedCitation" : "(22)", "plainTextFormattedCitation" : "(22)", "previouslyFormattedCitation" : "(22)" }, "properties" : { "noteIndex" : 0 }, "schema" : "https://github.com/citation-style-language/schema/raw/master/csl-citation.json" }</w:instrText>
      </w:r>
      <w:r w:rsidR="0000130F"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(22)</w:t>
      </w:r>
      <w:r w:rsidR="0000130F" w:rsidRPr="00BC779C">
        <w:rPr>
          <w:rFonts w:ascii="Times New Roman" w:hAnsi="Times New Roman" w:cs="Times New Roman"/>
          <w:sz w:val="24"/>
          <w:szCs w:val="24"/>
        </w:rPr>
        <w:fldChar w:fldCharType="end"/>
      </w:r>
      <w:r w:rsidR="000B10EA" w:rsidRPr="00BC779C">
        <w:rPr>
          <w:rFonts w:ascii="Times New Roman" w:hAnsi="Times New Roman" w:cs="Times New Roman"/>
          <w:sz w:val="24"/>
          <w:szCs w:val="24"/>
        </w:rPr>
        <w:t>.</w:t>
      </w:r>
      <w:r w:rsidR="005E66A8" w:rsidRPr="00BC779C">
        <w:rPr>
          <w:rFonts w:ascii="Times New Roman" w:hAnsi="Times New Roman" w:cs="Times New Roman"/>
          <w:color w:val="000000"/>
          <w:sz w:val="24"/>
          <w:szCs w:val="24"/>
        </w:rPr>
        <w:t xml:space="preserve"> </w:t>
      </w:r>
      <w:r w:rsidR="00BA761F" w:rsidRPr="00BC779C">
        <w:rPr>
          <w:rFonts w:ascii="Times New Roman" w:hAnsi="Times New Roman" w:cs="Times New Roman"/>
          <w:sz w:val="24"/>
          <w:szCs w:val="24"/>
        </w:rPr>
        <w:t>Reported results were limited to known ge</w:t>
      </w:r>
      <w:r w:rsidR="0000130F" w:rsidRPr="00BC779C">
        <w:rPr>
          <w:rFonts w:ascii="Times New Roman" w:hAnsi="Times New Roman" w:cs="Times New Roman"/>
          <w:sz w:val="24"/>
          <w:szCs w:val="24"/>
        </w:rPr>
        <w:t>nera in the Greengenes database</w:t>
      </w:r>
      <w:r w:rsidR="00725583" w:rsidRPr="00BC779C">
        <w:rPr>
          <w:rFonts w:ascii="Times New Roman" w:hAnsi="Times New Roman" w:cs="Times New Roman"/>
          <w:sz w:val="24"/>
          <w:szCs w:val="24"/>
        </w:rPr>
        <w:t xml:space="preserve">, </w:t>
      </w:r>
      <w:r w:rsidR="000B10EA" w:rsidRPr="00BC779C">
        <w:rPr>
          <w:rFonts w:ascii="Times New Roman" w:hAnsi="Times New Roman" w:cs="Times New Roman"/>
          <w:sz w:val="24"/>
          <w:szCs w:val="24"/>
        </w:rPr>
        <w:t xml:space="preserve">version 13_5 </w:t>
      </w:r>
      <w:r w:rsidR="0000130F"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"10.1038/ismej.2011.139", "ISSN" : "1751-7370", "PMID" : "22134646", "abstract" : "Reference phylogenies are crucial for providing a taxonomic framework for interpretation of marker gene and metagenomic surveys, which continue to reveal novel species at a remarkable rate. Greengenes is a dedicated full-length 16S rRNA gene database that provides users with a curated taxonomy based on de novo tree inference. We developed a 'taxonomy to tree' approach for transferring group names from an existing taxonomy to a tree topology, and used it to apply the Greengenes, National Center for Biotechnology Information (NCBI) and cyanoDB (Cyanobacteria only) taxonomies to a de novo tree comprising 408,315 sequences. We also incorporated explicit rank information provided by the NCBI taxonomy to group names (by prefixing rank designations) for better user orientation and classification consistency. The resulting merged taxonomy improved the classification of 75% of the sequences by one or more ranks relative to the original NCBI taxonomy with the most pronounced improvements occurring in under-classified environmental sequences. We also assessed candidate phyla (divisions) currently defined by NCBI and present recommendations for consolidation of 34 redundantly named groups. All intermediate results from the pipeline, which includes tree inference, jackknifing and transfer of a donor taxonomy to a recipient tree (tax2tree) are available for download. The improved Greengenes taxonomy should provide important infrastructure for a wide range of megasequencing projects studying ecosystems on scales ranging from our own bodies (the Human Microbiome Project) to the entire planet (the Earth Microbiome Project). The implementation of the software can be obtained from http://sourceforge.net/projects/tax2tree/.", "author" : [ { "dropping-particle" : "", "family" : "McDonald", "given" : "Daniel", "non-dropping-particle" : "", "parse-names" : false, "suffix" : "" }, { "dropping-particle" : "", "family" : "Price", "given" : "Morgan N", "non-dropping-particle" : "", "parse-names" : false, "suffix" : "" }, { "dropping-particle" : "", "family" : "Goodrich", "given" : "Julia", "non-dropping-particle" : "", "parse-names" : false, "suffix" : "" }, { "dropping-particle" : "", "family" : "Nawrocki", "given" : "Eric P", "non-dropping-particle" : "", "parse-names" : false, "suffix" : "" }, { "dropping-particle" : "", "family" : "DeSantis", "given" : "Todd Z", "non-dropping-particle" : "", "parse-names" : false, "suffix" : "" }, { "dropping-particle" : "", "family" : "Probst", "given" : "Alexander", "non-dropping-particle" : "", "parse-names" : false, "suffix" : "" }, { "dropping-particle" : "", "family" : "Andersen", "given" : "Gary L", "non-dropping-particle" : "", "parse-names" : false, "suffix" : "" }, { "dropping-particle" : "", "family" : "Knight", "given" : "Rob", "non-dropping-particle" : "", "parse-names" : false, "suffix" : "" }, { "dropping-particle" : "", "family" : "Hugenholtz", "given" : "Philip", "non-dropping-particle" : "", "parse-names" : false, "suffix" : "" } ], "container-title" : "The ISME journal", "id" : "ITEM-1", "issue" : "3", "issued" : { "date-parts" : [ [ "2012", "3" ] ] }, "page" : "610-8", "title" : "An improved Greengenes taxonomy with explicit ranks for ecological and evolutionary analyses of bacteria and archaea", "type" : "article-journal", "volume" : "6" }, "uris" : [ "http://www.mendeley.com/documents/?uuid=d776dfce-08f3-4218-b607-d5dd6b059175" ] } ], "mendeley" : { "formattedCitation" : "(23)", "plainTextFormattedCitation" : "(23)", "previouslyFormattedCitation" : "(23)" }, "properties" : { "noteIndex" : 0 }, "schema" : "https://github.com/citation-style-language/schema/raw/master/csl-citation.json" }</w:instrText>
      </w:r>
      <w:r w:rsidR="0000130F"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(23)</w:t>
      </w:r>
      <w:r w:rsidR="0000130F" w:rsidRPr="00BC779C">
        <w:rPr>
          <w:rFonts w:ascii="Times New Roman" w:hAnsi="Times New Roman" w:cs="Times New Roman"/>
          <w:sz w:val="24"/>
          <w:szCs w:val="24"/>
        </w:rPr>
        <w:fldChar w:fldCharType="end"/>
      </w:r>
      <w:r w:rsidR="007340EA" w:rsidRPr="00BC779C">
        <w:rPr>
          <w:rFonts w:ascii="Times New Roman" w:hAnsi="Times New Roman" w:cs="Times New Roman"/>
          <w:sz w:val="24"/>
          <w:szCs w:val="24"/>
        </w:rPr>
        <w:t xml:space="preserve">. </w:t>
      </w:r>
      <w:r w:rsidR="00CD5754" w:rsidRPr="00BC779C">
        <w:rPr>
          <w:rFonts w:ascii="Times New Roman" w:hAnsi="Times New Roman" w:cs="Times New Roman"/>
          <w:sz w:val="24"/>
          <w:szCs w:val="24"/>
        </w:rPr>
        <w:t>These s</w:t>
      </w:r>
      <w:r w:rsidR="005E66A8" w:rsidRPr="00BC779C">
        <w:rPr>
          <w:rFonts w:ascii="Times New Roman" w:hAnsi="Times New Roman" w:cs="Times New Roman"/>
          <w:sz w:val="24"/>
          <w:szCs w:val="24"/>
        </w:rPr>
        <w:t>equences were first pre</w:t>
      </w:r>
      <w:r w:rsidR="000C0B61" w:rsidRPr="00BC779C">
        <w:rPr>
          <w:rFonts w:ascii="Times New Roman" w:hAnsi="Times New Roman" w:cs="Times New Roman"/>
          <w:sz w:val="24"/>
          <w:szCs w:val="24"/>
        </w:rPr>
        <w:t>-</w:t>
      </w:r>
      <w:r w:rsidR="005E66A8" w:rsidRPr="00BC779C">
        <w:rPr>
          <w:rFonts w:ascii="Times New Roman" w:hAnsi="Times New Roman" w:cs="Times New Roman"/>
          <w:sz w:val="24"/>
          <w:szCs w:val="24"/>
        </w:rPr>
        <w:t xml:space="preserve">filtered </w:t>
      </w:r>
      <w:r w:rsidR="002F4CA5" w:rsidRPr="00BC779C">
        <w:rPr>
          <w:rFonts w:ascii="Times New Roman" w:hAnsi="Times New Roman" w:cs="Times New Roman"/>
          <w:sz w:val="24"/>
          <w:szCs w:val="24"/>
        </w:rPr>
        <w:t xml:space="preserve">with the Greengenes core sequences using a 60% threshold value </w:t>
      </w:r>
      <w:r w:rsidR="005E66A8" w:rsidRPr="00BC779C">
        <w:rPr>
          <w:rFonts w:ascii="Times New Roman" w:hAnsi="Times New Roman" w:cs="Times New Roman"/>
          <w:sz w:val="24"/>
          <w:szCs w:val="24"/>
        </w:rPr>
        <w:t xml:space="preserve">and </w:t>
      </w:r>
      <w:r w:rsidR="00C83B5E" w:rsidRPr="00BC779C">
        <w:rPr>
          <w:rFonts w:ascii="Times New Roman" w:hAnsi="Times New Roman" w:cs="Times New Roman"/>
          <w:sz w:val="24"/>
          <w:szCs w:val="24"/>
        </w:rPr>
        <w:t>operational taxonomic unit (OTU)</w:t>
      </w:r>
      <w:r w:rsidR="005E66A8" w:rsidRPr="00BC779C">
        <w:rPr>
          <w:rFonts w:ascii="Times New Roman" w:hAnsi="Times New Roman" w:cs="Times New Roman"/>
          <w:sz w:val="24"/>
          <w:szCs w:val="24"/>
        </w:rPr>
        <w:t xml:space="preserve"> assignments </w:t>
      </w:r>
      <w:r w:rsidR="00CD5754" w:rsidRPr="00BC779C">
        <w:rPr>
          <w:rFonts w:ascii="Times New Roman" w:hAnsi="Times New Roman" w:cs="Times New Roman"/>
          <w:sz w:val="24"/>
          <w:szCs w:val="24"/>
        </w:rPr>
        <w:t xml:space="preserve">were </w:t>
      </w:r>
      <w:r w:rsidR="005E66A8" w:rsidRPr="00BC779C">
        <w:rPr>
          <w:rFonts w:ascii="Times New Roman" w:hAnsi="Times New Roman" w:cs="Times New Roman"/>
          <w:sz w:val="24"/>
          <w:szCs w:val="24"/>
        </w:rPr>
        <w:t>made using the uclust method</w:t>
      </w:r>
      <w:r w:rsidR="000B10EA" w:rsidRPr="00BC779C">
        <w:rPr>
          <w:rFonts w:ascii="Times New Roman" w:hAnsi="Times New Roman" w:cs="Times New Roman"/>
          <w:sz w:val="24"/>
          <w:szCs w:val="24"/>
        </w:rPr>
        <w:t xml:space="preserve"> </w:t>
      </w:r>
      <w:r w:rsidR="0000130F"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"10.1093/bioinformatics/btq461", "ISSN" : "1367-4811", "PMID" : "20709691", "abstract" : "MOTIVATION: Biological sequence data is accumulating rapidly, motivating the development of improved high-throughput methods for sequence classification. RESULTS: UBLAST and USEARCH are new algorithms enabling sensitive local and global search of large sequence databases at exceptionally high speeds. They are often orders of magnitude faster than BLAST in practical applications, though sensitivity to distant protein relationships is lower. UCLUST is a new clustering method that exploits USEARCH to assign sequences to clusters. UCLUST offers several advantages over the widely used program CD-HIT, including higher speed, lower memory use, improved sensitivity, clustering at lower identities and classification of much larger datasets. AVAILABILITY: Binaries are available at no charge for non-commercial use at http://www.drive5.com/usearch.", "author" : [ { "dropping-particle" : "", "family" : "Edgar", "given" : "Robert C", "non-dropping-particle" : "", "parse-names" : false, "suffix" : "" } ], "container-title" : "Bioinformatics (Oxford, England)", "id" : "ITEM-1", "issue" : "19", "issued" : { "date-parts" : [ [ "2010", "10", "1" ] ] }, "page" : "2460-1", "title" : "Search and clustering orders of magnitude faster than BLAST", "type" : "article-journal", "volume" : "26" }, "uris" : [ "http://www.mendeley.com/documents/?uuid=94c663a3-158d-4e3d-97ca-9f733b47f075" ] } ], "mendeley" : { "formattedCitation" : "(24)", "plainTextFormattedCitation" : "(24)", "previouslyFormattedCitation" : "(24)" }, "properties" : { "noteIndex" : 0 }, "schema" : "https://github.com/citation-style-language/schema/raw/master/csl-citation.json" }</w:instrText>
      </w:r>
      <w:r w:rsidR="0000130F"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(24)</w:t>
      </w:r>
      <w:r w:rsidR="0000130F" w:rsidRPr="00BC779C">
        <w:rPr>
          <w:rFonts w:ascii="Times New Roman" w:hAnsi="Times New Roman" w:cs="Times New Roman"/>
          <w:sz w:val="24"/>
          <w:szCs w:val="24"/>
        </w:rPr>
        <w:fldChar w:fldCharType="end"/>
      </w:r>
      <w:r w:rsidR="000B10EA" w:rsidRPr="00BC779C">
        <w:rPr>
          <w:rFonts w:ascii="Times New Roman" w:hAnsi="Times New Roman" w:cs="Times New Roman"/>
          <w:sz w:val="24"/>
          <w:szCs w:val="24"/>
        </w:rPr>
        <w:t>.</w:t>
      </w:r>
      <w:r w:rsidR="007340EA" w:rsidRPr="00BC779C">
        <w:rPr>
          <w:rFonts w:ascii="Times New Roman" w:hAnsi="Times New Roman" w:cs="Times New Roman"/>
          <w:sz w:val="24"/>
          <w:szCs w:val="24"/>
        </w:rPr>
        <w:t xml:space="preserve"> </w:t>
      </w:r>
      <w:r w:rsidR="002F4CA5" w:rsidRPr="00BC779C">
        <w:rPr>
          <w:rFonts w:ascii="Times New Roman" w:hAnsi="Times New Roman" w:cs="Times New Roman"/>
          <w:sz w:val="24"/>
          <w:szCs w:val="24"/>
        </w:rPr>
        <w:t>Final r</w:t>
      </w:r>
      <w:r w:rsidR="005E66A8" w:rsidRPr="00BC779C">
        <w:rPr>
          <w:rFonts w:ascii="Times New Roman" w:hAnsi="Times New Roman" w:cs="Times New Roman"/>
          <w:sz w:val="24"/>
          <w:szCs w:val="24"/>
        </w:rPr>
        <w:t xml:space="preserve">epresentative OTU sequences were obtained after </w:t>
      </w:r>
      <w:r w:rsidR="0000130F" w:rsidRPr="00BC779C">
        <w:rPr>
          <w:rFonts w:ascii="Times New Roman" w:hAnsi="Times New Roman" w:cs="Times New Roman"/>
          <w:sz w:val="24"/>
          <w:szCs w:val="24"/>
        </w:rPr>
        <w:t>sequence alignment using PyNast</w:t>
      </w:r>
      <w:r w:rsidR="000B10EA" w:rsidRPr="00BC779C">
        <w:rPr>
          <w:rFonts w:ascii="Times New Roman" w:hAnsi="Times New Roman" w:cs="Times New Roman"/>
          <w:sz w:val="24"/>
          <w:szCs w:val="24"/>
        </w:rPr>
        <w:t xml:space="preserve"> </w:t>
      </w:r>
      <w:r w:rsidR="0000130F" w:rsidRPr="00BC779C">
        <w:rPr>
          <w:rFonts w:ascii="Times New Roman" w:hAnsi="Times New Roman" w:cs="Times New Roman"/>
          <w:sz w:val="24"/>
          <w:szCs w:val="24"/>
        </w:rPr>
        <w:fldChar w:fldCharType="begin" w:fldLock="1"/>
      </w:r>
      <w:r w:rsidR="00086B0D" w:rsidRPr="00BC779C">
        <w:rPr>
          <w:rFonts w:ascii="Times New Roman" w:hAnsi="Times New Roman" w:cs="Times New Roman"/>
          <w:sz w:val="24"/>
          <w:szCs w:val="24"/>
        </w:rPr>
        <w:instrText>ADDIN CSL_CITATION { "citationItems" : [ { "id" : "ITEM-1", "itemData" : { "DOI" : "10.1093/bioinformatics/btp636", "ISSN" : "1367-4811", "PMID" : "19914921", "abstract" : "MOTIVATION: The Nearest Alignment Space Termination (NAST) tool is commonly used in sequence-based microbial ecology community analysis, but due to the limited portability of the original implementation, it has not been as widely adopted as possible. Python Nearest Alignment Space Termination (PyNAST) is a complete reimplementation of NAST, which includes three convenient interfaces: a Mac OS X GUI, a command-line interface and a simple application programming interface (API).\n\nRESULTS: The availability of PyNAST will make the popular NAST algorithm more portable and thereby applicable to datasets orders of magnitude larger by allowing users to install PyNAST on their own hardware. Additionally because users can align to arbitrary template alignments, a feature not available via the original NAST web interface, the NAST algorithm will be readily applicable to novel tasks outside of microbial community analysis.\n\nAVAILABILITY: PyNAST is available at http://pynast.sourceforge.net.", "author" : [ { "dropping-particle" : "", "family" : "Caporaso", "given" : "J Gregory", "non-dropping-particle" : "", "parse-names" : false, "suffix" : "" }, { "dropping-particle" : "", "family" : "Bittinger", "given" : "Kyle", "non-dropping-particle" : "", "parse-names" : false, "suffix" : "" }, { "dropping-particle" : "", "family" : "Bushman", "given" : "Frederic D", "non-dropping-particle" : "", "parse-names" : false, "suffix" : "" }, { "dropping-particle" : "", "family" : "DeSantis", "given" : "Todd Z", "non-dropping-particle" : "", "parse-names" : false, "suffix" : "" }, { "dropping-particle" : "", "family" : "Andersen", "given" : "Gary L", "non-dropping-particle" : "", "parse-names" : false, "suffix" : "" }, { "dropping-particle" : "", "family" : "Knight", "given" : "Rob", "non-dropping-particle" : "", "parse-names" : false, "suffix" : "" } ], "container-title" : "Bioinformatics (Oxford, England)", "id" : "ITEM-1", "issue" : "2", "issued" : { "date-parts" : [ [ "2010", "1", "15" ] ] }, "page" : "266-7", "title" : "PyNAST: a flexible tool for aligning sequences to a template alignment.", "type" : "article-journal", "volume" : "26" }, "uris" : [ "http://www.mendeley.com/documents/?uuid=c8302311-02d7-45a3-85f1-5d40c838053a" ] } ], "mendeley" : { "formattedCitation" : "(25)", "plainTextFormattedCitation" : "(25)", "previouslyFormattedCitation" : "(25)" }, "properties" : { "noteIndex" : 0 }, "schema" : "https://github.com/citation-style-language/schema/raw/master/csl-citation.json" }</w:instrText>
      </w:r>
      <w:r w:rsidR="0000130F"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(25)</w:t>
      </w:r>
      <w:r w:rsidR="0000130F" w:rsidRPr="00BC779C">
        <w:rPr>
          <w:rFonts w:ascii="Times New Roman" w:hAnsi="Times New Roman" w:cs="Times New Roman"/>
          <w:sz w:val="24"/>
          <w:szCs w:val="24"/>
        </w:rPr>
        <w:fldChar w:fldCharType="end"/>
      </w:r>
      <w:r w:rsidR="005E66A8" w:rsidRPr="00BC779C">
        <w:rPr>
          <w:rFonts w:ascii="Times New Roman" w:hAnsi="Times New Roman" w:cs="Times New Roman"/>
          <w:sz w:val="24"/>
          <w:szCs w:val="24"/>
        </w:rPr>
        <w:t xml:space="preserve"> to filter out sequences that did not align with </w:t>
      </w:r>
      <w:r w:rsidR="007340EA" w:rsidRPr="00BC779C">
        <w:rPr>
          <w:rFonts w:ascii="Times New Roman" w:hAnsi="Times New Roman" w:cs="Times New Roman"/>
          <w:sz w:val="24"/>
          <w:szCs w:val="24"/>
        </w:rPr>
        <w:t xml:space="preserve">the Greengenes core sequences. </w:t>
      </w:r>
      <w:r w:rsidR="005E66A8" w:rsidRPr="00BC779C">
        <w:rPr>
          <w:rFonts w:ascii="Times New Roman" w:hAnsi="Times New Roman" w:cs="Times New Roman"/>
          <w:sz w:val="24"/>
          <w:szCs w:val="24"/>
        </w:rPr>
        <w:t>Taxonomic assignments were made using the RDP classifier at 80% confidence and the Gr</w:t>
      </w:r>
      <w:r w:rsidR="002F4CA5" w:rsidRPr="00BC779C">
        <w:rPr>
          <w:rFonts w:ascii="Times New Roman" w:hAnsi="Times New Roman" w:cs="Times New Roman"/>
          <w:sz w:val="24"/>
          <w:szCs w:val="24"/>
        </w:rPr>
        <w:t>eengenes database</w:t>
      </w:r>
      <w:r w:rsidR="007340EA" w:rsidRPr="00BC779C">
        <w:rPr>
          <w:rFonts w:ascii="Times New Roman" w:hAnsi="Times New Roman" w:cs="Times New Roman"/>
          <w:sz w:val="24"/>
          <w:szCs w:val="24"/>
        </w:rPr>
        <w:t xml:space="preserve">. </w:t>
      </w:r>
      <w:r w:rsidR="005E66A8" w:rsidRPr="00BC779C">
        <w:rPr>
          <w:rFonts w:ascii="Times New Roman" w:hAnsi="Times New Roman" w:cs="Times New Roman"/>
          <w:sz w:val="24"/>
          <w:szCs w:val="24"/>
        </w:rPr>
        <w:t xml:space="preserve">Rarefaction analysis was used to obtain an estimation of sequence coverage </w:t>
      </w:r>
      <w:r w:rsidR="007340EA" w:rsidRPr="00BC779C">
        <w:rPr>
          <w:rFonts w:ascii="Times New Roman" w:hAnsi="Times New Roman" w:cs="Times New Roman"/>
          <w:sz w:val="24"/>
          <w:szCs w:val="24"/>
        </w:rPr>
        <w:t xml:space="preserve">of the community. </w:t>
      </w:r>
      <w:r w:rsidR="005560CF" w:rsidRPr="00BC779C">
        <w:rPr>
          <w:rFonts w:ascii="Times New Roman" w:hAnsi="Times New Roman" w:cs="Times New Roman"/>
          <w:sz w:val="24"/>
          <w:szCs w:val="24"/>
        </w:rPr>
        <w:t xml:space="preserve">To obtain a rarefied dataset, 10 iterations of randomly choosing 28,800 sequences (lowest number of sequences in a sample) from each dataset was performed then datasets were merged to obtain a set of 28,800 sequences that were representative of each sample. </w:t>
      </w:r>
      <w:r w:rsidR="005E66A8" w:rsidRPr="00BC779C">
        <w:rPr>
          <w:rFonts w:ascii="Times New Roman" w:hAnsi="Times New Roman" w:cs="Times New Roman"/>
          <w:sz w:val="24"/>
          <w:szCs w:val="24"/>
        </w:rPr>
        <w:t xml:space="preserve">Alpha biodiversity estimations (e.g., Chao1, observed species, PD whole tree indices) were calculated to compare microbiota diversity within subjects </w:t>
      </w:r>
      <w:r w:rsidR="007340EA" w:rsidRPr="00BC779C">
        <w:rPr>
          <w:rFonts w:ascii="Times New Roman" w:hAnsi="Times New Roman" w:cs="Times New Roman"/>
          <w:sz w:val="24"/>
          <w:szCs w:val="24"/>
        </w:rPr>
        <w:t xml:space="preserve">under specific SCF </w:t>
      </w:r>
      <w:r w:rsidR="00D6757B" w:rsidRPr="00BC779C">
        <w:rPr>
          <w:rFonts w:ascii="Times New Roman" w:hAnsi="Times New Roman" w:cs="Times New Roman"/>
          <w:sz w:val="24"/>
          <w:szCs w:val="24"/>
        </w:rPr>
        <w:t>intervention</w:t>
      </w:r>
      <w:r w:rsidR="007340EA" w:rsidRPr="00BC779C">
        <w:rPr>
          <w:rFonts w:ascii="Times New Roman" w:hAnsi="Times New Roman" w:cs="Times New Roman"/>
          <w:sz w:val="24"/>
          <w:szCs w:val="24"/>
        </w:rPr>
        <w:t xml:space="preserve">s. </w:t>
      </w:r>
      <w:r w:rsidR="005E66A8" w:rsidRPr="00BC779C">
        <w:rPr>
          <w:rFonts w:ascii="Times New Roman" w:hAnsi="Times New Roman" w:cs="Times New Roman"/>
          <w:sz w:val="24"/>
          <w:szCs w:val="24"/>
        </w:rPr>
        <w:t>Beta diversity comparisons between communities were made using “Fast UniFrac” analysis of phylogenetic distances</w:t>
      </w:r>
      <w:r w:rsidR="00135638" w:rsidRPr="00BC779C">
        <w:rPr>
          <w:rFonts w:ascii="Times New Roman" w:hAnsi="Times New Roman" w:cs="Times New Roman"/>
          <w:sz w:val="24"/>
          <w:szCs w:val="24"/>
        </w:rPr>
        <w:t xml:space="preserve"> </w:t>
      </w:r>
      <w:r w:rsidR="0000130F"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"10.1038/ismej.2009.97", "ISSN" : "1751-7370", "PMID" : "19710709", "abstract" : "Next-generation sequencing techniques, and PhyloChip, have made simultaneous phylogenetic analyses of hundreds of microbial communities possible. Insight into community structure has been limited by the inability to integrate and visualize such vast datasets. Fast UniFrac overcomes these issues, allowing integration of larger numbers of sequences and samples into a single analysis. Its new array-based implementation offers orders of magnitude improvements over the original version. New 3D visualization of principal coordinates analysis results, with the option to view multiple coordinate axes simultaneously, provides a powerful way to quickly identify patterns that relate vast numbers of microbial communities. We show the potential of Fast UniFrac using examples from three data types: Sanger-sequencing studies of diverse free-living and animal-associated bacterial assemblages and from the gut of obese humans as they diet, pyrosequencing data integrated from studies of the human hand and gut, and PhyloChip data from a study of citrus pathogens. We show that a Fast UniFrac analysis using a reference tree recaptures patterns that could not be detected without considering phylogenetic relationships and that Fast UniFrac, coupled with BLAST-based sequence assignment, can be used to quickly analyze pyrosequencing runs containing hundreds of thousands of sequences, showing patterns relating human and gut samples. Finally, we show that the application of Fast UniFrac to PhyloChip data could identify well-defined subcategories associated with infection. Together, these case studies point the way toward a broad range of applications and show some of the new features of Fast UniFrac.", "author" : [ { "dropping-particle" : "", "family" : "Hamady", "given" : "Micah", "non-dropping-particle" : "", "parse-names" : false, "suffix" : "" }, { "dropping-particle" : "", "family" : "Lozupone", "given" : "Catherine", "non-dropping-particle" : "", "parse-names" : false, "suffix" : "" }, { "dropping-particle" : "", "family" : "Knight", "given" : "Rob", "non-dropping-particle" : "", "parse-names" : false, "suffix" : "" } ], "container-title" : "The ISME journal", "id" : "ITEM-1", "issue" : "1", "issued" : { "date-parts" : [ [ "2010", "1" ] ] }, "page" : "17-27", "title" : "Fast UniFrac: facilitating high-throughput phylogenetic analyses of microbial communities including analysis of pyrosequencing and PhyloChip data", "type" : "article-journal", "volume" : "4" }, "uris" : [ "http://www.mendeley.com/documents/?uuid=beabfd3e-9bd7-4340-af7a-7c4f2baa9aaf" ] } ], "mendeley" : { "formattedCitation" : "(26)", "plainTextFormattedCitation" : "(26)", "previouslyFormattedCitation" : "(26)" }, "properties" : { "noteIndex" : 0 }, "schema" : "https://github.com/citation-style-language/schema/raw/master/csl-citation.json" }</w:instrText>
      </w:r>
      <w:r w:rsidR="0000130F"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(26)</w:t>
      </w:r>
      <w:r w:rsidR="0000130F" w:rsidRPr="00BC779C">
        <w:rPr>
          <w:rFonts w:ascii="Times New Roman" w:hAnsi="Times New Roman" w:cs="Times New Roman"/>
          <w:sz w:val="24"/>
          <w:szCs w:val="24"/>
        </w:rPr>
        <w:fldChar w:fldCharType="end"/>
      </w:r>
      <w:r w:rsidR="005E66A8" w:rsidRPr="00BC779C">
        <w:rPr>
          <w:rFonts w:ascii="Times New Roman" w:hAnsi="Times New Roman" w:cs="Times New Roman"/>
          <w:sz w:val="24"/>
          <w:szCs w:val="24"/>
        </w:rPr>
        <w:t xml:space="preserve"> as well as </w:t>
      </w:r>
      <w:r w:rsidR="005E66A8" w:rsidRPr="00BC779C">
        <w:rPr>
          <w:rFonts w:ascii="Times New Roman" w:hAnsi="Times New Roman" w:cs="Times New Roman"/>
          <w:sz w:val="24"/>
          <w:szCs w:val="24"/>
        </w:rPr>
        <w:lastRenderedPageBreak/>
        <w:t>non-phylogenetic distance analysis using Euclidean distances (Bray Curtis normalized Ma</w:t>
      </w:r>
      <w:r w:rsidR="007340EA" w:rsidRPr="00BC779C">
        <w:rPr>
          <w:rFonts w:ascii="Times New Roman" w:hAnsi="Times New Roman" w:cs="Times New Roman"/>
          <w:sz w:val="24"/>
          <w:szCs w:val="24"/>
        </w:rPr>
        <w:t xml:space="preserve">nhattan and Binary Euclidean). </w:t>
      </w:r>
      <w:r w:rsidR="005E66A8" w:rsidRPr="00BC779C">
        <w:rPr>
          <w:rFonts w:ascii="Times New Roman" w:hAnsi="Times New Roman" w:cs="Times New Roman"/>
          <w:sz w:val="24"/>
          <w:szCs w:val="24"/>
        </w:rPr>
        <w:t xml:space="preserve">All alpha and beta diversity measures were made using </w:t>
      </w:r>
      <w:r w:rsidR="002F4CA5" w:rsidRPr="00BC779C">
        <w:rPr>
          <w:rFonts w:ascii="Times New Roman" w:hAnsi="Times New Roman" w:cs="Times New Roman"/>
          <w:sz w:val="24"/>
          <w:szCs w:val="24"/>
        </w:rPr>
        <w:t xml:space="preserve">an </w:t>
      </w:r>
      <w:r w:rsidR="005E66A8" w:rsidRPr="00BC779C">
        <w:rPr>
          <w:rFonts w:ascii="Times New Roman" w:hAnsi="Times New Roman" w:cs="Times New Roman"/>
          <w:sz w:val="24"/>
          <w:szCs w:val="24"/>
        </w:rPr>
        <w:t xml:space="preserve">equivalent number of taxa (based </w:t>
      </w:r>
      <w:r w:rsidR="002F4CA5" w:rsidRPr="00BC779C">
        <w:rPr>
          <w:rFonts w:ascii="Times New Roman" w:hAnsi="Times New Roman" w:cs="Times New Roman"/>
          <w:sz w:val="24"/>
          <w:szCs w:val="24"/>
        </w:rPr>
        <w:t xml:space="preserve">on </w:t>
      </w:r>
      <w:r w:rsidR="005E66A8" w:rsidRPr="00BC779C">
        <w:rPr>
          <w:rFonts w:ascii="Times New Roman" w:hAnsi="Times New Roman" w:cs="Times New Roman"/>
          <w:sz w:val="24"/>
          <w:szCs w:val="24"/>
        </w:rPr>
        <w:t>lowest number of sequences obtained from a single sample) that were randomly chosen using multiple rarefaction results</w:t>
      </w:r>
      <w:r w:rsidR="002F4CA5" w:rsidRPr="00BC779C">
        <w:rPr>
          <w:rFonts w:ascii="Times New Roman" w:hAnsi="Times New Roman" w:cs="Times New Roman"/>
          <w:sz w:val="24"/>
          <w:szCs w:val="24"/>
        </w:rPr>
        <w:t xml:space="preserve"> (10 iterations).</w:t>
      </w:r>
    </w:p>
    <w:p w14:paraId="56E32CCE" w14:textId="34CA26E9" w:rsidR="009F6E9E" w:rsidRPr="00BC779C" w:rsidRDefault="009F6E9E" w:rsidP="00D12A80">
      <w:pPr>
        <w:spacing w:after="100" w:afterAutospacing="1" w:line="480" w:lineRule="auto"/>
        <w:rPr>
          <w:rFonts w:ascii="Times New Roman" w:hAnsi="Times New Roman" w:cs="Times New Roman"/>
          <w:b/>
          <w:sz w:val="24"/>
          <w:szCs w:val="24"/>
        </w:rPr>
      </w:pPr>
      <w:r w:rsidRPr="00BC779C">
        <w:rPr>
          <w:rFonts w:ascii="Times New Roman" w:hAnsi="Times New Roman" w:cs="Times New Roman"/>
          <w:b/>
          <w:sz w:val="24"/>
          <w:szCs w:val="24"/>
        </w:rPr>
        <w:t>Statistical Analyses</w:t>
      </w:r>
    </w:p>
    <w:p w14:paraId="3DE74B9C" w14:textId="5C47CC38" w:rsidR="006761F2" w:rsidRPr="00BC779C" w:rsidRDefault="004B2637" w:rsidP="006761F2">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lang w:val="en-IE"/>
        </w:rPr>
        <w:t xml:space="preserve">Statistical analyses </w:t>
      </w:r>
      <w:r w:rsidR="006A3262" w:rsidRPr="00BC779C">
        <w:rPr>
          <w:rFonts w:ascii="Times New Roman" w:hAnsi="Times New Roman" w:cs="Times New Roman"/>
          <w:sz w:val="24"/>
          <w:szCs w:val="24"/>
          <w:lang w:val="en-IE"/>
        </w:rPr>
        <w:t xml:space="preserve">of calcium absorption data </w:t>
      </w:r>
      <w:r w:rsidRPr="00BC779C">
        <w:rPr>
          <w:rFonts w:ascii="Times New Roman" w:hAnsi="Times New Roman" w:cs="Times New Roman"/>
          <w:sz w:val="24"/>
          <w:szCs w:val="24"/>
          <w:lang w:val="en-IE"/>
        </w:rPr>
        <w:t xml:space="preserve">were performed using SAS Version 9.2 (SAS Institute, Cary, NC, USA). </w:t>
      </w:r>
      <w:r w:rsidR="006761F2" w:rsidRPr="00BC779C">
        <w:rPr>
          <w:rFonts w:ascii="Times New Roman" w:hAnsi="Times New Roman" w:cs="Times New Roman"/>
          <w:sz w:val="24"/>
          <w:szCs w:val="24"/>
        </w:rPr>
        <w:t xml:space="preserve">Mean differences or associations were considered significant when </w:t>
      </w:r>
      <w:r w:rsidR="006761F2" w:rsidRPr="00BC779C">
        <w:rPr>
          <w:rFonts w:ascii="Times New Roman" w:hAnsi="Times New Roman" w:cs="Times New Roman"/>
          <w:i/>
          <w:sz w:val="24"/>
          <w:szCs w:val="24"/>
        </w:rPr>
        <w:t>P</w:t>
      </w:r>
      <w:r w:rsidR="006761F2" w:rsidRPr="00BC779C">
        <w:rPr>
          <w:rFonts w:ascii="Times New Roman" w:hAnsi="Times New Roman" w:cs="Times New Roman"/>
          <w:sz w:val="24"/>
          <w:szCs w:val="24"/>
        </w:rPr>
        <w:t xml:space="preserve"> &lt; 0.05.</w:t>
      </w:r>
    </w:p>
    <w:p w14:paraId="7DF810D6" w14:textId="58A10939" w:rsidR="007A5E73" w:rsidRPr="00BC779C" w:rsidRDefault="004B2637" w:rsidP="00C56A44">
      <w:pPr>
        <w:spacing w:after="0" w:line="480" w:lineRule="auto"/>
        <w:ind w:firstLine="720"/>
        <w:rPr>
          <w:rFonts w:ascii="Times New Roman" w:hAnsi="Times New Roman" w:cs="Times New Roman"/>
          <w:sz w:val="24"/>
          <w:szCs w:val="24"/>
        </w:rPr>
      </w:pPr>
      <w:r w:rsidRPr="00BC779C">
        <w:rPr>
          <w:rFonts w:ascii="Times New Roman" w:hAnsi="Times New Roman" w:cs="Times New Roman"/>
          <w:sz w:val="24"/>
          <w:szCs w:val="24"/>
          <w:lang w:val="en-IE"/>
        </w:rPr>
        <w:t>To determine the effects of SCF on calcium absorption over time, a mixed model Analysis of V</w:t>
      </w:r>
      <w:r w:rsidR="007340EA" w:rsidRPr="00BC779C">
        <w:rPr>
          <w:rFonts w:ascii="Times New Roman" w:hAnsi="Times New Roman" w:cs="Times New Roman"/>
          <w:sz w:val="24"/>
          <w:szCs w:val="24"/>
          <w:lang w:val="en-IE"/>
        </w:rPr>
        <w:t xml:space="preserve">ariance (proc mixed) was used. </w:t>
      </w:r>
      <w:r w:rsidR="009F6E9E" w:rsidRPr="00BC779C">
        <w:rPr>
          <w:rFonts w:ascii="Times New Roman" w:hAnsi="Times New Roman" w:cs="Times New Roman"/>
          <w:sz w:val="24"/>
          <w:szCs w:val="24"/>
          <w:lang w:val="en-IE"/>
        </w:rPr>
        <w:t>The</w:t>
      </w:r>
      <w:r w:rsidRPr="00BC779C">
        <w:rPr>
          <w:rFonts w:ascii="Times New Roman" w:hAnsi="Times New Roman" w:cs="Times New Roman"/>
          <w:sz w:val="24"/>
          <w:szCs w:val="24"/>
          <w:lang w:val="en-IE"/>
        </w:rPr>
        <w:t xml:space="preserve"> effect</w:t>
      </w:r>
      <w:r w:rsidR="009F6E9E" w:rsidRPr="00BC779C">
        <w:rPr>
          <w:rFonts w:ascii="Times New Roman" w:hAnsi="Times New Roman" w:cs="Times New Roman"/>
          <w:sz w:val="24"/>
          <w:szCs w:val="24"/>
          <w:lang w:val="en-IE"/>
        </w:rPr>
        <w:t>s</w:t>
      </w:r>
      <w:r w:rsidRPr="00BC779C">
        <w:rPr>
          <w:rFonts w:ascii="Times New Roman" w:hAnsi="Times New Roman" w:cs="Times New Roman"/>
          <w:sz w:val="24"/>
          <w:szCs w:val="24"/>
          <w:lang w:val="en-IE"/>
        </w:rPr>
        <w:t xml:space="preserve"> of session and sequence of</w:t>
      </w:r>
      <w:r w:rsidR="009F6E9E" w:rsidRPr="00BC779C">
        <w:rPr>
          <w:rFonts w:ascii="Times New Roman" w:hAnsi="Times New Roman" w:cs="Times New Roman"/>
          <w:sz w:val="24"/>
          <w:szCs w:val="24"/>
          <w:lang w:val="en-IE"/>
        </w:rPr>
        <w:t xml:space="preserve"> interventions were</w:t>
      </w:r>
      <w:r w:rsidRPr="00BC779C">
        <w:rPr>
          <w:rFonts w:ascii="Times New Roman" w:hAnsi="Times New Roman" w:cs="Times New Roman"/>
          <w:sz w:val="24"/>
          <w:szCs w:val="24"/>
          <w:lang w:val="en-IE"/>
        </w:rPr>
        <w:t xml:space="preserve"> not significant </w:t>
      </w:r>
      <w:r w:rsidR="009F6E9E" w:rsidRPr="00BC779C">
        <w:rPr>
          <w:rFonts w:ascii="Times New Roman" w:hAnsi="Times New Roman" w:cs="Times New Roman"/>
          <w:sz w:val="24"/>
          <w:szCs w:val="24"/>
          <w:lang w:val="en-IE"/>
        </w:rPr>
        <w:t xml:space="preserve">and </w:t>
      </w:r>
      <w:r w:rsidRPr="00BC779C">
        <w:rPr>
          <w:rFonts w:ascii="Times New Roman" w:hAnsi="Times New Roman" w:cs="Times New Roman"/>
          <w:sz w:val="24"/>
          <w:szCs w:val="24"/>
          <w:lang w:val="en-IE"/>
        </w:rPr>
        <w:t>were eliminated fro</w:t>
      </w:r>
      <w:r w:rsidR="007340EA" w:rsidRPr="00BC779C">
        <w:rPr>
          <w:rFonts w:ascii="Times New Roman" w:hAnsi="Times New Roman" w:cs="Times New Roman"/>
          <w:sz w:val="24"/>
          <w:szCs w:val="24"/>
          <w:lang w:val="en-IE"/>
        </w:rPr>
        <w:t xml:space="preserve">m the model. </w:t>
      </w:r>
      <w:r w:rsidRPr="00BC779C">
        <w:rPr>
          <w:rFonts w:ascii="Times New Roman" w:hAnsi="Times New Roman" w:cs="Times New Roman"/>
          <w:sz w:val="24"/>
          <w:szCs w:val="24"/>
          <w:lang w:val="en-IE"/>
        </w:rPr>
        <w:t>Differences of least square means were used to determine d</w:t>
      </w:r>
      <w:r w:rsidR="007340EA" w:rsidRPr="00BC779C">
        <w:rPr>
          <w:rFonts w:ascii="Times New Roman" w:hAnsi="Times New Roman" w:cs="Times New Roman"/>
          <w:sz w:val="24"/>
          <w:szCs w:val="24"/>
          <w:lang w:val="en-IE"/>
        </w:rPr>
        <w:t xml:space="preserve">ifferences among doses of SCF. </w:t>
      </w:r>
      <w:r w:rsidR="00C21524" w:rsidRPr="00BC779C">
        <w:rPr>
          <w:rFonts w:ascii="Times New Roman" w:hAnsi="Times New Roman" w:cs="Times New Roman"/>
          <w:sz w:val="24"/>
          <w:szCs w:val="24"/>
          <w:lang w:val="en-IE"/>
        </w:rPr>
        <w:t>The Bonferroni correction was applied to adjust alpha levels</w:t>
      </w:r>
      <w:r w:rsidRPr="00BC779C">
        <w:rPr>
          <w:rFonts w:ascii="Times New Roman" w:hAnsi="Times New Roman" w:cs="Times New Roman"/>
          <w:sz w:val="24"/>
          <w:szCs w:val="24"/>
          <w:lang w:val="en-IE"/>
        </w:rPr>
        <w:t xml:space="preserve"> for multiple comparisons</w:t>
      </w:r>
      <w:r w:rsidR="00500F5F" w:rsidRPr="00BC779C">
        <w:rPr>
          <w:rFonts w:ascii="Times New Roman" w:hAnsi="Times New Roman" w:cs="Times New Roman"/>
          <w:sz w:val="24"/>
          <w:szCs w:val="24"/>
          <w:lang w:val="en-IE"/>
        </w:rPr>
        <w:t xml:space="preserve"> and dat</w:t>
      </w:r>
      <w:r w:rsidR="000C6B51" w:rsidRPr="00BC779C">
        <w:rPr>
          <w:rFonts w:ascii="Times New Roman" w:hAnsi="Times New Roman" w:cs="Times New Roman"/>
          <w:sz w:val="24"/>
          <w:szCs w:val="24"/>
          <w:lang w:val="en-IE"/>
        </w:rPr>
        <w:t>a in text are presented as mean</w:t>
      </w:r>
      <w:r w:rsidR="00500F5F" w:rsidRPr="00BC779C">
        <w:rPr>
          <w:rFonts w:ascii="Times New Roman" w:hAnsi="Times New Roman" w:cs="Times New Roman"/>
          <w:sz w:val="24"/>
          <w:szCs w:val="24"/>
          <w:lang w:val="en-IE"/>
        </w:rPr>
        <w:t xml:space="preserve"> </w:t>
      </w:r>
      <w:r w:rsidR="00500F5F" w:rsidRPr="00BC779C">
        <w:rPr>
          <w:rFonts w:ascii="Times New Roman" w:hAnsi="Times New Roman" w:cs="Times New Roman"/>
          <w:sz w:val="24"/>
          <w:szCs w:val="24"/>
        </w:rPr>
        <w:t>± SEM</w:t>
      </w:r>
      <w:r w:rsidR="000C6B51" w:rsidRPr="00BC779C">
        <w:rPr>
          <w:rFonts w:ascii="Times New Roman" w:hAnsi="Times New Roman" w:cs="Times New Roman"/>
          <w:sz w:val="24"/>
          <w:szCs w:val="24"/>
        </w:rPr>
        <w:t>s</w:t>
      </w:r>
      <w:r w:rsidR="00500F5F" w:rsidRPr="00BC779C">
        <w:rPr>
          <w:rFonts w:ascii="Times New Roman" w:hAnsi="Times New Roman" w:cs="Times New Roman"/>
          <w:sz w:val="24"/>
          <w:szCs w:val="24"/>
        </w:rPr>
        <w:t xml:space="preserve"> and ranges</w:t>
      </w:r>
      <w:r w:rsidRPr="00BC779C">
        <w:rPr>
          <w:rFonts w:ascii="Times New Roman" w:hAnsi="Times New Roman" w:cs="Times New Roman"/>
          <w:sz w:val="24"/>
          <w:szCs w:val="24"/>
          <w:lang w:val="en-IE"/>
        </w:rPr>
        <w:t>. Fractional absorption was calculated at the end of each twelve ho</w:t>
      </w:r>
      <w:r w:rsidR="007340EA" w:rsidRPr="00BC779C">
        <w:rPr>
          <w:rFonts w:ascii="Times New Roman" w:hAnsi="Times New Roman" w:cs="Times New Roman"/>
          <w:sz w:val="24"/>
          <w:szCs w:val="24"/>
          <w:lang w:val="en-IE"/>
        </w:rPr>
        <w:t xml:space="preserve">ur time point. </w:t>
      </w:r>
      <w:r w:rsidRPr="00BC779C">
        <w:rPr>
          <w:rFonts w:ascii="Times New Roman" w:hAnsi="Times New Roman" w:cs="Times New Roman"/>
          <w:sz w:val="24"/>
          <w:szCs w:val="24"/>
          <w:lang w:val="en-IE"/>
        </w:rPr>
        <w:t xml:space="preserve">Isotope enrichment was summed to calculate absorption over the entire 48 h period. </w:t>
      </w:r>
      <w:r w:rsidR="00D60915" w:rsidRPr="00BC779C">
        <w:rPr>
          <w:rFonts w:ascii="Times New Roman" w:hAnsi="Times New Roman" w:cs="Times New Roman"/>
          <w:sz w:val="24"/>
          <w:szCs w:val="24"/>
          <w:lang w:val="en-IE"/>
        </w:rPr>
        <w:t>A Pearson correlation was used to evaluate the linear association between the change in BAP and change in fractional calcium absorption</w:t>
      </w:r>
      <w:r w:rsidR="00500F5F" w:rsidRPr="00BC779C">
        <w:rPr>
          <w:rFonts w:ascii="Times New Roman" w:hAnsi="Times New Roman" w:cs="Times New Roman"/>
          <w:sz w:val="24"/>
          <w:szCs w:val="24"/>
          <w:lang w:val="en-IE"/>
        </w:rPr>
        <w:t>; data in text are reported as correlation coefficient (r)</w:t>
      </w:r>
      <w:r w:rsidR="00D60915" w:rsidRPr="00BC779C">
        <w:rPr>
          <w:rFonts w:ascii="Times New Roman" w:hAnsi="Times New Roman" w:cs="Times New Roman"/>
          <w:sz w:val="24"/>
          <w:szCs w:val="24"/>
          <w:lang w:val="en-IE"/>
        </w:rPr>
        <w:t>.</w:t>
      </w:r>
      <w:r w:rsidR="00AE55D7" w:rsidRPr="00BC779C">
        <w:rPr>
          <w:rFonts w:ascii="Times New Roman" w:hAnsi="Times New Roman" w:cs="Times New Roman"/>
          <w:sz w:val="24"/>
          <w:szCs w:val="24"/>
          <w:lang w:val="en-IE"/>
        </w:rPr>
        <w:t xml:space="preserve"> Habitual dietary intake and SCF compliance were analysed by ANOVA and data in text are reported as </w:t>
      </w:r>
      <w:r w:rsidR="00AE55D7" w:rsidRPr="00BC779C">
        <w:rPr>
          <w:rFonts w:ascii="Times New Roman" w:hAnsi="Times New Roman" w:cs="Times New Roman"/>
          <w:sz w:val="24"/>
          <w:szCs w:val="24"/>
        </w:rPr>
        <w:t>mean ± SDs.</w:t>
      </w:r>
    </w:p>
    <w:p w14:paraId="51F8D744" w14:textId="47EA5EAC" w:rsidR="00C56A44" w:rsidRPr="00BC779C" w:rsidRDefault="00EE0E8E" w:rsidP="00C56A44">
      <w:pPr>
        <w:spacing w:after="0" w:line="480" w:lineRule="auto"/>
        <w:ind w:firstLine="720"/>
        <w:rPr>
          <w:rFonts w:ascii="Times New Roman" w:hAnsi="Times New Roman" w:cs="Times New Roman"/>
          <w:color w:val="000000"/>
          <w:sz w:val="24"/>
          <w:szCs w:val="24"/>
        </w:rPr>
      </w:pPr>
      <w:r w:rsidRPr="00BC779C">
        <w:rPr>
          <w:rFonts w:ascii="Times New Roman" w:eastAsia="MS Gothic" w:hAnsi="Times New Roman" w:cs="Times New Roman"/>
          <w:color w:val="000000"/>
          <w:sz w:val="24"/>
          <w:szCs w:val="24"/>
        </w:rPr>
        <w:t>The</w:t>
      </w:r>
      <w:r w:rsidR="007A5E73" w:rsidRPr="00BC779C">
        <w:rPr>
          <w:rFonts w:ascii="Times New Roman" w:hAnsi="Times New Roman" w:cs="Times New Roman"/>
          <w:sz w:val="24"/>
          <w:szCs w:val="24"/>
        </w:rPr>
        <w:t xml:space="preserve"> Wilcoxon </w:t>
      </w:r>
      <w:r w:rsidR="00C10AF5" w:rsidRPr="00BC779C">
        <w:rPr>
          <w:rFonts w:ascii="Times New Roman" w:hAnsi="Times New Roman" w:cs="Times New Roman"/>
          <w:sz w:val="24"/>
          <w:szCs w:val="24"/>
        </w:rPr>
        <w:t>rank</w:t>
      </w:r>
      <w:r w:rsidRPr="00BC779C">
        <w:rPr>
          <w:rFonts w:ascii="Times New Roman" w:hAnsi="Times New Roman" w:cs="Times New Roman"/>
          <w:sz w:val="24"/>
          <w:szCs w:val="24"/>
        </w:rPr>
        <w:t xml:space="preserve"> test was then used to </w:t>
      </w:r>
      <w:r w:rsidR="006A3262" w:rsidRPr="00BC779C">
        <w:rPr>
          <w:rFonts w:ascii="Times New Roman" w:hAnsi="Times New Roman" w:cs="Times New Roman"/>
          <w:sz w:val="24"/>
          <w:szCs w:val="24"/>
        </w:rPr>
        <w:t>perform</w:t>
      </w:r>
      <w:r w:rsidRPr="00BC779C">
        <w:rPr>
          <w:rFonts w:ascii="Times New Roman" w:hAnsi="Times New Roman" w:cs="Times New Roman"/>
          <w:sz w:val="24"/>
          <w:szCs w:val="24"/>
        </w:rPr>
        <w:t xml:space="preserve"> pairwise comparisons of samples from the beginning and end of each </w:t>
      </w:r>
      <w:r w:rsidR="00D6757B" w:rsidRPr="00BC779C">
        <w:rPr>
          <w:rFonts w:ascii="Times New Roman" w:hAnsi="Times New Roman" w:cs="Times New Roman"/>
          <w:sz w:val="24"/>
          <w:szCs w:val="24"/>
        </w:rPr>
        <w:t>intervention</w:t>
      </w:r>
      <w:r w:rsidRPr="00BC779C">
        <w:rPr>
          <w:rFonts w:ascii="Times New Roman" w:hAnsi="Times New Roman" w:cs="Times New Roman"/>
          <w:sz w:val="24"/>
          <w:szCs w:val="24"/>
        </w:rPr>
        <w:t xml:space="preserve"> phase as well as between end samples</w:t>
      </w:r>
      <w:r w:rsidR="006A3262" w:rsidRPr="00BC779C">
        <w:rPr>
          <w:rFonts w:ascii="Times New Roman" w:hAnsi="Times New Roman" w:cs="Times New Roman"/>
          <w:sz w:val="24"/>
          <w:szCs w:val="24"/>
        </w:rPr>
        <w:t xml:space="preserve"> from each </w:t>
      </w:r>
      <w:r w:rsidR="00D6757B" w:rsidRPr="00BC779C">
        <w:rPr>
          <w:rFonts w:ascii="Times New Roman" w:hAnsi="Times New Roman" w:cs="Times New Roman"/>
          <w:sz w:val="24"/>
          <w:szCs w:val="24"/>
        </w:rPr>
        <w:t>intervention</w:t>
      </w:r>
      <w:r w:rsidR="006A3262" w:rsidRPr="00BC779C">
        <w:rPr>
          <w:rFonts w:ascii="Times New Roman" w:hAnsi="Times New Roman" w:cs="Times New Roman"/>
          <w:sz w:val="24"/>
          <w:szCs w:val="24"/>
        </w:rPr>
        <w:t xml:space="preserve"> phase</w:t>
      </w:r>
      <w:r w:rsidR="00AE55D7" w:rsidRPr="00BC779C">
        <w:rPr>
          <w:rFonts w:ascii="Times New Roman" w:hAnsi="Times New Roman" w:cs="Times New Roman"/>
          <w:sz w:val="24"/>
          <w:szCs w:val="24"/>
        </w:rPr>
        <w:t xml:space="preserve"> (data in text presented as mean ± SDs)</w:t>
      </w:r>
      <w:r w:rsidR="009F6E9E" w:rsidRPr="00BC779C">
        <w:rPr>
          <w:rFonts w:ascii="Times New Roman" w:hAnsi="Times New Roman" w:cs="Times New Roman"/>
          <w:sz w:val="24"/>
          <w:szCs w:val="24"/>
        </w:rPr>
        <w:t>. Student’s t</w:t>
      </w:r>
      <w:r w:rsidRPr="00BC779C">
        <w:rPr>
          <w:rFonts w:ascii="Times New Roman" w:hAnsi="Times New Roman" w:cs="Times New Roman"/>
          <w:sz w:val="24"/>
          <w:szCs w:val="24"/>
        </w:rPr>
        <w:t xml:space="preserve">-test was used to determine </w:t>
      </w:r>
      <w:r w:rsidRPr="00BC779C">
        <w:rPr>
          <w:rFonts w:ascii="Times New Roman" w:hAnsi="Times New Roman" w:cs="Times New Roman"/>
          <w:sz w:val="24"/>
          <w:szCs w:val="24"/>
        </w:rPr>
        <w:lastRenderedPageBreak/>
        <w:t>significant differences</w:t>
      </w:r>
      <w:r w:rsidRPr="00BC779C">
        <w:rPr>
          <w:rFonts w:ascii="Times New Roman" w:hAnsi="Times New Roman" w:cs="Times New Roman"/>
          <w:color w:val="000000"/>
          <w:sz w:val="24"/>
          <w:szCs w:val="24"/>
        </w:rPr>
        <w:t xml:space="preserve"> bet</w:t>
      </w:r>
      <w:r w:rsidR="007340EA" w:rsidRPr="00BC779C">
        <w:rPr>
          <w:rFonts w:ascii="Times New Roman" w:hAnsi="Times New Roman" w:cs="Times New Roman"/>
          <w:color w:val="000000"/>
          <w:sz w:val="24"/>
          <w:szCs w:val="24"/>
        </w:rPr>
        <w:t>ween alpha diversity measures</w:t>
      </w:r>
      <w:r w:rsidR="00AE55D7" w:rsidRPr="00BC779C">
        <w:rPr>
          <w:rFonts w:ascii="Times New Roman" w:hAnsi="Times New Roman" w:cs="Times New Roman"/>
          <w:color w:val="000000"/>
          <w:sz w:val="24"/>
          <w:szCs w:val="24"/>
        </w:rPr>
        <w:t xml:space="preserve">; data in text are presented as </w:t>
      </w:r>
      <w:r w:rsidR="00AE55D7" w:rsidRPr="00BC779C">
        <w:rPr>
          <w:rFonts w:ascii="Times New Roman" w:hAnsi="Times New Roman" w:cs="Times New Roman"/>
          <w:sz w:val="24"/>
          <w:szCs w:val="24"/>
        </w:rPr>
        <w:t>mean ± SDs</w:t>
      </w:r>
      <w:r w:rsidR="007340EA" w:rsidRPr="00BC779C">
        <w:rPr>
          <w:rFonts w:ascii="Times New Roman" w:hAnsi="Times New Roman" w:cs="Times New Roman"/>
          <w:color w:val="000000"/>
          <w:sz w:val="24"/>
          <w:szCs w:val="24"/>
        </w:rPr>
        <w:t xml:space="preserve">. </w:t>
      </w:r>
      <w:r w:rsidR="00C56A44" w:rsidRPr="00BC779C">
        <w:rPr>
          <w:rFonts w:ascii="Times New Roman" w:hAnsi="Times New Roman" w:cs="Times New Roman"/>
          <w:sz w:val="24"/>
          <w:szCs w:val="24"/>
        </w:rPr>
        <w:t>B</w:t>
      </w:r>
      <w:r w:rsidR="00C56A44" w:rsidRPr="00BC779C">
        <w:rPr>
          <w:rFonts w:ascii="Times New Roman" w:hAnsi="Times New Roman" w:cs="Times New Roman"/>
          <w:color w:val="000000"/>
          <w:sz w:val="24"/>
          <w:szCs w:val="24"/>
        </w:rPr>
        <w:t xml:space="preserve">onferroni correction was applied to all statistical tests. </w:t>
      </w:r>
      <w:r w:rsidR="00C56A44" w:rsidRPr="00BC779C">
        <w:rPr>
          <w:rFonts w:ascii="Times New Roman" w:hAnsi="Times New Roman" w:cs="Times New Roman"/>
          <w:sz w:val="24"/>
          <w:szCs w:val="24"/>
        </w:rPr>
        <w:t>Non-parametric permutation multivariate ANOVA (perMANOVA</w:t>
      </w:r>
      <w:r w:rsidR="00561A29" w:rsidRPr="00BC779C">
        <w:rPr>
          <w:rFonts w:ascii="Times New Roman" w:hAnsi="Times New Roman" w:cs="Times New Roman"/>
          <w:sz w:val="24"/>
          <w:szCs w:val="24"/>
        </w:rPr>
        <w:t xml:space="preserve"> via </w:t>
      </w:r>
      <w:r w:rsidR="00561A29" w:rsidRPr="00BC779C">
        <w:rPr>
          <w:rFonts w:ascii="Times New Roman" w:hAnsi="Times New Roman" w:cs="Times New Roman"/>
          <w:color w:val="000000"/>
          <w:sz w:val="24"/>
          <w:szCs w:val="24"/>
        </w:rPr>
        <w:t xml:space="preserve">PAST software, a statistical tool available in the </w:t>
      </w:r>
      <w:r w:rsidR="00561A29" w:rsidRPr="00BC779C">
        <w:rPr>
          <w:rFonts w:ascii="Times New Roman" w:hAnsi="Times New Roman" w:cs="Times New Roman"/>
          <w:sz w:val="24"/>
          <w:szCs w:val="24"/>
        </w:rPr>
        <w:t>Paleontological Statistics package, version 2.16</w:t>
      </w:r>
      <w:r w:rsidR="00561A29" w:rsidRPr="00BC779C">
        <w:rPr>
          <w:rFonts w:ascii="Times New Roman" w:hAnsi="Times New Roman" w:cs="Times New Roman"/>
          <w:color w:val="000000"/>
          <w:sz w:val="24"/>
          <w:szCs w:val="24"/>
        </w:rPr>
        <w:t xml:space="preserve"> </w:t>
      </w:r>
      <w:r w:rsidR="00561A29" w:rsidRPr="00BC779C">
        <w:rPr>
          <w:rFonts w:ascii="Times New Roman" w:hAnsi="Times New Roman" w:cs="Times New Roman"/>
          <w:color w:val="000000"/>
          <w:sz w:val="24"/>
          <w:szCs w:val="24"/>
        </w:rPr>
        <w:fldChar w:fldCharType="begin" w:fldLock="1"/>
      </w:r>
      <w:r w:rsidR="003C0594" w:rsidRPr="00BC779C">
        <w:rPr>
          <w:rFonts w:ascii="Times New Roman" w:hAnsi="Times New Roman" w:cs="Times New Roman"/>
          <w:color w:val="000000"/>
          <w:sz w:val="24"/>
          <w:szCs w:val="24"/>
        </w:rPr>
        <w:instrText>ADDIN CSL_CITATION { "citationItems" : [ { "id" : "ITEM-1", "itemData" : { "URL" : "http://folk.uio.no/ohammer/past/index.html", "accessed" : { "date-parts" : [ [ "2015", "12", "28" ] ] }, "id" : "ITEM-1", "issued" : { "date-parts" : [ [ "2015" ] ] }, "title" : "PAST: Paleontological Statistics Package", "type" : "webpage" }, "uris" : [ "http://www.mendeley.com/documents/?uuid=28121d83-655f-49e7-bcff-d1b41b984a3b" ] } ], "mendeley" : { "formattedCitation" : "(27)", "plainTextFormattedCitation" : "(27)", "previouslyFormattedCitation" : "(27)" }, "properties" : { "noteIndex" : 0 }, "schema" : "https://github.com/citation-style-language/schema/raw/master/csl-citation.json" }</w:instrText>
      </w:r>
      <w:r w:rsidR="00561A29" w:rsidRPr="00BC779C">
        <w:rPr>
          <w:rFonts w:ascii="Times New Roman" w:hAnsi="Times New Roman" w:cs="Times New Roman"/>
          <w:color w:val="000000"/>
          <w:sz w:val="24"/>
          <w:szCs w:val="24"/>
        </w:rPr>
        <w:fldChar w:fldCharType="separate"/>
      </w:r>
      <w:r w:rsidR="00086B0D" w:rsidRPr="00BC779C">
        <w:rPr>
          <w:rFonts w:ascii="Times New Roman" w:hAnsi="Times New Roman" w:cs="Times New Roman"/>
          <w:noProof/>
          <w:color w:val="000000"/>
          <w:sz w:val="24"/>
          <w:szCs w:val="24"/>
        </w:rPr>
        <w:t>(27)</w:t>
      </w:r>
      <w:r w:rsidR="00561A29" w:rsidRPr="00BC779C">
        <w:rPr>
          <w:rFonts w:ascii="Times New Roman" w:hAnsi="Times New Roman" w:cs="Times New Roman"/>
          <w:color w:val="000000"/>
          <w:sz w:val="24"/>
          <w:szCs w:val="24"/>
        </w:rPr>
        <w:fldChar w:fldCharType="end"/>
      </w:r>
      <w:r w:rsidR="00561A29" w:rsidRPr="00BC779C">
        <w:rPr>
          <w:rFonts w:ascii="Times New Roman" w:hAnsi="Times New Roman" w:cs="Times New Roman"/>
          <w:color w:val="000000"/>
          <w:sz w:val="24"/>
          <w:szCs w:val="24"/>
        </w:rPr>
        <w:t xml:space="preserve">), </w:t>
      </w:r>
      <w:r w:rsidR="00C56A44" w:rsidRPr="00BC779C">
        <w:rPr>
          <w:rFonts w:ascii="Times New Roman" w:hAnsi="Times New Roman" w:cs="Times New Roman"/>
          <w:sz w:val="24"/>
          <w:szCs w:val="24"/>
        </w:rPr>
        <w:t>after Bonferroni correction</w:t>
      </w:r>
      <w:r w:rsidR="00561A29" w:rsidRPr="00BC779C">
        <w:rPr>
          <w:rFonts w:ascii="Times New Roman" w:hAnsi="Times New Roman" w:cs="Times New Roman"/>
          <w:sz w:val="24"/>
          <w:szCs w:val="24"/>
        </w:rPr>
        <w:t>,</w:t>
      </w:r>
      <w:r w:rsidR="00C56A44" w:rsidRPr="00BC779C">
        <w:rPr>
          <w:rFonts w:ascii="Times New Roman" w:hAnsi="Times New Roman" w:cs="Times New Roman"/>
          <w:sz w:val="24"/>
          <w:szCs w:val="24"/>
        </w:rPr>
        <w:t xml:space="preserve"> was used to assess beta diversity (Bray Curtis, binary Euclidean distances) differences. Resultant values were then visualized as clusters in a Principal Coordinate Analysis (PCoA) scatterplot to evaluate how diversity differed at the beginning and end of and with or without SCF intervention</w:t>
      </w:r>
      <w:r w:rsidR="00561A29" w:rsidRPr="00BC779C">
        <w:rPr>
          <w:rFonts w:ascii="Times New Roman" w:hAnsi="Times New Roman" w:cs="Times New Roman"/>
          <w:sz w:val="24"/>
          <w:szCs w:val="24"/>
        </w:rPr>
        <w:t>s</w:t>
      </w:r>
      <w:r w:rsidR="00C56A44" w:rsidRPr="00BC779C">
        <w:rPr>
          <w:rFonts w:ascii="Times New Roman" w:hAnsi="Times New Roman" w:cs="Times New Roman"/>
          <w:sz w:val="24"/>
          <w:szCs w:val="24"/>
        </w:rPr>
        <w:t xml:space="preserve">. </w:t>
      </w:r>
      <w:r w:rsidR="00C56A44" w:rsidRPr="00BC779C">
        <w:rPr>
          <w:rFonts w:ascii="Times New Roman" w:hAnsi="Times New Roman" w:cs="Times New Roman"/>
          <w:color w:val="000000"/>
          <w:sz w:val="24"/>
          <w:szCs w:val="24"/>
        </w:rPr>
        <w:t>Data are presented graphically.</w:t>
      </w:r>
    </w:p>
    <w:p w14:paraId="4416593B" w14:textId="52673919" w:rsidR="0008554D" w:rsidRPr="00BC779C" w:rsidRDefault="00500602"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 xml:space="preserve">Spearman’s rank correlations were used to determine associations between the difference in </w:t>
      </w:r>
      <w:r w:rsidR="00871CE6" w:rsidRPr="00BC779C">
        <w:rPr>
          <w:rFonts w:ascii="Times New Roman" w:hAnsi="Times New Roman" w:cs="Times New Roman"/>
          <w:sz w:val="24"/>
          <w:szCs w:val="24"/>
        </w:rPr>
        <w:t xml:space="preserve">total 48 h </w:t>
      </w:r>
      <w:r w:rsidRPr="00BC779C">
        <w:rPr>
          <w:rFonts w:ascii="Times New Roman" w:hAnsi="Times New Roman" w:cs="Times New Roman"/>
          <w:sz w:val="24"/>
          <w:szCs w:val="24"/>
        </w:rPr>
        <w:t>fractional Ca a</w:t>
      </w:r>
      <w:r w:rsidR="00871CE6" w:rsidRPr="00BC779C">
        <w:rPr>
          <w:rFonts w:ascii="Times New Roman" w:hAnsi="Times New Roman" w:cs="Times New Roman"/>
          <w:sz w:val="24"/>
          <w:szCs w:val="24"/>
        </w:rPr>
        <w:t xml:space="preserve">bsorption with SCF relative to control </w:t>
      </w:r>
      <w:r w:rsidRPr="00BC779C">
        <w:rPr>
          <w:rFonts w:ascii="Times New Roman" w:hAnsi="Times New Roman" w:cs="Times New Roman"/>
          <w:sz w:val="24"/>
          <w:szCs w:val="24"/>
        </w:rPr>
        <w:t xml:space="preserve">and the difference in the presence of bacteria genera after each </w:t>
      </w:r>
      <w:r w:rsidR="00D6757B" w:rsidRPr="00BC779C">
        <w:rPr>
          <w:rFonts w:ascii="Times New Roman" w:hAnsi="Times New Roman" w:cs="Times New Roman"/>
          <w:sz w:val="24"/>
          <w:szCs w:val="24"/>
        </w:rPr>
        <w:t>intervention</w:t>
      </w:r>
      <w:r w:rsidR="003A7E98" w:rsidRPr="00BC779C">
        <w:rPr>
          <w:rFonts w:ascii="Times New Roman" w:hAnsi="Times New Roman" w:cs="Times New Roman"/>
          <w:sz w:val="24"/>
          <w:szCs w:val="24"/>
        </w:rPr>
        <w:t xml:space="preserve"> (end minus beginning proportions)</w:t>
      </w:r>
      <w:r w:rsidR="00CA0C5F" w:rsidRPr="00BC779C">
        <w:rPr>
          <w:rFonts w:ascii="Times New Roman" w:hAnsi="Times New Roman" w:cs="Times New Roman"/>
          <w:sz w:val="24"/>
          <w:szCs w:val="24"/>
        </w:rPr>
        <w:t xml:space="preserve">; correlation coefficients </w:t>
      </w:r>
      <w:r w:rsidR="00500F5F" w:rsidRPr="00BC779C">
        <w:rPr>
          <w:rFonts w:ascii="Times New Roman" w:hAnsi="Times New Roman" w:cs="Times New Roman"/>
          <w:sz w:val="24"/>
          <w:szCs w:val="24"/>
        </w:rPr>
        <w:t xml:space="preserve">in text </w:t>
      </w:r>
      <w:r w:rsidR="00CA0C5F" w:rsidRPr="00BC779C">
        <w:rPr>
          <w:rFonts w:ascii="Times New Roman" w:hAnsi="Times New Roman" w:cs="Times New Roman"/>
          <w:sz w:val="24"/>
          <w:szCs w:val="24"/>
        </w:rPr>
        <w:t>were reported as rho</w:t>
      </w:r>
      <w:r w:rsidRPr="00BC779C">
        <w:rPr>
          <w:rFonts w:ascii="Times New Roman" w:hAnsi="Times New Roman" w:cs="Times New Roman"/>
          <w:sz w:val="24"/>
          <w:szCs w:val="24"/>
        </w:rPr>
        <w:t xml:space="preserve">. Included in these correlations were only bacterial genera with </w:t>
      </w:r>
      <w:r w:rsidR="00820008" w:rsidRPr="00BC779C">
        <w:rPr>
          <w:rFonts w:ascii="Times New Roman" w:hAnsi="Times New Roman" w:cs="Times New Roman"/>
          <w:sz w:val="24"/>
          <w:szCs w:val="24"/>
        </w:rPr>
        <w:t>mean</w:t>
      </w:r>
      <w:r w:rsidRPr="00BC779C">
        <w:rPr>
          <w:rFonts w:ascii="Times New Roman" w:hAnsi="Times New Roman" w:cs="Times New Roman"/>
          <w:sz w:val="24"/>
          <w:szCs w:val="24"/>
        </w:rPr>
        <w:t xml:space="preserve"> proportions </w:t>
      </w:r>
      <w:r w:rsidRPr="00BC779C">
        <w:rPr>
          <w:rFonts w:ascii="Times New Roman" w:hAnsi="Times New Roman" w:cs="Times New Roman"/>
          <w:sz w:val="24"/>
          <w:szCs w:val="24"/>
          <w:u w:val="single"/>
        </w:rPr>
        <w:t>&gt;</w:t>
      </w:r>
      <w:r w:rsidRPr="00BC779C">
        <w:rPr>
          <w:rFonts w:ascii="Times New Roman" w:hAnsi="Times New Roman" w:cs="Times New Roman"/>
          <w:sz w:val="24"/>
          <w:szCs w:val="24"/>
        </w:rPr>
        <w:t xml:space="preserve"> 0.001 (= 0.1%).</w:t>
      </w:r>
      <w:r w:rsidR="00D60915" w:rsidRPr="00BC779C">
        <w:rPr>
          <w:rFonts w:ascii="Times New Roman" w:hAnsi="Times New Roman" w:cs="Times New Roman"/>
          <w:sz w:val="24"/>
          <w:szCs w:val="24"/>
        </w:rPr>
        <w:t xml:space="preserve"> </w:t>
      </w:r>
    </w:p>
    <w:p w14:paraId="310CAFE9" w14:textId="77777777" w:rsidR="006761F2" w:rsidRPr="00BC779C" w:rsidRDefault="0008554D"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 xml:space="preserve">Published means and standard deviations from adolescents for fractional calcium absorption were used to determine the study sample size. A total of 24 children would provide sufficient power (80%) at an alpha level of 0.05 to detect a 5.9% difference in fractional calcium absorption and a standard deviation of 9.6%. </w:t>
      </w:r>
      <w:r w:rsidR="002669C4" w:rsidRPr="00BC779C">
        <w:rPr>
          <w:rFonts w:ascii="Times New Roman" w:hAnsi="Times New Roman" w:cs="Times New Roman"/>
          <w:sz w:val="24"/>
          <w:szCs w:val="24"/>
        </w:rPr>
        <w:t xml:space="preserve">A total of 30 girls were enrolled in the study to allow for a 20% attrition rate. </w:t>
      </w:r>
    </w:p>
    <w:p w14:paraId="45D38583" w14:textId="77777777" w:rsidR="001E002E" w:rsidRPr="00BC779C" w:rsidRDefault="001E002E" w:rsidP="00D12A80">
      <w:pPr>
        <w:spacing w:after="100" w:afterAutospacing="1" w:line="480" w:lineRule="auto"/>
        <w:rPr>
          <w:rFonts w:ascii="Times New Roman" w:hAnsi="Times New Roman" w:cs="Times New Roman"/>
          <w:b/>
          <w:sz w:val="24"/>
          <w:szCs w:val="24"/>
        </w:rPr>
      </w:pPr>
      <w:r w:rsidRPr="00BC779C">
        <w:rPr>
          <w:rFonts w:ascii="Times New Roman" w:hAnsi="Times New Roman" w:cs="Times New Roman"/>
          <w:b/>
          <w:sz w:val="24"/>
          <w:szCs w:val="24"/>
        </w:rPr>
        <w:t>RESULTS</w:t>
      </w:r>
    </w:p>
    <w:p w14:paraId="5EB5CE60" w14:textId="4B126DEB" w:rsidR="001E002E" w:rsidRPr="00BC779C" w:rsidRDefault="00397053" w:rsidP="00D12A80">
      <w:pPr>
        <w:spacing w:after="100" w:afterAutospacing="1" w:line="480" w:lineRule="auto"/>
        <w:rPr>
          <w:rFonts w:ascii="Times New Roman" w:hAnsi="Times New Roman" w:cs="Times New Roman"/>
          <w:sz w:val="24"/>
          <w:szCs w:val="24"/>
        </w:rPr>
      </w:pPr>
      <w:r w:rsidRPr="00BC779C">
        <w:rPr>
          <w:rFonts w:ascii="Times New Roman" w:hAnsi="Times New Roman" w:cs="Times New Roman"/>
          <w:sz w:val="24"/>
          <w:szCs w:val="24"/>
        </w:rPr>
        <w:tab/>
      </w:r>
      <w:r w:rsidR="00DB3975" w:rsidRPr="00BC779C">
        <w:rPr>
          <w:rFonts w:ascii="Times New Roman" w:hAnsi="Times New Roman" w:cs="Times New Roman"/>
          <w:sz w:val="24"/>
          <w:szCs w:val="24"/>
        </w:rPr>
        <w:t xml:space="preserve">Thirty </w:t>
      </w:r>
      <w:r w:rsidR="00CE25F2" w:rsidRPr="00BC779C">
        <w:rPr>
          <w:rFonts w:ascii="Times New Roman" w:hAnsi="Times New Roman" w:cs="Times New Roman"/>
          <w:sz w:val="24"/>
          <w:szCs w:val="24"/>
        </w:rPr>
        <w:t>C</w:t>
      </w:r>
      <w:r w:rsidR="00DB3975" w:rsidRPr="00BC779C">
        <w:rPr>
          <w:rFonts w:ascii="Times New Roman" w:hAnsi="Times New Roman" w:cs="Times New Roman"/>
          <w:sz w:val="24"/>
          <w:szCs w:val="24"/>
        </w:rPr>
        <w:t xml:space="preserve">aucasian girls that were eligible according </w:t>
      </w:r>
      <w:r w:rsidR="00655A07" w:rsidRPr="00BC779C">
        <w:rPr>
          <w:rFonts w:ascii="Times New Roman" w:hAnsi="Times New Roman" w:cs="Times New Roman"/>
          <w:sz w:val="24"/>
          <w:szCs w:val="24"/>
        </w:rPr>
        <w:t>to</w:t>
      </w:r>
      <w:r w:rsidR="00DB3975" w:rsidRPr="00BC779C">
        <w:rPr>
          <w:rFonts w:ascii="Times New Roman" w:hAnsi="Times New Roman" w:cs="Times New Roman"/>
          <w:sz w:val="24"/>
          <w:szCs w:val="24"/>
        </w:rPr>
        <w:t xml:space="preserve"> screening criteria were randomized for </w:t>
      </w:r>
      <w:r w:rsidRPr="00BC779C">
        <w:rPr>
          <w:rFonts w:ascii="Times New Roman" w:hAnsi="Times New Roman" w:cs="Times New Roman"/>
          <w:sz w:val="24"/>
          <w:szCs w:val="24"/>
        </w:rPr>
        <w:t>this study</w:t>
      </w:r>
      <w:r w:rsidR="00E40583" w:rsidRPr="00BC779C">
        <w:rPr>
          <w:rFonts w:ascii="Times New Roman" w:hAnsi="Times New Roman" w:cs="Times New Roman"/>
          <w:sz w:val="24"/>
          <w:szCs w:val="24"/>
        </w:rPr>
        <w:t xml:space="preserve"> </w:t>
      </w:r>
      <w:r w:rsidR="00E37308" w:rsidRPr="00BC779C">
        <w:rPr>
          <w:rFonts w:ascii="Times New Roman" w:hAnsi="Times New Roman" w:cs="Times New Roman"/>
          <w:sz w:val="24"/>
          <w:szCs w:val="24"/>
        </w:rPr>
        <w:t>(</w:t>
      </w:r>
      <w:r w:rsidR="00165E9A" w:rsidRPr="00BC779C">
        <w:rPr>
          <w:rFonts w:ascii="Times New Roman" w:hAnsi="Times New Roman" w:cs="Times New Roman"/>
          <w:b/>
          <w:sz w:val="24"/>
          <w:szCs w:val="24"/>
        </w:rPr>
        <w:t>Fig</w:t>
      </w:r>
      <w:r w:rsidR="00E37308" w:rsidRPr="00BC779C">
        <w:rPr>
          <w:rFonts w:ascii="Times New Roman" w:hAnsi="Times New Roman" w:cs="Times New Roman"/>
          <w:b/>
          <w:sz w:val="24"/>
          <w:szCs w:val="24"/>
        </w:rPr>
        <w:t>ure</w:t>
      </w:r>
      <w:r w:rsidR="00165E9A" w:rsidRPr="00BC779C">
        <w:rPr>
          <w:rFonts w:ascii="Times New Roman" w:hAnsi="Times New Roman" w:cs="Times New Roman"/>
          <w:b/>
          <w:sz w:val="24"/>
          <w:szCs w:val="24"/>
        </w:rPr>
        <w:t xml:space="preserve"> 1</w:t>
      </w:r>
      <w:r w:rsidR="00165E9A" w:rsidRPr="00BC779C">
        <w:rPr>
          <w:rFonts w:ascii="Times New Roman" w:hAnsi="Times New Roman" w:cs="Times New Roman"/>
          <w:sz w:val="24"/>
          <w:szCs w:val="24"/>
        </w:rPr>
        <w:t>)</w:t>
      </w:r>
      <w:r w:rsidR="00E40583" w:rsidRPr="00BC779C">
        <w:rPr>
          <w:rFonts w:ascii="Times New Roman" w:hAnsi="Times New Roman" w:cs="Times New Roman"/>
          <w:sz w:val="24"/>
          <w:szCs w:val="24"/>
        </w:rPr>
        <w:t>.</w:t>
      </w:r>
      <w:r w:rsidRPr="00BC779C">
        <w:rPr>
          <w:rFonts w:ascii="Times New Roman" w:hAnsi="Times New Roman" w:cs="Times New Roman"/>
          <w:sz w:val="24"/>
          <w:szCs w:val="24"/>
        </w:rPr>
        <w:t xml:space="preserve"> To retain the most data for statistical analyses, </w:t>
      </w:r>
      <w:r w:rsidR="001C6747" w:rsidRPr="00BC779C">
        <w:rPr>
          <w:rFonts w:ascii="Times New Roman" w:hAnsi="Times New Roman" w:cs="Times New Roman"/>
          <w:sz w:val="24"/>
          <w:szCs w:val="24"/>
        </w:rPr>
        <w:t xml:space="preserve">data from participants completing two or more phases </w:t>
      </w:r>
      <w:r w:rsidR="00655A07" w:rsidRPr="00BC779C">
        <w:rPr>
          <w:rFonts w:ascii="Times New Roman" w:hAnsi="Times New Roman" w:cs="Times New Roman"/>
          <w:sz w:val="24"/>
          <w:szCs w:val="24"/>
        </w:rPr>
        <w:t xml:space="preserve">were </w:t>
      </w:r>
      <w:r w:rsidR="001C6747" w:rsidRPr="00BC779C">
        <w:rPr>
          <w:rFonts w:ascii="Times New Roman" w:hAnsi="Times New Roman" w:cs="Times New Roman"/>
          <w:sz w:val="24"/>
          <w:szCs w:val="24"/>
        </w:rPr>
        <w:t>included, accounting for a final sample size of</w:t>
      </w:r>
      <w:r w:rsidRPr="00BC779C">
        <w:rPr>
          <w:rFonts w:ascii="Times New Roman" w:hAnsi="Times New Roman" w:cs="Times New Roman"/>
          <w:sz w:val="24"/>
          <w:szCs w:val="24"/>
        </w:rPr>
        <w:t xml:space="preserve"> 28 </w:t>
      </w:r>
      <w:r w:rsidRPr="00BC779C">
        <w:rPr>
          <w:rFonts w:ascii="Times New Roman" w:hAnsi="Times New Roman" w:cs="Times New Roman"/>
          <w:sz w:val="24"/>
          <w:szCs w:val="24"/>
        </w:rPr>
        <w:lastRenderedPageBreak/>
        <w:t>participants</w:t>
      </w:r>
      <w:r w:rsidR="004D0748" w:rsidRPr="00BC779C">
        <w:rPr>
          <w:rFonts w:ascii="Times New Roman" w:hAnsi="Times New Roman" w:cs="Times New Roman"/>
          <w:sz w:val="24"/>
          <w:szCs w:val="24"/>
        </w:rPr>
        <w:t xml:space="preserve"> with fractional calcium absorption data</w:t>
      </w:r>
      <w:r w:rsidRPr="00BC779C">
        <w:rPr>
          <w:rFonts w:ascii="Times New Roman" w:hAnsi="Times New Roman" w:cs="Times New Roman"/>
          <w:sz w:val="24"/>
          <w:szCs w:val="24"/>
        </w:rPr>
        <w:t>.</w:t>
      </w:r>
      <w:r w:rsidR="001C6747" w:rsidRPr="00BC779C">
        <w:rPr>
          <w:rFonts w:ascii="Times New Roman" w:hAnsi="Times New Roman" w:cs="Times New Roman"/>
          <w:sz w:val="24"/>
          <w:szCs w:val="24"/>
        </w:rPr>
        <w:t xml:space="preserve"> </w:t>
      </w:r>
      <w:r w:rsidR="008D23FD" w:rsidRPr="00BC779C">
        <w:rPr>
          <w:rFonts w:ascii="Times New Roman" w:hAnsi="Times New Roman" w:cs="Times New Roman"/>
          <w:sz w:val="24"/>
          <w:szCs w:val="24"/>
        </w:rPr>
        <w:t xml:space="preserve"> For the microbial analysis a sample size of 27 was used because one subject did not collect a baseline fecal sample. </w:t>
      </w:r>
      <w:r w:rsidR="001C6747" w:rsidRPr="00BC779C">
        <w:rPr>
          <w:rFonts w:ascii="Times New Roman" w:hAnsi="Times New Roman" w:cs="Times New Roman"/>
          <w:sz w:val="24"/>
          <w:szCs w:val="24"/>
        </w:rPr>
        <w:t>Anthropometric and physical health characteristics were within health</w:t>
      </w:r>
      <w:r w:rsidR="00F05567" w:rsidRPr="00BC779C">
        <w:rPr>
          <w:rFonts w:ascii="Times New Roman" w:hAnsi="Times New Roman" w:cs="Times New Roman"/>
          <w:sz w:val="24"/>
          <w:szCs w:val="24"/>
        </w:rPr>
        <w:t>y</w:t>
      </w:r>
      <w:r w:rsidR="001C6747" w:rsidRPr="00BC779C">
        <w:rPr>
          <w:rFonts w:ascii="Times New Roman" w:hAnsi="Times New Roman" w:cs="Times New Roman"/>
          <w:sz w:val="24"/>
          <w:szCs w:val="24"/>
        </w:rPr>
        <w:t xml:space="preserve"> ranges (</w:t>
      </w:r>
      <w:r w:rsidR="001C6747" w:rsidRPr="00BC779C">
        <w:rPr>
          <w:rFonts w:ascii="Times New Roman" w:hAnsi="Times New Roman" w:cs="Times New Roman"/>
          <w:b/>
          <w:sz w:val="24"/>
          <w:szCs w:val="24"/>
        </w:rPr>
        <w:t>Table 1</w:t>
      </w:r>
      <w:r w:rsidR="001C6747" w:rsidRPr="00BC779C">
        <w:rPr>
          <w:rFonts w:ascii="Times New Roman" w:hAnsi="Times New Roman" w:cs="Times New Roman"/>
          <w:sz w:val="24"/>
          <w:szCs w:val="24"/>
        </w:rPr>
        <w:t>).</w:t>
      </w:r>
    </w:p>
    <w:p w14:paraId="0AC6A4C0" w14:textId="11A2AD9B" w:rsidR="00BF15FF" w:rsidRPr="00BC779C" w:rsidRDefault="001C6747" w:rsidP="00D12A80">
      <w:pPr>
        <w:spacing w:after="100" w:afterAutospacing="1" w:line="480" w:lineRule="auto"/>
        <w:rPr>
          <w:rFonts w:ascii="Times New Roman" w:hAnsi="Times New Roman" w:cs="Times New Roman"/>
          <w:sz w:val="24"/>
          <w:szCs w:val="24"/>
        </w:rPr>
      </w:pPr>
      <w:r w:rsidRPr="00BC779C">
        <w:rPr>
          <w:rFonts w:ascii="Times New Roman" w:hAnsi="Times New Roman" w:cs="Times New Roman"/>
          <w:sz w:val="24"/>
          <w:szCs w:val="24"/>
        </w:rPr>
        <w:tab/>
      </w:r>
      <w:r w:rsidR="00F05567" w:rsidRPr="00BC779C">
        <w:rPr>
          <w:rFonts w:ascii="Times New Roman" w:hAnsi="Times New Roman" w:cs="Times New Roman"/>
          <w:sz w:val="24"/>
          <w:szCs w:val="24"/>
        </w:rPr>
        <w:t xml:space="preserve">Habitual caloric intake based on data from up to </w:t>
      </w:r>
      <w:r w:rsidR="00E36DBA" w:rsidRPr="00BC779C">
        <w:rPr>
          <w:rFonts w:ascii="Times New Roman" w:hAnsi="Times New Roman" w:cs="Times New Roman"/>
          <w:sz w:val="24"/>
          <w:szCs w:val="24"/>
        </w:rPr>
        <w:t xml:space="preserve">eighteen </w:t>
      </w:r>
      <w:r w:rsidR="00F05567" w:rsidRPr="00BC779C">
        <w:rPr>
          <w:rFonts w:ascii="Times New Roman" w:hAnsi="Times New Roman" w:cs="Times New Roman"/>
          <w:sz w:val="24"/>
          <w:szCs w:val="24"/>
        </w:rPr>
        <w:t xml:space="preserve">24-hour </w:t>
      </w:r>
      <w:r w:rsidR="00E36DBA" w:rsidRPr="00BC779C">
        <w:rPr>
          <w:rFonts w:ascii="Times New Roman" w:hAnsi="Times New Roman" w:cs="Times New Roman"/>
          <w:sz w:val="24"/>
          <w:szCs w:val="24"/>
        </w:rPr>
        <w:t xml:space="preserve">diet records </w:t>
      </w:r>
      <w:r w:rsidR="00F05567" w:rsidRPr="00BC779C">
        <w:rPr>
          <w:rFonts w:ascii="Times New Roman" w:hAnsi="Times New Roman" w:cs="Times New Roman"/>
          <w:sz w:val="24"/>
          <w:szCs w:val="24"/>
        </w:rPr>
        <w:t>per girl was</w:t>
      </w:r>
      <w:r w:rsidR="00585C2C" w:rsidRPr="00BC779C">
        <w:rPr>
          <w:rFonts w:ascii="Times New Roman" w:hAnsi="Times New Roman" w:cs="Times New Roman"/>
          <w:sz w:val="24"/>
          <w:szCs w:val="24"/>
        </w:rPr>
        <w:t xml:space="preserve"> </w:t>
      </w:r>
      <w:r w:rsidR="00E36DBA" w:rsidRPr="00BC779C">
        <w:rPr>
          <w:rFonts w:ascii="Times New Roman" w:hAnsi="Times New Roman" w:cs="Times New Roman"/>
          <w:sz w:val="24"/>
          <w:szCs w:val="24"/>
        </w:rPr>
        <w:t>1877</w:t>
      </w:r>
      <w:r w:rsidR="006874DA" w:rsidRPr="00BC779C">
        <w:rPr>
          <w:rFonts w:ascii="Times New Roman" w:hAnsi="Times New Roman" w:cs="Times New Roman"/>
          <w:sz w:val="24"/>
          <w:szCs w:val="24"/>
        </w:rPr>
        <w:t xml:space="preserve"> </w:t>
      </w:r>
      <w:r w:rsidR="00E36DBA" w:rsidRPr="00BC779C">
        <w:rPr>
          <w:rFonts w:ascii="Times New Roman" w:hAnsi="Times New Roman" w:cs="Times New Roman"/>
          <w:sz w:val="24"/>
          <w:szCs w:val="24"/>
        </w:rPr>
        <w:t>±</w:t>
      </w:r>
      <w:r w:rsidR="006874DA" w:rsidRPr="00BC779C">
        <w:rPr>
          <w:rFonts w:ascii="Times New Roman" w:hAnsi="Times New Roman" w:cs="Times New Roman"/>
          <w:sz w:val="24"/>
          <w:szCs w:val="24"/>
        </w:rPr>
        <w:t xml:space="preserve"> </w:t>
      </w:r>
      <w:r w:rsidR="00E36DBA" w:rsidRPr="00BC779C">
        <w:rPr>
          <w:rFonts w:ascii="Times New Roman" w:hAnsi="Times New Roman" w:cs="Times New Roman"/>
          <w:sz w:val="24"/>
          <w:szCs w:val="24"/>
        </w:rPr>
        <w:t>446</w:t>
      </w:r>
      <w:r w:rsidR="00585C2C" w:rsidRPr="00BC779C">
        <w:rPr>
          <w:rFonts w:ascii="Times New Roman" w:hAnsi="Times New Roman" w:cs="Times New Roman"/>
          <w:sz w:val="24"/>
          <w:szCs w:val="24"/>
        </w:rPr>
        <w:t xml:space="preserve"> kcal</w:t>
      </w:r>
      <w:r w:rsidR="00E37308" w:rsidRPr="00BC779C">
        <w:rPr>
          <w:rFonts w:ascii="Times New Roman" w:hAnsi="Times New Roman" w:cs="Times New Roman"/>
          <w:sz w:val="24"/>
          <w:szCs w:val="24"/>
        </w:rPr>
        <w:t>/d</w:t>
      </w:r>
      <w:r w:rsidR="00F05567" w:rsidRPr="00BC779C">
        <w:rPr>
          <w:rFonts w:ascii="Times New Roman" w:hAnsi="Times New Roman" w:cs="Times New Roman"/>
          <w:sz w:val="24"/>
          <w:szCs w:val="24"/>
        </w:rPr>
        <w:t xml:space="preserve">. </w:t>
      </w:r>
      <w:r w:rsidR="00B348D4" w:rsidRPr="00BC779C">
        <w:rPr>
          <w:rFonts w:ascii="Times New Roman" w:hAnsi="Times New Roman" w:cs="Times New Roman"/>
          <w:sz w:val="24"/>
          <w:szCs w:val="24"/>
        </w:rPr>
        <w:t>The mean proportions of</w:t>
      </w:r>
      <w:r w:rsidR="00F05567" w:rsidRPr="00BC779C">
        <w:rPr>
          <w:rFonts w:ascii="Times New Roman" w:hAnsi="Times New Roman" w:cs="Times New Roman"/>
          <w:sz w:val="24"/>
          <w:szCs w:val="24"/>
        </w:rPr>
        <w:t xml:space="preserve"> </w:t>
      </w:r>
      <w:r w:rsidR="00B348D4" w:rsidRPr="00BC779C">
        <w:rPr>
          <w:rFonts w:ascii="Times New Roman" w:hAnsi="Times New Roman" w:cs="Times New Roman"/>
          <w:sz w:val="24"/>
          <w:szCs w:val="24"/>
        </w:rPr>
        <w:t xml:space="preserve">calories from </w:t>
      </w:r>
      <w:r w:rsidR="00F05567" w:rsidRPr="00BC779C">
        <w:rPr>
          <w:rFonts w:ascii="Times New Roman" w:hAnsi="Times New Roman" w:cs="Times New Roman"/>
          <w:sz w:val="24"/>
          <w:szCs w:val="24"/>
        </w:rPr>
        <w:t xml:space="preserve">carbohydrate, protein and fat </w:t>
      </w:r>
      <w:r w:rsidR="00B348D4" w:rsidRPr="00BC779C">
        <w:rPr>
          <w:rFonts w:ascii="Times New Roman" w:hAnsi="Times New Roman" w:cs="Times New Roman"/>
          <w:sz w:val="24"/>
          <w:szCs w:val="24"/>
        </w:rPr>
        <w:t>were</w:t>
      </w:r>
      <w:r w:rsidR="00F05567" w:rsidRPr="00BC779C">
        <w:rPr>
          <w:rFonts w:ascii="Times New Roman" w:hAnsi="Times New Roman" w:cs="Times New Roman"/>
          <w:sz w:val="24"/>
          <w:szCs w:val="24"/>
        </w:rPr>
        <w:t xml:space="preserve"> </w:t>
      </w:r>
      <w:r w:rsidR="00C24A2C" w:rsidRPr="00BC779C">
        <w:rPr>
          <w:rFonts w:ascii="Times New Roman" w:hAnsi="Times New Roman" w:cs="Times New Roman"/>
          <w:sz w:val="24"/>
          <w:szCs w:val="24"/>
        </w:rPr>
        <w:t xml:space="preserve">54%, 14%, and 33% </w:t>
      </w:r>
      <w:r w:rsidR="00F05567" w:rsidRPr="00BC779C">
        <w:rPr>
          <w:rFonts w:ascii="Times New Roman" w:hAnsi="Times New Roman" w:cs="Times New Roman"/>
          <w:sz w:val="24"/>
          <w:szCs w:val="24"/>
        </w:rPr>
        <w:t>respectively.</w:t>
      </w:r>
      <w:r w:rsidR="00B348D4" w:rsidRPr="00BC779C">
        <w:rPr>
          <w:rFonts w:ascii="Times New Roman" w:hAnsi="Times New Roman" w:cs="Times New Roman"/>
          <w:sz w:val="24"/>
          <w:szCs w:val="24"/>
        </w:rPr>
        <w:t xml:space="preserve"> Overall, this cohort had a habitual calcium intake below the estimated average requirement (EAR; 1100 mg/d)</w:t>
      </w:r>
      <w:r w:rsidR="009606F1" w:rsidRPr="00BC779C">
        <w:rPr>
          <w:rFonts w:ascii="Times New Roman" w:hAnsi="Times New Roman" w:cs="Times New Roman"/>
          <w:sz w:val="24"/>
          <w:szCs w:val="24"/>
        </w:rPr>
        <w:t xml:space="preserve"> </w:t>
      </w:r>
      <w:r w:rsidR="009606F1" w:rsidRPr="00BC779C">
        <w:rPr>
          <w:rFonts w:ascii="Times New Roman" w:hAnsi="Times New Roman" w:cs="Times New Roman"/>
          <w:sz w:val="24"/>
          <w:szCs w:val="24"/>
        </w:rPr>
        <w:fldChar w:fldCharType="begin" w:fldLock="1"/>
      </w:r>
      <w:r w:rsidR="00F55607" w:rsidRPr="00BC779C">
        <w:rPr>
          <w:rFonts w:ascii="Times New Roman" w:hAnsi="Times New Roman" w:cs="Times New Roman"/>
          <w:sz w:val="24"/>
          <w:szCs w:val="24"/>
        </w:rPr>
        <w:instrText>ADDIN CSL_CITATION { "citationItems" : [ { "id" : "ITEM-1", "itemData" : { "author" : [ { "dropping-particle" : "", "family" : "Institute of Medicine", "given" : "", "non-dropping-particle" : "", "parse-names" : false, "suffix" : "" } ], "editor" : [ { "dropping-particle" : "", "family" : "Ross", "given" : "AC", "non-dropping-particle" : "", "parse-names" : false, "suffix" : "" }, { "dropping-particle" : "", "family" : "Taylor", "given" : "CL", "non-dropping-particle" : "", "parse-names" : false, "suffix" : "" }, { "dropping-particle" : "", "family" : "Yaktine", "given" : "AL", "non-dropping-particle" : "", "parse-names" : false, "suffix" : "" }, { "dropping-particle" : "", "family" : "Valle", "given" : "HB", "non-dropping-particle" : "", "parse-names" : false, "suffix" : "" } ], "id" : "ITEM-1", "issued" : { "date-parts" : [ [ "2011" ] ] }, "language" : "en", "publisher" : "National Academies Press (US)", "title" : "Dietary reference intakes for adequacy: calcium and vitamin D", "type" : "book" }, "uris" : [ "http://www.mendeley.com/documents/?uuid=6453aed5-9c72-4ba0-a3a6-3400a1106810" ] } ], "mendeley" : { "formattedCitation" : "(28)", "plainTextFormattedCitation" : "(28)", "previouslyFormattedCitation" : "(28)" }, "properties" : { "noteIndex" : 0 }, "schema" : "https://github.com/citation-style-language/schema/raw/master/csl-citation.json" }</w:instrText>
      </w:r>
      <w:r w:rsidR="009606F1"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(28)</w:t>
      </w:r>
      <w:r w:rsidR="009606F1" w:rsidRPr="00BC779C">
        <w:rPr>
          <w:rFonts w:ascii="Times New Roman" w:hAnsi="Times New Roman" w:cs="Times New Roman"/>
          <w:sz w:val="24"/>
          <w:szCs w:val="24"/>
        </w:rPr>
        <w:fldChar w:fldCharType="end"/>
      </w:r>
      <w:r w:rsidR="00B348D4" w:rsidRPr="00BC779C">
        <w:rPr>
          <w:rFonts w:ascii="Times New Roman" w:hAnsi="Times New Roman" w:cs="Times New Roman"/>
          <w:sz w:val="24"/>
          <w:szCs w:val="24"/>
        </w:rPr>
        <w:t xml:space="preserve"> at </w:t>
      </w:r>
      <w:r w:rsidR="00E36DBA" w:rsidRPr="00BC779C">
        <w:rPr>
          <w:rFonts w:ascii="Times New Roman" w:hAnsi="Times New Roman" w:cs="Times New Roman"/>
          <w:sz w:val="24"/>
          <w:szCs w:val="24"/>
        </w:rPr>
        <w:t>817</w:t>
      </w:r>
      <w:r w:rsidR="006874DA" w:rsidRPr="00BC779C">
        <w:rPr>
          <w:rFonts w:ascii="Times New Roman" w:hAnsi="Times New Roman" w:cs="Times New Roman"/>
          <w:sz w:val="24"/>
          <w:szCs w:val="24"/>
        </w:rPr>
        <w:t xml:space="preserve"> </w:t>
      </w:r>
      <w:r w:rsidR="00E36DBA" w:rsidRPr="00BC779C">
        <w:rPr>
          <w:rFonts w:ascii="Times New Roman" w:hAnsi="Times New Roman" w:cs="Times New Roman"/>
          <w:sz w:val="24"/>
          <w:szCs w:val="24"/>
        </w:rPr>
        <w:t>±</w:t>
      </w:r>
      <w:r w:rsidR="006874DA" w:rsidRPr="00BC779C">
        <w:rPr>
          <w:rFonts w:ascii="Times New Roman" w:hAnsi="Times New Roman" w:cs="Times New Roman"/>
          <w:sz w:val="24"/>
          <w:szCs w:val="24"/>
        </w:rPr>
        <w:t xml:space="preserve"> </w:t>
      </w:r>
      <w:r w:rsidR="00E36DBA" w:rsidRPr="00BC779C">
        <w:rPr>
          <w:rFonts w:ascii="Times New Roman" w:hAnsi="Times New Roman" w:cs="Times New Roman"/>
          <w:sz w:val="24"/>
          <w:szCs w:val="24"/>
        </w:rPr>
        <w:t xml:space="preserve">309 </w:t>
      </w:r>
      <w:r w:rsidR="00B348D4" w:rsidRPr="00BC779C">
        <w:rPr>
          <w:rFonts w:ascii="Times New Roman" w:hAnsi="Times New Roman" w:cs="Times New Roman"/>
          <w:sz w:val="24"/>
          <w:szCs w:val="24"/>
        </w:rPr>
        <w:t>mg/d</w:t>
      </w:r>
      <w:r w:rsidR="00057BDA" w:rsidRPr="00BC779C">
        <w:rPr>
          <w:rFonts w:ascii="Times New Roman" w:hAnsi="Times New Roman" w:cs="Times New Roman"/>
          <w:sz w:val="24"/>
          <w:szCs w:val="24"/>
        </w:rPr>
        <w:t xml:space="preserve">. Dietary fiber intake was also low with a mean intake of </w:t>
      </w:r>
      <w:r w:rsidR="00E36DBA" w:rsidRPr="00BC779C">
        <w:rPr>
          <w:rFonts w:ascii="Times New Roman" w:hAnsi="Times New Roman" w:cs="Times New Roman"/>
          <w:sz w:val="24"/>
          <w:szCs w:val="24"/>
        </w:rPr>
        <w:t>13.2</w:t>
      </w:r>
      <w:r w:rsidR="006874DA" w:rsidRPr="00BC779C">
        <w:rPr>
          <w:rFonts w:ascii="Times New Roman" w:hAnsi="Times New Roman" w:cs="Times New Roman"/>
          <w:sz w:val="24"/>
          <w:szCs w:val="24"/>
        </w:rPr>
        <w:t xml:space="preserve"> </w:t>
      </w:r>
      <w:r w:rsidR="00E36DBA" w:rsidRPr="00BC779C">
        <w:rPr>
          <w:rFonts w:ascii="Times New Roman" w:hAnsi="Times New Roman" w:cs="Times New Roman"/>
          <w:sz w:val="24"/>
          <w:szCs w:val="24"/>
        </w:rPr>
        <w:t>±</w:t>
      </w:r>
      <w:r w:rsidR="006874DA" w:rsidRPr="00BC779C">
        <w:rPr>
          <w:rFonts w:ascii="Times New Roman" w:hAnsi="Times New Roman" w:cs="Times New Roman"/>
          <w:sz w:val="24"/>
          <w:szCs w:val="24"/>
        </w:rPr>
        <w:t xml:space="preserve"> </w:t>
      </w:r>
      <w:r w:rsidR="00E36DBA" w:rsidRPr="00BC779C">
        <w:rPr>
          <w:rFonts w:ascii="Times New Roman" w:hAnsi="Times New Roman" w:cs="Times New Roman"/>
          <w:sz w:val="24"/>
          <w:szCs w:val="24"/>
        </w:rPr>
        <w:t>5.5</w:t>
      </w:r>
      <w:r w:rsidR="004B2DC2" w:rsidRPr="00BC779C">
        <w:rPr>
          <w:rFonts w:ascii="Times New Roman" w:hAnsi="Times New Roman" w:cs="Times New Roman"/>
          <w:sz w:val="24"/>
          <w:szCs w:val="24"/>
        </w:rPr>
        <w:t xml:space="preserve"> </w:t>
      </w:r>
      <w:r w:rsidR="00057BDA" w:rsidRPr="00BC779C">
        <w:rPr>
          <w:rFonts w:ascii="Times New Roman" w:hAnsi="Times New Roman" w:cs="Times New Roman"/>
          <w:sz w:val="24"/>
          <w:szCs w:val="24"/>
        </w:rPr>
        <w:t>g/d</w:t>
      </w:r>
      <w:r w:rsidR="004B2DC2" w:rsidRPr="00BC779C">
        <w:rPr>
          <w:rFonts w:ascii="Times New Roman" w:hAnsi="Times New Roman" w:cs="Times New Roman"/>
          <w:sz w:val="24"/>
          <w:szCs w:val="24"/>
        </w:rPr>
        <w:t xml:space="preserve"> (recommended intake </w:t>
      </w:r>
      <w:r w:rsidR="00960586" w:rsidRPr="00BC779C">
        <w:rPr>
          <w:rFonts w:ascii="Times New Roman" w:hAnsi="Times New Roman" w:cs="Times New Roman"/>
          <w:sz w:val="24"/>
          <w:szCs w:val="24"/>
        </w:rPr>
        <w:t xml:space="preserve">of </w:t>
      </w:r>
      <w:r w:rsidR="004B2DC2" w:rsidRPr="00BC779C">
        <w:rPr>
          <w:rFonts w:ascii="Times New Roman" w:hAnsi="Times New Roman" w:cs="Times New Roman"/>
          <w:sz w:val="24"/>
          <w:szCs w:val="24"/>
        </w:rPr>
        <w:t>14 g/1000 kcal</w:t>
      </w:r>
      <w:r w:rsidR="000B10EA" w:rsidRPr="00BC779C">
        <w:rPr>
          <w:rFonts w:ascii="Times New Roman" w:hAnsi="Times New Roman" w:cs="Times New Roman"/>
          <w:sz w:val="24"/>
          <w:szCs w:val="24"/>
        </w:rPr>
        <w:t xml:space="preserve"> </w:t>
      </w:r>
      <w:r w:rsidR="00336B5B" w:rsidRPr="00BC779C">
        <w:rPr>
          <w:rFonts w:ascii="Times New Roman" w:hAnsi="Times New Roman" w:cs="Times New Roman"/>
          <w:sz w:val="24"/>
          <w:szCs w:val="24"/>
        </w:rPr>
        <w:fldChar w:fldCharType="begin" w:fldLock="1"/>
      </w:r>
      <w:r w:rsidR="00F55607" w:rsidRPr="00BC779C">
        <w:rPr>
          <w:rFonts w:ascii="Times New Roman" w:hAnsi="Times New Roman" w:cs="Times New Roman"/>
          <w:sz w:val="24"/>
          <w:szCs w:val="24"/>
        </w:rPr>
        <w:instrText>ADDIN CSL_CITATION { "citationItems" : [ { "id" : "ITEM-1", "itemData" : { "author" : [ { "dropping-particle" : "", "family" : "Committee", "given" : "Dietary Guidelines Advisory", "non-dropping-particle" : "", "parse-names" : false, "suffix" : "" } ], "id" : "ITEM-1", "issued" : { "date-parts" : [ [ "2010" ] ] }, "publisher-place" : "Washington, DC", "title" : "Report of the dietary guidelines advisory committee on the dietary guidelines for americans, 2010, to the secretary of agriculture and the secretary of health and human services", "type" : "report" }, "uris" : [ "http://www.mendeley.com/documents/?uuid=797adfa0-f137-4c1f-ab72-4dfa76d90a02" ] } ], "mendeley" : { "formattedCitation" : "(29)", "plainTextFormattedCitation" : "(29)", "previouslyFormattedCitation" : "(29)" }, "properties" : { "noteIndex" : 0 }, "schema" : "https://github.com/citation-style-language/schema/raw/master/csl-citation.json" }</w:instrText>
      </w:r>
      <w:r w:rsidR="00336B5B"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(29)</w:t>
      </w:r>
      <w:r w:rsidR="00336B5B" w:rsidRPr="00BC779C">
        <w:rPr>
          <w:rFonts w:ascii="Times New Roman" w:hAnsi="Times New Roman" w:cs="Times New Roman"/>
          <w:sz w:val="24"/>
          <w:szCs w:val="24"/>
        </w:rPr>
        <w:fldChar w:fldCharType="end"/>
      </w:r>
      <w:r w:rsidR="00960586" w:rsidRPr="00BC779C">
        <w:rPr>
          <w:rFonts w:ascii="Times New Roman" w:hAnsi="Times New Roman" w:cs="Times New Roman"/>
          <w:sz w:val="24"/>
          <w:szCs w:val="24"/>
        </w:rPr>
        <w:t>)</w:t>
      </w:r>
      <w:r w:rsidR="00057BDA" w:rsidRPr="00BC779C">
        <w:rPr>
          <w:rFonts w:ascii="Times New Roman" w:hAnsi="Times New Roman" w:cs="Times New Roman"/>
          <w:sz w:val="24"/>
          <w:szCs w:val="24"/>
        </w:rPr>
        <w:t>.</w:t>
      </w:r>
      <w:r w:rsidR="00352D80" w:rsidRPr="00BC779C">
        <w:rPr>
          <w:rFonts w:ascii="Times New Roman" w:hAnsi="Times New Roman" w:cs="Times New Roman"/>
          <w:sz w:val="24"/>
          <w:szCs w:val="24"/>
        </w:rPr>
        <w:t xml:space="preserve"> Product consumption compliance over all three </w:t>
      </w:r>
      <w:r w:rsidR="00D6757B" w:rsidRPr="00BC779C">
        <w:rPr>
          <w:rFonts w:ascii="Times New Roman" w:hAnsi="Times New Roman" w:cs="Times New Roman"/>
          <w:sz w:val="24"/>
          <w:szCs w:val="24"/>
        </w:rPr>
        <w:t>intervention</w:t>
      </w:r>
      <w:r w:rsidR="00AE55D7" w:rsidRPr="00BC779C">
        <w:rPr>
          <w:rFonts w:ascii="Times New Roman" w:hAnsi="Times New Roman" w:cs="Times New Roman"/>
          <w:sz w:val="24"/>
          <w:szCs w:val="24"/>
        </w:rPr>
        <w:t xml:space="preserve"> periods was </w:t>
      </w:r>
      <w:r w:rsidR="00985CB7" w:rsidRPr="00BC779C">
        <w:rPr>
          <w:rFonts w:ascii="Times New Roman" w:hAnsi="Times New Roman" w:cs="Times New Roman"/>
          <w:sz w:val="24"/>
          <w:szCs w:val="24"/>
        </w:rPr>
        <w:t>87.3</w:t>
      </w:r>
      <w:r w:rsidR="001F31AE" w:rsidRPr="00BC779C">
        <w:rPr>
          <w:rFonts w:ascii="Times New Roman" w:hAnsi="Times New Roman" w:cs="Times New Roman"/>
          <w:sz w:val="24"/>
          <w:szCs w:val="24"/>
        </w:rPr>
        <w:t xml:space="preserve"> ± 11.5</w:t>
      </w:r>
      <w:r w:rsidR="00AE55D7" w:rsidRPr="00BC779C">
        <w:rPr>
          <w:rFonts w:ascii="Times New Roman" w:hAnsi="Times New Roman" w:cs="Times New Roman"/>
          <w:sz w:val="24"/>
          <w:szCs w:val="24"/>
        </w:rPr>
        <w:t>%</w:t>
      </w:r>
      <w:r w:rsidR="00485950" w:rsidRPr="00BC779C">
        <w:rPr>
          <w:rFonts w:ascii="Times New Roman" w:hAnsi="Times New Roman" w:cs="Times New Roman"/>
          <w:sz w:val="24"/>
          <w:szCs w:val="24"/>
        </w:rPr>
        <w:t>.</w:t>
      </w:r>
      <w:r w:rsidR="00096217" w:rsidRPr="00BC779C">
        <w:rPr>
          <w:rFonts w:ascii="Times New Roman" w:hAnsi="Times New Roman" w:cs="Times New Roman"/>
          <w:sz w:val="24"/>
          <w:szCs w:val="24"/>
        </w:rPr>
        <w:t xml:space="preserve"> </w:t>
      </w:r>
    </w:p>
    <w:p w14:paraId="46CA7620" w14:textId="774D8AF3" w:rsidR="00BF15FF" w:rsidRPr="00BC779C" w:rsidRDefault="00BF15FF" w:rsidP="00D12A80">
      <w:pPr>
        <w:spacing w:after="100" w:afterAutospacing="1" w:line="480" w:lineRule="auto"/>
        <w:rPr>
          <w:rFonts w:ascii="Times New Roman" w:hAnsi="Times New Roman" w:cs="Times New Roman"/>
          <w:sz w:val="24"/>
          <w:szCs w:val="24"/>
        </w:rPr>
      </w:pPr>
      <w:r w:rsidRPr="00BC779C">
        <w:rPr>
          <w:rFonts w:ascii="Times New Roman" w:hAnsi="Times New Roman" w:cs="Times New Roman"/>
          <w:sz w:val="24"/>
          <w:szCs w:val="24"/>
        </w:rPr>
        <w:tab/>
      </w:r>
      <w:r w:rsidR="00B54883" w:rsidRPr="00BC779C">
        <w:rPr>
          <w:rFonts w:ascii="Times New Roman" w:hAnsi="Times New Roman" w:cs="Times New Roman"/>
          <w:sz w:val="24"/>
          <w:szCs w:val="24"/>
        </w:rPr>
        <w:t xml:space="preserve">The </w:t>
      </w:r>
      <w:r w:rsidR="00820008" w:rsidRPr="00BC779C">
        <w:rPr>
          <w:rFonts w:ascii="Times New Roman" w:hAnsi="Times New Roman" w:cs="Times New Roman"/>
          <w:sz w:val="24"/>
          <w:szCs w:val="24"/>
        </w:rPr>
        <w:t>mean</w:t>
      </w:r>
      <w:r w:rsidR="00B54883" w:rsidRPr="00BC779C">
        <w:rPr>
          <w:rFonts w:ascii="Times New Roman" w:hAnsi="Times New Roman" w:cs="Times New Roman"/>
          <w:sz w:val="24"/>
          <w:szCs w:val="24"/>
        </w:rPr>
        <w:t xml:space="preserve"> fractional calcium absorption calculated at each of the four 12 h periods, is plotted in </w:t>
      </w:r>
      <w:r w:rsidR="00B54883" w:rsidRPr="00BC779C">
        <w:rPr>
          <w:rFonts w:ascii="Times New Roman" w:hAnsi="Times New Roman" w:cs="Times New Roman"/>
          <w:b/>
          <w:sz w:val="24"/>
          <w:szCs w:val="24"/>
        </w:rPr>
        <w:t>Figure 2</w:t>
      </w:r>
      <w:r w:rsidR="00B54883" w:rsidRPr="00BC779C">
        <w:rPr>
          <w:rFonts w:ascii="Times New Roman" w:hAnsi="Times New Roman" w:cs="Times New Roman"/>
          <w:sz w:val="24"/>
          <w:szCs w:val="24"/>
        </w:rPr>
        <w:t xml:space="preserve">. A linear model was used to calculate </w:t>
      </w:r>
      <w:r w:rsidR="00AF190F" w:rsidRPr="00BC779C">
        <w:rPr>
          <w:rFonts w:ascii="Times New Roman" w:hAnsi="Times New Roman" w:cs="Times New Roman"/>
          <w:sz w:val="24"/>
          <w:szCs w:val="24"/>
        </w:rPr>
        <w:t xml:space="preserve">the </w:t>
      </w:r>
      <w:r w:rsidR="008802B0" w:rsidRPr="00BC779C">
        <w:rPr>
          <w:rFonts w:ascii="Times New Roman" w:hAnsi="Times New Roman" w:cs="Times New Roman"/>
          <w:sz w:val="24"/>
          <w:szCs w:val="24"/>
        </w:rPr>
        <w:t xml:space="preserve">overall </w:t>
      </w:r>
      <w:r w:rsidR="00AF190F" w:rsidRPr="00BC779C">
        <w:rPr>
          <w:rFonts w:ascii="Times New Roman" w:hAnsi="Times New Roman" w:cs="Times New Roman"/>
          <w:sz w:val="24"/>
          <w:szCs w:val="24"/>
        </w:rPr>
        <w:t xml:space="preserve">mean fractional calcium absorption </w:t>
      </w:r>
      <w:r w:rsidR="00030A2D" w:rsidRPr="00BC779C">
        <w:rPr>
          <w:rFonts w:ascii="Times New Roman" w:hAnsi="Times New Roman" w:cs="Times New Roman"/>
          <w:sz w:val="24"/>
          <w:szCs w:val="24"/>
        </w:rPr>
        <w:t xml:space="preserve">during the </w:t>
      </w:r>
      <w:r w:rsidR="003613A5" w:rsidRPr="00BC779C">
        <w:rPr>
          <w:rFonts w:ascii="Times New Roman" w:hAnsi="Times New Roman" w:cs="Times New Roman"/>
          <w:sz w:val="24"/>
          <w:szCs w:val="24"/>
        </w:rPr>
        <w:t xml:space="preserve">entire </w:t>
      </w:r>
      <w:r w:rsidR="00030A2D" w:rsidRPr="00BC779C">
        <w:rPr>
          <w:rFonts w:ascii="Times New Roman" w:hAnsi="Times New Roman" w:cs="Times New Roman"/>
          <w:sz w:val="24"/>
          <w:szCs w:val="24"/>
        </w:rPr>
        <w:t>48 h test period. Total calculated fractional calcium absorption for</w:t>
      </w:r>
      <w:r w:rsidR="00AF190F" w:rsidRPr="00BC779C">
        <w:rPr>
          <w:rFonts w:ascii="Times New Roman" w:hAnsi="Times New Roman" w:cs="Times New Roman"/>
          <w:sz w:val="24"/>
          <w:szCs w:val="24"/>
        </w:rPr>
        <w:t xml:space="preserve"> the contr</w:t>
      </w:r>
      <w:r w:rsidR="003D266E" w:rsidRPr="00BC779C">
        <w:rPr>
          <w:rFonts w:ascii="Times New Roman" w:hAnsi="Times New Roman" w:cs="Times New Roman"/>
          <w:sz w:val="24"/>
          <w:szCs w:val="24"/>
        </w:rPr>
        <w:t>ol, 10</w:t>
      </w:r>
      <w:r w:rsidR="00D65C9A" w:rsidRPr="00BC779C">
        <w:rPr>
          <w:rFonts w:ascii="Times New Roman" w:hAnsi="Times New Roman" w:cs="Times New Roman"/>
          <w:sz w:val="24"/>
          <w:szCs w:val="24"/>
        </w:rPr>
        <w:t xml:space="preserve"> and 20 g</w:t>
      </w:r>
      <w:r w:rsidR="001137C6" w:rsidRPr="00BC779C">
        <w:rPr>
          <w:rFonts w:ascii="Times New Roman" w:hAnsi="Times New Roman" w:cs="Times New Roman"/>
          <w:sz w:val="24"/>
          <w:szCs w:val="24"/>
        </w:rPr>
        <w:t xml:space="preserve"> fiber/d</w:t>
      </w:r>
      <w:r w:rsidR="00B56496" w:rsidRPr="00BC779C">
        <w:rPr>
          <w:rFonts w:ascii="Times New Roman" w:hAnsi="Times New Roman" w:cs="Times New Roman"/>
          <w:sz w:val="24"/>
          <w:szCs w:val="24"/>
        </w:rPr>
        <w:t xml:space="preserve"> from </w:t>
      </w:r>
      <w:r w:rsidR="00D65C9A" w:rsidRPr="00BC779C">
        <w:rPr>
          <w:rFonts w:ascii="Times New Roman" w:hAnsi="Times New Roman" w:cs="Times New Roman"/>
          <w:sz w:val="24"/>
          <w:szCs w:val="24"/>
        </w:rPr>
        <w:t xml:space="preserve">SCF </w:t>
      </w:r>
      <w:r w:rsidR="00D6757B" w:rsidRPr="00BC779C">
        <w:rPr>
          <w:rFonts w:ascii="Times New Roman" w:hAnsi="Times New Roman" w:cs="Times New Roman"/>
          <w:sz w:val="24"/>
          <w:szCs w:val="24"/>
        </w:rPr>
        <w:t>intervention</w:t>
      </w:r>
      <w:r w:rsidR="00AF190F" w:rsidRPr="00BC779C">
        <w:rPr>
          <w:rFonts w:ascii="Times New Roman" w:hAnsi="Times New Roman" w:cs="Times New Roman"/>
          <w:sz w:val="24"/>
          <w:szCs w:val="24"/>
        </w:rPr>
        <w:t xml:space="preserve"> was 0.358</w:t>
      </w:r>
      <w:r w:rsidR="00030A2D" w:rsidRPr="00BC779C">
        <w:rPr>
          <w:rFonts w:ascii="Times New Roman" w:hAnsi="Times New Roman" w:cs="Times New Roman"/>
          <w:sz w:val="24"/>
          <w:szCs w:val="24"/>
        </w:rPr>
        <w:t xml:space="preserve"> ± </w:t>
      </w:r>
      <w:r w:rsidR="00D65C9A" w:rsidRPr="00BC779C">
        <w:rPr>
          <w:rFonts w:ascii="Times New Roman" w:hAnsi="Times New Roman" w:cs="Times New Roman"/>
          <w:sz w:val="24"/>
          <w:szCs w:val="24"/>
        </w:rPr>
        <w:t>0.023</w:t>
      </w:r>
      <w:r w:rsidR="00AF190F" w:rsidRPr="00BC779C">
        <w:rPr>
          <w:rFonts w:ascii="Times New Roman" w:hAnsi="Times New Roman" w:cs="Times New Roman"/>
          <w:sz w:val="24"/>
          <w:szCs w:val="24"/>
        </w:rPr>
        <w:t>, 0.388</w:t>
      </w:r>
      <w:r w:rsidR="00030A2D" w:rsidRPr="00BC779C">
        <w:rPr>
          <w:rFonts w:ascii="Times New Roman" w:hAnsi="Times New Roman" w:cs="Times New Roman"/>
          <w:sz w:val="24"/>
          <w:szCs w:val="24"/>
        </w:rPr>
        <w:t xml:space="preserve"> ± </w:t>
      </w:r>
      <w:r w:rsidR="00D65C9A" w:rsidRPr="00BC779C">
        <w:rPr>
          <w:rFonts w:ascii="Times New Roman" w:hAnsi="Times New Roman" w:cs="Times New Roman"/>
          <w:sz w:val="24"/>
          <w:szCs w:val="24"/>
        </w:rPr>
        <w:t>0.035</w:t>
      </w:r>
      <w:r w:rsidR="00AF190F" w:rsidRPr="00BC779C">
        <w:rPr>
          <w:rFonts w:ascii="Times New Roman" w:hAnsi="Times New Roman" w:cs="Times New Roman"/>
          <w:sz w:val="24"/>
          <w:szCs w:val="24"/>
        </w:rPr>
        <w:t xml:space="preserve"> and 0.390</w:t>
      </w:r>
      <w:r w:rsidR="00030A2D" w:rsidRPr="00BC779C">
        <w:rPr>
          <w:rFonts w:ascii="Times New Roman" w:hAnsi="Times New Roman" w:cs="Times New Roman"/>
          <w:sz w:val="24"/>
          <w:szCs w:val="24"/>
        </w:rPr>
        <w:t xml:space="preserve"> ± </w:t>
      </w:r>
      <w:r w:rsidR="00D65C9A" w:rsidRPr="00BC779C">
        <w:rPr>
          <w:rFonts w:ascii="Times New Roman" w:hAnsi="Times New Roman" w:cs="Times New Roman"/>
          <w:sz w:val="24"/>
          <w:szCs w:val="24"/>
        </w:rPr>
        <w:t>0.030 (mean ± SEM</w:t>
      </w:r>
      <w:r w:rsidR="00AE55D7" w:rsidRPr="00BC779C">
        <w:rPr>
          <w:rFonts w:ascii="Times New Roman" w:hAnsi="Times New Roman" w:cs="Times New Roman"/>
          <w:sz w:val="24"/>
          <w:szCs w:val="24"/>
        </w:rPr>
        <w:t>s</w:t>
      </w:r>
      <w:r w:rsidR="00D65C9A" w:rsidRPr="00BC779C">
        <w:rPr>
          <w:rFonts w:ascii="Times New Roman" w:hAnsi="Times New Roman" w:cs="Times New Roman"/>
          <w:sz w:val="24"/>
          <w:szCs w:val="24"/>
        </w:rPr>
        <w:t>)</w:t>
      </w:r>
      <w:r w:rsidR="00AF190F" w:rsidRPr="00BC779C">
        <w:rPr>
          <w:rFonts w:ascii="Times New Roman" w:hAnsi="Times New Roman" w:cs="Times New Roman"/>
          <w:sz w:val="24"/>
          <w:szCs w:val="24"/>
        </w:rPr>
        <w:t>, respectively</w:t>
      </w:r>
      <w:r w:rsidR="008802B0" w:rsidRPr="00BC779C">
        <w:rPr>
          <w:rFonts w:ascii="Times New Roman" w:hAnsi="Times New Roman" w:cs="Times New Roman"/>
          <w:sz w:val="24"/>
          <w:szCs w:val="24"/>
        </w:rPr>
        <w:t xml:space="preserve">. </w:t>
      </w:r>
      <w:r w:rsidRPr="00BC779C">
        <w:rPr>
          <w:rFonts w:ascii="Times New Roman" w:hAnsi="Times New Roman" w:cs="Times New Roman"/>
          <w:sz w:val="24"/>
          <w:szCs w:val="24"/>
        </w:rPr>
        <w:t xml:space="preserve">Fractional calcium absorption </w:t>
      </w:r>
      <w:r w:rsidR="00F445E0" w:rsidRPr="00BC779C">
        <w:rPr>
          <w:rFonts w:ascii="Times New Roman" w:hAnsi="Times New Roman" w:cs="Times New Roman"/>
          <w:sz w:val="24"/>
          <w:szCs w:val="24"/>
        </w:rPr>
        <w:t xml:space="preserve">for each individual varied with the control </w:t>
      </w:r>
      <w:r w:rsidR="00D6757B" w:rsidRPr="00BC779C">
        <w:rPr>
          <w:rFonts w:ascii="Times New Roman" w:hAnsi="Times New Roman" w:cs="Times New Roman"/>
          <w:sz w:val="24"/>
          <w:szCs w:val="24"/>
        </w:rPr>
        <w:t>intervention</w:t>
      </w:r>
      <w:r w:rsidR="00F445E0" w:rsidRPr="00BC779C">
        <w:rPr>
          <w:rFonts w:ascii="Times New Roman" w:hAnsi="Times New Roman" w:cs="Times New Roman"/>
          <w:sz w:val="24"/>
          <w:szCs w:val="24"/>
        </w:rPr>
        <w:t xml:space="preserve"> accounting for a range of 0.21</w:t>
      </w:r>
      <w:r w:rsidR="003613A5" w:rsidRPr="00BC779C">
        <w:rPr>
          <w:rFonts w:ascii="Times New Roman" w:hAnsi="Times New Roman" w:cs="Times New Roman"/>
          <w:sz w:val="24"/>
          <w:szCs w:val="24"/>
        </w:rPr>
        <w:t>9</w:t>
      </w:r>
      <w:r w:rsidR="00F445E0" w:rsidRPr="00BC779C">
        <w:rPr>
          <w:rFonts w:ascii="Times New Roman" w:hAnsi="Times New Roman" w:cs="Times New Roman"/>
          <w:sz w:val="24"/>
          <w:szCs w:val="24"/>
        </w:rPr>
        <w:t xml:space="preserve"> to 0.56</w:t>
      </w:r>
      <w:r w:rsidR="003613A5" w:rsidRPr="00BC779C">
        <w:rPr>
          <w:rFonts w:ascii="Times New Roman" w:hAnsi="Times New Roman" w:cs="Times New Roman"/>
          <w:sz w:val="24"/>
          <w:szCs w:val="24"/>
        </w:rPr>
        <w:t>8</w:t>
      </w:r>
      <w:r w:rsidR="00F445E0" w:rsidRPr="00BC779C">
        <w:rPr>
          <w:rFonts w:ascii="Times New Roman" w:hAnsi="Times New Roman" w:cs="Times New Roman"/>
          <w:sz w:val="24"/>
          <w:szCs w:val="24"/>
        </w:rPr>
        <w:t>. The percent increase i</w:t>
      </w:r>
      <w:r w:rsidR="007646D1" w:rsidRPr="00BC779C">
        <w:rPr>
          <w:rFonts w:ascii="Times New Roman" w:hAnsi="Times New Roman" w:cs="Times New Roman"/>
          <w:sz w:val="24"/>
          <w:szCs w:val="24"/>
        </w:rPr>
        <w:t xml:space="preserve">n fractional calcium absorption, over the entire 48 hours, </w:t>
      </w:r>
      <w:r w:rsidR="00F445E0" w:rsidRPr="00BC779C">
        <w:rPr>
          <w:rFonts w:ascii="Times New Roman" w:hAnsi="Times New Roman" w:cs="Times New Roman"/>
          <w:sz w:val="24"/>
          <w:szCs w:val="24"/>
        </w:rPr>
        <w:t xml:space="preserve">was significant for both the 10 g (13.3 ± 5.3%; mean ± SEM) and 20 g (12.9 ± 3.6%) </w:t>
      </w:r>
      <w:r w:rsidR="00B56496" w:rsidRPr="00BC779C">
        <w:rPr>
          <w:rFonts w:ascii="Times New Roman" w:hAnsi="Times New Roman" w:cs="Times New Roman"/>
          <w:sz w:val="24"/>
          <w:szCs w:val="24"/>
        </w:rPr>
        <w:t xml:space="preserve">fiber </w:t>
      </w:r>
      <w:r w:rsidR="00D6757B" w:rsidRPr="00BC779C">
        <w:rPr>
          <w:rFonts w:ascii="Times New Roman" w:hAnsi="Times New Roman" w:cs="Times New Roman"/>
          <w:sz w:val="24"/>
          <w:szCs w:val="24"/>
        </w:rPr>
        <w:t>intervention</w:t>
      </w:r>
      <w:r w:rsidR="00F445E0" w:rsidRPr="00BC779C">
        <w:rPr>
          <w:rFonts w:ascii="Times New Roman" w:hAnsi="Times New Roman" w:cs="Times New Roman"/>
          <w:sz w:val="24"/>
          <w:szCs w:val="24"/>
        </w:rPr>
        <w:t>s relati</w:t>
      </w:r>
      <w:r w:rsidR="006874DA" w:rsidRPr="00BC779C">
        <w:rPr>
          <w:rFonts w:ascii="Times New Roman" w:hAnsi="Times New Roman" w:cs="Times New Roman"/>
          <w:sz w:val="24"/>
          <w:szCs w:val="24"/>
        </w:rPr>
        <w:t xml:space="preserve">ve to the control (10 g &gt; 0 g; </w:t>
      </w:r>
      <w:r w:rsidR="006874DA" w:rsidRPr="00BC779C">
        <w:rPr>
          <w:rFonts w:ascii="Times New Roman" w:hAnsi="Times New Roman" w:cs="Times New Roman"/>
          <w:i/>
          <w:sz w:val="24"/>
          <w:szCs w:val="24"/>
        </w:rPr>
        <w:t>P</w:t>
      </w:r>
      <w:r w:rsidR="006874DA" w:rsidRPr="00BC779C">
        <w:rPr>
          <w:rFonts w:ascii="Times New Roman" w:hAnsi="Times New Roman" w:cs="Times New Roman"/>
          <w:sz w:val="24"/>
          <w:szCs w:val="24"/>
        </w:rPr>
        <w:t xml:space="preserve"> </w:t>
      </w:r>
      <w:r w:rsidR="00F445E0" w:rsidRPr="00BC779C">
        <w:rPr>
          <w:rFonts w:ascii="Times New Roman" w:hAnsi="Times New Roman" w:cs="Times New Roman"/>
          <w:sz w:val="24"/>
          <w:szCs w:val="24"/>
        </w:rPr>
        <w:t>=</w:t>
      </w:r>
      <w:r w:rsidR="006874DA" w:rsidRPr="00BC779C">
        <w:rPr>
          <w:rFonts w:ascii="Times New Roman" w:hAnsi="Times New Roman" w:cs="Times New Roman"/>
          <w:sz w:val="24"/>
          <w:szCs w:val="24"/>
        </w:rPr>
        <w:t xml:space="preserve"> 0.042 and 20 g &gt; 0 g, </w:t>
      </w:r>
      <w:r w:rsidR="006874DA" w:rsidRPr="00BC779C">
        <w:rPr>
          <w:rFonts w:ascii="Times New Roman" w:hAnsi="Times New Roman" w:cs="Times New Roman"/>
          <w:i/>
          <w:sz w:val="24"/>
          <w:szCs w:val="24"/>
        </w:rPr>
        <w:t>P</w:t>
      </w:r>
      <w:r w:rsidR="006874DA" w:rsidRPr="00BC779C">
        <w:rPr>
          <w:rFonts w:ascii="Times New Roman" w:hAnsi="Times New Roman" w:cs="Times New Roman"/>
          <w:sz w:val="24"/>
          <w:szCs w:val="24"/>
        </w:rPr>
        <w:t xml:space="preserve"> </w:t>
      </w:r>
      <w:r w:rsidR="00F445E0" w:rsidRPr="00BC779C">
        <w:rPr>
          <w:rFonts w:ascii="Times New Roman" w:hAnsi="Times New Roman" w:cs="Times New Roman"/>
          <w:sz w:val="24"/>
          <w:szCs w:val="24"/>
        </w:rPr>
        <w:t>=</w:t>
      </w:r>
      <w:r w:rsidR="006874DA" w:rsidRPr="00BC779C">
        <w:rPr>
          <w:rFonts w:ascii="Times New Roman" w:hAnsi="Times New Roman" w:cs="Times New Roman"/>
          <w:sz w:val="24"/>
          <w:szCs w:val="24"/>
        </w:rPr>
        <w:t xml:space="preserve"> </w:t>
      </w:r>
      <w:r w:rsidR="00F445E0" w:rsidRPr="00BC779C">
        <w:rPr>
          <w:rFonts w:ascii="Times New Roman" w:hAnsi="Times New Roman" w:cs="Times New Roman"/>
          <w:sz w:val="24"/>
          <w:szCs w:val="24"/>
        </w:rPr>
        <w:t xml:space="preserve">0.026, respectively). </w:t>
      </w:r>
      <w:r w:rsidR="000E4F1C" w:rsidRPr="00BC779C">
        <w:rPr>
          <w:rFonts w:ascii="Times New Roman" w:hAnsi="Times New Roman" w:cs="Times New Roman"/>
          <w:sz w:val="24"/>
          <w:szCs w:val="24"/>
        </w:rPr>
        <w:t>Biochemical markers of bone turnover were measured in fasting serum</w:t>
      </w:r>
      <w:r w:rsidR="00DD3A04" w:rsidRPr="00BC779C">
        <w:rPr>
          <w:rFonts w:ascii="Times New Roman" w:hAnsi="Times New Roman" w:cs="Times New Roman"/>
          <w:sz w:val="24"/>
          <w:szCs w:val="24"/>
        </w:rPr>
        <w:t xml:space="preserve"> and urine</w:t>
      </w:r>
      <w:r w:rsidR="000E4F1C" w:rsidRPr="00BC779C">
        <w:rPr>
          <w:rFonts w:ascii="Times New Roman" w:hAnsi="Times New Roman" w:cs="Times New Roman"/>
          <w:sz w:val="24"/>
          <w:szCs w:val="24"/>
        </w:rPr>
        <w:t xml:space="preserve"> taken duri</w:t>
      </w:r>
      <w:r w:rsidR="003613A5" w:rsidRPr="00BC779C">
        <w:rPr>
          <w:rFonts w:ascii="Times New Roman" w:hAnsi="Times New Roman" w:cs="Times New Roman"/>
          <w:sz w:val="24"/>
          <w:szCs w:val="24"/>
        </w:rPr>
        <w:t>ng the first day of the clinic</w:t>
      </w:r>
      <w:r w:rsidR="000E4F1C" w:rsidRPr="00BC779C">
        <w:rPr>
          <w:rFonts w:ascii="Times New Roman" w:hAnsi="Times New Roman" w:cs="Times New Roman"/>
          <w:sz w:val="24"/>
          <w:szCs w:val="24"/>
        </w:rPr>
        <w:t xml:space="preserve"> visit</w:t>
      </w:r>
      <w:r w:rsidR="006D3922" w:rsidRPr="00BC779C">
        <w:rPr>
          <w:rFonts w:ascii="Times New Roman" w:hAnsi="Times New Roman" w:cs="Times New Roman"/>
          <w:sz w:val="24"/>
          <w:szCs w:val="24"/>
        </w:rPr>
        <w:t xml:space="preserve"> (</w:t>
      </w:r>
      <w:r w:rsidR="006D3922" w:rsidRPr="00BC779C">
        <w:rPr>
          <w:rFonts w:ascii="Times New Roman" w:hAnsi="Times New Roman" w:cs="Times New Roman"/>
          <w:b/>
          <w:sz w:val="24"/>
          <w:szCs w:val="24"/>
        </w:rPr>
        <w:t>Figure 3</w:t>
      </w:r>
      <w:r w:rsidR="006D3922" w:rsidRPr="00BC779C">
        <w:rPr>
          <w:rFonts w:ascii="Times New Roman" w:hAnsi="Times New Roman" w:cs="Times New Roman"/>
          <w:sz w:val="24"/>
          <w:szCs w:val="24"/>
        </w:rPr>
        <w:t>)</w:t>
      </w:r>
      <w:r w:rsidR="000E4F1C" w:rsidRPr="00BC779C">
        <w:rPr>
          <w:rFonts w:ascii="Times New Roman" w:hAnsi="Times New Roman" w:cs="Times New Roman"/>
          <w:sz w:val="24"/>
          <w:szCs w:val="24"/>
        </w:rPr>
        <w:t xml:space="preserve">.  </w:t>
      </w:r>
      <w:r w:rsidR="00DD3A04" w:rsidRPr="00BC779C">
        <w:rPr>
          <w:rFonts w:ascii="Times New Roman" w:hAnsi="Times New Roman" w:cs="Times New Roman"/>
          <w:sz w:val="24"/>
          <w:szCs w:val="24"/>
        </w:rPr>
        <w:t>A significant</w:t>
      </w:r>
      <w:r w:rsidR="000E4F1C" w:rsidRPr="00BC779C">
        <w:rPr>
          <w:rFonts w:ascii="Times New Roman" w:hAnsi="Times New Roman" w:cs="Times New Roman"/>
          <w:sz w:val="24"/>
          <w:szCs w:val="24"/>
        </w:rPr>
        <w:t xml:space="preserve"> </w:t>
      </w:r>
      <w:r w:rsidR="007358CA" w:rsidRPr="00BC779C">
        <w:rPr>
          <w:rFonts w:ascii="Times New Roman" w:hAnsi="Times New Roman" w:cs="Times New Roman"/>
          <w:sz w:val="24"/>
          <w:szCs w:val="24"/>
        </w:rPr>
        <w:t xml:space="preserve">positive </w:t>
      </w:r>
      <w:r w:rsidR="000E4F1C" w:rsidRPr="00BC779C">
        <w:rPr>
          <w:rFonts w:ascii="Times New Roman" w:hAnsi="Times New Roman" w:cs="Times New Roman"/>
          <w:sz w:val="24"/>
          <w:szCs w:val="24"/>
        </w:rPr>
        <w:t>correlation</w:t>
      </w:r>
      <w:r w:rsidR="00DD3A04" w:rsidRPr="00BC779C">
        <w:rPr>
          <w:rFonts w:ascii="Times New Roman" w:hAnsi="Times New Roman" w:cs="Times New Roman"/>
          <w:sz w:val="24"/>
          <w:szCs w:val="24"/>
        </w:rPr>
        <w:t xml:space="preserve"> </w:t>
      </w:r>
      <w:r w:rsidR="000E4F1C" w:rsidRPr="00BC779C">
        <w:rPr>
          <w:rFonts w:ascii="Times New Roman" w:hAnsi="Times New Roman" w:cs="Times New Roman"/>
          <w:sz w:val="24"/>
          <w:szCs w:val="24"/>
        </w:rPr>
        <w:t>(</w:t>
      </w:r>
      <w:r w:rsidR="006D3922" w:rsidRPr="00BC779C">
        <w:rPr>
          <w:rFonts w:ascii="Times New Roman" w:hAnsi="Times New Roman" w:cs="Times New Roman"/>
          <w:sz w:val="24"/>
          <w:szCs w:val="24"/>
        </w:rPr>
        <w:t>r</w:t>
      </w:r>
      <w:r w:rsidR="006874DA" w:rsidRPr="00BC779C">
        <w:rPr>
          <w:rFonts w:ascii="Times New Roman" w:hAnsi="Times New Roman" w:cs="Times New Roman"/>
          <w:sz w:val="24"/>
          <w:szCs w:val="24"/>
        </w:rPr>
        <w:t xml:space="preserve"> </w:t>
      </w:r>
      <w:r w:rsidR="006D3922" w:rsidRPr="00BC779C">
        <w:rPr>
          <w:rFonts w:ascii="Times New Roman" w:hAnsi="Times New Roman" w:cs="Times New Roman"/>
          <w:sz w:val="24"/>
          <w:szCs w:val="24"/>
        </w:rPr>
        <w:t>=</w:t>
      </w:r>
      <w:r w:rsidR="006874DA" w:rsidRPr="00BC779C">
        <w:rPr>
          <w:rFonts w:ascii="Times New Roman" w:hAnsi="Times New Roman" w:cs="Times New Roman"/>
          <w:sz w:val="24"/>
          <w:szCs w:val="24"/>
        </w:rPr>
        <w:t xml:space="preserve"> </w:t>
      </w:r>
      <w:r w:rsidR="00D007E3" w:rsidRPr="00BC779C">
        <w:rPr>
          <w:rFonts w:ascii="Times New Roman" w:hAnsi="Times New Roman" w:cs="Times New Roman"/>
          <w:sz w:val="24"/>
          <w:szCs w:val="24"/>
        </w:rPr>
        <w:t>0.31</w:t>
      </w:r>
      <w:r w:rsidR="006D3922" w:rsidRPr="00BC779C">
        <w:rPr>
          <w:rFonts w:ascii="Times New Roman" w:hAnsi="Times New Roman" w:cs="Times New Roman"/>
          <w:sz w:val="24"/>
          <w:szCs w:val="24"/>
        </w:rPr>
        <w:t xml:space="preserve">, </w:t>
      </w:r>
      <w:r w:rsidR="006874DA" w:rsidRPr="00BC779C">
        <w:rPr>
          <w:rFonts w:ascii="Times New Roman" w:hAnsi="Times New Roman" w:cs="Times New Roman"/>
          <w:i/>
          <w:sz w:val="24"/>
          <w:szCs w:val="24"/>
        </w:rPr>
        <w:t>P</w:t>
      </w:r>
      <w:r w:rsidR="006874DA" w:rsidRPr="00BC779C">
        <w:rPr>
          <w:rFonts w:ascii="Times New Roman" w:hAnsi="Times New Roman" w:cs="Times New Roman"/>
          <w:sz w:val="24"/>
          <w:szCs w:val="24"/>
        </w:rPr>
        <w:t xml:space="preserve"> </w:t>
      </w:r>
      <w:r w:rsidR="000E4F1C" w:rsidRPr="00BC779C">
        <w:rPr>
          <w:rFonts w:ascii="Times New Roman" w:hAnsi="Times New Roman" w:cs="Times New Roman"/>
          <w:sz w:val="24"/>
          <w:szCs w:val="24"/>
        </w:rPr>
        <w:t>=</w:t>
      </w:r>
      <w:r w:rsidR="006874DA" w:rsidRPr="00BC779C">
        <w:rPr>
          <w:rFonts w:ascii="Times New Roman" w:hAnsi="Times New Roman" w:cs="Times New Roman"/>
          <w:sz w:val="24"/>
          <w:szCs w:val="24"/>
        </w:rPr>
        <w:t xml:space="preserve"> </w:t>
      </w:r>
      <w:r w:rsidR="000E4F1C" w:rsidRPr="00BC779C">
        <w:rPr>
          <w:rFonts w:ascii="Times New Roman" w:hAnsi="Times New Roman" w:cs="Times New Roman"/>
          <w:sz w:val="24"/>
          <w:szCs w:val="24"/>
        </w:rPr>
        <w:t xml:space="preserve">0.03) </w:t>
      </w:r>
      <w:r w:rsidR="00DD3A04" w:rsidRPr="00BC779C">
        <w:rPr>
          <w:rFonts w:ascii="Times New Roman" w:hAnsi="Times New Roman" w:cs="Times New Roman"/>
          <w:sz w:val="24"/>
          <w:szCs w:val="24"/>
        </w:rPr>
        <w:t xml:space="preserve">was observed between </w:t>
      </w:r>
      <w:r w:rsidR="000E4F1C" w:rsidRPr="00BC779C">
        <w:rPr>
          <w:rFonts w:ascii="Times New Roman" w:hAnsi="Times New Roman" w:cs="Times New Roman"/>
          <w:sz w:val="24"/>
          <w:szCs w:val="24"/>
        </w:rPr>
        <w:t xml:space="preserve">the change in BAP, a bone formation marker, and the change from control in fractional </w:t>
      </w:r>
      <w:r w:rsidR="00233BA9" w:rsidRPr="00BC779C">
        <w:rPr>
          <w:rFonts w:ascii="Times New Roman" w:hAnsi="Times New Roman" w:cs="Times New Roman"/>
          <w:sz w:val="24"/>
          <w:szCs w:val="24"/>
        </w:rPr>
        <w:t xml:space="preserve">calcium </w:t>
      </w:r>
      <w:r w:rsidR="000E4F1C" w:rsidRPr="00BC779C">
        <w:rPr>
          <w:rFonts w:ascii="Times New Roman" w:hAnsi="Times New Roman" w:cs="Times New Roman"/>
          <w:sz w:val="24"/>
          <w:szCs w:val="24"/>
        </w:rPr>
        <w:t xml:space="preserve">absorption.  </w:t>
      </w:r>
    </w:p>
    <w:p w14:paraId="49B80666" w14:textId="746B7F78" w:rsidR="005E66A8" w:rsidRPr="00BC779C" w:rsidRDefault="00BF15FF"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lastRenderedPageBreak/>
        <w:t xml:space="preserve">Participants experienced between 1 and 7 bowel movements during a single weekend clinic visit. Fecal weight increased with SCF in a dose-dependent manner but differences between the </w:t>
      </w:r>
      <w:r w:rsidR="00D6757B" w:rsidRPr="00BC779C">
        <w:rPr>
          <w:rFonts w:ascii="Times New Roman" w:hAnsi="Times New Roman" w:cs="Times New Roman"/>
          <w:sz w:val="24"/>
          <w:szCs w:val="24"/>
        </w:rPr>
        <w:t>intervention</w:t>
      </w:r>
      <w:r w:rsidRPr="00BC779C">
        <w:rPr>
          <w:rFonts w:ascii="Times New Roman" w:hAnsi="Times New Roman" w:cs="Times New Roman"/>
          <w:sz w:val="24"/>
          <w:szCs w:val="24"/>
        </w:rPr>
        <w:t>s were not statistically significant</w:t>
      </w:r>
      <w:r w:rsidR="007D2E5C" w:rsidRPr="00BC779C">
        <w:rPr>
          <w:rFonts w:ascii="Times New Roman" w:hAnsi="Times New Roman" w:cs="Times New Roman"/>
          <w:sz w:val="24"/>
          <w:szCs w:val="24"/>
        </w:rPr>
        <w:t xml:space="preserve"> (</w:t>
      </w:r>
      <w:r w:rsidR="006874DA" w:rsidRPr="00BC779C">
        <w:rPr>
          <w:rFonts w:ascii="Times New Roman" w:hAnsi="Times New Roman" w:cs="Times New Roman"/>
          <w:i/>
          <w:sz w:val="24"/>
          <w:szCs w:val="24"/>
        </w:rPr>
        <w:t>P</w:t>
      </w:r>
      <w:r w:rsidR="006874DA" w:rsidRPr="00BC779C">
        <w:rPr>
          <w:rFonts w:ascii="Times New Roman" w:hAnsi="Times New Roman" w:cs="Times New Roman"/>
          <w:sz w:val="24"/>
          <w:szCs w:val="24"/>
        </w:rPr>
        <w:t xml:space="preserve"> </w:t>
      </w:r>
      <w:r w:rsidR="00B16954" w:rsidRPr="00BC779C">
        <w:rPr>
          <w:rFonts w:ascii="Times New Roman" w:hAnsi="Times New Roman" w:cs="Times New Roman"/>
          <w:sz w:val="24"/>
          <w:szCs w:val="24"/>
        </w:rPr>
        <w:t>&gt;</w:t>
      </w:r>
      <w:r w:rsidR="006874DA" w:rsidRPr="00BC779C">
        <w:rPr>
          <w:rFonts w:ascii="Times New Roman" w:hAnsi="Times New Roman" w:cs="Times New Roman"/>
          <w:sz w:val="24"/>
          <w:szCs w:val="24"/>
        </w:rPr>
        <w:t xml:space="preserve"> </w:t>
      </w:r>
      <w:r w:rsidR="00B16954" w:rsidRPr="00BC779C">
        <w:rPr>
          <w:rFonts w:ascii="Times New Roman" w:hAnsi="Times New Roman" w:cs="Times New Roman"/>
          <w:sz w:val="24"/>
          <w:szCs w:val="24"/>
        </w:rPr>
        <w:t>0.05</w:t>
      </w:r>
      <w:r w:rsidR="00A76EF5" w:rsidRPr="00BC779C">
        <w:rPr>
          <w:rFonts w:ascii="Times New Roman" w:hAnsi="Times New Roman" w:cs="Times New Roman"/>
          <w:sz w:val="24"/>
          <w:szCs w:val="24"/>
        </w:rPr>
        <w:t xml:space="preserve">; </w:t>
      </w:r>
      <w:r w:rsidR="006D3922" w:rsidRPr="00BC779C">
        <w:rPr>
          <w:rFonts w:ascii="Times New Roman" w:hAnsi="Times New Roman" w:cs="Times New Roman"/>
          <w:b/>
          <w:sz w:val="24"/>
          <w:szCs w:val="24"/>
        </w:rPr>
        <w:t>Figure 4</w:t>
      </w:r>
      <w:r w:rsidR="00B16954" w:rsidRPr="00BC779C">
        <w:rPr>
          <w:rFonts w:ascii="Times New Roman" w:hAnsi="Times New Roman" w:cs="Times New Roman"/>
          <w:sz w:val="24"/>
          <w:szCs w:val="24"/>
        </w:rPr>
        <w:t>)</w:t>
      </w:r>
      <w:r w:rsidRPr="00BC779C">
        <w:rPr>
          <w:rFonts w:ascii="Times New Roman" w:hAnsi="Times New Roman" w:cs="Times New Roman"/>
          <w:sz w:val="24"/>
          <w:szCs w:val="24"/>
        </w:rPr>
        <w:t xml:space="preserve">. </w:t>
      </w:r>
      <w:r w:rsidR="009552B8" w:rsidRPr="00BC779C">
        <w:rPr>
          <w:rFonts w:ascii="Times New Roman" w:hAnsi="Times New Roman" w:cs="Times New Roman"/>
          <w:sz w:val="24"/>
          <w:szCs w:val="24"/>
        </w:rPr>
        <w:t xml:space="preserve">Self-reported gastrointestinal symptoms during all three </w:t>
      </w:r>
      <w:r w:rsidR="00D6757B" w:rsidRPr="00BC779C">
        <w:rPr>
          <w:rFonts w:ascii="Times New Roman" w:hAnsi="Times New Roman" w:cs="Times New Roman"/>
          <w:sz w:val="24"/>
          <w:szCs w:val="24"/>
        </w:rPr>
        <w:t>intervention</w:t>
      </w:r>
      <w:r w:rsidR="009552B8" w:rsidRPr="00BC779C">
        <w:rPr>
          <w:rFonts w:ascii="Times New Roman" w:hAnsi="Times New Roman" w:cs="Times New Roman"/>
          <w:sz w:val="24"/>
          <w:szCs w:val="24"/>
        </w:rPr>
        <w:t xml:space="preserve"> phas</w:t>
      </w:r>
      <w:r w:rsidR="00627EE8" w:rsidRPr="00BC779C">
        <w:rPr>
          <w:rFonts w:ascii="Times New Roman" w:hAnsi="Times New Roman" w:cs="Times New Roman"/>
          <w:sz w:val="24"/>
          <w:szCs w:val="24"/>
        </w:rPr>
        <w:t>es were minimal (Supplemental Fig. 1)</w:t>
      </w:r>
      <w:r w:rsidR="00A431F1" w:rsidRPr="00BC779C">
        <w:rPr>
          <w:rFonts w:ascii="Times New Roman" w:hAnsi="Times New Roman" w:cs="Times New Roman"/>
          <w:sz w:val="24"/>
          <w:szCs w:val="24"/>
        </w:rPr>
        <w:t>, although gas and bloating were greater at the highest dose relative to the control (</w:t>
      </w:r>
      <w:r w:rsidR="00A431F1" w:rsidRPr="00BC779C">
        <w:rPr>
          <w:rFonts w:ascii="Times New Roman" w:hAnsi="Times New Roman" w:cs="Times New Roman"/>
          <w:i/>
          <w:sz w:val="24"/>
          <w:szCs w:val="24"/>
        </w:rPr>
        <w:t>P</w:t>
      </w:r>
      <w:r w:rsidR="00A431F1" w:rsidRPr="00BC779C">
        <w:rPr>
          <w:rFonts w:ascii="Times New Roman" w:hAnsi="Times New Roman" w:cs="Times New Roman"/>
          <w:sz w:val="24"/>
          <w:szCs w:val="24"/>
        </w:rPr>
        <w:t xml:space="preserve"> </w:t>
      </w:r>
      <w:r w:rsidR="00184DC8" w:rsidRPr="00BC779C">
        <w:rPr>
          <w:rFonts w:ascii="Times New Roman" w:hAnsi="Times New Roman" w:cs="Times New Roman"/>
          <w:sz w:val="24"/>
          <w:szCs w:val="24"/>
        </w:rPr>
        <w:t>&lt;</w:t>
      </w:r>
      <w:r w:rsidR="00A431F1" w:rsidRPr="00BC779C">
        <w:rPr>
          <w:rFonts w:ascii="Times New Roman" w:hAnsi="Times New Roman" w:cs="Times New Roman"/>
          <w:sz w:val="24"/>
          <w:szCs w:val="24"/>
        </w:rPr>
        <w:t xml:space="preserve"> </w:t>
      </w:r>
      <w:r w:rsidR="00184DC8" w:rsidRPr="00BC779C">
        <w:rPr>
          <w:rFonts w:ascii="Times New Roman" w:hAnsi="Times New Roman" w:cs="Times New Roman"/>
          <w:sz w:val="24"/>
          <w:szCs w:val="24"/>
        </w:rPr>
        <w:t>0.05</w:t>
      </w:r>
      <w:r w:rsidR="00A431F1" w:rsidRPr="00BC779C">
        <w:rPr>
          <w:rFonts w:ascii="Times New Roman" w:hAnsi="Times New Roman" w:cs="Times New Roman"/>
          <w:sz w:val="24"/>
          <w:szCs w:val="24"/>
        </w:rPr>
        <w:t>).</w:t>
      </w:r>
      <w:r w:rsidR="00184DC8" w:rsidRPr="00BC779C">
        <w:rPr>
          <w:rFonts w:ascii="Times New Roman" w:hAnsi="Times New Roman" w:cs="Times New Roman"/>
          <w:sz w:val="24"/>
          <w:szCs w:val="24"/>
        </w:rPr>
        <w:t xml:space="preserve"> </w:t>
      </w:r>
      <w:r w:rsidR="00D83413" w:rsidRPr="00BC779C">
        <w:rPr>
          <w:rFonts w:ascii="Times New Roman" w:hAnsi="Times New Roman" w:cs="Times New Roman"/>
          <w:sz w:val="24"/>
          <w:szCs w:val="24"/>
        </w:rPr>
        <w:t xml:space="preserve">Fecal pH </w:t>
      </w:r>
      <w:r w:rsidR="007358CA" w:rsidRPr="00BC779C">
        <w:rPr>
          <w:rFonts w:ascii="Times New Roman" w:hAnsi="Times New Roman" w:cs="Times New Roman"/>
          <w:sz w:val="24"/>
          <w:szCs w:val="24"/>
        </w:rPr>
        <w:t xml:space="preserve">was significantly lower </w:t>
      </w:r>
      <w:r w:rsidR="003C346F" w:rsidRPr="00BC779C">
        <w:rPr>
          <w:rFonts w:ascii="Times New Roman" w:hAnsi="Times New Roman" w:cs="Times New Roman"/>
          <w:sz w:val="24"/>
          <w:szCs w:val="24"/>
        </w:rPr>
        <w:t xml:space="preserve">with highest SCF intake than </w:t>
      </w:r>
      <w:r w:rsidR="007358CA" w:rsidRPr="00BC779C">
        <w:rPr>
          <w:rFonts w:ascii="Times New Roman" w:hAnsi="Times New Roman" w:cs="Times New Roman"/>
          <w:sz w:val="24"/>
          <w:szCs w:val="24"/>
        </w:rPr>
        <w:t xml:space="preserve">with </w:t>
      </w:r>
      <w:r w:rsidR="003D266E" w:rsidRPr="00BC779C">
        <w:rPr>
          <w:rFonts w:ascii="Times New Roman" w:hAnsi="Times New Roman" w:cs="Times New Roman"/>
          <w:sz w:val="24"/>
          <w:szCs w:val="24"/>
        </w:rPr>
        <w:t>0</w:t>
      </w:r>
      <w:r w:rsidR="003C346F" w:rsidRPr="00BC779C">
        <w:rPr>
          <w:rFonts w:ascii="Times New Roman" w:hAnsi="Times New Roman" w:cs="Times New Roman"/>
          <w:sz w:val="24"/>
          <w:szCs w:val="24"/>
        </w:rPr>
        <w:t xml:space="preserve"> or 10 g</w:t>
      </w:r>
      <w:r w:rsidR="000C0CFD" w:rsidRPr="00BC779C">
        <w:rPr>
          <w:rFonts w:ascii="Times New Roman" w:hAnsi="Times New Roman" w:cs="Times New Roman"/>
          <w:sz w:val="24"/>
          <w:szCs w:val="24"/>
        </w:rPr>
        <w:t xml:space="preserve"> fiber</w:t>
      </w:r>
      <w:r w:rsidR="003D266E" w:rsidRPr="00BC779C">
        <w:rPr>
          <w:rFonts w:ascii="Times New Roman" w:hAnsi="Times New Roman" w:cs="Times New Roman"/>
          <w:sz w:val="24"/>
          <w:szCs w:val="24"/>
        </w:rPr>
        <w:t>/d</w:t>
      </w:r>
      <w:r w:rsidR="003C346F" w:rsidRPr="00BC779C">
        <w:rPr>
          <w:rFonts w:ascii="Times New Roman" w:hAnsi="Times New Roman" w:cs="Times New Roman"/>
          <w:sz w:val="24"/>
          <w:szCs w:val="24"/>
        </w:rPr>
        <w:t xml:space="preserve"> intake</w:t>
      </w:r>
      <w:r w:rsidR="000C0CFD" w:rsidRPr="00BC779C">
        <w:rPr>
          <w:rFonts w:ascii="Times New Roman" w:hAnsi="Times New Roman" w:cs="Times New Roman"/>
          <w:sz w:val="24"/>
          <w:szCs w:val="24"/>
        </w:rPr>
        <w:t>s</w:t>
      </w:r>
      <w:r w:rsidR="003C346F" w:rsidRPr="00BC779C">
        <w:rPr>
          <w:rFonts w:ascii="Times New Roman" w:hAnsi="Times New Roman" w:cs="Times New Roman"/>
          <w:sz w:val="24"/>
          <w:szCs w:val="24"/>
        </w:rPr>
        <w:t xml:space="preserve"> (</w:t>
      </w:r>
      <w:r w:rsidR="006874DA" w:rsidRPr="00BC779C">
        <w:rPr>
          <w:rFonts w:ascii="Times New Roman" w:hAnsi="Times New Roman" w:cs="Times New Roman"/>
          <w:i/>
          <w:sz w:val="24"/>
          <w:szCs w:val="24"/>
        </w:rPr>
        <w:t>P</w:t>
      </w:r>
      <w:r w:rsidR="006874DA" w:rsidRPr="00BC779C">
        <w:rPr>
          <w:rFonts w:ascii="Times New Roman" w:hAnsi="Times New Roman" w:cs="Times New Roman"/>
          <w:sz w:val="24"/>
          <w:szCs w:val="24"/>
        </w:rPr>
        <w:t xml:space="preserve"> </w:t>
      </w:r>
      <w:r w:rsidR="003C346F" w:rsidRPr="00BC779C">
        <w:rPr>
          <w:rFonts w:ascii="Times New Roman" w:hAnsi="Times New Roman" w:cs="Times New Roman"/>
          <w:sz w:val="24"/>
          <w:szCs w:val="24"/>
        </w:rPr>
        <w:t>&lt;</w:t>
      </w:r>
      <w:r w:rsidR="006874DA" w:rsidRPr="00BC779C">
        <w:rPr>
          <w:rFonts w:ascii="Times New Roman" w:hAnsi="Times New Roman" w:cs="Times New Roman"/>
          <w:sz w:val="24"/>
          <w:szCs w:val="24"/>
        </w:rPr>
        <w:t xml:space="preserve"> </w:t>
      </w:r>
      <w:r w:rsidR="003C346F" w:rsidRPr="00BC779C">
        <w:rPr>
          <w:rFonts w:ascii="Times New Roman" w:hAnsi="Times New Roman" w:cs="Times New Roman"/>
          <w:sz w:val="24"/>
          <w:szCs w:val="24"/>
        </w:rPr>
        <w:t>0.02</w:t>
      </w:r>
      <w:r w:rsidR="006D3922" w:rsidRPr="00BC779C">
        <w:rPr>
          <w:rFonts w:ascii="Times New Roman" w:hAnsi="Times New Roman" w:cs="Times New Roman"/>
          <w:sz w:val="24"/>
          <w:szCs w:val="24"/>
        </w:rPr>
        <w:t>; Figure 4</w:t>
      </w:r>
      <w:r w:rsidR="003C346F" w:rsidRPr="00BC779C">
        <w:rPr>
          <w:rFonts w:ascii="Times New Roman" w:hAnsi="Times New Roman" w:cs="Times New Roman"/>
          <w:sz w:val="24"/>
          <w:szCs w:val="24"/>
        </w:rPr>
        <w:t xml:space="preserve">).  </w:t>
      </w:r>
      <w:r w:rsidR="00E42957" w:rsidRPr="00BC779C">
        <w:rPr>
          <w:rFonts w:ascii="Times New Roman" w:hAnsi="Times New Roman" w:cs="Times New Roman"/>
          <w:sz w:val="24"/>
          <w:szCs w:val="24"/>
        </w:rPr>
        <w:t>When individual SCFA</w:t>
      </w:r>
      <w:r w:rsidR="00C83B5E" w:rsidRPr="00BC779C">
        <w:rPr>
          <w:rFonts w:ascii="Times New Roman" w:hAnsi="Times New Roman" w:cs="Times New Roman"/>
          <w:sz w:val="24"/>
          <w:szCs w:val="24"/>
        </w:rPr>
        <w:t>s</w:t>
      </w:r>
      <w:r w:rsidR="00E42957" w:rsidRPr="00BC779C">
        <w:rPr>
          <w:rFonts w:ascii="Times New Roman" w:hAnsi="Times New Roman" w:cs="Times New Roman"/>
          <w:sz w:val="24"/>
          <w:szCs w:val="24"/>
        </w:rPr>
        <w:t xml:space="preserve"> were measured in feces, acetate, propionate and butyrate were the most abundant</w:t>
      </w:r>
      <w:r w:rsidR="007646D1" w:rsidRPr="00BC779C">
        <w:rPr>
          <w:rFonts w:ascii="Times New Roman" w:hAnsi="Times New Roman" w:cs="Times New Roman"/>
          <w:sz w:val="24"/>
          <w:szCs w:val="24"/>
        </w:rPr>
        <w:t>. N</w:t>
      </w:r>
      <w:r w:rsidR="00E42957" w:rsidRPr="00BC779C">
        <w:rPr>
          <w:rFonts w:ascii="Times New Roman" w:hAnsi="Times New Roman" w:cs="Times New Roman"/>
          <w:sz w:val="24"/>
          <w:szCs w:val="24"/>
        </w:rPr>
        <w:t xml:space="preserve">o significant differences were observed </w:t>
      </w:r>
      <w:r w:rsidR="00714D4B" w:rsidRPr="00BC779C">
        <w:rPr>
          <w:rFonts w:ascii="Times New Roman" w:hAnsi="Times New Roman" w:cs="Times New Roman"/>
          <w:sz w:val="24"/>
          <w:szCs w:val="24"/>
        </w:rPr>
        <w:t xml:space="preserve">between </w:t>
      </w:r>
      <w:r w:rsidR="00D6757B" w:rsidRPr="00BC779C">
        <w:rPr>
          <w:rFonts w:ascii="Times New Roman" w:hAnsi="Times New Roman" w:cs="Times New Roman"/>
          <w:sz w:val="24"/>
          <w:szCs w:val="24"/>
        </w:rPr>
        <w:t>intervention</w:t>
      </w:r>
      <w:r w:rsidR="00714D4B" w:rsidRPr="00BC779C">
        <w:rPr>
          <w:rFonts w:ascii="Times New Roman" w:hAnsi="Times New Roman" w:cs="Times New Roman"/>
          <w:sz w:val="24"/>
          <w:szCs w:val="24"/>
        </w:rPr>
        <w:t>s for any of the individual SCFA</w:t>
      </w:r>
      <w:r w:rsidR="00C83B5E" w:rsidRPr="00BC779C">
        <w:rPr>
          <w:rFonts w:ascii="Times New Roman" w:hAnsi="Times New Roman" w:cs="Times New Roman"/>
          <w:sz w:val="24"/>
          <w:szCs w:val="24"/>
        </w:rPr>
        <w:t>s</w:t>
      </w:r>
      <w:r w:rsidR="0027169F" w:rsidRPr="00BC779C">
        <w:rPr>
          <w:rFonts w:ascii="Times New Roman" w:hAnsi="Times New Roman" w:cs="Times New Roman"/>
          <w:sz w:val="24"/>
          <w:szCs w:val="24"/>
        </w:rPr>
        <w:t xml:space="preserve"> (data not shown</w:t>
      </w:r>
      <w:r w:rsidR="007646D1" w:rsidRPr="00BC779C">
        <w:rPr>
          <w:rFonts w:ascii="Times New Roman" w:hAnsi="Times New Roman" w:cs="Times New Roman"/>
          <w:sz w:val="24"/>
          <w:szCs w:val="24"/>
        </w:rPr>
        <w:t xml:space="preserve">; </w:t>
      </w:r>
      <w:r w:rsidR="007646D1" w:rsidRPr="00BC779C">
        <w:rPr>
          <w:rFonts w:ascii="Times New Roman" w:hAnsi="Times New Roman" w:cs="Times New Roman"/>
          <w:i/>
          <w:sz w:val="24"/>
          <w:szCs w:val="24"/>
        </w:rPr>
        <w:t>P</w:t>
      </w:r>
      <w:r w:rsidR="007646D1" w:rsidRPr="00BC779C">
        <w:rPr>
          <w:rFonts w:ascii="Times New Roman" w:hAnsi="Times New Roman" w:cs="Times New Roman"/>
          <w:sz w:val="24"/>
          <w:szCs w:val="24"/>
        </w:rPr>
        <w:t xml:space="preserve"> &gt; 0.1</w:t>
      </w:r>
      <w:r w:rsidR="0027169F" w:rsidRPr="00BC779C">
        <w:rPr>
          <w:rFonts w:ascii="Times New Roman" w:hAnsi="Times New Roman" w:cs="Times New Roman"/>
          <w:sz w:val="24"/>
          <w:szCs w:val="24"/>
        </w:rPr>
        <w:t>)</w:t>
      </w:r>
      <w:r w:rsidR="00714D4B" w:rsidRPr="00BC779C">
        <w:rPr>
          <w:rFonts w:ascii="Times New Roman" w:hAnsi="Times New Roman" w:cs="Times New Roman"/>
          <w:sz w:val="24"/>
          <w:szCs w:val="24"/>
        </w:rPr>
        <w:t>.</w:t>
      </w:r>
    </w:p>
    <w:p w14:paraId="69FE7592" w14:textId="25CEFBCA" w:rsidR="003438AF" w:rsidRPr="00BC779C" w:rsidRDefault="00F70E90"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A total of 12,979,388 high quality merged sequences were obtained using MiSeq Illumina sequencin</w:t>
      </w:r>
      <w:r w:rsidR="00157FD1" w:rsidRPr="00BC779C">
        <w:rPr>
          <w:rFonts w:ascii="Times New Roman" w:hAnsi="Times New Roman" w:cs="Times New Roman"/>
          <w:sz w:val="24"/>
          <w:szCs w:val="24"/>
        </w:rPr>
        <w:t>g with</w:t>
      </w:r>
      <w:r w:rsidR="00820008" w:rsidRPr="00BC779C">
        <w:rPr>
          <w:rFonts w:ascii="Times New Roman" w:hAnsi="Times New Roman" w:cs="Times New Roman"/>
          <w:sz w:val="24"/>
          <w:szCs w:val="24"/>
        </w:rPr>
        <w:t xml:space="preserve"> a</w:t>
      </w:r>
      <w:r w:rsidR="00157FD1" w:rsidRPr="00BC779C">
        <w:rPr>
          <w:rFonts w:ascii="Times New Roman" w:hAnsi="Times New Roman" w:cs="Times New Roman"/>
          <w:sz w:val="24"/>
          <w:szCs w:val="24"/>
        </w:rPr>
        <w:t xml:space="preserve"> </w:t>
      </w:r>
      <w:r w:rsidR="00820008" w:rsidRPr="00BC779C">
        <w:rPr>
          <w:rFonts w:ascii="Times New Roman" w:hAnsi="Times New Roman" w:cs="Times New Roman"/>
          <w:sz w:val="24"/>
          <w:szCs w:val="24"/>
        </w:rPr>
        <w:t>mean</w:t>
      </w:r>
      <w:r w:rsidR="00157FD1" w:rsidRPr="00BC779C">
        <w:rPr>
          <w:rFonts w:ascii="Times New Roman" w:hAnsi="Times New Roman" w:cs="Times New Roman"/>
          <w:sz w:val="24"/>
          <w:szCs w:val="24"/>
        </w:rPr>
        <w:t xml:space="preserve"> of 77,720 ± 28,401</w:t>
      </w:r>
      <w:r w:rsidR="009D3CB5" w:rsidRPr="00BC779C">
        <w:rPr>
          <w:rFonts w:ascii="Times New Roman" w:hAnsi="Times New Roman" w:cs="Times New Roman"/>
          <w:sz w:val="24"/>
          <w:szCs w:val="24"/>
        </w:rPr>
        <w:t xml:space="preserve"> </w:t>
      </w:r>
      <w:r w:rsidR="00157FD1" w:rsidRPr="00BC779C">
        <w:rPr>
          <w:rFonts w:ascii="Times New Roman" w:hAnsi="Times New Roman" w:cs="Times New Roman"/>
          <w:sz w:val="24"/>
          <w:szCs w:val="24"/>
        </w:rPr>
        <w:t>(range: 28,854 - 262,312) sequences per sample</w:t>
      </w:r>
      <w:r w:rsidRPr="00BC779C">
        <w:rPr>
          <w:rFonts w:ascii="Times New Roman" w:hAnsi="Times New Roman" w:cs="Times New Roman"/>
          <w:sz w:val="24"/>
          <w:szCs w:val="24"/>
        </w:rPr>
        <w:t xml:space="preserve">. </w:t>
      </w:r>
      <w:r w:rsidR="009D3CB5" w:rsidRPr="00BC779C">
        <w:rPr>
          <w:rFonts w:ascii="Times New Roman" w:hAnsi="Times New Roman" w:cs="Times New Roman"/>
          <w:sz w:val="24"/>
          <w:szCs w:val="24"/>
        </w:rPr>
        <w:t>Based on the</w:t>
      </w:r>
      <w:r w:rsidRPr="00BC779C">
        <w:rPr>
          <w:rFonts w:ascii="Times New Roman" w:hAnsi="Times New Roman" w:cs="Times New Roman"/>
          <w:sz w:val="24"/>
          <w:szCs w:val="24"/>
        </w:rPr>
        <w:t xml:space="preserve"> lowest n</w:t>
      </w:r>
      <w:r w:rsidR="009D3CB5" w:rsidRPr="00BC779C">
        <w:rPr>
          <w:rFonts w:ascii="Times New Roman" w:hAnsi="Times New Roman" w:cs="Times New Roman"/>
          <w:sz w:val="24"/>
          <w:szCs w:val="24"/>
        </w:rPr>
        <w:t>umber of sequences obtained (</w:t>
      </w:r>
      <w:r w:rsidRPr="00BC779C">
        <w:rPr>
          <w:rFonts w:ascii="Times New Roman" w:hAnsi="Times New Roman" w:cs="Times New Roman"/>
          <w:sz w:val="24"/>
          <w:szCs w:val="24"/>
        </w:rPr>
        <w:t>28,854</w:t>
      </w:r>
      <w:r w:rsidR="009D3CB5" w:rsidRPr="00BC779C">
        <w:rPr>
          <w:rFonts w:ascii="Times New Roman" w:hAnsi="Times New Roman" w:cs="Times New Roman"/>
          <w:sz w:val="24"/>
          <w:szCs w:val="24"/>
        </w:rPr>
        <w:t xml:space="preserve">), </w:t>
      </w:r>
      <w:r w:rsidRPr="00BC779C">
        <w:rPr>
          <w:rFonts w:ascii="Times New Roman" w:hAnsi="Times New Roman" w:cs="Times New Roman"/>
          <w:sz w:val="24"/>
          <w:szCs w:val="24"/>
        </w:rPr>
        <w:t xml:space="preserve">all subsequent analyses were rarefied to 28,800 sequences per sample. </w:t>
      </w:r>
      <w:r w:rsidR="003F374D" w:rsidRPr="00BC779C">
        <w:rPr>
          <w:rFonts w:ascii="Times New Roman" w:hAnsi="Times New Roman" w:cs="Times New Roman"/>
          <w:sz w:val="24"/>
          <w:szCs w:val="24"/>
        </w:rPr>
        <w:t xml:space="preserve">Comparison of alpha diversity measures </w:t>
      </w:r>
      <w:r w:rsidR="00157FD1" w:rsidRPr="00BC779C">
        <w:rPr>
          <w:rFonts w:ascii="Times New Roman" w:hAnsi="Times New Roman" w:cs="Times New Roman"/>
          <w:sz w:val="24"/>
          <w:szCs w:val="24"/>
        </w:rPr>
        <w:t>for</w:t>
      </w:r>
      <w:r w:rsidR="003F374D" w:rsidRPr="00BC779C">
        <w:rPr>
          <w:rFonts w:ascii="Times New Roman" w:hAnsi="Times New Roman" w:cs="Times New Roman"/>
          <w:sz w:val="24"/>
          <w:szCs w:val="24"/>
        </w:rPr>
        <w:t xml:space="preserve"> end samples indicated</w:t>
      </w:r>
      <w:r w:rsidR="001B61CF" w:rsidRPr="00BC779C">
        <w:rPr>
          <w:rFonts w:ascii="Times New Roman" w:hAnsi="Times New Roman" w:cs="Times New Roman"/>
          <w:sz w:val="24"/>
          <w:szCs w:val="24"/>
        </w:rPr>
        <w:t xml:space="preserve"> significant</w:t>
      </w:r>
      <w:r w:rsidR="006874DA" w:rsidRPr="00BC779C">
        <w:rPr>
          <w:rFonts w:ascii="Times New Roman" w:hAnsi="Times New Roman" w:cs="Times New Roman"/>
          <w:sz w:val="24"/>
          <w:szCs w:val="24"/>
        </w:rPr>
        <w:t>ly (</w:t>
      </w:r>
      <w:r w:rsidR="006874DA" w:rsidRPr="00BC779C">
        <w:rPr>
          <w:rFonts w:ascii="Times New Roman" w:hAnsi="Times New Roman" w:cs="Times New Roman"/>
          <w:i/>
          <w:sz w:val="24"/>
          <w:szCs w:val="24"/>
        </w:rPr>
        <w:t>P</w:t>
      </w:r>
      <w:r w:rsidR="003438AF" w:rsidRPr="00BC779C">
        <w:rPr>
          <w:rFonts w:ascii="Times New Roman" w:hAnsi="Times New Roman" w:cs="Times New Roman"/>
          <w:sz w:val="24"/>
          <w:szCs w:val="24"/>
        </w:rPr>
        <w:t xml:space="preserve"> &lt; 0.05) greater diversity with SCF dosage </w:t>
      </w:r>
      <w:r w:rsidR="009D3CB5" w:rsidRPr="00BC779C">
        <w:rPr>
          <w:rFonts w:ascii="Times New Roman" w:hAnsi="Times New Roman" w:cs="Times New Roman"/>
          <w:sz w:val="24"/>
          <w:szCs w:val="24"/>
        </w:rPr>
        <w:t>using the</w:t>
      </w:r>
      <w:r w:rsidR="003438AF" w:rsidRPr="00BC779C">
        <w:rPr>
          <w:rFonts w:ascii="Times New Roman" w:hAnsi="Times New Roman" w:cs="Times New Roman"/>
          <w:sz w:val="24"/>
          <w:szCs w:val="24"/>
        </w:rPr>
        <w:t xml:space="preserve"> species richness measure Chao1</w:t>
      </w:r>
      <w:r w:rsidR="00157FD1" w:rsidRPr="00BC779C">
        <w:rPr>
          <w:rFonts w:ascii="Times New Roman" w:hAnsi="Times New Roman" w:cs="Times New Roman"/>
          <w:sz w:val="24"/>
          <w:szCs w:val="24"/>
        </w:rPr>
        <w:t xml:space="preserve"> (</w:t>
      </w:r>
      <w:r w:rsidR="00157FD1" w:rsidRPr="00BC779C">
        <w:rPr>
          <w:rFonts w:ascii="Times New Roman" w:eastAsia="Times New Roman" w:hAnsi="Times New Roman" w:cs="Times New Roman"/>
          <w:color w:val="000000"/>
          <w:sz w:val="24"/>
          <w:szCs w:val="24"/>
        </w:rPr>
        <w:t>1104</w:t>
      </w:r>
      <w:r w:rsidR="006874DA" w:rsidRPr="00BC779C">
        <w:rPr>
          <w:rFonts w:ascii="Times New Roman" w:eastAsia="Times New Roman" w:hAnsi="Times New Roman" w:cs="Times New Roman"/>
          <w:color w:val="000000"/>
          <w:sz w:val="24"/>
          <w:szCs w:val="24"/>
        </w:rPr>
        <w:t xml:space="preserve"> </w:t>
      </w:r>
      <w:r w:rsidR="00157FD1" w:rsidRPr="00BC779C">
        <w:rPr>
          <w:rFonts w:ascii="Times New Roman" w:eastAsia="Times New Roman" w:hAnsi="Times New Roman" w:cs="Times New Roman"/>
          <w:color w:val="000000"/>
          <w:sz w:val="24"/>
          <w:szCs w:val="24"/>
        </w:rPr>
        <w:t>±</w:t>
      </w:r>
      <w:r w:rsidR="006874DA" w:rsidRPr="00BC779C">
        <w:rPr>
          <w:rFonts w:ascii="Times New Roman" w:eastAsia="Times New Roman" w:hAnsi="Times New Roman" w:cs="Times New Roman"/>
          <w:color w:val="000000"/>
          <w:sz w:val="24"/>
          <w:szCs w:val="24"/>
        </w:rPr>
        <w:t xml:space="preserve"> </w:t>
      </w:r>
      <w:r w:rsidR="00157FD1" w:rsidRPr="00BC779C">
        <w:rPr>
          <w:rFonts w:ascii="Times New Roman" w:eastAsia="Times New Roman" w:hAnsi="Times New Roman" w:cs="Times New Roman"/>
          <w:color w:val="000000"/>
          <w:sz w:val="24"/>
          <w:szCs w:val="24"/>
        </w:rPr>
        <w:t xml:space="preserve">126, </w:t>
      </w:r>
      <w:r w:rsidR="003438AF" w:rsidRPr="00BC779C">
        <w:rPr>
          <w:rFonts w:ascii="Times New Roman" w:eastAsia="Times New Roman" w:hAnsi="Times New Roman" w:cs="Times New Roman"/>
          <w:color w:val="000000"/>
          <w:sz w:val="24"/>
          <w:szCs w:val="24"/>
        </w:rPr>
        <w:t>1402</w:t>
      </w:r>
      <w:r w:rsidR="006874DA" w:rsidRPr="00BC779C">
        <w:rPr>
          <w:rFonts w:ascii="Times New Roman" w:eastAsia="Times New Roman" w:hAnsi="Times New Roman" w:cs="Times New Roman"/>
          <w:color w:val="000000"/>
          <w:sz w:val="24"/>
          <w:szCs w:val="24"/>
        </w:rPr>
        <w:t xml:space="preserve"> </w:t>
      </w:r>
      <w:r w:rsidR="003438AF" w:rsidRPr="00BC779C">
        <w:rPr>
          <w:rFonts w:ascii="Times New Roman" w:eastAsia="Times New Roman" w:hAnsi="Times New Roman" w:cs="Times New Roman"/>
          <w:color w:val="000000"/>
          <w:sz w:val="24"/>
          <w:szCs w:val="24"/>
        </w:rPr>
        <w:t>±</w:t>
      </w:r>
      <w:r w:rsidR="006874DA" w:rsidRPr="00BC779C">
        <w:rPr>
          <w:rFonts w:ascii="Times New Roman" w:eastAsia="Times New Roman" w:hAnsi="Times New Roman" w:cs="Times New Roman"/>
          <w:color w:val="000000"/>
          <w:sz w:val="24"/>
          <w:szCs w:val="24"/>
        </w:rPr>
        <w:t xml:space="preserve"> </w:t>
      </w:r>
      <w:r w:rsidR="003438AF" w:rsidRPr="00BC779C">
        <w:rPr>
          <w:rFonts w:ascii="Times New Roman" w:eastAsia="Times New Roman" w:hAnsi="Times New Roman" w:cs="Times New Roman"/>
          <w:color w:val="000000"/>
          <w:sz w:val="24"/>
          <w:szCs w:val="24"/>
        </w:rPr>
        <w:t>276</w:t>
      </w:r>
      <w:r w:rsidR="003438AF" w:rsidRPr="00BC779C">
        <w:rPr>
          <w:rFonts w:ascii="Times New Roman" w:eastAsia="Times New Roman" w:hAnsi="Times New Roman" w:cs="Times New Roman"/>
          <w:color w:val="000000"/>
          <w:sz w:val="24"/>
          <w:szCs w:val="24"/>
          <w:vertAlign w:val="superscript"/>
        </w:rPr>
        <w:t xml:space="preserve"> </w:t>
      </w:r>
      <w:r w:rsidR="003438AF" w:rsidRPr="00BC779C">
        <w:rPr>
          <w:rFonts w:ascii="Times New Roman" w:eastAsia="Times New Roman" w:hAnsi="Times New Roman" w:cs="Times New Roman"/>
          <w:color w:val="000000"/>
          <w:sz w:val="24"/>
          <w:szCs w:val="24"/>
        </w:rPr>
        <w:t>and 1282</w:t>
      </w:r>
      <w:r w:rsidR="006874DA" w:rsidRPr="00BC779C">
        <w:rPr>
          <w:rFonts w:ascii="Times New Roman" w:eastAsia="Times New Roman" w:hAnsi="Times New Roman" w:cs="Times New Roman"/>
          <w:color w:val="000000"/>
          <w:sz w:val="24"/>
          <w:szCs w:val="24"/>
        </w:rPr>
        <w:t xml:space="preserve"> </w:t>
      </w:r>
      <w:r w:rsidR="003438AF" w:rsidRPr="00BC779C">
        <w:rPr>
          <w:rFonts w:ascii="Times New Roman" w:eastAsia="Times New Roman" w:hAnsi="Times New Roman" w:cs="Times New Roman"/>
          <w:color w:val="000000"/>
          <w:sz w:val="24"/>
          <w:szCs w:val="24"/>
        </w:rPr>
        <w:t>±</w:t>
      </w:r>
      <w:r w:rsidR="006874DA" w:rsidRPr="00BC779C">
        <w:rPr>
          <w:rFonts w:ascii="Times New Roman" w:eastAsia="Times New Roman" w:hAnsi="Times New Roman" w:cs="Times New Roman"/>
          <w:color w:val="000000"/>
          <w:sz w:val="24"/>
          <w:szCs w:val="24"/>
        </w:rPr>
        <w:t xml:space="preserve"> </w:t>
      </w:r>
      <w:r w:rsidR="003438AF" w:rsidRPr="00BC779C">
        <w:rPr>
          <w:rFonts w:ascii="Times New Roman" w:eastAsia="Times New Roman" w:hAnsi="Times New Roman" w:cs="Times New Roman"/>
          <w:color w:val="000000"/>
          <w:sz w:val="24"/>
          <w:szCs w:val="24"/>
        </w:rPr>
        <w:t>192</w:t>
      </w:r>
      <w:r w:rsidR="003438AF" w:rsidRPr="00BC779C">
        <w:rPr>
          <w:rFonts w:ascii="Times New Roman" w:hAnsi="Times New Roman" w:cs="Times New Roman"/>
          <w:sz w:val="24"/>
          <w:szCs w:val="24"/>
        </w:rPr>
        <w:t xml:space="preserve"> </w:t>
      </w:r>
      <w:r w:rsidR="00157FD1" w:rsidRPr="00BC779C">
        <w:rPr>
          <w:rFonts w:ascii="Times New Roman" w:hAnsi="Times New Roman" w:cs="Times New Roman"/>
          <w:sz w:val="24"/>
          <w:szCs w:val="24"/>
        </w:rPr>
        <w:t xml:space="preserve">for 0, 10 and 20 g, respectively) </w:t>
      </w:r>
      <w:r w:rsidR="003438AF" w:rsidRPr="00BC779C">
        <w:rPr>
          <w:rFonts w:ascii="Times New Roman" w:hAnsi="Times New Roman" w:cs="Times New Roman"/>
          <w:sz w:val="24"/>
          <w:szCs w:val="24"/>
        </w:rPr>
        <w:t xml:space="preserve">and </w:t>
      </w:r>
      <w:r w:rsidR="00D25889" w:rsidRPr="00BC779C">
        <w:rPr>
          <w:rFonts w:ascii="Times New Roman" w:hAnsi="Times New Roman" w:cs="Times New Roman"/>
          <w:sz w:val="24"/>
          <w:szCs w:val="24"/>
        </w:rPr>
        <w:t>the o</w:t>
      </w:r>
      <w:r w:rsidR="003438AF" w:rsidRPr="00BC779C">
        <w:rPr>
          <w:rFonts w:ascii="Times New Roman" w:hAnsi="Times New Roman" w:cs="Times New Roman"/>
          <w:sz w:val="24"/>
          <w:szCs w:val="24"/>
        </w:rPr>
        <w:t>bse</w:t>
      </w:r>
      <w:r w:rsidR="00D25889" w:rsidRPr="00BC779C">
        <w:rPr>
          <w:rFonts w:ascii="Times New Roman" w:hAnsi="Times New Roman" w:cs="Times New Roman"/>
          <w:sz w:val="24"/>
          <w:szCs w:val="24"/>
        </w:rPr>
        <w:t>rved s</w:t>
      </w:r>
      <w:r w:rsidR="003438AF" w:rsidRPr="00BC779C">
        <w:rPr>
          <w:rFonts w:ascii="Times New Roman" w:hAnsi="Times New Roman" w:cs="Times New Roman"/>
          <w:sz w:val="24"/>
          <w:szCs w:val="24"/>
        </w:rPr>
        <w:t>pecies</w:t>
      </w:r>
      <w:r w:rsidR="00D25889" w:rsidRPr="00BC779C">
        <w:rPr>
          <w:rFonts w:ascii="Times New Roman" w:hAnsi="Times New Roman" w:cs="Times New Roman"/>
          <w:sz w:val="24"/>
          <w:szCs w:val="24"/>
        </w:rPr>
        <w:t xml:space="preserve"> OTU measure</w:t>
      </w:r>
      <w:r w:rsidR="003438AF" w:rsidRPr="00BC779C">
        <w:rPr>
          <w:rFonts w:ascii="Times New Roman" w:hAnsi="Times New Roman" w:cs="Times New Roman"/>
          <w:sz w:val="24"/>
          <w:szCs w:val="24"/>
        </w:rPr>
        <w:t xml:space="preserve"> </w:t>
      </w:r>
      <w:r w:rsidR="00157FD1" w:rsidRPr="00BC779C">
        <w:rPr>
          <w:rFonts w:ascii="Times New Roman" w:hAnsi="Times New Roman" w:cs="Times New Roman"/>
          <w:sz w:val="24"/>
          <w:szCs w:val="24"/>
        </w:rPr>
        <w:t>(</w:t>
      </w:r>
      <w:r w:rsidR="00157FD1" w:rsidRPr="00BC779C">
        <w:rPr>
          <w:rFonts w:ascii="Times New Roman" w:eastAsia="Times New Roman" w:hAnsi="Times New Roman" w:cs="Times New Roman"/>
          <w:color w:val="000000"/>
          <w:sz w:val="24"/>
          <w:szCs w:val="24"/>
        </w:rPr>
        <w:t>601.4</w:t>
      </w:r>
      <w:r w:rsidR="006874DA" w:rsidRPr="00BC779C">
        <w:rPr>
          <w:rFonts w:ascii="Times New Roman" w:eastAsia="Times New Roman" w:hAnsi="Times New Roman" w:cs="Times New Roman"/>
          <w:color w:val="000000"/>
          <w:sz w:val="24"/>
          <w:szCs w:val="24"/>
        </w:rPr>
        <w:t xml:space="preserve"> </w:t>
      </w:r>
      <w:r w:rsidR="00157FD1" w:rsidRPr="00BC779C">
        <w:rPr>
          <w:rFonts w:ascii="Times New Roman" w:eastAsia="Times New Roman" w:hAnsi="Times New Roman" w:cs="Times New Roman"/>
          <w:color w:val="000000"/>
          <w:sz w:val="24"/>
          <w:szCs w:val="24"/>
        </w:rPr>
        <w:t>±</w:t>
      </w:r>
      <w:r w:rsidR="006874DA" w:rsidRPr="00BC779C">
        <w:rPr>
          <w:rFonts w:ascii="Times New Roman" w:eastAsia="Times New Roman" w:hAnsi="Times New Roman" w:cs="Times New Roman"/>
          <w:color w:val="000000"/>
          <w:sz w:val="24"/>
          <w:szCs w:val="24"/>
        </w:rPr>
        <w:t xml:space="preserve"> </w:t>
      </w:r>
      <w:r w:rsidR="00157FD1" w:rsidRPr="00BC779C">
        <w:rPr>
          <w:rFonts w:ascii="Times New Roman" w:eastAsia="Times New Roman" w:hAnsi="Times New Roman" w:cs="Times New Roman"/>
          <w:color w:val="000000"/>
          <w:sz w:val="24"/>
          <w:szCs w:val="24"/>
        </w:rPr>
        <w:t>83.5</w:t>
      </w:r>
      <w:r w:rsidR="003438AF" w:rsidRPr="00BC779C">
        <w:rPr>
          <w:rFonts w:ascii="Times New Roman" w:eastAsia="Times New Roman" w:hAnsi="Times New Roman" w:cs="Times New Roman"/>
          <w:color w:val="000000"/>
          <w:sz w:val="24"/>
          <w:szCs w:val="24"/>
        </w:rPr>
        <w:t xml:space="preserve">, </w:t>
      </w:r>
      <w:r w:rsidR="00157FD1" w:rsidRPr="00BC779C">
        <w:rPr>
          <w:rFonts w:ascii="Times New Roman" w:eastAsia="Times New Roman" w:hAnsi="Times New Roman" w:cs="Times New Roman"/>
          <w:color w:val="000000"/>
          <w:sz w:val="24"/>
          <w:szCs w:val="24"/>
        </w:rPr>
        <w:t>634.5</w:t>
      </w:r>
      <w:r w:rsidR="006874DA" w:rsidRPr="00BC779C">
        <w:rPr>
          <w:rFonts w:ascii="Times New Roman" w:eastAsia="Times New Roman" w:hAnsi="Times New Roman" w:cs="Times New Roman"/>
          <w:color w:val="000000"/>
          <w:sz w:val="24"/>
          <w:szCs w:val="24"/>
        </w:rPr>
        <w:t xml:space="preserve"> </w:t>
      </w:r>
      <w:r w:rsidR="00157FD1" w:rsidRPr="00BC779C">
        <w:rPr>
          <w:rFonts w:ascii="Times New Roman" w:eastAsia="Times New Roman" w:hAnsi="Times New Roman" w:cs="Times New Roman"/>
          <w:color w:val="000000"/>
          <w:sz w:val="24"/>
          <w:szCs w:val="24"/>
        </w:rPr>
        <w:t>±</w:t>
      </w:r>
      <w:r w:rsidR="006874DA" w:rsidRPr="00BC779C">
        <w:rPr>
          <w:rFonts w:ascii="Times New Roman" w:eastAsia="Times New Roman" w:hAnsi="Times New Roman" w:cs="Times New Roman"/>
          <w:color w:val="000000"/>
          <w:sz w:val="24"/>
          <w:szCs w:val="24"/>
        </w:rPr>
        <w:t xml:space="preserve"> </w:t>
      </w:r>
      <w:r w:rsidR="00157FD1" w:rsidRPr="00BC779C">
        <w:rPr>
          <w:rFonts w:ascii="Times New Roman" w:eastAsia="Times New Roman" w:hAnsi="Times New Roman" w:cs="Times New Roman"/>
          <w:color w:val="000000"/>
          <w:sz w:val="24"/>
          <w:szCs w:val="24"/>
        </w:rPr>
        <w:t>83.8</w:t>
      </w:r>
      <w:r w:rsidR="003438AF" w:rsidRPr="00BC779C">
        <w:rPr>
          <w:rFonts w:ascii="Times New Roman" w:eastAsia="Times New Roman" w:hAnsi="Times New Roman" w:cs="Times New Roman"/>
          <w:color w:val="000000"/>
          <w:sz w:val="24"/>
          <w:szCs w:val="24"/>
        </w:rPr>
        <w:t>, and 649.6</w:t>
      </w:r>
      <w:r w:rsidR="006874DA" w:rsidRPr="00BC779C">
        <w:rPr>
          <w:rFonts w:ascii="Times New Roman" w:eastAsia="Times New Roman" w:hAnsi="Times New Roman" w:cs="Times New Roman"/>
          <w:color w:val="000000"/>
          <w:sz w:val="24"/>
          <w:szCs w:val="24"/>
        </w:rPr>
        <w:t xml:space="preserve"> </w:t>
      </w:r>
      <w:r w:rsidR="003438AF" w:rsidRPr="00BC779C">
        <w:rPr>
          <w:rFonts w:ascii="Times New Roman" w:eastAsia="Times New Roman" w:hAnsi="Times New Roman" w:cs="Times New Roman"/>
          <w:color w:val="000000"/>
          <w:sz w:val="24"/>
          <w:szCs w:val="24"/>
        </w:rPr>
        <w:t>±</w:t>
      </w:r>
      <w:r w:rsidR="006874DA" w:rsidRPr="00BC779C">
        <w:rPr>
          <w:rFonts w:ascii="Times New Roman" w:eastAsia="Times New Roman" w:hAnsi="Times New Roman" w:cs="Times New Roman"/>
          <w:color w:val="000000"/>
          <w:sz w:val="24"/>
          <w:szCs w:val="24"/>
        </w:rPr>
        <w:t xml:space="preserve"> </w:t>
      </w:r>
      <w:r w:rsidR="003438AF" w:rsidRPr="00BC779C">
        <w:rPr>
          <w:rFonts w:ascii="Times New Roman" w:eastAsia="Times New Roman" w:hAnsi="Times New Roman" w:cs="Times New Roman"/>
          <w:color w:val="000000"/>
          <w:sz w:val="24"/>
          <w:szCs w:val="24"/>
        </w:rPr>
        <w:t xml:space="preserve">75.5 </w:t>
      </w:r>
      <w:r w:rsidR="00157FD1" w:rsidRPr="00BC779C">
        <w:rPr>
          <w:rFonts w:ascii="Times New Roman" w:hAnsi="Times New Roman" w:cs="Times New Roman"/>
          <w:sz w:val="24"/>
          <w:szCs w:val="24"/>
        </w:rPr>
        <w:t>for 0, 10 and 20 g, respectively)</w:t>
      </w:r>
      <w:r w:rsidR="003438AF" w:rsidRPr="00BC779C">
        <w:rPr>
          <w:rFonts w:ascii="Times New Roman" w:eastAsia="Times New Roman" w:hAnsi="Times New Roman" w:cs="Times New Roman"/>
          <w:color w:val="000000"/>
          <w:sz w:val="24"/>
          <w:szCs w:val="24"/>
        </w:rPr>
        <w:t xml:space="preserve">. </w:t>
      </w:r>
    </w:p>
    <w:p w14:paraId="78BDCB40" w14:textId="5CA7E1D2" w:rsidR="001B61CF" w:rsidRPr="00BC779C" w:rsidRDefault="001B61CF"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 xml:space="preserve">Comparisons </w:t>
      </w:r>
      <w:r w:rsidR="00313212" w:rsidRPr="00BC779C">
        <w:rPr>
          <w:rFonts w:ascii="Times New Roman" w:hAnsi="Times New Roman" w:cs="Times New Roman"/>
          <w:sz w:val="24"/>
          <w:szCs w:val="24"/>
        </w:rPr>
        <w:t>among</w:t>
      </w:r>
      <w:r w:rsidRPr="00BC779C">
        <w:rPr>
          <w:rFonts w:ascii="Times New Roman" w:hAnsi="Times New Roman" w:cs="Times New Roman"/>
          <w:sz w:val="24"/>
          <w:szCs w:val="24"/>
        </w:rPr>
        <w:t xml:space="preserve"> communities (beta diversity) </w:t>
      </w:r>
      <w:r w:rsidR="00313212" w:rsidRPr="00BC779C">
        <w:rPr>
          <w:rFonts w:ascii="Times New Roman" w:hAnsi="Times New Roman" w:cs="Times New Roman"/>
          <w:sz w:val="24"/>
          <w:szCs w:val="24"/>
        </w:rPr>
        <w:t>using</w:t>
      </w:r>
      <w:r w:rsidRPr="00BC779C">
        <w:rPr>
          <w:rFonts w:ascii="Times New Roman" w:hAnsi="Times New Roman" w:cs="Times New Roman"/>
          <w:sz w:val="24"/>
          <w:szCs w:val="24"/>
        </w:rPr>
        <w:t xml:space="preserve"> Euclidean distances (Binary Euclidean and Bray Curtis) </w:t>
      </w:r>
      <w:r w:rsidR="00313212" w:rsidRPr="00BC779C">
        <w:rPr>
          <w:rFonts w:ascii="Times New Roman" w:hAnsi="Times New Roman" w:cs="Times New Roman"/>
          <w:sz w:val="24"/>
          <w:szCs w:val="24"/>
        </w:rPr>
        <w:t>and</w:t>
      </w:r>
      <w:r w:rsidRPr="00BC779C">
        <w:rPr>
          <w:rFonts w:ascii="Times New Roman" w:hAnsi="Times New Roman" w:cs="Times New Roman"/>
          <w:sz w:val="24"/>
          <w:szCs w:val="24"/>
        </w:rPr>
        <w:t xml:space="preserve"> Principal Coordinate Analysis (PCoA) </w:t>
      </w:r>
      <w:r w:rsidR="00313212" w:rsidRPr="00BC779C">
        <w:rPr>
          <w:rFonts w:ascii="Times New Roman" w:hAnsi="Times New Roman" w:cs="Times New Roman"/>
          <w:sz w:val="24"/>
          <w:szCs w:val="24"/>
        </w:rPr>
        <w:t>indicated</w:t>
      </w:r>
      <w:r w:rsidRPr="00BC779C">
        <w:rPr>
          <w:rFonts w:ascii="Times New Roman" w:hAnsi="Times New Roman" w:cs="Times New Roman"/>
          <w:sz w:val="24"/>
          <w:szCs w:val="24"/>
        </w:rPr>
        <w:t xml:space="preserve"> </w:t>
      </w:r>
      <w:r w:rsidR="00193718" w:rsidRPr="00BC779C">
        <w:rPr>
          <w:rFonts w:ascii="Times New Roman" w:hAnsi="Times New Roman" w:cs="Times New Roman"/>
          <w:sz w:val="24"/>
          <w:szCs w:val="24"/>
        </w:rPr>
        <w:t xml:space="preserve">that </w:t>
      </w:r>
      <w:r w:rsidR="00313212" w:rsidRPr="00BC779C">
        <w:rPr>
          <w:rFonts w:ascii="Times New Roman" w:hAnsi="Times New Roman" w:cs="Times New Roman"/>
          <w:sz w:val="24"/>
          <w:szCs w:val="24"/>
        </w:rPr>
        <w:t xml:space="preserve">communities </w:t>
      </w:r>
      <w:r w:rsidRPr="00BC779C">
        <w:rPr>
          <w:rFonts w:ascii="Times New Roman" w:hAnsi="Times New Roman" w:cs="Times New Roman"/>
          <w:sz w:val="24"/>
          <w:szCs w:val="24"/>
        </w:rPr>
        <w:t xml:space="preserve">at the end of </w:t>
      </w:r>
      <w:r w:rsidR="00313212" w:rsidRPr="00BC779C">
        <w:rPr>
          <w:rFonts w:ascii="Times New Roman" w:hAnsi="Times New Roman" w:cs="Times New Roman"/>
          <w:sz w:val="24"/>
          <w:szCs w:val="24"/>
        </w:rPr>
        <w:t>10 and 20 g</w:t>
      </w:r>
      <w:r w:rsidR="001137C6" w:rsidRPr="00BC779C">
        <w:rPr>
          <w:rFonts w:ascii="Times New Roman" w:hAnsi="Times New Roman" w:cs="Times New Roman"/>
          <w:sz w:val="24"/>
          <w:szCs w:val="24"/>
        </w:rPr>
        <w:t xml:space="preserve"> fiber/d</w:t>
      </w:r>
      <w:r w:rsidR="00EB6AE8" w:rsidRPr="00BC779C">
        <w:rPr>
          <w:rFonts w:ascii="Times New Roman" w:hAnsi="Times New Roman" w:cs="Times New Roman"/>
          <w:sz w:val="24"/>
          <w:szCs w:val="24"/>
        </w:rPr>
        <w:t xml:space="preserve"> from</w:t>
      </w:r>
      <w:r w:rsidR="00313212" w:rsidRPr="00BC779C">
        <w:rPr>
          <w:rFonts w:ascii="Times New Roman" w:hAnsi="Times New Roman" w:cs="Times New Roman"/>
          <w:sz w:val="24"/>
          <w:szCs w:val="24"/>
        </w:rPr>
        <w:t xml:space="preserve"> </w:t>
      </w:r>
      <w:r w:rsidRPr="00BC779C">
        <w:rPr>
          <w:rFonts w:ascii="Times New Roman" w:hAnsi="Times New Roman" w:cs="Times New Roman"/>
          <w:sz w:val="24"/>
          <w:szCs w:val="24"/>
        </w:rPr>
        <w:t xml:space="preserve">SCF </w:t>
      </w:r>
      <w:r w:rsidR="00D6757B" w:rsidRPr="00BC779C">
        <w:rPr>
          <w:rFonts w:ascii="Times New Roman" w:hAnsi="Times New Roman" w:cs="Times New Roman"/>
          <w:sz w:val="24"/>
          <w:szCs w:val="24"/>
        </w:rPr>
        <w:t>intervention</w:t>
      </w:r>
      <w:r w:rsidRPr="00BC779C">
        <w:rPr>
          <w:rFonts w:ascii="Times New Roman" w:hAnsi="Times New Roman" w:cs="Times New Roman"/>
          <w:sz w:val="24"/>
          <w:szCs w:val="24"/>
        </w:rPr>
        <w:t xml:space="preserve">s </w:t>
      </w:r>
      <w:r w:rsidR="00313212" w:rsidRPr="00BC779C">
        <w:rPr>
          <w:rFonts w:ascii="Times New Roman" w:hAnsi="Times New Roman" w:cs="Times New Roman"/>
          <w:sz w:val="24"/>
          <w:szCs w:val="24"/>
        </w:rPr>
        <w:t>grouped separately from the</w:t>
      </w:r>
      <w:r w:rsidRPr="00BC779C">
        <w:rPr>
          <w:rFonts w:ascii="Times New Roman" w:hAnsi="Times New Roman" w:cs="Times New Roman"/>
          <w:sz w:val="24"/>
          <w:szCs w:val="24"/>
        </w:rPr>
        <w:t xml:space="preserve"> end of </w:t>
      </w:r>
      <w:r w:rsidR="00D25889" w:rsidRPr="00BC779C">
        <w:rPr>
          <w:rFonts w:ascii="Times New Roman" w:hAnsi="Times New Roman" w:cs="Times New Roman"/>
          <w:sz w:val="24"/>
          <w:szCs w:val="24"/>
        </w:rPr>
        <w:t xml:space="preserve">the </w:t>
      </w:r>
      <w:r w:rsidR="00313212" w:rsidRPr="00BC779C">
        <w:rPr>
          <w:rFonts w:ascii="Times New Roman" w:hAnsi="Times New Roman" w:cs="Times New Roman"/>
          <w:sz w:val="24"/>
          <w:szCs w:val="24"/>
        </w:rPr>
        <w:t>control</w:t>
      </w:r>
      <w:r w:rsidRPr="00BC779C">
        <w:rPr>
          <w:rFonts w:ascii="Times New Roman" w:hAnsi="Times New Roman" w:cs="Times New Roman"/>
          <w:sz w:val="24"/>
          <w:szCs w:val="24"/>
        </w:rPr>
        <w:t xml:space="preserve"> </w:t>
      </w:r>
      <w:r w:rsidR="00D6757B" w:rsidRPr="00BC779C">
        <w:rPr>
          <w:rFonts w:ascii="Times New Roman" w:hAnsi="Times New Roman" w:cs="Times New Roman"/>
          <w:sz w:val="24"/>
          <w:szCs w:val="24"/>
        </w:rPr>
        <w:t>intervention</w:t>
      </w:r>
      <w:r w:rsidR="00D25889" w:rsidRPr="00BC779C">
        <w:rPr>
          <w:rFonts w:ascii="Times New Roman" w:hAnsi="Times New Roman" w:cs="Times New Roman"/>
          <w:sz w:val="24"/>
          <w:szCs w:val="24"/>
        </w:rPr>
        <w:t xml:space="preserve"> </w:t>
      </w:r>
      <w:r w:rsidRPr="00BC779C">
        <w:rPr>
          <w:rFonts w:ascii="Times New Roman" w:hAnsi="Times New Roman" w:cs="Times New Roman"/>
          <w:sz w:val="24"/>
          <w:szCs w:val="24"/>
        </w:rPr>
        <w:t xml:space="preserve">and all </w:t>
      </w:r>
      <w:r w:rsidR="00193718" w:rsidRPr="00BC779C">
        <w:rPr>
          <w:rFonts w:ascii="Times New Roman" w:hAnsi="Times New Roman" w:cs="Times New Roman"/>
          <w:sz w:val="24"/>
          <w:szCs w:val="24"/>
        </w:rPr>
        <w:t xml:space="preserve">baseline samples </w:t>
      </w:r>
      <w:r w:rsidR="00AB02C2" w:rsidRPr="00BC779C">
        <w:rPr>
          <w:rFonts w:ascii="Times New Roman" w:eastAsiaTheme="minorHAnsi" w:hAnsi="Times New Roman" w:cs="Times New Roman"/>
          <w:sz w:val="24"/>
          <w:szCs w:val="24"/>
        </w:rPr>
        <w:t>as indicated by circled groups in</w:t>
      </w:r>
      <w:r w:rsidR="00AB02C2" w:rsidRPr="00BC779C">
        <w:rPr>
          <w:rFonts w:ascii="Times New Roman" w:hAnsi="Times New Roman" w:cs="Times New Roman"/>
          <w:sz w:val="24"/>
          <w:szCs w:val="24"/>
        </w:rPr>
        <w:t xml:space="preserve"> </w:t>
      </w:r>
      <w:r w:rsidR="00627EE8" w:rsidRPr="00BC779C">
        <w:rPr>
          <w:rFonts w:ascii="Times New Roman" w:hAnsi="Times New Roman" w:cs="Times New Roman"/>
          <w:b/>
          <w:sz w:val="24"/>
          <w:szCs w:val="24"/>
        </w:rPr>
        <w:t>Figure 5</w:t>
      </w:r>
      <w:r w:rsidRPr="00BC779C">
        <w:rPr>
          <w:rFonts w:ascii="Times New Roman" w:hAnsi="Times New Roman" w:cs="Times New Roman"/>
          <w:sz w:val="24"/>
          <w:szCs w:val="24"/>
        </w:rPr>
        <w:t xml:space="preserve">. </w:t>
      </w:r>
      <w:r w:rsidR="00107522" w:rsidRPr="00BC779C">
        <w:rPr>
          <w:rFonts w:ascii="Times New Roman" w:hAnsi="Times New Roman" w:cs="Times New Roman"/>
          <w:sz w:val="24"/>
          <w:szCs w:val="24"/>
        </w:rPr>
        <w:t>D</w:t>
      </w:r>
      <w:r w:rsidR="00313212" w:rsidRPr="00BC779C">
        <w:rPr>
          <w:rFonts w:ascii="Times New Roman" w:hAnsi="Times New Roman" w:cs="Times New Roman"/>
          <w:sz w:val="24"/>
          <w:szCs w:val="24"/>
        </w:rPr>
        <w:t xml:space="preserve">ifferences </w:t>
      </w:r>
      <w:r w:rsidR="00107522" w:rsidRPr="00BC779C">
        <w:rPr>
          <w:rFonts w:ascii="Times New Roman" w:hAnsi="Times New Roman" w:cs="Times New Roman"/>
          <w:sz w:val="24"/>
          <w:szCs w:val="24"/>
        </w:rPr>
        <w:t xml:space="preserve">between samples with and without SCF </w:t>
      </w:r>
      <w:r w:rsidR="00313212" w:rsidRPr="00BC779C">
        <w:rPr>
          <w:rFonts w:ascii="Times New Roman" w:hAnsi="Times New Roman" w:cs="Times New Roman"/>
          <w:sz w:val="24"/>
          <w:szCs w:val="24"/>
        </w:rPr>
        <w:t>were significant</w:t>
      </w:r>
      <w:r w:rsidR="005560CF" w:rsidRPr="00BC779C">
        <w:rPr>
          <w:rFonts w:ascii="Times New Roman" w:hAnsi="Times New Roman" w:cs="Times New Roman"/>
          <w:sz w:val="24"/>
          <w:szCs w:val="24"/>
        </w:rPr>
        <w:t>ly</w:t>
      </w:r>
      <w:r w:rsidR="00313212" w:rsidRPr="00BC779C">
        <w:rPr>
          <w:rFonts w:ascii="Times New Roman" w:hAnsi="Times New Roman" w:cs="Times New Roman"/>
          <w:sz w:val="24"/>
          <w:szCs w:val="24"/>
        </w:rPr>
        <w:t xml:space="preserve"> differen</w:t>
      </w:r>
      <w:r w:rsidR="005560CF" w:rsidRPr="00BC779C">
        <w:rPr>
          <w:rFonts w:ascii="Times New Roman" w:hAnsi="Times New Roman" w:cs="Times New Roman"/>
          <w:sz w:val="24"/>
          <w:szCs w:val="24"/>
        </w:rPr>
        <w:t>t</w:t>
      </w:r>
      <w:r w:rsidR="00313212" w:rsidRPr="00BC779C">
        <w:rPr>
          <w:rFonts w:ascii="Times New Roman" w:hAnsi="Times New Roman" w:cs="Times New Roman"/>
          <w:sz w:val="24"/>
          <w:szCs w:val="24"/>
        </w:rPr>
        <w:t xml:space="preserve"> </w:t>
      </w:r>
      <w:r w:rsidR="001B584E" w:rsidRPr="00BC779C">
        <w:rPr>
          <w:rFonts w:ascii="Times New Roman" w:hAnsi="Times New Roman" w:cs="Times New Roman"/>
          <w:sz w:val="24"/>
          <w:szCs w:val="24"/>
        </w:rPr>
        <w:lastRenderedPageBreak/>
        <w:t>(</w:t>
      </w:r>
      <w:r w:rsidR="00313212" w:rsidRPr="00BC779C">
        <w:rPr>
          <w:rFonts w:ascii="Times New Roman" w:hAnsi="Times New Roman" w:cs="Times New Roman"/>
          <w:sz w:val="24"/>
          <w:szCs w:val="24"/>
        </w:rPr>
        <w:t>perMANOVA</w:t>
      </w:r>
      <w:r w:rsidR="001B584E" w:rsidRPr="00BC779C">
        <w:rPr>
          <w:rFonts w:ascii="Times New Roman" w:hAnsi="Times New Roman" w:cs="Times New Roman"/>
          <w:sz w:val="24"/>
          <w:szCs w:val="24"/>
        </w:rPr>
        <w:t xml:space="preserve">, </w:t>
      </w:r>
      <w:r w:rsidR="006874DA" w:rsidRPr="00BC779C">
        <w:rPr>
          <w:rFonts w:ascii="Times New Roman" w:hAnsi="Times New Roman" w:cs="Times New Roman"/>
          <w:i/>
          <w:sz w:val="24"/>
          <w:szCs w:val="24"/>
        </w:rPr>
        <w:t>P</w:t>
      </w:r>
      <w:r w:rsidR="00107522" w:rsidRPr="00BC779C">
        <w:rPr>
          <w:rFonts w:ascii="Times New Roman" w:hAnsi="Times New Roman" w:cs="Times New Roman"/>
          <w:sz w:val="24"/>
          <w:szCs w:val="24"/>
        </w:rPr>
        <w:t xml:space="preserve"> &lt; 0.006)</w:t>
      </w:r>
      <w:r w:rsidR="00D25889" w:rsidRPr="00BC779C">
        <w:rPr>
          <w:rFonts w:ascii="Times New Roman" w:hAnsi="Times New Roman" w:cs="Times New Roman"/>
          <w:sz w:val="24"/>
          <w:szCs w:val="24"/>
        </w:rPr>
        <w:t xml:space="preserve"> which indicated </w:t>
      </w:r>
      <w:r w:rsidRPr="00BC779C">
        <w:rPr>
          <w:rFonts w:ascii="Times New Roman" w:hAnsi="Times New Roman" w:cs="Times New Roman"/>
          <w:sz w:val="24"/>
          <w:szCs w:val="24"/>
        </w:rPr>
        <w:t xml:space="preserve">that the presence or absence of specific taxa </w:t>
      </w:r>
      <w:r w:rsidR="00D25889" w:rsidRPr="00BC779C">
        <w:rPr>
          <w:rFonts w:ascii="Times New Roman" w:hAnsi="Times New Roman" w:cs="Times New Roman"/>
          <w:sz w:val="24"/>
          <w:szCs w:val="24"/>
        </w:rPr>
        <w:t>were</w:t>
      </w:r>
      <w:r w:rsidRPr="00BC779C">
        <w:rPr>
          <w:rFonts w:ascii="Times New Roman" w:hAnsi="Times New Roman" w:cs="Times New Roman"/>
          <w:sz w:val="24"/>
          <w:szCs w:val="24"/>
        </w:rPr>
        <w:t xml:space="preserve"> contributing to the </w:t>
      </w:r>
      <w:r w:rsidR="00D25889" w:rsidRPr="00BC779C">
        <w:rPr>
          <w:rFonts w:ascii="Times New Roman" w:hAnsi="Times New Roman" w:cs="Times New Roman"/>
          <w:sz w:val="24"/>
          <w:szCs w:val="24"/>
        </w:rPr>
        <w:t>observed community differences</w:t>
      </w:r>
      <w:r w:rsidRPr="00BC779C">
        <w:rPr>
          <w:rFonts w:ascii="Times New Roman" w:hAnsi="Times New Roman" w:cs="Times New Roman"/>
          <w:sz w:val="24"/>
          <w:szCs w:val="24"/>
        </w:rPr>
        <w:t xml:space="preserve">. </w:t>
      </w:r>
      <w:r w:rsidR="005560CF" w:rsidRPr="00BC779C">
        <w:rPr>
          <w:rFonts w:ascii="Times New Roman" w:hAnsi="Times New Roman" w:cs="Times New Roman"/>
          <w:sz w:val="24"/>
          <w:szCs w:val="24"/>
        </w:rPr>
        <w:t xml:space="preserve"> These taxa were identified u</w:t>
      </w:r>
      <w:r w:rsidR="00D62CA2" w:rsidRPr="00BC779C">
        <w:rPr>
          <w:rFonts w:ascii="Times New Roman" w:hAnsi="Times New Roman" w:cs="Times New Roman"/>
          <w:sz w:val="24"/>
          <w:szCs w:val="24"/>
        </w:rPr>
        <w:t xml:space="preserve">sing Wilcoxon </w:t>
      </w:r>
      <w:r w:rsidR="00C10AF5" w:rsidRPr="00BC779C">
        <w:rPr>
          <w:rFonts w:ascii="Times New Roman" w:hAnsi="Times New Roman" w:cs="Times New Roman"/>
          <w:sz w:val="24"/>
          <w:szCs w:val="24"/>
        </w:rPr>
        <w:t>rank</w:t>
      </w:r>
      <w:r w:rsidR="00D62CA2" w:rsidRPr="00BC779C">
        <w:rPr>
          <w:rFonts w:ascii="Times New Roman" w:hAnsi="Times New Roman" w:cs="Times New Roman"/>
          <w:sz w:val="24"/>
          <w:szCs w:val="24"/>
        </w:rPr>
        <w:t xml:space="preserve"> test with Bonferroni correction</w:t>
      </w:r>
      <w:r w:rsidR="00D10F71" w:rsidRPr="00BC779C">
        <w:rPr>
          <w:rFonts w:ascii="Times New Roman" w:hAnsi="Times New Roman" w:cs="Times New Roman"/>
          <w:sz w:val="24"/>
          <w:szCs w:val="24"/>
        </w:rPr>
        <w:t xml:space="preserve"> </w:t>
      </w:r>
      <w:r w:rsidR="00820008" w:rsidRPr="00BC779C">
        <w:rPr>
          <w:rFonts w:ascii="Times New Roman" w:hAnsi="Times New Roman" w:cs="Times New Roman"/>
          <w:sz w:val="24"/>
          <w:szCs w:val="24"/>
        </w:rPr>
        <w:t>comparing proportional mean</w:t>
      </w:r>
      <w:r w:rsidR="005560CF" w:rsidRPr="00BC779C">
        <w:rPr>
          <w:rFonts w:ascii="Times New Roman" w:hAnsi="Times New Roman" w:cs="Times New Roman"/>
          <w:sz w:val="24"/>
          <w:szCs w:val="24"/>
        </w:rPr>
        <w:t xml:space="preserve">s </w:t>
      </w:r>
      <w:r w:rsidR="00D25889" w:rsidRPr="00BC779C">
        <w:rPr>
          <w:rFonts w:ascii="Times New Roman" w:hAnsi="Times New Roman" w:cs="Times New Roman"/>
          <w:sz w:val="24"/>
          <w:szCs w:val="24"/>
        </w:rPr>
        <w:t>from</w:t>
      </w:r>
      <w:r w:rsidR="005560CF" w:rsidRPr="00BC779C">
        <w:rPr>
          <w:rFonts w:ascii="Times New Roman" w:hAnsi="Times New Roman" w:cs="Times New Roman"/>
          <w:sz w:val="24"/>
          <w:szCs w:val="24"/>
        </w:rPr>
        <w:t xml:space="preserve"> beginning and end samples</w:t>
      </w:r>
      <w:r w:rsidR="001B584E" w:rsidRPr="00BC779C">
        <w:rPr>
          <w:rFonts w:ascii="Times New Roman" w:hAnsi="Times New Roman" w:cs="Times New Roman"/>
          <w:sz w:val="24"/>
          <w:szCs w:val="24"/>
        </w:rPr>
        <w:t>.</w:t>
      </w:r>
      <w:r w:rsidR="005560CF" w:rsidRPr="00BC779C">
        <w:rPr>
          <w:rFonts w:ascii="Times New Roman" w:hAnsi="Times New Roman" w:cs="Times New Roman"/>
          <w:sz w:val="24"/>
          <w:szCs w:val="24"/>
        </w:rPr>
        <w:t xml:space="preserve"> </w:t>
      </w:r>
      <w:r w:rsidR="001B584E" w:rsidRPr="00BC779C">
        <w:rPr>
          <w:rFonts w:ascii="Times New Roman" w:hAnsi="Times New Roman" w:cs="Times New Roman"/>
          <w:sz w:val="24"/>
          <w:szCs w:val="24"/>
        </w:rPr>
        <w:t>T</w:t>
      </w:r>
      <w:r w:rsidR="00AD7A15" w:rsidRPr="00BC779C">
        <w:rPr>
          <w:rFonts w:ascii="Times New Roman" w:hAnsi="Times New Roman" w:cs="Times New Roman"/>
          <w:sz w:val="24"/>
          <w:szCs w:val="24"/>
        </w:rPr>
        <w:t xml:space="preserve">he genera </w:t>
      </w:r>
      <w:r w:rsidR="00AD7A15" w:rsidRPr="00BC779C">
        <w:rPr>
          <w:rFonts w:ascii="Times New Roman" w:hAnsi="Times New Roman" w:cs="Times New Roman"/>
          <w:i/>
          <w:sz w:val="24"/>
          <w:szCs w:val="24"/>
        </w:rPr>
        <w:t>Parabacteroides</w:t>
      </w:r>
      <w:r w:rsidR="00AD7A15" w:rsidRPr="00BC779C">
        <w:rPr>
          <w:rFonts w:ascii="Times New Roman" w:hAnsi="Times New Roman" w:cs="Times New Roman"/>
          <w:sz w:val="24"/>
          <w:szCs w:val="24"/>
        </w:rPr>
        <w:t>, an unclassified Lachnospiraceae,</w:t>
      </w:r>
      <w:r w:rsidR="00AD7A15" w:rsidRPr="00BC779C">
        <w:rPr>
          <w:rFonts w:ascii="Times New Roman" w:hAnsi="Times New Roman" w:cs="Times New Roman"/>
          <w:i/>
          <w:sz w:val="24"/>
          <w:szCs w:val="24"/>
        </w:rPr>
        <w:t xml:space="preserve"> </w:t>
      </w:r>
      <w:r w:rsidRPr="00BC779C">
        <w:rPr>
          <w:rFonts w:ascii="Times New Roman" w:hAnsi="Times New Roman" w:cs="Times New Roman"/>
          <w:sz w:val="24"/>
          <w:szCs w:val="24"/>
        </w:rPr>
        <w:t xml:space="preserve">and reclassified </w:t>
      </w:r>
      <w:r w:rsidRPr="00BC779C">
        <w:rPr>
          <w:rFonts w:ascii="Times New Roman" w:hAnsi="Times New Roman" w:cs="Times New Roman"/>
          <w:i/>
          <w:sz w:val="24"/>
          <w:szCs w:val="24"/>
        </w:rPr>
        <w:t>[Ruminococcus]</w:t>
      </w:r>
      <w:r w:rsidR="00AD7A15" w:rsidRPr="00BC779C">
        <w:rPr>
          <w:rFonts w:ascii="Times New Roman" w:hAnsi="Times New Roman" w:cs="Times New Roman"/>
          <w:sz w:val="24"/>
          <w:szCs w:val="24"/>
        </w:rPr>
        <w:t xml:space="preserve"> </w:t>
      </w:r>
      <w:r w:rsidR="001B584E" w:rsidRPr="00BC779C">
        <w:rPr>
          <w:rFonts w:ascii="Times New Roman" w:hAnsi="Times New Roman" w:cs="Times New Roman"/>
          <w:sz w:val="24"/>
          <w:szCs w:val="24"/>
        </w:rPr>
        <w:t>differed pre- and post-consumption of 10 g</w:t>
      </w:r>
      <w:r w:rsidR="001137C6" w:rsidRPr="00BC779C">
        <w:rPr>
          <w:rFonts w:ascii="Times New Roman" w:hAnsi="Times New Roman" w:cs="Times New Roman"/>
          <w:sz w:val="24"/>
          <w:szCs w:val="24"/>
        </w:rPr>
        <w:t xml:space="preserve"> fiber/d from</w:t>
      </w:r>
      <w:r w:rsidR="00EB6AE8" w:rsidRPr="00BC779C">
        <w:rPr>
          <w:rFonts w:ascii="Times New Roman" w:hAnsi="Times New Roman" w:cs="Times New Roman"/>
          <w:sz w:val="24"/>
          <w:szCs w:val="24"/>
        </w:rPr>
        <w:t xml:space="preserve"> </w:t>
      </w:r>
      <w:r w:rsidR="001B584E" w:rsidRPr="00BC779C">
        <w:rPr>
          <w:rFonts w:ascii="Times New Roman" w:hAnsi="Times New Roman" w:cs="Times New Roman"/>
          <w:sz w:val="24"/>
          <w:szCs w:val="24"/>
        </w:rPr>
        <w:t xml:space="preserve">SCF while </w:t>
      </w:r>
      <w:r w:rsidR="00AD7A15" w:rsidRPr="00BC779C">
        <w:rPr>
          <w:rFonts w:ascii="Times New Roman" w:hAnsi="Times New Roman" w:cs="Times New Roman"/>
          <w:i/>
          <w:sz w:val="24"/>
          <w:szCs w:val="24"/>
        </w:rPr>
        <w:t>Parabacteroides</w:t>
      </w:r>
      <w:r w:rsidR="00AD7A15" w:rsidRPr="00BC779C">
        <w:rPr>
          <w:rFonts w:ascii="Times New Roman" w:hAnsi="Times New Roman" w:cs="Times New Roman"/>
          <w:sz w:val="24"/>
          <w:szCs w:val="24"/>
        </w:rPr>
        <w:t>, an unclassified Lachnospiraceae</w:t>
      </w:r>
      <w:r w:rsidR="00D10F71" w:rsidRPr="00BC779C">
        <w:rPr>
          <w:rFonts w:ascii="Times New Roman" w:hAnsi="Times New Roman" w:cs="Times New Roman"/>
          <w:sz w:val="24"/>
          <w:szCs w:val="24"/>
        </w:rPr>
        <w:t>,</w:t>
      </w:r>
      <w:r w:rsidR="00AD7A15" w:rsidRPr="00BC779C">
        <w:rPr>
          <w:rFonts w:ascii="Times New Roman" w:hAnsi="Times New Roman" w:cs="Times New Roman"/>
          <w:i/>
          <w:sz w:val="24"/>
          <w:szCs w:val="24"/>
        </w:rPr>
        <w:t xml:space="preserve"> </w:t>
      </w:r>
      <w:r w:rsidRPr="00BC779C">
        <w:rPr>
          <w:rFonts w:ascii="Times New Roman" w:hAnsi="Times New Roman" w:cs="Times New Roman"/>
          <w:i/>
          <w:sz w:val="24"/>
          <w:szCs w:val="24"/>
        </w:rPr>
        <w:t>Bacteroides</w:t>
      </w:r>
      <w:r w:rsidRPr="00BC779C">
        <w:rPr>
          <w:rFonts w:ascii="Times New Roman" w:hAnsi="Times New Roman" w:cs="Times New Roman"/>
          <w:sz w:val="24"/>
          <w:szCs w:val="24"/>
        </w:rPr>
        <w:t xml:space="preserve"> and </w:t>
      </w:r>
      <w:r w:rsidRPr="00BC779C">
        <w:rPr>
          <w:rFonts w:ascii="Times New Roman" w:hAnsi="Times New Roman" w:cs="Times New Roman"/>
          <w:i/>
          <w:sz w:val="24"/>
          <w:szCs w:val="24"/>
        </w:rPr>
        <w:t>Lachnospira</w:t>
      </w:r>
      <w:r w:rsidR="001B584E" w:rsidRPr="00BC779C">
        <w:rPr>
          <w:rFonts w:ascii="Times New Roman" w:hAnsi="Times New Roman" w:cs="Times New Roman"/>
          <w:sz w:val="24"/>
          <w:szCs w:val="24"/>
        </w:rPr>
        <w:t xml:space="preserve"> differed over time on</w:t>
      </w:r>
      <w:r w:rsidR="00AD7A15" w:rsidRPr="00BC779C">
        <w:rPr>
          <w:rFonts w:ascii="Times New Roman" w:hAnsi="Times New Roman" w:cs="Times New Roman"/>
          <w:sz w:val="24"/>
          <w:szCs w:val="24"/>
        </w:rPr>
        <w:t xml:space="preserve"> 20 g</w:t>
      </w:r>
      <w:r w:rsidR="001137C6" w:rsidRPr="00BC779C">
        <w:rPr>
          <w:rFonts w:ascii="Times New Roman" w:hAnsi="Times New Roman" w:cs="Times New Roman"/>
          <w:sz w:val="24"/>
          <w:szCs w:val="24"/>
        </w:rPr>
        <w:t xml:space="preserve"> fiber/d</w:t>
      </w:r>
      <w:r w:rsidR="00EB6AE8" w:rsidRPr="00BC779C">
        <w:rPr>
          <w:rFonts w:ascii="Times New Roman" w:hAnsi="Times New Roman" w:cs="Times New Roman"/>
          <w:sz w:val="24"/>
          <w:szCs w:val="24"/>
        </w:rPr>
        <w:t xml:space="preserve"> from </w:t>
      </w:r>
      <w:r w:rsidR="00AD7A15" w:rsidRPr="00BC779C">
        <w:rPr>
          <w:rFonts w:ascii="Times New Roman" w:hAnsi="Times New Roman" w:cs="Times New Roman"/>
          <w:sz w:val="24"/>
          <w:szCs w:val="24"/>
        </w:rPr>
        <w:t>SCF</w:t>
      </w:r>
      <w:r w:rsidR="00DA22EE" w:rsidRPr="00BC779C">
        <w:rPr>
          <w:rFonts w:ascii="Times New Roman" w:hAnsi="Times New Roman" w:cs="Times New Roman"/>
          <w:sz w:val="24"/>
          <w:szCs w:val="24"/>
        </w:rPr>
        <w:t xml:space="preserve"> (</w:t>
      </w:r>
      <w:r w:rsidR="00DA22EE" w:rsidRPr="00BC779C">
        <w:rPr>
          <w:rFonts w:ascii="Times New Roman" w:hAnsi="Times New Roman" w:cs="Times New Roman"/>
          <w:b/>
          <w:sz w:val="24"/>
          <w:szCs w:val="24"/>
        </w:rPr>
        <w:t>Table 2</w:t>
      </w:r>
      <w:r w:rsidR="00DA22EE" w:rsidRPr="00BC779C">
        <w:rPr>
          <w:rFonts w:ascii="Times New Roman" w:hAnsi="Times New Roman" w:cs="Times New Roman"/>
          <w:sz w:val="24"/>
          <w:szCs w:val="24"/>
        </w:rPr>
        <w:t>)</w:t>
      </w:r>
      <w:r w:rsidR="005560CF" w:rsidRPr="00BC779C">
        <w:rPr>
          <w:rFonts w:ascii="Times New Roman" w:hAnsi="Times New Roman" w:cs="Times New Roman"/>
          <w:sz w:val="24"/>
          <w:szCs w:val="24"/>
        </w:rPr>
        <w:t>.</w:t>
      </w:r>
      <w:r w:rsidR="00AD7A15" w:rsidRPr="00BC779C">
        <w:rPr>
          <w:rFonts w:ascii="Times New Roman" w:hAnsi="Times New Roman" w:cs="Times New Roman"/>
          <w:sz w:val="24"/>
          <w:szCs w:val="24"/>
        </w:rPr>
        <w:t xml:space="preserve"> </w:t>
      </w:r>
      <w:r w:rsidR="001B584E" w:rsidRPr="00BC779C">
        <w:rPr>
          <w:rFonts w:ascii="Times New Roman" w:hAnsi="Times New Roman" w:cs="Times New Roman"/>
          <w:sz w:val="24"/>
          <w:szCs w:val="24"/>
        </w:rPr>
        <w:t>N</w:t>
      </w:r>
      <w:r w:rsidRPr="00BC779C">
        <w:rPr>
          <w:rFonts w:ascii="Times New Roman" w:hAnsi="Times New Roman" w:cs="Times New Roman"/>
          <w:sz w:val="24"/>
          <w:szCs w:val="24"/>
        </w:rPr>
        <w:t>o significant</w:t>
      </w:r>
      <w:r w:rsidR="00E71FAA" w:rsidRPr="00BC779C">
        <w:rPr>
          <w:rFonts w:ascii="Times New Roman" w:hAnsi="Times New Roman" w:cs="Times New Roman"/>
          <w:sz w:val="24"/>
          <w:szCs w:val="24"/>
        </w:rPr>
        <w:t xml:space="preserve"> </w:t>
      </w:r>
      <w:r w:rsidR="006874DA" w:rsidRPr="00BC779C">
        <w:rPr>
          <w:rFonts w:ascii="Times New Roman" w:hAnsi="Times New Roman" w:cs="Times New Roman"/>
          <w:sz w:val="24"/>
          <w:szCs w:val="24"/>
        </w:rPr>
        <w:t>(</w:t>
      </w:r>
      <w:r w:rsidR="006874DA" w:rsidRPr="00BC779C">
        <w:rPr>
          <w:rFonts w:ascii="Times New Roman" w:hAnsi="Times New Roman" w:cs="Times New Roman"/>
          <w:i/>
          <w:sz w:val="24"/>
          <w:szCs w:val="24"/>
        </w:rPr>
        <w:t>P</w:t>
      </w:r>
      <w:r w:rsidR="00E71FAA" w:rsidRPr="00BC779C">
        <w:t xml:space="preserve"> </w:t>
      </w:r>
      <w:r w:rsidR="00E71FAA" w:rsidRPr="00BC779C">
        <w:rPr>
          <w:rFonts w:ascii="Times New Roman" w:hAnsi="Times New Roman" w:cs="Times New Roman"/>
          <w:sz w:val="24"/>
          <w:szCs w:val="24"/>
        </w:rPr>
        <w:t>≥ 0.05)</w:t>
      </w:r>
      <w:r w:rsidRPr="00BC779C">
        <w:rPr>
          <w:rFonts w:ascii="Times New Roman" w:hAnsi="Times New Roman" w:cs="Times New Roman"/>
          <w:sz w:val="24"/>
          <w:szCs w:val="24"/>
        </w:rPr>
        <w:t xml:space="preserve"> </w:t>
      </w:r>
      <w:r w:rsidR="001B584E" w:rsidRPr="00BC779C">
        <w:rPr>
          <w:rFonts w:ascii="Times New Roman" w:hAnsi="Times New Roman" w:cs="Times New Roman"/>
          <w:sz w:val="24"/>
          <w:szCs w:val="24"/>
        </w:rPr>
        <w:t xml:space="preserve">taxa </w:t>
      </w:r>
      <w:r w:rsidRPr="00BC779C">
        <w:rPr>
          <w:rFonts w:ascii="Times New Roman" w:hAnsi="Times New Roman" w:cs="Times New Roman"/>
          <w:sz w:val="24"/>
          <w:szCs w:val="24"/>
        </w:rPr>
        <w:t xml:space="preserve">differences </w:t>
      </w:r>
      <w:r w:rsidR="001B584E" w:rsidRPr="00BC779C">
        <w:rPr>
          <w:rFonts w:ascii="Times New Roman" w:hAnsi="Times New Roman" w:cs="Times New Roman"/>
          <w:sz w:val="24"/>
          <w:szCs w:val="24"/>
        </w:rPr>
        <w:t>were observed</w:t>
      </w:r>
      <w:r w:rsidRPr="00BC779C">
        <w:rPr>
          <w:rFonts w:ascii="Times New Roman" w:hAnsi="Times New Roman" w:cs="Times New Roman"/>
          <w:sz w:val="24"/>
          <w:szCs w:val="24"/>
        </w:rPr>
        <w:t xml:space="preserve"> in subjects </w:t>
      </w:r>
      <w:r w:rsidR="001B584E" w:rsidRPr="00BC779C">
        <w:rPr>
          <w:rFonts w:ascii="Times New Roman" w:hAnsi="Times New Roman" w:cs="Times New Roman"/>
          <w:sz w:val="24"/>
          <w:szCs w:val="24"/>
        </w:rPr>
        <w:t>consuming</w:t>
      </w:r>
      <w:r w:rsidRPr="00BC779C">
        <w:rPr>
          <w:rFonts w:ascii="Times New Roman" w:hAnsi="Times New Roman" w:cs="Times New Roman"/>
          <w:sz w:val="24"/>
          <w:szCs w:val="24"/>
        </w:rPr>
        <w:t xml:space="preserve"> </w:t>
      </w:r>
      <w:r w:rsidR="001B584E" w:rsidRPr="00BC779C">
        <w:rPr>
          <w:rFonts w:ascii="Times New Roman" w:hAnsi="Times New Roman" w:cs="Times New Roman"/>
          <w:sz w:val="24"/>
          <w:szCs w:val="24"/>
        </w:rPr>
        <w:t>0 g</w:t>
      </w:r>
      <w:r w:rsidR="001137C6" w:rsidRPr="00BC779C">
        <w:rPr>
          <w:rFonts w:ascii="Times New Roman" w:hAnsi="Times New Roman" w:cs="Times New Roman"/>
          <w:sz w:val="24"/>
          <w:szCs w:val="24"/>
        </w:rPr>
        <w:t xml:space="preserve"> fiber/d</w:t>
      </w:r>
      <w:r w:rsidR="00477537" w:rsidRPr="00BC779C">
        <w:rPr>
          <w:rFonts w:ascii="Times New Roman" w:hAnsi="Times New Roman" w:cs="Times New Roman"/>
          <w:sz w:val="24"/>
          <w:szCs w:val="24"/>
        </w:rPr>
        <w:t xml:space="preserve"> from</w:t>
      </w:r>
      <w:r w:rsidR="001B584E" w:rsidRPr="00BC779C">
        <w:rPr>
          <w:rFonts w:ascii="Times New Roman" w:hAnsi="Times New Roman" w:cs="Times New Roman"/>
          <w:sz w:val="24"/>
          <w:szCs w:val="24"/>
        </w:rPr>
        <w:t xml:space="preserve"> SCF</w:t>
      </w:r>
      <w:r w:rsidRPr="00BC779C">
        <w:rPr>
          <w:rFonts w:ascii="Times New Roman" w:hAnsi="Times New Roman" w:cs="Times New Roman"/>
          <w:sz w:val="24"/>
          <w:szCs w:val="24"/>
        </w:rPr>
        <w:t>.</w:t>
      </w:r>
    </w:p>
    <w:p w14:paraId="2D1C37D6" w14:textId="652EDAA5" w:rsidR="001B61CF" w:rsidRPr="00BC779C" w:rsidRDefault="001B61CF"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 xml:space="preserve">Furthermore, pairwise comparisons of </w:t>
      </w:r>
      <w:r w:rsidR="002E3175" w:rsidRPr="00BC779C">
        <w:rPr>
          <w:rFonts w:ascii="Times New Roman" w:hAnsi="Times New Roman" w:cs="Times New Roman"/>
          <w:sz w:val="24"/>
          <w:szCs w:val="24"/>
        </w:rPr>
        <w:t xml:space="preserve">just the </w:t>
      </w:r>
      <w:r w:rsidRPr="00BC779C">
        <w:rPr>
          <w:rFonts w:ascii="Times New Roman" w:hAnsi="Times New Roman" w:cs="Times New Roman"/>
          <w:sz w:val="24"/>
          <w:szCs w:val="24"/>
        </w:rPr>
        <w:t xml:space="preserve">end samples </w:t>
      </w:r>
      <w:r w:rsidR="00D10F71" w:rsidRPr="00BC779C">
        <w:rPr>
          <w:rFonts w:ascii="Times New Roman" w:hAnsi="Times New Roman" w:cs="Times New Roman"/>
          <w:sz w:val="24"/>
          <w:szCs w:val="24"/>
        </w:rPr>
        <w:t>for 0, 10 and 20 g</w:t>
      </w:r>
      <w:r w:rsidR="001137C6" w:rsidRPr="00BC779C">
        <w:rPr>
          <w:rFonts w:ascii="Times New Roman" w:hAnsi="Times New Roman" w:cs="Times New Roman"/>
          <w:sz w:val="24"/>
          <w:szCs w:val="24"/>
        </w:rPr>
        <w:t xml:space="preserve"> fiber</w:t>
      </w:r>
      <w:r w:rsidR="003D266E" w:rsidRPr="00BC779C">
        <w:rPr>
          <w:rFonts w:ascii="Times New Roman" w:hAnsi="Times New Roman" w:cs="Times New Roman"/>
          <w:sz w:val="24"/>
          <w:szCs w:val="24"/>
        </w:rPr>
        <w:t>/d</w:t>
      </w:r>
      <w:r w:rsidR="00D10F71" w:rsidRPr="00BC779C">
        <w:rPr>
          <w:rFonts w:ascii="Times New Roman" w:hAnsi="Times New Roman" w:cs="Times New Roman"/>
          <w:sz w:val="24"/>
          <w:szCs w:val="24"/>
        </w:rPr>
        <w:t xml:space="preserve"> </w:t>
      </w:r>
      <w:r w:rsidR="00B56496" w:rsidRPr="00BC779C">
        <w:rPr>
          <w:rFonts w:ascii="Times New Roman" w:hAnsi="Times New Roman" w:cs="Times New Roman"/>
          <w:sz w:val="24"/>
          <w:szCs w:val="24"/>
        </w:rPr>
        <w:t xml:space="preserve">from </w:t>
      </w:r>
      <w:r w:rsidR="00D10F71" w:rsidRPr="00BC779C">
        <w:rPr>
          <w:rFonts w:ascii="Times New Roman" w:hAnsi="Times New Roman" w:cs="Times New Roman"/>
          <w:sz w:val="24"/>
          <w:szCs w:val="24"/>
        </w:rPr>
        <w:t xml:space="preserve">SCF </w:t>
      </w:r>
      <w:r w:rsidRPr="00BC779C">
        <w:rPr>
          <w:rFonts w:ascii="Times New Roman" w:hAnsi="Times New Roman" w:cs="Times New Roman"/>
          <w:sz w:val="24"/>
          <w:szCs w:val="24"/>
        </w:rPr>
        <w:t>substantiated the differences in communities (</w:t>
      </w:r>
      <w:r w:rsidRPr="00BC779C">
        <w:rPr>
          <w:rFonts w:ascii="Times New Roman" w:hAnsi="Times New Roman" w:cs="Times New Roman"/>
          <w:b/>
          <w:sz w:val="24"/>
          <w:szCs w:val="24"/>
        </w:rPr>
        <w:t xml:space="preserve">Table </w:t>
      </w:r>
      <w:r w:rsidR="00D10F71" w:rsidRPr="00BC779C">
        <w:rPr>
          <w:rFonts w:ascii="Times New Roman" w:hAnsi="Times New Roman" w:cs="Times New Roman"/>
          <w:b/>
          <w:sz w:val="24"/>
          <w:szCs w:val="24"/>
        </w:rPr>
        <w:t>3</w:t>
      </w:r>
      <w:r w:rsidRPr="00BC779C">
        <w:rPr>
          <w:rFonts w:ascii="Times New Roman" w:hAnsi="Times New Roman" w:cs="Times New Roman"/>
          <w:sz w:val="24"/>
          <w:szCs w:val="24"/>
        </w:rPr>
        <w:t xml:space="preserve">).  There was a potential dosage effect on the </w:t>
      </w:r>
      <w:r w:rsidRPr="00BC779C">
        <w:rPr>
          <w:rFonts w:ascii="Times New Roman" w:hAnsi="Times New Roman" w:cs="Times New Roman"/>
          <w:i/>
          <w:sz w:val="24"/>
          <w:szCs w:val="24"/>
        </w:rPr>
        <w:t>Parabacteroides</w:t>
      </w:r>
      <w:r w:rsidR="0002332E" w:rsidRPr="00BC779C">
        <w:rPr>
          <w:rFonts w:ascii="Times New Roman" w:hAnsi="Times New Roman" w:cs="Times New Roman"/>
          <w:sz w:val="24"/>
          <w:szCs w:val="24"/>
        </w:rPr>
        <w:t xml:space="preserve"> with significant increases as the SCF dose increased.</w:t>
      </w:r>
      <w:r w:rsidRPr="00BC779C">
        <w:rPr>
          <w:rFonts w:ascii="Times New Roman" w:hAnsi="Times New Roman" w:cs="Times New Roman"/>
          <w:sz w:val="24"/>
          <w:szCs w:val="24"/>
        </w:rPr>
        <w:t xml:space="preserve">  </w:t>
      </w:r>
      <w:r w:rsidR="0002332E" w:rsidRPr="00BC779C">
        <w:rPr>
          <w:rFonts w:ascii="Times New Roman" w:hAnsi="Times New Roman" w:cs="Times New Roman"/>
          <w:sz w:val="24"/>
          <w:szCs w:val="24"/>
        </w:rPr>
        <w:t>R</w:t>
      </w:r>
      <w:r w:rsidR="00D03BFC" w:rsidRPr="00BC779C">
        <w:rPr>
          <w:rFonts w:ascii="Times New Roman" w:hAnsi="Times New Roman" w:cs="Times New Roman"/>
          <w:sz w:val="24"/>
          <w:szCs w:val="24"/>
        </w:rPr>
        <w:t xml:space="preserve">eclassified </w:t>
      </w:r>
      <w:r w:rsidR="00D03BFC" w:rsidRPr="00BC779C">
        <w:rPr>
          <w:rFonts w:ascii="Times New Roman" w:hAnsi="Times New Roman" w:cs="Times New Roman"/>
          <w:i/>
          <w:sz w:val="24"/>
          <w:szCs w:val="24"/>
        </w:rPr>
        <w:t>[Ruminococcus]</w:t>
      </w:r>
      <w:r w:rsidR="00D03BFC" w:rsidRPr="00BC779C">
        <w:rPr>
          <w:rFonts w:ascii="Times New Roman" w:hAnsi="Times New Roman" w:cs="Times New Roman"/>
          <w:sz w:val="24"/>
          <w:szCs w:val="24"/>
        </w:rPr>
        <w:t xml:space="preserve"> that had significantly lower proportions a</w:t>
      </w:r>
      <w:r w:rsidRPr="00BC779C">
        <w:rPr>
          <w:rFonts w:ascii="Times New Roman" w:hAnsi="Times New Roman" w:cs="Times New Roman"/>
          <w:sz w:val="24"/>
          <w:szCs w:val="24"/>
        </w:rPr>
        <w:t xml:space="preserve">t the end of </w:t>
      </w:r>
      <w:r w:rsidR="00FF3E1C" w:rsidRPr="00BC779C">
        <w:rPr>
          <w:rFonts w:ascii="Times New Roman" w:hAnsi="Times New Roman" w:cs="Times New Roman"/>
          <w:sz w:val="24"/>
          <w:szCs w:val="24"/>
        </w:rPr>
        <w:t>10 and 20 g</w:t>
      </w:r>
      <w:r w:rsidR="001137C6" w:rsidRPr="00BC779C">
        <w:rPr>
          <w:rFonts w:ascii="Times New Roman" w:hAnsi="Times New Roman" w:cs="Times New Roman"/>
          <w:sz w:val="24"/>
          <w:szCs w:val="24"/>
        </w:rPr>
        <w:t xml:space="preserve"> fiber/d</w:t>
      </w:r>
      <w:r w:rsidR="00A70FEB" w:rsidRPr="00BC779C">
        <w:rPr>
          <w:rFonts w:ascii="Times New Roman" w:hAnsi="Times New Roman" w:cs="Times New Roman"/>
          <w:sz w:val="24"/>
          <w:szCs w:val="24"/>
        </w:rPr>
        <w:t xml:space="preserve"> from</w:t>
      </w:r>
      <w:r w:rsidR="00FF3E1C" w:rsidRPr="00BC779C">
        <w:rPr>
          <w:rFonts w:ascii="Times New Roman" w:hAnsi="Times New Roman" w:cs="Times New Roman"/>
          <w:sz w:val="24"/>
          <w:szCs w:val="24"/>
        </w:rPr>
        <w:t xml:space="preserve"> SCF</w:t>
      </w:r>
      <w:r w:rsidR="0002332E" w:rsidRPr="00BC779C">
        <w:rPr>
          <w:rFonts w:ascii="Times New Roman" w:hAnsi="Times New Roman" w:cs="Times New Roman"/>
          <w:sz w:val="24"/>
          <w:szCs w:val="24"/>
        </w:rPr>
        <w:t xml:space="preserve"> compared to control, also </w:t>
      </w:r>
      <w:r w:rsidR="00A9318F" w:rsidRPr="00BC779C">
        <w:rPr>
          <w:rFonts w:ascii="Times New Roman" w:hAnsi="Times New Roman" w:cs="Times New Roman"/>
          <w:sz w:val="24"/>
          <w:szCs w:val="24"/>
        </w:rPr>
        <w:t xml:space="preserve">differed significantly prior to SCF </w:t>
      </w:r>
      <w:r w:rsidR="00D6757B" w:rsidRPr="00BC779C">
        <w:rPr>
          <w:rFonts w:ascii="Times New Roman" w:hAnsi="Times New Roman" w:cs="Times New Roman"/>
          <w:sz w:val="24"/>
          <w:szCs w:val="24"/>
        </w:rPr>
        <w:t>intervention</w:t>
      </w:r>
      <w:r w:rsidRPr="00BC779C">
        <w:rPr>
          <w:rFonts w:ascii="Times New Roman" w:hAnsi="Times New Roman" w:cs="Times New Roman"/>
          <w:i/>
          <w:sz w:val="24"/>
          <w:szCs w:val="24"/>
        </w:rPr>
        <w:t>.</w:t>
      </w:r>
      <w:r w:rsidRPr="00BC779C">
        <w:rPr>
          <w:rFonts w:ascii="Times New Roman" w:hAnsi="Times New Roman" w:cs="Times New Roman"/>
          <w:sz w:val="24"/>
          <w:szCs w:val="24"/>
        </w:rPr>
        <w:t xml:space="preserve"> </w:t>
      </w:r>
    </w:p>
    <w:p w14:paraId="2D8CD21F" w14:textId="2D58ADAF" w:rsidR="00A4284F" w:rsidRPr="00BC779C" w:rsidRDefault="009E6958"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 xml:space="preserve">Significant </w:t>
      </w:r>
      <w:r w:rsidR="006874DA" w:rsidRPr="00BC779C">
        <w:rPr>
          <w:rFonts w:ascii="Times New Roman" w:hAnsi="Times New Roman" w:cs="Times New Roman"/>
          <w:sz w:val="24"/>
          <w:szCs w:val="24"/>
        </w:rPr>
        <w:t>(</w:t>
      </w:r>
      <w:r w:rsidR="006874DA" w:rsidRPr="00BC779C">
        <w:rPr>
          <w:rFonts w:ascii="Times New Roman" w:hAnsi="Times New Roman" w:cs="Times New Roman"/>
          <w:i/>
          <w:sz w:val="24"/>
          <w:szCs w:val="24"/>
        </w:rPr>
        <w:t>P</w:t>
      </w:r>
      <w:r w:rsidR="006874DA" w:rsidRPr="00BC779C">
        <w:rPr>
          <w:rFonts w:ascii="Times New Roman" w:hAnsi="Times New Roman" w:cs="Times New Roman"/>
          <w:sz w:val="24"/>
          <w:szCs w:val="24"/>
        </w:rPr>
        <w:t xml:space="preserve"> </w:t>
      </w:r>
      <w:r w:rsidR="00DA22EE" w:rsidRPr="00BC779C">
        <w:rPr>
          <w:rFonts w:ascii="Times New Roman" w:hAnsi="Times New Roman" w:cs="Times New Roman"/>
          <w:sz w:val="24"/>
          <w:szCs w:val="24"/>
        </w:rPr>
        <w:t>&lt;</w:t>
      </w:r>
      <w:r w:rsidR="006874DA" w:rsidRPr="00BC779C">
        <w:rPr>
          <w:rFonts w:ascii="Times New Roman" w:hAnsi="Times New Roman" w:cs="Times New Roman"/>
          <w:sz w:val="24"/>
          <w:szCs w:val="24"/>
        </w:rPr>
        <w:t xml:space="preserve"> </w:t>
      </w:r>
      <w:r w:rsidR="00DA22EE" w:rsidRPr="00BC779C">
        <w:rPr>
          <w:rFonts w:ascii="Times New Roman" w:hAnsi="Times New Roman" w:cs="Times New Roman"/>
          <w:sz w:val="24"/>
          <w:szCs w:val="24"/>
        </w:rPr>
        <w:t xml:space="preserve">0.03) </w:t>
      </w:r>
      <w:r w:rsidRPr="00BC779C">
        <w:rPr>
          <w:rFonts w:ascii="Times New Roman" w:hAnsi="Times New Roman" w:cs="Times New Roman"/>
          <w:sz w:val="24"/>
          <w:szCs w:val="24"/>
        </w:rPr>
        <w:t>positive c</w:t>
      </w:r>
      <w:r w:rsidR="00A4284F" w:rsidRPr="00BC779C">
        <w:rPr>
          <w:rFonts w:ascii="Times New Roman" w:hAnsi="Times New Roman" w:cs="Times New Roman"/>
          <w:sz w:val="24"/>
          <w:szCs w:val="24"/>
        </w:rPr>
        <w:t>orrelation</w:t>
      </w:r>
      <w:r w:rsidRPr="00BC779C">
        <w:rPr>
          <w:rFonts w:ascii="Times New Roman" w:hAnsi="Times New Roman" w:cs="Times New Roman"/>
          <w:sz w:val="24"/>
          <w:szCs w:val="24"/>
        </w:rPr>
        <w:t xml:space="preserve">s were found for </w:t>
      </w:r>
      <w:r w:rsidRPr="00BC779C">
        <w:rPr>
          <w:rFonts w:ascii="Times New Roman" w:hAnsi="Times New Roman" w:cs="Times New Roman"/>
          <w:i/>
          <w:sz w:val="24"/>
          <w:szCs w:val="24"/>
        </w:rPr>
        <w:t>Clostridium</w:t>
      </w:r>
      <w:r w:rsidRPr="00BC779C">
        <w:rPr>
          <w:rFonts w:ascii="Times New Roman" w:hAnsi="Times New Roman" w:cs="Times New Roman"/>
          <w:sz w:val="24"/>
          <w:szCs w:val="24"/>
        </w:rPr>
        <w:t xml:space="preserve"> and </w:t>
      </w:r>
      <w:r w:rsidR="00DA22EE" w:rsidRPr="00BC779C">
        <w:rPr>
          <w:rFonts w:ascii="Times New Roman" w:hAnsi="Times New Roman" w:cs="Times New Roman"/>
          <w:sz w:val="24"/>
          <w:szCs w:val="24"/>
        </w:rPr>
        <w:t xml:space="preserve">SBM53 (family </w:t>
      </w:r>
      <w:r w:rsidRPr="00BC779C">
        <w:rPr>
          <w:rFonts w:ascii="Times New Roman" w:hAnsi="Times New Roman" w:cs="Times New Roman"/>
          <w:sz w:val="24"/>
          <w:szCs w:val="24"/>
        </w:rPr>
        <w:t>Clostridiaceae</w:t>
      </w:r>
      <w:r w:rsidR="00DA22EE" w:rsidRPr="00BC779C">
        <w:rPr>
          <w:rFonts w:ascii="Times New Roman" w:hAnsi="Times New Roman" w:cs="Times New Roman"/>
          <w:sz w:val="24"/>
          <w:szCs w:val="24"/>
        </w:rPr>
        <w:t>)</w:t>
      </w:r>
      <w:r w:rsidRPr="00BC779C">
        <w:rPr>
          <w:rFonts w:ascii="Times New Roman" w:hAnsi="Times New Roman" w:cs="Times New Roman"/>
          <w:sz w:val="24"/>
          <w:szCs w:val="24"/>
        </w:rPr>
        <w:t xml:space="preserve"> with </w:t>
      </w:r>
      <w:r w:rsidR="00A9318F" w:rsidRPr="00BC779C">
        <w:rPr>
          <w:rFonts w:ascii="Times New Roman" w:hAnsi="Times New Roman" w:cs="Times New Roman"/>
          <w:sz w:val="24"/>
          <w:szCs w:val="24"/>
        </w:rPr>
        <w:t xml:space="preserve">the change in </w:t>
      </w:r>
      <w:r w:rsidRPr="00BC779C">
        <w:rPr>
          <w:rFonts w:ascii="Times New Roman" w:hAnsi="Times New Roman" w:cs="Times New Roman"/>
          <w:sz w:val="24"/>
          <w:szCs w:val="24"/>
        </w:rPr>
        <w:t xml:space="preserve">calcium absorption </w:t>
      </w:r>
      <w:r w:rsidR="00A9318F" w:rsidRPr="00BC779C">
        <w:rPr>
          <w:rFonts w:ascii="Times New Roman" w:hAnsi="Times New Roman" w:cs="Times New Roman"/>
          <w:sz w:val="24"/>
          <w:szCs w:val="24"/>
        </w:rPr>
        <w:t xml:space="preserve">on </w:t>
      </w:r>
      <w:r w:rsidRPr="00BC779C">
        <w:rPr>
          <w:rFonts w:ascii="Times New Roman" w:hAnsi="Times New Roman" w:cs="Times New Roman"/>
          <w:sz w:val="24"/>
          <w:szCs w:val="24"/>
        </w:rPr>
        <w:t>20 g</w:t>
      </w:r>
      <w:r w:rsidR="000C0CFD" w:rsidRPr="00BC779C">
        <w:rPr>
          <w:rFonts w:ascii="Times New Roman" w:hAnsi="Times New Roman" w:cs="Times New Roman"/>
          <w:sz w:val="24"/>
          <w:szCs w:val="24"/>
        </w:rPr>
        <w:t xml:space="preserve"> fiber</w:t>
      </w:r>
      <w:r w:rsidR="003D266E" w:rsidRPr="00BC779C">
        <w:rPr>
          <w:rFonts w:ascii="Times New Roman" w:hAnsi="Times New Roman" w:cs="Times New Roman"/>
          <w:sz w:val="24"/>
          <w:szCs w:val="24"/>
        </w:rPr>
        <w:t>/d</w:t>
      </w:r>
      <w:r w:rsidR="000C0CFD" w:rsidRPr="00BC779C">
        <w:rPr>
          <w:rFonts w:ascii="Times New Roman" w:hAnsi="Times New Roman" w:cs="Times New Roman"/>
          <w:sz w:val="24"/>
          <w:szCs w:val="24"/>
        </w:rPr>
        <w:t xml:space="preserve"> </w:t>
      </w:r>
      <w:r w:rsidR="00A9318F" w:rsidRPr="00BC779C">
        <w:rPr>
          <w:rFonts w:ascii="Times New Roman" w:hAnsi="Times New Roman" w:cs="Times New Roman"/>
          <w:sz w:val="24"/>
          <w:szCs w:val="24"/>
        </w:rPr>
        <w:t xml:space="preserve">(relative to control) </w:t>
      </w:r>
      <w:r w:rsidR="00A70FEB" w:rsidRPr="00BC779C">
        <w:rPr>
          <w:rFonts w:ascii="Times New Roman" w:hAnsi="Times New Roman" w:cs="Times New Roman"/>
          <w:sz w:val="24"/>
          <w:szCs w:val="24"/>
        </w:rPr>
        <w:t xml:space="preserve">from </w:t>
      </w:r>
      <w:r w:rsidR="001A57D4" w:rsidRPr="00BC779C">
        <w:rPr>
          <w:rFonts w:ascii="Times New Roman" w:hAnsi="Times New Roman" w:cs="Times New Roman"/>
          <w:sz w:val="24"/>
          <w:szCs w:val="24"/>
        </w:rPr>
        <w:t xml:space="preserve">SCF </w:t>
      </w:r>
      <w:r w:rsidR="00D6757B" w:rsidRPr="00BC779C">
        <w:rPr>
          <w:rFonts w:ascii="Times New Roman" w:hAnsi="Times New Roman" w:cs="Times New Roman"/>
          <w:sz w:val="24"/>
          <w:szCs w:val="24"/>
        </w:rPr>
        <w:t>intervention</w:t>
      </w:r>
      <w:r w:rsidR="00A351BA" w:rsidRPr="00BC779C">
        <w:rPr>
          <w:rFonts w:ascii="Times New Roman" w:hAnsi="Times New Roman" w:cs="Times New Roman"/>
          <w:sz w:val="24"/>
          <w:szCs w:val="24"/>
        </w:rPr>
        <w:t xml:space="preserve"> (</w:t>
      </w:r>
      <w:r w:rsidR="00A351BA" w:rsidRPr="00BC779C">
        <w:rPr>
          <w:rFonts w:ascii="Times New Roman" w:hAnsi="Times New Roman" w:cs="Times New Roman"/>
          <w:b/>
          <w:sz w:val="24"/>
          <w:szCs w:val="24"/>
        </w:rPr>
        <w:t>Table 4</w:t>
      </w:r>
      <w:r w:rsidR="00A351BA" w:rsidRPr="00BC779C">
        <w:rPr>
          <w:rFonts w:ascii="Times New Roman" w:hAnsi="Times New Roman" w:cs="Times New Roman"/>
          <w:sz w:val="24"/>
          <w:szCs w:val="24"/>
        </w:rPr>
        <w:t>)</w:t>
      </w:r>
      <w:r w:rsidRPr="00BC779C">
        <w:rPr>
          <w:rFonts w:ascii="Times New Roman" w:hAnsi="Times New Roman" w:cs="Times New Roman"/>
          <w:sz w:val="24"/>
          <w:szCs w:val="24"/>
        </w:rPr>
        <w:t>.</w:t>
      </w:r>
      <w:r w:rsidR="00AF115F" w:rsidRPr="00BC779C">
        <w:rPr>
          <w:rFonts w:ascii="Times New Roman" w:hAnsi="Times New Roman" w:cs="Times New Roman"/>
          <w:sz w:val="24"/>
          <w:szCs w:val="24"/>
        </w:rPr>
        <w:t xml:space="preserve"> Negative correlations were </w:t>
      </w:r>
      <w:r w:rsidR="00A9318F" w:rsidRPr="00BC779C">
        <w:rPr>
          <w:rFonts w:ascii="Times New Roman" w:hAnsi="Times New Roman" w:cs="Times New Roman"/>
          <w:sz w:val="24"/>
          <w:szCs w:val="24"/>
        </w:rPr>
        <w:t xml:space="preserve">observed </w:t>
      </w:r>
      <w:r w:rsidR="00AF115F" w:rsidRPr="00BC779C">
        <w:rPr>
          <w:rFonts w:ascii="Times New Roman" w:hAnsi="Times New Roman" w:cs="Times New Roman"/>
          <w:sz w:val="24"/>
          <w:szCs w:val="24"/>
        </w:rPr>
        <w:t xml:space="preserve">for </w:t>
      </w:r>
      <w:r w:rsidR="00A9318F" w:rsidRPr="00BC779C">
        <w:rPr>
          <w:rFonts w:ascii="Times New Roman" w:hAnsi="Times New Roman" w:cs="Times New Roman"/>
          <w:sz w:val="24"/>
          <w:szCs w:val="24"/>
        </w:rPr>
        <w:t>changes in calcium absorption on</w:t>
      </w:r>
      <w:r w:rsidR="00AF115F" w:rsidRPr="00BC779C">
        <w:rPr>
          <w:rFonts w:ascii="Times New Roman" w:hAnsi="Times New Roman" w:cs="Times New Roman"/>
          <w:sz w:val="24"/>
          <w:szCs w:val="24"/>
        </w:rPr>
        <w:t xml:space="preserve"> 10 g</w:t>
      </w:r>
      <w:r w:rsidR="001137C6" w:rsidRPr="00BC779C">
        <w:rPr>
          <w:rFonts w:ascii="Times New Roman" w:hAnsi="Times New Roman" w:cs="Times New Roman"/>
          <w:sz w:val="24"/>
          <w:szCs w:val="24"/>
        </w:rPr>
        <w:t xml:space="preserve"> fiber/d</w:t>
      </w:r>
      <w:r w:rsidR="00A70FEB" w:rsidRPr="00BC779C">
        <w:rPr>
          <w:rFonts w:ascii="Times New Roman" w:hAnsi="Times New Roman" w:cs="Times New Roman"/>
          <w:sz w:val="24"/>
          <w:szCs w:val="24"/>
        </w:rPr>
        <w:t xml:space="preserve"> from </w:t>
      </w:r>
      <w:r w:rsidR="00AF115F" w:rsidRPr="00BC779C">
        <w:rPr>
          <w:rFonts w:ascii="Times New Roman" w:hAnsi="Times New Roman" w:cs="Times New Roman"/>
          <w:sz w:val="24"/>
          <w:szCs w:val="24"/>
        </w:rPr>
        <w:t xml:space="preserve">SCF </w:t>
      </w:r>
      <w:r w:rsidR="00CE5DF7" w:rsidRPr="00BC779C">
        <w:rPr>
          <w:rFonts w:ascii="Times New Roman" w:hAnsi="Times New Roman" w:cs="Times New Roman"/>
          <w:sz w:val="24"/>
          <w:szCs w:val="24"/>
        </w:rPr>
        <w:t>(</w:t>
      </w:r>
      <w:r w:rsidR="00CE5DF7" w:rsidRPr="00BC779C">
        <w:rPr>
          <w:rFonts w:ascii="Times New Roman" w:eastAsia="Times New Roman" w:hAnsi="Times New Roman" w:cs="Times New Roman"/>
          <w:i/>
          <w:iCs/>
          <w:color w:val="000000"/>
          <w:sz w:val="24"/>
          <w:szCs w:val="24"/>
        </w:rPr>
        <w:t>Paraprevotella, Megamonas</w:t>
      </w:r>
      <w:r w:rsidR="00CE5DF7" w:rsidRPr="00BC779C">
        <w:rPr>
          <w:rFonts w:ascii="Times New Roman" w:hAnsi="Times New Roman" w:cs="Times New Roman"/>
          <w:sz w:val="24"/>
          <w:szCs w:val="24"/>
        </w:rPr>
        <w:t xml:space="preserve"> </w:t>
      </w:r>
      <w:r w:rsidR="00AF115F" w:rsidRPr="00BC779C">
        <w:rPr>
          <w:rFonts w:ascii="Times New Roman" w:hAnsi="Times New Roman" w:cs="Times New Roman"/>
          <w:sz w:val="24"/>
          <w:szCs w:val="24"/>
        </w:rPr>
        <w:t>and</w:t>
      </w:r>
      <w:r w:rsidR="00CE5DF7" w:rsidRPr="00BC779C">
        <w:rPr>
          <w:rFonts w:ascii="Times New Roman" w:hAnsi="Times New Roman" w:cs="Times New Roman"/>
          <w:sz w:val="24"/>
          <w:szCs w:val="24"/>
        </w:rPr>
        <w:t xml:space="preserve"> </w:t>
      </w:r>
      <w:r w:rsidR="00CE5DF7" w:rsidRPr="00BC779C">
        <w:rPr>
          <w:rFonts w:ascii="Times New Roman" w:eastAsia="Times New Roman" w:hAnsi="Times New Roman" w:cs="Times New Roman"/>
          <w:i/>
          <w:iCs/>
          <w:color w:val="000000"/>
          <w:sz w:val="24"/>
          <w:szCs w:val="24"/>
        </w:rPr>
        <w:t>Sutterella</w:t>
      </w:r>
      <w:r w:rsidR="00CE5DF7" w:rsidRPr="00BC779C">
        <w:rPr>
          <w:rFonts w:ascii="Times New Roman" w:eastAsia="Times New Roman" w:hAnsi="Times New Roman" w:cs="Times New Roman"/>
          <w:iCs/>
          <w:color w:val="000000"/>
          <w:sz w:val="24"/>
          <w:szCs w:val="24"/>
        </w:rPr>
        <w:t>)</w:t>
      </w:r>
      <w:r w:rsidR="00AF115F" w:rsidRPr="00BC779C">
        <w:rPr>
          <w:rFonts w:ascii="Times New Roman" w:hAnsi="Times New Roman" w:cs="Times New Roman"/>
          <w:sz w:val="24"/>
          <w:szCs w:val="24"/>
        </w:rPr>
        <w:t xml:space="preserve"> </w:t>
      </w:r>
      <w:r w:rsidR="00797F16" w:rsidRPr="00BC779C">
        <w:rPr>
          <w:rFonts w:ascii="Times New Roman" w:hAnsi="Times New Roman" w:cs="Times New Roman"/>
          <w:sz w:val="24"/>
          <w:szCs w:val="24"/>
        </w:rPr>
        <w:t xml:space="preserve">and </w:t>
      </w:r>
      <w:r w:rsidR="00AF115F" w:rsidRPr="00BC779C">
        <w:rPr>
          <w:rFonts w:ascii="Times New Roman" w:hAnsi="Times New Roman" w:cs="Times New Roman"/>
          <w:sz w:val="24"/>
          <w:szCs w:val="24"/>
        </w:rPr>
        <w:t>20 g</w:t>
      </w:r>
      <w:r w:rsidR="001137C6" w:rsidRPr="00BC779C">
        <w:rPr>
          <w:rFonts w:ascii="Times New Roman" w:hAnsi="Times New Roman" w:cs="Times New Roman"/>
          <w:sz w:val="24"/>
          <w:szCs w:val="24"/>
        </w:rPr>
        <w:t xml:space="preserve"> fiber/d</w:t>
      </w:r>
      <w:r w:rsidR="00B56496" w:rsidRPr="00BC779C">
        <w:rPr>
          <w:rFonts w:ascii="Times New Roman" w:hAnsi="Times New Roman" w:cs="Times New Roman"/>
          <w:sz w:val="24"/>
          <w:szCs w:val="24"/>
        </w:rPr>
        <w:t xml:space="preserve"> from </w:t>
      </w:r>
      <w:r w:rsidR="00AF115F" w:rsidRPr="00BC779C">
        <w:rPr>
          <w:rFonts w:ascii="Times New Roman" w:hAnsi="Times New Roman" w:cs="Times New Roman"/>
          <w:sz w:val="24"/>
          <w:szCs w:val="24"/>
        </w:rPr>
        <w:t xml:space="preserve">SCF </w:t>
      </w:r>
      <w:r w:rsidR="00797F16" w:rsidRPr="00BC779C">
        <w:rPr>
          <w:rFonts w:ascii="Times New Roman" w:hAnsi="Times New Roman" w:cs="Times New Roman"/>
          <w:sz w:val="24"/>
          <w:szCs w:val="24"/>
        </w:rPr>
        <w:t>(</w:t>
      </w:r>
      <w:r w:rsidR="00797F16" w:rsidRPr="00BC779C">
        <w:rPr>
          <w:rFonts w:ascii="Times New Roman" w:eastAsia="Times New Roman" w:hAnsi="Times New Roman" w:cs="Times New Roman"/>
          <w:i/>
          <w:iCs/>
          <w:color w:val="000000"/>
          <w:sz w:val="24"/>
          <w:szCs w:val="24"/>
        </w:rPr>
        <w:t>Parabacteroides</w:t>
      </w:r>
      <w:r w:rsidR="00797F16" w:rsidRPr="00BC779C">
        <w:rPr>
          <w:rFonts w:ascii="Times New Roman" w:eastAsia="Times New Roman" w:hAnsi="Times New Roman" w:cs="Times New Roman"/>
          <w:color w:val="000000"/>
          <w:sz w:val="24"/>
          <w:szCs w:val="24"/>
        </w:rPr>
        <w:t>, Other Bacteroidales, and Other Clostridiaceae)</w:t>
      </w:r>
      <w:r w:rsidR="00797F16" w:rsidRPr="00BC779C">
        <w:rPr>
          <w:rFonts w:ascii="Times New Roman" w:hAnsi="Times New Roman" w:cs="Times New Roman"/>
          <w:sz w:val="24"/>
          <w:szCs w:val="24"/>
        </w:rPr>
        <w:t xml:space="preserve"> </w:t>
      </w:r>
      <w:r w:rsidR="00AF115F" w:rsidRPr="00BC779C">
        <w:rPr>
          <w:rFonts w:ascii="Times New Roman" w:hAnsi="Times New Roman" w:cs="Times New Roman"/>
          <w:sz w:val="24"/>
          <w:szCs w:val="24"/>
        </w:rPr>
        <w:t>but there were no common taxa between the two</w:t>
      </w:r>
      <w:r w:rsidR="00917D8A" w:rsidRPr="00BC779C">
        <w:rPr>
          <w:rFonts w:ascii="Times New Roman" w:hAnsi="Times New Roman" w:cs="Times New Roman"/>
          <w:sz w:val="24"/>
          <w:szCs w:val="24"/>
        </w:rPr>
        <w:t xml:space="preserve"> SCF levels tested</w:t>
      </w:r>
      <w:r w:rsidR="001A57D4" w:rsidRPr="00BC779C">
        <w:rPr>
          <w:rFonts w:ascii="Times New Roman" w:hAnsi="Times New Roman" w:cs="Times New Roman"/>
          <w:sz w:val="24"/>
          <w:szCs w:val="24"/>
        </w:rPr>
        <w:t>.</w:t>
      </w:r>
    </w:p>
    <w:p w14:paraId="13F6FBC1" w14:textId="77777777" w:rsidR="006C714E" w:rsidRPr="00BC779C" w:rsidRDefault="006C714E" w:rsidP="006C714E">
      <w:pPr>
        <w:suppressLineNumbers/>
        <w:spacing w:after="100" w:afterAutospacing="1" w:line="480" w:lineRule="auto"/>
        <w:rPr>
          <w:rFonts w:ascii="Times New Roman" w:hAnsi="Times New Roman" w:cs="Times New Roman"/>
          <w:b/>
          <w:sz w:val="24"/>
          <w:szCs w:val="24"/>
        </w:rPr>
      </w:pPr>
    </w:p>
    <w:p w14:paraId="04E0D4AE" w14:textId="77777777" w:rsidR="006C714E" w:rsidRPr="00BC779C" w:rsidRDefault="006C714E" w:rsidP="006C714E">
      <w:pPr>
        <w:suppressLineNumbers/>
        <w:spacing w:after="100" w:afterAutospacing="1" w:line="480" w:lineRule="auto"/>
        <w:rPr>
          <w:rFonts w:ascii="Times New Roman" w:hAnsi="Times New Roman" w:cs="Times New Roman"/>
          <w:b/>
          <w:sz w:val="24"/>
          <w:szCs w:val="24"/>
        </w:rPr>
      </w:pPr>
    </w:p>
    <w:p w14:paraId="7B1F78CB" w14:textId="6829861E" w:rsidR="00096217" w:rsidRPr="00BC779C" w:rsidRDefault="00F445E0" w:rsidP="00D12A80">
      <w:pPr>
        <w:spacing w:after="100" w:afterAutospacing="1" w:line="480" w:lineRule="auto"/>
        <w:rPr>
          <w:rFonts w:ascii="Times New Roman" w:hAnsi="Times New Roman" w:cs="Times New Roman"/>
          <w:b/>
          <w:sz w:val="24"/>
          <w:szCs w:val="24"/>
        </w:rPr>
      </w:pPr>
      <w:r w:rsidRPr="00BC779C">
        <w:rPr>
          <w:rFonts w:ascii="Times New Roman" w:hAnsi="Times New Roman" w:cs="Times New Roman"/>
          <w:b/>
          <w:sz w:val="24"/>
          <w:szCs w:val="24"/>
        </w:rPr>
        <w:lastRenderedPageBreak/>
        <w:t>DISCUSSION</w:t>
      </w:r>
    </w:p>
    <w:p w14:paraId="187C1D95" w14:textId="40F2F8D4" w:rsidR="005840BF" w:rsidRPr="00BC779C" w:rsidRDefault="0035506E" w:rsidP="00D12A80">
      <w:pPr>
        <w:spacing w:after="100" w:afterAutospacing="1" w:line="480" w:lineRule="auto"/>
        <w:ind w:firstLine="360"/>
        <w:rPr>
          <w:rFonts w:ascii="Times New Roman" w:hAnsi="Times New Roman" w:cs="Times New Roman"/>
          <w:sz w:val="24"/>
          <w:szCs w:val="24"/>
        </w:rPr>
      </w:pPr>
      <w:r w:rsidRPr="00BC779C">
        <w:rPr>
          <w:rFonts w:ascii="Times New Roman" w:hAnsi="Times New Roman" w:cs="Times New Roman"/>
          <w:sz w:val="24"/>
          <w:szCs w:val="24"/>
        </w:rPr>
        <w:t>Fractional calcium absorption was significantly increased in adolescent females consuming 10 and 20 g</w:t>
      </w:r>
      <w:r w:rsidR="001137C6" w:rsidRPr="00BC779C">
        <w:rPr>
          <w:rFonts w:ascii="Times New Roman" w:hAnsi="Times New Roman" w:cs="Times New Roman"/>
          <w:sz w:val="24"/>
          <w:szCs w:val="24"/>
        </w:rPr>
        <w:t xml:space="preserve"> fiber/d</w:t>
      </w:r>
      <w:r w:rsidR="00A70FEB" w:rsidRPr="00BC779C">
        <w:rPr>
          <w:rFonts w:ascii="Times New Roman" w:hAnsi="Times New Roman" w:cs="Times New Roman"/>
          <w:sz w:val="24"/>
          <w:szCs w:val="24"/>
        </w:rPr>
        <w:t xml:space="preserve"> from</w:t>
      </w:r>
      <w:r w:rsidR="00682548" w:rsidRPr="00BC779C">
        <w:rPr>
          <w:rFonts w:ascii="Times New Roman" w:hAnsi="Times New Roman" w:cs="Times New Roman"/>
          <w:sz w:val="24"/>
          <w:szCs w:val="24"/>
        </w:rPr>
        <w:t xml:space="preserve"> SCF </w:t>
      </w:r>
      <w:r w:rsidRPr="00BC779C">
        <w:rPr>
          <w:rFonts w:ascii="Times New Roman" w:hAnsi="Times New Roman" w:cs="Times New Roman"/>
          <w:sz w:val="24"/>
          <w:szCs w:val="24"/>
        </w:rPr>
        <w:t xml:space="preserve">compared to control. </w:t>
      </w:r>
      <w:r w:rsidR="00682548" w:rsidRPr="00BC779C">
        <w:rPr>
          <w:rFonts w:ascii="Times New Roman" w:hAnsi="Times New Roman" w:cs="Times New Roman"/>
          <w:sz w:val="24"/>
          <w:szCs w:val="24"/>
        </w:rPr>
        <w:t>Dose effects were observed</w:t>
      </w:r>
      <w:r w:rsidR="00542EA3" w:rsidRPr="00BC779C">
        <w:rPr>
          <w:rFonts w:ascii="Times New Roman" w:hAnsi="Times New Roman" w:cs="Times New Roman"/>
          <w:sz w:val="24"/>
          <w:szCs w:val="24"/>
        </w:rPr>
        <w:t xml:space="preserve"> for </w:t>
      </w:r>
      <w:r w:rsidR="00542EA3" w:rsidRPr="00BC779C">
        <w:rPr>
          <w:rFonts w:ascii="Times New Roman" w:hAnsi="Times New Roman" w:cs="Times New Roman"/>
          <w:i/>
          <w:sz w:val="24"/>
          <w:szCs w:val="24"/>
        </w:rPr>
        <w:t>Parabacteroides</w:t>
      </w:r>
      <w:r w:rsidR="00542EA3" w:rsidRPr="00BC779C">
        <w:rPr>
          <w:rFonts w:ascii="Times New Roman" w:hAnsi="Times New Roman" w:cs="Times New Roman"/>
          <w:sz w:val="24"/>
          <w:szCs w:val="24"/>
        </w:rPr>
        <w:t xml:space="preserve"> proportions </w:t>
      </w:r>
      <w:r w:rsidR="00682548" w:rsidRPr="00BC779C">
        <w:rPr>
          <w:rFonts w:ascii="Times New Roman" w:hAnsi="Times New Roman" w:cs="Times New Roman"/>
          <w:sz w:val="24"/>
          <w:szCs w:val="24"/>
        </w:rPr>
        <w:t>which</w:t>
      </w:r>
      <w:r w:rsidR="00542EA3" w:rsidRPr="00BC779C">
        <w:rPr>
          <w:rFonts w:ascii="Times New Roman" w:hAnsi="Times New Roman" w:cs="Times New Roman"/>
          <w:sz w:val="24"/>
          <w:szCs w:val="24"/>
        </w:rPr>
        <w:t xml:space="preserve"> significantly increased with </w:t>
      </w:r>
      <w:r w:rsidR="00682548" w:rsidRPr="00BC779C">
        <w:rPr>
          <w:rFonts w:ascii="Times New Roman" w:hAnsi="Times New Roman" w:cs="Times New Roman"/>
          <w:sz w:val="24"/>
          <w:szCs w:val="24"/>
        </w:rPr>
        <w:t>larger SCF doses</w:t>
      </w:r>
      <w:r w:rsidR="00AB02C2" w:rsidRPr="00BC779C">
        <w:rPr>
          <w:rFonts w:ascii="Times New Roman" w:hAnsi="Times New Roman" w:cs="Times New Roman"/>
          <w:sz w:val="24"/>
          <w:szCs w:val="24"/>
        </w:rPr>
        <w:t xml:space="preserve"> and negatively correlated with calcium absorption.</w:t>
      </w:r>
      <w:r w:rsidR="00765D15" w:rsidRPr="00BC779C">
        <w:rPr>
          <w:rFonts w:ascii="Times New Roman" w:hAnsi="Times New Roman" w:cs="Times New Roman"/>
          <w:sz w:val="24"/>
          <w:szCs w:val="24"/>
        </w:rPr>
        <w:t xml:space="preserve"> Firmicutes</w:t>
      </w:r>
      <w:r w:rsidR="00682548" w:rsidRPr="00BC779C">
        <w:rPr>
          <w:rFonts w:ascii="Times New Roman" w:hAnsi="Times New Roman" w:cs="Times New Roman"/>
          <w:sz w:val="24"/>
          <w:szCs w:val="24"/>
        </w:rPr>
        <w:t xml:space="preserve"> members</w:t>
      </w:r>
      <w:r w:rsidR="00765D15" w:rsidRPr="00BC779C">
        <w:rPr>
          <w:rFonts w:ascii="Times New Roman" w:hAnsi="Times New Roman" w:cs="Times New Roman"/>
          <w:sz w:val="24"/>
          <w:szCs w:val="24"/>
        </w:rPr>
        <w:t xml:space="preserve"> positively correlated with calcium absorption </w:t>
      </w:r>
      <w:r w:rsidR="002A5877" w:rsidRPr="00BC779C">
        <w:rPr>
          <w:rFonts w:ascii="Times New Roman" w:hAnsi="Times New Roman" w:cs="Times New Roman"/>
          <w:sz w:val="24"/>
          <w:szCs w:val="24"/>
        </w:rPr>
        <w:t>suggesting</w:t>
      </w:r>
      <w:r w:rsidR="00765D15" w:rsidRPr="00BC779C">
        <w:rPr>
          <w:rFonts w:ascii="Times New Roman" w:hAnsi="Times New Roman" w:cs="Times New Roman"/>
          <w:sz w:val="24"/>
          <w:szCs w:val="24"/>
        </w:rPr>
        <w:t xml:space="preserve"> that </w:t>
      </w:r>
      <w:r w:rsidR="002A5877" w:rsidRPr="00BC779C">
        <w:rPr>
          <w:rFonts w:ascii="Times New Roman" w:hAnsi="Times New Roman" w:cs="Times New Roman"/>
          <w:sz w:val="24"/>
          <w:szCs w:val="24"/>
        </w:rPr>
        <w:t>th</w:t>
      </w:r>
      <w:r w:rsidR="00682548" w:rsidRPr="00BC779C">
        <w:rPr>
          <w:rFonts w:ascii="Times New Roman" w:hAnsi="Times New Roman" w:cs="Times New Roman"/>
          <w:sz w:val="24"/>
          <w:szCs w:val="24"/>
        </w:rPr>
        <w:t xml:space="preserve">e role of the microbiome in </w:t>
      </w:r>
      <w:r w:rsidR="002A5877" w:rsidRPr="00BC779C">
        <w:rPr>
          <w:rFonts w:ascii="Times New Roman" w:hAnsi="Times New Roman" w:cs="Times New Roman"/>
          <w:sz w:val="24"/>
          <w:szCs w:val="24"/>
        </w:rPr>
        <w:t xml:space="preserve">fermentation </w:t>
      </w:r>
      <w:r w:rsidR="00682548" w:rsidRPr="00BC779C">
        <w:rPr>
          <w:rFonts w:ascii="Times New Roman" w:hAnsi="Times New Roman" w:cs="Times New Roman"/>
          <w:sz w:val="24"/>
          <w:szCs w:val="24"/>
        </w:rPr>
        <w:t xml:space="preserve">and </w:t>
      </w:r>
      <w:r w:rsidR="002A5877" w:rsidRPr="00BC779C">
        <w:rPr>
          <w:rFonts w:ascii="Times New Roman" w:hAnsi="Times New Roman" w:cs="Times New Roman"/>
          <w:sz w:val="24"/>
          <w:szCs w:val="24"/>
        </w:rPr>
        <w:t xml:space="preserve">calcium absorption is complex and not </w:t>
      </w:r>
      <w:r w:rsidR="00BE5100" w:rsidRPr="00BC779C">
        <w:rPr>
          <w:rFonts w:ascii="Times New Roman" w:hAnsi="Times New Roman" w:cs="Times New Roman"/>
          <w:sz w:val="24"/>
          <w:szCs w:val="24"/>
        </w:rPr>
        <w:t>mediated by</w:t>
      </w:r>
      <w:r w:rsidR="002A5877" w:rsidRPr="00BC779C">
        <w:rPr>
          <w:rFonts w:ascii="Times New Roman" w:hAnsi="Times New Roman" w:cs="Times New Roman"/>
          <w:sz w:val="24"/>
          <w:szCs w:val="24"/>
        </w:rPr>
        <w:t xml:space="preserve"> a single species.</w:t>
      </w:r>
    </w:p>
    <w:p w14:paraId="6576C8C7" w14:textId="34BB5AF3" w:rsidR="005840BF" w:rsidRPr="00BC779C" w:rsidRDefault="005840BF" w:rsidP="00D12A80">
      <w:pPr>
        <w:spacing w:after="100" w:afterAutospacing="1" w:line="480" w:lineRule="auto"/>
        <w:ind w:firstLine="360"/>
        <w:rPr>
          <w:rFonts w:ascii="Times New Roman" w:hAnsi="Times New Roman" w:cs="Times New Roman"/>
          <w:sz w:val="24"/>
          <w:szCs w:val="24"/>
        </w:rPr>
      </w:pPr>
      <w:r w:rsidRPr="00BC779C">
        <w:rPr>
          <w:rFonts w:ascii="Times New Roman" w:hAnsi="Times New Roman" w:cs="Times New Roman"/>
          <w:sz w:val="24"/>
          <w:szCs w:val="24"/>
        </w:rPr>
        <w:t xml:space="preserve">Few studies have evaluated the dose-response effect of prebiotics. Supplementing with 0, 5, 10 or 20 g of inulin (per 100 g of diet) had a dose-response effect on intestinal calcium absorption in </w:t>
      </w:r>
      <w:r w:rsidR="00F559CE" w:rsidRPr="00BC779C">
        <w:rPr>
          <w:rFonts w:ascii="Times New Roman" w:hAnsi="Times New Roman" w:cs="Times New Roman"/>
          <w:sz w:val="24"/>
          <w:szCs w:val="24"/>
        </w:rPr>
        <w:t xml:space="preserve">6 </w:t>
      </w:r>
      <w:r w:rsidR="003A7E98" w:rsidRPr="00BC779C">
        <w:rPr>
          <w:rFonts w:ascii="Times New Roman" w:hAnsi="Times New Roman" w:cs="Times New Roman"/>
          <w:sz w:val="24"/>
          <w:szCs w:val="24"/>
        </w:rPr>
        <w:t xml:space="preserve">week old </w:t>
      </w:r>
      <w:r w:rsidR="000B10EA" w:rsidRPr="00BC779C">
        <w:rPr>
          <w:rFonts w:ascii="Times New Roman" w:hAnsi="Times New Roman" w:cs="Times New Roman"/>
          <w:sz w:val="24"/>
          <w:szCs w:val="24"/>
        </w:rPr>
        <w:t xml:space="preserve">male Wistar rats </w:t>
      </w:r>
      <w:r w:rsidR="005B2692"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"ISSN" : "0022-3166", "PMID" : "1941180", "abstract" : "The digestive and metabolic effects of inulin (from chicory) were studied in rats adapted to semipurified diets containing 0, 5, 10 or 20% inulin (wt/wt). Moderate levels of inulin (5-10%) did not significantly affect food intake or body weight gain. Dietary inulin resulted in considerably greater cecal fermentation and a significantly greater intraluminal concentration of propionate (peaking at 58.4 mmol/L). A lower concentration of acetate (42.6 mmol/L) was observed in rats fed 20% inulin. Lactic fermentations were observed in rats fed the 10 or 20% inulin diets. The cecal pool of volatile fatty acids tended to reach a plateau in rats fed diets containing more than 10% inulin (up to 600-700 mumol), but volatile fatty acid absorption was a slightly hyperbolic function of the dietary inulin level. Butyrate absorption was proportionally lower than that of propionate. Inulin-containing diets induced an enlargement of the cecal pool of calcium, phosphate and (to a lesser extent) magnesium. There was also an enhanced absorption of these divalent cations. The cecal pool of bile acids was greater in rats fed inulin, and this oligosaccharide displayed a slight hypocholesterolemic effect, even in rats fed the 5% inulin diet. However, plasma triglycerides were depressed only in rats fed the 20% inulin diet. In conclusion, inulin seems very effective in promoting propionic fermentation and in enhancing the calcium content of the large intestine. However, high levels of inulin (greater than 10%) may affect growth in rats and lead to acidic (pH 5.65) cecal fermentation.", "author" : [ { "dropping-particle" : "", "family" : "Levrat", "given" : "M A", "non-dropping-particle" : "", "parse-names" : false, "suffix" : "" }, { "dropping-particle" : "", "family" : "R\u00e9m\u00e9sy", "given" : "C", "non-dropping-particle" : "", "parse-names" : false, "suffix" : "" }, { "dropping-particle" : "", "family" : "Demign\u00e9", "given" : "C", "non-dropping-particle" : "", "parse-names" : false, "suffix" : "" } ], "container-title" : "The Journal of nutrition", "id" : "ITEM-1", "issue" : "11", "issued" : { "date-parts" : [ [ "1991", "11" ] ] }, "page" : "1730-7", "title" : "High propionic acid fermentations and mineral accumulation in the cecum of rats adapted to different levels of inulin", "type" : "article-journal", "volume" : "121" }, "uris" : [ "http://www.mendeley.com/documents/?uuid=ff5d10af-f9e7-402d-b865-664e48dfd4a3" ] } ], "mendeley" : { "formattedCitation" : "(30)", "plainTextFormattedCitation" : "(30)", "previouslyFormattedCitation" : "(30)" }, "properties" : { "noteIndex" : 0 }, "schema" : "https://github.com/citation-style-language/schema/raw/master/csl-citation.json" }</w:instrText>
      </w:r>
      <w:r w:rsidR="005B2692"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(30)</w:t>
      </w:r>
      <w:r w:rsidR="005B2692" w:rsidRPr="00BC779C">
        <w:rPr>
          <w:rFonts w:ascii="Times New Roman" w:hAnsi="Times New Roman" w:cs="Times New Roman"/>
          <w:sz w:val="24"/>
          <w:szCs w:val="24"/>
        </w:rPr>
        <w:fldChar w:fldCharType="end"/>
      </w:r>
      <w:r w:rsidR="000B10EA" w:rsidRPr="00BC779C">
        <w:rPr>
          <w:rFonts w:ascii="Times New Roman" w:hAnsi="Times New Roman" w:cs="Times New Roman"/>
          <w:sz w:val="24"/>
          <w:szCs w:val="24"/>
        </w:rPr>
        <w:t>.</w:t>
      </w:r>
      <w:r w:rsidRPr="00BC779C">
        <w:rPr>
          <w:rFonts w:ascii="Times New Roman" w:hAnsi="Times New Roman" w:cs="Times New Roman"/>
          <w:sz w:val="24"/>
          <w:szCs w:val="24"/>
        </w:rPr>
        <w:t xml:space="preserve"> Similarly, increases in calcium absorption were observed in </w:t>
      </w:r>
      <w:r w:rsidR="00F559CE" w:rsidRPr="00BC779C">
        <w:rPr>
          <w:rFonts w:ascii="Times New Roman" w:hAnsi="Times New Roman" w:cs="Times New Roman"/>
          <w:sz w:val="24"/>
          <w:szCs w:val="24"/>
        </w:rPr>
        <w:t xml:space="preserve">5-36 week old male </w:t>
      </w:r>
      <w:r w:rsidRPr="00BC779C">
        <w:rPr>
          <w:rFonts w:ascii="Times New Roman" w:hAnsi="Times New Roman" w:cs="Times New Roman"/>
          <w:sz w:val="24"/>
          <w:szCs w:val="24"/>
        </w:rPr>
        <w:t xml:space="preserve">rats fed diets containing 5 and 10% lactulose </w:t>
      </w:r>
      <w:r w:rsidR="00682548" w:rsidRPr="00BC779C">
        <w:rPr>
          <w:rFonts w:ascii="Times New Roman" w:hAnsi="Times New Roman" w:cs="Times New Roman"/>
          <w:sz w:val="24"/>
          <w:szCs w:val="24"/>
        </w:rPr>
        <w:t>(</w:t>
      </w:r>
      <w:r w:rsidRPr="00BC779C">
        <w:rPr>
          <w:rFonts w:ascii="Times New Roman" w:hAnsi="Times New Roman" w:cs="Times New Roman"/>
          <w:sz w:val="24"/>
          <w:szCs w:val="24"/>
        </w:rPr>
        <w:t>by weight of diet</w:t>
      </w:r>
      <w:r w:rsidR="00682548" w:rsidRPr="00BC779C">
        <w:rPr>
          <w:rFonts w:ascii="Times New Roman" w:hAnsi="Times New Roman" w:cs="Times New Roman"/>
          <w:sz w:val="24"/>
          <w:szCs w:val="24"/>
        </w:rPr>
        <w:t>)</w:t>
      </w:r>
      <w:r w:rsidRPr="00BC779C">
        <w:rPr>
          <w:rFonts w:ascii="Times New Roman" w:hAnsi="Times New Roman" w:cs="Times New Roman"/>
          <w:sz w:val="24"/>
          <w:szCs w:val="24"/>
        </w:rPr>
        <w:t>; however, no further increase in absorption was noted w</w:t>
      </w:r>
      <w:r w:rsidR="00682548" w:rsidRPr="00BC779C">
        <w:rPr>
          <w:rFonts w:ascii="Times New Roman" w:hAnsi="Times New Roman" w:cs="Times New Roman"/>
          <w:sz w:val="24"/>
          <w:szCs w:val="24"/>
        </w:rPr>
        <w:t>ith 15%</w:t>
      </w:r>
      <w:r w:rsidRPr="00BC779C">
        <w:rPr>
          <w:rFonts w:ascii="Times New Roman" w:hAnsi="Times New Roman" w:cs="Times New Roman"/>
          <w:sz w:val="24"/>
          <w:szCs w:val="24"/>
        </w:rPr>
        <w:t xml:space="preserve"> lactulose</w:t>
      </w:r>
      <w:r w:rsidR="00D83B51" w:rsidRPr="00BC779C">
        <w:rPr>
          <w:rFonts w:ascii="Times New Roman" w:hAnsi="Times New Roman" w:cs="Times New Roman"/>
          <w:sz w:val="24"/>
          <w:szCs w:val="24"/>
        </w:rPr>
        <w:t xml:space="preserve"> </w:t>
      </w:r>
      <w:r w:rsidR="005B2692" w:rsidRPr="00BC779C">
        <w:rPr>
          <w:rFonts w:ascii="Times New Roman" w:hAnsi="Times New Roman" w:cs="Times New Roman"/>
          <w:sz w:val="24"/>
          <w:szCs w:val="24"/>
        </w:rPr>
        <w:fldChar w:fldCharType="begin" w:fldLock="1"/>
      </w:r>
      <w:r w:rsidR="00086B0D" w:rsidRPr="00BC779C">
        <w:rPr>
          <w:rFonts w:ascii="Times New Roman" w:hAnsi="Times New Roman" w:cs="Times New Roman"/>
          <w:sz w:val="24"/>
          <w:szCs w:val="24"/>
        </w:rPr>
        <w:instrText>ADDIN CSL_CITATION { "citationItems" : [ { "id" : "ITEM-1", "itemData" : { "ISSN" : "0022-3166", "PMID" : "8263614", "abstract" : "Lactulose is a disaccharide analogue of lactose that is resistant to metabolism in the small intestine but not in the large intestine. The effects of lactulose and other sugars on intestinal Ca absorption were determined from the decrease in the 47Ca:47 Sc ratio between diet and feces after feeding male rats diets containing these sugars during a single night. Dietary lactulose was more potent than lactose in stimulating Ca absorption and was effective between 5 and 38 wk of age. The component sugars of lactulose, galactose and fructose, did not influence Ca absorption when provided together at concentrations equimolar to that of lactulose. The stimulation of Ca absorption by dietary lactulose increased as dietary Ca concentration was raised and was not influenced by prior injections of calcitriol. Lactulose must be present in the same meal as Ca to stimulate Ca absorption, but this stimulation was lost if the rats were fed lactulose continuously for 2 or 7 d prior to the test diet. Other sugars thought to be poorly absorbed in the small intestine (xylitol, lactobionate, arabinose, raffinose, pyroglutamate, sorbitol, gluconate and raftilose) stimulated Ca absorption to an identical extent as lactulose. Cecectomy did not influence the enhancement of Ca absorption by lactulose. These results indicate that sugars resistant to metabolism and absorption in the small intestine but not the large intestine stimulate Ca absorption in the small intestine.", "author" : [ { "dropping-particle" : "", "family" : "Brommage", "given" : "R", "non-dropping-particle" : "", "parse-names" : false, "suffix" : "" }, { "dropping-particle" : "", "family" : "Binacua", "given" : "C", "non-dropping-particle" : "", "parse-names" : false, "suffix" : "" }, { "dropping-particle" : "", "family" : "Antille", "given" : "S", "non-dropping-particle" : "", "parse-names" : false, "suffix" : "" }, { "dropping-particle" : "", "family" : "Carri\u00e9", "given" : "A L", "non-dropping-particle" : "", "parse-names" : false, "suffix" : "" } ], "container-title" : "The Journal of nutrition", "id" : "ITEM-1", "issue" : "12", "issued" : { "date-parts" : [ [ "1993", "12" ] ] }, "page" : "2186-94", "title" : "Intestinal calcium absorption in rats is stimulated by dietary lactulose and other resistant sugars.", "type" : "article-journal", "volume" : "123" }, "uris" : [ "http://www.mendeley.com/documents/?uuid=0d2a47c3-1d73-448a-992c-3e84574d1e52" ] } ], "mendeley" : { "formattedCitation" : "(31)", "plainTextFormattedCitation" : "(31)", "previouslyFormattedCitation" : "(31)" }, "properties" : { "noteIndex" : 0 }, "schema" : "https://github.com/citation-style-language/schema/raw/master/csl-citation.json" }</w:instrText>
      </w:r>
      <w:r w:rsidR="005B2692"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(31)</w:t>
      </w:r>
      <w:r w:rsidR="005B2692"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Pr="00BC779C">
        <w:rPr>
          <w:rFonts w:ascii="Times New Roman" w:hAnsi="Times New Roman" w:cs="Times New Roman"/>
          <w:sz w:val="24"/>
          <w:szCs w:val="24"/>
        </w:rPr>
        <w:t xml:space="preserve"> Among postmenopausal women given 5 and 10 g lactulose for 9 days, dose-dependent increases</w:t>
      </w:r>
      <w:r w:rsidR="00520F2D" w:rsidRPr="00BC779C">
        <w:rPr>
          <w:rFonts w:ascii="Times New Roman" w:hAnsi="Times New Roman" w:cs="Times New Roman"/>
          <w:sz w:val="24"/>
          <w:szCs w:val="24"/>
        </w:rPr>
        <w:t xml:space="preserve"> in </w:t>
      </w:r>
      <w:r w:rsidRPr="00BC779C">
        <w:rPr>
          <w:rFonts w:ascii="Times New Roman" w:hAnsi="Times New Roman" w:cs="Times New Roman"/>
          <w:sz w:val="24"/>
          <w:szCs w:val="24"/>
        </w:rPr>
        <w:t>fractional calcium absorption were noted</w:t>
      </w:r>
      <w:r w:rsidR="00D83B51" w:rsidRPr="00BC779C">
        <w:rPr>
          <w:rFonts w:ascii="Times New Roman" w:hAnsi="Times New Roman" w:cs="Times New Roman"/>
          <w:sz w:val="24"/>
          <w:szCs w:val="24"/>
        </w:rPr>
        <w:t xml:space="preserve"> </w:t>
      </w:r>
      <w:r w:rsidR="005B2692"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"10.1359/jbmr.1999.14.7.1211", "ISSN" : "08840431", "PMID" : "10404023", "abstract" : "Animal studies have indicated that calcium absorption is increased by lactulose, a synthetic disaccharide. Therefore, the influence of lactulose on calcium absorption was measured in postmenopausal women who may benefit from the possible enhancing effect of lactulose on calcium absorption. Twelve postmenopausal women drank 100 ml of water containing 5 or 10 g of lactulose or a reference substance at breakfast for 9 days. The three treatments were given according to a randomized, double-blind, cross-over design, separated by two 19-day wash-out periods. On the 8th day of each treatment period, 44Ca dissolved in orange juice was drunk immediately after the solution with the study substance and just before a standard breakfast with 162 mg of carrier calcium. Within half an hour, 48Ca was given intravenously. Based on isotope ratios measured in urine collected before and until 36 h after isotope administration, true fractional calcium absorption was calculated. Calcium absorption during the treatments with the reference substance, 5 g and 10 g of lactulose was (mean +/- SD) 27.7 +/- 7.7, 30.0 +/- 7.6, and 32.2 +/- 7.0, respectively. A significant difference in calcium absorption was found between the highest dose of lactulose and the reference treatment (p &lt; 0.01). A significant linear trend was found between the dose of lactulose and its positive effect on calcium absorption. In conclusion, in postmenopausal women a 9-day consumption of lactulose increases calcium absorption in a dose-response way. More research is warranted to explore how lactulose stimulates calcium absorption and whether it is able to improve calcium balance and/or to attenuate the rate of aging bone loss.", "author" : [ { "dropping-particle" : "", "family" : "heuvel", "given" : "Ellen G. H. M.", "non-dropping-particle" : "van den", "parse-names" : false, "suffix" : "" }, { "dropping-particle" : "", "family" : "Muijs", "given" : "Theo", "non-dropping-particle" : "", "parse-names" : false, "suffix" : "" }, { "dropping-particle" : "", "family" : "dokkum", "given" : "Wim", "non-dropping-particle" : "van", "parse-names" : false, "suffix" : "" }, { "dropping-particle" : "", "family" : "Schaafsma", "given" : "Gertjan", "non-dropping-particle" : "", "parse-names" : false, "suffix" : "" } ], "container-title" : "Journal of Bone and Mineral Research", "id" : "ITEM-1", "issue" : "7", "issued" : { "date-parts" : [ [ "1999", "7", "1" ] ] }, "page" : "1211-1216", "title" : "Lactulose stimulates calcium absorption in postmenopausal women", "type" : "article-journal", "volume" : "14" }, "uris" : [ "http://www.mendeley.com/documents/?uuid=6d39e600-53fc-4e22-bfd1-33042eef8c42" ] } ], "mendeley" : { "formattedCitation" : "(12)", "plainTextFormattedCitation" : "(12)", "previouslyFormattedCitation" : "(12)" }, "properties" : { "noteIndex" : 0 }, "schema" : "https://github.com/citation-style-language/schema/raw/master/csl-citation.json" }</w:instrText>
      </w:r>
      <w:r w:rsidR="005B2692" w:rsidRPr="00BC779C">
        <w:rPr>
          <w:rFonts w:ascii="Times New Roman" w:hAnsi="Times New Roman" w:cs="Times New Roman"/>
          <w:sz w:val="24"/>
          <w:szCs w:val="24"/>
        </w:rPr>
        <w:fldChar w:fldCharType="separate"/>
      </w:r>
      <w:r w:rsidR="00BF67CE" w:rsidRPr="00BC779C">
        <w:rPr>
          <w:rFonts w:ascii="Times New Roman" w:hAnsi="Times New Roman" w:cs="Times New Roman"/>
          <w:noProof/>
          <w:sz w:val="24"/>
          <w:szCs w:val="24"/>
        </w:rPr>
        <w:t>(12)</w:t>
      </w:r>
      <w:r w:rsidR="005B2692"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Pr="00BC779C">
        <w:rPr>
          <w:rFonts w:ascii="Times New Roman" w:hAnsi="Times New Roman" w:cs="Times New Roman"/>
          <w:sz w:val="24"/>
          <w:szCs w:val="24"/>
        </w:rPr>
        <w:t xml:space="preserve"> </w:t>
      </w:r>
      <w:r w:rsidR="00AD6B19" w:rsidRPr="00BC779C">
        <w:rPr>
          <w:rFonts w:ascii="Times New Roman" w:hAnsi="Times New Roman" w:cs="Times New Roman"/>
          <w:sz w:val="24"/>
          <w:szCs w:val="24"/>
        </w:rPr>
        <w:t xml:space="preserve">Conversely, </w:t>
      </w:r>
      <w:r w:rsidR="00B47C96" w:rsidRPr="00BC779C">
        <w:rPr>
          <w:rFonts w:ascii="Times New Roman" w:hAnsi="Times New Roman" w:cs="Times New Roman"/>
          <w:sz w:val="24"/>
          <w:szCs w:val="24"/>
        </w:rPr>
        <w:t>a dose-response effect was not</w:t>
      </w:r>
      <w:r w:rsidR="00AD6B19" w:rsidRPr="00BC779C">
        <w:rPr>
          <w:rFonts w:ascii="Times New Roman" w:hAnsi="Times New Roman" w:cs="Times New Roman"/>
          <w:sz w:val="24"/>
          <w:szCs w:val="24"/>
        </w:rPr>
        <w:t xml:space="preserve"> observed in pre-adolescent females </w:t>
      </w:r>
      <w:r w:rsidR="00B47C96" w:rsidRPr="00BC779C">
        <w:rPr>
          <w:rFonts w:ascii="Times New Roman" w:hAnsi="Times New Roman" w:cs="Times New Roman"/>
          <w:sz w:val="24"/>
          <w:szCs w:val="24"/>
        </w:rPr>
        <w:t>receiving 5 and 10 g/d of galacto-oligosaccharide</w:t>
      </w:r>
      <w:r w:rsidR="00D83B51" w:rsidRPr="00BC779C">
        <w:rPr>
          <w:rFonts w:ascii="Times New Roman" w:hAnsi="Times New Roman" w:cs="Times New Roman"/>
          <w:sz w:val="24"/>
          <w:szCs w:val="24"/>
        </w:rPr>
        <w:t xml:space="preserve"> </w:t>
      </w:r>
      <w:r w:rsidR="00B47C96"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"10.1017/S000711451300055X", "ISSN" : "1475-2662", "PMID" : "23507173", "abstract" : "Adolescence is a time for rapid growth that represents an opportunity to influence peak bone mass. Prebiotic agents, such as galacto-oligosaccharides (GOS), increase Ca absorption in animal models and postmenopausal women. The objectives of the present study were to investigate the dose-response relationship of GOS supplementation on Ca absorption during growth and to assess changes in colonic microbiota to better understand the mechanism by which GOS is acting. A total of thirty-one healthy adolescent girls aged 10-13 years consumed smoothie drinks twice daily with 0, 2\u00b75 or 5 g GOS for three 3-week periods in a random order. Fractional Ca absorption was determined from urinary Ca excretion over 48 h at the end of each 3-week period using a dual stable isotope method. Faecal microbiota and bifidobacteria were assessed by PCR-denaturing gradient gel electrophoresis and quantitative PCR. Fractional Ca absorption after the 48 h treatment with control, 5 and 10 g GOS/d was 0\u00b7393 (SD 0\u00b7092), 0\u00b7444 (SD 0\u00b7086) and 0\u00b7419 (SD 0\u00b7099), respectively. Significant improvements in Ca absorption were seen with both low and high doses of GOS compared with the control (P,0\u00b702), but itwas not a dose-response relationship. The increase in absorption was greatest in the urine collected after 24 h, which is consistent with lower gut absorption. Faecal bifidobacteria increased (control 10\u00b789 (SD 13\u00b786), 5 g GOS 22\u00b780 (SD 15\u00b774) and 10 g GOS 11\u00b754 (SD 14\u00b720)) with the GOS treatment (P,0\u00b703). The results suggest that daily consumption of 5 g GOS increases Ca absorption, which may be mediated by the gut microbiota, specifically bifidobacteria.", "author" : [ { "dropping-particle" : "", "family" : "Whisner", "given" : "Corrie M", "non-dropping-particle" : "", "parse-names" : false, "suffix" : "" }, { "dropping-particle" : "", "family" : "Martin", "given" : "Berdine R", "non-dropping-particle" : "", "parse-names" : false, "suffix" : "" }, { "dropping-particle" : "", "family" : "Schoterman", "given" : "Margriet H C", "non-dropping-particle" : "", "parse-names" : false, "suffix" : "" }, { "dropping-particle" : "", "family" : "Nakatsu", "given" : "Cindy H", "non-dropping-particle" : "", "parse-names" : false, "suffix" : "" }, { "dropping-particle" : "", "family" : "McCabe", "given" : "Linda D", "non-dropping-particle" : "", "parse-names" : false, "suffix" : "" }, { "dropping-particle" : "", "family" : "McCabe", "given" : "George P", "non-dropping-particle" : "", "parse-names" : false, "suffix" : "" }, { "dropping-particle" : "", "family" : "Wastney", "given" : "Meryl E", "non-dropping-particle" : "", "parse-names" : false, "suffix" : "" }, { "dropping-particle" : "", "family" : "Heuvel", "given" : "Ellen G H M", "non-dropping-particle" : "van den", "parse-names" : false, "suffix" : "" }, { "dropping-particle" : "", "family" : "Weaver", "given" : "Connie M", "non-dropping-particle" : "", "parse-names" : false, "suffix" : "" } ], "container-title" : "The British journal of nutrition", "id" : "ITEM-1", "issue" : "7", "issued" : { "date-parts" : [ [ "2013", "10" ] ] }, "page" : "1292-303", "title" : "Galacto-oligosaccharides increase calcium absorption and gut bifidobacteria in young girls: a double-blind cross-over trial", "type" : "article-journal", "volume" : "110" }, "uris" : [ "http://www.mendeley.com/documents/?uuid=2df32687-8163-497f-bbe5-640bf26fc062" ] } ], "mendeley" : { "formattedCitation" : "(17)", "plainTextFormattedCitation" : "(17)", "previouslyFormattedCitation" : "(17)" }, "properties" : { "noteIndex" : 0 }, "schema" : "https://github.com/citation-style-language/schema/raw/master/csl-citation.json" }</w:instrText>
      </w:r>
      <w:r w:rsidR="00B47C96"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(17)</w:t>
      </w:r>
      <w:r w:rsidR="00B47C96"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00B47C96" w:rsidRPr="00BC779C">
        <w:rPr>
          <w:rFonts w:ascii="Times New Roman" w:hAnsi="Times New Roman" w:cs="Times New Roman"/>
          <w:sz w:val="24"/>
          <w:szCs w:val="24"/>
        </w:rPr>
        <w:t xml:space="preserve"> </w:t>
      </w:r>
      <w:r w:rsidR="0013306B" w:rsidRPr="00BC779C">
        <w:rPr>
          <w:rFonts w:ascii="Times New Roman" w:hAnsi="Times New Roman" w:cs="Times New Roman"/>
          <w:sz w:val="24"/>
          <w:szCs w:val="24"/>
        </w:rPr>
        <w:t>This is similar to the prese</w:t>
      </w:r>
      <w:r w:rsidR="00A70FEB" w:rsidRPr="00BC779C">
        <w:rPr>
          <w:rFonts w:ascii="Times New Roman" w:hAnsi="Times New Roman" w:cs="Times New Roman"/>
          <w:sz w:val="24"/>
          <w:szCs w:val="24"/>
        </w:rPr>
        <w:t>nt study in which 10 and 20 g</w:t>
      </w:r>
      <w:r w:rsidR="000C0CFD" w:rsidRPr="00BC779C">
        <w:rPr>
          <w:rFonts w:ascii="Times New Roman" w:hAnsi="Times New Roman" w:cs="Times New Roman"/>
          <w:sz w:val="24"/>
          <w:szCs w:val="24"/>
        </w:rPr>
        <w:t xml:space="preserve"> fiber/d</w:t>
      </w:r>
      <w:r w:rsidR="00A70FEB" w:rsidRPr="00BC779C">
        <w:rPr>
          <w:rFonts w:ascii="Times New Roman" w:hAnsi="Times New Roman" w:cs="Times New Roman"/>
          <w:sz w:val="24"/>
          <w:szCs w:val="24"/>
        </w:rPr>
        <w:t xml:space="preserve"> from </w:t>
      </w:r>
      <w:r w:rsidR="0013306B" w:rsidRPr="00BC779C">
        <w:rPr>
          <w:rFonts w:ascii="Times New Roman" w:hAnsi="Times New Roman" w:cs="Times New Roman"/>
          <w:sz w:val="24"/>
          <w:szCs w:val="24"/>
        </w:rPr>
        <w:t xml:space="preserve">SCF increased calcium absorption relative to control but no difference </w:t>
      </w:r>
      <w:r w:rsidR="00EB408A" w:rsidRPr="00BC779C">
        <w:rPr>
          <w:rFonts w:ascii="Times New Roman" w:hAnsi="Times New Roman" w:cs="Times New Roman"/>
          <w:sz w:val="24"/>
          <w:szCs w:val="24"/>
        </w:rPr>
        <w:t>was</w:t>
      </w:r>
      <w:r w:rsidR="00D10F71" w:rsidRPr="00BC779C">
        <w:rPr>
          <w:rFonts w:ascii="Times New Roman" w:hAnsi="Times New Roman" w:cs="Times New Roman"/>
          <w:sz w:val="24"/>
          <w:szCs w:val="24"/>
        </w:rPr>
        <w:t xml:space="preserve"> </w:t>
      </w:r>
      <w:r w:rsidR="00520F2D" w:rsidRPr="00BC779C">
        <w:rPr>
          <w:rFonts w:ascii="Times New Roman" w:hAnsi="Times New Roman" w:cs="Times New Roman"/>
          <w:sz w:val="24"/>
          <w:szCs w:val="24"/>
        </w:rPr>
        <w:t xml:space="preserve">observed between the two </w:t>
      </w:r>
      <w:r w:rsidR="00D6757B" w:rsidRPr="00BC779C">
        <w:rPr>
          <w:rFonts w:ascii="Times New Roman" w:hAnsi="Times New Roman" w:cs="Times New Roman"/>
          <w:sz w:val="24"/>
          <w:szCs w:val="24"/>
        </w:rPr>
        <w:t>intervention</w:t>
      </w:r>
      <w:r w:rsidR="0013306B" w:rsidRPr="00BC779C">
        <w:rPr>
          <w:rFonts w:ascii="Times New Roman" w:hAnsi="Times New Roman" w:cs="Times New Roman"/>
          <w:sz w:val="24"/>
          <w:szCs w:val="24"/>
        </w:rPr>
        <w:t xml:space="preserve">s. </w:t>
      </w:r>
      <w:r w:rsidRPr="00BC779C">
        <w:rPr>
          <w:rFonts w:ascii="Times New Roman" w:hAnsi="Times New Roman" w:cs="Times New Roman"/>
          <w:sz w:val="24"/>
          <w:szCs w:val="24"/>
        </w:rPr>
        <w:t xml:space="preserve">While data </w:t>
      </w:r>
      <w:r w:rsidR="00520F2D" w:rsidRPr="00BC779C">
        <w:rPr>
          <w:rFonts w:ascii="Times New Roman" w:hAnsi="Times New Roman" w:cs="Times New Roman"/>
          <w:sz w:val="24"/>
          <w:szCs w:val="24"/>
        </w:rPr>
        <w:t>for</w:t>
      </w:r>
      <w:r w:rsidRPr="00BC779C">
        <w:rPr>
          <w:rFonts w:ascii="Times New Roman" w:hAnsi="Times New Roman" w:cs="Times New Roman"/>
          <w:sz w:val="24"/>
          <w:szCs w:val="24"/>
        </w:rPr>
        <w:t xml:space="preserve"> the dose effects of </w:t>
      </w:r>
      <w:r w:rsidR="00A74323" w:rsidRPr="00BC779C">
        <w:rPr>
          <w:rFonts w:ascii="Times New Roman" w:hAnsi="Times New Roman" w:cs="Times New Roman"/>
          <w:sz w:val="24"/>
          <w:szCs w:val="24"/>
        </w:rPr>
        <w:t>non-digestible carbohydrates</w:t>
      </w:r>
      <w:r w:rsidRPr="00BC779C">
        <w:rPr>
          <w:rFonts w:ascii="Times New Roman" w:hAnsi="Times New Roman" w:cs="Times New Roman"/>
          <w:sz w:val="24"/>
          <w:szCs w:val="24"/>
        </w:rPr>
        <w:t xml:space="preserve"> on calcium absorption are limited, </w:t>
      </w:r>
      <w:r w:rsidR="00682548" w:rsidRPr="00BC779C">
        <w:rPr>
          <w:rFonts w:ascii="Times New Roman" w:hAnsi="Times New Roman" w:cs="Times New Roman"/>
          <w:sz w:val="24"/>
          <w:szCs w:val="24"/>
        </w:rPr>
        <w:t>previous findings suggest a</w:t>
      </w:r>
      <w:r w:rsidRPr="00BC779C">
        <w:rPr>
          <w:rFonts w:ascii="Times New Roman" w:hAnsi="Times New Roman" w:cs="Times New Roman"/>
          <w:sz w:val="24"/>
          <w:szCs w:val="24"/>
        </w:rPr>
        <w:t xml:space="preserve"> need for continued research </w:t>
      </w:r>
      <w:r w:rsidR="00520F2D" w:rsidRPr="00BC779C">
        <w:rPr>
          <w:rFonts w:ascii="Times New Roman" w:hAnsi="Times New Roman" w:cs="Times New Roman"/>
          <w:sz w:val="24"/>
          <w:szCs w:val="24"/>
        </w:rPr>
        <w:t>to</w:t>
      </w:r>
      <w:r w:rsidRPr="00BC779C">
        <w:rPr>
          <w:rFonts w:ascii="Times New Roman" w:hAnsi="Times New Roman" w:cs="Times New Roman"/>
          <w:sz w:val="24"/>
          <w:szCs w:val="24"/>
        </w:rPr>
        <w:t xml:space="preserve"> identif</w:t>
      </w:r>
      <w:r w:rsidR="00520F2D" w:rsidRPr="00BC779C">
        <w:rPr>
          <w:rFonts w:ascii="Times New Roman" w:hAnsi="Times New Roman" w:cs="Times New Roman"/>
          <w:sz w:val="24"/>
          <w:szCs w:val="24"/>
        </w:rPr>
        <w:t xml:space="preserve">y effective </w:t>
      </w:r>
      <w:r w:rsidRPr="00BC779C">
        <w:rPr>
          <w:rFonts w:ascii="Times New Roman" w:hAnsi="Times New Roman" w:cs="Times New Roman"/>
          <w:sz w:val="24"/>
          <w:szCs w:val="24"/>
        </w:rPr>
        <w:t xml:space="preserve">doses </w:t>
      </w:r>
      <w:r w:rsidR="00520F2D" w:rsidRPr="00BC779C">
        <w:rPr>
          <w:rFonts w:ascii="Times New Roman" w:hAnsi="Times New Roman" w:cs="Times New Roman"/>
          <w:sz w:val="24"/>
          <w:szCs w:val="24"/>
        </w:rPr>
        <w:t>for maximal calcium nutriture.</w:t>
      </w:r>
    </w:p>
    <w:p w14:paraId="5C554A3E" w14:textId="1C4C037D" w:rsidR="00036445" w:rsidRPr="00BC779C" w:rsidRDefault="00EB408A" w:rsidP="00D12A80">
      <w:pPr>
        <w:spacing w:after="100" w:afterAutospacing="1" w:line="480" w:lineRule="auto"/>
        <w:ind w:firstLine="360"/>
        <w:rPr>
          <w:rFonts w:ascii="Times New Roman" w:hAnsi="Times New Roman" w:cs="Times New Roman"/>
          <w:sz w:val="24"/>
          <w:szCs w:val="24"/>
        </w:rPr>
      </w:pPr>
      <w:r w:rsidRPr="00BC779C">
        <w:rPr>
          <w:rFonts w:ascii="Times New Roman" w:hAnsi="Times New Roman" w:cs="Times New Roman"/>
          <w:sz w:val="24"/>
          <w:szCs w:val="24"/>
        </w:rPr>
        <w:t>The increases in calcium absorption (13.3 and 12.9% for 10 and 20 g</w:t>
      </w:r>
      <w:r w:rsidR="000C0CFD" w:rsidRPr="00BC779C">
        <w:rPr>
          <w:rFonts w:ascii="Times New Roman" w:hAnsi="Times New Roman" w:cs="Times New Roman"/>
          <w:sz w:val="24"/>
          <w:szCs w:val="24"/>
        </w:rPr>
        <w:t xml:space="preserve"> fiber</w:t>
      </w:r>
      <w:r w:rsidR="003D266E" w:rsidRPr="00BC779C">
        <w:rPr>
          <w:rFonts w:ascii="Times New Roman" w:hAnsi="Times New Roman" w:cs="Times New Roman"/>
          <w:sz w:val="24"/>
          <w:szCs w:val="24"/>
        </w:rPr>
        <w:t>/d</w:t>
      </w:r>
      <w:r w:rsidR="00B56496" w:rsidRPr="00BC779C">
        <w:rPr>
          <w:rFonts w:ascii="Times New Roman" w:hAnsi="Times New Roman" w:cs="Times New Roman"/>
          <w:sz w:val="24"/>
          <w:szCs w:val="24"/>
        </w:rPr>
        <w:t xml:space="preserve"> </w:t>
      </w:r>
      <w:r w:rsidR="000C0CFD" w:rsidRPr="00BC779C">
        <w:rPr>
          <w:rFonts w:ascii="Times New Roman" w:hAnsi="Times New Roman" w:cs="Times New Roman"/>
          <w:sz w:val="24"/>
          <w:szCs w:val="24"/>
        </w:rPr>
        <w:t>from SCF</w:t>
      </w:r>
      <w:r w:rsidRPr="00BC779C">
        <w:rPr>
          <w:rFonts w:ascii="Times New Roman" w:hAnsi="Times New Roman" w:cs="Times New Roman"/>
          <w:sz w:val="24"/>
          <w:szCs w:val="24"/>
        </w:rPr>
        <w:t xml:space="preserve">, respectively) observed in this study are similar to that of a previous investigation of SCF (11.6% </w:t>
      </w:r>
      <w:r w:rsidRPr="00BC779C">
        <w:rPr>
          <w:rFonts w:ascii="Times New Roman" w:hAnsi="Times New Roman" w:cs="Times New Roman"/>
          <w:sz w:val="24"/>
          <w:szCs w:val="24"/>
        </w:rPr>
        <w:lastRenderedPageBreak/>
        <w:t>with 12 g</w:t>
      </w:r>
      <w:r w:rsidR="003D266E" w:rsidRPr="00BC779C">
        <w:rPr>
          <w:rFonts w:ascii="Times New Roman" w:hAnsi="Times New Roman" w:cs="Times New Roman"/>
          <w:sz w:val="24"/>
          <w:szCs w:val="24"/>
        </w:rPr>
        <w:t>/d</w:t>
      </w:r>
      <w:r w:rsidR="00B56496" w:rsidRPr="00BC779C">
        <w:rPr>
          <w:rFonts w:ascii="Times New Roman" w:hAnsi="Times New Roman" w:cs="Times New Roman"/>
          <w:sz w:val="24"/>
          <w:szCs w:val="24"/>
        </w:rPr>
        <w:t xml:space="preserve"> fiber</w:t>
      </w:r>
      <w:r w:rsidRPr="00BC779C">
        <w:rPr>
          <w:rFonts w:ascii="Times New Roman" w:hAnsi="Times New Roman" w:cs="Times New Roman"/>
          <w:sz w:val="24"/>
          <w:szCs w:val="24"/>
        </w:rPr>
        <w:t>)</w:t>
      </w:r>
      <w:r w:rsidR="00D83B51" w:rsidRPr="00BC779C">
        <w:rPr>
          <w:rFonts w:ascii="Times New Roman" w:hAnsi="Times New Roman" w:cs="Times New Roman"/>
          <w:sz w:val="24"/>
          <w:szCs w:val="24"/>
        </w:rPr>
        <w:t xml:space="preserve"> </w:t>
      </w:r>
      <w:r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"10.1017/S0007114514000981", "ISSN" : "1475-2662", "PMID" : "24848974", "abstract" : "Soluble maize fibre (SCF) has been found to significantly improve bone mineral density and strength in growing rats compared with several other novel prebiotic fibres. The objective of the present study was to investigate the effect of SCF on Ca absorption and retention in pubertal children by studying the potential absorption mechanisms of the intestinal microbiota. A total of twenty-four adolescent boys and girls (12-15 years) participated in two 3-week metabolic balance studies testing 0 g/d SCF (control (CON) treatment) and 12 g/d SCF (SCF treatment) in a random order by inclusion in a low-Ca diet (600 mg/d). Fractional Ca absorption was measured at the end of the two intervention periods using a dual-stable isotope method. Diet composites and faecal and urine samples were collected daily and analysed for Ca content. Ca retention was calculated as dietary Ca intake minus Ca excretion in faeces and urine over the last 2 weeks. Microbial community composition in the faecal samples collected at the beginning and end of each session was determined by 454 pyrosequencing of the PCR-amplified 16S ribosomal RNA gene. Fractional Ca absorption was 12 % higher (41 mg/d) after the SCF treatment compared with that after the CON treatment (0\u00b7664 (sd 0\u00b7129) and 0\u00b7595 (sd 0\u00b7142), respectively; P= 0\u00b702), but Ca retention was unaffected. The average proportion of bacteria of the phylum Bacteroidetes was significantly greater in the participants after the SCF treatment than after the CON treatment. These results suggest that moderate daily intake of SCF, a well-tolerated prebiotic fibre, increases short-term Ca absorption in adolescents consuming less than the recommended amounts of Ca.", "author" : [ { "dropping-particle" : "", "family" : "Whisner", "given" : "Corrie M", "non-dropping-particle" : "", "parse-names" : false, "suffix" : "" }, { "dropping-particle" : "", "family" : "Martin", "given" : "Berdine R", "non-dropping-particle" : "", "parse-names" : false, "suffix" : "" }, { "dropping-particle" : "", "family" : "Nakatsu", "given" : "Cindy H", "non-dropping-particle" : "", "parse-names" : false, "suffix" : "" }, { "dropping-particle" : "", "family" : "McCabe", "given" : "George P", "non-dropping-particle" : "", "parse-names" : false, "suffix" : "" }, { "dropping-particle" : "", "family" : "McCabe", "given" : "Linda D", "non-dropping-particle" : "", "parse-names" : false, "suffix" : "" }, { "dropping-particle" : "", "family" : "Peacock", "given" : "Munro", "non-dropping-particle" : "", "parse-names" : false, "suffix" : "" }, { "dropping-particle" : "", "family" : "Weaver", "given" : "Connie M", "non-dropping-particle" : "", "parse-names" : false, "suffix" : "" } ], "container-title" : "The British journal of nutrition", "id" : "ITEM-1", "issue" : "3", "issued" : { "date-parts" : [ [ "2014", "8" ] ] }, "page" : "446-56", "title" : "Soluble maize fibre affects short-term calcium absorption in adolescent boys and girls: a randomised controlled trial using dual stable isotopic tracers", "type" : "article-journal", "volume" : "112" }, "uris" : [ "http://www.mendeley.com/documents/?uuid=8745de69-6a21-4f5e-ad5e-057128c87b73" ] } ], "mendeley" : { "formattedCitation" : "(9)", "plainTextFormattedCitation" : "(9)", "previouslyFormattedCitation" : "(9)" }, "properties" : { "noteIndex" : 0 }, "schema" : "https://github.com/citation-style-language/schema/raw/master/csl-citation.json" }</w:instrText>
      </w:r>
      <w:r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(9)</w:t>
      </w:r>
      <w:r w:rsidRPr="00BC779C">
        <w:rPr>
          <w:rFonts w:ascii="Times New Roman" w:hAnsi="Times New Roman" w:cs="Times New Roman"/>
          <w:sz w:val="24"/>
          <w:szCs w:val="24"/>
        </w:rPr>
        <w:fldChar w:fldCharType="end"/>
      </w:r>
      <w:r w:rsidR="00C253D7" w:rsidRPr="00BC779C">
        <w:rPr>
          <w:rFonts w:ascii="Times New Roman" w:hAnsi="Times New Roman" w:cs="Times New Roman"/>
          <w:sz w:val="24"/>
          <w:szCs w:val="24"/>
        </w:rPr>
        <w:t xml:space="preserve"> suggesting the effectiveness of this fiber despite differing study designs. The previous study</w:t>
      </w:r>
      <w:r w:rsidRPr="00BC779C">
        <w:rPr>
          <w:rFonts w:ascii="Times New Roman" w:hAnsi="Times New Roman" w:cs="Times New Roman"/>
          <w:sz w:val="24"/>
          <w:szCs w:val="24"/>
        </w:rPr>
        <w:t xml:space="preserve"> had a heterogeneous population </w:t>
      </w:r>
      <w:r w:rsidR="00C253D7" w:rsidRPr="00BC779C">
        <w:rPr>
          <w:rFonts w:ascii="Times New Roman" w:hAnsi="Times New Roman" w:cs="Times New Roman"/>
          <w:sz w:val="24"/>
          <w:szCs w:val="24"/>
        </w:rPr>
        <w:t xml:space="preserve">with highly </w:t>
      </w:r>
      <w:r w:rsidRPr="00BC779C">
        <w:rPr>
          <w:rFonts w:ascii="Times New Roman" w:hAnsi="Times New Roman" w:cs="Times New Roman"/>
          <w:sz w:val="24"/>
          <w:szCs w:val="24"/>
        </w:rPr>
        <w:t>controlled diet</w:t>
      </w:r>
      <w:r w:rsidR="00C253D7" w:rsidRPr="00BC779C">
        <w:rPr>
          <w:rFonts w:ascii="Times New Roman" w:hAnsi="Times New Roman" w:cs="Times New Roman"/>
          <w:sz w:val="24"/>
          <w:szCs w:val="24"/>
        </w:rPr>
        <w:t>ary intake</w:t>
      </w:r>
      <w:r w:rsidRPr="00BC779C">
        <w:rPr>
          <w:rFonts w:ascii="Times New Roman" w:hAnsi="Times New Roman" w:cs="Times New Roman"/>
          <w:sz w:val="24"/>
          <w:szCs w:val="24"/>
        </w:rPr>
        <w:t xml:space="preserve"> and activity</w:t>
      </w:r>
      <w:r w:rsidR="00C253D7" w:rsidRPr="00BC779C">
        <w:rPr>
          <w:rFonts w:ascii="Times New Roman" w:hAnsi="Times New Roman" w:cs="Times New Roman"/>
          <w:sz w:val="24"/>
          <w:szCs w:val="24"/>
        </w:rPr>
        <w:t xml:space="preserve"> </w:t>
      </w:r>
      <w:r w:rsidR="007340EA" w:rsidRPr="00BC779C">
        <w:rPr>
          <w:rFonts w:ascii="Times New Roman" w:hAnsi="Times New Roman" w:cs="Times New Roman"/>
          <w:sz w:val="24"/>
          <w:szCs w:val="24"/>
        </w:rPr>
        <w:t>compared to this study</w:t>
      </w:r>
      <w:r w:rsidR="00C253D7" w:rsidRPr="00BC779C">
        <w:rPr>
          <w:rFonts w:ascii="Times New Roman" w:hAnsi="Times New Roman" w:cs="Times New Roman"/>
          <w:sz w:val="24"/>
          <w:szCs w:val="24"/>
        </w:rPr>
        <w:t xml:space="preserve"> which</w:t>
      </w:r>
      <w:r w:rsidRPr="00BC779C">
        <w:rPr>
          <w:rFonts w:ascii="Times New Roman" w:hAnsi="Times New Roman" w:cs="Times New Roman"/>
          <w:sz w:val="24"/>
          <w:szCs w:val="24"/>
        </w:rPr>
        <w:t xml:space="preserve"> had a homogenous population but uncontrolled diet and activity</w:t>
      </w:r>
      <w:r w:rsidR="00C253D7" w:rsidRPr="00BC779C">
        <w:rPr>
          <w:rFonts w:ascii="Times New Roman" w:hAnsi="Times New Roman" w:cs="Times New Roman"/>
          <w:sz w:val="24"/>
          <w:szCs w:val="24"/>
        </w:rPr>
        <w:t xml:space="preserve">. </w:t>
      </w:r>
      <w:r w:rsidR="00A535ED" w:rsidRPr="00BC779C">
        <w:rPr>
          <w:rFonts w:ascii="Times New Roman" w:hAnsi="Times New Roman" w:cs="Times New Roman"/>
          <w:sz w:val="24"/>
          <w:szCs w:val="24"/>
        </w:rPr>
        <w:t xml:space="preserve"> It is possible that offsetting variances resulted in similar results in calcium absorption and that a design using a homogeneous population and a controlled diet and activity schedule would result in a larger impact of fiber feeding.  In both studies,</w:t>
      </w:r>
      <w:r w:rsidR="00C253D7" w:rsidRPr="00BC779C">
        <w:rPr>
          <w:rFonts w:ascii="Times New Roman" w:hAnsi="Times New Roman" w:cs="Times New Roman"/>
          <w:sz w:val="24"/>
          <w:szCs w:val="24"/>
        </w:rPr>
        <w:t xml:space="preserve"> participants reported </w:t>
      </w:r>
      <w:r w:rsidR="00036445" w:rsidRPr="00BC779C">
        <w:rPr>
          <w:rFonts w:ascii="Times New Roman" w:hAnsi="Times New Roman" w:cs="Times New Roman"/>
          <w:sz w:val="24"/>
          <w:szCs w:val="24"/>
        </w:rPr>
        <w:t>minimal</w:t>
      </w:r>
      <w:r w:rsidR="00C253D7" w:rsidRPr="00BC779C">
        <w:rPr>
          <w:rFonts w:ascii="Times New Roman" w:hAnsi="Times New Roman" w:cs="Times New Roman"/>
          <w:sz w:val="24"/>
          <w:szCs w:val="24"/>
        </w:rPr>
        <w:t xml:space="preserve"> gastrointestinal symptoms</w:t>
      </w:r>
      <w:r w:rsidR="00A70FEB" w:rsidRPr="00BC779C">
        <w:rPr>
          <w:rFonts w:ascii="Times New Roman" w:hAnsi="Times New Roman" w:cs="Times New Roman"/>
          <w:sz w:val="24"/>
          <w:szCs w:val="24"/>
        </w:rPr>
        <w:t xml:space="preserve"> with consumption of SCF (symptoms no different </w:t>
      </w:r>
      <w:r w:rsidR="00794F5B" w:rsidRPr="00BC779C">
        <w:rPr>
          <w:rFonts w:ascii="Times New Roman" w:hAnsi="Times New Roman" w:cs="Times New Roman"/>
          <w:sz w:val="24"/>
          <w:szCs w:val="24"/>
        </w:rPr>
        <w:t>from control</w:t>
      </w:r>
      <w:r w:rsidR="00A70FEB" w:rsidRPr="00BC779C">
        <w:rPr>
          <w:rFonts w:ascii="Times New Roman" w:hAnsi="Times New Roman" w:cs="Times New Roman"/>
          <w:sz w:val="24"/>
          <w:szCs w:val="24"/>
        </w:rPr>
        <w:t>)</w:t>
      </w:r>
      <w:r w:rsidR="00FC14FE" w:rsidRPr="00BC779C">
        <w:rPr>
          <w:rFonts w:ascii="Times New Roman" w:hAnsi="Times New Roman" w:cs="Times New Roman"/>
          <w:sz w:val="24"/>
          <w:szCs w:val="24"/>
        </w:rPr>
        <w:t xml:space="preserve">, </w:t>
      </w:r>
      <w:r w:rsidR="00036445" w:rsidRPr="00BC779C">
        <w:rPr>
          <w:rFonts w:ascii="Times New Roman" w:hAnsi="Times New Roman" w:cs="Times New Roman"/>
          <w:sz w:val="24"/>
          <w:szCs w:val="24"/>
        </w:rPr>
        <w:t>supporting the feasibility of this prebiotic as an a</w:t>
      </w:r>
      <w:r w:rsidR="00794F5B" w:rsidRPr="00BC779C">
        <w:rPr>
          <w:rFonts w:ascii="Times New Roman" w:hAnsi="Times New Roman" w:cs="Times New Roman"/>
          <w:sz w:val="24"/>
          <w:szCs w:val="24"/>
        </w:rPr>
        <w:t>cceptable method of increasing calcium</w:t>
      </w:r>
      <w:r w:rsidR="00036445" w:rsidRPr="00BC779C">
        <w:rPr>
          <w:rFonts w:ascii="Times New Roman" w:hAnsi="Times New Roman" w:cs="Times New Roman"/>
          <w:sz w:val="24"/>
          <w:szCs w:val="24"/>
        </w:rPr>
        <w:t xml:space="preserve"> absorption</w:t>
      </w:r>
      <w:r w:rsidR="00A535ED" w:rsidRPr="00BC779C">
        <w:rPr>
          <w:rFonts w:ascii="Times New Roman" w:hAnsi="Times New Roman" w:cs="Times New Roman"/>
          <w:sz w:val="24"/>
          <w:szCs w:val="24"/>
        </w:rPr>
        <w:t>.</w:t>
      </w:r>
    </w:p>
    <w:p w14:paraId="07956C2D" w14:textId="510F3F77" w:rsidR="0030120B" w:rsidRPr="00BC779C" w:rsidRDefault="0030120B" w:rsidP="00D12A80">
      <w:pPr>
        <w:spacing w:after="100" w:afterAutospacing="1" w:line="480" w:lineRule="auto"/>
        <w:ind w:firstLine="360"/>
        <w:rPr>
          <w:rFonts w:ascii="Times New Roman" w:hAnsi="Times New Roman" w:cs="Times New Roman"/>
          <w:sz w:val="24"/>
          <w:szCs w:val="24"/>
        </w:rPr>
      </w:pPr>
      <w:r w:rsidRPr="00BC779C">
        <w:rPr>
          <w:rFonts w:ascii="Times New Roman" w:hAnsi="Times New Roman" w:cs="Times New Roman"/>
          <w:sz w:val="24"/>
          <w:szCs w:val="24"/>
        </w:rPr>
        <w:t xml:space="preserve">The significant correlation observed between BAP (bone formation marker) and absorption measures in this study suggests the potential of SCF consumption for increased bone density. </w:t>
      </w:r>
      <w:r w:rsidR="00563E37" w:rsidRPr="00BC779C">
        <w:rPr>
          <w:rFonts w:ascii="Times New Roman" w:hAnsi="Times New Roman" w:cs="Times New Roman"/>
          <w:sz w:val="24"/>
          <w:szCs w:val="24"/>
        </w:rPr>
        <w:t>In a similar study in postmenopausal women, consumption of 20 g</w:t>
      </w:r>
      <w:r w:rsidR="001137C6" w:rsidRPr="00BC779C">
        <w:rPr>
          <w:rFonts w:ascii="Times New Roman" w:hAnsi="Times New Roman" w:cs="Times New Roman"/>
          <w:sz w:val="24"/>
          <w:szCs w:val="24"/>
        </w:rPr>
        <w:t xml:space="preserve"> fiber/d</w:t>
      </w:r>
      <w:r w:rsidR="00563E37" w:rsidRPr="00BC779C">
        <w:rPr>
          <w:rFonts w:ascii="Times New Roman" w:hAnsi="Times New Roman" w:cs="Times New Roman"/>
          <w:sz w:val="24"/>
          <w:szCs w:val="24"/>
        </w:rPr>
        <w:t xml:space="preserve"> from SCF was associated with </w:t>
      </w:r>
      <w:r w:rsidR="00794F5B" w:rsidRPr="00BC779C">
        <w:rPr>
          <w:rFonts w:ascii="Times New Roman" w:hAnsi="Times New Roman" w:cs="Times New Roman"/>
          <w:sz w:val="24"/>
          <w:szCs w:val="24"/>
        </w:rPr>
        <w:t>increased BAP</w:t>
      </w:r>
      <w:r w:rsidR="00563E37" w:rsidRPr="00BC779C">
        <w:rPr>
          <w:rFonts w:ascii="Times New Roman" w:hAnsi="Times New Roman" w:cs="Times New Roman"/>
          <w:sz w:val="24"/>
          <w:szCs w:val="24"/>
        </w:rPr>
        <w:t xml:space="preserve"> compared to control</w:t>
      </w:r>
      <w:r w:rsidR="00D83B51" w:rsidRPr="00BC779C">
        <w:rPr>
          <w:rFonts w:ascii="Times New Roman" w:hAnsi="Times New Roman" w:cs="Times New Roman"/>
          <w:sz w:val="24"/>
          <w:szCs w:val="24"/>
        </w:rPr>
        <w:t xml:space="preserve"> </w:t>
      </w:r>
      <w:r w:rsidR="002A3549" w:rsidRPr="00BC779C">
        <w:rPr>
          <w:rFonts w:ascii="Times New Roman" w:hAnsi="Times New Roman" w:cs="Times New Roman"/>
          <w:sz w:val="24"/>
          <w:szCs w:val="24"/>
        </w:rPr>
        <w:fldChar w:fldCharType="begin" w:fldLock="1"/>
      </w:r>
      <w:r w:rsidR="00F55607" w:rsidRPr="00BC779C">
        <w:rPr>
          <w:rFonts w:ascii="Times New Roman" w:hAnsi="Times New Roman" w:cs="Times New Roman"/>
          <w:sz w:val="24"/>
          <w:szCs w:val="24"/>
        </w:rPr>
        <w:instrText>ADDIN CSL_CITATION { "citationItems" : [ { "id" : "ITEM-1", "itemData" : { "author" : [ { "dropping-particle" : "", "family" : "Jakeman", "given" : "SA", "non-dropping-particle" : "", "parse-names" : false, "suffix" : "" }, { "dropping-particle" : "", "family" : "Henry", "given" : "CN", "non-dropping-particle" : "", "parse-names" : false, "suffix" : "" }, { "dropping-particle" : "", "family" : "Martin", "given" : "BR", "non-dropping-particle" : "", "parse-names" : false, "suffix" : "" }, { "dropping-particle" : "", "family" : "McCabe", "given" : "GP", "non-dropping-particle" : "", "parse-names" : false, "suffix" : "" }, { "dropping-particle" : "", "family" : "McCabe", "given" : "LD", "non-dropping-particle" : "", "parse-names" : false, "suffix" : "" }, { "dropping-particle" : "", "family" : "Jackson", "given" : "GS", "non-dropping-particle" : "", "parse-names" : false, "suffix" : "" }, { "dropping-particle" : "", "family" : "Peacock", "given" : "M", "non-dropping-particle" : "", "parse-names" : false, "suffix" : "" }, { "dropping-particle" : "", "family" : "Weaver", "given" : "CM", "non-dropping-particle" : "", "parse-names" : false, "suffix" : "" } ], "container-title" : "Am Soc Bone Miner Res", "id" : "ITEM-1", "issued" : { "date-parts" : [ [ "2015" ] ] }, "page" : "SU0314", "title" : "Soluble corn fiber increases bone calcium retention in postmenopausal women in a dose-dependent manner", "type" : "article-journal" }, "uris" : [ "http://www.mendeley.com/documents/?uuid=90e57903-01bd-443b-af06-44f3c2f7c217" ] } ], "mendeley" : { "formattedCitation" : "(32)", "plainTextFormattedCitation" : "(32)", "previouslyFormattedCitation" : "(32)" }, "properties" : { "noteIndex" : 0 }, "schema" : "https://github.com/citation-style-language/schema/raw/master/csl-citation.json" }</w:instrText>
      </w:r>
      <w:r w:rsidR="002A3549"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(32)</w:t>
      </w:r>
      <w:r w:rsidR="002A3549"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00563E37" w:rsidRPr="00BC779C">
        <w:rPr>
          <w:rFonts w:ascii="Times New Roman" w:hAnsi="Times New Roman" w:cs="Times New Roman"/>
          <w:sz w:val="24"/>
          <w:szCs w:val="24"/>
        </w:rPr>
        <w:t xml:space="preserve"> </w:t>
      </w:r>
      <w:r w:rsidR="005F1F71" w:rsidRPr="00BC779C">
        <w:rPr>
          <w:rFonts w:ascii="Times New Roman" w:hAnsi="Times New Roman" w:cs="Times New Roman"/>
          <w:sz w:val="24"/>
          <w:szCs w:val="24"/>
        </w:rPr>
        <w:t xml:space="preserve">Few </w:t>
      </w:r>
      <w:r w:rsidR="005F1A13" w:rsidRPr="00BC779C">
        <w:rPr>
          <w:rFonts w:ascii="Times New Roman" w:hAnsi="Times New Roman" w:cs="Times New Roman"/>
          <w:sz w:val="24"/>
          <w:szCs w:val="24"/>
        </w:rPr>
        <w:t xml:space="preserve">long-term </w:t>
      </w:r>
      <w:r w:rsidR="005F1F71" w:rsidRPr="00BC779C">
        <w:rPr>
          <w:rFonts w:ascii="Times New Roman" w:hAnsi="Times New Roman" w:cs="Times New Roman"/>
          <w:sz w:val="24"/>
          <w:szCs w:val="24"/>
        </w:rPr>
        <w:t xml:space="preserve">studies have been conducted to confirm whether increases in calcium absorption translate to </w:t>
      </w:r>
      <w:r w:rsidR="005F1A13" w:rsidRPr="00BC779C">
        <w:rPr>
          <w:rFonts w:ascii="Times New Roman" w:hAnsi="Times New Roman" w:cs="Times New Roman"/>
          <w:sz w:val="24"/>
          <w:szCs w:val="24"/>
        </w:rPr>
        <w:t>increased</w:t>
      </w:r>
      <w:r w:rsidR="005F1F71" w:rsidRPr="00BC779C">
        <w:rPr>
          <w:rFonts w:ascii="Times New Roman" w:hAnsi="Times New Roman" w:cs="Times New Roman"/>
          <w:sz w:val="24"/>
          <w:szCs w:val="24"/>
        </w:rPr>
        <w:t xml:space="preserve"> bone mineral </w:t>
      </w:r>
      <w:r w:rsidR="005F1A13" w:rsidRPr="00BC779C">
        <w:rPr>
          <w:rFonts w:ascii="Times New Roman" w:hAnsi="Times New Roman" w:cs="Times New Roman"/>
          <w:sz w:val="24"/>
          <w:szCs w:val="24"/>
        </w:rPr>
        <w:t xml:space="preserve">content (BMC) </w:t>
      </w:r>
      <w:r w:rsidR="005F1F71" w:rsidRPr="00BC779C">
        <w:rPr>
          <w:rFonts w:ascii="Times New Roman" w:hAnsi="Times New Roman" w:cs="Times New Roman"/>
          <w:sz w:val="24"/>
          <w:szCs w:val="24"/>
        </w:rPr>
        <w:t xml:space="preserve">following prebiotic consumption. An adolescent study </w:t>
      </w:r>
      <w:r w:rsidR="00C96982" w:rsidRPr="00BC779C">
        <w:rPr>
          <w:rFonts w:ascii="Times New Roman" w:hAnsi="Times New Roman" w:cs="Times New Roman"/>
          <w:sz w:val="24"/>
          <w:szCs w:val="24"/>
        </w:rPr>
        <w:t xml:space="preserve">reported </w:t>
      </w:r>
      <w:r w:rsidR="005F1F71" w:rsidRPr="00BC779C">
        <w:rPr>
          <w:rFonts w:ascii="Times New Roman" w:hAnsi="Times New Roman" w:cs="Times New Roman"/>
          <w:sz w:val="24"/>
          <w:szCs w:val="24"/>
        </w:rPr>
        <w:t xml:space="preserve">that a similar fiber, inulin-type fructan, significantly increased calcium absorption over a year of daily intake which accounted for an additional skeletal accrual of 11 g of calcium </w:t>
      </w:r>
      <w:r w:rsidR="00FA71F3" w:rsidRPr="00BC779C">
        <w:rPr>
          <w:rFonts w:ascii="Times New Roman" w:hAnsi="Times New Roman" w:cs="Times New Roman"/>
          <w:sz w:val="24"/>
          <w:szCs w:val="24"/>
        </w:rPr>
        <w:fldChar w:fldCharType="begin" w:fldLock="1"/>
      </w:r>
      <w:r w:rsidR="00086B0D" w:rsidRPr="00BC779C">
        <w:rPr>
          <w:rFonts w:ascii="Times New Roman" w:hAnsi="Times New Roman" w:cs="Times New Roman"/>
          <w:sz w:val="24"/>
          <w:szCs w:val="24"/>
        </w:rPr>
        <w:instrText>ADDIN CSL_CITATION { "citationItems" : [ { "id" : "ITEM-1", "itemData" : { "ISSN" : "0002-9165", "PMID" : "16087995", "abstract" : "BACKGROUND: Short-term studies in adolescents have generally shown an enhancement of calcium absorption by inulin-type fructans (prebiotics). Results have been inconsistent; however, and no studies have been conducted to determine whether this effect persists with long-term use. OBJECTIVE: The objective was to assess the effects on calcium absorption and bone mineral accretion after 8 wk and 1 y of supplementation with an inulin-type fructan. DESIGN: Pubertal adolescents were randomly assigned to receive 8 g/d of a mixed short and long degree of polymerization inulin-type fructan product (fructan group) or maltodextrin placebo (control group). Bone mineral content and bone mineral density were measured before randomization and after 1 y. Calcium absorption was measured with the use of stable isotopes at baseline and 8 wk and 1 y after supplementation. Polymorphisms of the Fok1 vitamin D receptor gene were determined. RESULTS: Calcium absorption was significantly greater in the fructan group than in the control group at 8 wk (difference: 8.5 +/- 1.6%; P &lt; 0.001) and at 1 y (difference: 5.9 +/- 2.8%; P = 0.04). An interaction with Fok1 genotype was present such that subjects with an ff genotype had the least initial response to fructan. After 1 y, the fructan group had a greater increment in both whole-body bone mineral content (difference: 35 +/- 16 g; P = 0.03) and whole-body bone mineral density (difference: 0.015 +/- 0.004 g/cm(2); P = 0.01) than did the control group. CONCLUSION: Daily consumption of a combination of prebiotic short- and long-chain inulin-type fructans significantly increases calcium absorption and enhances bone mineralization during pubertal growth. Effects of dietary factors on calcium absorption may be modulated by genetic factors, including specific vitamin D receptor gene polymorphisms.", "author" : [ { "dropping-particle" : "", "family" : "Abrams", "given" : "Steven A", "non-dropping-particle" : "", "parse-names" : false, "suffix" : "" }, { "dropping-particle" : "", "family" : "Griffin", "given" : "Ian J", "non-dropping-particle" : "", "parse-names" : false, "suffix" : "" }, { "dropping-particle" : "", "family" : "Hawthorne", "given" : "Keli M", "non-dropping-particle" : "", "parse-names" : false, "suffix" : "" }, { "dropping-particle" : "", "family" : "Liang", "given" : "Lily", "non-dropping-particle" : "", "parse-names" : false, "suffix" : "" }, { "dropping-particle" : "", "family" : "Gunn", "given" : "Sheila K", "non-dropping-particle" : "", "parse-names" : false, "suffix" : "" }, { "dropping-particle" : "", "family" : "Darlington", "given" : "Gretchen", "non-dropping-particle" : "", "parse-names" : false, "suffix" : "" }, { "dropping-particle" : "", "family" : "Ellis", "given" : "Kenneth J", "non-dropping-particle" : "", "parse-names" : false, "suffix" : "" } ], "container-title" : "The American journal of clinical nutrition", "id" : "ITEM-1", "issue" : "2", "issued" : { "date-parts" : [ [ "2005", "8" ] ] }, "page" : "471-6", "title" : "A combination of prebiotic short- and long-chain inulin-type fructans enhances calcium absorption and bone mineralization in young adolescents.", "type" : "article-journal", "volume" : "82" }, "uris" : [ "http://www.mendeley.com/documents/?uuid=e182249a-0799-4630-afbc-dd9b1fc98858" ] } ], "mendeley" : { "formattedCitation" : "(33)", "plainTextFormattedCitation" : "(33)", "previouslyFormattedCitation" : "(33)" }, "properties" : { "noteIndex" : 0 }, "schema" : "https://github.com/citation-style-language/schema/raw/master/csl-citation.json" }</w:instrText>
      </w:r>
      <w:r w:rsidR="00FA71F3"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(33)</w:t>
      </w:r>
      <w:r w:rsidR="00FA71F3"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0066159E" w:rsidRPr="00BC779C">
        <w:rPr>
          <w:rFonts w:ascii="Times New Roman" w:hAnsi="Times New Roman" w:cs="Times New Roman"/>
          <w:sz w:val="24"/>
          <w:szCs w:val="24"/>
        </w:rPr>
        <w:t xml:space="preserve"> </w:t>
      </w:r>
      <w:r w:rsidR="005F1F71" w:rsidRPr="00BC779C">
        <w:rPr>
          <w:rFonts w:ascii="Times New Roman" w:hAnsi="Times New Roman" w:cs="Times New Roman"/>
          <w:sz w:val="24"/>
          <w:szCs w:val="24"/>
        </w:rPr>
        <w:t xml:space="preserve">The short duration of </w:t>
      </w:r>
      <w:r w:rsidR="005F1A13" w:rsidRPr="00BC779C">
        <w:rPr>
          <w:rFonts w:ascii="Times New Roman" w:hAnsi="Times New Roman" w:cs="Times New Roman"/>
          <w:sz w:val="24"/>
          <w:szCs w:val="24"/>
        </w:rPr>
        <w:t xml:space="preserve">our study </w:t>
      </w:r>
      <w:r w:rsidR="005F1F71" w:rsidRPr="00BC779C">
        <w:rPr>
          <w:rFonts w:ascii="Times New Roman" w:hAnsi="Times New Roman" w:cs="Times New Roman"/>
          <w:sz w:val="24"/>
          <w:szCs w:val="24"/>
        </w:rPr>
        <w:t xml:space="preserve">did not allow for direct measures of skeletal mineral accretion but calculations based on the 800 mg/d </w:t>
      </w:r>
      <w:r w:rsidR="005F1A13" w:rsidRPr="00BC779C">
        <w:rPr>
          <w:rFonts w:ascii="Times New Roman" w:hAnsi="Times New Roman" w:cs="Times New Roman"/>
          <w:sz w:val="24"/>
          <w:szCs w:val="24"/>
        </w:rPr>
        <w:t xml:space="preserve">calcium </w:t>
      </w:r>
      <w:r w:rsidR="005F1F71" w:rsidRPr="00BC779C">
        <w:rPr>
          <w:rFonts w:ascii="Times New Roman" w:hAnsi="Times New Roman" w:cs="Times New Roman"/>
          <w:sz w:val="24"/>
          <w:szCs w:val="24"/>
        </w:rPr>
        <w:t>consumption during study visits</w:t>
      </w:r>
      <w:r w:rsidR="005F1A13" w:rsidRPr="00BC779C">
        <w:rPr>
          <w:rFonts w:ascii="Times New Roman" w:hAnsi="Times New Roman" w:cs="Times New Roman"/>
          <w:sz w:val="24"/>
          <w:szCs w:val="24"/>
        </w:rPr>
        <w:t xml:space="preserve"> suggest that the 26 mg/d increase in absorption with SCF would equate to an </w:t>
      </w:r>
      <w:r w:rsidR="00C96982" w:rsidRPr="00BC779C">
        <w:rPr>
          <w:rFonts w:ascii="Times New Roman" w:hAnsi="Times New Roman" w:cs="Times New Roman"/>
          <w:sz w:val="24"/>
          <w:szCs w:val="24"/>
        </w:rPr>
        <w:t xml:space="preserve">additional </w:t>
      </w:r>
      <w:r w:rsidR="005F1A13" w:rsidRPr="00BC779C">
        <w:rPr>
          <w:rFonts w:ascii="Times New Roman" w:hAnsi="Times New Roman" w:cs="Times New Roman"/>
          <w:sz w:val="24"/>
          <w:szCs w:val="24"/>
        </w:rPr>
        <w:t>calcium absorption of 9.3 g over a year (~1.2% of total bone calcium based on the mean total body BMC of this population)</w:t>
      </w:r>
      <w:r w:rsidR="00C96982" w:rsidRPr="00BC779C">
        <w:rPr>
          <w:rFonts w:ascii="Times New Roman" w:hAnsi="Times New Roman" w:cs="Times New Roman"/>
          <w:sz w:val="24"/>
          <w:szCs w:val="24"/>
        </w:rPr>
        <w:t>, consistent with the gain in skeletal calcium observed by Abrams et al. (33)</w:t>
      </w:r>
      <w:r w:rsidR="005F1A13" w:rsidRPr="00BC779C">
        <w:rPr>
          <w:rFonts w:ascii="Times New Roman" w:hAnsi="Times New Roman" w:cs="Times New Roman"/>
          <w:sz w:val="24"/>
          <w:szCs w:val="24"/>
        </w:rPr>
        <w:t>. This increase is comparable to our previous efficacy trial where an 11.6% increase in calcium absorption</w:t>
      </w:r>
      <w:r w:rsidR="00C96982" w:rsidRPr="00BC779C">
        <w:rPr>
          <w:rFonts w:ascii="Times New Roman" w:hAnsi="Times New Roman" w:cs="Times New Roman"/>
          <w:sz w:val="24"/>
          <w:szCs w:val="24"/>
        </w:rPr>
        <w:t xml:space="preserve"> was observed,</w:t>
      </w:r>
      <w:r w:rsidR="005F1A13" w:rsidRPr="00BC779C">
        <w:rPr>
          <w:rFonts w:ascii="Times New Roman" w:hAnsi="Times New Roman" w:cs="Times New Roman"/>
          <w:sz w:val="24"/>
          <w:szCs w:val="24"/>
        </w:rPr>
        <w:t xml:space="preserve"> and </w:t>
      </w:r>
      <w:r w:rsidR="00C96982" w:rsidRPr="00BC779C">
        <w:rPr>
          <w:rFonts w:ascii="Times New Roman" w:hAnsi="Times New Roman" w:cs="Times New Roman"/>
          <w:sz w:val="24"/>
          <w:szCs w:val="24"/>
        </w:rPr>
        <w:lastRenderedPageBreak/>
        <w:t xml:space="preserve">would result in </w:t>
      </w:r>
      <w:r w:rsidR="005F1A13" w:rsidRPr="00BC779C">
        <w:rPr>
          <w:rFonts w:ascii="Times New Roman" w:hAnsi="Times New Roman" w:cs="Times New Roman"/>
          <w:sz w:val="24"/>
          <w:szCs w:val="24"/>
        </w:rPr>
        <w:t xml:space="preserve">1.8% </w:t>
      </w:r>
      <w:r w:rsidR="00C96982" w:rsidRPr="00BC779C">
        <w:rPr>
          <w:rFonts w:ascii="Times New Roman" w:hAnsi="Times New Roman" w:cs="Times New Roman"/>
          <w:sz w:val="24"/>
          <w:szCs w:val="24"/>
        </w:rPr>
        <w:t xml:space="preserve">greater </w:t>
      </w:r>
      <w:r w:rsidR="005F1A13" w:rsidRPr="00BC779C">
        <w:rPr>
          <w:rFonts w:ascii="Times New Roman" w:hAnsi="Times New Roman" w:cs="Times New Roman"/>
          <w:sz w:val="24"/>
          <w:szCs w:val="24"/>
        </w:rPr>
        <w:t xml:space="preserve">skeletal accrual if </w:t>
      </w:r>
      <w:r w:rsidR="00C96982" w:rsidRPr="00BC779C">
        <w:rPr>
          <w:rFonts w:ascii="Times New Roman" w:hAnsi="Times New Roman" w:cs="Times New Roman"/>
          <w:sz w:val="24"/>
          <w:szCs w:val="24"/>
        </w:rPr>
        <w:t>the daily increased calcium absorption translated into increased calcium retention</w:t>
      </w:r>
      <w:r w:rsidR="005F1A13" w:rsidRPr="00BC779C">
        <w:rPr>
          <w:rFonts w:ascii="Times New Roman" w:hAnsi="Times New Roman" w:cs="Times New Roman"/>
          <w:sz w:val="24"/>
          <w:szCs w:val="24"/>
        </w:rPr>
        <w:t xml:space="preserve"> over one year </w:t>
      </w:r>
      <w:r w:rsidR="00D83B51" w:rsidRPr="00BC779C">
        <w:rPr>
          <w:rFonts w:ascii="Times New Roman" w:hAnsi="Times New Roman" w:cs="Times New Roman"/>
          <w:sz w:val="24"/>
          <w:szCs w:val="24"/>
        </w:rPr>
        <w:t xml:space="preserve"> </w:t>
      </w:r>
      <w:r w:rsidR="00AE22B6"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"10.1017/S0007114514000981", "ISSN" : "1475-2662", "PMID" : "24848974", "abstract" : "Soluble maize fibre (SCF) has been found to significantly improve bone mineral density and strength in growing rats compared with several other novel prebiotic fibres. The objective of the present study was to investigate the effect of SCF on Ca absorption and retention in pubertal children by studying the potential absorption mechanisms of the intestinal microbiota. A total of twenty-four adolescent boys and girls (12-15 years) participated in two 3-week metabolic balance studies testing 0 g/d SCF (control (CON) treatment) and 12 g/d SCF (SCF treatment) in a random order by inclusion in a low-Ca diet (600 mg/d). Fractional Ca absorption was measured at the end of the two intervention periods using a dual-stable isotope method. Diet composites and faecal and urine samples were collected daily and analysed for Ca content. Ca retention was calculated as dietary Ca intake minus Ca excretion in faeces and urine over the last 2 weeks. Microbial community composition in the faecal samples collected at the beginning and end of each session was determined by 454 pyrosequencing of the PCR-amplified 16S ribosomal RNA gene. Fractional Ca absorption was 12 % higher (41 mg/d) after the SCF treatment compared with that after the CON treatment (0\u00b7664 (sd 0\u00b7129) and 0\u00b7595 (sd 0\u00b7142), respectively; P= 0\u00b702), but Ca retention was unaffected. The average proportion of bacteria of the phylum Bacteroidetes was significantly greater in the participants after the SCF treatment than after the CON treatment. These results suggest that moderate daily intake of SCF, a well-tolerated prebiotic fibre, increases short-term Ca absorption in adolescents consuming less than the recommended amounts of Ca.", "author" : [ { "dropping-particle" : "", "family" : "Whisner", "given" : "Corrie M", "non-dropping-particle" : "", "parse-names" : false, "suffix" : "" }, { "dropping-particle" : "", "family" : "Martin", "given" : "Berdine R", "non-dropping-particle" : "", "parse-names" : false, "suffix" : "" }, { "dropping-particle" : "", "family" : "Nakatsu", "given" : "Cindy H", "non-dropping-particle" : "", "parse-names" : false, "suffix" : "" }, { "dropping-particle" : "", "family" : "McCabe", "given" : "George P", "non-dropping-particle" : "", "parse-names" : false, "suffix" : "" }, { "dropping-particle" : "", "family" : "McCabe", "given" : "Linda D", "non-dropping-particle" : "", "parse-names" : false, "suffix" : "" }, { "dropping-particle" : "", "family" : "Peacock", "given" : "Munro", "non-dropping-particle" : "", "parse-names" : false, "suffix" : "" }, { "dropping-particle" : "", "family" : "Weaver", "given" : "Connie M", "non-dropping-particle" : "", "parse-names" : false, "suffix" : "" } ], "container-title" : "The British journal of nutrition", "id" : "ITEM-1", "issue" : "3", "issued" : { "date-parts" : [ [ "2014", "8" ] ] }, "page" : "446-56", "title" : "Soluble maize fibre affects short-term calcium absorption in adolescent boys and girls: a randomised controlled trial using dual stable isotopic tracers", "type" : "article-journal", "volume" : "112" }, "uris" : [ "http://www.mendeley.com/documents/?uuid=8745de69-6a21-4f5e-ad5e-057128c87b73" ] } ], "mendeley" : { "formattedCitation" : "(9)", "plainTextFormattedCitation" : "(9)", "previouslyFormattedCitation" : "(9)" }, "properties" : { "noteIndex" : 0 }, "schema" : "https://github.com/citation-style-language/schema/raw/master/csl-citation.json" }</w:instrText>
      </w:r>
      <w:r w:rsidR="00AE22B6"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(9)</w:t>
      </w:r>
      <w:r w:rsidR="00AE22B6"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p>
    <w:p w14:paraId="7BE17242" w14:textId="125E3FEB" w:rsidR="00295A1B" w:rsidRPr="00BC779C" w:rsidRDefault="00B04FC1" w:rsidP="00D12A80">
      <w:pPr>
        <w:spacing w:after="100" w:afterAutospacing="1" w:line="480" w:lineRule="auto"/>
        <w:ind w:firstLine="360"/>
        <w:rPr>
          <w:rFonts w:ascii="Times New Roman" w:hAnsi="Times New Roman" w:cs="Times New Roman"/>
          <w:sz w:val="24"/>
          <w:szCs w:val="24"/>
        </w:rPr>
      </w:pPr>
      <w:r w:rsidRPr="00BC779C">
        <w:rPr>
          <w:rFonts w:ascii="Times New Roman" w:hAnsi="Times New Roman" w:cs="Times New Roman"/>
          <w:sz w:val="24"/>
          <w:szCs w:val="24"/>
        </w:rPr>
        <w:t xml:space="preserve">The </w:t>
      </w:r>
      <w:r w:rsidR="00D22399" w:rsidRPr="00BC779C">
        <w:rPr>
          <w:rFonts w:ascii="Times New Roman" w:hAnsi="Times New Roman" w:cs="Times New Roman"/>
          <w:sz w:val="24"/>
          <w:szCs w:val="24"/>
        </w:rPr>
        <w:t>higher</w:t>
      </w:r>
      <w:r w:rsidRPr="00BC779C">
        <w:rPr>
          <w:rFonts w:ascii="Times New Roman" w:hAnsi="Times New Roman" w:cs="Times New Roman"/>
          <w:sz w:val="24"/>
          <w:szCs w:val="24"/>
        </w:rPr>
        <w:t xml:space="preserve"> proportion of </w:t>
      </w:r>
      <w:r w:rsidRPr="00BC779C">
        <w:rPr>
          <w:rFonts w:ascii="Times New Roman" w:hAnsi="Times New Roman" w:cs="Times New Roman"/>
          <w:i/>
          <w:sz w:val="24"/>
          <w:szCs w:val="24"/>
        </w:rPr>
        <w:t>Parabacteroides,</w:t>
      </w:r>
      <w:r w:rsidRPr="00BC779C">
        <w:rPr>
          <w:rFonts w:ascii="Times New Roman" w:hAnsi="Times New Roman" w:cs="Times New Roman"/>
          <w:sz w:val="24"/>
          <w:szCs w:val="24"/>
        </w:rPr>
        <w:t xml:space="preserve"> </w:t>
      </w:r>
      <w:r w:rsidR="00752841" w:rsidRPr="00BC779C">
        <w:rPr>
          <w:rFonts w:ascii="Times New Roman" w:hAnsi="Times New Roman" w:cs="Times New Roman"/>
          <w:i/>
          <w:sz w:val="24"/>
          <w:szCs w:val="24"/>
        </w:rPr>
        <w:t>Bifidobacterium</w:t>
      </w:r>
      <w:r w:rsidR="00752841" w:rsidRPr="00BC779C">
        <w:rPr>
          <w:rFonts w:ascii="Times New Roman" w:hAnsi="Times New Roman" w:cs="Times New Roman"/>
          <w:sz w:val="24"/>
          <w:szCs w:val="24"/>
        </w:rPr>
        <w:t xml:space="preserve">, </w:t>
      </w:r>
      <w:r w:rsidRPr="00BC779C">
        <w:rPr>
          <w:rFonts w:ascii="Times New Roman" w:hAnsi="Times New Roman" w:cs="Times New Roman"/>
          <w:sz w:val="24"/>
          <w:szCs w:val="24"/>
        </w:rPr>
        <w:t xml:space="preserve">unclassified </w:t>
      </w:r>
      <w:r w:rsidRPr="00BC779C">
        <w:rPr>
          <w:rFonts w:ascii="Times New Roman" w:hAnsi="Times New Roman" w:cs="Times New Roman"/>
          <w:color w:val="000000"/>
          <w:sz w:val="24"/>
          <w:szCs w:val="24"/>
        </w:rPr>
        <w:t xml:space="preserve">Lachnospiraceae and </w:t>
      </w:r>
      <w:r w:rsidRPr="00BC779C">
        <w:rPr>
          <w:rFonts w:ascii="Times New Roman" w:hAnsi="Times New Roman" w:cs="Times New Roman"/>
          <w:i/>
          <w:color w:val="000000"/>
          <w:sz w:val="24"/>
          <w:szCs w:val="24"/>
        </w:rPr>
        <w:t>Dialister</w:t>
      </w:r>
      <w:r w:rsidRPr="00BC779C">
        <w:rPr>
          <w:rFonts w:ascii="Times New Roman" w:hAnsi="Times New Roman" w:cs="Times New Roman"/>
          <w:color w:val="000000"/>
          <w:sz w:val="24"/>
          <w:szCs w:val="24"/>
        </w:rPr>
        <w:t xml:space="preserve"> after </w:t>
      </w:r>
      <w:r w:rsidRPr="00BC779C">
        <w:rPr>
          <w:rFonts w:ascii="Times New Roman" w:hAnsi="Times New Roman" w:cs="Times New Roman"/>
          <w:sz w:val="24"/>
          <w:szCs w:val="24"/>
        </w:rPr>
        <w:t xml:space="preserve">SCF addition </w:t>
      </w:r>
      <w:r w:rsidR="00D22399" w:rsidRPr="00BC779C">
        <w:rPr>
          <w:rFonts w:ascii="Times New Roman" w:hAnsi="Times New Roman" w:cs="Times New Roman"/>
          <w:sz w:val="24"/>
          <w:szCs w:val="24"/>
        </w:rPr>
        <w:t xml:space="preserve">compared </w:t>
      </w:r>
      <w:r w:rsidR="00086506" w:rsidRPr="00BC779C">
        <w:rPr>
          <w:rFonts w:ascii="Times New Roman" w:hAnsi="Times New Roman" w:cs="Times New Roman"/>
          <w:sz w:val="24"/>
          <w:szCs w:val="24"/>
        </w:rPr>
        <w:t xml:space="preserve">to </w:t>
      </w:r>
      <w:r w:rsidR="00D22399" w:rsidRPr="00BC779C">
        <w:rPr>
          <w:rFonts w:ascii="Times New Roman" w:hAnsi="Times New Roman" w:cs="Times New Roman"/>
          <w:sz w:val="24"/>
          <w:szCs w:val="24"/>
        </w:rPr>
        <w:t>control</w:t>
      </w:r>
      <w:r w:rsidRPr="00BC779C">
        <w:rPr>
          <w:rFonts w:ascii="Times New Roman" w:hAnsi="Times New Roman" w:cs="Times New Roman"/>
          <w:sz w:val="24"/>
          <w:szCs w:val="24"/>
        </w:rPr>
        <w:t xml:space="preserve"> suggests</w:t>
      </w:r>
      <w:r w:rsidRPr="00BC779C">
        <w:rPr>
          <w:rFonts w:ascii="Times New Roman" w:hAnsi="Times New Roman" w:cs="Times New Roman"/>
          <w:color w:val="000000"/>
          <w:sz w:val="24"/>
          <w:szCs w:val="24"/>
        </w:rPr>
        <w:t xml:space="preserve"> that</w:t>
      </w:r>
      <w:r w:rsidRPr="00BC779C">
        <w:rPr>
          <w:rFonts w:ascii="Times New Roman" w:hAnsi="Times New Roman" w:cs="Times New Roman"/>
          <w:sz w:val="24"/>
          <w:szCs w:val="24"/>
        </w:rPr>
        <w:t xml:space="preserve"> these microbes are involved in SCF fermentation.  </w:t>
      </w:r>
      <w:r w:rsidR="002E616C" w:rsidRPr="00BC779C">
        <w:rPr>
          <w:rFonts w:ascii="Times New Roman" w:hAnsi="Times New Roman" w:cs="Times New Roman"/>
          <w:i/>
          <w:sz w:val="24"/>
          <w:szCs w:val="24"/>
        </w:rPr>
        <w:t>Bifidobacterium</w:t>
      </w:r>
      <w:r w:rsidR="002E616C" w:rsidRPr="00BC779C">
        <w:rPr>
          <w:rFonts w:ascii="Times New Roman" w:hAnsi="Times New Roman" w:cs="Times New Roman"/>
          <w:sz w:val="24"/>
          <w:szCs w:val="24"/>
        </w:rPr>
        <w:t xml:space="preserve"> has been shown to ferment resistant starch</w:t>
      </w:r>
      <w:r w:rsidR="00D83B51" w:rsidRPr="00BC779C">
        <w:rPr>
          <w:rFonts w:ascii="Times New Roman" w:hAnsi="Times New Roman" w:cs="Times New Roman"/>
          <w:sz w:val="24"/>
          <w:szCs w:val="24"/>
        </w:rPr>
        <w:t xml:space="preserve"> </w:t>
      </w:r>
      <w:r w:rsidR="009C5CB8"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"10.1128/AEM.01993-14", "ISSN" : "1098-5336", "PMID" : "25063659", "abstract" : "Bifidobacteria are members of the gut microbiota, but the genetic basis for their adaptation to the human gut is poorly understood. The analysis of the 2,203,222-bp genome of Bifidobacterium adolescentis 22L revealed a nutrient acquisition strategy that targets diet/plant-derived glycans, in particular starch and starch-like carbohydrates. Starch-like carbohydrates were shown to support the growth of B. adolescentis 22L. Transcriptome profiling of 22L cultures grown under in vitro conditions or during colonization of the murine gut by RNA sequencing and quantitative real-time PCR assays revealed the expression of a set of chromosomal loci responsible for starch metabolism as well as for pilus production. Such extracellular structures include so-called sortase-dependent and type IVb pili, which may be involved in gut colonization of 22L through adhesion to extracellular matrix proteins.", "author" : [ { "dropping-particle" : "", "family" : "Duranti", "given" : "Sabrina", "non-dropping-particle" : "", "parse-names" : false, "suffix" : "" }, { "dropping-particle" : "", "family" : "Turroni", "given" : "Francesca", "non-dropping-particle" : "", "parse-names" : false, "suffix" : "" }, { "dropping-particle" : "", "family" : "Lugli", "given" : "Gabriele Andrea", "non-dropping-particle" : "", "parse-names" : false, "suffix" : "" }, { "dropping-particle" : "", "family" : "Milani", "given" : "Christian", "non-dropping-particle" : "", "parse-names" : false, "suffix" : "" }, { "dropping-particle" : "", "family" : "Viappiani", "given" : "Alice", "non-dropping-particle" : "", "parse-names" : false, "suffix" : "" }, { "dropping-particle" : "", "family" : "Mangifesta", "given" : "Marta", "non-dropping-particle" : "", "parse-names" : false, "suffix" : "" }, { "dropping-particle" : "", "family" : "Gioiosa", "given" : "Laura", "non-dropping-particle" : "", "parse-names" : false, "suffix" : "" }, { "dropping-particle" : "", "family" : "Palanza", "given" : "Paola", "non-dropping-particle" : "", "parse-names" : false, "suffix" : "" }, { "dropping-particle" : "", "family" : "Sinderen", "given" : "Douwe", "non-dropping-particle" : "van", "parse-names" : false, "suffix" : "" }, { "dropping-particle" : "", "family" : "Ventura", "given" : "Marco", "non-dropping-particle" : "", "parse-names" : false, "suffix" : "" } ], "container-title" : "Applied and environmental microbiology", "id" : "ITEM-1", "issue" : "19", "issued" : { "date-parts" : [ [ "2014", "10" ] ] }, "page" : "6080-90", "title" : "Genomic characterization and transcriptional studies of the starch-utilizing strain Bifidobacterium adolescentis 22L", "type" : "article-journal", "volume" : "80" }, "uris" : [ "http://www.mendeley.com/documents/?uuid=5aa277dc-1bf9-4cfa-8518-b24fecc294d8" ] } ], "mendeley" : { "formattedCitation" : "(34)", "plainTextFormattedCitation" : "(34)", "previouslyFormattedCitation" : "(34)" }, "properties" : { "noteIndex" : 0 }, "schema" : "https://github.com/citation-style-language/schema/raw/master/csl-citation.json" }</w:instrText>
      </w:r>
      <w:r w:rsidR="009C5CB8"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(34)</w:t>
      </w:r>
      <w:r w:rsidR="009C5CB8" w:rsidRPr="00BC779C">
        <w:rPr>
          <w:rFonts w:ascii="Times New Roman" w:hAnsi="Times New Roman" w:cs="Times New Roman"/>
          <w:sz w:val="24"/>
          <w:szCs w:val="24"/>
        </w:rPr>
        <w:fldChar w:fldCharType="end"/>
      </w:r>
      <w:r w:rsidR="002E616C" w:rsidRPr="00BC779C">
        <w:rPr>
          <w:rFonts w:ascii="Times New Roman" w:hAnsi="Times New Roman" w:cs="Times New Roman"/>
          <w:sz w:val="24"/>
          <w:szCs w:val="24"/>
        </w:rPr>
        <w:t xml:space="preserve"> whereas t</w:t>
      </w:r>
      <w:r w:rsidR="00D164CA" w:rsidRPr="00BC779C">
        <w:rPr>
          <w:rFonts w:ascii="Times New Roman" w:hAnsi="Times New Roman" w:cs="Times New Roman"/>
          <w:sz w:val="24"/>
          <w:szCs w:val="24"/>
        </w:rPr>
        <w:t>he</w:t>
      </w:r>
      <w:r w:rsidR="002E616C" w:rsidRPr="00BC779C">
        <w:rPr>
          <w:rFonts w:ascii="Times New Roman" w:hAnsi="Times New Roman" w:cs="Times New Roman"/>
          <w:sz w:val="24"/>
          <w:szCs w:val="24"/>
        </w:rPr>
        <w:t xml:space="preserve"> other</w:t>
      </w:r>
      <w:r w:rsidR="00D164CA" w:rsidRPr="00BC779C">
        <w:rPr>
          <w:rFonts w:ascii="Times New Roman" w:hAnsi="Times New Roman" w:cs="Times New Roman"/>
          <w:sz w:val="24"/>
          <w:szCs w:val="24"/>
        </w:rPr>
        <w:t xml:space="preserve"> taxa </w:t>
      </w:r>
      <w:r w:rsidRPr="00BC779C">
        <w:rPr>
          <w:rFonts w:ascii="Times New Roman" w:hAnsi="Times New Roman" w:cs="Times New Roman"/>
          <w:sz w:val="24"/>
          <w:szCs w:val="24"/>
        </w:rPr>
        <w:t>ha</w:t>
      </w:r>
      <w:r w:rsidR="00D164CA" w:rsidRPr="00BC779C">
        <w:rPr>
          <w:rFonts w:ascii="Times New Roman" w:hAnsi="Times New Roman" w:cs="Times New Roman"/>
          <w:sz w:val="24"/>
          <w:szCs w:val="24"/>
        </w:rPr>
        <w:t>ve not</w:t>
      </w:r>
      <w:r w:rsidR="00F559CE" w:rsidRPr="00BC779C">
        <w:rPr>
          <w:rFonts w:ascii="Times New Roman" w:hAnsi="Times New Roman" w:cs="Times New Roman"/>
          <w:sz w:val="24"/>
          <w:szCs w:val="24"/>
        </w:rPr>
        <w:t xml:space="preserve"> yet</w:t>
      </w:r>
      <w:r w:rsidRPr="00BC779C">
        <w:rPr>
          <w:rFonts w:ascii="Times New Roman" w:hAnsi="Times New Roman" w:cs="Times New Roman"/>
          <w:sz w:val="24"/>
          <w:szCs w:val="24"/>
        </w:rPr>
        <w:t xml:space="preserve"> </w:t>
      </w:r>
      <w:r w:rsidR="00175946" w:rsidRPr="00BC779C">
        <w:rPr>
          <w:rFonts w:ascii="Times New Roman" w:hAnsi="Times New Roman" w:cs="Times New Roman"/>
          <w:sz w:val="24"/>
          <w:szCs w:val="24"/>
        </w:rPr>
        <w:t xml:space="preserve">undergone </w:t>
      </w:r>
      <w:r w:rsidRPr="00BC779C">
        <w:rPr>
          <w:rFonts w:ascii="Times New Roman" w:hAnsi="Times New Roman" w:cs="Times New Roman"/>
          <w:sz w:val="24"/>
          <w:szCs w:val="24"/>
        </w:rPr>
        <w:t>functional test</w:t>
      </w:r>
      <w:r w:rsidR="00175946" w:rsidRPr="00BC779C">
        <w:rPr>
          <w:rFonts w:ascii="Times New Roman" w:hAnsi="Times New Roman" w:cs="Times New Roman"/>
          <w:sz w:val="24"/>
          <w:szCs w:val="24"/>
        </w:rPr>
        <w:t>s; however,</w:t>
      </w:r>
      <w:r w:rsidRPr="00BC779C">
        <w:rPr>
          <w:rFonts w:ascii="Times New Roman" w:hAnsi="Times New Roman" w:cs="Times New Roman"/>
          <w:sz w:val="24"/>
          <w:szCs w:val="24"/>
        </w:rPr>
        <w:t xml:space="preserve"> other studies</w:t>
      </w:r>
      <w:r w:rsidR="00D164CA" w:rsidRPr="00BC779C">
        <w:rPr>
          <w:rFonts w:ascii="Times New Roman" w:hAnsi="Times New Roman" w:cs="Times New Roman"/>
          <w:sz w:val="24"/>
          <w:szCs w:val="24"/>
        </w:rPr>
        <w:t xml:space="preserve"> have reported </w:t>
      </w:r>
      <w:r w:rsidR="00175946" w:rsidRPr="00BC779C">
        <w:rPr>
          <w:rFonts w:ascii="Times New Roman" w:hAnsi="Times New Roman" w:cs="Times New Roman"/>
          <w:sz w:val="24"/>
          <w:szCs w:val="24"/>
        </w:rPr>
        <w:t xml:space="preserve">associations between </w:t>
      </w:r>
      <w:r w:rsidR="00D164CA" w:rsidRPr="00BC779C">
        <w:rPr>
          <w:rFonts w:ascii="Times New Roman" w:hAnsi="Times New Roman" w:cs="Times New Roman"/>
          <w:sz w:val="24"/>
          <w:szCs w:val="24"/>
        </w:rPr>
        <w:t xml:space="preserve">increases in these taxa </w:t>
      </w:r>
      <w:r w:rsidR="00175946" w:rsidRPr="00BC779C">
        <w:rPr>
          <w:rFonts w:ascii="Times New Roman" w:hAnsi="Times New Roman" w:cs="Times New Roman"/>
          <w:sz w:val="24"/>
          <w:szCs w:val="24"/>
        </w:rPr>
        <w:t>and</w:t>
      </w:r>
      <w:r w:rsidR="00D164CA" w:rsidRPr="00BC779C">
        <w:rPr>
          <w:rFonts w:ascii="Times New Roman" w:hAnsi="Times New Roman" w:cs="Times New Roman"/>
          <w:sz w:val="24"/>
          <w:szCs w:val="24"/>
        </w:rPr>
        <w:t xml:space="preserve"> dietary resistant starch</w:t>
      </w:r>
      <w:r w:rsidR="00D83B51" w:rsidRPr="00BC779C">
        <w:rPr>
          <w:rFonts w:ascii="Times New Roman" w:hAnsi="Times New Roman" w:cs="Times New Roman"/>
          <w:sz w:val="24"/>
          <w:szCs w:val="24"/>
        </w:rPr>
        <w:t xml:space="preserve"> </w:t>
      </w:r>
      <w:r w:rsidR="009C5CB8"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"10.1371/journal.pone.0015046", "ISSN" : "1932-6203", "PMID" : "21151493", "abstract" : "BACKGROUND: To systematically develop dietary strategies based on resistant starch (RS) that modulate the human gut microbiome, detailed in vivo studies that evaluate the effects of different forms of RS on the community structure and population dynamics of the gut microbiota are necessary. The aim of the present study was to gain a community wide perspective of the effects of RS types 2 (RS2) and 4 (RS4) on the fecal microbiota in human individuals. METHODS AND FINDINGS: Ten human subjects consumed crackers for three weeks each containing either RS2, RS4, or native starch in a double-blind, crossover design. Multiplex sequencing of 16S rRNA tags revealed that both types of RS induced several significant compositional alterations in the fecal microbial populations, with differential effects on community structure. RS4 but not RS2 induced phylum-level changes, significantly increasing Actinobacteria and Bacteroidetes while decreasing Firmicutes. At the species level, the changes evoked by RS4 were increases in Bifidobacterium adolescentis and Parabacteroides distasonis, while RS2 significantly raised the proportions of Ruminococcus bromii and Eubacterium rectale when compared to RS4. The population shifts caused by RS4 were numerically substantial for several taxa, leading for example, to a ten-fold increase in bifidobacteria in three of the subjects, enriching them to 18-30% of the fecal microbial community. The responses to RS and their magnitudes varied between individuals, and they were reversible and tightly associated with the consumption of RS. CONCLUSION: Our results demonstrate that RS2 and RS4 show functional differences in their effect on human fecal microbiota composition, indicating that the chemical structure of RS determines its accessibility by groups of colonic bacteria. The findings imply that specific bacterial populations could be selectively targeted by well designed functional carbohydrates, but the inter-subject variations in the response to RS indicates that such strategies might benefit from more personalized approaches.", "author" : [ { "dropping-particle" : "", "family" : "Mart\u00ednez", "given" : "In\u00e9s", "non-dropping-particle" : "", "parse-names" : false, "suffix" : "" }, { "dropping-particle" : "", "family" : "Kim", "given" : "Jaehyoung", "non-dropping-particle" : "", "parse-names" : false, "suffix" : "" }, { "dropping-particle" : "", "family" : "Duffy", "given" : "Patrick R.", "non-dropping-particle" : "", "parse-names" : false, "suffix" : "" }, { "dropping-particle" : "", "family" : "Schlegel", "given" : "Vicki L.", "non-dropping-particle" : "", "parse-names" : false, "suffix" : "" }, { "dropping-particle" : "", "family" : "Walter", "given" : "Jens", "non-dropping-particle" : "", "parse-names" : false, "suffix" : "" } ], "container-title" : "PLoS ONE", "editor" : [ { "dropping-particle" : "", "family" : "Heimesaat", "given" : "Markus M.", "non-dropping-particle" : "", "parse-names" : false, "suffix" : "" } ], "id" : "ITEM-1", "issue" : "11", "issued" : { "date-parts" : [ [ "2010", "11", "29" ] ] }, "page" : "e15046", "title" : "Resistant starches types 2 and 4 have differential effects on the composition of the fecal microbiota in human subjects", "type" : "article-journal", "volume" : "5" }, "uris" : [ "http://www.mendeley.com/documents/?uuid=d3586331-7f23-4732-89de-6963d1a14653" ] }, { "id" : "ITEM-2", "itemData" : { "DOI" : "10.1186/s40168-015-0078-5", "ISSN" : "2049-2618", "PMID" : "25905018", "abstract" : "BACKGROUND: Dietary fibers contribute to health and physiology primarily via the fermentative actions of the host's gut microbiome. Physicochemical properties such as solubility, fermentability, viscosity, and gel-forming ability differ among fiber types and are known to affect metabolism. However, few studies have focused on how they influence the gut microbiome and how these interactions influence host health. The aim of this study is to investigate how the gut microbiome of growing pigs responds to diets containing gel-forming alginate and fermentable resistant starch and to predict important interactions and functional changes within the microbiota.\n\nRESULTS: Nine growing pigs (3-month-old), divided into three groups, were fed with either a control, alginate-, or resistant starch-containing diet (CON, ALG, or RS), and fecal samples were collected over a 12-week period. SSU (small subunit) rDNA amplicon sequencing data was annotated to assess the gut microbiome, whereas comprehensive microarray polymer profiling (CoMPP) of digested material was employed to evaluate feed degradation. Gut microbiome structure variation was greatest in pigs fed with resistant starch, where notable changes included the decrease in alpha diversity and increase in relative abundance of Lachnospiraceae- and Ruminococcus-affiliated phylotypes. Imputed function was predicted to vary significantly in pigs fed with resistant starch and to a much lesser extent with alginate; however, the key pathways involving degradation of starch and other plant polysaccharides were predicted to be unaffected. The change in relative abundance levels of basal dietary components (plant cell wall polysaccharides and proteins) over time was also consistent irrespective of diet; however, correlations between the dietary components and phylotypes varied considerably in the different diets.\n\nCONCLUSIONS: Resistant starch-containing diet exhibited the strongest structural variation compared to the alginate-containing diet. This variation gave rise to a microbiome that contains phylotypes affiliated with metabolically reputable taxonomic lineages. Despite the significant microbiome structural shifts that occurred from resistant starch-containing diet, functional redundancy is seemingly apparent with respect to the microbiome's capacity to degrade starch and other dietary polysaccharides, one of the key stages in digestion.", "author" : [ { "dropping-particle" : "", "family" : "Umu", "given" : "\u00d6zg\u00fcn C O", "non-dropping-particle" : "", "parse-names" : false, "suffix" : "" }, { "dropping-particle" : "", "family" : "Frank", "given" : "Jeremy A", "non-dropping-particle" : "", "parse-names" : false, "suffix" : "" }, { "dropping-particle" : "", "family" : "Fangel", "given" : "Jonatan U", "non-dropping-particle" : "", "parse-names" : false, "suffix" : "" }, { "dropping-particle" : "", "family" : "Oostindjer", "given" : "Marije", "non-dropping-particle" : "", "parse-names" : false, "suffix" : "" }, { "dropping-particle" : "", "family" : "Silva", "given" : "Carol Souza", "non-dropping-particle" : "da", "parse-names" : false, "suffix" : "" }, { "dropping-particle" : "", "family" : "Bolhuis", "given" : "Elizabeth J", "non-dropping-particle" : "", "parse-names" : false, "suffix" : "" }, { "dropping-particle" : "", "family" : "Bosch", "given" : "Guido", "non-dropping-particle" : "", "parse-names" : false, "suffix" : "" }, { "dropping-particle" : "", "family" : "Willats", "given" : "William G T", "non-dropping-particle" : "", "parse-names" : false, "suffix" : "" }, { "dropping-particle" : "", "family" : "Pope", "given" : "Phillip B", "non-dropping-particle" : "", "parse-names" : false, "suffix" : "" }, { "dropping-particle" : "", "family" : "Diep", "given" : "Dzung B", "non-dropping-particle" : "", "parse-names" : false, "suffix" : "" } ], "container-title" : "Microbiome", "id" : "ITEM-2", "issue" : "1", "issued" : { "date-parts" : [ [ "2015", "4", "16" ] ] }, "language" : "en", "page" : "16", "publisher" : "BioMed Central Ltd", "title" : "Resistant starch diet induces change in the swine microbiome and a predominance of beneficial bacterial populations", "type" : "article-journal", "volume" : "3" }, "uris" : [ "http://www.mendeley.com/documents/?uuid=2ec5cb58-a6b4-4a80-ad6a-b321695bef7a" ] } ], "mendeley" : { "formattedCitation" : "(35,36)", "plainTextFormattedCitation" : "(35,36)", "previouslyFormattedCitation" : "(35,36)" }, "properties" : { "noteIndex" : 0 }, "schema" : "https://github.com/citation-style-language/schema/raw/master/csl-citation.json" }</w:instrText>
      </w:r>
      <w:r w:rsidR="009C5CB8"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(35,36)</w:t>
      </w:r>
      <w:r w:rsidR="009C5CB8"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006B0B27" w:rsidRPr="00BC779C">
        <w:rPr>
          <w:rFonts w:ascii="Times New Roman" w:hAnsi="Times New Roman" w:cs="Times New Roman"/>
          <w:sz w:val="24"/>
          <w:szCs w:val="24"/>
        </w:rPr>
        <w:t xml:space="preserve"> including </w:t>
      </w:r>
      <w:r w:rsidR="00412DDA" w:rsidRPr="00BC779C">
        <w:rPr>
          <w:rFonts w:ascii="Times New Roman" w:hAnsi="Times New Roman" w:cs="Times New Roman"/>
          <w:i/>
          <w:sz w:val="24"/>
          <w:szCs w:val="24"/>
        </w:rPr>
        <w:t>Parabacteroides</w:t>
      </w:r>
      <w:r w:rsidR="00412DDA" w:rsidRPr="00BC779C">
        <w:rPr>
          <w:rFonts w:ascii="Times New Roman" w:hAnsi="Times New Roman" w:cs="Times New Roman"/>
          <w:sz w:val="24"/>
          <w:szCs w:val="24"/>
        </w:rPr>
        <w:t xml:space="preserve"> in </w:t>
      </w:r>
      <w:r w:rsidR="006B0B27" w:rsidRPr="00BC779C">
        <w:rPr>
          <w:rFonts w:ascii="Times New Roman" w:hAnsi="Times New Roman" w:cs="Times New Roman"/>
          <w:sz w:val="24"/>
          <w:szCs w:val="24"/>
        </w:rPr>
        <w:t>our previous efficacy study</w:t>
      </w:r>
      <w:r w:rsidR="00D83B51" w:rsidRPr="00BC779C">
        <w:rPr>
          <w:rFonts w:ascii="Times New Roman" w:hAnsi="Times New Roman" w:cs="Times New Roman"/>
          <w:sz w:val="24"/>
          <w:szCs w:val="24"/>
        </w:rPr>
        <w:t xml:space="preserve"> </w:t>
      </w:r>
      <w:r w:rsidR="00B97C26"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"10.1017/S0007114514000981", "ISSN" : "1475-2662", "PMID" : "24848974", "abstract" : "Soluble maize fibre (SCF) has been found to significantly improve bone mineral density and strength in growing rats compared with several other novel prebiotic fibres. The objective of the present study was to investigate the effect of SCF on Ca absorption and retention in pubertal children by studying the potential absorption mechanisms of the intestinal microbiota. A total of twenty-four adolescent boys and girls (12-15 years) participated in two 3-week metabolic balance studies testing 0 g/d SCF (control (CON) treatment) and 12 g/d SCF (SCF treatment) in a random order by inclusion in a low-Ca diet (600 mg/d). Fractional Ca absorption was measured at the end of the two intervention periods using a dual-stable isotope method. Diet composites and faecal and urine samples were collected daily and analysed for Ca content. Ca retention was calculated as dietary Ca intake minus Ca excretion in faeces and urine over the last 2 weeks. Microbial community composition in the faecal samples collected at the beginning and end of each session was determined by 454 pyrosequencing of the PCR-amplified 16S ribosomal RNA gene. Fractional Ca absorption was 12 % higher (41 mg/d) after the SCF treatment compared with that after the CON treatment (0\u00b7664 (sd 0\u00b7129) and 0\u00b7595 (sd 0\u00b7142), respectively; P= 0\u00b702), but Ca retention was unaffected. The average proportion of bacteria of the phylum Bacteroidetes was significantly greater in the participants after the SCF treatment than after the CON treatment. These results suggest that moderate daily intake of SCF, a well-tolerated prebiotic fibre, increases short-term Ca absorption in adolescents consuming less than the recommended amounts of Ca.", "author" : [ { "dropping-particle" : "", "family" : "Whisner", "given" : "Corrie M", "non-dropping-particle" : "", "parse-names" : false, "suffix" : "" }, { "dropping-particle" : "", "family" : "Martin", "given" : "Berdine R", "non-dropping-particle" : "", "parse-names" : false, "suffix" : "" }, { "dropping-particle" : "", "family" : "Nakatsu", "given" : "Cindy H", "non-dropping-particle" : "", "parse-names" : false, "suffix" : "" }, { "dropping-particle" : "", "family" : "McCabe", "given" : "George P", "non-dropping-particle" : "", "parse-names" : false, "suffix" : "" }, { "dropping-particle" : "", "family" : "McCabe", "given" : "Linda D", "non-dropping-particle" : "", "parse-names" : false, "suffix" : "" }, { "dropping-particle" : "", "family" : "Peacock", "given" : "Munro", "non-dropping-particle" : "", "parse-names" : false, "suffix" : "" }, { "dropping-particle" : "", "family" : "Weaver", "given" : "Connie M", "non-dropping-particle" : "", "parse-names" : false, "suffix" : "" } ], "container-title" : "The British journal of nutrition", "id" : "ITEM-1", "issue" : "3", "issued" : { "date-parts" : [ [ "2014", "8" ] ] }, "page" : "446-56", "title" : "Soluble maize fibre affects short-term calcium absorption in adolescent boys and girls: a randomised controlled trial using dual stable isotopic tracers", "type" : "article-journal", "volume" : "112" }, "uris" : [ "http://www.mendeley.com/documents/?uuid=8745de69-6a21-4f5e-ad5e-057128c87b73" ] } ], "mendeley" : { "formattedCitation" : "(9)", "plainTextFormattedCitation" : "(9)", "previouslyFormattedCitation" : "(9)" }, "properties" : { "noteIndex" : 0 }, "schema" : "https://github.com/citation-style-language/schema/raw/master/csl-citation.json" }</w:instrText>
      </w:r>
      <w:r w:rsidR="00B97C26"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(9)</w:t>
      </w:r>
      <w:r w:rsidR="00B97C26"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Pr="00BC779C">
        <w:rPr>
          <w:rFonts w:ascii="Times New Roman" w:hAnsi="Times New Roman" w:cs="Times New Roman"/>
          <w:sz w:val="24"/>
          <w:szCs w:val="24"/>
        </w:rPr>
        <w:t xml:space="preserve"> </w:t>
      </w:r>
      <w:r w:rsidR="0048734C" w:rsidRPr="00BC779C">
        <w:rPr>
          <w:rFonts w:ascii="Times New Roman" w:hAnsi="Times New Roman" w:cs="Times New Roman"/>
          <w:sz w:val="24"/>
          <w:szCs w:val="24"/>
        </w:rPr>
        <w:t xml:space="preserve">Furthermore, </w:t>
      </w:r>
      <w:r w:rsidR="0048734C" w:rsidRPr="00BC779C">
        <w:rPr>
          <w:rFonts w:ascii="Times New Roman" w:hAnsi="Times New Roman" w:cs="Times New Roman"/>
          <w:i/>
          <w:sz w:val="24"/>
          <w:szCs w:val="24"/>
        </w:rPr>
        <w:t>Parabacteroides</w:t>
      </w:r>
      <w:r w:rsidR="0048734C" w:rsidRPr="00BC779C">
        <w:rPr>
          <w:rFonts w:ascii="Times New Roman" w:hAnsi="Times New Roman" w:cs="Times New Roman"/>
          <w:sz w:val="24"/>
          <w:szCs w:val="24"/>
        </w:rPr>
        <w:t xml:space="preserve"> belongs to the phylum Bacteroidetes that includes a number of starch fermenting bacteria</w:t>
      </w:r>
      <w:r w:rsidR="00D83B51" w:rsidRPr="00BC779C">
        <w:rPr>
          <w:rFonts w:ascii="Times New Roman" w:hAnsi="Times New Roman" w:cs="Times New Roman"/>
          <w:sz w:val="24"/>
          <w:szCs w:val="24"/>
        </w:rPr>
        <w:t xml:space="preserve"> </w:t>
      </w:r>
      <w:r w:rsidR="009C5CB8"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"10.1016/j.jmb.2014.07.028", "ISSN" : "1089-8638", "PMID" : "25088686", "abstract" : "Even though there are many factors that determine the human colon microbiota composition, diet is an important one because most microorganisms in the colon obtain energy for their growth by degrading complex dietary compounds, particularly dietary fibers. While fiber carbohydrates that escape digestion in the upper gastrointestinal tract are recognized to have a range of structures, the vastness in number of chemical structures from the perspective of the bacteria is not well appreciated. In this article, we introduce the concept of \"discrete structure\" that is defined as a unique chemical structure, often within a fiber molecule, which aligns with encoded gene clusters in bacterial genomes. The multitude of discrete structures originates from the array of different fiber types coupled with structural variations within types due to genotype and growing environment, anatomical parts of the grain or plant, discrete regions within polymers, and size of oligosaccharides and small polysaccharides. These thousands of discrete structures conceivably could be used to favor bacteria in the competitive colon environment. A global framework needs to be developed to better understand how dietary fibers can be used to obtain predicted changes in microbiota composition for improved health. This will require a multi-disciplinary effort that includes biological scientists, clinicians, and carbohydrate specialists.", "author" : [ { "dropping-particle" : "", "family" : "Hamaker", "given" : "Bruce R", "non-dropping-particle" : "", "parse-names" : false, "suffix" : "" }, { "dropping-particle" : "", "family" : "Tuncil", "given" : "Yunus E", "non-dropping-particle" : "", "parse-names" : false, "suffix" : "" } ], "container-title" : "Journal of molecular biology", "id" : "ITEM-1", "issue" : "23", "issued" : { "date-parts" : [ [ "2014", "11", "25" ] ] }, "page" : "3838-50", "title" : "A perspective on the complexity of dietary fiber structures and their potential effect on the gut microbiota", "type" : "article-journal", "volume" : "426" }, "uris" : [ "http://www.mendeley.com/documents/?uuid=976c6ed0-2e42-47e0-87b8-4486e933828e" ] }, { "id" : "ITEM-2", "itemData" : { "DOI" : "10.1074/jbc.R109.022848", "ISSN" : "1083-351X", "PMID" : "19553672", "abstract" : "Trillions of microbes inhabit the distal gut of adult humans. They have evolved to compete efficiently for nutrients, including a wide array of chemically diverse, complex glycans present in our diets, secreted by our intestinal mucosa, and displayed on the surfaces of other gut microbes. Here, we review how members of the Bacteroidetes, one of two dominant gut-associated bacterial phyla, process complex glycans using a series of similarly patterned, cell envelope-associated multiprotein systems. These systems provide insights into how gut, as well as terrestrial and aquatic, Bacteroidetes survive in highly competitive ecosystems.", "author" : [ { "dropping-particle" : "", "family" : "Martens", "given" : "Eric C", "non-dropping-particle" : "", "parse-names" : false, "suffix" : "" }, { "dropping-particle" : "", "family" : "Koropatkin", "given" : "Nicole M", "non-dropping-particle" : "", "parse-names" : false, "suffix" : "" }, { "dropping-particle" : "", "family" : "Smith", "given" : "Thomas J", "non-dropping-particle" : "", "parse-names" : false, "suffix" : "" }, { "dropping-particle" : "", "family" : "Gordon", "given" : "Jeffrey I", "non-dropping-particle" : "", "parse-names" : false, "suffix" : "" } ], "container-title" : "The Journal of biological chemistry", "id" : "ITEM-2", "issue" : "37", "issued" : { "date-parts" : [ [ "2009", "9", "11" ] ] }, "page" : "24673-7", "title" : "Complex glycan catabolism by the human gut microbiota: the bacteroidetes sus-like paradigm", "type" : "article-journal", "volume" : "284" }, "uris" : [ "http://www.mendeley.com/documents/?uuid=4fd841e7-9930-4118-be4c-9d12bee7f9ad" ] } ], "mendeley" : { "formattedCitation" : "(37,38)", "plainTextFormattedCitation" : "(37,38)", "previouslyFormattedCitation" : "(37,38)" }, "properties" : { "noteIndex" : 0 }, "schema" : "https://github.com/citation-style-language/schema/raw/master/csl-citation.json" }</w:instrText>
      </w:r>
      <w:r w:rsidR="009C5CB8"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(37,38)</w:t>
      </w:r>
      <w:r w:rsidR="009C5CB8"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0048734C" w:rsidRPr="00BC779C">
        <w:rPr>
          <w:rFonts w:ascii="Times New Roman" w:hAnsi="Times New Roman" w:cs="Times New Roman"/>
          <w:sz w:val="24"/>
          <w:szCs w:val="24"/>
        </w:rPr>
        <w:t xml:space="preserve"> </w:t>
      </w:r>
      <w:r w:rsidR="00AE6985" w:rsidRPr="00BC779C">
        <w:rPr>
          <w:rFonts w:ascii="Times New Roman" w:hAnsi="Times New Roman" w:cs="Times New Roman"/>
          <w:sz w:val="24"/>
          <w:szCs w:val="24"/>
        </w:rPr>
        <w:t xml:space="preserve"> </w:t>
      </w:r>
      <w:r w:rsidR="00AE6985" w:rsidRPr="00BC779C">
        <w:rPr>
          <w:rFonts w:ascii="Times New Roman" w:hAnsi="Times New Roman" w:cs="Times New Roman"/>
          <w:i/>
          <w:sz w:val="24"/>
          <w:szCs w:val="24"/>
        </w:rPr>
        <w:t>Bifidobacterium</w:t>
      </w:r>
      <w:r w:rsidR="00AE6985" w:rsidRPr="00BC779C">
        <w:rPr>
          <w:rFonts w:ascii="Times New Roman" w:hAnsi="Times New Roman" w:cs="Times New Roman"/>
          <w:sz w:val="24"/>
          <w:szCs w:val="24"/>
        </w:rPr>
        <w:t xml:space="preserve"> species are known to metabolize oligosaccharides and are commonly used as probiotics because of their association with health benefits</w:t>
      </w:r>
      <w:r w:rsidR="00D83B51" w:rsidRPr="00BC779C">
        <w:rPr>
          <w:rFonts w:ascii="Times New Roman" w:hAnsi="Times New Roman" w:cs="Times New Roman"/>
          <w:sz w:val="24"/>
          <w:szCs w:val="24"/>
        </w:rPr>
        <w:t xml:space="preserve"> </w:t>
      </w:r>
      <w:r w:rsidR="009C5CB8"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"10.1128/AEM.03313-13", "ISSN" : "0099-2240", "PMID" : "24242237", "abstract" : "Here, we describe data obtained from transcriptome profiling of human cell lines and intestinal cells of a murine model upon exposure and colonization, respectively, with Bifidobacterium bifidum PRL2010. Significant changes were detected in the transcription of genes that are known to be involved in innate immunity. Furthermore, results from enzyme-linked immunosorbent assays (ELISAs) showed that exposure to B. bifidum PRL2010 causes enhanced production of interleukin 6 (IL-6) and IL-8 cytokines, presumably through NF-\u03baB activation. The obtained global transcription profiles strongly suggest that Bifidobacterium bifidum PRL2010 modulates the innate immune response of the host.", "author" : [ { "dropping-particle" : "", "family" : "Turroni", "given" : "F.", "non-dropping-particle" : "", "parse-names" : false, "suffix" : "" }, { "dropping-particle" : "", "family" : "Taverniti", "given" : "V.", "non-dropping-particle" : "", "parse-names" : false, "suffix" : "" }, { "dropping-particle" : "", "family" : "Ruas-Madiedo", "given" : "P.", "non-dropping-particle" : "", "parse-names" : false, "suffix" : "" }, { "dropping-particle" : "", "family" : "Duranti", "given" : "S.", "non-dropping-particle" : "", "parse-names" : false, "suffix" : "" }, { "dropping-particle" : "", "family" : "Guglielmetti", "given" : "S.", "non-dropping-particle" : "", "parse-names" : false, "suffix" : "" }, { "dropping-particle" : "", "family" : "Lugli", "given" : "G. A.", "non-dropping-particle" : "", "parse-names" : false, "suffix" : "" }, { "dropping-particle" : "", "family" : "Gioiosa", "given" : "L.", "non-dropping-particle" : "", "parse-names" : false, "suffix" : "" }, { "dropping-particle" : "", "family" : "Palanza", "given" : "P.", "non-dropping-particle" : "", "parse-names" : false, "suffix" : "" }, { "dropping-particle" : "", "family" : "Margolles", "given" : "A.", "non-dropping-particle" : "", "parse-names" : false, "suffix" : "" }, { "dropping-particle" : "", "family" : "Sinderen", "given" : "D.", "non-dropping-particle" : "van", "parse-names" : false, "suffix" : "" }, { "dropping-particle" : "", "family" : "Ventura", "given" : "M.", "non-dropping-particle" : "", "parse-names" : false, "suffix" : "" } ], "container-title" : "Applied and Environmental Microbiology", "id" : "ITEM-1", "issue" : "2", "issued" : { "date-parts" : [ [ "2013", "11", "15" ] ] }, "page" : "730-740", "title" : "Bifidobacterium bifidum PRL2010 modulates the host innate immune response", "type" : "article-journal", "volume" : "80" }, "uris" : [ "http://www.mendeley.com/documents/?uuid=920eaf6e-cd59-4197-a118-b761b2b9b0ab" ] } ], "mendeley" : { "formattedCitation" : "(39)", "plainTextFormattedCitation" : "(39)", "previouslyFormattedCitation" : "(39)" }, "properties" : { "noteIndex" : 0 }, "schema" : "https://github.com/citation-style-language/schema/raw/master/csl-citation.json" }</w:instrText>
      </w:r>
      <w:r w:rsidR="009C5CB8"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(39)</w:t>
      </w:r>
      <w:r w:rsidR="009C5CB8"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00CD73C1" w:rsidRPr="00BC779C">
        <w:rPr>
          <w:rFonts w:ascii="Times New Roman" w:hAnsi="Times New Roman" w:cs="Times New Roman"/>
          <w:sz w:val="24"/>
          <w:szCs w:val="24"/>
        </w:rPr>
        <w:t xml:space="preserve"> A</w:t>
      </w:r>
      <w:r w:rsidR="00794F5B" w:rsidRPr="00BC779C">
        <w:rPr>
          <w:rFonts w:ascii="Times New Roman" w:hAnsi="Times New Roman" w:cs="Times New Roman"/>
          <w:sz w:val="24"/>
          <w:szCs w:val="24"/>
        </w:rPr>
        <w:t xml:space="preserve"> recent study </w:t>
      </w:r>
      <w:r w:rsidR="00CD73C1" w:rsidRPr="00BC779C">
        <w:rPr>
          <w:rFonts w:ascii="Times New Roman" w:hAnsi="Times New Roman" w:cs="Times New Roman"/>
          <w:sz w:val="24"/>
          <w:szCs w:val="24"/>
        </w:rPr>
        <w:t>linked increase</w:t>
      </w:r>
      <w:r w:rsidR="00794F5B" w:rsidRPr="00BC779C">
        <w:rPr>
          <w:rFonts w:ascii="Times New Roman" w:hAnsi="Times New Roman" w:cs="Times New Roman"/>
          <w:sz w:val="24"/>
          <w:szCs w:val="24"/>
        </w:rPr>
        <w:t>d</w:t>
      </w:r>
      <w:r w:rsidR="00CD73C1" w:rsidRPr="00BC779C">
        <w:rPr>
          <w:rFonts w:ascii="Times New Roman" w:hAnsi="Times New Roman" w:cs="Times New Roman"/>
          <w:sz w:val="24"/>
          <w:szCs w:val="24"/>
        </w:rPr>
        <w:t xml:space="preserve"> gene diversity (analysis of all gene</w:t>
      </w:r>
      <w:r w:rsidR="00F559CE" w:rsidRPr="00BC779C">
        <w:rPr>
          <w:rFonts w:ascii="Times New Roman" w:hAnsi="Times New Roman" w:cs="Times New Roman"/>
          <w:sz w:val="24"/>
          <w:szCs w:val="24"/>
        </w:rPr>
        <w:t xml:space="preserve">s in fecal samples) </w:t>
      </w:r>
      <w:r w:rsidR="00794F5B" w:rsidRPr="00BC779C">
        <w:rPr>
          <w:rFonts w:ascii="Times New Roman" w:hAnsi="Times New Roman" w:cs="Times New Roman"/>
          <w:sz w:val="24"/>
          <w:szCs w:val="24"/>
        </w:rPr>
        <w:t xml:space="preserve">to increased </w:t>
      </w:r>
      <w:r w:rsidR="00CD73C1" w:rsidRPr="00BC779C">
        <w:rPr>
          <w:rFonts w:ascii="Times New Roman" w:hAnsi="Times New Roman" w:cs="Times New Roman"/>
          <w:sz w:val="24"/>
          <w:szCs w:val="24"/>
        </w:rPr>
        <w:t xml:space="preserve">metabolic markers </w:t>
      </w:r>
      <w:r w:rsidR="00794F5B" w:rsidRPr="00BC779C">
        <w:rPr>
          <w:rFonts w:ascii="Times New Roman" w:hAnsi="Times New Roman" w:cs="Times New Roman"/>
          <w:sz w:val="24"/>
          <w:szCs w:val="24"/>
        </w:rPr>
        <w:t xml:space="preserve">of health </w:t>
      </w:r>
      <w:r w:rsidR="00CD73C1" w:rsidRPr="00BC779C">
        <w:rPr>
          <w:rFonts w:ascii="Times New Roman" w:hAnsi="Times New Roman" w:cs="Times New Roman"/>
          <w:sz w:val="24"/>
          <w:szCs w:val="24"/>
        </w:rPr>
        <w:t>in humans</w:t>
      </w:r>
      <w:r w:rsidR="00D83B51" w:rsidRPr="00BC779C">
        <w:rPr>
          <w:rFonts w:ascii="Times New Roman" w:hAnsi="Times New Roman" w:cs="Times New Roman"/>
          <w:sz w:val="24"/>
          <w:szCs w:val="24"/>
        </w:rPr>
        <w:t xml:space="preserve"> </w:t>
      </w:r>
      <w:r w:rsidR="009C5CB8"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"10.1038/nature12506", "ISSN" : "1476-4687", "PMID" : "23985870", "abstract" : "We are facing a global metabolic health crisis provoked by an obesity epidemic. Here we report the human gut microbial composition in a population sample of 123 non-obese and 169 obese Danish individuals. We find two groups of individuals that differ by the number of gut microbial genes and thus gut bacterial richness. They contain known and previously unknown bacterial species at different proportions; individuals with a low bacterial richness (23% of the population) are characterized by more marked overall adiposity, insulin resistance and dyslipidaemia and a more pronounced inflammatory phenotype when compared with high bacterial richness individuals. The obese individuals among the lower bacterial richness group also gain more weight over time. Only a few bacterial species are sufficient to distinguish between individuals with high and low bacterial richness, and even between lean and obese participants. Our classifications based on variation in the gut microbiome identify subsets of individuals in the general white adult population who may be at increased risk of progressing to adiposity-associated co-morbidities.", "author" : [ { "dropping-particle" : "", "family" : "Chatelier", "given" : "Emmanuelle", "non-dropping-particle" : "Le", "parse-names" : false, "suffix" : "" }, { "dropping-particle" : "", "family" : "Nielsen", "given" : "Trine", "non-dropping-particle" : "", "parse-names" : false, "suffix" : "" }, { "dropping-particle" : "", "family" : "Qin", "given" : "Junjie", "non-dropping-particle" : "", "parse-names" : false, "suffix" : "" }, { "dropping-particle" : "", "family" : "Prifti", "given" : "Edi", "non-dropping-particle" : "", "parse-names" : false, "suffix" : "" }, { "dropping-particle" : "", "family" : "Hildebrand", "given" : "Falk", "non-dropping-particle" : "", "parse-names" : false, "suffix" : "" }, { "dropping-particle" : "", "family" : "Falony", "given" : "Gwen", "non-dropping-particle" : "", "parse-names" : false, "suffix" : "" }, { "dropping-particle" : "", "family" : "Almeida", "given" : "Mathieu", "non-dropping-particle" : "", "parse-names" : false, "suffix" : "" }, { "dropping-particle" : "", "family" : "Arumugam", "given" : "Manimozhiyan", "non-dropping-particle" : "", "parse-names" : false, "suffix" : "" }, { "dropping-particle" : "", "family" : "Batto", "given" : "Jean-Michel", "non-dropping-particle" : "", "parse-names" : false, "suffix" : "" }, { "dropping-particle" : "", "family" : "Kennedy", "given" : "Sean", "non-dropping-particle" : "", "parse-names" : false, "suffix" : "" }, { "dropping-particle" : "", "family" : "Leonard", "given" : "Pierre", "non-dropping-particle" : "", "parse-names" : false, "suffix" : "" }, { "dropping-particle" : "", "family" : "Li", "given" : "Junhua", "non-dropping-particle" : "", "parse-names" : false, "suffix" : "" }, { "dropping-particle" : "", "family" : "Burgdorf", "given" : "Kristoffer", "non-dropping-particle" : "", "parse-names" : false, "suffix" : "" }, { "dropping-particle" : "", "family" : "Grarup", "given" : "Niels", "non-dropping-particle" : "", "parse-names" : false, "suffix" : "" }, { "dropping-particle" : "", "family" : "J\u00f8rgensen", "given" : "Torben", "non-dropping-particle" : "", "parse-names" : false, "suffix" : "" }, { "dropping-particle" : "", "family" : "Brandslund", "given" : "Ivan", "non-dropping-particle" : "", "parse-names" : false, "suffix" : "" }, { "dropping-particle" : "", "family" : "Nielsen", "given" : "Henrik Bj\u00f8rn", "non-dropping-particle" : "", "parse-names" : false, "suffix" : "" }, { "dropping-particle" : "", "family" : "Juncker", "given" : "Agnieszka S", "non-dropping-particle" : "", "parse-names" : false, "suffix" : "" }, { "dropping-particle" : "", "family" : "Bertalan", "given" : "Marcelo", "non-dropping-particle" : "", "parse-names" : false, "suffix" : "" }, { "dropping-particle" : "", "family" : "Levenez", "given" : "Florence", "non-dropping-particle" : "", "parse-names" : false, "suffix" : "" }, { "dropping-particle" : "", "family" : "Pons", "given" : "Nicolas", "non-dropping-particle" : "", "parse-names" : false, "suffix" : "" }, { "dropping-particle" : "", "family" : "Rasmussen", "given" : "Simon", "non-dropping-particle" : "", "parse-names" : false, "suffix" : "" }, { "dropping-particle" : "", "family" : "Sunagawa", "given" : "Shinichi", "non-dropping-particle" : "", "parse-names" : false, "suffix" : "" }, { "dropping-particle" : "", "family" : "Tap", "given" : "Julien", "non-dropping-particle" : "", "parse-names" : false, "suffix" : "" }, { "dropping-particle" : "", "family" : "Tims", "given" : "Sebastian", "non-dropping-particle" : "", "parse-names" : false, "suffix" : "" }, { "dropping-particle" : "", "family" : "Zoetendal", "given" : "Erwin G", "non-dropping-particle" : "", "parse-names" : false, "suffix" : "" }, { "dropping-particle" : "", "family" : "Brunak", "given" : "S\u00f8ren", "non-dropping-particle" : "", "parse-names" : false, "suffix" : "" }, { "dropping-particle" : "", "family" : "Cl\u00e9ment", "given" : "Karine", "non-dropping-particle" : "", "parse-names" : false, "suffix" : "" }, { "dropping-particle" : "", "family" : "Dor\u00e9", "given" : "Jo\u00ebl", "non-dropping-particle" : "", "parse-names" : false, "suffix" : "" }, { "dropping-particle" : "", "family" : "Kleerebezem", "given" : "Michiel", "non-dropping-particle" : "", "parse-names" : false, "suffix" : "" }, { "dropping-particle" : "", "family" : "Kristiansen", "given" : "Karsten", "non-dropping-particle" : "", "parse-names" : false, "suffix" : "" }, { "dropping-particle" : "", "family" : "Renault", "given" : "Pierre", "non-dropping-particle" : "", "parse-names" : false, "suffix" : "" }, { "dropping-particle" : "", "family" : "Sicheritz-Ponten", "given" : "Thomas", "non-dropping-particle" : "", "parse-names" : false, "suffix" : "" }, { "dropping-particle" : "", "family" : "Vos", "given" : "Willem M", "non-dropping-particle" : "de", "parse-names" : false, "suffix" : "" }, { "dropping-particle" : "", "family" : "Zucker", "given" : "Jean-Daniel", "non-dropping-particle" : "", "parse-names" : false, "suffix" : "" }, { "dropping-particle" : "", "family" : "Raes", "given" : "Jeroen", "non-dropping-particle" : "", "parse-names" : false, "suffix" : "" }, { "dropping-particle" : "", "family" : "Hansen", "given" : "Torben", "non-dropping-particle" : "", "parse-names" : false, "suffix" : "" }, { "dropping-particle" : "", "family" : "Bork", "given" : "Peer", "non-dropping-particle" : "", "parse-names" : false, "suffix" : "" }, { "dropping-particle" : "", "family" : "Wang", "given" : "Jun", "non-dropping-particle" : "", "parse-names" : false, "suffix" : "" }, { "dropping-particle" : "", "family" : "Ehrlich", "given" : "S Dusko", "non-dropping-particle" : "", "parse-names" : false, "suffix" : "" }, { "dropping-particle" : "", "family" : "Pedersen", "given" : "Oluf", "non-dropping-particle" : "", "parse-names" : false, "suffix" : "" } ], "container-title" : "Nature", "id" : "ITEM-1", "issue" : "7464", "issued" : { "date-parts" : [ [ "2013", "8", "29" ] ] }, "page" : "541-6", "title" : "Richness of human gut microbiome correlates with metabolic markers", "type" : "article-journal", "volume" : "500" }, "uris" : [ "http://www.mendeley.com/documents/?uuid=b96b64de-e21d-46f3-8330-083fe66a1933" ] } ], "mendeley" : { "formattedCitation" : "(40)", "plainTextFormattedCitation" : "(40)", "previouslyFormattedCitation" : "(40)" }, "properties" : { "noteIndex" : 0 }, "schema" : "https://github.com/citation-style-language/schema/raw/master/csl-citation.json" }</w:instrText>
      </w:r>
      <w:r w:rsidR="009C5CB8"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(40)</w:t>
      </w:r>
      <w:r w:rsidR="009C5CB8"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00CD73C1" w:rsidRPr="00BC779C">
        <w:rPr>
          <w:rFonts w:ascii="Times New Roman" w:hAnsi="Times New Roman" w:cs="Times New Roman"/>
          <w:sz w:val="24"/>
          <w:szCs w:val="24"/>
        </w:rPr>
        <w:t xml:space="preserve"> The greater </w:t>
      </w:r>
      <w:r w:rsidR="002C2F3E" w:rsidRPr="00BC779C">
        <w:rPr>
          <w:rFonts w:ascii="Times New Roman" w:hAnsi="Times New Roman" w:cs="Times New Roman"/>
          <w:sz w:val="24"/>
          <w:szCs w:val="24"/>
        </w:rPr>
        <w:t xml:space="preserve">microbial diversity </w:t>
      </w:r>
      <w:r w:rsidR="00794F5B" w:rsidRPr="00BC779C">
        <w:rPr>
          <w:rFonts w:ascii="Times New Roman" w:hAnsi="Times New Roman" w:cs="Times New Roman"/>
          <w:sz w:val="24"/>
          <w:szCs w:val="24"/>
        </w:rPr>
        <w:t xml:space="preserve">with SCF, </w:t>
      </w:r>
      <w:r w:rsidR="00CD73C1" w:rsidRPr="00BC779C">
        <w:rPr>
          <w:rFonts w:ascii="Times New Roman" w:hAnsi="Times New Roman" w:cs="Times New Roman"/>
          <w:sz w:val="24"/>
          <w:szCs w:val="24"/>
        </w:rPr>
        <w:t>as indicated by the significantly greater</w:t>
      </w:r>
      <w:r w:rsidR="002C2F3E" w:rsidRPr="00BC779C">
        <w:rPr>
          <w:rFonts w:ascii="Times New Roman" w:hAnsi="Times New Roman" w:cs="Times New Roman"/>
          <w:sz w:val="24"/>
          <w:szCs w:val="24"/>
        </w:rPr>
        <w:t xml:space="preserve"> species richness</w:t>
      </w:r>
      <w:r w:rsidR="00CD73C1" w:rsidRPr="00BC779C">
        <w:rPr>
          <w:rFonts w:ascii="Times New Roman" w:hAnsi="Times New Roman" w:cs="Times New Roman"/>
          <w:sz w:val="24"/>
          <w:szCs w:val="24"/>
        </w:rPr>
        <w:t xml:space="preserve"> </w:t>
      </w:r>
      <w:r w:rsidR="00F559CE" w:rsidRPr="00BC779C">
        <w:rPr>
          <w:rFonts w:ascii="Times New Roman" w:hAnsi="Times New Roman" w:cs="Times New Roman"/>
          <w:sz w:val="24"/>
          <w:szCs w:val="24"/>
        </w:rPr>
        <w:t>(</w:t>
      </w:r>
      <w:r w:rsidR="00CD73C1" w:rsidRPr="00BC779C">
        <w:rPr>
          <w:rFonts w:ascii="Times New Roman" w:hAnsi="Times New Roman" w:cs="Times New Roman"/>
          <w:sz w:val="24"/>
          <w:szCs w:val="24"/>
        </w:rPr>
        <w:t>Chao1 values and observed species numbers</w:t>
      </w:r>
      <w:r w:rsidR="00F559CE" w:rsidRPr="00BC779C">
        <w:rPr>
          <w:rFonts w:ascii="Times New Roman" w:hAnsi="Times New Roman" w:cs="Times New Roman"/>
          <w:sz w:val="24"/>
          <w:szCs w:val="24"/>
        </w:rPr>
        <w:t>)</w:t>
      </w:r>
      <w:r w:rsidR="00794F5B" w:rsidRPr="00BC779C">
        <w:rPr>
          <w:rFonts w:ascii="Times New Roman" w:hAnsi="Times New Roman" w:cs="Times New Roman"/>
          <w:sz w:val="24"/>
          <w:szCs w:val="24"/>
        </w:rPr>
        <w:t>,</w:t>
      </w:r>
      <w:r w:rsidR="00CD73C1" w:rsidRPr="00BC779C">
        <w:rPr>
          <w:rFonts w:ascii="Times New Roman" w:hAnsi="Times New Roman" w:cs="Times New Roman"/>
          <w:sz w:val="24"/>
          <w:szCs w:val="24"/>
        </w:rPr>
        <w:t xml:space="preserve"> </w:t>
      </w:r>
      <w:r w:rsidR="00F559CE" w:rsidRPr="00BC779C">
        <w:rPr>
          <w:rFonts w:ascii="Times New Roman" w:hAnsi="Times New Roman" w:cs="Times New Roman"/>
          <w:sz w:val="24"/>
          <w:szCs w:val="24"/>
        </w:rPr>
        <w:t xml:space="preserve">may </w:t>
      </w:r>
      <w:r w:rsidR="002C2F3E" w:rsidRPr="00BC779C">
        <w:rPr>
          <w:rFonts w:ascii="Times New Roman" w:hAnsi="Times New Roman" w:cs="Times New Roman"/>
          <w:sz w:val="24"/>
          <w:szCs w:val="24"/>
        </w:rPr>
        <w:t>suggest a healthier microbiome</w:t>
      </w:r>
      <w:r w:rsidR="00CD73C1" w:rsidRPr="00BC779C">
        <w:rPr>
          <w:rFonts w:ascii="Times New Roman" w:hAnsi="Times New Roman" w:cs="Times New Roman"/>
          <w:sz w:val="24"/>
          <w:szCs w:val="24"/>
        </w:rPr>
        <w:t>.</w:t>
      </w:r>
    </w:p>
    <w:p w14:paraId="5750BBF3" w14:textId="40022628" w:rsidR="00B04FC1" w:rsidRPr="00BC779C" w:rsidRDefault="003E00DE" w:rsidP="00D12A80">
      <w:pPr>
        <w:spacing w:after="100" w:afterAutospacing="1" w:line="480" w:lineRule="auto"/>
        <w:ind w:firstLine="360"/>
        <w:rPr>
          <w:rFonts w:ascii="Times New Roman" w:hAnsi="Times New Roman" w:cs="Times New Roman"/>
          <w:sz w:val="24"/>
          <w:szCs w:val="24"/>
        </w:rPr>
      </w:pPr>
      <w:r w:rsidRPr="00BC779C">
        <w:rPr>
          <w:rFonts w:ascii="Times New Roman" w:hAnsi="Times New Roman" w:cs="Times New Roman"/>
          <w:sz w:val="24"/>
          <w:szCs w:val="24"/>
        </w:rPr>
        <w:t>One th</w:t>
      </w:r>
      <w:r w:rsidR="00445026" w:rsidRPr="00BC779C">
        <w:rPr>
          <w:rFonts w:ascii="Times New Roman" w:hAnsi="Times New Roman" w:cs="Times New Roman"/>
          <w:sz w:val="24"/>
          <w:szCs w:val="24"/>
        </w:rPr>
        <w:t>eory</w:t>
      </w:r>
      <w:r w:rsidR="00E7681F" w:rsidRPr="00BC779C">
        <w:rPr>
          <w:rFonts w:ascii="Times New Roman" w:hAnsi="Times New Roman" w:cs="Times New Roman"/>
          <w:sz w:val="24"/>
          <w:szCs w:val="24"/>
        </w:rPr>
        <w:t xml:space="preserve"> for the underlying mechanism </w:t>
      </w:r>
      <w:r w:rsidR="00E17CCB" w:rsidRPr="00BC779C">
        <w:rPr>
          <w:rFonts w:ascii="Times New Roman" w:hAnsi="Times New Roman" w:cs="Times New Roman"/>
          <w:sz w:val="24"/>
          <w:szCs w:val="24"/>
        </w:rPr>
        <w:t>of prebiotic-induced</w:t>
      </w:r>
      <w:r w:rsidR="00E7681F" w:rsidRPr="00BC779C">
        <w:rPr>
          <w:rFonts w:ascii="Times New Roman" w:hAnsi="Times New Roman" w:cs="Times New Roman"/>
          <w:sz w:val="24"/>
          <w:szCs w:val="24"/>
        </w:rPr>
        <w:t xml:space="preserve"> calcium absorption </w:t>
      </w:r>
      <w:r w:rsidR="00445026" w:rsidRPr="00BC779C">
        <w:rPr>
          <w:rFonts w:ascii="Times New Roman" w:hAnsi="Times New Roman" w:cs="Times New Roman"/>
          <w:sz w:val="24"/>
          <w:szCs w:val="24"/>
        </w:rPr>
        <w:t>is that microbial</w:t>
      </w:r>
      <w:r w:rsidRPr="00BC779C">
        <w:rPr>
          <w:rFonts w:ascii="Times New Roman" w:hAnsi="Times New Roman" w:cs="Times New Roman"/>
          <w:sz w:val="24"/>
          <w:szCs w:val="24"/>
        </w:rPr>
        <w:t xml:space="preserve"> production of SCFA</w:t>
      </w:r>
      <w:r w:rsidR="00C83B5E" w:rsidRPr="00BC779C">
        <w:rPr>
          <w:rFonts w:ascii="Times New Roman" w:hAnsi="Times New Roman" w:cs="Times New Roman"/>
          <w:sz w:val="24"/>
          <w:szCs w:val="24"/>
        </w:rPr>
        <w:t>s</w:t>
      </w:r>
      <w:r w:rsidR="00445026" w:rsidRPr="00BC779C">
        <w:rPr>
          <w:rFonts w:ascii="Times New Roman" w:hAnsi="Times New Roman" w:cs="Times New Roman"/>
          <w:sz w:val="24"/>
          <w:szCs w:val="24"/>
        </w:rPr>
        <w:t xml:space="preserve"> via</w:t>
      </w:r>
      <w:r w:rsidRPr="00BC779C">
        <w:rPr>
          <w:rFonts w:ascii="Times New Roman" w:hAnsi="Times New Roman" w:cs="Times New Roman"/>
          <w:sz w:val="24"/>
          <w:szCs w:val="24"/>
        </w:rPr>
        <w:t xml:space="preserve"> starch fermentation produce</w:t>
      </w:r>
      <w:r w:rsidR="00445026" w:rsidRPr="00BC779C">
        <w:rPr>
          <w:rFonts w:ascii="Times New Roman" w:hAnsi="Times New Roman" w:cs="Times New Roman"/>
          <w:sz w:val="24"/>
          <w:szCs w:val="24"/>
        </w:rPr>
        <w:t>s</w:t>
      </w:r>
      <w:r w:rsidRPr="00BC779C">
        <w:rPr>
          <w:rFonts w:ascii="Times New Roman" w:hAnsi="Times New Roman" w:cs="Times New Roman"/>
          <w:sz w:val="24"/>
          <w:szCs w:val="24"/>
        </w:rPr>
        <w:t xml:space="preserve"> an acidic environment ideal for increasing the solubility and transcellular absorption of mineral ions, such as Ca</w:t>
      </w:r>
      <w:r w:rsidRPr="00BC779C">
        <w:rPr>
          <w:rFonts w:ascii="Times New Roman" w:hAnsi="Times New Roman" w:cs="Times New Roman"/>
          <w:sz w:val="24"/>
          <w:szCs w:val="24"/>
          <w:vertAlign w:val="superscript"/>
        </w:rPr>
        <w:t>2+</w:t>
      </w:r>
      <w:r w:rsidR="00D83B51" w:rsidRPr="00BC779C">
        <w:rPr>
          <w:rFonts w:ascii="Times New Roman" w:hAnsi="Times New Roman" w:cs="Times New Roman"/>
          <w:sz w:val="24"/>
          <w:szCs w:val="24"/>
        </w:rPr>
        <w:t xml:space="preserve"> </w:t>
      </w:r>
      <w:r w:rsidR="00400ED3"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"abstract" : "Several studies in animals and humans have shown positive effects of nondigestible oligosaccharides (NDO) on mineral absorption and metabolism and bone composition and architecture. These include inulin, oligofructose, fructooligosaccharides, galactooligosaccharides, soybean oligosaccharide, and also resistant starches, sugar alcohols, and difructose anhydride. A positive outcome of dietary prebiotics is promoted by a high dietary calcium content up to a threshold level and an optimum amount and composition of supplemented prebiotics. There might be an optimum composition of fructooligosaccharides with different chain lengths (synergy products). The efficacy of dietary prebiotics depends on chronological age, physiological age, menopausal status, and calcium absorption capacity. There is evidence for an independent probiotic effect on facilitating mineral absorption. Synbiotics, i.e., a combination of probiotics and prebiotics, can induce additional effects. Whether a low content of habitual NDO would augment the effect of dietary prebiotics or synbiotics remains to be studied. The underlying mechanisms are manifold: increased solubility of minerals because of increased bacterial production of short-chain fatty acids, which is promoted by the greater supply of substrate; an enlargement of the absorption surface by promoting proliferation of enterocytes mediated by bacterial fermentation products, predominantly lactate and butyrate; increased expression of calcium-binding proteins; improvement of gut health; degradation of mineral complexing phytic acid; release of bone-modulating factors such as phytoestrogens from foods; stabilization of the intestinal flora and ecology, also in the presence of antibiotics; stabilization of the intestinal mucus; and impact of modulating growth factors such as polyamines. In conclusion, prebiotics are the most promising but also best investigated substances with respect to a bone-health-promoting potential, compared with probiotics and synbiotics. The results are more prominent in animal models, where more studies have been performed, than in human studies, where experimental conditions are more difficult to control.", "author" : [ { "dropping-particle" : "", "family" : "Scholz-Ahrens", "given" : "Katharina E.", "non-dropping-particle" : "", "parse-names" : false, "suffix" : "" }, { "dropping-particle" : "", "family" : "Ade", "given" : "Peter", "non-dropping-particle" : "", "parse-names" : false, "suffix" : "" }, { "dropping-particle" : "", "family" : "Marten", "given" : "Berit", "non-dropping-particle" : "", "parse-names" : false, "suffix" : "" }, { "dropping-particle" : "", "family" : "Weber", "given" : "Petra", "non-dropping-particle" : "", "parse-names" : false, "suffix" : "" }, { "dropping-particle" : "", "family" : "Timm", "given" : "Wolfram", "non-dropping-particle" : "", "parse-names" : false, "suffix" : "" }, { "dropping-particle" : "", "family" : "A\u00e7il", "given" : "Yahya", "non-dropping-particle" : "", "parse-names" : false, "suffix" : "" }, { "dropping-particle" : "", "family" : "Gluer", "given" : "Claus-C.", "non-dropping-particle" : "", "parse-names" : false, "suffix" : "" }, { "dropping-particle" : "", "family" : "Schrezenmeir", "given" : "Jurgen", "non-dropping-particle" : "", "parse-names" : false, "suffix" : "" } ], "container-title" : "J. Nutr.", "id" : "ITEM-1", "issue" : "3", "issued" : { "date-parts" : [ [ "2007", "3", "1" ] ] }, "page" : "838S-846", "title" : "Prebiotics, probiotics, and synbiotics affect mineral absorption, bone mineral content, and bone structure", "type" : "article-journal", "volume" : "137" }, "uris" : [ "http://www.mendeley.com/documents/?uuid=7e741acd-cb6d-42e5-83c5-037835ce37e1" ] }, { "id" : "ITEM-2", "itemData" : { "author" : [ { "dropping-particle" : "", "family" : "Park", "given" : "CY", "non-dropping-particle" : "", "parse-names" : false, "suffix" : "" }, { "dropping-particle" : "", "family" : "Weaver", "given" : "CM", "non-dropping-particle" : "", "parse-names" : false, "suffix" : "" } ], "container-title" : "Functional Food Reviews", "id" : "ITEM-2", "issued" : { "date-parts" : [ [ "2011" ] ] }, "page" : "62-72", "title" : "Calcium and bone health: influence of prebiotics", "type" : "article-journal", "volume" : "3" }, "uris" : [ "http://www.mendeley.com/documents/?uuid=87f8ea24-102e-48d2-80a5-e55fa4dddaeb" ] } ], "mendeley" : { "formattedCitation" : "(41,42)", "plainTextFormattedCitation" : "(41,42)", "previouslyFormattedCitation" : "(41,42)" }, "properties" : { "noteIndex" : 0 }, "schema" : "https://github.com/citation-style-language/schema/raw/master/csl-citation.json" }</w:instrText>
      </w:r>
      <w:r w:rsidR="00400ED3" w:rsidRPr="00BC779C">
        <w:rPr>
          <w:rFonts w:ascii="Times New Roman" w:hAnsi="Times New Roman" w:cs="Times New Roman"/>
          <w:sz w:val="24"/>
          <w:szCs w:val="24"/>
        </w:rPr>
        <w:fldChar w:fldCharType="separate"/>
      </w:r>
      <w:r w:rsidR="00086B0D" w:rsidRPr="00BC779C">
        <w:rPr>
          <w:rFonts w:ascii="Times New Roman" w:hAnsi="Times New Roman" w:cs="Times New Roman"/>
          <w:noProof/>
          <w:sz w:val="24"/>
          <w:szCs w:val="24"/>
        </w:rPr>
        <w:t>(41,42)</w:t>
      </w:r>
      <w:r w:rsidR="00400ED3"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001521EE" w:rsidRPr="00BC779C">
        <w:rPr>
          <w:rFonts w:ascii="Times New Roman" w:hAnsi="Times New Roman" w:cs="Times New Roman"/>
          <w:sz w:val="24"/>
          <w:szCs w:val="24"/>
        </w:rPr>
        <w:t xml:space="preserve"> </w:t>
      </w:r>
      <w:r w:rsidRPr="00BC779C">
        <w:rPr>
          <w:rFonts w:ascii="Times New Roman" w:hAnsi="Times New Roman" w:cs="Times New Roman"/>
          <w:sz w:val="24"/>
          <w:szCs w:val="24"/>
        </w:rPr>
        <w:t>Although a significant increase in SCFA</w:t>
      </w:r>
      <w:r w:rsidR="00C83B5E" w:rsidRPr="00BC779C">
        <w:rPr>
          <w:rFonts w:ascii="Times New Roman" w:hAnsi="Times New Roman" w:cs="Times New Roman"/>
          <w:sz w:val="24"/>
          <w:szCs w:val="24"/>
        </w:rPr>
        <w:t>s</w:t>
      </w:r>
      <w:r w:rsidRPr="00BC779C">
        <w:rPr>
          <w:rFonts w:ascii="Times New Roman" w:hAnsi="Times New Roman" w:cs="Times New Roman"/>
          <w:sz w:val="24"/>
          <w:szCs w:val="24"/>
        </w:rPr>
        <w:t xml:space="preserve"> was not found in this study</w:t>
      </w:r>
      <w:r w:rsidR="00445026" w:rsidRPr="00BC779C">
        <w:rPr>
          <w:rFonts w:ascii="Times New Roman" w:hAnsi="Times New Roman" w:cs="Times New Roman"/>
          <w:sz w:val="24"/>
          <w:szCs w:val="24"/>
        </w:rPr>
        <w:t>,</w:t>
      </w:r>
      <w:r w:rsidR="003559D3" w:rsidRPr="00BC779C">
        <w:rPr>
          <w:rFonts w:ascii="Times New Roman" w:hAnsi="Times New Roman" w:cs="Times New Roman"/>
          <w:sz w:val="24"/>
          <w:szCs w:val="24"/>
        </w:rPr>
        <w:t xml:space="preserve"> </w:t>
      </w:r>
      <w:r w:rsidRPr="00BC779C">
        <w:rPr>
          <w:rFonts w:ascii="Times New Roman" w:hAnsi="Times New Roman" w:cs="Times New Roman"/>
          <w:sz w:val="24"/>
          <w:szCs w:val="24"/>
        </w:rPr>
        <w:t xml:space="preserve">pH </w:t>
      </w:r>
      <w:r w:rsidR="00F559CE" w:rsidRPr="00BC779C">
        <w:rPr>
          <w:rFonts w:ascii="Times New Roman" w:hAnsi="Times New Roman" w:cs="Times New Roman"/>
          <w:sz w:val="24"/>
          <w:szCs w:val="24"/>
        </w:rPr>
        <w:t xml:space="preserve">was </w:t>
      </w:r>
      <w:r w:rsidRPr="00BC779C">
        <w:rPr>
          <w:rFonts w:ascii="Times New Roman" w:hAnsi="Times New Roman" w:cs="Times New Roman"/>
          <w:sz w:val="24"/>
          <w:szCs w:val="24"/>
        </w:rPr>
        <w:t xml:space="preserve">significantly </w:t>
      </w:r>
      <w:r w:rsidR="00F559CE" w:rsidRPr="00BC779C">
        <w:rPr>
          <w:rFonts w:ascii="Times New Roman" w:hAnsi="Times New Roman" w:cs="Times New Roman"/>
          <w:sz w:val="24"/>
          <w:szCs w:val="24"/>
        </w:rPr>
        <w:t>reduced</w:t>
      </w:r>
      <w:r w:rsidRPr="00BC779C">
        <w:rPr>
          <w:rFonts w:ascii="Times New Roman" w:hAnsi="Times New Roman" w:cs="Times New Roman"/>
          <w:sz w:val="24"/>
          <w:szCs w:val="24"/>
        </w:rPr>
        <w:t xml:space="preserve"> </w:t>
      </w:r>
      <w:r w:rsidR="00445026" w:rsidRPr="00BC779C">
        <w:rPr>
          <w:rFonts w:ascii="Times New Roman" w:hAnsi="Times New Roman" w:cs="Times New Roman"/>
          <w:sz w:val="24"/>
          <w:szCs w:val="24"/>
        </w:rPr>
        <w:t>on the highest dose</w:t>
      </w:r>
      <w:r w:rsidR="00946C44" w:rsidRPr="00BC779C">
        <w:rPr>
          <w:rFonts w:ascii="Times New Roman" w:hAnsi="Times New Roman" w:cs="Times New Roman"/>
          <w:sz w:val="24"/>
          <w:szCs w:val="24"/>
        </w:rPr>
        <w:t xml:space="preserve">. </w:t>
      </w:r>
      <w:r w:rsidR="00C96982" w:rsidRPr="00BC779C">
        <w:rPr>
          <w:rFonts w:ascii="Times New Roman" w:hAnsi="Times New Roman" w:cs="Times New Roman"/>
          <w:sz w:val="24"/>
          <w:szCs w:val="24"/>
        </w:rPr>
        <w:t>However</w:t>
      </w:r>
      <w:r w:rsidR="00A974C1" w:rsidRPr="00BC779C">
        <w:rPr>
          <w:rFonts w:ascii="Times New Roman" w:hAnsi="Times New Roman" w:cs="Times New Roman"/>
          <w:sz w:val="24"/>
          <w:szCs w:val="24"/>
        </w:rPr>
        <w:t xml:space="preserve">, a recent direct-to-cecum rat model </w:t>
      </w:r>
      <w:r w:rsidR="00C96982" w:rsidRPr="00BC779C">
        <w:rPr>
          <w:rFonts w:ascii="Times New Roman" w:hAnsi="Times New Roman" w:cs="Times New Roman"/>
          <w:sz w:val="24"/>
          <w:szCs w:val="24"/>
        </w:rPr>
        <w:t>was used to explore physiological mechanisms for the action of SCFA on calcium absorption;</w:t>
      </w:r>
      <w:r w:rsidR="00A974C1" w:rsidRPr="00BC779C">
        <w:rPr>
          <w:rFonts w:ascii="Times New Roman" w:hAnsi="Times New Roman" w:cs="Times New Roman"/>
          <w:sz w:val="24"/>
          <w:szCs w:val="24"/>
        </w:rPr>
        <w:t xml:space="preserve"> SCFA, rather than</w:t>
      </w:r>
      <w:r w:rsidR="00EC694B" w:rsidRPr="00BC779C">
        <w:rPr>
          <w:rFonts w:ascii="Times New Roman" w:hAnsi="Times New Roman" w:cs="Times New Roman"/>
          <w:sz w:val="24"/>
          <w:szCs w:val="24"/>
        </w:rPr>
        <w:t xml:space="preserve"> through lowering</w:t>
      </w:r>
      <w:r w:rsidR="00A974C1" w:rsidRPr="00BC779C">
        <w:rPr>
          <w:rFonts w:ascii="Times New Roman" w:hAnsi="Times New Roman" w:cs="Times New Roman"/>
          <w:sz w:val="24"/>
          <w:szCs w:val="24"/>
        </w:rPr>
        <w:t xml:space="preserve"> pH</w:t>
      </w:r>
      <w:r w:rsidR="00EC694B" w:rsidRPr="00BC779C">
        <w:rPr>
          <w:rFonts w:ascii="Times New Roman" w:hAnsi="Times New Roman" w:cs="Times New Roman"/>
          <w:sz w:val="24"/>
          <w:szCs w:val="24"/>
        </w:rPr>
        <w:t xml:space="preserve"> which had no effect on calcium absorption efficiency</w:t>
      </w:r>
      <w:r w:rsidR="00A974C1" w:rsidRPr="00BC779C">
        <w:rPr>
          <w:rFonts w:ascii="Times New Roman" w:hAnsi="Times New Roman" w:cs="Times New Roman"/>
          <w:sz w:val="24"/>
          <w:szCs w:val="24"/>
        </w:rPr>
        <w:t>, increase</w:t>
      </w:r>
      <w:r w:rsidR="00EC694B" w:rsidRPr="00BC779C">
        <w:rPr>
          <w:rFonts w:ascii="Times New Roman" w:hAnsi="Times New Roman" w:cs="Times New Roman"/>
          <w:sz w:val="24"/>
          <w:szCs w:val="24"/>
        </w:rPr>
        <w:t>d</w:t>
      </w:r>
      <w:r w:rsidR="00A974C1" w:rsidRPr="00BC779C">
        <w:rPr>
          <w:rFonts w:ascii="Times New Roman" w:hAnsi="Times New Roman" w:cs="Times New Roman"/>
          <w:sz w:val="24"/>
          <w:szCs w:val="24"/>
        </w:rPr>
        <w:t xml:space="preserve"> calcium </w:t>
      </w:r>
      <w:r w:rsidR="00A974C1" w:rsidRPr="00BC779C">
        <w:rPr>
          <w:rFonts w:ascii="Times New Roman" w:hAnsi="Times New Roman" w:cs="Times New Roman"/>
          <w:sz w:val="24"/>
          <w:szCs w:val="24"/>
        </w:rPr>
        <w:lastRenderedPageBreak/>
        <w:t>absorption</w:t>
      </w:r>
      <w:r w:rsidR="00EC694B" w:rsidRPr="00BC779C">
        <w:rPr>
          <w:rFonts w:ascii="Times New Roman" w:hAnsi="Times New Roman" w:cs="Times New Roman"/>
          <w:sz w:val="24"/>
          <w:szCs w:val="24"/>
        </w:rPr>
        <w:t xml:space="preserve"> efficiency when</w:t>
      </w:r>
      <w:r w:rsidR="00A974C1" w:rsidRPr="00BC779C">
        <w:rPr>
          <w:rFonts w:ascii="Times New Roman" w:hAnsi="Times New Roman" w:cs="Times New Roman"/>
          <w:sz w:val="24"/>
          <w:szCs w:val="24"/>
        </w:rPr>
        <w:t xml:space="preserve"> inhibitors</w:t>
      </w:r>
      <w:r w:rsidR="00EC694B" w:rsidRPr="00BC779C">
        <w:rPr>
          <w:rFonts w:ascii="Times New Roman" w:hAnsi="Times New Roman" w:cs="Times New Roman"/>
          <w:sz w:val="24"/>
          <w:szCs w:val="24"/>
        </w:rPr>
        <w:t xml:space="preserve"> added to the cecum were prevented</w:t>
      </w:r>
      <w:r w:rsidR="00A974C1" w:rsidRPr="00BC779C">
        <w:rPr>
          <w:rFonts w:ascii="Times New Roman" w:hAnsi="Times New Roman" w:cs="Times New Roman"/>
          <w:sz w:val="24"/>
          <w:szCs w:val="24"/>
        </w:rPr>
        <w:t xml:space="preserve"> from binding to calcium </w:t>
      </w:r>
      <w:r w:rsidR="00B56BAE" w:rsidRPr="00BC779C">
        <w:rPr>
          <w:rFonts w:ascii="Times New Roman" w:hAnsi="Times New Roman" w:cs="Times New Roman"/>
          <w:sz w:val="24"/>
          <w:szCs w:val="24"/>
        </w:rPr>
        <w:fldChar w:fldCharType="begin" w:fldLock="1"/>
      </w:r>
      <w:r w:rsidR="00F55607" w:rsidRPr="00BC779C">
        <w:rPr>
          <w:rFonts w:ascii="Times New Roman" w:hAnsi="Times New Roman" w:cs="Times New Roman"/>
          <w:sz w:val="24"/>
          <w:szCs w:val="24"/>
        </w:rPr>
        <w:instrText>ADDIN CSL_CITATION { "citationItems" : [ { "id" : "ITEM-1", "itemData" : { "author" : [ { "dropping-particle" : "", "family" : "Weaver", "given" : "Connie M.", "non-dropping-particle" : "", "parse-names" : false, "suffix" : "" }, { "dropping-particle" : "", "family" : "Jackeman", "given" : "S", "non-dropping-particle" : "", "parse-names" : false, "suffix" : "" } ], "container-title" : "Proceedings of the 9th international symposium on nutritional aspects of osteoporosis", "id" : "ITEM-1", "issued" : { "date-parts" : [ [ "2016" ] ] }, "number-of-pages" : "In press", "title" : "Prebiotics, calcium absorption, and bone health", "type" : "report" }, "uris" : [ "http://www.mendeley.com/documents/?uuid=9d2fafdf-b0e7-4501-bc89-a6262df4fec9" ] } ], "mendeley" : { "formattedCitation" : "(43)", "plainTextFormattedCitation" : "(43)", "previouslyFormattedCitation" : "(43)" }, "properties" : { "noteIndex" : 0 }, "schema" : "https://github.com/citation-style-language/schema/raw/master/csl-citation.json" }</w:instrText>
      </w:r>
      <w:r w:rsidR="00B56BAE" w:rsidRPr="00BC779C">
        <w:rPr>
          <w:rFonts w:ascii="Times New Roman" w:hAnsi="Times New Roman" w:cs="Times New Roman"/>
          <w:sz w:val="24"/>
          <w:szCs w:val="24"/>
        </w:rPr>
        <w:fldChar w:fldCharType="separate"/>
      </w:r>
      <w:r w:rsidR="00B56BAE" w:rsidRPr="00BC779C">
        <w:rPr>
          <w:rFonts w:ascii="Times New Roman" w:hAnsi="Times New Roman" w:cs="Times New Roman"/>
          <w:noProof/>
          <w:sz w:val="24"/>
          <w:szCs w:val="24"/>
        </w:rPr>
        <w:t>(43)</w:t>
      </w:r>
      <w:r w:rsidR="00B56BAE" w:rsidRPr="00BC779C">
        <w:rPr>
          <w:rFonts w:ascii="Times New Roman" w:hAnsi="Times New Roman" w:cs="Times New Roman"/>
          <w:sz w:val="24"/>
          <w:szCs w:val="24"/>
        </w:rPr>
        <w:fldChar w:fldCharType="end"/>
      </w:r>
      <w:r w:rsidR="00A974C1" w:rsidRPr="00BC779C">
        <w:rPr>
          <w:rFonts w:ascii="Times New Roman" w:hAnsi="Times New Roman" w:cs="Times New Roman"/>
          <w:sz w:val="24"/>
          <w:szCs w:val="24"/>
        </w:rPr>
        <w:t xml:space="preserve">. </w:t>
      </w:r>
      <w:r w:rsidR="00946C44" w:rsidRPr="00BC779C">
        <w:rPr>
          <w:rFonts w:ascii="Times New Roman" w:hAnsi="Times New Roman" w:cs="Times New Roman"/>
          <w:sz w:val="24"/>
          <w:szCs w:val="24"/>
        </w:rPr>
        <w:t>SCFA</w:t>
      </w:r>
      <w:r w:rsidR="00C83B5E" w:rsidRPr="00BC779C">
        <w:rPr>
          <w:rFonts w:ascii="Times New Roman" w:hAnsi="Times New Roman" w:cs="Times New Roman"/>
          <w:sz w:val="24"/>
          <w:szCs w:val="24"/>
        </w:rPr>
        <w:t>s</w:t>
      </w:r>
      <w:r w:rsidR="002936D3" w:rsidRPr="00BC779C">
        <w:rPr>
          <w:rFonts w:ascii="Times New Roman" w:hAnsi="Times New Roman" w:cs="Times New Roman"/>
          <w:sz w:val="24"/>
          <w:szCs w:val="24"/>
        </w:rPr>
        <w:t xml:space="preserve"> are readily absorbed for energy throughout the intestine making it difficult to measure their true luminal concentrations</w:t>
      </w:r>
      <w:r w:rsidR="00D83B51" w:rsidRPr="00BC779C">
        <w:rPr>
          <w:rFonts w:ascii="Times New Roman" w:hAnsi="Times New Roman" w:cs="Times New Roman"/>
          <w:sz w:val="24"/>
          <w:szCs w:val="24"/>
        </w:rPr>
        <w:t xml:space="preserve"> </w:t>
      </w:r>
      <w:r w:rsidR="002936D3" w:rsidRPr="00BC779C">
        <w:rPr>
          <w:rFonts w:ascii="Times New Roman" w:hAnsi="Times New Roman" w:cs="Times New Roman"/>
          <w:sz w:val="24"/>
          <w:szCs w:val="24"/>
        </w:rPr>
        <w:fldChar w:fldCharType="begin" w:fldLock="1"/>
      </w:r>
      <w:r w:rsidR="00B56BAE" w:rsidRPr="00BC779C">
        <w:rPr>
          <w:rFonts w:ascii="Times New Roman" w:hAnsi="Times New Roman" w:cs="Times New Roman"/>
          <w:sz w:val="24"/>
          <w:szCs w:val="24"/>
        </w:rPr>
        <w:instrText>ADDIN CSL_CITATION { "citationItems" : [ { "id" : "ITEM-1", "itemData" : { "ISSN" : "0884-5336", "PMID" : "16870803", "abstract" : "The concept of colonic health has become a major target for the development of functional foods such as probiotics, prebiotics, and synbiotics. These bioactive agents have a profound effect on the composition of the microflora, as well as on the physiology of the colon, and display distinct health benefits. Dietary carbohydrates escaping digestion/absorption in the small bowel and prebiotics undergo fermentation in the colon and give rise to short-chain fatty acids (SCFA). As the main anions of the colon and the major source of energy for colonocytes, SCFA are rapidly absorbed by nonionic diffusion mostly but also by active transport mediated by a sodium-coupled transporter, thereby fostering the absorption of sodium and water. SCFA in general and butyrate in particular enhance the growth of lactobacilli and bifidobacteria and play a central role on the physiology and metabolism of the colon. The effect of prebiotics on cell proliferation, differentiation, apoptosis, mucin production, immune function, mineral absorption, lipid metabolism, and gastrointestinal (GI) peptides has been well documented experimentally. These effects seem to be largely mediated by SCFA, but evidence from human studies remains inconsistent. The food industry is making a leap of faith in their efforts to commercialize prebiotics and exploit potential health benefits. The future lies with the design of studies to further explore basic mechanisms, and gene expression in particular, but emphasis should be placed on human intervention trials.", "author" : [ { "dropping-particle" : "", "family" : "Roy", "given" : "Claude C", "non-dropping-particle" : "", "parse-names" : false, "suffix" : "" }, { "dropping-particle" : "", "family" : "Kien", "given" : "C Lawrence", "non-dropping-particle" : "", "parse-names" : false, "suffix" : "" }, { "dropping-particle" : "", "family" : "Bouthillier", "given" : "Lise", "non-dropping-particle" : "", "parse-names" : false, "suffix" : "" }, { "dropping-particle" : "", "family" : "Levy", "given" : "Emile", "non-dropping-particle" : "", "parse-names" : false, "suffix" : "" } ], "container-title" : "Nutrition in clinical practice : official publication of the American Society for Parenteral and Enteral Nutrition", "id" : "ITEM-1", "issue" : "4", "issued" : { "date-parts" : [ [ "2006", "8" ] ] }, "page" : "351-66", "title" : "Short-chain fatty acids: ready for prime time?", "type" : "article-journal", "volume" : "21" }, "uris" : [ "http://www.mendeley.com/documents/?uuid=835e2214-cbb5-4777-a2ae-ce28a37c6594" ] } ], "mendeley" : { "formattedCitation" : "(44)", "plainTextFormattedCitation" : "(44)", "previouslyFormattedCitation" : "(44)" }, "properties" : { "noteIndex" : 0 }, "schema" : "https://github.com/citation-style-language/schema/raw/master/csl-citation.json" }</w:instrText>
      </w:r>
      <w:r w:rsidR="002936D3" w:rsidRPr="00BC779C">
        <w:rPr>
          <w:rFonts w:ascii="Times New Roman" w:hAnsi="Times New Roman" w:cs="Times New Roman"/>
          <w:sz w:val="24"/>
          <w:szCs w:val="24"/>
        </w:rPr>
        <w:fldChar w:fldCharType="separate"/>
      </w:r>
      <w:r w:rsidR="00B56BAE" w:rsidRPr="00BC779C">
        <w:rPr>
          <w:rFonts w:ascii="Times New Roman" w:hAnsi="Times New Roman" w:cs="Times New Roman"/>
          <w:noProof/>
          <w:sz w:val="24"/>
          <w:szCs w:val="24"/>
        </w:rPr>
        <w:t>(44)</w:t>
      </w:r>
      <w:r w:rsidR="002936D3"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00946C44" w:rsidRPr="00BC779C">
        <w:rPr>
          <w:rFonts w:ascii="Times New Roman" w:hAnsi="Times New Roman" w:cs="Times New Roman"/>
          <w:sz w:val="24"/>
          <w:szCs w:val="24"/>
        </w:rPr>
        <w:t xml:space="preserve"> SCFA mechanisms may also be supported by the correlation between</w:t>
      </w:r>
      <w:r w:rsidRPr="00BC779C">
        <w:rPr>
          <w:rFonts w:ascii="Times New Roman" w:hAnsi="Times New Roman" w:cs="Times New Roman"/>
          <w:sz w:val="24"/>
          <w:szCs w:val="24"/>
        </w:rPr>
        <w:t xml:space="preserve"> </w:t>
      </w:r>
      <w:r w:rsidR="00DE57E4" w:rsidRPr="00BC779C">
        <w:rPr>
          <w:rFonts w:ascii="Times New Roman" w:hAnsi="Times New Roman" w:cs="Times New Roman"/>
          <w:sz w:val="24"/>
          <w:szCs w:val="24"/>
        </w:rPr>
        <w:t xml:space="preserve">taxa in the phylum </w:t>
      </w:r>
      <w:r w:rsidR="001521EE" w:rsidRPr="00BC779C">
        <w:rPr>
          <w:rFonts w:ascii="Times New Roman" w:hAnsi="Times New Roman" w:cs="Times New Roman"/>
          <w:sz w:val="24"/>
          <w:szCs w:val="24"/>
        </w:rPr>
        <w:t xml:space="preserve">Firmicutes </w:t>
      </w:r>
      <w:r w:rsidR="00445026" w:rsidRPr="00BC779C">
        <w:rPr>
          <w:rFonts w:ascii="Times New Roman" w:hAnsi="Times New Roman" w:cs="Times New Roman"/>
          <w:sz w:val="24"/>
          <w:szCs w:val="24"/>
        </w:rPr>
        <w:t>(</w:t>
      </w:r>
      <w:r w:rsidR="001521EE" w:rsidRPr="00BC779C">
        <w:rPr>
          <w:rFonts w:ascii="Times New Roman" w:hAnsi="Times New Roman" w:cs="Times New Roman"/>
          <w:i/>
          <w:sz w:val="24"/>
          <w:szCs w:val="24"/>
        </w:rPr>
        <w:t>Clostridium</w:t>
      </w:r>
      <w:r w:rsidR="001521EE" w:rsidRPr="00BC779C">
        <w:rPr>
          <w:rFonts w:ascii="Times New Roman" w:hAnsi="Times New Roman" w:cs="Times New Roman"/>
          <w:sz w:val="24"/>
          <w:szCs w:val="24"/>
        </w:rPr>
        <w:t xml:space="preserve"> and SBM53</w:t>
      </w:r>
      <w:r w:rsidR="00445026" w:rsidRPr="00BC779C">
        <w:rPr>
          <w:rFonts w:ascii="Times New Roman" w:hAnsi="Times New Roman" w:cs="Times New Roman"/>
          <w:sz w:val="24"/>
          <w:szCs w:val="24"/>
        </w:rPr>
        <w:t>)</w:t>
      </w:r>
      <w:r w:rsidR="001521EE" w:rsidRPr="00BC779C">
        <w:rPr>
          <w:rFonts w:ascii="Times New Roman" w:hAnsi="Times New Roman" w:cs="Times New Roman"/>
          <w:sz w:val="24"/>
          <w:szCs w:val="24"/>
        </w:rPr>
        <w:t xml:space="preserve"> </w:t>
      </w:r>
      <w:r w:rsidR="00946C44" w:rsidRPr="00BC779C">
        <w:rPr>
          <w:rFonts w:ascii="Times New Roman" w:hAnsi="Times New Roman" w:cs="Times New Roman"/>
          <w:sz w:val="24"/>
          <w:szCs w:val="24"/>
        </w:rPr>
        <w:t>and</w:t>
      </w:r>
      <w:r w:rsidR="001521EE" w:rsidRPr="00BC779C">
        <w:rPr>
          <w:rFonts w:ascii="Times New Roman" w:hAnsi="Times New Roman" w:cs="Times New Roman"/>
          <w:sz w:val="24"/>
          <w:szCs w:val="24"/>
        </w:rPr>
        <w:t xml:space="preserve"> calcium absorption. </w:t>
      </w:r>
      <w:r w:rsidR="00295A1B" w:rsidRPr="00BC779C">
        <w:rPr>
          <w:rFonts w:ascii="Times New Roman" w:hAnsi="Times New Roman" w:cs="Times New Roman"/>
          <w:i/>
          <w:sz w:val="24"/>
          <w:szCs w:val="24"/>
        </w:rPr>
        <w:t>Parabacteroides</w:t>
      </w:r>
      <w:r w:rsidR="00295A1B" w:rsidRPr="00BC779C">
        <w:rPr>
          <w:rFonts w:ascii="Times New Roman" w:hAnsi="Times New Roman" w:cs="Times New Roman"/>
          <w:sz w:val="24"/>
          <w:szCs w:val="24"/>
        </w:rPr>
        <w:t xml:space="preserve"> </w:t>
      </w:r>
      <w:r w:rsidR="00445026" w:rsidRPr="00BC779C">
        <w:rPr>
          <w:rFonts w:ascii="Times New Roman" w:hAnsi="Times New Roman" w:cs="Times New Roman"/>
          <w:sz w:val="24"/>
          <w:szCs w:val="24"/>
        </w:rPr>
        <w:t>proportions were</w:t>
      </w:r>
      <w:r w:rsidR="00F026CF" w:rsidRPr="00BC779C">
        <w:rPr>
          <w:rFonts w:ascii="Times New Roman" w:hAnsi="Times New Roman" w:cs="Times New Roman"/>
          <w:sz w:val="24"/>
          <w:szCs w:val="24"/>
        </w:rPr>
        <w:t xml:space="preserve"> significantly higher with SCF</w:t>
      </w:r>
      <w:r w:rsidR="00445026" w:rsidRPr="00BC779C">
        <w:rPr>
          <w:rFonts w:ascii="Times New Roman" w:hAnsi="Times New Roman" w:cs="Times New Roman"/>
          <w:sz w:val="24"/>
          <w:szCs w:val="24"/>
        </w:rPr>
        <w:t xml:space="preserve"> but negatively</w:t>
      </w:r>
      <w:r w:rsidR="00295A1B" w:rsidRPr="00BC779C">
        <w:rPr>
          <w:rFonts w:ascii="Times New Roman" w:hAnsi="Times New Roman" w:cs="Times New Roman"/>
          <w:sz w:val="24"/>
          <w:szCs w:val="24"/>
        </w:rPr>
        <w:t xml:space="preserve"> correlat</w:t>
      </w:r>
      <w:r w:rsidR="00445026" w:rsidRPr="00BC779C">
        <w:rPr>
          <w:rFonts w:ascii="Times New Roman" w:hAnsi="Times New Roman" w:cs="Times New Roman"/>
          <w:sz w:val="24"/>
          <w:szCs w:val="24"/>
        </w:rPr>
        <w:t>ed with Ca absorption o</w:t>
      </w:r>
      <w:r w:rsidR="00295A1B" w:rsidRPr="00BC779C">
        <w:rPr>
          <w:rFonts w:ascii="Times New Roman" w:hAnsi="Times New Roman" w:cs="Times New Roman"/>
          <w:sz w:val="24"/>
          <w:szCs w:val="24"/>
        </w:rPr>
        <w:t>n the 20 g</w:t>
      </w:r>
      <w:r w:rsidR="000C0CFD" w:rsidRPr="00BC779C">
        <w:rPr>
          <w:rFonts w:ascii="Times New Roman" w:hAnsi="Times New Roman" w:cs="Times New Roman"/>
          <w:sz w:val="24"/>
          <w:szCs w:val="24"/>
        </w:rPr>
        <w:t xml:space="preserve"> fiber</w:t>
      </w:r>
      <w:r w:rsidR="00930BA6" w:rsidRPr="00BC779C">
        <w:rPr>
          <w:rFonts w:ascii="Times New Roman" w:hAnsi="Times New Roman" w:cs="Times New Roman"/>
          <w:sz w:val="24"/>
          <w:szCs w:val="24"/>
        </w:rPr>
        <w:t>/d</w:t>
      </w:r>
      <w:r w:rsidR="00295A1B" w:rsidRPr="00BC779C">
        <w:rPr>
          <w:rFonts w:ascii="Times New Roman" w:hAnsi="Times New Roman" w:cs="Times New Roman"/>
          <w:sz w:val="24"/>
          <w:szCs w:val="24"/>
        </w:rPr>
        <w:t xml:space="preserve"> </w:t>
      </w:r>
      <w:r w:rsidR="000C0CFD" w:rsidRPr="00BC779C">
        <w:rPr>
          <w:rFonts w:ascii="Times New Roman" w:hAnsi="Times New Roman" w:cs="Times New Roman"/>
          <w:sz w:val="24"/>
          <w:szCs w:val="24"/>
        </w:rPr>
        <w:t xml:space="preserve">from SCF </w:t>
      </w:r>
      <w:r w:rsidR="00D6757B" w:rsidRPr="00BC779C">
        <w:rPr>
          <w:rFonts w:ascii="Times New Roman" w:hAnsi="Times New Roman" w:cs="Times New Roman"/>
          <w:sz w:val="24"/>
          <w:szCs w:val="24"/>
        </w:rPr>
        <w:t>intervention</w:t>
      </w:r>
      <w:r w:rsidR="00295A1B" w:rsidRPr="00BC779C">
        <w:rPr>
          <w:rFonts w:ascii="Times New Roman" w:hAnsi="Times New Roman" w:cs="Times New Roman"/>
          <w:sz w:val="24"/>
          <w:szCs w:val="24"/>
        </w:rPr>
        <w:t xml:space="preserve">. </w:t>
      </w:r>
      <w:r w:rsidR="00366EAB" w:rsidRPr="00BC779C">
        <w:rPr>
          <w:rFonts w:ascii="Times New Roman" w:hAnsi="Times New Roman" w:cs="Times New Roman"/>
          <w:sz w:val="24"/>
          <w:szCs w:val="24"/>
        </w:rPr>
        <w:t>It i</w:t>
      </w:r>
      <w:r w:rsidR="00445026" w:rsidRPr="00BC779C">
        <w:rPr>
          <w:rFonts w:ascii="Times New Roman" w:hAnsi="Times New Roman" w:cs="Times New Roman"/>
          <w:sz w:val="24"/>
          <w:szCs w:val="24"/>
        </w:rPr>
        <w:t>s possible that cross feeding was</w:t>
      </w:r>
      <w:r w:rsidR="00366EAB" w:rsidRPr="00BC779C">
        <w:rPr>
          <w:rFonts w:ascii="Times New Roman" w:hAnsi="Times New Roman" w:cs="Times New Roman"/>
          <w:sz w:val="24"/>
          <w:szCs w:val="24"/>
        </w:rPr>
        <w:t xml:space="preserve"> occurring in which </w:t>
      </w:r>
      <w:r w:rsidR="00E17CCB" w:rsidRPr="00BC779C">
        <w:rPr>
          <w:rFonts w:ascii="Times New Roman" w:hAnsi="Times New Roman" w:cs="Times New Roman"/>
          <w:sz w:val="24"/>
          <w:szCs w:val="24"/>
        </w:rPr>
        <w:t xml:space="preserve">the </w:t>
      </w:r>
      <w:r w:rsidR="00366EAB" w:rsidRPr="00BC779C">
        <w:rPr>
          <w:rFonts w:ascii="Times New Roman" w:hAnsi="Times New Roman" w:cs="Times New Roman"/>
          <w:sz w:val="24"/>
          <w:szCs w:val="24"/>
        </w:rPr>
        <w:t>Bacteroidetes</w:t>
      </w:r>
      <w:r w:rsidR="00B04FC1" w:rsidRPr="00BC779C">
        <w:rPr>
          <w:rFonts w:ascii="Times New Roman" w:hAnsi="Times New Roman" w:cs="Times New Roman"/>
          <w:sz w:val="24"/>
          <w:szCs w:val="24"/>
        </w:rPr>
        <w:t xml:space="preserve"> ferment starches to acetate or lactate a</w:t>
      </w:r>
      <w:r w:rsidR="00445026" w:rsidRPr="00BC779C">
        <w:rPr>
          <w:rFonts w:ascii="Times New Roman" w:hAnsi="Times New Roman" w:cs="Times New Roman"/>
          <w:sz w:val="24"/>
          <w:szCs w:val="24"/>
        </w:rPr>
        <w:t>nd members of the Firmicutes</w:t>
      </w:r>
      <w:r w:rsidR="00B04FC1" w:rsidRPr="00BC779C">
        <w:rPr>
          <w:rFonts w:ascii="Times New Roman" w:hAnsi="Times New Roman" w:cs="Times New Roman"/>
          <w:sz w:val="24"/>
          <w:szCs w:val="24"/>
        </w:rPr>
        <w:t xml:space="preserve"> continue fermentation </w:t>
      </w:r>
      <w:r w:rsidR="00D83B51" w:rsidRPr="00BC779C">
        <w:rPr>
          <w:rFonts w:ascii="Times New Roman" w:hAnsi="Times New Roman" w:cs="Times New Roman"/>
          <w:sz w:val="24"/>
          <w:szCs w:val="24"/>
        </w:rPr>
        <w:t xml:space="preserve">of these substrates to butyrate </w:t>
      </w:r>
      <w:r w:rsidR="00400ED3" w:rsidRPr="00BC779C">
        <w:rPr>
          <w:rFonts w:ascii="Times New Roman" w:hAnsi="Times New Roman" w:cs="Times New Roman"/>
          <w:sz w:val="24"/>
          <w:szCs w:val="24"/>
        </w:rPr>
        <w:fldChar w:fldCharType="begin" w:fldLock="1"/>
      </w:r>
      <w:r w:rsidR="00B56BAE" w:rsidRPr="00BC779C">
        <w:rPr>
          <w:rFonts w:ascii="Times New Roman" w:hAnsi="Times New Roman" w:cs="Times New Roman"/>
          <w:sz w:val="24"/>
          <w:szCs w:val="24"/>
        </w:rPr>
        <w:instrText>ADDIN CSL_CITATION { "citationItems" : [ { "id" : "ITEM-1", "itemData" : { "author" : [ { "dropping-particle" : "", "family" : "Keenan", "given" : "MJ", "non-dropping-particle" : "", "parse-names" : false, "suffix" : "" }, { "dropping-particle" : "", "family" : "Zhou", "given" : "J", "non-dropping-particle" : "", "parse-names" : false, "suffix" : "" }, { "dropping-particle" : "", "family" : "Senevirathne", "given" : "R", "non-dropping-particle" : "", "parse-names" : false, "suffix" : "" }, { "dropping-particle" : "", "family" : "Janes", "given" : "M", "non-dropping-particle" : "", "parse-names" : false, "suffix" : "" }, { "dropping-particle" : "", "family" : "Martin", "given" : "RJ", "non-dropping-particle" : "", "parse-names" : false, "suffix" : "" } ], "container-title" : "Nondigestible carbohydrates and digestive health", "editor" : [ { "dropping-particle" : "", "family" : "Paeschke", "given" : "TM", "non-dropping-particle" : "", "parse-names" : false, "suffix" : "" }, { "dropping-particle" : "", "family" : "Aimutis", "given" : "WR", "non-dropping-particle" : "", "parse-names" : false, "suffix" : "" } ], "id" : "ITEM-1", "issued" : { "date-parts" : [ [ "2010" ] ] }, "page" : "352", "publisher" : "Wiley-Blackwell", "title" : "Lower gut hormones and health effects associated with consumption of fermentable fibers", "type" : "chapter" }, "uris" : [ "http://www.mendeley.com/documents/?uuid=df3dafda-f030-4ef8-b0fd-99388727d336" ] } ], "mendeley" : { "formattedCitation" : "(45)", "plainTextFormattedCitation" : "(45)", "previouslyFormattedCitation" : "(45)" }, "properties" : { "noteIndex" : 0 }, "schema" : "https://github.com/citation-style-language/schema/raw/master/csl-citation.json" }</w:instrText>
      </w:r>
      <w:r w:rsidR="00400ED3" w:rsidRPr="00BC779C">
        <w:rPr>
          <w:rFonts w:ascii="Times New Roman" w:hAnsi="Times New Roman" w:cs="Times New Roman"/>
          <w:sz w:val="24"/>
          <w:szCs w:val="24"/>
        </w:rPr>
        <w:fldChar w:fldCharType="separate"/>
      </w:r>
      <w:r w:rsidR="00B56BAE" w:rsidRPr="00BC779C">
        <w:rPr>
          <w:rFonts w:ascii="Times New Roman" w:hAnsi="Times New Roman" w:cs="Times New Roman"/>
          <w:noProof/>
          <w:sz w:val="24"/>
          <w:szCs w:val="24"/>
        </w:rPr>
        <w:t>(45)</w:t>
      </w:r>
      <w:r w:rsidR="00400ED3"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p>
    <w:p w14:paraId="3957131E" w14:textId="798C6655" w:rsidR="00313212" w:rsidRPr="00BC779C" w:rsidRDefault="00313212" w:rsidP="00D12A80">
      <w:pPr>
        <w:spacing w:after="100" w:afterAutospacing="1" w:line="480" w:lineRule="auto"/>
        <w:ind w:firstLine="360"/>
        <w:rPr>
          <w:rFonts w:ascii="Times New Roman" w:hAnsi="Times New Roman" w:cs="Times New Roman"/>
          <w:sz w:val="24"/>
          <w:szCs w:val="24"/>
        </w:rPr>
      </w:pPr>
      <w:r w:rsidRPr="00BC779C">
        <w:rPr>
          <w:rFonts w:ascii="Times New Roman" w:hAnsi="Times New Roman" w:cs="Times New Roman"/>
          <w:sz w:val="24"/>
          <w:szCs w:val="24"/>
        </w:rPr>
        <w:t>Our previous study</w:t>
      </w:r>
      <w:r w:rsidR="00D83B51" w:rsidRPr="00BC779C">
        <w:rPr>
          <w:rFonts w:ascii="Times New Roman" w:hAnsi="Times New Roman" w:cs="Times New Roman"/>
          <w:sz w:val="24"/>
          <w:szCs w:val="24"/>
        </w:rPr>
        <w:t xml:space="preserve"> </w:t>
      </w:r>
      <w:r w:rsidR="00D10B55"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"10.1017/S0007114514000981", "ISSN" : "1475-2662", "PMID" : "24848974", "abstract" : "Soluble maize fibre (SCF) has been found to significantly improve bone mineral density and strength in growing rats compared with several other novel prebiotic fibres. The objective of the present study was to investigate the effect of SCF on Ca absorption and retention in pubertal children by studying the potential absorption mechanisms of the intestinal microbiota. A total of twenty-four adolescent boys and girls (12-15 years) participated in two 3-week metabolic balance studies testing 0 g/d SCF (control (CON) treatment) and 12 g/d SCF (SCF treatment) in a random order by inclusion in a low-Ca diet (600 mg/d). Fractional Ca absorption was measured at the end of the two intervention periods using a dual-stable isotope method. Diet composites and faecal and urine samples were collected daily and analysed for Ca content. Ca retention was calculated as dietary Ca intake minus Ca excretion in faeces and urine over the last 2 weeks. Microbial community composition in the faecal samples collected at the beginning and end of each session was determined by 454 pyrosequencing of the PCR-amplified 16S ribosomal RNA gene. Fractional Ca absorption was 12 % higher (41 mg/d) after the SCF treatment compared with that after the CON treatment (0\u00b7664 (sd 0\u00b7129) and 0\u00b7595 (sd 0\u00b7142), respectively; P= 0\u00b702), but Ca retention was unaffected. The average proportion of bacteria of the phylum Bacteroidetes was significantly greater in the participants after the SCF treatment than after the CON treatment. These results suggest that moderate daily intake of SCF, a well-tolerated prebiotic fibre, increases short-term Ca absorption in adolescents consuming less than the recommended amounts of Ca.", "author" : [ { "dropping-particle" : "", "family" : "Whisner", "given" : "Corrie M", "non-dropping-particle" : "", "parse-names" : false, "suffix" : "" }, { "dropping-particle" : "", "family" : "Martin", "given" : "Berdine R", "non-dropping-particle" : "", "parse-names" : false, "suffix" : "" }, { "dropping-particle" : "", "family" : "Nakatsu", "given" : "Cindy H", "non-dropping-particle" : "", "parse-names" : false, "suffix" : "" }, { "dropping-particle" : "", "family" : "McCabe", "given" : "George P", "non-dropping-particle" : "", "parse-names" : false, "suffix" : "" }, { "dropping-particle" : "", "family" : "McCabe", "given" : "Linda D", "non-dropping-particle" : "", "parse-names" : false, "suffix" : "" }, { "dropping-particle" : "", "family" : "Peacock", "given" : "Munro", "non-dropping-particle" : "", "parse-names" : false, "suffix" : "" }, { "dropping-particle" : "", "family" : "Weaver", "given" : "Connie M", "non-dropping-particle" : "", "parse-names" : false, "suffix" : "" } ], "container-title" : "The British journal of nutrition", "id" : "ITEM-1", "issue" : "3", "issued" : { "date-parts" : [ [ "2014", "8" ] ] }, "page" : "446-56", "title" : "Soluble maize fibre affects short-term calcium absorption in adolescent boys and girls: a randomised controlled trial using dual stable isotopic tracers", "type" : "article-journal", "volume" : "112" }, "uris" : [ "http://www.mendeley.com/documents/?uuid=8745de69-6a21-4f5e-ad5e-057128c87b73" ] } ], "mendeley" : { "formattedCitation" : "(9)", "plainTextFormattedCitation" : "(9)", "previouslyFormattedCitation" : "(9)" }, "properties" : { "noteIndex" : 0 }, "schema" : "https://github.com/citation-style-language/schema/raw/master/csl-citation.json" }</w:instrText>
      </w:r>
      <w:r w:rsidR="00D10B55" w:rsidRPr="00BC779C">
        <w:rPr>
          <w:rFonts w:ascii="Times New Roman" w:hAnsi="Times New Roman" w:cs="Times New Roman"/>
          <w:sz w:val="24"/>
          <w:szCs w:val="24"/>
        </w:rPr>
        <w:fldChar w:fldCharType="separate"/>
      </w:r>
      <w:r w:rsidR="00D83B51" w:rsidRPr="00BC779C">
        <w:rPr>
          <w:rFonts w:ascii="Times New Roman" w:hAnsi="Times New Roman" w:cs="Times New Roman"/>
          <w:noProof/>
          <w:sz w:val="24"/>
          <w:szCs w:val="24"/>
        </w:rPr>
        <w:t>(9)</w:t>
      </w:r>
      <w:r w:rsidR="00D10B55" w:rsidRPr="00BC779C">
        <w:rPr>
          <w:rFonts w:ascii="Times New Roman" w:hAnsi="Times New Roman" w:cs="Times New Roman"/>
          <w:sz w:val="24"/>
          <w:szCs w:val="24"/>
        </w:rPr>
        <w:fldChar w:fldCharType="end"/>
      </w:r>
      <w:r w:rsidRPr="00BC779C">
        <w:rPr>
          <w:rFonts w:ascii="Times New Roman" w:hAnsi="Times New Roman" w:cs="Times New Roman"/>
          <w:sz w:val="24"/>
          <w:szCs w:val="24"/>
        </w:rPr>
        <w:t xml:space="preserve"> and those of others</w:t>
      </w:r>
      <w:r w:rsidR="00D83B51" w:rsidRPr="00BC779C">
        <w:rPr>
          <w:rFonts w:ascii="Times New Roman" w:hAnsi="Times New Roman" w:cs="Times New Roman"/>
          <w:sz w:val="24"/>
          <w:szCs w:val="24"/>
        </w:rPr>
        <w:t xml:space="preserve"> </w:t>
      </w:r>
      <w:r w:rsidR="00D10B55" w:rsidRPr="00BC779C">
        <w:rPr>
          <w:rFonts w:ascii="Times New Roman" w:hAnsi="Times New Roman" w:cs="Times New Roman"/>
          <w:sz w:val="24"/>
          <w:szCs w:val="24"/>
        </w:rPr>
        <w:fldChar w:fldCharType="begin" w:fldLock="1"/>
      </w:r>
      <w:r w:rsidR="003C0594" w:rsidRPr="00BC779C">
        <w:rPr>
          <w:rFonts w:ascii="Times New Roman" w:hAnsi="Times New Roman" w:cs="Times New Roman"/>
          <w:sz w:val="24"/>
          <w:szCs w:val="24"/>
        </w:rPr>
        <w:instrText>ADDIN CSL_CITATION { "citationItems" : [ { "id" : "ITEM-1", "itemData" : { "DOI" : "10.1038/ismej.2010.118", "ISSN" : "1751-7370", "PMID" : "20686513", "abstract" : "The populations of dominant species within the human colonic microbiota can potentially be modified by dietary intake with consequences for health. Here we examined the influence of precisely controlled diets in 14 overweight men. Volunteers were provided successively with a control diet, diets high in resistant starch (RS) or non-starch polysaccharides (NSPs) and a reduced carbohydrate weight loss (WL) diet, over 10 weeks. Analysis of 16S rRNA sequences in stool samples of six volunteers detected 320 phylotypes (defined at &gt;98% identity) of which 26, including 19 cultured species, each accounted for &gt;1% of sequences. Although samples clustered more strongly by individual than by diet, time courses obtained by targeted qPCR revealed that 'blooms' in specific bacterial groups occurred rapidly after a dietary change. These were rapidly reversed by the subsequent diet. Relatives of Ruminococcus bromii (R-ruminococci) increased in most volunteers on the RS diet, accounting for a mean of 17% of total bacteria compared with 3.8% on the NSP diet, whereas the uncultured Oscillibacter group increased on the RS and WL diets. Relatives of Eubacterium rectale increased on RS (to mean 10.1%) but decreased, along with Collinsella aerofaciens, on WL. Inter-individual variation was marked, however, with &gt;60% of RS remaining unfermented in two volunteers on the RS diet, compared to &lt;4% in the other 12 volunteers; these two individuals also showed low numbers of R-ruminococci (&lt;1%). Dietary non-digestible carbohydrate can produce marked changes in the gut microbiota, but these depend on the initial composition of an individual's gut microbiota.", "author" : [ { "dropping-particle" : "", "family" : "Walker", "given" : "Alan W", "non-dropping-particle" : "", "parse-names" : false, "suffix" : "" }, { "dropping-particle" : "", "family" : "Ince", "given" : "Jennifer", "non-dropping-particle" : "", "parse-names" : false, "suffix" : "" }, { "dropping-particle" : "", "family" : "Duncan", "given" : "Sylvia H", "non-dropping-particle" : "", "parse-names" : false, "suffix" : "" }, { "dropping-particle" : "", "family" : "Webster", "given" : "Lucy M", "non-dropping-particle" : "", "parse-names" : false, "suffix" : "" }, { "dropping-particle" : "", "family" : "Holtrop", "given" : "Grietje", "non-dropping-particle" : "", "parse-names" : false, "suffix" : "" }, { "dropping-particle" : "", "family" : "Ze", "given" : "Xiaolei", "non-dropping-particle" : "", "parse-names" : false, "suffix" : "" }, { "dropping-particle" : "", "family" : "Brown", "given" : "David", "non-dropping-particle" : "", "parse-names" : false, "suffix" : "" }, { "dropping-particle" : "", "family" : "Stares", "given" : "Mark D", "non-dropping-particle" : "", "parse-names" : false, "suffix" : "" }, { "dropping-particle" : "", "family" : "Scott", "given" : "Paul", "non-dropping-particle" : "", "parse-names" : false, "suffix" : "" }, { "dropping-particle" : "", "family" : "Bergerat", "given" : "Aurore", "non-dropping-particle" : "", "parse-names" : false, "suffix" : "" }, { "dropping-particle" : "", "family" : "Louis", "given" : "Petra", "non-dropping-particle" : "", "parse-names" : false, "suffix" : "" }, { "dropping-particle" : "", "family" : "McIntosh", "given" : "Freda", "non-dropping-particle" : "", "parse-names" : false, "suffix" : "" }, { "dropping-particle" : "", "family" : "Johnstone", "given" : "Alexandra M", "non-dropping-particle" : "", "parse-names" : false, "suffix" : "" }, { "dropping-particle" : "", "family" : "Lobley", "given" : "Gerald E", "non-dropping-particle" : "", "parse-names" : false, "suffix" : "" }, { "dropping-particle" : "", "family" : "Parkhill", "given" : "Julian", "non-dropping-particle" : "", "parse-names" : false, "suffix" : "" }, { "dropping-particle" : "", "family" : "Flint", "given" : "Harry J", "non-dropping-particle" : "", "parse-names" : false, "suffix" : "" } ], "container-title" : "The ISME journal", "id" : "ITEM-1", "issue" : "2", "issued" : { "date-parts" : [ [ "2011", "2" ] ] }, "page" : "220-30", "title" : "Dominant and diet-responsive groups of bacteria within the human colonic microbiota", "type" : "article-journal", "volume" : "5" }, "uris" : [ "http://www.mendeley.com/documents/?uuid=93e79ad9-b59f-4285-ab9e-4ece873120c3" ] }, { "id" : "ITEM-2", "itemData" : { "DOI" : "10.1371/journal.pone.0015046", "ISSN" : "1932-6203", "PMID" : "21151493", "abstract" : "BACKGROUND: To systematically develop dietary strategies based on resistant starch (RS) that modulate the human gut microbiome, detailed in vivo studies that evaluate the effects of different forms of RS on the community structure and population dynamics of the gut microbiota are necessary. The aim of the present study was to gain a community wide perspective of the effects of RS types 2 (RS2) and 4 (RS4) on the fecal microbiota in human individuals. METHODS AND FINDINGS: Ten human subjects consumed crackers for three weeks each containing either RS2, RS4, or native starch in a double-blind, crossover design. Multiplex sequencing of 16S rRNA tags revealed that both types of RS induced several significant compositional alterations in the fecal microbial populations, with differential effects on community structure. RS4 but not RS2 induced phylum-level changes, significantly increasing Actinobacteria and Bacteroidetes while decreasing Firmicutes. At the species level, the changes evoked by RS4 were increases in Bifidobacterium adolescentis and Parabacteroides distasonis, while RS2 significantly raised the proportions of Ruminococcus bromii and Eubacterium rectale when compared to RS4. The population shifts caused by RS4 were numerically substantial for several taxa, leading for example, to a ten-fold increase in bifidobacteria in three of the subjects, enriching them to 18-30% of the fecal microbial community. The responses to RS and their magnitudes varied between individuals, and they were reversible and tightly associated with the consumption of RS. CONCLUSION: Our results demonstrate that RS2 and RS4 show functional differences in their effect on human fecal microbiota composition, indicating that the chemical structure of RS determines its accessibility by groups of colonic bacteria. The findings imply that specific bacterial populations could be selectively targeted by well designed functional carbohydrates, but the inter-subject variations in the response to RS indicates that such strategies might benefit from more personalized approaches.", "author" : [ { "dropping-particle" : "", "family" : "Mart\u00ednez", "given" : "In\u00e9s", "non-dropping-particle" : "", "parse-names" : false, "suffix" : "" }, { "dropping-particle" : "", "family" : "Kim", "given" : "Jaehyoung", "non-dropping-particle" : "", "parse-names" : false, "suffix" : "" }, { "dropping-particle" : "", "family" : "Duffy", "given" : "Patrick R.", "non-dropping-particle" : "", "parse-names" : false, "suffix" : "" }, { "dropping-particle" : "", "family" : "Schlegel", "given" : "Vicki L.", "non-dropping-particle" : "", "parse-names" : false, "suffix" : "" }, { "dropping-particle" : "", "family" : "Walter", "given" : "Jens", "non-dropping-particle" : "", "parse-names" : false, "suffix" : "" } ], "container-title" : "PLoS ONE", "editor" : [ { "dropping-particle" : "", "family" : "Heimesaat", "given" : "Markus M.", "non-dropping-particle" : "", "parse-names" : false, "suffix" : "" } ], "id" : "ITEM-2", "issue" : "11", "issued" : { "date-parts" : [ [ "2010", "11", "29" ] ] }, "page" : "e15046", "title" : "Resistant starches types 2 and 4 have differential effects on the composition of the fecal microbiota in human subjects", "type" : "article-journal", "volume" : "5" }, "uris" : [ "http://www.mendeley.com/documents/?uuid=d3586331-7f23-4732-89de-6963d1a14653" ] }, { "id" : "ITEM-3", "itemData" : { "DOI" : "10.3945/jn.112.158766", "ISSN" : "1541-6100", "PMID" : "22649263", "abstract" : "The relative contribution of novel fibers such as polydextrose and soluble corn fiber (SCF) to the human gut microbiome and its association with host physiology has not been well studied. This study was conducted to test the impact of polydextrose and SCF on the composition of the human gut microbiota using 454 pyrosequencing and to identify associations among fecal microbiota and fermentative end-products. Healthy adult men (n = 20) with a mean dietary fiber (DF) intake of 14 g/d were enrolled in a randomized, double-blind, placebo-controlled crossover study. Participants consumed 3 treatment snack bars/d during each 21-d period that contained no supplemental fiber (NFC), polydextrose (PDX; 21 g/d), or SCF (21 g/d) for 21 d. There were no washout periods. Fecal samples were collected on d 16-21 of each period; DNA was extracted, followed by amplification of the V4-V6 region of the 16S rRNA gene using barcoded primers. PDX and SCF significantly affected the relative abundance of bacteria at the class, genus, and species level. The consumption of PDX and SCF led to greater fecal Clostridiaceae and Veillonellaceae and lower Eubacteriaceae compared with a NFC. The abundance of Faecalibacterium, Phascolarctobacterium, and Dialister was greater (P &lt; 0.05) in response to PDX and SCF intake, whereas Lactobacillus was greater (P &lt; 0.05) only after SCF intake. Faecalibacterium prausnitzii, well known for its antiinflammatory properties, was greater (P &lt; 0.05) after fiber consumption. Principal component analysis clearly indicated a distinct clustering of individuals consuming supplemental fibers. Our data demonstrate a beneficial shift in the gut microbiome of adults consuming PDX and SCF, with potential application as prebiotics.", "author" : [ { "dropping-particle" : "", "family" : "Hooda", "given" : "Seema", "non-dropping-particle" : "", "parse-names" : false, "suffix" : "" }, { "dropping-particle" : "", "family" : "Boler", "given" : "Brittany M Vester", "non-dropping-particle" : "", "parse-names" : false, "suffix" : "" }, { "dropping-particle" : "", "family" : "Serao", "given" : "Mariana C Rossoni", "non-dropping-particle" : "", "parse-names" : false, "suffix" : "" }, { "dropping-particle" : "", "family" : "Brulc", "given" : "Jennifer M", "non-dropping-particle" : "", "parse-names" : false, "suffix" : "" }, { "dropping-particle" : "", "family" : "Staeger", "given" : "Michael A", "non-dropping-particle" : "", "parse-names" : false, "suffix" : "" }, { "dropping-particle" : "", "family" : "Boileau", "given" : "Thomas W", "non-dropping-particle" : "", "parse-names" : false, "suffix" : "" }, { "dropping-particle" : "", "family" : "Dowd", "given" : "Scot E", "non-dropping-particle" : "", "parse-names" : false, "suffix" : "" }, { "dropping-particle" : "", "family" : "Fahey", "given" : "George C", "non-dropping-particle" : "", "parse-names" : false, "suffix" : "" }, { "dropping-particle" : "", "family" : "Swanson", "given" : "Kelly S", "non-dropping-particle" : "", "parse-names" : false, "suffix" : "" } ], "container-title" : "The Journal of nutrition", "id" : "ITEM-3", "issue" : "7", "issued" : { "date-parts" : [ [ "2012", "7" ] ] }, "page" : "1259-65", "title" : "454 pyrosequencing reveals a shift in fecal microbiota of healthy adult men consuming polydextrose or soluble corn fiber", "type" : "article-journal", "volume" : "142" }, "uris" : [ "http://www.mendeley.com/documents/?uuid=82add2be-0e50-4fbd-94c7-45eb1d27a3d9" ] } ], "mendeley" : { "formattedCitation" : "(35,46,47)", "plainTextFormattedCitation" : "(35,46,47)", "previouslyFormattedCitation" : "(35,46,47)" }, "properties" : { "noteIndex" : 0 }, "schema" : "https://github.com/citation-style-language/schema/raw/master/csl-citation.json" }</w:instrText>
      </w:r>
      <w:r w:rsidR="00D10B55" w:rsidRPr="00BC779C">
        <w:rPr>
          <w:rFonts w:ascii="Times New Roman" w:hAnsi="Times New Roman" w:cs="Times New Roman"/>
          <w:sz w:val="24"/>
          <w:szCs w:val="24"/>
        </w:rPr>
        <w:fldChar w:fldCharType="separate"/>
      </w:r>
      <w:r w:rsidR="00B56BAE" w:rsidRPr="00BC779C">
        <w:rPr>
          <w:rFonts w:ascii="Times New Roman" w:hAnsi="Times New Roman" w:cs="Times New Roman"/>
          <w:noProof/>
          <w:sz w:val="24"/>
          <w:szCs w:val="24"/>
        </w:rPr>
        <w:t>(35,46,47)</w:t>
      </w:r>
      <w:r w:rsidR="00D10B55" w:rsidRPr="00BC779C">
        <w:rPr>
          <w:rFonts w:ascii="Times New Roman" w:hAnsi="Times New Roman" w:cs="Times New Roman"/>
          <w:sz w:val="24"/>
          <w:szCs w:val="24"/>
        </w:rPr>
        <w:fldChar w:fldCharType="end"/>
      </w:r>
      <w:r w:rsidRPr="00BC779C">
        <w:rPr>
          <w:rFonts w:ascii="Times New Roman" w:hAnsi="Times New Roman" w:cs="Times New Roman"/>
          <w:sz w:val="24"/>
          <w:szCs w:val="24"/>
        </w:rPr>
        <w:t xml:space="preserve"> have had difficulty in distinguishing the effect of diet over </w:t>
      </w:r>
      <w:r w:rsidR="004645E6" w:rsidRPr="00BC779C">
        <w:rPr>
          <w:rFonts w:ascii="Times New Roman" w:hAnsi="Times New Roman" w:cs="Times New Roman"/>
          <w:sz w:val="24"/>
          <w:szCs w:val="24"/>
        </w:rPr>
        <w:t xml:space="preserve">inherent subject </w:t>
      </w:r>
      <w:r w:rsidRPr="00BC779C">
        <w:rPr>
          <w:rFonts w:ascii="Times New Roman" w:hAnsi="Times New Roman" w:cs="Times New Roman"/>
          <w:sz w:val="24"/>
          <w:szCs w:val="24"/>
        </w:rPr>
        <w:t xml:space="preserve">differences because of </w:t>
      </w:r>
      <w:r w:rsidR="004645E6" w:rsidRPr="00BC779C">
        <w:rPr>
          <w:rFonts w:ascii="Times New Roman" w:hAnsi="Times New Roman" w:cs="Times New Roman"/>
          <w:sz w:val="24"/>
          <w:szCs w:val="24"/>
        </w:rPr>
        <w:t xml:space="preserve">the </w:t>
      </w:r>
      <w:r w:rsidRPr="00BC779C">
        <w:rPr>
          <w:rFonts w:ascii="Times New Roman" w:hAnsi="Times New Roman" w:cs="Times New Roman"/>
          <w:sz w:val="24"/>
          <w:szCs w:val="24"/>
        </w:rPr>
        <w:t>natural</w:t>
      </w:r>
      <w:r w:rsidR="00F559CE" w:rsidRPr="00BC779C">
        <w:rPr>
          <w:rFonts w:ascii="Times New Roman" w:hAnsi="Times New Roman" w:cs="Times New Roman"/>
          <w:sz w:val="24"/>
          <w:szCs w:val="24"/>
        </w:rPr>
        <w:t>ly</w:t>
      </w:r>
      <w:r w:rsidRPr="00BC779C">
        <w:rPr>
          <w:rFonts w:ascii="Times New Roman" w:hAnsi="Times New Roman" w:cs="Times New Roman"/>
          <w:sz w:val="24"/>
          <w:szCs w:val="24"/>
        </w:rPr>
        <w:t xml:space="preserve"> high variation in human gut microbiota composition. </w:t>
      </w:r>
      <w:r w:rsidR="004645E6" w:rsidRPr="00BC779C">
        <w:rPr>
          <w:rFonts w:ascii="Times New Roman" w:hAnsi="Times New Roman" w:cs="Times New Roman"/>
          <w:sz w:val="24"/>
          <w:szCs w:val="24"/>
        </w:rPr>
        <w:t>In our previous study we found that gender and race contributed significantly to differences in the gut microbial communities in human adolescents</w:t>
      </w:r>
      <w:r w:rsidR="00D83B51" w:rsidRPr="00BC779C">
        <w:rPr>
          <w:rFonts w:ascii="Times New Roman" w:hAnsi="Times New Roman" w:cs="Times New Roman"/>
          <w:sz w:val="24"/>
          <w:szCs w:val="24"/>
        </w:rPr>
        <w:t xml:space="preserve"> </w:t>
      </w:r>
      <w:r w:rsidR="004645E6" w:rsidRPr="00BC779C">
        <w:rPr>
          <w:rFonts w:ascii="Times New Roman" w:hAnsi="Times New Roman" w:cs="Times New Roman"/>
          <w:sz w:val="24"/>
          <w:szCs w:val="24"/>
        </w:rPr>
        <w:fldChar w:fldCharType="begin" w:fldLock="1"/>
      </w:r>
      <w:r w:rsidR="00B56BAE" w:rsidRPr="00BC779C">
        <w:rPr>
          <w:rFonts w:ascii="Times New Roman" w:hAnsi="Times New Roman" w:cs="Times New Roman"/>
          <w:sz w:val="24"/>
          <w:szCs w:val="24"/>
        </w:rPr>
        <w:instrText>ADDIN CSL_CITATION { "citationItems" : [ { "id" : "ITEM-1", "itemData" : { "author" : [ { "dropping-particle" : "", "family" : "Clavijo-Gutierrez", "given" : "AP", "non-dropping-particle" : "", "parse-names" : false, "suffix" : "" } ], "id" : "ITEM-1", "issued" : { "date-parts" : [ [ "2013" ] ] }, "publisher" : "Purdue University", "title" : "Response of human gut microbiota to diet supplementation with soy or soluble corn fiber", "type" : "thesis" }, "uris" : [ "http://www.mendeley.com/documents/?uuid=29c107da-aa69-49cd-af74-9556d77a1134" ] } ], "mendeley" : { "formattedCitation" : "(48)", "plainTextFormattedCitation" : "(48)", "previouslyFormattedCitation" : "(48)" }, "properties" : { "noteIndex" : 0 }, "schema" : "https://github.com/citation-style-language/schema/raw/master/csl-citation.json" }</w:instrText>
      </w:r>
      <w:r w:rsidR="004645E6" w:rsidRPr="00BC779C">
        <w:rPr>
          <w:rFonts w:ascii="Times New Roman" w:hAnsi="Times New Roman" w:cs="Times New Roman"/>
          <w:sz w:val="24"/>
          <w:szCs w:val="24"/>
        </w:rPr>
        <w:fldChar w:fldCharType="separate"/>
      </w:r>
      <w:r w:rsidR="00B56BAE" w:rsidRPr="00BC779C">
        <w:rPr>
          <w:rFonts w:ascii="Times New Roman" w:hAnsi="Times New Roman" w:cs="Times New Roman"/>
          <w:noProof/>
          <w:sz w:val="24"/>
          <w:szCs w:val="24"/>
        </w:rPr>
        <w:t>(48)</w:t>
      </w:r>
      <w:r w:rsidR="004645E6" w:rsidRPr="00BC779C">
        <w:rPr>
          <w:rFonts w:ascii="Times New Roman" w:hAnsi="Times New Roman" w:cs="Times New Roman"/>
          <w:sz w:val="24"/>
          <w:szCs w:val="24"/>
        </w:rPr>
        <w:fldChar w:fldCharType="end"/>
      </w:r>
      <w:r w:rsidR="00D83B51" w:rsidRPr="00BC779C">
        <w:rPr>
          <w:rFonts w:ascii="Times New Roman" w:hAnsi="Times New Roman" w:cs="Times New Roman"/>
          <w:sz w:val="24"/>
          <w:szCs w:val="24"/>
        </w:rPr>
        <w:t>.</w:t>
      </w:r>
      <w:r w:rsidR="004645E6" w:rsidRPr="00BC779C">
        <w:rPr>
          <w:rFonts w:ascii="Times New Roman" w:hAnsi="Times New Roman" w:cs="Times New Roman"/>
          <w:sz w:val="24"/>
          <w:szCs w:val="24"/>
        </w:rPr>
        <w:t xml:space="preserve"> Some of this natural variation was reduced in this study by</w:t>
      </w:r>
      <w:r w:rsidRPr="00BC779C">
        <w:rPr>
          <w:rFonts w:ascii="Times New Roman" w:hAnsi="Times New Roman" w:cs="Times New Roman"/>
          <w:sz w:val="24"/>
          <w:szCs w:val="24"/>
        </w:rPr>
        <w:t xml:space="preserve"> us</w:t>
      </w:r>
      <w:r w:rsidR="00D02267" w:rsidRPr="00BC779C">
        <w:rPr>
          <w:rFonts w:ascii="Times New Roman" w:hAnsi="Times New Roman" w:cs="Times New Roman"/>
          <w:sz w:val="24"/>
          <w:szCs w:val="24"/>
        </w:rPr>
        <w:t>ing subjects of the same gender,</w:t>
      </w:r>
      <w:r w:rsidRPr="00BC779C">
        <w:rPr>
          <w:rFonts w:ascii="Times New Roman" w:hAnsi="Times New Roman" w:cs="Times New Roman"/>
          <w:sz w:val="24"/>
          <w:szCs w:val="24"/>
        </w:rPr>
        <w:t xml:space="preserve"> race</w:t>
      </w:r>
      <w:r w:rsidR="00D02267" w:rsidRPr="00BC779C">
        <w:rPr>
          <w:rFonts w:ascii="Times New Roman" w:hAnsi="Times New Roman" w:cs="Times New Roman"/>
          <w:sz w:val="24"/>
          <w:szCs w:val="24"/>
        </w:rPr>
        <w:t xml:space="preserve"> and age</w:t>
      </w:r>
      <w:r w:rsidRPr="00BC779C">
        <w:rPr>
          <w:rFonts w:ascii="Times New Roman" w:hAnsi="Times New Roman" w:cs="Times New Roman"/>
          <w:sz w:val="24"/>
          <w:szCs w:val="24"/>
        </w:rPr>
        <w:t xml:space="preserve">. </w:t>
      </w:r>
      <w:r w:rsidR="006503C8" w:rsidRPr="00BC779C">
        <w:rPr>
          <w:rFonts w:ascii="Times New Roman" w:hAnsi="Times New Roman" w:cs="Times New Roman"/>
          <w:sz w:val="24"/>
          <w:szCs w:val="24"/>
        </w:rPr>
        <w:t xml:space="preserve">Technical factors that may have contributed to differences in results of our two studies were the </w:t>
      </w:r>
      <w:r w:rsidR="004645E6" w:rsidRPr="00BC779C">
        <w:rPr>
          <w:rFonts w:ascii="Times New Roman" w:hAnsi="Times New Roman" w:cs="Times New Roman"/>
          <w:sz w:val="24"/>
          <w:szCs w:val="24"/>
        </w:rPr>
        <w:t>PCR primers, sequencing methods (454 v</w:t>
      </w:r>
      <w:r w:rsidR="006503C8" w:rsidRPr="00BC779C">
        <w:rPr>
          <w:rFonts w:ascii="Times New Roman" w:hAnsi="Times New Roman" w:cs="Times New Roman"/>
          <w:sz w:val="24"/>
          <w:szCs w:val="24"/>
        </w:rPr>
        <w:t>s</w:t>
      </w:r>
      <w:r w:rsidR="004645E6" w:rsidRPr="00BC779C">
        <w:rPr>
          <w:rFonts w:ascii="Times New Roman" w:hAnsi="Times New Roman" w:cs="Times New Roman"/>
          <w:sz w:val="24"/>
          <w:szCs w:val="24"/>
        </w:rPr>
        <w:t>.</w:t>
      </w:r>
      <w:r w:rsidR="006503C8" w:rsidRPr="00BC779C">
        <w:rPr>
          <w:rFonts w:ascii="Times New Roman" w:hAnsi="Times New Roman" w:cs="Times New Roman"/>
          <w:sz w:val="24"/>
          <w:szCs w:val="24"/>
        </w:rPr>
        <w:t xml:space="preserve"> Illumina) and </w:t>
      </w:r>
      <w:r w:rsidR="004645E6" w:rsidRPr="00BC779C">
        <w:rPr>
          <w:rFonts w:ascii="Times New Roman" w:hAnsi="Times New Roman" w:cs="Times New Roman"/>
          <w:sz w:val="24"/>
          <w:szCs w:val="24"/>
        </w:rPr>
        <w:t xml:space="preserve">databases </w:t>
      </w:r>
      <w:r w:rsidR="006503C8" w:rsidRPr="00BC779C">
        <w:rPr>
          <w:rFonts w:ascii="Times New Roman" w:hAnsi="Times New Roman" w:cs="Times New Roman"/>
          <w:sz w:val="24"/>
          <w:szCs w:val="24"/>
        </w:rPr>
        <w:t xml:space="preserve">used for </w:t>
      </w:r>
      <w:r w:rsidR="004645E6" w:rsidRPr="00BC779C">
        <w:rPr>
          <w:rFonts w:ascii="Times New Roman" w:hAnsi="Times New Roman" w:cs="Times New Roman"/>
          <w:sz w:val="24"/>
          <w:szCs w:val="24"/>
        </w:rPr>
        <w:t>taxa classification</w:t>
      </w:r>
      <w:r w:rsidR="006503C8" w:rsidRPr="00BC779C">
        <w:rPr>
          <w:rFonts w:ascii="Times New Roman" w:hAnsi="Times New Roman" w:cs="Times New Roman"/>
          <w:sz w:val="24"/>
          <w:szCs w:val="24"/>
        </w:rPr>
        <w:t>.</w:t>
      </w:r>
      <w:r w:rsidR="00CA69A6" w:rsidRPr="00BC779C">
        <w:rPr>
          <w:rFonts w:ascii="Times New Roman" w:hAnsi="Times New Roman" w:cs="Times New Roman"/>
          <w:sz w:val="24"/>
          <w:szCs w:val="24"/>
        </w:rPr>
        <w:t xml:space="preserve">  </w:t>
      </w:r>
    </w:p>
    <w:p w14:paraId="3ACF3534" w14:textId="4536EF77" w:rsidR="0013306B" w:rsidRPr="00BC779C" w:rsidRDefault="0076442B" w:rsidP="00D12A80">
      <w:pPr>
        <w:spacing w:after="100" w:afterAutospacing="1" w:line="480" w:lineRule="auto"/>
        <w:ind w:firstLine="360"/>
        <w:rPr>
          <w:rFonts w:ascii="Times New Roman" w:hAnsi="Times New Roman" w:cs="Times New Roman"/>
          <w:sz w:val="24"/>
          <w:szCs w:val="24"/>
        </w:rPr>
      </w:pPr>
      <w:r w:rsidRPr="00BC779C">
        <w:rPr>
          <w:rFonts w:ascii="Times New Roman" w:hAnsi="Times New Roman" w:cs="Times New Roman"/>
          <w:sz w:val="24"/>
          <w:szCs w:val="24"/>
        </w:rPr>
        <w:t>Despite having a short study duration, a</w:t>
      </w:r>
      <w:r w:rsidR="00036445" w:rsidRPr="00BC779C">
        <w:rPr>
          <w:rFonts w:ascii="Times New Roman" w:hAnsi="Times New Roman" w:cs="Times New Roman"/>
          <w:sz w:val="24"/>
          <w:szCs w:val="24"/>
        </w:rPr>
        <w:t xml:space="preserve">n important </w:t>
      </w:r>
      <w:r w:rsidR="000E55FA" w:rsidRPr="00BC779C">
        <w:rPr>
          <w:rFonts w:ascii="Times New Roman" w:hAnsi="Times New Roman" w:cs="Times New Roman"/>
          <w:sz w:val="24"/>
          <w:szCs w:val="24"/>
        </w:rPr>
        <w:t xml:space="preserve">finding </w:t>
      </w:r>
      <w:r w:rsidR="00036445" w:rsidRPr="00BC779C">
        <w:rPr>
          <w:rFonts w:ascii="Times New Roman" w:hAnsi="Times New Roman" w:cs="Times New Roman"/>
          <w:sz w:val="24"/>
          <w:szCs w:val="24"/>
        </w:rPr>
        <w:t xml:space="preserve">of this study was the ability to significantly impact calcium absorption by administering </w:t>
      </w:r>
      <w:r w:rsidR="00D6757B" w:rsidRPr="00BC779C">
        <w:rPr>
          <w:rFonts w:ascii="Times New Roman" w:hAnsi="Times New Roman" w:cs="Times New Roman"/>
          <w:sz w:val="24"/>
          <w:szCs w:val="24"/>
        </w:rPr>
        <w:t>intervention</w:t>
      </w:r>
      <w:r w:rsidR="00036445" w:rsidRPr="00BC779C">
        <w:rPr>
          <w:rFonts w:ascii="Times New Roman" w:hAnsi="Times New Roman" w:cs="Times New Roman"/>
          <w:sz w:val="24"/>
          <w:szCs w:val="24"/>
        </w:rPr>
        <w:t xml:space="preserve"> in </w:t>
      </w:r>
      <w:r w:rsidR="0013306B" w:rsidRPr="00BC779C">
        <w:rPr>
          <w:rFonts w:ascii="Times New Roman" w:hAnsi="Times New Roman" w:cs="Times New Roman"/>
          <w:sz w:val="24"/>
          <w:szCs w:val="24"/>
        </w:rPr>
        <w:t>free-living conditions.</w:t>
      </w:r>
      <w:r w:rsidR="00622C48" w:rsidRPr="00BC779C">
        <w:rPr>
          <w:rFonts w:ascii="Times New Roman" w:hAnsi="Times New Roman" w:cs="Times New Roman"/>
          <w:sz w:val="24"/>
          <w:szCs w:val="24"/>
        </w:rPr>
        <w:t xml:space="preserve"> The inclusion of high-through</w:t>
      </w:r>
      <w:r w:rsidR="00036445" w:rsidRPr="00BC779C">
        <w:rPr>
          <w:rFonts w:ascii="Times New Roman" w:hAnsi="Times New Roman" w:cs="Times New Roman"/>
          <w:sz w:val="24"/>
          <w:szCs w:val="24"/>
        </w:rPr>
        <w:t xml:space="preserve">put sequencing of fecal microbiota, fecal weight and pH, as well as </w:t>
      </w:r>
      <w:r w:rsidR="00E42957" w:rsidRPr="00BC779C">
        <w:rPr>
          <w:rFonts w:ascii="Times New Roman" w:hAnsi="Times New Roman" w:cs="Times New Roman"/>
          <w:sz w:val="24"/>
          <w:szCs w:val="24"/>
        </w:rPr>
        <w:t>SCFA</w:t>
      </w:r>
      <w:r w:rsidR="00036445" w:rsidRPr="00BC779C">
        <w:rPr>
          <w:rFonts w:ascii="Times New Roman" w:hAnsi="Times New Roman" w:cs="Times New Roman"/>
          <w:sz w:val="24"/>
          <w:szCs w:val="24"/>
        </w:rPr>
        <w:t xml:space="preserve"> content </w:t>
      </w:r>
      <w:r w:rsidR="000133E3" w:rsidRPr="00BC779C">
        <w:rPr>
          <w:rFonts w:ascii="Times New Roman" w:hAnsi="Times New Roman" w:cs="Times New Roman"/>
          <w:sz w:val="24"/>
          <w:szCs w:val="24"/>
        </w:rPr>
        <w:t>provide</w:t>
      </w:r>
      <w:r w:rsidR="00F559CE" w:rsidRPr="00BC779C">
        <w:rPr>
          <w:rFonts w:ascii="Times New Roman" w:hAnsi="Times New Roman" w:cs="Times New Roman"/>
          <w:sz w:val="24"/>
          <w:szCs w:val="24"/>
        </w:rPr>
        <w:t>d</w:t>
      </w:r>
      <w:r w:rsidR="000133E3" w:rsidRPr="00BC779C">
        <w:rPr>
          <w:rFonts w:ascii="Times New Roman" w:hAnsi="Times New Roman" w:cs="Times New Roman"/>
          <w:sz w:val="24"/>
          <w:szCs w:val="24"/>
        </w:rPr>
        <w:t xml:space="preserve"> important mechanistic data</w:t>
      </w:r>
      <w:r w:rsidR="000E55FA" w:rsidRPr="00BC779C">
        <w:rPr>
          <w:rFonts w:ascii="Times New Roman" w:hAnsi="Times New Roman" w:cs="Times New Roman"/>
          <w:sz w:val="24"/>
          <w:szCs w:val="24"/>
        </w:rPr>
        <w:t>.</w:t>
      </w:r>
      <w:r w:rsidR="00B844AD" w:rsidRPr="00BC779C">
        <w:rPr>
          <w:rFonts w:ascii="Times New Roman" w:hAnsi="Times New Roman" w:cs="Times New Roman"/>
          <w:sz w:val="24"/>
          <w:szCs w:val="24"/>
        </w:rPr>
        <w:t xml:space="preserve"> </w:t>
      </w:r>
      <w:r w:rsidR="000E55FA" w:rsidRPr="00BC779C">
        <w:rPr>
          <w:rFonts w:ascii="Times New Roman" w:hAnsi="Times New Roman" w:cs="Times New Roman"/>
          <w:sz w:val="24"/>
          <w:szCs w:val="24"/>
        </w:rPr>
        <w:t>However, d</w:t>
      </w:r>
      <w:r w:rsidR="000133E3" w:rsidRPr="00BC779C">
        <w:rPr>
          <w:rFonts w:ascii="Times New Roman" w:hAnsi="Times New Roman" w:cs="Times New Roman"/>
          <w:sz w:val="24"/>
          <w:szCs w:val="24"/>
        </w:rPr>
        <w:t xml:space="preserve">espite support for fermentation with decreased pH, this study may not have been adequately powered to see significant differences in fecal weight and </w:t>
      </w:r>
      <w:r w:rsidR="00E42957" w:rsidRPr="00BC779C">
        <w:rPr>
          <w:rFonts w:ascii="Times New Roman" w:hAnsi="Times New Roman" w:cs="Times New Roman"/>
          <w:sz w:val="24"/>
          <w:szCs w:val="24"/>
        </w:rPr>
        <w:t>SCFA</w:t>
      </w:r>
      <w:r w:rsidR="000133E3" w:rsidRPr="00BC779C">
        <w:rPr>
          <w:rFonts w:ascii="Times New Roman" w:hAnsi="Times New Roman" w:cs="Times New Roman"/>
          <w:sz w:val="24"/>
          <w:szCs w:val="24"/>
        </w:rPr>
        <w:t xml:space="preserve"> content. </w:t>
      </w:r>
      <w:r w:rsidR="000E55FA" w:rsidRPr="00BC779C">
        <w:rPr>
          <w:rFonts w:ascii="Times New Roman" w:hAnsi="Times New Roman" w:cs="Times New Roman"/>
          <w:sz w:val="24"/>
          <w:szCs w:val="24"/>
        </w:rPr>
        <w:t>Another potential limitation is</w:t>
      </w:r>
      <w:r w:rsidR="000133E3" w:rsidRPr="00BC779C">
        <w:rPr>
          <w:rFonts w:ascii="Times New Roman" w:hAnsi="Times New Roman" w:cs="Times New Roman"/>
          <w:sz w:val="24"/>
          <w:szCs w:val="24"/>
        </w:rPr>
        <w:t xml:space="preserve"> the wide variation </w:t>
      </w:r>
      <w:r w:rsidR="000133E3" w:rsidRPr="00BC779C">
        <w:rPr>
          <w:rFonts w:ascii="Times New Roman" w:hAnsi="Times New Roman" w:cs="Times New Roman"/>
          <w:sz w:val="24"/>
          <w:szCs w:val="24"/>
        </w:rPr>
        <w:lastRenderedPageBreak/>
        <w:t>in sexual maturity of participants in this study</w:t>
      </w:r>
      <w:r w:rsidR="000E55FA" w:rsidRPr="00BC779C">
        <w:rPr>
          <w:rFonts w:ascii="Times New Roman" w:hAnsi="Times New Roman" w:cs="Times New Roman"/>
          <w:sz w:val="24"/>
          <w:szCs w:val="24"/>
        </w:rPr>
        <w:t>, which</w:t>
      </w:r>
      <w:r w:rsidR="000133E3" w:rsidRPr="00BC779C">
        <w:rPr>
          <w:rFonts w:ascii="Times New Roman" w:hAnsi="Times New Roman" w:cs="Times New Roman"/>
          <w:sz w:val="24"/>
          <w:szCs w:val="24"/>
        </w:rPr>
        <w:t xml:space="preserve"> may have contributed to the large variation in many of the </w:t>
      </w:r>
      <w:r w:rsidR="000E55FA" w:rsidRPr="00BC779C">
        <w:rPr>
          <w:rFonts w:ascii="Times New Roman" w:hAnsi="Times New Roman" w:cs="Times New Roman"/>
          <w:sz w:val="24"/>
          <w:szCs w:val="24"/>
        </w:rPr>
        <w:t xml:space="preserve">outcome </w:t>
      </w:r>
      <w:r w:rsidR="000133E3" w:rsidRPr="00BC779C">
        <w:rPr>
          <w:rFonts w:ascii="Times New Roman" w:hAnsi="Times New Roman" w:cs="Times New Roman"/>
          <w:sz w:val="24"/>
          <w:szCs w:val="24"/>
        </w:rPr>
        <w:t>measures</w:t>
      </w:r>
      <w:r w:rsidR="000E55FA" w:rsidRPr="00BC779C">
        <w:rPr>
          <w:rFonts w:ascii="Times New Roman" w:hAnsi="Times New Roman" w:cs="Times New Roman"/>
          <w:sz w:val="24"/>
          <w:szCs w:val="24"/>
        </w:rPr>
        <w:t>.</w:t>
      </w:r>
      <w:r w:rsidR="000133E3" w:rsidRPr="00BC779C">
        <w:rPr>
          <w:rFonts w:ascii="Times New Roman" w:hAnsi="Times New Roman" w:cs="Times New Roman"/>
          <w:sz w:val="24"/>
          <w:szCs w:val="24"/>
        </w:rPr>
        <w:t xml:space="preserve"> </w:t>
      </w:r>
    </w:p>
    <w:p w14:paraId="36B02487" w14:textId="0B354D6A" w:rsidR="00B47C96" w:rsidRPr="00BC779C" w:rsidRDefault="00B47C96" w:rsidP="00D12A80">
      <w:pPr>
        <w:spacing w:after="100" w:afterAutospacing="1" w:line="480" w:lineRule="auto"/>
        <w:ind w:firstLine="360"/>
        <w:rPr>
          <w:rFonts w:ascii="Times New Roman" w:hAnsi="Times New Roman" w:cs="Times New Roman"/>
          <w:sz w:val="24"/>
          <w:szCs w:val="24"/>
        </w:rPr>
      </w:pPr>
      <w:r w:rsidRPr="00BC779C">
        <w:rPr>
          <w:rFonts w:ascii="Times New Roman" w:hAnsi="Times New Roman" w:cs="Times New Roman"/>
          <w:sz w:val="24"/>
          <w:szCs w:val="24"/>
        </w:rPr>
        <w:t>In summary, the addition of 10 or 20 g</w:t>
      </w:r>
      <w:r w:rsidR="000C0CFD" w:rsidRPr="00BC779C">
        <w:rPr>
          <w:rFonts w:ascii="Times New Roman" w:hAnsi="Times New Roman" w:cs="Times New Roman"/>
          <w:sz w:val="24"/>
          <w:szCs w:val="24"/>
        </w:rPr>
        <w:t xml:space="preserve"> fiber</w:t>
      </w:r>
      <w:r w:rsidR="003D266E" w:rsidRPr="00BC779C">
        <w:rPr>
          <w:rFonts w:ascii="Times New Roman" w:hAnsi="Times New Roman" w:cs="Times New Roman"/>
          <w:sz w:val="24"/>
          <w:szCs w:val="24"/>
        </w:rPr>
        <w:t>/d</w:t>
      </w:r>
      <w:r w:rsidRPr="00BC779C">
        <w:rPr>
          <w:rFonts w:ascii="Times New Roman" w:hAnsi="Times New Roman" w:cs="Times New Roman"/>
          <w:sz w:val="24"/>
          <w:szCs w:val="24"/>
        </w:rPr>
        <w:t xml:space="preserve"> </w:t>
      </w:r>
      <w:r w:rsidR="00843C2A" w:rsidRPr="00BC779C">
        <w:rPr>
          <w:rFonts w:ascii="Times New Roman" w:hAnsi="Times New Roman" w:cs="Times New Roman"/>
          <w:sz w:val="24"/>
          <w:szCs w:val="24"/>
        </w:rPr>
        <w:t xml:space="preserve">from </w:t>
      </w:r>
      <w:r w:rsidRPr="00BC779C">
        <w:rPr>
          <w:rFonts w:ascii="Times New Roman" w:hAnsi="Times New Roman" w:cs="Times New Roman"/>
          <w:sz w:val="24"/>
          <w:szCs w:val="24"/>
        </w:rPr>
        <w:t>PROMITOR™</w:t>
      </w:r>
      <w:r w:rsidR="00F559CE" w:rsidRPr="00BC779C">
        <w:rPr>
          <w:rFonts w:ascii="Times New Roman" w:hAnsi="Times New Roman" w:cs="Times New Roman"/>
          <w:sz w:val="24"/>
          <w:szCs w:val="24"/>
        </w:rPr>
        <w:t xml:space="preserve"> SCF 85</w:t>
      </w:r>
      <w:r w:rsidRPr="00BC779C">
        <w:rPr>
          <w:rFonts w:ascii="Times New Roman" w:hAnsi="Times New Roman" w:cs="Times New Roman"/>
          <w:sz w:val="24"/>
          <w:szCs w:val="24"/>
        </w:rPr>
        <w:t xml:space="preserve"> to the diet of free-living adolescent girls ages 12-15</w:t>
      </w:r>
      <w:r w:rsidR="00F559CE" w:rsidRPr="00BC779C">
        <w:rPr>
          <w:rFonts w:ascii="Times New Roman" w:hAnsi="Times New Roman" w:cs="Times New Roman"/>
          <w:sz w:val="24"/>
          <w:szCs w:val="24"/>
        </w:rPr>
        <w:t xml:space="preserve"> y</w:t>
      </w:r>
      <w:r w:rsidRPr="00BC779C">
        <w:rPr>
          <w:rFonts w:ascii="Times New Roman" w:hAnsi="Times New Roman" w:cs="Times New Roman"/>
          <w:sz w:val="24"/>
          <w:szCs w:val="24"/>
        </w:rPr>
        <w:t xml:space="preserve"> over a 30 day period contributed</w:t>
      </w:r>
      <w:r w:rsidR="00563E37" w:rsidRPr="00BC779C">
        <w:rPr>
          <w:rFonts w:ascii="Times New Roman" w:hAnsi="Times New Roman" w:cs="Times New Roman"/>
          <w:sz w:val="24"/>
          <w:szCs w:val="24"/>
        </w:rPr>
        <w:t xml:space="preserve"> to</w:t>
      </w:r>
      <w:r w:rsidRPr="00BC779C">
        <w:rPr>
          <w:rFonts w:ascii="Times New Roman" w:hAnsi="Times New Roman" w:cs="Times New Roman"/>
          <w:sz w:val="24"/>
          <w:szCs w:val="24"/>
        </w:rPr>
        <w:t xml:space="preserve"> increase</w:t>
      </w:r>
      <w:r w:rsidR="00563E37" w:rsidRPr="00BC779C">
        <w:rPr>
          <w:rFonts w:ascii="Times New Roman" w:hAnsi="Times New Roman" w:cs="Times New Roman"/>
          <w:sz w:val="24"/>
          <w:szCs w:val="24"/>
        </w:rPr>
        <w:t>d</w:t>
      </w:r>
      <w:r w:rsidRPr="00BC779C">
        <w:rPr>
          <w:rFonts w:ascii="Times New Roman" w:hAnsi="Times New Roman" w:cs="Times New Roman"/>
          <w:sz w:val="24"/>
          <w:szCs w:val="24"/>
        </w:rPr>
        <w:t xml:space="preserve"> calcium absorption which could be critical for skeletal health at a time when bone growth is rapid. This result is easily translatable to a normal teen population as the</w:t>
      </w:r>
      <w:r w:rsidR="004645E6" w:rsidRPr="00BC779C">
        <w:rPr>
          <w:rFonts w:ascii="Times New Roman" w:hAnsi="Times New Roman" w:cs="Times New Roman"/>
          <w:sz w:val="24"/>
          <w:szCs w:val="24"/>
        </w:rPr>
        <w:t xml:space="preserve"> study was conducted under free-</w:t>
      </w:r>
      <w:r w:rsidRPr="00BC779C">
        <w:rPr>
          <w:rFonts w:ascii="Times New Roman" w:hAnsi="Times New Roman" w:cs="Times New Roman"/>
          <w:sz w:val="24"/>
          <w:szCs w:val="24"/>
        </w:rPr>
        <w:t>living conditions.</w:t>
      </w:r>
      <w:r w:rsidR="0030120B" w:rsidRPr="00BC779C">
        <w:rPr>
          <w:rFonts w:ascii="Times New Roman" w:hAnsi="Times New Roman" w:cs="Times New Roman"/>
          <w:sz w:val="24"/>
          <w:szCs w:val="24"/>
        </w:rPr>
        <w:t xml:space="preserve"> </w:t>
      </w:r>
      <w:r w:rsidR="00CD73C1" w:rsidRPr="00BC779C">
        <w:rPr>
          <w:rFonts w:ascii="Times New Roman" w:hAnsi="Times New Roman" w:cs="Times New Roman"/>
          <w:sz w:val="24"/>
          <w:szCs w:val="24"/>
        </w:rPr>
        <w:t xml:space="preserve">The increase in </w:t>
      </w:r>
      <w:r w:rsidR="00CD73C1" w:rsidRPr="00BC779C">
        <w:rPr>
          <w:rFonts w:ascii="Times New Roman" w:hAnsi="Times New Roman" w:cs="Times New Roman"/>
          <w:i/>
          <w:sz w:val="24"/>
          <w:szCs w:val="24"/>
        </w:rPr>
        <w:t>Bifidobacterium</w:t>
      </w:r>
      <w:r w:rsidR="00CD73C1" w:rsidRPr="00BC779C">
        <w:rPr>
          <w:rFonts w:ascii="Times New Roman" w:hAnsi="Times New Roman" w:cs="Times New Roman"/>
          <w:sz w:val="24"/>
          <w:szCs w:val="24"/>
        </w:rPr>
        <w:t xml:space="preserve"> and greater species richness are indicators that SCF results in a healthier microbiome.</w:t>
      </w:r>
      <w:r w:rsidR="001D64D3" w:rsidRPr="00BC779C">
        <w:rPr>
          <w:rFonts w:ascii="Times New Roman" w:hAnsi="Times New Roman" w:cs="Times New Roman"/>
          <w:sz w:val="24"/>
          <w:szCs w:val="24"/>
        </w:rPr>
        <w:t xml:space="preserve"> Further work is needed </w:t>
      </w:r>
      <w:r w:rsidR="000344DD" w:rsidRPr="00BC779C">
        <w:rPr>
          <w:rFonts w:ascii="Times New Roman" w:hAnsi="Times New Roman" w:cs="Times New Roman"/>
          <w:sz w:val="24"/>
          <w:szCs w:val="24"/>
        </w:rPr>
        <w:t>to identify the exact mechanism by which SCF elicits an</w:t>
      </w:r>
      <w:r w:rsidR="001D64D3" w:rsidRPr="00BC779C">
        <w:rPr>
          <w:rFonts w:ascii="Times New Roman" w:hAnsi="Times New Roman" w:cs="Times New Roman"/>
          <w:sz w:val="24"/>
          <w:szCs w:val="24"/>
        </w:rPr>
        <w:t xml:space="preserve"> effect on </w:t>
      </w:r>
      <w:r w:rsidR="000344DD" w:rsidRPr="00BC779C">
        <w:rPr>
          <w:rFonts w:ascii="Times New Roman" w:hAnsi="Times New Roman" w:cs="Times New Roman"/>
          <w:sz w:val="24"/>
          <w:szCs w:val="24"/>
        </w:rPr>
        <w:t>intestinal microbiota and calcium absorption</w:t>
      </w:r>
      <w:r w:rsidR="000E55FA" w:rsidRPr="00BC779C">
        <w:rPr>
          <w:rFonts w:ascii="Times New Roman" w:hAnsi="Times New Roman" w:cs="Times New Roman"/>
          <w:sz w:val="24"/>
          <w:szCs w:val="24"/>
        </w:rPr>
        <w:t xml:space="preserve"> and the long-term effect of dietary fibers on calcium absorption </w:t>
      </w:r>
      <w:r w:rsidR="00B11E61" w:rsidRPr="00BC779C">
        <w:rPr>
          <w:rFonts w:ascii="Times New Roman" w:hAnsi="Times New Roman" w:cs="Times New Roman"/>
          <w:sz w:val="24"/>
          <w:szCs w:val="24"/>
        </w:rPr>
        <w:t>and bone</w:t>
      </w:r>
      <w:r w:rsidR="000E55FA" w:rsidRPr="00BC779C">
        <w:rPr>
          <w:rFonts w:ascii="Times New Roman" w:hAnsi="Times New Roman" w:cs="Times New Roman"/>
          <w:sz w:val="24"/>
          <w:szCs w:val="24"/>
        </w:rPr>
        <w:t xml:space="preserve"> density and strength.</w:t>
      </w:r>
    </w:p>
    <w:p w14:paraId="15C9C2F0" w14:textId="39DB73B0" w:rsidR="00F95177" w:rsidRPr="00BC779C" w:rsidRDefault="00F95177" w:rsidP="00D12A80">
      <w:pPr>
        <w:spacing w:after="100" w:afterAutospacing="1" w:line="480" w:lineRule="auto"/>
        <w:rPr>
          <w:rFonts w:ascii="Times New Roman" w:hAnsi="Times New Roman" w:cs="Times New Roman"/>
          <w:b/>
          <w:sz w:val="24"/>
          <w:szCs w:val="24"/>
        </w:rPr>
      </w:pPr>
      <w:r w:rsidRPr="00BC779C">
        <w:rPr>
          <w:rFonts w:ascii="Times New Roman" w:hAnsi="Times New Roman" w:cs="Times New Roman"/>
          <w:b/>
          <w:sz w:val="24"/>
          <w:szCs w:val="24"/>
        </w:rPr>
        <w:t>A</w:t>
      </w:r>
      <w:r w:rsidR="007D2B01" w:rsidRPr="00BC779C">
        <w:rPr>
          <w:rFonts w:ascii="Times New Roman" w:hAnsi="Times New Roman" w:cs="Times New Roman"/>
          <w:b/>
          <w:sz w:val="24"/>
          <w:szCs w:val="24"/>
        </w:rPr>
        <w:t>CKNOWLEDGEMENT</w:t>
      </w:r>
    </w:p>
    <w:p w14:paraId="78482782" w14:textId="1F98DA9B" w:rsidR="00F95177" w:rsidRPr="00BC779C" w:rsidRDefault="00F95177" w:rsidP="00D12A80">
      <w:pPr>
        <w:spacing w:after="100" w:afterAutospacing="1" w:line="480" w:lineRule="auto"/>
        <w:ind w:firstLine="720"/>
        <w:rPr>
          <w:rFonts w:ascii="Times New Roman" w:hAnsi="Times New Roman" w:cs="Times New Roman"/>
          <w:sz w:val="24"/>
          <w:szCs w:val="24"/>
        </w:rPr>
      </w:pPr>
      <w:r w:rsidRPr="00BC779C">
        <w:rPr>
          <w:rFonts w:ascii="Times New Roman" w:hAnsi="Times New Roman" w:cs="Times New Roman"/>
          <w:sz w:val="24"/>
          <w:szCs w:val="24"/>
        </w:rPr>
        <w:t xml:space="preserve">We would like to thank Ania Kempa-Steczko and Douglas Maish for their technical and clinical contributions to this project. Additional thanks go to Arthur Armstrong </w:t>
      </w:r>
      <w:r w:rsidR="006503C8" w:rsidRPr="00BC779C">
        <w:rPr>
          <w:rFonts w:ascii="Times New Roman" w:hAnsi="Times New Roman" w:cs="Times New Roman"/>
          <w:sz w:val="24"/>
          <w:szCs w:val="24"/>
        </w:rPr>
        <w:t xml:space="preserve">for performing DNA extractions and </w:t>
      </w:r>
      <w:r w:rsidRPr="00BC779C">
        <w:rPr>
          <w:rFonts w:ascii="Times New Roman" w:hAnsi="Times New Roman" w:cs="Times New Roman"/>
          <w:sz w:val="24"/>
          <w:szCs w:val="24"/>
        </w:rPr>
        <w:t>PCR. Without their help, this project would not have been successful. The present study was funded by Tate &amp; Lyle Ingredients Americas LLC. The research and all publications arising out of or referable to it are considered proprietary data to which Tate &amp; Lyle Ingredients Americas LLC claim exclusive right of reference in accordance with Regulation (EC) no. 1924/2006 of the European Parliament and of the Council on Nutrition and Health Claims Made on Foods.</w:t>
      </w:r>
    </w:p>
    <w:p w14:paraId="41E72D59" w14:textId="1682583A" w:rsidR="00F95177" w:rsidRPr="00BC779C" w:rsidRDefault="00F95177" w:rsidP="00D12A80">
      <w:pPr>
        <w:spacing w:after="100" w:afterAutospacing="1" w:line="480" w:lineRule="auto"/>
        <w:ind w:firstLine="360"/>
        <w:jc w:val="both"/>
        <w:rPr>
          <w:rFonts w:ascii="Times New Roman" w:hAnsi="Times New Roman" w:cs="Times New Roman"/>
          <w:sz w:val="24"/>
          <w:szCs w:val="24"/>
        </w:rPr>
      </w:pPr>
      <w:r w:rsidRPr="00BC779C">
        <w:rPr>
          <w:rFonts w:ascii="Times New Roman" w:hAnsi="Times New Roman" w:cs="Times New Roman"/>
          <w:sz w:val="24"/>
          <w:szCs w:val="24"/>
        </w:rPr>
        <w:tab/>
        <w:t>CMWe</w:t>
      </w:r>
      <w:r w:rsidR="000C0B61" w:rsidRPr="00BC779C">
        <w:rPr>
          <w:rFonts w:ascii="Times New Roman" w:hAnsi="Times New Roman" w:cs="Times New Roman"/>
          <w:sz w:val="24"/>
          <w:szCs w:val="24"/>
        </w:rPr>
        <w:t>, BRM, CHN and CMWh</w:t>
      </w:r>
      <w:r w:rsidRPr="00BC779C">
        <w:rPr>
          <w:rFonts w:ascii="Times New Roman" w:hAnsi="Times New Roman" w:cs="Times New Roman"/>
          <w:sz w:val="24"/>
          <w:szCs w:val="24"/>
        </w:rPr>
        <w:t xml:space="preserve"> designed research; B</w:t>
      </w:r>
      <w:r w:rsidR="000C0B61" w:rsidRPr="00BC779C">
        <w:rPr>
          <w:rFonts w:ascii="Times New Roman" w:hAnsi="Times New Roman" w:cs="Times New Roman"/>
          <w:sz w:val="24"/>
          <w:szCs w:val="24"/>
        </w:rPr>
        <w:t xml:space="preserve">RM and CMW conducted </w:t>
      </w:r>
      <w:r w:rsidR="00273C31" w:rsidRPr="00BC779C">
        <w:rPr>
          <w:rFonts w:ascii="Times New Roman" w:hAnsi="Times New Roman" w:cs="Times New Roman"/>
          <w:sz w:val="24"/>
          <w:szCs w:val="24"/>
        </w:rPr>
        <w:t>research;</w:t>
      </w:r>
      <w:r w:rsidR="000C0B61" w:rsidRPr="00BC779C">
        <w:rPr>
          <w:rFonts w:ascii="Times New Roman" w:hAnsi="Times New Roman" w:cs="Times New Roman"/>
          <w:sz w:val="24"/>
          <w:szCs w:val="24"/>
        </w:rPr>
        <w:t xml:space="preserve"> BRM, CHN, GPM, and LDM</w:t>
      </w:r>
      <w:r w:rsidRPr="00BC779C">
        <w:rPr>
          <w:rFonts w:ascii="Times New Roman" w:hAnsi="Times New Roman" w:cs="Times New Roman"/>
          <w:sz w:val="24"/>
          <w:szCs w:val="24"/>
        </w:rPr>
        <w:t xml:space="preserve"> analyzed data; CMWh, BRM and CHN wrote paper; </w:t>
      </w:r>
      <w:r w:rsidR="00273C31" w:rsidRPr="00BC779C">
        <w:rPr>
          <w:rFonts w:ascii="Times New Roman" w:hAnsi="Times New Roman" w:cs="Times New Roman"/>
          <w:sz w:val="24"/>
          <w:szCs w:val="24"/>
        </w:rPr>
        <w:t xml:space="preserve">and </w:t>
      </w:r>
      <w:r w:rsidRPr="00BC779C">
        <w:rPr>
          <w:rFonts w:ascii="Times New Roman" w:hAnsi="Times New Roman" w:cs="Times New Roman"/>
          <w:sz w:val="24"/>
          <w:szCs w:val="24"/>
        </w:rPr>
        <w:t xml:space="preserve">CMWe </w:t>
      </w:r>
      <w:r w:rsidRPr="00BC779C">
        <w:rPr>
          <w:rFonts w:ascii="Times New Roman" w:hAnsi="Times New Roman" w:cs="Times New Roman"/>
          <w:sz w:val="24"/>
          <w:szCs w:val="24"/>
        </w:rPr>
        <w:lastRenderedPageBreak/>
        <w:t>had primary responsibility for final content. All authors read and approved the final content of this manuscript. CMWe serves on the Advisory Board of Pharmavite.</w:t>
      </w:r>
    </w:p>
    <w:p w14:paraId="2AA37FE7"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5092BA2A"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27FCB1B4"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243A1511"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6346FC60"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354CC87D"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5DB4468A"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680301E2"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566C2E91"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0F4346FF"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230761B5"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6D3C11A7"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347E16A6"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4F5DCA30"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5C226662"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2EBE9A5D"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6134B6AD"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3E510355" w14:textId="77777777" w:rsidR="006C714E" w:rsidRPr="00BC779C" w:rsidRDefault="006C714E" w:rsidP="003E5C9E">
      <w:pPr>
        <w:widowControl w:val="0"/>
        <w:suppressLineNumbers/>
        <w:autoSpaceDE w:val="0"/>
        <w:autoSpaceDN w:val="0"/>
        <w:adjustRightInd w:val="0"/>
        <w:spacing w:after="100" w:line="480" w:lineRule="auto"/>
        <w:rPr>
          <w:rFonts w:ascii="Times New Roman" w:hAnsi="Times New Roman" w:cs="Times New Roman"/>
          <w:b/>
          <w:sz w:val="24"/>
          <w:szCs w:val="24"/>
        </w:rPr>
      </w:pPr>
    </w:p>
    <w:p w14:paraId="4CEB0C1E" w14:textId="67FA6C80" w:rsidR="00313D83" w:rsidRPr="00BC779C" w:rsidRDefault="007D2B01" w:rsidP="003E5C9E">
      <w:pPr>
        <w:widowControl w:val="0"/>
        <w:suppressLineNumbers/>
        <w:autoSpaceDE w:val="0"/>
        <w:autoSpaceDN w:val="0"/>
        <w:adjustRightInd w:val="0"/>
        <w:spacing w:after="100" w:line="480" w:lineRule="auto"/>
        <w:rPr>
          <w:rFonts w:ascii="Times New Roman" w:hAnsi="Times New Roman" w:cs="Times New Roman"/>
          <w:b/>
          <w:sz w:val="24"/>
          <w:szCs w:val="24"/>
        </w:rPr>
      </w:pPr>
      <w:r w:rsidRPr="00BC779C">
        <w:rPr>
          <w:rFonts w:ascii="Times New Roman" w:hAnsi="Times New Roman" w:cs="Times New Roman"/>
          <w:b/>
          <w:sz w:val="24"/>
          <w:szCs w:val="24"/>
        </w:rPr>
        <w:lastRenderedPageBreak/>
        <w:t>REFERENCES</w:t>
      </w:r>
    </w:p>
    <w:p w14:paraId="33AEE14F" w14:textId="11BBF7D0" w:rsidR="00F55607" w:rsidRPr="00BC779C" w:rsidRDefault="0000130F"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eastAsia="Times New Roman" w:hAnsi="Times New Roman" w:cs="Times New Roman"/>
          <w:sz w:val="24"/>
          <w:szCs w:val="24"/>
          <w:lang w:val="en-IE"/>
        </w:rPr>
        <w:fldChar w:fldCharType="begin" w:fldLock="1"/>
      </w:r>
      <w:r w:rsidRPr="00BC779C">
        <w:rPr>
          <w:rFonts w:ascii="Times New Roman" w:hAnsi="Times New Roman" w:cs="Times New Roman"/>
          <w:sz w:val="24"/>
          <w:szCs w:val="24"/>
          <w:lang w:val="en-IE"/>
        </w:rPr>
        <w:instrText xml:space="preserve">ADDIN Mendeley Bibliography CSL_BIBLIOGRAPHY </w:instrText>
      </w:r>
      <w:r w:rsidRPr="00BC779C">
        <w:rPr>
          <w:rFonts w:ascii="Times New Roman" w:eastAsia="Times New Roman" w:hAnsi="Times New Roman" w:cs="Times New Roman"/>
          <w:sz w:val="24"/>
          <w:szCs w:val="24"/>
          <w:lang w:val="en-IE"/>
        </w:rPr>
        <w:fldChar w:fldCharType="separate"/>
      </w:r>
      <w:r w:rsidR="00F55607" w:rsidRPr="00BC779C">
        <w:rPr>
          <w:rFonts w:ascii="Times New Roman" w:hAnsi="Times New Roman" w:cs="Times New Roman"/>
          <w:noProof/>
          <w:sz w:val="24"/>
          <w:szCs w:val="24"/>
        </w:rPr>
        <w:t xml:space="preserve">1. </w:t>
      </w:r>
      <w:r w:rsidR="00F55607" w:rsidRPr="00BC779C">
        <w:rPr>
          <w:rFonts w:ascii="Times New Roman" w:hAnsi="Times New Roman" w:cs="Times New Roman"/>
          <w:noProof/>
          <w:sz w:val="24"/>
          <w:szCs w:val="24"/>
        </w:rPr>
        <w:tab/>
        <w:t xml:space="preserve">Bailey DA, Martin AD, McKay HA, Whiting S, Mirwald R. Calcium accretion in girls and boys during puberty: a longitudinal analysis. J Bone Miner Res. 2000;15:2245–50. </w:t>
      </w:r>
    </w:p>
    <w:p w14:paraId="57066F8F"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2. </w:t>
      </w:r>
      <w:r w:rsidRPr="00BC779C">
        <w:rPr>
          <w:rFonts w:ascii="Times New Roman" w:hAnsi="Times New Roman" w:cs="Times New Roman"/>
          <w:noProof/>
          <w:sz w:val="24"/>
          <w:szCs w:val="24"/>
        </w:rPr>
        <w:tab/>
        <w:t xml:space="preserve">Bailey RL, Dodd KW, Goldman JA, Gahche JJ, Dwyer JT, Moshfegh AJ, Sempos CT, Picciano MF. Estimation of total usual calcium and vitamin D intakes in the United States. J Nutr. 2010;140:817–22. </w:t>
      </w:r>
    </w:p>
    <w:p w14:paraId="2CF2B550"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3. </w:t>
      </w:r>
      <w:r w:rsidRPr="00BC779C">
        <w:rPr>
          <w:rFonts w:ascii="Times New Roman" w:hAnsi="Times New Roman" w:cs="Times New Roman"/>
          <w:noProof/>
          <w:sz w:val="24"/>
          <w:szCs w:val="24"/>
        </w:rPr>
        <w:tab/>
        <w:t xml:space="preserve">Weaver CM. Diet, gut microbiome, and bone health. Curr Osteoporos Rep. 2015;13:125–30. </w:t>
      </w:r>
    </w:p>
    <w:p w14:paraId="76229B45"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4. </w:t>
      </w:r>
      <w:r w:rsidRPr="00BC779C">
        <w:rPr>
          <w:rFonts w:ascii="Times New Roman" w:hAnsi="Times New Roman" w:cs="Times New Roman"/>
          <w:noProof/>
          <w:sz w:val="24"/>
          <w:szCs w:val="24"/>
        </w:rPr>
        <w:tab/>
        <w:t xml:space="preserve">Bassaganya-Riera J, DiGuardo M, Viladomiu M, de Horna A, Sanchez S, Einerhand AWC, Sanders L, Hontecillas R. Soluble fibers and resistant starch ameliorate disease activity in interleukin-10-deficient mice with inflammatory bowel disease. J Nutr. 2011;141:1318–25. </w:t>
      </w:r>
    </w:p>
    <w:p w14:paraId="28ABA4C6"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5. </w:t>
      </w:r>
      <w:r w:rsidRPr="00BC779C">
        <w:rPr>
          <w:rFonts w:ascii="Times New Roman" w:hAnsi="Times New Roman" w:cs="Times New Roman"/>
          <w:noProof/>
          <w:sz w:val="24"/>
          <w:szCs w:val="24"/>
        </w:rPr>
        <w:tab/>
        <w:t xml:space="preserve">Knapp B, Bauer L, Swanson K, Tappenden K, Fahey G, de Godoy M. Soluble fiber dextrin and soluble corn fiber supplementation modify indices of health in cecum and colon of sprague-dawley rats. Nutrients. 2013;5:396–410. </w:t>
      </w:r>
    </w:p>
    <w:p w14:paraId="5BDCF966"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6. </w:t>
      </w:r>
      <w:r w:rsidRPr="00BC779C">
        <w:rPr>
          <w:rFonts w:ascii="Times New Roman" w:hAnsi="Times New Roman" w:cs="Times New Roman"/>
          <w:noProof/>
          <w:sz w:val="24"/>
          <w:szCs w:val="24"/>
        </w:rPr>
        <w:tab/>
        <w:t xml:space="preserve">Klosterbuer AS, Hullar MAJ, Li F, Traylor E, Lampe JW, Thomas W, Slavin JL. Gastrointestinal effects of resistant starch, soluble maize fibre and pullulan in healthy adults. Br J Nutr. 2013;110:1068–74. </w:t>
      </w:r>
    </w:p>
    <w:p w14:paraId="4758A41B"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7. </w:t>
      </w:r>
      <w:r w:rsidRPr="00BC779C">
        <w:rPr>
          <w:rFonts w:ascii="Times New Roman" w:hAnsi="Times New Roman" w:cs="Times New Roman"/>
          <w:noProof/>
          <w:sz w:val="24"/>
          <w:szCs w:val="24"/>
        </w:rPr>
        <w:tab/>
        <w:t xml:space="preserve">Maathuis A, Hoffman A, Evans A, Sanders L, Venema K. The effect of the undigested fraction of maize products on the activity and composition of the microbiota determined in a dynamic in vitro model of the human proximal large intestine. J Am Coll Nutr. 2009;28:657–66. </w:t>
      </w:r>
    </w:p>
    <w:p w14:paraId="2E9C88C9"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lastRenderedPageBreak/>
        <w:t xml:space="preserve">8. </w:t>
      </w:r>
      <w:r w:rsidRPr="00BC779C">
        <w:rPr>
          <w:rFonts w:ascii="Times New Roman" w:hAnsi="Times New Roman" w:cs="Times New Roman"/>
          <w:noProof/>
          <w:sz w:val="24"/>
          <w:szCs w:val="24"/>
        </w:rPr>
        <w:tab/>
        <w:t xml:space="preserve">Weaver CM, Martin BR, Story JA, Hutchinson I, Sanders L. Novel fibers increase bone calcium content and strength beyond efficiency of large intestine fermentation. J Agric Food Chem. 2010;58:8952–7. </w:t>
      </w:r>
    </w:p>
    <w:p w14:paraId="46384CDA"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9. </w:t>
      </w:r>
      <w:r w:rsidRPr="00BC779C">
        <w:rPr>
          <w:rFonts w:ascii="Times New Roman" w:hAnsi="Times New Roman" w:cs="Times New Roman"/>
          <w:noProof/>
          <w:sz w:val="24"/>
          <w:szCs w:val="24"/>
        </w:rPr>
        <w:tab/>
        <w:t xml:space="preserve">Whisner CM, Martin BR, Nakatsu CH, McCabe GP, McCabe LD, Peacock M, Weaver CM. Soluble maize fibre affects short-term calcium absorption in adolescent boys and girls: a randomised controlled trial using dual stable isotopic tracers. Br J Nutr. 2014;112:446–56. </w:t>
      </w:r>
    </w:p>
    <w:p w14:paraId="78E92C1F"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10. </w:t>
      </w:r>
      <w:r w:rsidRPr="00BC779C">
        <w:rPr>
          <w:rFonts w:ascii="Times New Roman" w:hAnsi="Times New Roman" w:cs="Times New Roman"/>
          <w:noProof/>
          <w:sz w:val="24"/>
          <w:szCs w:val="24"/>
        </w:rPr>
        <w:tab/>
        <w:t xml:space="preserve">Bonjour J-P, Thientz G, Buchs B, Slosman D, Rizzoli R. Critical years and stages of puberty for spinal and femoral bone mass accumulation during adolescence. J Clin Endocrinol Metab. 1992;73:555–6. </w:t>
      </w:r>
    </w:p>
    <w:p w14:paraId="244E94CE"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11. </w:t>
      </w:r>
      <w:r w:rsidRPr="00BC779C">
        <w:rPr>
          <w:rFonts w:ascii="Times New Roman" w:hAnsi="Times New Roman" w:cs="Times New Roman"/>
          <w:noProof/>
          <w:sz w:val="24"/>
          <w:szCs w:val="24"/>
        </w:rPr>
        <w:tab/>
        <w:t xml:space="preserve">Weaver CM. The growing years and prevention of osteoporosis in later life. Proc Nutr Soc. 2000;59:303–6. </w:t>
      </w:r>
    </w:p>
    <w:p w14:paraId="75AF59E8"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12. </w:t>
      </w:r>
      <w:r w:rsidRPr="00BC779C">
        <w:rPr>
          <w:rFonts w:ascii="Times New Roman" w:hAnsi="Times New Roman" w:cs="Times New Roman"/>
          <w:noProof/>
          <w:sz w:val="24"/>
          <w:szCs w:val="24"/>
        </w:rPr>
        <w:tab/>
        <w:t xml:space="preserve">van den heuvel EGHM, Muijs T, van dokkum W, Schaafsma G. Lactulose stimulates calcium absorption in postmenopausal women. J Bone Miner Res. 1999;14:1211–6. </w:t>
      </w:r>
    </w:p>
    <w:p w14:paraId="63190686"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13. </w:t>
      </w:r>
      <w:r w:rsidRPr="00BC779C">
        <w:rPr>
          <w:rFonts w:ascii="Times New Roman" w:hAnsi="Times New Roman" w:cs="Times New Roman"/>
          <w:noProof/>
          <w:sz w:val="24"/>
          <w:szCs w:val="24"/>
        </w:rPr>
        <w:tab/>
        <w:t xml:space="preserve">van den Heuvel E, Schoterman M, Muijs T. Trans-galactooligosaccharides stimulate calcium absorption in postmenopausal women. J Nutr. 2000;130:2938–42. </w:t>
      </w:r>
    </w:p>
    <w:p w14:paraId="521C3C96"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14. </w:t>
      </w:r>
      <w:r w:rsidRPr="00BC779C">
        <w:rPr>
          <w:rFonts w:ascii="Times New Roman" w:hAnsi="Times New Roman" w:cs="Times New Roman"/>
          <w:noProof/>
          <w:sz w:val="24"/>
          <w:szCs w:val="24"/>
        </w:rPr>
        <w:tab/>
        <w:t xml:space="preserve">Holloway L, Moynihan S, Abrams SA, Kent K, Hsu AR, Friedlander AL. Effects of oligofructose-enriched inulin on intestinal absorption of calcium and magnesium and bone turnover markers in postmenopausal women. Br J Nutr. 2007;97:365–72. </w:t>
      </w:r>
    </w:p>
    <w:p w14:paraId="204D34A4"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15. </w:t>
      </w:r>
      <w:r w:rsidRPr="00BC779C">
        <w:rPr>
          <w:rFonts w:ascii="Times New Roman" w:hAnsi="Times New Roman" w:cs="Times New Roman"/>
          <w:noProof/>
          <w:sz w:val="24"/>
          <w:szCs w:val="24"/>
        </w:rPr>
        <w:tab/>
        <w:t xml:space="preserve">van den Heuvel EGHM, Muijs T, Brouns F, Hendriks HFJ. Short-chain fructo-oligosaccharides improve magnesium absorption in adolescent girls with a low calcium intake. Nutr Res. 2009;29:229–37. </w:t>
      </w:r>
    </w:p>
    <w:p w14:paraId="4CE92B81"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lastRenderedPageBreak/>
        <w:t xml:space="preserve">16. </w:t>
      </w:r>
      <w:r w:rsidRPr="00BC779C">
        <w:rPr>
          <w:rFonts w:ascii="Times New Roman" w:hAnsi="Times New Roman" w:cs="Times New Roman"/>
          <w:noProof/>
          <w:sz w:val="24"/>
          <w:szCs w:val="24"/>
        </w:rPr>
        <w:tab/>
        <w:t xml:space="preserve">Marshall WA, Tanner JM. Variations in pattern of pubertal changes in girls. Arch Dis Child. 1969;44:291–303. </w:t>
      </w:r>
    </w:p>
    <w:p w14:paraId="2836C8FC"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17. </w:t>
      </w:r>
      <w:r w:rsidRPr="00BC779C">
        <w:rPr>
          <w:rFonts w:ascii="Times New Roman" w:hAnsi="Times New Roman" w:cs="Times New Roman"/>
          <w:noProof/>
          <w:sz w:val="24"/>
          <w:szCs w:val="24"/>
        </w:rPr>
        <w:tab/>
        <w:t xml:space="preserve">Whisner CM, Martin BR, Schoterman MHC, Nakatsu CH, McCabe LD, McCabe GP, Wastney ME, van den Heuvel EGHM, Weaver CM. Galacto-oligosaccharides increase calcium absorption and gut bifidobacteria in young girls: a double-blind cross-over trial. Br J Nutr. 2013;110:1292–303. </w:t>
      </w:r>
    </w:p>
    <w:p w14:paraId="58C92C35"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18. </w:t>
      </w:r>
      <w:r w:rsidRPr="00BC779C">
        <w:rPr>
          <w:rFonts w:ascii="Times New Roman" w:hAnsi="Times New Roman" w:cs="Times New Roman"/>
          <w:noProof/>
          <w:sz w:val="24"/>
          <w:szCs w:val="24"/>
        </w:rPr>
        <w:tab/>
        <w:t xml:space="preserve">Zoran DL, Turner ND, Taddeo SS, Chapkin RS, Lupton JR. Wheat bran diet reduces tumor incidence in a rat model of colon cancer independent of effects on distal luminal butyrate concentrations. J Nutr. 1997;127:2217–25. </w:t>
      </w:r>
    </w:p>
    <w:p w14:paraId="38B1E417"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19. </w:t>
      </w:r>
      <w:r w:rsidRPr="00BC779C">
        <w:rPr>
          <w:rFonts w:ascii="Times New Roman" w:hAnsi="Times New Roman" w:cs="Times New Roman"/>
          <w:noProof/>
          <w:sz w:val="24"/>
          <w:szCs w:val="24"/>
        </w:rPr>
        <w:tab/>
        <w:t xml:space="preserve">Ringel-Kulka T, Choi CH, Temas D, Kim A, Maier DM, Scott K, Galanko JA, Ringel Y. Altered colonic bacterial fermentation as a potential pathophysiological factor in irritable bowel syndrome. Am J Gastroenterol. 2015;110:1339–46. </w:t>
      </w:r>
    </w:p>
    <w:p w14:paraId="1B882358"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20. </w:t>
      </w:r>
      <w:r w:rsidRPr="00BC779C">
        <w:rPr>
          <w:rFonts w:ascii="Times New Roman" w:hAnsi="Times New Roman" w:cs="Times New Roman"/>
          <w:noProof/>
          <w:sz w:val="24"/>
          <w:szCs w:val="24"/>
        </w:rPr>
        <w:tab/>
        <w:t xml:space="preserve">Liu Z, DeSantis TZ, Andersen GL, Knight R. Accurate taxonomy assignments from 16S rRNA sequences produced by highly parallel pyrosequencers. Nucleic Acids Res. 2008;36:e120. </w:t>
      </w:r>
    </w:p>
    <w:p w14:paraId="50C0AA67"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21. </w:t>
      </w:r>
      <w:r w:rsidRPr="00BC779C">
        <w:rPr>
          <w:rFonts w:ascii="Times New Roman" w:hAnsi="Times New Roman" w:cs="Times New Roman"/>
          <w:noProof/>
          <w:sz w:val="24"/>
          <w:szCs w:val="24"/>
        </w:rPr>
        <w:tab/>
        <w:t xml:space="preserve">Nossa CW, Oberdorf WE, Yang L, Aas JA, Paster BJ, Desantis TZ, Brodie EL, Malamud D, Poles MA, Pei Z. Design of 16S rRNA gene primers for 454 pyrosequencing of the human foregut microbiome. World J Gastroenterol. 2010;16:4135–44. </w:t>
      </w:r>
    </w:p>
    <w:p w14:paraId="0A561D8B"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22. </w:t>
      </w:r>
      <w:r w:rsidRPr="00BC779C">
        <w:rPr>
          <w:rFonts w:ascii="Times New Roman" w:hAnsi="Times New Roman" w:cs="Times New Roman"/>
          <w:noProof/>
          <w:sz w:val="24"/>
          <w:szCs w:val="24"/>
        </w:rPr>
        <w:tab/>
        <w:t xml:space="preserve">Caporaso JG, Kuczynski J, Stombaugh J, Bittinger K, Bushman FD, Costello EK, Fierer N, Peña AG, Goodrich JK, Gordon JI, et al. QIIME allows analysis of high-throughput community sequencing data. Nat Methods. 2010;7:335–6. </w:t>
      </w:r>
    </w:p>
    <w:p w14:paraId="24B81518"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23. </w:t>
      </w:r>
      <w:r w:rsidRPr="00BC779C">
        <w:rPr>
          <w:rFonts w:ascii="Times New Roman" w:hAnsi="Times New Roman" w:cs="Times New Roman"/>
          <w:noProof/>
          <w:sz w:val="24"/>
          <w:szCs w:val="24"/>
        </w:rPr>
        <w:tab/>
        <w:t xml:space="preserve">McDonald D, Price MN, Goodrich J, Nawrocki EP, DeSantis TZ, Probst A, Andersen GL, </w:t>
      </w:r>
      <w:r w:rsidRPr="00BC779C">
        <w:rPr>
          <w:rFonts w:ascii="Times New Roman" w:hAnsi="Times New Roman" w:cs="Times New Roman"/>
          <w:noProof/>
          <w:sz w:val="24"/>
          <w:szCs w:val="24"/>
        </w:rPr>
        <w:lastRenderedPageBreak/>
        <w:t xml:space="preserve">Knight R, Hugenholtz P. An improved Greengenes taxonomy with explicit ranks for ecological and evolutionary analyses of bacteria and archaea. ISME J. 2012;6:610–8. </w:t>
      </w:r>
    </w:p>
    <w:p w14:paraId="450E0B04"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24. </w:t>
      </w:r>
      <w:r w:rsidRPr="00BC779C">
        <w:rPr>
          <w:rFonts w:ascii="Times New Roman" w:hAnsi="Times New Roman" w:cs="Times New Roman"/>
          <w:noProof/>
          <w:sz w:val="24"/>
          <w:szCs w:val="24"/>
        </w:rPr>
        <w:tab/>
        <w:t xml:space="preserve">Edgar RC. Search and clustering orders of magnitude faster than BLAST. Bioinformatics. 2010;26:2460–1. </w:t>
      </w:r>
    </w:p>
    <w:p w14:paraId="46C9755D"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25. </w:t>
      </w:r>
      <w:r w:rsidRPr="00BC779C">
        <w:rPr>
          <w:rFonts w:ascii="Times New Roman" w:hAnsi="Times New Roman" w:cs="Times New Roman"/>
          <w:noProof/>
          <w:sz w:val="24"/>
          <w:szCs w:val="24"/>
        </w:rPr>
        <w:tab/>
        <w:t xml:space="preserve">Caporaso JG, Bittinger K, Bushman FD, DeSantis TZ, Andersen GL, Knight R. PyNAST: a flexible tool for aligning sequences to a template alignment. Bioinformatics. 2010;26:266–7. </w:t>
      </w:r>
    </w:p>
    <w:p w14:paraId="39A8539E"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26. </w:t>
      </w:r>
      <w:r w:rsidRPr="00BC779C">
        <w:rPr>
          <w:rFonts w:ascii="Times New Roman" w:hAnsi="Times New Roman" w:cs="Times New Roman"/>
          <w:noProof/>
          <w:sz w:val="24"/>
          <w:szCs w:val="24"/>
        </w:rPr>
        <w:tab/>
        <w:t xml:space="preserve">Hamady M, Lozupone C, Knight R. Fast UniFrac: facilitating high-throughput phylogenetic analyses of microbial communities including analysis of pyrosequencing and PhyloChip data. ISME J. 2010;4:17–27. </w:t>
      </w:r>
    </w:p>
    <w:p w14:paraId="099C9E48"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27. </w:t>
      </w:r>
      <w:r w:rsidRPr="00BC779C">
        <w:rPr>
          <w:rFonts w:ascii="Times New Roman" w:hAnsi="Times New Roman" w:cs="Times New Roman"/>
          <w:noProof/>
          <w:sz w:val="24"/>
          <w:szCs w:val="24"/>
        </w:rPr>
        <w:tab/>
        <w:t>PAST: Paleontological Statistics Package [Internet]. 2015 [cited 2015 Dec 28]. Available from: http://folk.uio.no/ohammer/past/index.html</w:t>
      </w:r>
    </w:p>
    <w:p w14:paraId="5870E761"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28. </w:t>
      </w:r>
      <w:r w:rsidRPr="00BC779C">
        <w:rPr>
          <w:rFonts w:ascii="Times New Roman" w:hAnsi="Times New Roman" w:cs="Times New Roman"/>
          <w:noProof/>
          <w:sz w:val="24"/>
          <w:szCs w:val="24"/>
        </w:rPr>
        <w:tab/>
        <w:t xml:space="preserve">Institute of Medicine. Dietary reference intakes for adequacy: calcium and vitamin D. Ross A, Taylor C, Yaktine A, Valle H, editors. National Academies Press (US); 2011. </w:t>
      </w:r>
    </w:p>
    <w:p w14:paraId="7E69490E"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29. </w:t>
      </w:r>
      <w:r w:rsidRPr="00BC779C">
        <w:rPr>
          <w:rFonts w:ascii="Times New Roman" w:hAnsi="Times New Roman" w:cs="Times New Roman"/>
          <w:noProof/>
          <w:sz w:val="24"/>
          <w:szCs w:val="24"/>
        </w:rPr>
        <w:tab/>
        <w:t xml:space="preserve">Committee DGA. Report of the dietary guidelines advisory committee on the dietary guidelines for americans, 2010, to the secretary of agriculture and the secretary of health and human services. Washington, DC; 2010. </w:t>
      </w:r>
    </w:p>
    <w:p w14:paraId="28248F9B"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30. </w:t>
      </w:r>
      <w:r w:rsidRPr="00BC779C">
        <w:rPr>
          <w:rFonts w:ascii="Times New Roman" w:hAnsi="Times New Roman" w:cs="Times New Roman"/>
          <w:noProof/>
          <w:sz w:val="24"/>
          <w:szCs w:val="24"/>
        </w:rPr>
        <w:tab/>
        <w:t xml:space="preserve">Levrat MA, Rémésy C, Demigné C. High propionic acid fermentations and mineral accumulation in the cecum of rats adapted to different levels of inulin. J Nutr. 1991;121:1730–7. </w:t>
      </w:r>
    </w:p>
    <w:p w14:paraId="1DA5E7FB"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31. </w:t>
      </w:r>
      <w:r w:rsidRPr="00BC779C">
        <w:rPr>
          <w:rFonts w:ascii="Times New Roman" w:hAnsi="Times New Roman" w:cs="Times New Roman"/>
          <w:noProof/>
          <w:sz w:val="24"/>
          <w:szCs w:val="24"/>
        </w:rPr>
        <w:tab/>
        <w:t xml:space="preserve">Brommage R, Binacua C, Antille S, Carrié AL. Intestinal calcium absorption in rats is stimulated by dietary lactulose and other resistant sugars. J Nutr. 1993;123:2186–94. </w:t>
      </w:r>
    </w:p>
    <w:p w14:paraId="00C14448"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lastRenderedPageBreak/>
        <w:t xml:space="preserve">32. </w:t>
      </w:r>
      <w:r w:rsidRPr="00BC779C">
        <w:rPr>
          <w:rFonts w:ascii="Times New Roman" w:hAnsi="Times New Roman" w:cs="Times New Roman"/>
          <w:noProof/>
          <w:sz w:val="24"/>
          <w:szCs w:val="24"/>
        </w:rPr>
        <w:tab/>
        <w:t xml:space="preserve">Jakeman S, Henry C, Martin B, McCabe G, McCabe L, Jackson G, Peacock M, Weaver C. Soluble corn fiber increases bone calcium retention in postmenopausal women in a dose-dependent manner. Am Soc Bone Min Res. 2015;SU0314. </w:t>
      </w:r>
    </w:p>
    <w:p w14:paraId="11652532"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33. </w:t>
      </w:r>
      <w:r w:rsidRPr="00BC779C">
        <w:rPr>
          <w:rFonts w:ascii="Times New Roman" w:hAnsi="Times New Roman" w:cs="Times New Roman"/>
          <w:noProof/>
          <w:sz w:val="24"/>
          <w:szCs w:val="24"/>
        </w:rPr>
        <w:tab/>
        <w:t xml:space="preserve">Abrams SA, Griffin IJ, Hawthorne KM, Liang L, Gunn SK, Darlington G, Ellis KJ. A combination of prebiotic short- and long-chain inulin-type fructans enhances calcium absorption and bone mineralization in young adolescents. Am J Clin Nutr. 2005;82:471–6. </w:t>
      </w:r>
    </w:p>
    <w:p w14:paraId="7050BAFD"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34. </w:t>
      </w:r>
      <w:r w:rsidRPr="00BC779C">
        <w:rPr>
          <w:rFonts w:ascii="Times New Roman" w:hAnsi="Times New Roman" w:cs="Times New Roman"/>
          <w:noProof/>
          <w:sz w:val="24"/>
          <w:szCs w:val="24"/>
        </w:rPr>
        <w:tab/>
        <w:t xml:space="preserve">Duranti S, Turroni F, Lugli GA, Milani C, Viappiani A, Mangifesta M, Gioiosa L, Palanza P, van Sinderen D, Ventura M. Genomic characterization and transcriptional studies of the starch-utilizing strain Bifidobacterium adolescentis 22L. Appl Environ Microbiol. 2014;80:6080–90. </w:t>
      </w:r>
    </w:p>
    <w:p w14:paraId="642280B8"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35. </w:t>
      </w:r>
      <w:r w:rsidRPr="00BC779C">
        <w:rPr>
          <w:rFonts w:ascii="Times New Roman" w:hAnsi="Times New Roman" w:cs="Times New Roman"/>
          <w:noProof/>
          <w:sz w:val="24"/>
          <w:szCs w:val="24"/>
        </w:rPr>
        <w:tab/>
        <w:t xml:space="preserve">Martínez I, Kim J, Duffy PR, Schlegel VL, Walter J. Resistant starches types 2 and 4 have differential effects on the composition of the fecal microbiota in human subjects. Heimesaat MM, editor. PLoS One. 2010;5:e15046. </w:t>
      </w:r>
    </w:p>
    <w:p w14:paraId="1AB0FE5E"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36. </w:t>
      </w:r>
      <w:r w:rsidRPr="00BC779C">
        <w:rPr>
          <w:rFonts w:ascii="Times New Roman" w:hAnsi="Times New Roman" w:cs="Times New Roman"/>
          <w:noProof/>
          <w:sz w:val="24"/>
          <w:szCs w:val="24"/>
        </w:rPr>
        <w:tab/>
        <w:t xml:space="preserve">Umu ÖCO, Frank JA, Fangel JU, Oostindjer M, da Silva CS, Bolhuis EJ, Bosch G, Willats WGT, Pope PB, Diep DB. Resistant starch diet induces change in the swine microbiome and a predominance of beneficial bacterial populations. Microbiome. BioMed Central Ltd; 2015;3:16. </w:t>
      </w:r>
    </w:p>
    <w:p w14:paraId="131B28BA"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37. </w:t>
      </w:r>
      <w:r w:rsidRPr="00BC779C">
        <w:rPr>
          <w:rFonts w:ascii="Times New Roman" w:hAnsi="Times New Roman" w:cs="Times New Roman"/>
          <w:noProof/>
          <w:sz w:val="24"/>
          <w:szCs w:val="24"/>
        </w:rPr>
        <w:tab/>
        <w:t xml:space="preserve">Hamaker BR, Tuncil YE. A perspective on the complexity of dietary fiber structures and their potential effect on the gut microbiota. J Mol Biol. 2014;426:3838–50. </w:t>
      </w:r>
    </w:p>
    <w:p w14:paraId="13F6337A"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38. </w:t>
      </w:r>
      <w:r w:rsidRPr="00BC779C">
        <w:rPr>
          <w:rFonts w:ascii="Times New Roman" w:hAnsi="Times New Roman" w:cs="Times New Roman"/>
          <w:noProof/>
          <w:sz w:val="24"/>
          <w:szCs w:val="24"/>
        </w:rPr>
        <w:tab/>
        <w:t xml:space="preserve">Martens EC, Koropatkin NM, Smith TJ, Gordon JI. Complex glycan catabolism by the human gut microbiota: the bacteroidetes sus-like paradigm. J Biol Chem. 2009;284:24673–7. </w:t>
      </w:r>
    </w:p>
    <w:p w14:paraId="672182DE"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lastRenderedPageBreak/>
        <w:t xml:space="preserve">39. </w:t>
      </w:r>
      <w:r w:rsidRPr="00BC779C">
        <w:rPr>
          <w:rFonts w:ascii="Times New Roman" w:hAnsi="Times New Roman" w:cs="Times New Roman"/>
          <w:noProof/>
          <w:sz w:val="24"/>
          <w:szCs w:val="24"/>
        </w:rPr>
        <w:tab/>
        <w:t xml:space="preserve">Turroni F, Taverniti V, Ruas-Madiedo P, Duranti S, Guglielmetti S, Lugli GA, Gioiosa L, Palanza P, Margolles A, van Sinderen D, et al. Bifidobacterium bifidum PRL2010 modulates the host innate immune response. Appl Environ Microbiol. 2013;80:730–40. </w:t>
      </w:r>
    </w:p>
    <w:p w14:paraId="0BA67DA8"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40. </w:t>
      </w:r>
      <w:r w:rsidRPr="00BC779C">
        <w:rPr>
          <w:rFonts w:ascii="Times New Roman" w:hAnsi="Times New Roman" w:cs="Times New Roman"/>
          <w:noProof/>
          <w:sz w:val="24"/>
          <w:szCs w:val="24"/>
        </w:rPr>
        <w:tab/>
        <w:t xml:space="preserve">Le Chatelier E, Nielsen T, Qin J, Prifti E, Hildebrand F, Falony G, Almeida M, Arumugam M, Batto J-M, Kennedy S, et al. Richness of human gut microbiome correlates with metabolic markers. Nature. 2013;500:541–6. </w:t>
      </w:r>
    </w:p>
    <w:p w14:paraId="0D2F44F1"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41. </w:t>
      </w:r>
      <w:r w:rsidRPr="00BC779C">
        <w:rPr>
          <w:rFonts w:ascii="Times New Roman" w:hAnsi="Times New Roman" w:cs="Times New Roman"/>
          <w:noProof/>
          <w:sz w:val="24"/>
          <w:szCs w:val="24"/>
        </w:rPr>
        <w:tab/>
        <w:t xml:space="preserve">Scholz-Ahrens KE, Ade P, Marten B, Weber P, Timm W, Açil Y, Gluer C-C, Schrezenmeir J. Prebiotics, probiotics, and synbiotics affect mineral absorption, bone mineral content, and bone structure. J Nutr. 2007;137:838S – 846. </w:t>
      </w:r>
    </w:p>
    <w:p w14:paraId="697479C9"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42. </w:t>
      </w:r>
      <w:r w:rsidRPr="00BC779C">
        <w:rPr>
          <w:rFonts w:ascii="Times New Roman" w:hAnsi="Times New Roman" w:cs="Times New Roman"/>
          <w:noProof/>
          <w:sz w:val="24"/>
          <w:szCs w:val="24"/>
        </w:rPr>
        <w:tab/>
        <w:t xml:space="preserve">Park C, Weaver C. Calcium and bone health: influence of prebiotics. Funct Food Rev. 2011;3:62–72. </w:t>
      </w:r>
    </w:p>
    <w:p w14:paraId="3471029D" w14:textId="188000DB"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43. </w:t>
      </w:r>
      <w:r w:rsidRPr="00BC779C">
        <w:rPr>
          <w:rFonts w:ascii="Times New Roman" w:hAnsi="Times New Roman" w:cs="Times New Roman"/>
          <w:noProof/>
          <w:sz w:val="24"/>
          <w:szCs w:val="24"/>
        </w:rPr>
        <w:tab/>
        <w:t>Weaver CM, Jackeman S. Prebiotics, calcium absorption, and bone health. Proceedings of the 9th international symposium on nutritional aspects of osteoporosis. 2016. [in press]</w:t>
      </w:r>
    </w:p>
    <w:p w14:paraId="6E7E1EC5"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44. </w:t>
      </w:r>
      <w:r w:rsidRPr="00BC779C">
        <w:rPr>
          <w:rFonts w:ascii="Times New Roman" w:hAnsi="Times New Roman" w:cs="Times New Roman"/>
          <w:noProof/>
          <w:sz w:val="24"/>
          <w:szCs w:val="24"/>
        </w:rPr>
        <w:tab/>
        <w:t xml:space="preserve">Roy CC, Kien CL, Bouthillier L, Levy E. Short-chain fatty acids: ready for prime time? Nutr Clin Pract. 2006;21:351–66. </w:t>
      </w:r>
    </w:p>
    <w:p w14:paraId="776F4E52"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45. </w:t>
      </w:r>
      <w:r w:rsidRPr="00BC779C">
        <w:rPr>
          <w:rFonts w:ascii="Times New Roman" w:hAnsi="Times New Roman" w:cs="Times New Roman"/>
          <w:noProof/>
          <w:sz w:val="24"/>
          <w:szCs w:val="24"/>
        </w:rPr>
        <w:tab/>
        <w:t xml:space="preserve">Keenan M, Zhou J, Senevirathne R, Janes M, Martin R. Lower gut hormones and health effects associated with consumption of fermentable fibers. In: Paeschke T, Aimutis W, editors. Nondigestible carbohydrates and digestive health. Wiley-Blackwell; 2010. p. 352. </w:t>
      </w:r>
    </w:p>
    <w:p w14:paraId="041C8938"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46. </w:t>
      </w:r>
      <w:r w:rsidRPr="00BC779C">
        <w:rPr>
          <w:rFonts w:ascii="Times New Roman" w:hAnsi="Times New Roman" w:cs="Times New Roman"/>
          <w:noProof/>
          <w:sz w:val="24"/>
          <w:szCs w:val="24"/>
        </w:rPr>
        <w:tab/>
        <w:t xml:space="preserve">Walker AW, Ince J, Duncan SH, Webster LM, Holtrop G, Ze X, Brown D, Stares MD, Scott P, Bergerat A, et al. Dominant and diet-responsive groups of bacteria within the human colonic microbiota. ISME J. 2011;5:220–30. </w:t>
      </w:r>
    </w:p>
    <w:p w14:paraId="55C8CC56"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szCs w:val="24"/>
        </w:rPr>
      </w:pPr>
      <w:r w:rsidRPr="00BC779C">
        <w:rPr>
          <w:rFonts w:ascii="Times New Roman" w:hAnsi="Times New Roman" w:cs="Times New Roman"/>
          <w:noProof/>
          <w:sz w:val="24"/>
          <w:szCs w:val="24"/>
        </w:rPr>
        <w:t xml:space="preserve">47. </w:t>
      </w:r>
      <w:r w:rsidRPr="00BC779C">
        <w:rPr>
          <w:rFonts w:ascii="Times New Roman" w:hAnsi="Times New Roman" w:cs="Times New Roman"/>
          <w:noProof/>
          <w:sz w:val="24"/>
          <w:szCs w:val="24"/>
        </w:rPr>
        <w:tab/>
        <w:t xml:space="preserve">Hooda S, Boler BMV, Serao MCR, Brulc JM, Staeger MA, Boileau TW, Dowd SE, Fahey </w:t>
      </w:r>
      <w:r w:rsidRPr="00BC779C">
        <w:rPr>
          <w:rFonts w:ascii="Times New Roman" w:hAnsi="Times New Roman" w:cs="Times New Roman"/>
          <w:noProof/>
          <w:sz w:val="24"/>
          <w:szCs w:val="24"/>
        </w:rPr>
        <w:lastRenderedPageBreak/>
        <w:t xml:space="preserve">GC, Swanson KS. 454 pyrosequencing reveals a shift in fecal microbiota of healthy adult men consuming polydextrose or soluble corn fiber. J Nutr. 2012;142:1259–65. </w:t>
      </w:r>
    </w:p>
    <w:p w14:paraId="1353D26A" w14:textId="77777777" w:rsidR="00F55607" w:rsidRPr="00BC779C" w:rsidRDefault="00F55607" w:rsidP="003E5C9E">
      <w:pPr>
        <w:widowControl w:val="0"/>
        <w:suppressLineNumbers/>
        <w:autoSpaceDE w:val="0"/>
        <w:autoSpaceDN w:val="0"/>
        <w:adjustRightInd w:val="0"/>
        <w:spacing w:after="100" w:line="480" w:lineRule="auto"/>
        <w:ind w:left="640" w:hanging="640"/>
        <w:rPr>
          <w:rFonts w:ascii="Times New Roman" w:hAnsi="Times New Roman" w:cs="Times New Roman"/>
          <w:noProof/>
          <w:sz w:val="24"/>
        </w:rPr>
      </w:pPr>
      <w:r w:rsidRPr="00BC779C">
        <w:rPr>
          <w:rFonts w:ascii="Times New Roman" w:hAnsi="Times New Roman" w:cs="Times New Roman"/>
          <w:noProof/>
          <w:sz w:val="24"/>
          <w:szCs w:val="24"/>
        </w:rPr>
        <w:t xml:space="preserve">48. </w:t>
      </w:r>
      <w:r w:rsidRPr="00BC779C">
        <w:rPr>
          <w:rFonts w:ascii="Times New Roman" w:hAnsi="Times New Roman" w:cs="Times New Roman"/>
          <w:noProof/>
          <w:sz w:val="24"/>
          <w:szCs w:val="24"/>
        </w:rPr>
        <w:tab/>
        <w:t xml:space="preserve">Clavijo-Gutierrez A. Response of human gut microbiota to diet supplementation with soy or soluble corn fiber. Purdue University; 2013. </w:t>
      </w:r>
    </w:p>
    <w:p w14:paraId="6919E804" w14:textId="77777777" w:rsidR="00335EC6" w:rsidRPr="00BC779C" w:rsidRDefault="0000130F" w:rsidP="003E5C9E">
      <w:pPr>
        <w:suppressLineNumbers/>
        <w:spacing w:after="100" w:line="480" w:lineRule="auto"/>
        <w:rPr>
          <w:rFonts w:ascii="Times New Roman" w:hAnsi="Times New Roman" w:cs="Times New Roman"/>
          <w:sz w:val="24"/>
          <w:szCs w:val="24"/>
          <w:lang w:val="en-IE"/>
        </w:rPr>
      </w:pPr>
      <w:r w:rsidRPr="00BC779C">
        <w:rPr>
          <w:rFonts w:ascii="Times New Roman" w:hAnsi="Times New Roman" w:cs="Times New Roman"/>
          <w:sz w:val="24"/>
          <w:szCs w:val="24"/>
          <w:lang w:val="en-IE"/>
        </w:rPr>
        <w:fldChar w:fldCharType="end"/>
      </w:r>
    </w:p>
    <w:p w14:paraId="2D63D599" w14:textId="77777777" w:rsidR="00335EC6" w:rsidRPr="00BC779C" w:rsidRDefault="00335EC6" w:rsidP="00335EC6">
      <w:pPr>
        <w:suppressLineNumbers/>
        <w:spacing w:after="100" w:line="480" w:lineRule="auto"/>
        <w:rPr>
          <w:rFonts w:ascii="Times New Roman" w:hAnsi="Times New Roman" w:cs="Times New Roman"/>
          <w:sz w:val="24"/>
          <w:szCs w:val="24"/>
          <w:lang w:val="en-IE"/>
        </w:rPr>
      </w:pPr>
    </w:p>
    <w:p w14:paraId="6A060F3E" w14:textId="77777777" w:rsidR="00335EC6" w:rsidRPr="00BC779C" w:rsidRDefault="00335EC6" w:rsidP="00335EC6">
      <w:pPr>
        <w:suppressLineNumbers/>
        <w:spacing w:after="100" w:line="480" w:lineRule="auto"/>
        <w:rPr>
          <w:rFonts w:ascii="Times New Roman" w:hAnsi="Times New Roman" w:cs="Times New Roman"/>
          <w:sz w:val="24"/>
          <w:szCs w:val="24"/>
          <w:lang w:val="en-IE"/>
        </w:rPr>
      </w:pPr>
    </w:p>
    <w:p w14:paraId="3F5F15D2"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3DD4DED3"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2A750DB6"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679BB66A"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5BB1DC4B"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515D16A4"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7B3A72E8"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0C572C9D"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0757401B"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394300B5"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5A7F02BC"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741652B0"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176F1131" w14:textId="77777777" w:rsidR="006C714E" w:rsidRPr="00BC779C" w:rsidRDefault="006C714E" w:rsidP="00335EC6">
      <w:pPr>
        <w:suppressLineNumbers/>
        <w:spacing w:after="100" w:line="480" w:lineRule="auto"/>
        <w:rPr>
          <w:rFonts w:ascii="Times New Roman" w:hAnsi="Times New Roman" w:cs="Times New Roman"/>
          <w:b/>
          <w:sz w:val="24"/>
          <w:szCs w:val="24"/>
          <w:lang w:val="en-IE"/>
        </w:rPr>
      </w:pPr>
    </w:p>
    <w:p w14:paraId="46B8DCCC" w14:textId="21E6C6C2" w:rsidR="00A76EF5" w:rsidRPr="00BC779C" w:rsidRDefault="00A76EF5" w:rsidP="00335EC6">
      <w:pPr>
        <w:suppressLineNumbers/>
        <w:spacing w:after="100" w:line="480" w:lineRule="auto"/>
        <w:rPr>
          <w:rFonts w:ascii="Times New Roman" w:hAnsi="Times New Roman" w:cs="Times New Roman"/>
          <w:b/>
          <w:sz w:val="24"/>
          <w:szCs w:val="24"/>
          <w:lang w:val="en-IE"/>
        </w:rPr>
      </w:pPr>
      <w:r w:rsidRPr="00BC779C">
        <w:rPr>
          <w:rFonts w:ascii="Times New Roman" w:hAnsi="Times New Roman" w:cs="Times New Roman"/>
          <w:b/>
          <w:sz w:val="24"/>
          <w:szCs w:val="24"/>
          <w:lang w:val="en-IE"/>
        </w:rPr>
        <w:lastRenderedPageBreak/>
        <w:t>Figure Legend</w:t>
      </w:r>
    </w:p>
    <w:p w14:paraId="32EDAE3C" w14:textId="77777777" w:rsidR="003B4495" w:rsidRPr="00BC779C" w:rsidRDefault="00A76EF5" w:rsidP="003B4495">
      <w:pPr>
        <w:suppressLineNumbers/>
        <w:spacing w:after="100" w:afterAutospacing="1" w:line="480" w:lineRule="auto"/>
        <w:rPr>
          <w:rFonts w:ascii="Times New Roman" w:hAnsi="Times New Roman" w:cs="Times New Roman"/>
          <w:sz w:val="24"/>
          <w:szCs w:val="24"/>
          <w:lang w:val="en-IE"/>
        </w:rPr>
      </w:pPr>
      <w:r w:rsidRPr="00BC779C">
        <w:rPr>
          <w:rFonts w:ascii="Times New Roman" w:hAnsi="Times New Roman" w:cs="Times New Roman"/>
          <w:b/>
          <w:sz w:val="24"/>
          <w:szCs w:val="24"/>
          <w:lang w:val="en-IE"/>
        </w:rPr>
        <w:t>Figure 1.</w:t>
      </w:r>
      <w:r w:rsidRPr="00BC779C">
        <w:rPr>
          <w:rFonts w:ascii="Times New Roman" w:hAnsi="Times New Roman" w:cs="Times New Roman"/>
          <w:sz w:val="24"/>
          <w:szCs w:val="24"/>
          <w:lang w:val="en-IE"/>
        </w:rPr>
        <w:t xml:space="preserve"> </w:t>
      </w:r>
      <w:r w:rsidR="00EB19DE" w:rsidRPr="00BC779C">
        <w:rPr>
          <w:rFonts w:ascii="Times New Roman" w:hAnsi="Times New Roman" w:cs="Times New Roman"/>
          <w:sz w:val="24"/>
          <w:szCs w:val="24"/>
          <w:lang w:val="en-IE"/>
        </w:rPr>
        <w:t xml:space="preserve">Diagram of </w:t>
      </w:r>
      <w:r w:rsidRPr="00BC779C">
        <w:rPr>
          <w:rFonts w:ascii="Times New Roman" w:hAnsi="Times New Roman" w:cs="Times New Roman"/>
          <w:sz w:val="24"/>
          <w:szCs w:val="24"/>
          <w:lang w:val="en-IE"/>
        </w:rPr>
        <w:t>recruitment and retention</w:t>
      </w:r>
      <w:r w:rsidR="00EB19DE" w:rsidRPr="00BC779C">
        <w:rPr>
          <w:rFonts w:ascii="Times New Roman" w:hAnsi="Times New Roman" w:cs="Times New Roman"/>
          <w:sz w:val="24"/>
          <w:szCs w:val="24"/>
          <w:lang w:val="en-IE"/>
        </w:rPr>
        <w:t xml:space="preserve"> flow throughout this crossover study of adolescent girls.</w:t>
      </w:r>
    </w:p>
    <w:p w14:paraId="34B3D600" w14:textId="6478C7C9" w:rsidR="00A76EF5" w:rsidRPr="00BC779C" w:rsidRDefault="00A76EF5" w:rsidP="003B4495">
      <w:pPr>
        <w:suppressLineNumbers/>
        <w:spacing w:after="100" w:afterAutospacing="1" w:line="480" w:lineRule="auto"/>
        <w:rPr>
          <w:rFonts w:ascii="Times New Roman" w:hAnsi="Times New Roman" w:cs="Times New Roman"/>
          <w:sz w:val="24"/>
          <w:szCs w:val="24"/>
          <w:lang w:val="en-IE"/>
        </w:rPr>
      </w:pPr>
      <w:r w:rsidRPr="00BC779C">
        <w:rPr>
          <w:rFonts w:ascii="Times New Roman" w:hAnsi="Times New Roman" w:cs="Times New Roman"/>
          <w:b/>
          <w:sz w:val="24"/>
          <w:szCs w:val="24"/>
          <w:lang w:val="en-IE"/>
        </w:rPr>
        <w:t xml:space="preserve">Figure 2. </w:t>
      </w:r>
      <w:r w:rsidRPr="00BC779C">
        <w:rPr>
          <w:rFonts w:ascii="Times New Roman" w:hAnsi="Times New Roman" w:cs="Times New Roman"/>
          <w:sz w:val="24"/>
          <w:szCs w:val="24"/>
          <w:lang w:val="en-IE"/>
        </w:rPr>
        <w:t xml:space="preserve">Fractional calcium absorption based on </w:t>
      </w:r>
      <w:r w:rsidR="00A7763C" w:rsidRPr="00BC779C">
        <w:rPr>
          <w:rFonts w:ascii="Times New Roman" w:hAnsi="Times New Roman" w:cs="Times New Roman"/>
          <w:sz w:val="24"/>
          <w:szCs w:val="24"/>
          <w:lang w:val="en-IE"/>
        </w:rPr>
        <w:t xml:space="preserve">oral and intravenous </w:t>
      </w:r>
      <w:r w:rsidRPr="00BC779C">
        <w:rPr>
          <w:rFonts w:ascii="Times New Roman" w:hAnsi="Times New Roman" w:cs="Times New Roman"/>
          <w:sz w:val="24"/>
          <w:szCs w:val="24"/>
          <w:lang w:val="en-IE"/>
        </w:rPr>
        <w:t>isotope excretion in 12 hour urine pools</w:t>
      </w:r>
      <w:r w:rsidR="00EB19DE" w:rsidRPr="00BC779C">
        <w:rPr>
          <w:rFonts w:ascii="Times New Roman" w:hAnsi="Times New Roman" w:cs="Times New Roman"/>
          <w:sz w:val="24"/>
          <w:szCs w:val="24"/>
          <w:lang w:val="en-IE"/>
        </w:rPr>
        <w:t xml:space="preserve"> collected over 48 hours in healthy girls after consuming 0, 10 and 20 g</w:t>
      </w:r>
      <w:r w:rsidR="00E64972" w:rsidRPr="00BC779C">
        <w:rPr>
          <w:rFonts w:ascii="Times New Roman" w:hAnsi="Times New Roman" w:cs="Times New Roman"/>
          <w:sz w:val="24"/>
          <w:szCs w:val="24"/>
          <w:lang w:val="en-IE"/>
        </w:rPr>
        <w:t xml:space="preserve"> fiber</w:t>
      </w:r>
      <w:r w:rsidR="00EB19DE" w:rsidRPr="00BC779C">
        <w:rPr>
          <w:rFonts w:ascii="Times New Roman" w:hAnsi="Times New Roman" w:cs="Times New Roman"/>
          <w:sz w:val="24"/>
          <w:szCs w:val="24"/>
          <w:lang w:val="en-IE"/>
        </w:rPr>
        <w:t xml:space="preserve">/d </w:t>
      </w:r>
      <w:r w:rsidR="00E64972" w:rsidRPr="00BC779C">
        <w:rPr>
          <w:rFonts w:ascii="Times New Roman" w:hAnsi="Times New Roman" w:cs="Times New Roman"/>
          <w:sz w:val="24"/>
          <w:szCs w:val="24"/>
          <w:lang w:val="en-IE"/>
        </w:rPr>
        <w:t>from</w:t>
      </w:r>
      <w:r w:rsidR="00EB19DE" w:rsidRPr="00BC779C">
        <w:rPr>
          <w:rFonts w:ascii="Times New Roman" w:hAnsi="Times New Roman" w:cs="Times New Roman"/>
          <w:sz w:val="24"/>
          <w:szCs w:val="24"/>
          <w:lang w:val="en-IE"/>
        </w:rPr>
        <w:t xml:space="preserve"> SCF</w:t>
      </w:r>
      <w:r w:rsidR="004332ED" w:rsidRPr="00BC779C">
        <w:rPr>
          <w:rFonts w:ascii="Times New Roman" w:hAnsi="Times New Roman" w:cs="Times New Roman"/>
          <w:sz w:val="24"/>
          <w:szCs w:val="24"/>
          <w:lang w:val="en-IE"/>
        </w:rPr>
        <w:t xml:space="preserve"> </w:t>
      </w:r>
      <w:r w:rsidR="00EB19DE" w:rsidRPr="00BC779C">
        <w:rPr>
          <w:rFonts w:ascii="Times New Roman" w:hAnsi="Times New Roman" w:cs="Times New Roman"/>
          <w:sz w:val="24"/>
          <w:szCs w:val="24"/>
          <w:lang w:val="en-IE"/>
        </w:rPr>
        <w:t>for 4 weeks</w:t>
      </w:r>
      <w:r w:rsidR="004332ED" w:rsidRPr="00BC779C">
        <w:rPr>
          <w:rFonts w:ascii="Times New Roman" w:hAnsi="Times New Roman" w:cs="Times New Roman"/>
          <w:sz w:val="24"/>
          <w:szCs w:val="24"/>
          <w:lang w:val="en-IE"/>
        </w:rPr>
        <w:t xml:space="preserve"> each</w:t>
      </w:r>
      <w:r w:rsidR="00ED52C5" w:rsidRPr="00BC779C">
        <w:rPr>
          <w:rFonts w:ascii="Times New Roman" w:hAnsi="Times New Roman" w:cs="Times New Roman"/>
          <w:sz w:val="24"/>
          <w:szCs w:val="24"/>
          <w:lang w:val="en-IE"/>
        </w:rPr>
        <w:t xml:space="preserve"> in crossover study</w:t>
      </w:r>
      <w:r w:rsidRPr="00BC779C">
        <w:rPr>
          <w:rFonts w:ascii="Times New Roman" w:hAnsi="Times New Roman" w:cs="Times New Roman"/>
          <w:sz w:val="24"/>
          <w:szCs w:val="24"/>
          <w:lang w:val="en-IE"/>
        </w:rPr>
        <w:t xml:space="preserve">. </w:t>
      </w:r>
      <w:r w:rsidR="00EB19DE" w:rsidRPr="00BC779C">
        <w:rPr>
          <w:rFonts w:ascii="Times New Roman" w:hAnsi="Times New Roman" w:cs="Times New Roman"/>
          <w:sz w:val="24"/>
          <w:szCs w:val="24"/>
          <w:lang w:val="en-IE"/>
        </w:rPr>
        <w:t>Data are presented as means ± SEMs (</w:t>
      </w:r>
      <w:r w:rsidR="00EB19DE" w:rsidRPr="00BC779C">
        <w:rPr>
          <w:rFonts w:ascii="Times New Roman" w:hAnsi="Times New Roman" w:cs="Times New Roman"/>
          <w:i/>
          <w:sz w:val="24"/>
          <w:szCs w:val="24"/>
          <w:lang w:val="en-IE"/>
        </w:rPr>
        <w:t>n</w:t>
      </w:r>
      <w:r w:rsidR="00F41A46" w:rsidRPr="00BC779C">
        <w:rPr>
          <w:rFonts w:ascii="Times New Roman" w:hAnsi="Times New Roman" w:cs="Times New Roman"/>
          <w:sz w:val="24"/>
          <w:szCs w:val="24"/>
          <w:lang w:val="en-IE"/>
        </w:rPr>
        <w:t xml:space="preserve"> </w:t>
      </w:r>
      <w:r w:rsidR="00EB19DE" w:rsidRPr="00BC779C">
        <w:rPr>
          <w:rFonts w:ascii="Times New Roman" w:hAnsi="Times New Roman" w:cs="Times New Roman"/>
          <w:sz w:val="24"/>
          <w:szCs w:val="24"/>
          <w:lang w:val="en-IE"/>
        </w:rPr>
        <w:t>=</w:t>
      </w:r>
      <w:r w:rsidR="00F41A46" w:rsidRPr="00BC779C">
        <w:rPr>
          <w:rFonts w:ascii="Times New Roman" w:hAnsi="Times New Roman" w:cs="Times New Roman"/>
          <w:sz w:val="24"/>
          <w:szCs w:val="24"/>
          <w:lang w:val="en-IE"/>
        </w:rPr>
        <w:t xml:space="preserve"> </w:t>
      </w:r>
      <w:r w:rsidR="00EB19DE" w:rsidRPr="00BC779C">
        <w:rPr>
          <w:rFonts w:ascii="Times New Roman" w:hAnsi="Times New Roman" w:cs="Times New Roman"/>
          <w:sz w:val="24"/>
          <w:szCs w:val="24"/>
          <w:lang w:val="en-IE"/>
        </w:rPr>
        <w:t>28)</w:t>
      </w:r>
      <w:r w:rsidR="004332ED" w:rsidRPr="00BC779C">
        <w:rPr>
          <w:rFonts w:ascii="Times New Roman" w:hAnsi="Times New Roman" w:cs="Times New Roman"/>
          <w:sz w:val="24"/>
          <w:szCs w:val="24"/>
          <w:lang w:val="en-IE"/>
        </w:rPr>
        <w:t xml:space="preserve"> following analysis by ANOVA</w:t>
      </w:r>
      <w:r w:rsidR="00EB19DE" w:rsidRPr="00BC779C">
        <w:rPr>
          <w:rFonts w:ascii="Times New Roman" w:hAnsi="Times New Roman" w:cs="Times New Roman"/>
          <w:sz w:val="24"/>
          <w:szCs w:val="24"/>
          <w:lang w:val="en-IE"/>
        </w:rPr>
        <w:t xml:space="preserve">. </w:t>
      </w:r>
      <w:r w:rsidR="00A7763C" w:rsidRPr="00BC779C">
        <w:rPr>
          <w:rFonts w:ascii="Times New Roman" w:hAnsi="Times New Roman" w:cs="Times New Roman"/>
          <w:sz w:val="24"/>
          <w:szCs w:val="24"/>
          <w:lang w:val="en-IE"/>
        </w:rPr>
        <w:t>Effects of SCF on calcium absorption over time were assessed by mixed model Analysis of Variance</w:t>
      </w:r>
      <w:r w:rsidR="00F41A46" w:rsidRPr="00BC779C">
        <w:rPr>
          <w:rFonts w:ascii="Times New Roman" w:hAnsi="Times New Roman" w:cs="Times New Roman"/>
          <w:sz w:val="24"/>
          <w:szCs w:val="24"/>
          <w:lang w:val="en-IE"/>
        </w:rPr>
        <w:t xml:space="preserve"> including variables for crossover session, intervention sequence, and time. Following Bonferroni correction to adjust for multiple comparisons, no treatment or time differences were observed, </w:t>
      </w:r>
      <w:r w:rsidR="00F41A46" w:rsidRPr="00BC779C">
        <w:rPr>
          <w:rFonts w:ascii="Times New Roman" w:hAnsi="Times New Roman" w:cs="Times New Roman"/>
          <w:i/>
          <w:sz w:val="24"/>
          <w:szCs w:val="24"/>
          <w:lang w:val="en-IE"/>
        </w:rPr>
        <w:t>P</w:t>
      </w:r>
      <w:r w:rsidR="00F41A46" w:rsidRPr="00BC779C">
        <w:rPr>
          <w:rFonts w:ascii="Times New Roman" w:hAnsi="Times New Roman" w:cs="Times New Roman"/>
          <w:sz w:val="24"/>
          <w:szCs w:val="24"/>
          <w:lang w:val="en-IE"/>
        </w:rPr>
        <w:t xml:space="preserve"> ≥ 0.05</w:t>
      </w:r>
      <w:r w:rsidR="00950E56" w:rsidRPr="00BC779C">
        <w:rPr>
          <w:rFonts w:ascii="Times New Roman" w:hAnsi="Times New Roman" w:cs="Times New Roman"/>
          <w:sz w:val="24"/>
          <w:szCs w:val="24"/>
          <w:lang w:val="en-IE"/>
        </w:rPr>
        <w:t>. SCF, soluble corn fiber</w:t>
      </w:r>
      <w:r w:rsidR="00F41A46" w:rsidRPr="00BC779C">
        <w:rPr>
          <w:rFonts w:ascii="Times New Roman" w:hAnsi="Times New Roman" w:cs="Times New Roman"/>
          <w:sz w:val="24"/>
          <w:szCs w:val="24"/>
          <w:lang w:val="en-IE"/>
        </w:rPr>
        <w:t xml:space="preserve">. </w:t>
      </w:r>
    </w:p>
    <w:p w14:paraId="466A274A" w14:textId="5C6281D1" w:rsidR="003B4495" w:rsidRPr="00BC779C" w:rsidRDefault="00EE559C" w:rsidP="003B4495">
      <w:pPr>
        <w:suppressLineNumbers/>
        <w:spacing w:after="0" w:line="480" w:lineRule="auto"/>
        <w:rPr>
          <w:rFonts w:ascii="Times New Roman" w:hAnsi="Times New Roman" w:cs="Times New Roman"/>
          <w:sz w:val="24"/>
          <w:szCs w:val="24"/>
        </w:rPr>
      </w:pPr>
      <w:r w:rsidRPr="00BC779C">
        <w:rPr>
          <w:rFonts w:ascii="Times New Roman" w:hAnsi="Times New Roman" w:cs="Times New Roman"/>
          <w:b/>
          <w:sz w:val="24"/>
          <w:szCs w:val="24"/>
        </w:rPr>
        <w:t>Figure 3.</w:t>
      </w:r>
      <w:r w:rsidR="00F559CE" w:rsidRPr="00BC779C">
        <w:rPr>
          <w:rFonts w:ascii="Times New Roman" w:hAnsi="Times New Roman" w:cs="Times New Roman"/>
          <w:b/>
          <w:sz w:val="24"/>
          <w:szCs w:val="24"/>
        </w:rPr>
        <w:t xml:space="preserve"> </w:t>
      </w:r>
      <w:r w:rsidR="00DA4B95" w:rsidRPr="00BC779C">
        <w:rPr>
          <w:rFonts w:ascii="Times New Roman" w:hAnsi="Times New Roman" w:cs="Times New Roman"/>
          <w:sz w:val="24"/>
          <w:szCs w:val="24"/>
        </w:rPr>
        <w:t xml:space="preserve">Serum and urine biochemical markers of bone turnover in </w:t>
      </w:r>
      <w:r w:rsidR="00E64972" w:rsidRPr="00BC779C">
        <w:rPr>
          <w:rFonts w:ascii="Times New Roman" w:hAnsi="Times New Roman" w:cs="Times New Roman"/>
          <w:sz w:val="24"/>
          <w:szCs w:val="24"/>
        </w:rPr>
        <w:t>healthy girls</w:t>
      </w:r>
      <w:r w:rsidR="00DA4B95" w:rsidRPr="00BC779C">
        <w:rPr>
          <w:rFonts w:ascii="Times New Roman" w:hAnsi="Times New Roman" w:cs="Times New Roman"/>
          <w:sz w:val="24"/>
          <w:szCs w:val="24"/>
        </w:rPr>
        <w:t xml:space="preserve"> fed 0, 10 and 20 g</w:t>
      </w:r>
      <w:r w:rsidR="00E64972" w:rsidRPr="00BC779C">
        <w:rPr>
          <w:rFonts w:ascii="Times New Roman" w:hAnsi="Times New Roman" w:cs="Times New Roman"/>
          <w:sz w:val="24"/>
          <w:szCs w:val="24"/>
        </w:rPr>
        <w:t xml:space="preserve"> fiber/d </w:t>
      </w:r>
      <w:r w:rsidR="00DA4B95" w:rsidRPr="00BC779C">
        <w:rPr>
          <w:rFonts w:ascii="Times New Roman" w:hAnsi="Times New Roman" w:cs="Times New Roman"/>
          <w:sz w:val="24"/>
          <w:szCs w:val="24"/>
        </w:rPr>
        <w:t>from SCF for 4 weeks</w:t>
      </w:r>
      <w:r w:rsidR="004332ED" w:rsidRPr="00BC779C">
        <w:rPr>
          <w:rFonts w:ascii="Times New Roman" w:hAnsi="Times New Roman" w:cs="Times New Roman"/>
          <w:sz w:val="24"/>
          <w:szCs w:val="24"/>
        </w:rPr>
        <w:t xml:space="preserve"> each</w:t>
      </w:r>
      <w:r w:rsidR="00DA4B95" w:rsidRPr="00BC779C">
        <w:rPr>
          <w:rFonts w:ascii="Times New Roman" w:hAnsi="Times New Roman" w:cs="Times New Roman"/>
          <w:sz w:val="24"/>
          <w:szCs w:val="24"/>
        </w:rPr>
        <w:t xml:space="preserve"> in crossover study. Data are presented as mean ± SEMs</w:t>
      </w:r>
      <w:r w:rsidR="00A961BD" w:rsidRPr="00BC779C">
        <w:rPr>
          <w:rFonts w:ascii="Times New Roman" w:hAnsi="Times New Roman" w:cs="Times New Roman"/>
          <w:sz w:val="24"/>
          <w:szCs w:val="24"/>
        </w:rPr>
        <w:t xml:space="preserve"> (</w:t>
      </w:r>
      <w:r w:rsidR="00A961BD" w:rsidRPr="00BC779C">
        <w:rPr>
          <w:rFonts w:ascii="Times New Roman" w:hAnsi="Times New Roman" w:cs="Times New Roman"/>
          <w:i/>
          <w:sz w:val="24"/>
          <w:szCs w:val="24"/>
        </w:rPr>
        <w:t>n</w:t>
      </w:r>
      <w:r w:rsidR="00A961BD" w:rsidRPr="00BC779C">
        <w:rPr>
          <w:rFonts w:ascii="Times New Roman" w:hAnsi="Times New Roman" w:cs="Times New Roman"/>
          <w:sz w:val="24"/>
          <w:szCs w:val="24"/>
        </w:rPr>
        <w:t xml:space="preserve"> = 28)</w:t>
      </w:r>
      <w:r w:rsidR="00DA4B95" w:rsidRPr="00BC779C">
        <w:rPr>
          <w:rFonts w:ascii="Times New Roman" w:hAnsi="Times New Roman" w:cs="Times New Roman"/>
          <w:sz w:val="24"/>
          <w:szCs w:val="24"/>
        </w:rPr>
        <w:t xml:space="preserve"> following analysis by ANOVA; no significant intervention differences were observed </w:t>
      </w:r>
      <w:r w:rsidR="00DA4B95" w:rsidRPr="00BC779C">
        <w:rPr>
          <w:rFonts w:ascii="Times New Roman" w:hAnsi="Times New Roman" w:cs="Times New Roman"/>
          <w:i/>
          <w:sz w:val="24"/>
          <w:szCs w:val="24"/>
        </w:rPr>
        <w:t>P</w:t>
      </w:r>
      <w:r w:rsidR="00DA4B95" w:rsidRPr="00BC779C">
        <w:rPr>
          <w:rFonts w:ascii="Times New Roman" w:hAnsi="Times New Roman" w:cs="Times New Roman"/>
          <w:sz w:val="24"/>
          <w:szCs w:val="24"/>
        </w:rPr>
        <w:t xml:space="preserve"> ≥ 0.05. </w:t>
      </w:r>
      <w:r w:rsidR="007A7877" w:rsidRPr="00BC779C">
        <w:rPr>
          <w:rFonts w:ascii="Times New Roman" w:hAnsi="Times New Roman" w:cs="Times New Roman"/>
          <w:sz w:val="24"/>
          <w:szCs w:val="24"/>
        </w:rPr>
        <w:t>Biomarker abbreviations are as follows: BAP,</w:t>
      </w:r>
      <w:r w:rsidR="00BB609B" w:rsidRPr="00BC779C">
        <w:rPr>
          <w:rFonts w:ascii="Times New Roman" w:hAnsi="Times New Roman" w:cs="Times New Roman"/>
          <w:sz w:val="24"/>
          <w:szCs w:val="24"/>
        </w:rPr>
        <w:t xml:space="preserve"> bone alkaline phosphatase</w:t>
      </w:r>
      <w:r w:rsidR="007A7877" w:rsidRPr="00BC779C">
        <w:rPr>
          <w:rFonts w:ascii="Times New Roman" w:hAnsi="Times New Roman" w:cs="Times New Roman"/>
          <w:sz w:val="24"/>
          <w:szCs w:val="24"/>
        </w:rPr>
        <w:t xml:space="preserve">; </w:t>
      </w:r>
      <w:r w:rsidR="00DA4B95" w:rsidRPr="00BC779C">
        <w:rPr>
          <w:rFonts w:ascii="Times New Roman" w:hAnsi="Times New Roman" w:cs="Times New Roman"/>
          <w:sz w:val="24"/>
          <w:szCs w:val="24"/>
        </w:rPr>
        <w:t xml:space="preserve">NTX/Cre, </w:t>
      </w:r>
      <w:r w:rsidR="00DA4B95" w:rsidRPr="00BC779C">
        <w:rPr>
          <w:rFonts w:ascii="Times New Roman" w:hAnsi="Times New Roman" w:cs="Times New Roman"/>
          <w:sz w:val="24"/>
          <w:szCs w:val="24"/>
          <w:lang w:val="en-IE"/>
        </w:rPr>
        <w:t>N-telopeptides of collagen cross links corrected for urinary creatinine</w:t>
      </w:r>
      <w:r w:rsidR="00BB609B" w:rsidRPr="00BC779C">
        <w:rPr>
          <w:rFonts w:ascii="Times New Roman" w:hAnsi="Times New Roman" w:cs="Times New Roman"/>
          <w:sz w:val="24"/>
          <w:szCs w:val="24"/>
        </w:rPr>
        <w:t>; OC, osteocalcin</w:t>
      </w:r>
      <w:r w:rsidR="007A7877" w:rsidRPr="00BC779C">
        <w:rPr>
          <w:rFonts w:ascii="Times New Roman" w:hAnsi="Times New Roman" w:cs="Times New Roman"/>
          <w:sz w:val="24"/>
          <w:szCs w:val="24"/>
        </w:rPr>
        <w:t>; PTH, parathyroid hormone</w:t>
      </w:r>
      <w:r w:rsidR="00BB609B" w:rsidRPr="00BC779C">
        <w:rPr>
          <w:rFonts w:ascii="Times New Roman" w:hAnsi="Times New Roman" w:cs="Times New Roman"/>
          <w:sz w:val="24"/>
          <w:szCs w:val="24"/>
        </w:rPr>
        <w:t xml:space="preserve">. </w:t>
      </w:r>
      <w:r w:rsidR="00950E56" w:rsidRPr="00BC779C">
        <w:rPr>
          <w:rFonts w:ascii="Times New Roman" w:hAnsi="Times New Roman" w:cs="Times New Roman"/>
          <w:sz w:val="24"/>
          <w:szCs w:val="24"/>
        </w:rPr>
        <w:t>SCF, soluble corn fiber</w:t>
      </w:r>
      <w:r w:rsidR="007A7877" w:rsidRPr="00BC779C">
        <w:rPr>
          <w:rFonts w:ascii="Times New Roman" w:hAnsi="Times New Roman" w:cs="Times New Roman"/>
          <w:sz w:val="24"/>
          <w:szCs w:val="24"/>
        </w:rPr>
        <w:t>.</w:t>
      </w:r>
    </w:p>
    <w:p w14:paraId="7C85D663" w14:textId="0E2234A0" w:rsidR="00EE559C" w:rsidRPr="00BC779C" w:rsidRDefault="00624AE6" w:rsidP="003B4495">
      <w:pPr>
        <w:suppressLineNumbers/>
        <w:spacing w:after="0" w:line="480" w:lineRule="auto"/>
        <w:rPr>
          <w:rFonts w:ascii="Times New Roman" w:hAnsi="Times New Roman" w:cs="Times New Roman"/>
          <w:sz w:val="24"/>
          <w:szCs w:val="24"/>
        </w:rPr>
      </w:pPr>
      <w:r w:rsidRPr="00BC779C">
        <w:rPr>
          <w:rFonts w:ascii="Times New Roman" w:hAnsi="Times New Roman" w:cs="Times New Roman"/>
          <w:b/>
          <w:sz w:val="24"/>
          <w:szCs w:val="24"/>
        </w:rPr>
        <w:t>Figure 4.</w:t>
      </w:r>
      <w:r w:rsidR="00EE559C" w:rsidRPr="00BC779C">
        <w:rPr>
          <w:rFonts w:ascii="Times New Roman" w:hAnsi="Times New Roman" w:cs="Times New Roman"/>
          <w:sz w:val="24"/>
          <w:szCs w:val="24"/>
        </w:rPr>
        <w:t xml:space="preserve"> </w:t>
      </w:r>
      <w:r w:rsidR="00371AF5" w:rsidRPr="00BC779C">
        <w:rPr>
          <w:rFonts w:ascii="Times New Roman" w:hAnsi="Times New Roman" w:cs="Times New Roman"/>
          <w:sz w:val="24"/>
          <w:szCs w:val="24"/>
        </w:rPr>
        <w:t>Fecal weight</w:t>
      </w:r>
      <w:r w:rsidR="00985CB7" w:rsidRPr="00BC779C">
        <w:rPr>
          <w:rFonts w:ascii="Times New Roman" w:hAnsi="Times New Roman" w:cs="Times New Roman"/>
          <w:sz w:val="24"/>
          <w:szCs w:val="24"/>
        </w:rPr>
        <w:t xml:space="preserve"> (A)</w:t>
      </w:r>
      <w:r w:rsidR="00371AF5" w:rsidRPr="00BC779C">
        <w:rPr>
          <w:rFonts w:ascii="Times New Roman" w:hAnsi="Times New Roman" w:cs="Times New Roman"/>
          <w:sz w:val="24"/>
          <w:szCs w:val="24"/>
        </w:rPr>
        <w:t>, pH</w:t>
      </w:r>
      <w:r w:rsidR="00985CB7" w:rsidRPr="00BC779C">
        <w:rPr>
          <w:rFonts w:ascii="Times New Roman" w:hAnsi="Times New Roman" w:cs="Times New Roman"/>
          <w:sz w:val="24"/>
          <w:szCs w:val="24"/>
        </w:rPr>
        <w:t xml:space="preserve"> (B)</w:t>
      </w:r>
      <w:r w:rsidR="00371AF5" w:rsidRPr="00BC779C">
        <w:rPr>
          <w:rFonts w:ascii="Times New Roman" w:hAnsi="Times New Roman" w:cs="Times New Roman"/>
          <w:sz w:val="24"/>
          <w:szCs w:val="24"/>
        </w:rPr>
        <w:t xml:space="preserve"> and SCFA</w:t>
      </w:r>
      <w:r w:rsidR="00471A05" w:rsidRPr="00BC779C">
        <w:rPr>
          <w:rFonts w:ascii="Times New Roman" w:hAnsi="Times New Roman" w:cs="Times New Roman"/>
          <w:sz w:val="24"/>
          <w:szCs w:val="24"/>
        </w:rPr>
        <w:t>s</w:t>
      </w:r>
      <w:r w:rsidR="00985CB7" w:rsidRPr="00BC779C">
        <w:rPr>
          <w:rFonts w:ascii="Times New Roman" w:hAnsi="Times New Roman" w:cs="Times New Roman"/>
          <w:sz w:val="24"/>
          <w:szCs w:val="24"/>
        </w:rPr>
        <w:t xml:space="preserve"> (C)</w:t>
      </w:r>
      <w:r w:rsidR="00371AF5" w:rsidRPr="00BC779C">
        <w:rPr>
          <w:rFonts w:ascii="Times New Roman" w:hAnsi="Times New Roman" w:cs="Times New Roman"/>
          <w:sz w:val="24"/>
          <w:szCs w:val="24"/>
        </w:rPr>
        <w:t xml:space="preserve"> content of feces collected from </w:t>
      </w:r>
      <w:r w:rsidR="00ED52C5" w:rsidRPr="00BC779C">
        <w:rPr>
          <w:rFonts w:ascii="Times New Roman" w:hAnsi="Times New Roman" w:cs="Times New Roman"/>
          <w:sz w:val="24"/>
          <w:szCs w:val="24"/>
        </w:rPr>
        <w:t xml:space="preserve">healthy </w:t>
      </w:r>
      <w:r w:rsidR="00371AF5" w:rsidRPr="00BC779C">
        <w:rPr>
          <w:rFonts w:ascii="Times New Roman" w:hAnsi="Times New Roman" w:cs="Times New Roman"/>
          <w:sz w:val="24"/>
          <w:szCs w:val="24"/>
        </w:rPr>
        <w:t>girls</w:t>
      </w:r>
      <w:r w:rsidR="00985CB7" w:rsidRPr="00BC779C">
        <w:rPr>
          <w:rFonts w:ascii="Times New Roman" w:hAnsi="Times New Roman" w:cs="Times New Roman"/>
          <w:sz w:val="24"/>
          <w:szCs w:val="24"/>
        </w:rPr>
        <w:t xml:space="preserve"> after</w:t>
      </w:r>
      <w:r w:rsidR="00371AF5" w:rsidRPr="00BC779C">
        <w:rPr>
          <w:rFonts w:ascii="Times New Roman" w:hAnsi="Times New Roman" w:cs="Times New Roman"/>
          <w:sz w:val="24"/>
          <w:szCs w:val="24"/>
        </w:rPr>
        <w:t xml:space="preserve"> </w:t>
      </w:r>
      <w:r w:rsidR="00950E56" w:rsidRPr="00BC779C">
        <w:rPr>
          <w:rFonts w:ascii="Times New Roman" w:hAnsi="Times New Roman" w:cs="Times New Roman"/>
          <w:sz w:val="24"/>
          <w:szCs w:val="24"/>
        </w:rPr>
        <w:t>consuming</w:t>
      </w:r>
      <w:r w:rsidR="00371AF5" w:rsidRPr="00BC779C">
        <w:rPr>
          <w:rFonts w:ascii="Times New Roman" w:hAnsi="Times New Roman" w:cs="Times New Roman"/>
          <w:sz w:val="24"/>
          <w:szCs w:val="24"/>
        </w:rPr>
        <w:t xml:space="preserve"> 0, 10 and 20</w:t>
      </w:r>
      <w:r w:rsidR="00950E56" w:rsidRPr="00BC779C">
        <w:rPr>
          <w:rFonts w:ascii="Times New Roman" w:hAnsi="Times New Roman" w:cs="Times New Roman"/>
          <w:sz w:val="24"/>
          <w:szCs w:val="24"/>
        </w:rPr>
        <w:t xml:space="preserve"> g</w:t>
      </w:r>
      <w:r w:rsidR="00ED52C5" w:rsidRPr="00BC779C">
        <w:rPr>
          <w:rFonts w:ascii="Times New Roman" w:hAnsi="Times New Roman" w:cs="Times New Roman"/>
          <w:sz w:val="24"/>
          <w:szCs w:val="24"/>
        </w:rPr>
        <w:t xml:space="preserve"> fiber</w:t>
      </w:r>
      <w:r w:rsidR="00950E56" w:rsidRPr="00BC779C">
        <w:rPr>
          <w:rFonts w:ascii="Times New Roman" w:hAnsi="Times New Roman" w:cs="Times New Roman"/>
          <w:sz w:val="24"/>
          <w:szCs w:val="24"/>
        </w:rPr>
        <w:t>/d from SCF for 4 weeks</w:t>
      </w:r>
      <w:r w:rsidR="004332ED" w:rsidRPr="00BC779C">
        <w:rPr>
          <w:rFonts w:ascii="Times New Roman" w:hAnsi="Times New Roman" w:cs="Times New Roman"/>
          <w:sz w:val="24"/>
          <w:szCs w:val="24"/>
        </w:rPr>
        <w:t xml:space="preserve"> each</w:t>
      </w:r>
      <w:r w:rsidR="00ED52C5" w:rsidRPr="00BC779C">
        <w:rPr>
          <w:rFonts w:ascii="Times New Roman" w:hAnsi="Times New Roman" w:cs="Times New Roman"/>
          <w:sz w:val="24"/>
          <w:szCs w:val="24"/>
        </w:rPr>
        <w:t xml:space="preserve"> in crossover study</w:t>
      </w:r>
      <w:r w:rsidR="00950E56" w:rsidRPr="00BC779C">
        <w:rPr>
          <w:rFonts w:ascii="Times New Roman" w:hAnsi="Times New Roman" w:cs="Times New Roman"/>
          <w:sz w:val="24"/>
          <w:szCs w:val="24"/>
        </w:rPr>
        <w:t xml:space="preserve">. </w:t>
      </w:r>
      <w:r w:rsidR="00985CB7" w:rsidRPr="00BC779C">
        <w:rPr>
          <w:rFonts w:ascii="Times New Roman" w:hAnsi="Times New Roman" w:cs="Times New Roman"/>
          <w:sz w:val="24"/>
          <w:szCs w:val="24"/>
        </w:rPr>
        <w:t>Data are presented as mean ± SEMs (</w:t>
      </w:r>
      <w:r w:rsidR="00985CB7" w:rsidRPr="00BC779C">
        <w:rPr>
          <w:rFonts w:ascii="Times New Roman" w:hAnsi="Times New Roman" w:cs="Times New Roman"/>
          <w:i/>
          <w:sz w:val="24"/>
          <w:szCs w:val="24"/>
        </w:rPr>
        <w:t>n</w:t>
      </w:r>
      <w:r w:rsidR="00985CB7" w:rsidRPr="00BC779C">
        <w:rPr>
          <w:rFonts w:ascii="Times New Roman" w:hAnsi="Times New Roman" w:cs="Times New Roman"/>
          <w:sz w:val="24"/>
          <w:szCs w:val="24"/>
        </w:rPr>
        <w:t xml:space="preserve"> = 27)</w:t>
      </w:r>
      <w:r w:rsidR="00F654DB" w:rsidRPr="00BC779C">
        <w:rPr>
          <w:rFonts w:ascii="Times New Roman" w:hAnsi="Times New Roman" w:cs="Times New Roman"/>
          <w:sz w:val="24"/>
          <w:szCs w:val="24"/>
        </w:rPr>
        <w:t xml:space="preserve"> following analysis by ANOVA</w:t>
      </w:r>
      <w:r w:rsidR="00471A05" w:rsidRPr="00BC779C">
        <w:rPr>
          <w:rFonts w:ascii="Times New Roman" w:hAnsi="Times New Roman" w:cs="Times New Roman"/>
          <w:sz w:val="24"/>
          <w:szCs w:val="24"/>
        </w:rPr>
        <w:t xml:space="preserve">. Labeled means without a common letter differ, </w:t>
      </w:r>
      <w:r w:rsidR="00471A05" w:rsidRPr="00BC779C">
        <w:rPr>
          <w:rFonts w:ascii="Times New Roman" w:hAnsi="Times New Roman" w:cs="Times New Roman"/>
          <w:i/>
          <w:sz w:val="24"/>
          <w:szCs w:val="24"/>
        </w:rPr>
        <w:t>P</w:t>
      </w:r>
      <w:r w:rsidR="00F654DB" w:rsidRPr="00BC779C">
        <w:rPr>
          <w:rFonts w:ascii="Times New Roman" w:hAnsi="Times New Roman" w:cs="Times New Roman"/>
          <w:sz w:val="24"/>
          <w:szCs w:val="24"/>
        </w:rPr>
        <w:t xml:space="preserve"> &lt; 0.05</w:t>
      </w:r>
      <w:r w:rsidR="00471A05" w:rsidRPr="00BC779C">
        <w:rPr>
          <w:rFonts w:ascii="Times New Roman" w:hAnsi="Times New Roman" w:cs="Times New Roman"/>
          <w:sz w:val="24"/>
          <w:szCs w:val="24"/>
        </w:rPr>
        <w:t>. SCF, soluble corn fiber; SCFA, short chain fatty acid.</w:t>
      </w:r>
    </w:p>
    <w:p w14:paraId="58C4F13F" w14:textId="10205850" w:rsidR="00C459D6" w:rsidRPr="00BC779C" w:rsidRDefault="00A75EBA" w:rsidP="00D12A80">
      <w:pPr>
        <w:suppressLineNumbers/>
        <w:spacing w:after="100" w:afterAutospacing="1" w:line="480" w:lineRule="auto"/>
        <w:rPr>
          <w:rFonts w:ascii="Times New Roman" w:hAnsi="Times New Roman" w:cs="Times New Roman"/>
          <w:sz w:val="24"/>
          <w:szCs w:val="24"/>
        </w:rPr>
      </w:pPr>
      <w:r w:rsidRPr="00BC779C">
        <w:rPr>
          <w:rFonts w:ascii="Times New Roman" w:hAnsi="Times New Roman" w:cs="Times New Roman"/>
          <w:b/>
          <w:sz w:val="24"/>
          <w:szCs w:val="24"/>
        </w:rPr>
        <w:t>Figure 5</w:t>
      </w:r>
      <w:r w:rsidR="00C459D6" w:rsidRPr="00BC779C">
        <w:rPr>
          <w:rFonts w:ascii="Times New Roman" w:hAnsi="Times New Roman" w:cs="Times New Roman"/>
          <w:sz w:val="24"/>
          <w:szCs w:val="24"/>
        </w:rPr>
        <w:t>. Principal Coordinate Analysis (PCoA) of Jackknife Binary Euclidean distances of community composition coded</w:t>
      </w:r>
      <w:r w:rsidR="0002332E" w:rsidRPr="00BC779C">
        <w:rPr>
          <w:rFonts w:ascii="Times New Roman" w:hAnsi="Times New Roman" w:cs="Times New Roman"/>
          <w:sz w:val="24"/>
          <w:szCs w:val="24"/>
        </w:rPr>
        <w:t xml:space="preserve"> by samples</w:t>
      </w:r>
      <w:r w:rsidR="00C459D6" w:rsidRPr="00BC779C">
        <w:rPr>
          <w:rFonts w:ascii="Times New Roman" w:hAnsi="Times New Roman" w:cs="Times New Roman"/>
          <w:sz w:val="24"/>
          <w:szCs w:val="24"/>
        </w:rPr>
        <w:t xml:space="preserve"> collected at the beg</w:t>
      </w:r>
      <w:r w:rsidR="00A961BD" w:rsidRPr="00BC779C">
        <w:rPr>
          <w:rFonts w:ascii="Times New Roman" w:hAnsi="Times New Roman" w:cs="Times New Roman"/>
          <w:sz w:val="24"/>
          <w:szCs w:val="24"/>
        </w:rPr>
        <w:t xml:space="preserve">inning and end of three (0, 10 and </w:t>
      </w:r>
      <w:r w:rsidR="00A961BD" w:rsidRPr="00BC779C">
        <w:rPr>
          <w:rFonts w:ascii="Times New Roman" w:hAnsi="Times New Roman" w:cs="Times New Roman"/>
          <w:sz w:val="24"/>
          <w:szCs w:val="24"/>
        </w:rPr>
        <w:lastRenderedPageBreak/>
        <w:t>20 g</w:t>
      </w:r>
      <w:r w:rsidR="00ED52C5" w:rsidRPr="00BC779C">
        <w:rPr>
          <w:rFonts w:ascii="Times New Roman" w:hAnsi="Times New Roman" w:cs="Times New Roman"/>
          <w:sz w:val="24"/>
          <w:szCs w:val="24"/>
        </w:rPr>
        <w:t xml:space="preserve"> fiber</w:t>
      </w:r>
      <w:r w:rsidR="00A961BD" w:rsidRPr="00BC779C">
        <w:rPr>
          <w:rFonts w:ascii="Times New Roman" w:hAnsi="Times New Roman" w:cs="Times New Roman"/>
          <w:sz w:val="24"/>
          <w:szCs w:val="24"/>
        </w:rPr>
        <w:t>/d</w:t>
      </w:r>
      <w:r w:rsidR="00930BA6" w:rsidRPr="00BC779C">
        <w:rPr>
          <w:rFonts w:ascii="Times New Roman" w:hAnsi="Times New Roman" w:cs="Times New Roman"/>
          <w:sz w:val="24"/>
          <w:szCs w:val="24"/>
        </w:rPr>
        <w:t xml:space="preserve">  from SCF</w:t>
      </w:r>
      <w:r w:rsidR="00A961BD" w:rsidRPr="00BC779C">
        <w:rPr>
          <w:rFonts w:ascii="Times New Roman" w:hAnsi="Times New Roman" w:cs="Times New Roman"/>
          <w:sz w:val="24"/>
          <w:szCs w:val="24"/>
        </w:rPr>
        <w:t>)</w:t>
      </w:r>
      <w:r w:rsidR="0002332E" w:rsidRPr="00BC779C">
        <w:rPr>
          <w:rFonts w:ascii="Times New Roman" w:hAnsi="Times New Roman" w:cs="Times New Roman"/>
          <w:sz w:val="24"/>
          <w:szCs w:val="24"/>
        </w:rPr>
        <w:t xml:space="preserve"> SCF</w:t>
      </w:r>
      <w:r w:rsidR="000565C0" w:rsidRPr="00BC779C">
        <w:rPr>
          <w:rFonts w:ascii="Times New Roman" w:hAnsi="Times New Roman" w:cs="Times New Roman"/>
          <w:sz w:val="24"/>
          <w:szCs w:val="24"/>
        </w:rPr>
        <w:t xml:space="preserve"> </w:t>
      </w:r>
      <w:r w:rsidR="00D6757B" w:rsidRPr="00BC779C">
        <w:rPr>
          <w:rFonts w:ascii="Times New Roman" w:hAnsi="Times New Roman" w:cs="Times New Roman"/>
          <w:sz w:val="24"/>
          <w:szCs w:val="24"/>
        </w:rPr>
        <w:t>intervention</w:t>
      </w:r>
      <w:r w:rsidR="00A961BD" w:rsidRPr="00BC779C">
        <w:rPr>
          <w:rFonts w:ascii="Times New Roman" w:hAnsi="Times New Roman" w:cs="Times New Roman"/>
          <w:sz w:val="24"/>
          <w:szCs w:val="24"/>
        </w:rPr>
        <w:t>s</w:t>
      </w:r>
      <w:r w:rsidRPr="00BC779C">
        <w:rPr>
          <w:rFonts w:ascii="Times New Roman" w:hAnsi="Times New Roman" w:cs="Times New Roman"/>
          <w:sz w:val="24"/>
          <w:szCs w:val="24"/>
        </w:rPr>
        <w:t xml:space="preserve"> in healthy girls</w:t>
      </w:r>
      <w:r w:rsidR="006611BD" w:rsidRPr="00BC779C">
        <w:rPr>
          <w:rFonts w:ascii="Times New Roman" w:hAnsi="Times New Roman" w:cs="Times New Roman"/>
          <w:sz w:val="24"/>
          <w:szCs w:val="24"/>
        </w:rPr>
        <w:t xml:space="preserve"> (</w:t>
      </w:r>
      <w:r w:rsidR="006611BD" w:rsidRPr="00BC779C">
        <w:rPr>
          <w:rFonts w:ascii="Times New Roman" w:hAnsi="Times New Roman" w:cs="Times New Roman"/>
          <w:i/>
          <w:sz w:val="24"/>
          <w:szCs w:val="24"/>
        </w:rPr>
        <w:t>n</w:t>
      </w:r>
      <w:r w:rsidR="006611BD" w:rsidRPr="00BC779C">
        <w:rPr>
          <w:rFonts w:ascii="Times New Roman" w:hAnsi="Times New Roman" w:cs="Times New Roman"/>
          <w:sz w:val="24"/>
          <w:szCs w:val="24"/>
        </w:rPr>
        <w:t xml:space="preserve"> = 27)</w:t>
      </w:r>
      <w:r w:rsidR="004332ED" w:rsidRPr="00BC779C">
        <w:rPr>
          <w:rFonts w:ascii="Times New Roman" w:hAnsi="Times New Roman" w:cs="Times New Roman"/>
          <w:sz w:val="24"/>
          <w:szCs w:val="24"/>
        </w:rPr>
        <w:t xml:space="preserve"> </w:t>
      </w:r>
      <w:r w:rsidR="00ED52C5" w:rsidRPr="00BC779C">
        <w:rPr>
          <w:rFonts w:ascii="Times New Roman" w:hAnsi="Times New Roman" w:cs="Times New Roman"/>
          <w:sz w:val="24"/>
          <w:szCs w:val="24"/>
        </w:rPr>
        <w:t>for 4 weeks</w:t>
      </w:r>
      <w:r w:rsidR="004332ED" w:rsidRPr="00BC779C">
        <w:rPr>
          <w:rFonts w:ascii="Times New Roman" w:hAnsi="Times New Roman" w:cs="Times New Roman"/>
          <w:sz w:val="24"/>
          <w:szCs w:val="24"/>
        </w:rPr>
        <w:t xml:space="preserve"> each</w:t>
      </w:r>
      <w:r w:rsidR="00ED52C5" w:rsidRPr="00BC779C">
        <w:rPr>
          <w:rFonts w:ascii="Times New Roman" w:hAnsi="Times New Roman" w:cs="Times New Roman"/>
          <w:sz w:val="24"/>
          <w:szCs w:val="24"/>
        </w:rPr>
        <w:t xml:space="preserve"> in crossover study</w:t>
      </w:r>
      <w:r w:rsidR="000565C0" w:rsidRPr="00BC779C">
        <w:rPr>
          <w:rFonts w:ascii="Times New Roman" w:hAnsi="Times New Roman" w:cs="Times New Roman"/>
          <w:sz w:val="24"/>
          <w:szCs w:val="24"/>
        </w:rPr>
        <w:t xml:space="preserve">. </w:t>
      </w:r>
      <w:r w:rsidR="00AC4DD4" w:rsidRPr="00BC779C">
        <w:rPr>
          <w:rFonts w:ascii="Times New Roman" w:hAnsi="Times New Roman" w:cs="Times New Roman"/>
          <w:sz w:val="24"/>
          <w:szCs w:val="24"/>
        </w:rPr>
        <w:t xml:space="preserve">PC1 and PC2 explained 12.1% and 9.5% of the total multivariate sample variance, respectively. </w:t>
      </w:r>
      <w:r w:rsidR="002A7F8D" w:rsidRPr="00BC779C">
        <w:rPr>
          <w:rFonts w:ascii="Times New Roman" w:hAnsi="Times New Roman" w:cs="Times New Roman"/>
          <w:sz w:val="24"/>
          <w:szCs w:val="24"/>
        </w:rPr>
        <w:t xml:space="preserve">Samples from the </w:t>
      </w:r>
      <w:r w:rsidRPr="00BC779C">
        <w:rPr>
          <w:rFonts w:ascii="Times New Roman" w:hAnsi="Times New Roman" w:cs="Times New Roman"/>
          <w:sz w:val="24"/>
          <w:szCs w:val="24"/>
        </w:rPr>
        <w:t>10 and 20 g</w:t>
      </w:r>
      <w:r w:rsidR="001137C6" w:rsidRPr="00BC779C">
        <w:rPr>
          <w:rFonts w:ascii="Times New Roman" w:hAnsi="Times New Roman" w:cs="Times New Roman"/>
          <w:sz w:val="24"/>
          <w:szCs w:val="24"/>
        </w:rPr>
        <w:t xml:space="preserve"> fiber/d</w:t>
      </w:r>
      <w:r w:rsidR="00930BA6" w:rsidRPr="00BC779C">
        <w:rPr>
          <w:rFonts w:ascii="Times New Roman" w:hAnsi="Times New Roman" w:cs="Times New Roman"/>
          <w:sz w:val="24"/>
          <w:szCs w:val="24"/>
        </w:rPr>
        <w:t xml:space="preserve"> from </w:t>
      </w:r>
      <w:r w:rsidR="002A7F8D" w:rsidRPr="00BC779C">
        <w:rPr>
          <w:rFonts w:ascii="Times New Roman" w:hAnsi="Times New Roman" w:cs="Times New Roman"/>
          <w:sz w:val="24"/>
          <w:szCs w:val="24"/>
        </w:rPr>
        <w:t xml:space="preserve">SCF </w:t>
      </w:r>
      <w:r w:rsidR="00D6757B" w:rsidRPr="00BC779C">
        <w:rPr>
          <w:rFonts w:ascii="Times New Roman" w:hAnsi="Times New Roman" w:cs="Times New Roman"/>
          <w:sz w:val="24"/>
          <w:szCs w:val="24"/>
        </w:rPr>
        <w:t>intervention</w:t>
      </w:r>
      <w:r w:rsidR="002A7F8D" w:rsidRPr="00BC779C">
        <w:rPr>
          <w:rFonts w:ascii="Times New Roman" w:hAnsi="Times New Roman" w:cs="Times New Roman"/>
          <w:sz w:val="24"/>
          <w:szCs w:val="24"/>
        </w:rPr>
        <w:t xml:space="preserve">s clustered </w:t>
      </w:r>
      <w:r w:rsidRPr="00BC779C">
        <w:rPr>
          <w:rFonts w:ascii="Times New Roman" w:hAnsi="Times New Roman" w:cs="Times New Roman"/>
          <w:sz w:val="24"/>
          <w:szCs w:val="24"/>
        </w:rPr>
        <w:t>together (</w:t>
      </w:r>
      <w:r w:rsidR="002A7F8D" w:rsidRPr="00BC779C">
        <w:rPr>
          <w:rFonts w:ascii="Times New Roman" w:hAnsi="Times New Roman" w:cs="Times New Roman"/>
          <w:sz w:val="24"/>
          <w:szCs w:val="24"/>
        </w:rPr>
        <w:t>circle</w:t>
      </w:r>
      <w:r w:rsidRPr="00BC779C">
        <w:rPr>
          <w:rFonts w:ascii="Times New Roman" w:hAnsi="Times New Roman" w:cs="Times New Roman"/>
          <w:sz w:val="24"/>
          <w:szCs w:val="24"/>
        </w:rPr>
        <w:t xml:space="preserve"> labeled “With SCF”)</w:t>
      </w:r>
      <w:r w:rsidR="002A7F8D" w:rsidRPr="00BC779C">
        <w:rPr>
          <w:rFonts w:ascii="Times New Roman" w:hAnsi="Times New Roman" w:cs="Times New Roman"/>
          <w:sz w:val="24"/>
          <w:szCs w:val="24"/>
        </w:rPr>
        <w:t xml:space="preserve"> </w:t>
      </w:r>
      <w:r w:rsidRPr="00BC779C">
        <w:rPr>
          <w:rFonts w:ascii="Times New Roman" w:hAnsi="Times New Roman" w:cs="Times New Roman"/>
          <w:sz w:val="24"/>
          <w:szCs w:val="24"/>
        </w:rPr>
        <w:t>while</w:t>
      </w:r>
      <w:r w:rsidR="002A7F8D" w:rsidRPr="00BC779C">
        <w:rPr>
          <w:rFonts w:ascii="Times New Roman" w:hAnsi="Times New Roman" w:cs="Times New Roman"/>
          <w:sz w:val="24"/>
          <w:szCs w:val="24"/>
        </w:rPr>
        <w:t xml:space="preserve"> </w:t>
      </w:r>
      <w:r w:rsidRPr="00BC779C">
        <w:rPr>
          <w:rFonts w:ascii="Times New Roman" w:hAnsi="Times New Roman" w:cs="Times New Roman"/>
          <w:sz w:val="24"/>
          <w:szCs w:val="24"/>
        </w:rPr>
        <w:t xml:space="preserve">end </w:t>
      </w:r>
      <w:r w:rsidR="002A7F8D" w:rsidRPr="00BC779C">
        <w:rPr>
          <w:rFonts w:ascii="Times New Roman" w:hAnsi="Times New Roman" w:cs="Times New Roman"/>
          <w:sz w:val="24"/>
          <w:szCs w:val="24"/>
        </w:rPr>
        <w:t xml:space="preserve">samples from </w:t>
      </w:r>
      <w:r w:rsidRPr="00BC779C">
        <w:rPr>
          <w:rFonts w:ascii="Times New Roman" w:hAnsi="Times New Roman" w:cs="Times New Roman"/>
          <w:sz w:val="24"/>
          <w:szCs w:val="24"/>
        </w:rPr>
        <w:t>the 0 g</w:t>
      </w:r>
      <w:r w:rsidR="000C0CFD" w:rsidRPr="00BC779C">
        <w:rPr>
          <w:rFonts w:ascii="Times New Roman" w:hAnsi="Times New Roman" w:cs="Times New Roman"/>
          <w:sz w:val="24"/>
          <w:szCs w:val="24"/>
        </w:rPr>
        <w:t xml:space="preserve"> fiber</w:t>
      </w:r>
      <w:r w:rsidRPr="00BC779C">
        <w:rPr>
          <w:rFonts w:ascii="Times New Roman" w:hAnsi="Times New Roman" w:cs="Times New Roman"/>
          <w:sz w:val="24"/>
          <w:szCs w:val="24"/>
        </w:rPr>
        <w:t>/d</w:t>
      </w:r>
      <w:r w:rsidR="000C0CFD" w:rsidRPr="00BC779C">
        <w:rPr>
          <w:rFonts w:ascii="Times New Roman" w:hAnsi="Times New Roman" w:cs="Times New Roman"/>
          <w:sz w:val="24"/>
          <w:szCs w:val="24"/>
        </w:rPr>
        <w:t xml:space="preserve"> from SCF</w:t>
      </w:r>
      <w:r w:rsidR="002A7F8D" w:rsidRPr="00BC779C">
        <w:rPr>
          <w:rFonts w:ascii="Times New Roman" w:hAnsi="Times New Roman" w:cs="Times New Roman"/>
          <w:sz w:val="24"/>
          <w:szCs w:val="24"/>
        </w:rPr>
        <w:t xml:space="preserve"> </w:t>
      </w:r>
      <w:r w:rsidR="00D6757B" w:rsidRPr="00BC779C">
        <w:rPr>
          <w:rFonts w:ascii="Times New Roman" w:hAnsi="Times New Roman" w:cs="Times New Roman"/>
          <w:sz w:val="24"/>
          <w:szCs w:val="24"/>
        </w:rPr>
        <w:t>intervention</w:t>
      </w:r>
      <w:r w:rsidR="002A7F8D" w:rsidRPr="00BC779C">
        <w:rPr>
          <w:rFonts w:ascii="Times New Roman" w:hAnsi="Times New Roman" w:cs="Times New Roman"/>
          <w:sz w:val="24"/>
          <w:szCs w:val="24"/>
        </w:rPr>
        <w:t xml:space="preserve"> and all baseline samples clustered </w:t>
      </w:r>
      <w:r w:rsidRPr="00BC779C">
        <w:rPr>
          <w:rFonts w:ascii="Times New Roman" w:hAnsi="Times New Roman" w:cs="Times New Roman"/>
          <w:sz w:val="24"/>
          <w:szCs w:val="24"/>
        </w:rPr>
        <w:t>separately (circle labeled “No SCF”)</w:t>
      </w:r>
      <w:r w:rsidR="002A7F8D" w:rsidRPr="00BC779C">
        <w:rPr>
          <w:rFonts w:ascii="Times New Roman" w:hAnsi="Times New Roman" w:cs="Times New Roman"/>
          <w:sz w:val="24"/>
          <w:szCs w:val="24"/>
        </w:rPr>
        <w:t xml:space="preserve">. </w:t>
      </w:r>
      <w:r w:rsidR="00254BC8" w:rsidRPr="00BC779C">
        <w:rPr>
          <w:rFonts w:ascii="Times New Roman" w:hAnsi="Times New Roman" w:cs="Times New Roman"/>
          <w:sz w:val="24"/>
          <w:szCs w:val="24"/>
        </w:rPr>
        <w:t xml:space="preserve">B, beginning of intervention; E, end of intervention; </w:t>
      </w:r>
      <w:r w:rsidR="001D14AD" w:rsidRPr="00BC779C">
        <w:rPr>
          <w:rFonts w:ascii="Times New Roman" w:hAnsi="Times New Roman" w:cs="Times New Roman"/>
          <w:sz w:val="24"/>
          <w:szCs w:val="24"/>
        </w:rPr>
        <w:t>PC, principal component; SCF, soluble corn fiber</w:t>
      </w:r>
      <w:r w:rsidR="00305EC2" w:rsidRPr="00BC779C">
        <w:rPr>
          <w:rFonts w:ascii="Times New Roman" w:hAnsi="Times New Roman" w:cs="Times New Roman"/>
          <w:sz w:val="24"/>
          <w:szCs w:val="24"/>
        </w:rPr>
        <w:t>.</w:t>
      </w:r>
    </w:p>
    <w:p w14:paraId="0EE0CE2F" w14:textId="77777777" w:rsidR="00471A05" w:rsidRPr="00BC779C" w:rsidRDefault="00471A05" w:rsidP="00D12A80">
      <w:pPr>
        <w:suppressLineNumbers/>
        <w:spacing w:after="100" w:afterAutospacing="1" w:line="480" w:lineRule="auto"/>
        <w:rPr>
          <w:rFonts w:ascii="Times New Roman" w:hAnsi="Times New Roman" w:cs="Times New Roman"/>
          <w:sz w:val="24"/>
          <w:szCs w:val="24"/>
        </w:rPr>
      </w:pPr>
    </w:p>
    <w:p w14:paraId="615290E0" w14:textId="77777777" w:rsidR="00471A05" w:rsidRPr="00BC779C" w:rsidRDefault="00471A05" w:rsidP="00D12A80">
      <w:pPr>
        <w:suppressLineNumbers/>
        <w:spacing w:after="100" w:afterAutospacing="1" w:line="480" w:lineRule="auto"/>
        <w:rPr>
          <w:rFonts w:ascii="Times New Roman" w:hAnsi="Times New Roman" w:cs="Times New Roman"/>
          <w:sz w:val="24"/>
          <w:szCs w:val="24"/>
        </w:rPr>
      </w:pPr>
    </w:p>
    <w:p w14:paraId="378CDD3B" w14:textId="77777777" w:rsidR="00471A05" w:rsidRPr="00BC779C" w:rsidRDefault="00471A05" w:rsidP="00D12A80">
      <w:pPr>
        <w:suppressLineNumbers/>
        <w:spacing w:after="100" w:afterAutospacing="1" w:line="480" w:lineRule="auto"/>
        <w:rPr>
          <w:rFonts w:ascii="Times New Roman" w:hAnsi="Times New Roman" w:cs="Times New Roman"/>
          <w:sz w:val="24"/>
          <w:szCs w:val="24"/>
        </w:rPr>
      </w:pPr>
    </w:p>
    <w:p w14:paraId="321003F1" w14:textId="77777777" w:rsidR="00471A05" w:rsidRPr="00BC779C" w:rsidRDefault="00471A05" w:rsidP="00D12A80">
      <w:pPr>
        <w:suppressLineNumbers/>
        <w:spacing w:after="100" w:afterAutospacing="1" w:line="480" w:lineRule="auto"/>
        <w:rPr>
          <w:rFonts w:ascii="Times New Roman" w:hAnsi="Times New Roman" w:cs="Times New Roman"/>
          <w:sz w:val="24"/>
          <w:szCs w:val="24"/>
        </w:rPr>
      </w:pPr>
    </w:p>
    <w:p w14:paraId="2B73F06C" w14:textId="77777777" w:rsidR="00471A05" w:rsidRPr="00BC779C" w:rsidRDefault="00471A05" w:rsidP="00D12A80">
      <w:pPr>
        <w:suppressLineNumbers/>
        <w:spacing w:after="100" w:afterAutospacing="1" w:line="480" w:lineRule="auto"/>
        <w:rPr>
          <w:rFonts w:ascii="Times New Roman" w:hAnsi="Times New Roman" w:cs="Times New Roman"/>
          <w:sz w:val="24"/>
          <w:szCs w:val="24"/>
        </w:rPr>
      </w:pPr>
    </w:p>
    <w:p w14:paraId="052A3921" w14:textId="77777777" w:rsidR="00471A05" w:rsidRPr="00BC779C" w:rsidRDefault="00471A05" w:rsidP="00D12A80">
      <w:pPr>
        <w:suppressLineNumbers/>
        <w:spacing w:after="100" w:afterAutospacing="1" w:line="480" w:lineRule="auto"/>
        <w:rPr>
          <w:rFonts w:ascii="Times New Roman" w:hAnsi="Times New Roman" w:cs="Times New Roman"/>
          <w:sz w:val="24"/>
          <w:szCs w:val="24"/>
        </w:rPr>
      </w:pPr>
    </w:p>
    <w:p w14:paraId="40C103D6" w14:textId="77777777" w:rsidR="003B4495" w:rsidRPr="00BC779C" w:rsidRDefault="003B4495" w:rsidP="00D12A80">
      <w:pPr>
        <w:suppressLineNumbers/>
        <w:spacing w:after="100" w:afterAutospacing="1" w:line="480" w:lineRule="auto"/>
        <w:rPr>
          <w:rFonts w:ascii="Times New Roman" w:hAnsi="Times New Roman" w:cs="Times New Roman"/>
          <w:sz w:val="24"/>
          <w:szCs w:val="24"/>
        </w:rPr>
      </w:pPr>
    </w:p>
    <w:p w14:paraId="47BD0C9F" w14:textId="77777777" w:rsidR="003B4495" w:rsidRPr="00BC779C" w:rsidRDefault="003B4495" w:rsidP="00D12A80">
      <w:pPr>
        <w:suppressLineNumbers/>
        <w:spacing w:after="100" w:afterAutospacing="1" w:line="480" w:lineRule="auto"/>
        <w:rPr>
          <w:rFonts w:ascii="Times New Roman" w:hAnsi="Times New Roman" w:cs="Times New Roman"/>
          <w:sz w:val="24"/>
          <w:szCs w:val="24"/>
        </w:rPr>
      </w:pPr>
    </w:p>
    <w:p w14:paraId="3A9A0E79" w14:textId="77777777" w:rsidR="003B4495" w:rsidRPr="00BC779C" w:rsidRDefault="003B4495" w:rsidP="00471A05">
      <w:pPr>
        <w:suppressLineNumbers/>
        <w:spacing w:after="100" w:afterAutospacing="1" w:line="480" w:lineRule="auto"/>
        <w:rPr>
          <w:rFonts w:ascii="Times New Roman" w:hAnsi="Times New Roman" w:cs="Times New Roman"/>
          <w:b/>
          <w:sz w:val="24"/>
          <w:szCs w:val="24"/>
          <w:lang w:val="en-IE"/>
        </w:rPr>
      </w:pPr>
    </w:p>
    <w:p w14:paraId="12BAAF15" w14:textId="77777777" w:rsidR="00A24BC9" w:rsidRPr="00BC779C" w:rsidRDefault="00A24BC9" w:rsidP="00471A05">
      <w:pPr>
        <w:suppressLineNumbers/>
        <w:spacing w:after="100" w:afterAutospacing="1" w:line="480" w:lineRule="auto"/>
        <w:rPr>
          <w:rFonts w:ascii="Times New Roman" w:hAnsi="Times New Roman" w:cs="Times New Roman"/>
          <w:b/>
          <w:sz w:val="24"/>
          <w:szCs w:val="24"/>
          <w:lang w:val="en-IE"/>
        </w:rPr>
      </w:pPr>
    </w:p>
    <w:p w14:paraId="02FF8B32" w14:textId="77777777" w:rsidR="0037095C" w:rsidRPr="00BC779C" w:rsidRDefault="0037095C" w:rsidP="00471A05">
      <w:pPr>
        <w:suppressLineNumbers/>
        <w:spacing w:after="100" w:afterAutospacing="1" w:line="480" w:lineRule="auto"/>
        <w:rPr>
          <w:rFonts w:ascii="Times New Roman" w:hAnsi="Times New Roman" w:cs="Times New Roman"/>
          <w:b/>
          <w:sz w:val="24"/>
          <w:szCs w:val="24"/>
          <w:lang w:val="en-IE"/>
        </w:rPr>
      </w:pPr>
    </w:p>
    <w:p w14:paraId="39C9222F" w14:textId="74313D56" w:rsidR="00471A05" w:rsidRPr="00BC779C" w:rsidRDefault="00471A05" w:rsidP="00471A05">
      <w:pPr>
        <w:suppressLineNumbers/>
        <w:spacing w:after="100" w:afterAutospacing="1" w:line="480" w:lineRule="auto"/>
        <w:rPr>
          <w:rFonts w:ascii="Times New Roman" w:hAnsi="Times New Roman" w:cs="Times New Roman"/>
          <w:b/>
          <w:sz w:val="24"/>
          <w:szCs w:val="24"/>
          <w:lang w:val="en-IE"/>
        </w:rPr>
      </w:pPr>
      <w:r w:rsidRPr="00BC779C">
        <w:rPr>
          <w:rFonts w:ascii="Times New Roman" w:hAnsi="Times New Roman" w:cs="Times New Roman"/>
          <w:b/>
          <w:sz w:val="24"/>
          <w:szCs w:val="24"/>
          <w:lang w:val="en-IE"/>
        </w:rPr>
        <w:lastRenderedPageBreak/>
        <w:t>Online Supporting Material</w:t>
      </w:r>
    </w:p>
    <w:p w14:paraId="7217D585" w14:textId="3D440BA0" w:rsidR="00627EE8" w:rsidRPr="00BC779C" w:rsidRDefault="00184DC8" w:rsidP="00471A05">
      <w:pPr>
        <w:suppressLineNumbers/>
        <w:spacing w:after="100" w:afterAutospacing="1" w:line="480" w:lineRule="auto"/>
        <w:rPr>
          <w:rFonts w:ascii="Times New Roman" w:hAnsi="Times New Roman" w:cs="Times New Roman"/>
          <w:b/>
          <w:sz w:val="24"/>
          <w:szCs w:val="24"/>
          <w:lang w:val="en-IE"/>
        </w:rPr>
      </w:pPr>
      <w:r w:rsidRPr="00BC779C">
        <w:rPr>
          <w:rFonts w:ascii="Times New Roman" w:hAnsi="Times New Roman" w:cs="Times New Roman"/>
          <w:b/>
          <w:noProof/>
          <w:sz w:val="24"/>
          <w:szCs w:val="24"/>
          <w:lang w:val="en-GB" w:eastAsia="en-GB"/>
        </w:rPr>
        <w:drawing>
          <wp:inline distT="0" distB="0" distL="0" distR="0" wp14:anchorId="767EDB0E" wp14:editId="0F8A7ADB">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M Figure 1 revised 1.10.16.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4F0DC6BD" w14:textId="03C8C02E" w:rsidR="00471A05" w:rsidRPr="00D12A80" w:rsidRDefault="00471A05" w:rsidP="00471A05">
      <w:pPr>
        <w:suppressLineNumbers/>
        <w:spacing w:after="100" w:afterAutospacing="1" w:line="480" w:lineRule="auto"/>
        <w:rPr>
          <w:rFonts w:ascii="Times New Roman" w:hAnsi="Times New Roman" w:cs="Times New Roman"/>
          <w:sz w:val="24"/>
          <w:szCs w:val="24"/>
        </w:rPr>
      </w:pPr>
      <w:r w:rsidRPr="00BC779C">
        <w:rPr>
          <w:rFonts w:ascii="Times New Roman" w:hAnsi="Times New Roman" w:cs="Times New Roman"/>
          <w:b/>
          <w:sz w:val="24"/>
          <w:szCs w:val="24"/>
          <w:lang w:val="en-IE"/>
        </w:rPr>
        <w:t xml:space="preserve">Supplemental </w:t>
      </w:r>
      <w:r w:rsidR="00627EE8" w:rsidRPr="00BC779C">
        <w:rPr>
          <w:rFonts w:ascii="Times New Roman" w:hAnsi="Times New Roman" w:cs="Times New Roman"/>
          <w:b/>
          <w:sz w:val="24"/>
          <w:szCs w:val="24"/>
          <w:lang w:val="en-IE"/>
        </w:rPr>
        <w:t>Figure</w:t>
      </w:r>
      <w:r w:rsidRPr="00BC779C">
        <w:rPr>
          <w:rFonts w:ascii="Times New Roman" w:hAnsi="Times New Roman" w:cs="Times New Roman"/>
          <w:b/>
          <w:sz w:val="24"/>
          <w:szCs w:val="24"/>
          <w:lang w:val="en-IE"/>
        </w:rPr>
        <w:t xml:space="preserve"> 1.</w:t>
      </w:r>
      <w:r w:rsidRPr="00BC779C">
        <w:rPr>
          <w:rFonts w:ascii="Times New Roman" w:hAnsi="Times New Roman" w:cs="Times New Roman"/>
          <w:sz w:val="24"/>
          <w:szCs w:val="24"/>
          <w:lang w:val="en-IE"/>
        </w:rPr>
        <w:t xml:space="preserve"> </w:t>
      </w:r>
      <w:r w:rsidRPr="00BC779C">
        <w:rPr>
          <w:rFonts w:ascii="Times New Roman" w:hAnsi="Times New Roman" w:cs="Times New Roman"/>
          <w:sz w:val="24"/>
          <w:szCs w:val="24"/>
        </w:rPr>
        <w:t xml:space="preserve">Self-reported gastrointestinal symptoms </w:t>
      </w:r>
      <w:r w:rsidR="00D55214" w:rsidRPr="00BC779C">
        <w:rPr>
          <w:rFonts w:ascii="Times New Roman" w:hAnsi="Times New Roman" w:cs="Times New Roman"/>
          <w:sz w:val="24"/>
          <w:szCs w:val="24"/>
        </w:rPr>
        <w:t>of healthy adolescent females after consuming 0, 10 and 20 g</w:t>
      </w:r>
      <w:r w:rsidR="000C0CFD" w:rsidRPr="00BC779C">
        <w:rPr>
          <w:rFonts w:ascii="Times New Roman" w:hAnsi="Times New Roman" w:cs="Times New Roman"/>
          <w:sz w:val="24"/>
          <w:szCs w:val="24"/>
        </w:rPr>
        <w:t xml:space="preserve"> fiber/d</w:t>
      </w:r>
      <w:r w:rsidR="00D55214" w:rsidRPr="00BC779C">
        <w:rPr>
          <w:rFonts w:ascii="Times New Roman" w:hAnsi="Times New Roman" w:cs="Times New Roman"/>
          <w:sz w:val="24"/>
          <w:szCs w:val="24"/>
        </w:rPr>
        <w:t xml:space="preserve"> from SCF for 4 weeks.  Data </w:t>
      </w:r>
      <w:r w:rsidRPr="00BC779C">
        <w:rPr>
          <w:rFonts w:ascii="Times New Roman" w:hAnsi="Times New Roman" w:cs="Times New Roman"/>
          <w:sz w:val="24"/>
          <w:szCs w:val="24"/>
        </w:rPr>
        <w:t>are presented as means</w:t>
      </w:r>
      <w:r w:rsidR="00D55214" w:rsidRPr="00BC779C">
        <w:rPr>
          <w:rFonts w:ascii="Times New Roman" w:hAnsi="Times New Roman" w:cs="Times New Roman"/>
          <w:sz w:val="24"/>
          <w:szCs w:val="24"/>
        </w:rPr>
        <w:t xml:space="preserve"> ± SEMs (</w:t>
      </w:r>
      <w:r w:rsidR="00D55214" w:rsidRPr="00BC779C">
        <w:rPr>
          <w:rFonts w:ascii="Times New Roman" w:hAnsi="Times New Roman" w:cs="Times New Roman"/>
          <w:i/>
          <w:sz w:val="24"/>
          <w:szCs w:val="24"/>
        </w:rPr>
        <w:t xml:space="preserve">n </w:t>
      </w:r>
      <w:r w:rsidR="00D55214" w:rsidRPr="00BC779C">
        <w:rPr>
          <w:rFonts w:ascii="Times New Roman" w:hAnsi="Times New Roman" w:cs="Times New Roman"/>
          <w:sz w:val="24"/>
          <w:szCs w:val="24"/>
        </w:rPr>
        <w:t xml:space="preserve">= 28); group comparisons were made by </w:t>
      </w:r>
      <w:r w:rsidR="006C714E" w:rsidRPr="00BC779C">
        <w:rPr>
          <w:rFonts w:ascii="Times New Roman" w:hAnsi="Times New Roman" w:cs="Times New Roman"/>
          <w:sz w:val="24"/>
          <w:szCs w:val="24"/>
        </w:rPr>
        <w:t>a mixed model with treatment and subject id</w:t>
      </w:r>
      <w:r w:rsidR="00D55214" w:rsidRPr="00BC779C">
        <w:rPr>
          <w:rFonts w:ascii="Times New Roman" w:hAnsi="Times New Roman" w:cs="Times New Roman"/>
          <w:sz w:val="24"/>
          <w:szCs w:val="24"/>
        </w:rPr>
        <w:t xml:space="preserve">. Participants </w:t>
      </w:r>
      <w:r w:rsidRPr="00BC779C">
        <w:rPr>
          <w:rFonts w:ascii="Times New Roman" w:hAnsi="Times New Roman" w:cs="Times New Roman"/>
          <w:sz w:val="24"/>
          <w:szCs w:val="24"/>
        </w:rPr>
        <w:t xml:space="preserve">reported </w:t>
      </w:r>
      <w:r w:rsidR="00D55214" w:rsidRPr="00BC779C">
        <w:rPr>
          <w:rFonts w:ascii="Times New Roman" w:hAnsi="Times New Roman" w:cs="Times New Roman"/>
          <w:sz w:val="24"/>
          <w:szCs w:val="24"/>
        </w:rPr>
        <w:t xml:space="preserve">symptoms </w:t>
      </w:r>
      <w:r w:rsidRPr="00BC779C">
        <w:rPr>
          <w:rFonts w:ascii="Times New Roman" w:hAnsi="Times New Roman" w:cs="Times New Roman"/>
          <w:sz w:val="24"/>
          <w:szCs w:val="24"/>
        </w:rPr>
        <w:t>using a likert scale (scores of 0 and 5 representing no symptoms and severe symptoms, respectively).</w:t>
      </w:r>
      <w:r w:rsidR="006C714E" w:rsidRPr="00BC779C">
        <w:rPr>
          <w:rFonts w:ascii="Times New Roman" w:hAnsi="Times New Roman" w:cs="Times New Roman"/>
          <w:sz w:val="24"/>
          <w:szCs w:val="24"/>
        </w:rPr>
        <w:t xml:space="preserve"> Labeled means without a </w:t>
      </w:r>
      <w:r w:rsidR="007B27E2" w:rsidRPr="00BC779C">
        <w:rPr>
          <w:rFonts w:ascii="Times New Roman" w:hAnsi="Times New Roman" w:cs="Times New Roman"/>
          <w:sz w:val="24"/>
          <w:szCs w:val="24"/>
        </w:rPr>
        <w:t>common letter differ</w:t>
      </w:r>
      <w:r w:rsidR="006C714E" w:rsidRPr="00BC779C">
        <w:rPr>
          <w:rFonts w:ascii="Times New Roman" w:hAnsi="Times New Roman" w:cs="Times New Roman"/>
          <w:sz w:val="24"/>
          <w:szCs w:val="24"/>
        </w:rPr>
        <w:t xml:space="preserve">, </w:t>
      </w:r>
      <w:r w:rsidR="006C714E" w:rsidRPr="00BC779C">
        <w:rPr>
          <w:rFonts w:ascii="Times New Roman" w:hAnsi="Times New Roman" w:cs="Times New Roman"/>
          <w:i/>
          <w:sz w:val="24"/>
          <w:szCs w:val="24"/>
        </w:rPr>
        <w:t>P</w:t>
      </w:r>
      <w:r w:rsidR="006C714E" w:rsidRPr="00BC779C">
        <w:rPr>
          <w:rFonts w:ascii="Times New Roman" w:hAnsi="Times New Roman" w:cs="Times New Roman"/>
          <w:sz w:val="24"/>
          <w:szCs w:val="24"/>
        </w:rPr>
        <w:t xml:space="preserve"> &lt; 0.05</w:t>
      </w:r>
      <w:r w:rsidRPr="00BC779C">
        <w:rPr>
          <w:rFonts w:ascii="Times New Roman" w:hAnsi="Times New Roman" w:cs="Times New Roman"/>
          <w:sz w:val="24"/>
          <w:szCs w:val="24"/>
        </w:rPr>
        <w:t>.</w:t>
      </w:r>
      <w:r w:rsidR="00D55214" w:rsidRPr="00BC779C">
        <w:rPr>
          <w:rFonts w:ascii="Times New Roman" w:hAnsi="Times New Roman" w:cs="Times New Roman"/>
          <w:sz w:val="24"/>
          <w:szCs w:val="24"/>
        </w:rPr>
        <w:t xml:space="preserve"> SCF, soluble corn fiber.</w:t>
      </w:r>
    </w:p>
    <w:p w14:paraId="3FDE5272" w14:textId="77777777" w:rsidR="00471A05" w:rsidRPr="00D12A80" w:rsidRDefault="00471A05" w:rsidP="00D12A80">
      <w:pPr>
        <w:suppressLineNumbers/>
        <w:spacing w:after="100" w:afterAutospacing="1" w:line="480" w:lineRule="auto"/>
        <w:rPr>
          <w:rFonts w:ascii="Times New Roman" w:hAnsi="Times New Roman" w:cs="Times New Roman"/>
          <w:sz w:val="24"/>
          <w:szCs w:val="24"/>
        </w:rPr>
      </w:pPr>
    </w:p>
    <w:sectPr w:rsidR="00471A05" w:rsidRPr="00D12A80" w:rsidSect="00C66B66">
      <w:head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18614" w14:textId="77777777" w:rsidR="00357DC5" w:rsidRDefault="00357DC5" w:rsidP="00DB7174">
      <w:pPr>
        <w:spacing w:after="0" w:line="240" w:lineRule="auto"/>
      </w:pPr>
      <w:r>
        <w:separator/>
      </w:r>
    </w:p>
  </w:endnote>
  <w:endnote w:type="continuationSeparator" w:id="0">
    <w:p w14:paraId="5B069BB1" w14:textId="77777777" w:rsidR="00357DC5" w:rsidRDefault="00357DC5" w:rsidP="00DB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4694A" w14:textId="77777777" w:rsidR="00357DC5" w:rsidRDefault="00357DC5" w:rsidP="00DB7174">
      <w:pPr>
        <w:spacing w:after="0" w:line="240" w:lineRule="auto"/>
      </w:pPr>
      <w:r>
        <w:separator/>
      </w:r>
    </w:p>
  </w:footnote>
  <w:footnote w:type="continuationSeparator" w:id="0">
    <w:p w14:paraId="33167259" w14:textId="77777777" w:rsidR="00357DC5" w:rsidRDefault="00357DC5" w:rsidP="00DB7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573307"/>
      <w:docPartObj>
        <w:docPartGallery w:val="Page Numbers (Top of Page)"/>
        <w:docPartUnique/>
      </w:docPartObj>
    </w:sdtPr>
    <w:sdtEndPr>
      <w:rPr>
        <w:noProof/>
      </w:rPr>
    </w:sdtEndPr>
    <w:sdtContent>
      <w:p w14:paraId="44F4452A" w14:textId="7EF08AA6" w:rsidR="00985CB7" w:rsidRDefault="00985CB7" w:rsidP="00BE5757">
        <w:pPr>
          <w:pStyle w:val="Header"/>
          <w:jc w:val="right"/>
        </w:pPr>
        <w:r>
          <w:fldChar w:fldCharType="begin"/>
        </w:r>
        <w:r>
          <w:instrText xml:space="preserve"> PAGE   \* MERGEFORMAT </w:instrText>
        </w:r>
        <w:r>
          <w:fldChar w:fldCharType="separate"/>
        </w:r>
        <w:r w:rsidR="00964094">
          <w:rPr>
            <w:noProof/>
          </w:rPr>
          <w:t>1</w:t>
        </w:r>
        <w:r>
          <w:rPr>
            <w:noProof/>
          </w:rPr>
          <w:fldChar w:fldCharType="end"/>
        </w:r>
      </w:p>
    </w:sdtContent>
  </w:sdt>
  <w:p w14:paraId="3243E795" w14:textId="77777777" w:rsidR="00985CB7" w:rsidRDefault="00985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3377E"/>
    <w:multiLevelType w:val="hybridMultilevel"/>
    <w:tmpl w:val="D180C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B37BE"/>
    <w:multiLevelType w:val="hybridMultilevel"/>
    <w:tmpl w:val="138C5E9A"/>
    <w:lvl w:ilvl="0" w:tplc="6CE039B4">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ntl J Obesity&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vpfsz9v3xseaae2pt8ps09w9efptxxfprwt&quot;&gt;My EndNote Library&lt;record-ids&gt;&lt;item&gt;169&lt;/item&gt;&lt;item&gt;182&lt;/item&gt;&lt;item&gt;183&lt;/item&gt;&lt;item&gt;184&lt;/item&gt;&lt;item&gt;185&lt;/item&gt;&lt;item&gt;186&lt;/item&gt;&lt;item&gt;187&lt;/item&gt;&lt;item&gt;188&lt;/item&gt;&lt;item&gt;189&lt;/item&gt;&lt;item&gt;191&lt;/item&gt;&lt;item&gt;194&lt;/item&gt;&lt;/record-ids&gt;&lt;/item&gt;&lt;/Libraries&gt;"/>
  </w:docVars>
  <w:rsids>
    <w:rsidRoot w:val="004B2637"/>
    <w:rsid w:val="0000130F"/>
    <w:rsid w:val="00006469"/>
    <w:rsid w:val="00006571"/>
    <w:rsid w:val="00007AE3"/>
    <w:rsid w:val="000133E3"/>
    <w:rsid w:val="00016AB4"/>
    <w:rsid w:val="000214DF"/>
    <w:rsid w:val="0002332E"/>
    <w:rsid w:val="000244D8"/>
    <w:rsid w:val="00030A2D"/>
    <w:rsid w:val="000344DD"/>
    <w:rsid w:val="00034829"/>
    <w:rsid w:val="00036445"/>
    <w:rsid w:val="00042A89"/>
    <w:rsid w:val="00047F96"/>
    <w:rsid w:val="00055B50"/>
    <w:rsid w:val="000562B3"/>
    <w:rsid w:val="000565C0"/>
    <w:rsid w:val="00056845"/>
    <w:rsid w:val="000573D7"/>
    <w:rsid w:val="00057BDA"/>
    <w:rsid w:val="00071055"/>
    <w:rsid w:val="000843C2"/>
    <w:rsid w:val="0008554D"/>
    <w:rsid w:val="00086506"/>
    <w:rsid w:val="00086B0D"/>
    <w:rsid w:val="00096217"/>
    <w:rsid w:val="000A04D6"/>
    <w:rsid w:val="000B10EA"/>
    <w:rsid w:val="000B6AFE"/>
    <w:rsid w:val="000C0B61"/>
    <w:rsid w:val="000C0CFD"/>
    <w:rsid w:val="000C6B51"/>
    <w:rsid w:val="000D2F83"/>
    <w:rsid w:val="000E4F1C"/>
    <w:rsid w:val="000E55FA"/>
    <w:rsid w:val="00100146"/>
    <w:rsid w:val="001002B9"/>
    <w:rsid w:val="00101563"/>
    <w:rsid w:val="00105187"/>
    <w:rsid w:val="00107522"/>
    <w:rsid w:val="00111D58"/>
    <w:rsid w:val="0011254E"/>
    <w:rsid w:val="001137C6"/>
    <w:rsid w:val="00130016"/>
    <w:rsid w:val="0013306B"/>
    <w:rsid w:val="00135638"/>
    <w:rsid w:val="0013799E"/>
    <w:rsid w:val="00137EFC"/>
    <w:rsid w:val="00141F20"/>
    <w:rsid w:val="00144412"/>
    <w:rsid w:val="001521EE"/>
    <w:rsid w:val="00153259"/>
    <w:rsid w:val="001539AA"/>
    <w:rsid w:val="00157FD1"/>
    <w:rsid w:val="00165E9A"/>
    <w:rsid w:val="0017293D"/>
    <w:rsid w:val="00175946"/>
    <w:rsid w:val="00175BDA"/>
    <w:rsid w:val="00184DC8"/>
    <w:rsid w:val="00193718"/>
    <w:rsid w:val="00196998"/>
    <w:rsid w:val="00196F54"/>
    <w:rsid w:val="001A306F"/>
    <w:rsid w:val="001A57D4"/>
    <w:rsid w:val="001B237C"/>
    <w:rsid w:val="001B3594"/>
    <w:rsid w:val="001B584E"/>
    <w:rsid w:val="001B61CF"/>
    <w:rsid w:val="001C458C"/>
    <w:rsid w:val="001C6747"/>
    <w:rsid w:val="001D14AD"/>
    <w:rsid w:val="001D15AE"/>
    <w:rsid w:val="001D6159"/>
    <w:rsid w:val="001D64D3"/>
    <w:rsid w:val="001E002E"/>
    <w:rsid w:val="001E39C6"/>
    <w:rsid w:val="001F12FB"/>
    <w:rsid w:val="001F31AE"/>
    <w:rsid w:val="0020459B"/>
    <w:rsid w:val="0020506F"/>
    <w:rsid w:val="00210E03"/>
    <w:rsid w:val="0021123C"/>
    <w:rsid w:val="00217DA6"/>
    <w:rsid w:val="002222D9"/>
    <w:rsid w:val="00227451"/>
    <w:rsid w:val="00227CF7"/>
    <w:rsid w:val="00231C0E"/>
    <w:rsid w:val="00233BA9"/>
    <w:rsid w:val="00254BC8"/>
    <w:rsid w:val="002669C4"/>
    <w:rsid w:val="002674D9"/>
    <w:rsid w:val="0027169F"/>
    <w:rsid w:val="00273C31"/>
    <w:rsid w:val="00274F61"/>
    <w:rsid w:val="00280E2D"/>
    <w:rsid w:val="0028216B"/>
    <w:rsid w:val="00282316"/>
    <w:rsid w:val="002936D3"/>
    <w:rsid w:val="00295A1B"/>
    <w:rsid w:val="00295D56"/>
    <w:rsid w:val="00296B55"/>
    <w:rsid w:val="002A3549"/>
    <w:rsid w:val="002A5877"/>
    <w:rsid w:val="002A7F8D"/>
    <w:rsid w:val="002B4B22"/>
    <w:rsid w:val="002C2E47"/>
    <w:rsid w:val="002C2F3E"/>
    <w:rsid w:val="002D52DC"/>
    <w:rsid w:val="002E3175"/>
    <w:rsid w:val="002E616C"/>
    <w:rsid w:val="002E7276"/>
    <w:rsid w:val="002E7D6A"/>
    <w:rsid w:val="002F1D79"/>
    <w:rsid w:val="002F4CA5"/>
    <w:rsid w:val="0030120B"/>
    <w:rsid w:val="00305EC2"/>
    <w:rsid w:val="00313212"/>
    <w:rsid w:val="00313D83"/>
    <w:rsid w:val="00315F84"/>
    <w:rsid w:val="00322818"/>
    <w:rsid w:val="00331905"/>
    <w:rsid w:val="003351FF"/>
    <w:rsid w:val="00335EC6"/>
    <w:rsid w:val="00335EF5"/>
    <w:rsid w:val="00336B5B"/>
    <w:rsid w:val="00342199"/>
    <w:rsid w:val="00342A21"/>
    <w:rsid w:val="003438AF"/>
    <w:rsid w:val="00346894"/>
    <w:rsid w:val="00351E10"/>
    <w:rsid w:val="00352D80"/>
    <w:rsid w:val="0035506E"/>
    <w:rsid w:val="003559D3"/>
    <w:rsid w:val="0035789F"/>
    <w:rsid w:val="00357DC5"/>
    <w:rsid w:val="003613A5"/>
    <w:rsid w:val="00362B32"/>
    <w:rsid w:val="00366EAB"/>
    <w:rsid w:val="0037095C"/>
    <w:rsid w:val="00371AF5"/>
    <w:rsid w:val="00375F0F"/>
    <w:rsid w:val="00381017"/>
    <w:rsid w:val="003810B3"/>
    <w:rsid w:val="003842C0"/>
    <w:rsid w:val="00387967"/>
    <w:rsid w:val="00396A69"/>
    <w:rsid w:val="00397053"/>
    <w:rsid w:val="003A29EA"/>
    <w:rsid w:val="003A7E98"/>
    <w:rsid w:val="003B3F05"/>
    <w:rsid w:val="003B4495"/>
    <w:rsid w:val="003B6FAB"/>
    <w:rsid w:val="003C0594"/>
    <w:rsid w:val="003C346F"/>
    <w:rsid w:val="003C72CE"/>
    <w:rsid w:val="003D266E"/>
    <w:rsid w:val="003D7050"/>
    <w:rsid w:val="003E00DE"/>
    <w:rsid w:val="003E122C"/>
    <w:rsid w:val="003E1AB6"/>
    <w:rsid w:val="003E5C9E"/>
    <w:rsid w:val="003F374D"/>
    <w:rsid w:val="003F4D93"/>
    <w:rsid w:val="003F568E"/>
    <w:rsid w:val="00400ED3"/>
    <w:rsid w:val="00412DDA"/>
    <w:rsid w:val="00413E24"/>
    <w:rsid w:val="004152E7"/>
    <w:rsid w:val="004205CE"/>
    <w:rsid w:val="00427BF5"/>
    <w:rsid w:val="004332ED"/>
    <w:rsid w:val="004358B4"/>
    <w:rsid w:val="0044308C"/>
    <w:rsid w:val="00444C54"/>
    <w:rsid w:val="00445026"/>
    <w:rsid w:val="0045110B"/>
    <w:rsid w:val="00453FF2"/>
    <w:rsid w:val="00457656"/>
    <w:rsid w:val="004600E6"/>
    <w:rsid w:val="00463702"/>
    <w:rsid w:val="004645E6"/>
    <w:rsid w:val="0046477D"/>
    <w:rsid w:val="004701BE"/>
    <w:rsid w:val="00471A05"/>
    <w:rsid w:val="00471EB1"/>
    <w:rsid w:val="00477537"/>
    <w:rsid w:val="00477599"/>
    <w:rsid w:val="00485950"/>
    <w:rsid w:val="0048601E"/>
    <w:rsid w:val="0048734C"/>
    <w:rsid w:val="00496B5A"/>
    <w:rsid w:val="004A7126"/>
    <w:rsid w:val="004B1F34"/>
    <w:rsid w:val="004B2637"/>
    <w:rsid w:val="004B2DC2"/>
    <w:rsid w:val="004B47F8"/>
    <w:rsid w:val="004C17C5"/>
    <w:rsid w:val="004C29F8"/>
    <w:rsid w:val="004C52C0"/>
    <w:rsid w:val="004D0748"/>
    <w:rsid w:val="004D4DF0"/>
    <w:rsid w:val="004E6817"/>
    <w:rsid w:val="004F5C82"/>
    <w:rsid w:val="004F718F"/>
    <w:rsid w:val="004F7587"/>
    <w:rsid w:val="00500602"/>
    <w:rsid w:val="00500F5F"/>
    <w:rsid w:val="00515103"/>
    <w:rsid w:val="00520F2D"/>
    <w:rsid w:val="005235CE"/>
    <w:rsid w:val="00524BD3"/>
    <w:rsid w:val="00525736"/>
    <w:rsid w:val="00536068"/>
    <w:rsid w:val="00536C57"/>
    <w:rsid w:val="005379A0"/>
    <w:rsid w:val="00542556"/>
    <w:rsid w:val="00542EA3"/>
    <w:rsid w:val="00547CF6"/>
    <w:rsid w:val="005560CF"/>
    <w:rsid w:val="00556953"/>
    <w:rsid w:val="0056012F"/>
    <w:rsid w:val="00561A29"/>
    <w:rsid w:val="00562F99"/>
    <w:rsid w:val="00563E37"/>
    <w:rsid w:val="00565FE0"/>
    <w:rsid w:val="005666AE"/>
    <w:rsid w:val="00567104"/>
    <w:rsid w:val="005732E1"/>
    <w:rsid w:val="00577CA5"/>
    <w:rsid w:val="00582397"/>
    <w:rsid w:val="005837CE"/>
    <w:rsid w:val="005840BF"/>
    <w:rsid w:val="00585C2C"/>
    <w:rsid w:val="005B1CD3"/>
    <w:rsid w:val="005B2692"/>
    <w:rsid w:val="005B2832"/>
    <w:rsid w:val="005D11CF"/>
    <w:rsid w:val="005D2CDC"/>
    <w:rsid w:val="005D40F2"/>
    <w:rsid w:val="005E5F19"/>
    <w:rsid w:val="005E66A8"/>
    <w:rsid w:val="005F1A13"/>
    <w:rsid w:val="005F1F71"/>
    <w:rsid w:val="006053EF"/>
    <w:rsid w:val="0061038B"/>
    <w:rsid w:val="006123A3"/>
    <w:rsid w:val="006131BE"/>
    <w:rsid w:val="0061511B"/>
    <w:rsid w:val="00622C48"/>
    <w:rsid w:val="00624AE6"/>
    <w:rsid w:val="00626EA8"/>
    <w:rsid w:val="00627ECC"/>
    <w:rsid w:val="00627EE8"/>
    <w:rsid w:val="00631DB3"/>
    <w:rsid w:val="00632F4D"/>
    <w:rsid w:val="00633765"/>
    <w:rsid w:val="00636820"/>
    <w:rsid w:val="006421D5"/>
    <w:rsid w:val="00644E13"/>
    <w:rsid w:val="00645265"/>
    <w:rsid w:val="00645EA6"/>
    <w:rsid w:val="006503C8"/>
    <w:rsid w:val="00655A07"/>
    <w:rsid w:val="006611BD"/>
    <w:rsid w:val="0066159E"/>
    <w:rsid w:val="006644F8"/>
    <w:rsid w:val="006761F2"/>
    <w:rsid w:val="006808E2"/>
    <w:rsid w:val="00682548"/>
    <w:rsid w:val="00684612"/>
    <w:rsid w:val="00684EC6"/>
    <w:rsid w:val="006874DA"/>
    <w:rsid w:val="006A0EB4"/>
    <w:rsid w:val="006A3262"/>
    <w:rsid w:val="006B0B27"/>
    <w:rsid w:val="006B64BC"/>
    <w:rsid w:val="006C714E"/>
    <w:rsid w:val="006D3922"/>
    <w:rsid w:val="007125C5"/>
    <w:rsid w:val="00714D4B"/>
    <w:rsid w:val="00725583"/>
    <w:rsid w:val="007340EA"/>
    <w:rsid w:val="007358CA"/>
    <w:rsid w:val="00735F2A"/>
    <w:rsid w:val="007405EB"/>
    <w:rsid w:val="0074214E"/>
    <w:rsid w:val="00746C77"/>
    <w:rsid w:val="00752841"/>
    <w:rsid w:val="0076442B"/>
    <w:rsid w:val="007646D1"/>
    <w:rsid w:val="007659B0"/>
    <w:rsid w:val="00765D15"/>
    <w:rsid w:val="00774A84"/>
    <w:rsid w:val="00775240"/>
    <w:rsid w:val="00777535"/>
    <w:rsid w:val="00782961"/>
    <w:rsid w:val="007852E3"/>
    <w:rsid w:val="00794F5B"/>
    <w:rsid w:val="00795001"/>
    <w:rsid w:val="00797F16"/>
    <w:rsid w:val="007A5E73"/>
    <w:rsid w:val="007A7877"/>
    <w:rsid w:val="007B06E3"/>
    <w:rsid w:val="007B27E2"/>
    <w:rsid w:val="007C0476"/>
    <w:rsid w:val="007D19DB"/>
    <w:rsid w:val="007D2B01"/>
    <w:rsid w:val="007D2E5C"/>
    <w:rsid w:val="007D5841"/>
    <w:rsid w:val="007D7AA7"/>
    <w:rsid w:val="007E2E68"/>
    <w:rsid w:val="007E2F92"/>
    <w:rsid w:val="007E4DEC"/>
    <w:rsid w:val="007F0642"/>
    <w:rsid w:val="00811D23"/>
    <w:rsid w:val="008142D0"/>
    <w:rsid w:val="008152A8"/>
    <w:rsid w:val="00816AF8"/>
    <w:rsid w:val="00820008"/>
    <w:rsid w:val="0082157D"/>
    <w:rsid w:val="00827602"/>
    <w:rsid w:val="008362E6"/>
    <w:rsid w:val="008376C1"/>
    <w:rsid w:val="008416EF"/>
    <w:rsid w:val="00843C2A"/>
    <w:rsid w:val="00857DD4"/>
    <w:rsid w:val="00871CE6"/>
    <w:rsid w:val="008802B0"/>
    <w:rsid w:val="00880F7C"/>
    <w:rsid w:val="008830DB"/>
    <w:rsid w:val="00890ACF"/>
    <w:rsid w:val="00891063"/>
    <w:rsid w:val="008A377E"/>
    <w:rsid w:val="008B7693"/>
    <w:rsid w:val="008C2C90"/>
    <w:rsid w:val="008C3F05"/>
    <w:rsid w:val="008C4EB6"/>
    <w:rsid w:val="008D1ADC"/>
    <w:rsid w:val="008D1F51"/>
    <w:rsid w:val="008D23FD"/>
    <w:rsid w:val="008D2C73"/>
    <w:rsid w:val="008D518D"/>
    <w:rsid w:val="008F026D"/>
    <w:rsid w:val="008F5BE8"/>
    <w:rsid w:val="008F734E"/>
    <w:rsid w:val="009126FC"/>
    <w:rsid w:val="00917D8A"/>
    <w:rsid w:val="00930BA6"/>
    <w:rsid w:val="00930D2D"/>
    <w:rsid w:val="00942C00"/>
    <w:rsid w:val="009449D0"/>
    <w:rsid w:val="00946597"/>
    <w:rsid w:val="00946C44"/>
    <w:rsid w:val="009479E8"/>
    <w:rsid w:val="00950E56"/>
    <w:rsid w:val="00951DF8"/>
    <w:rsid w:val="009552B8"/>
    <w:rsid w:val="00960586"/>
    <w:rsid w:val="009606F1"/>
    <w:rsid w:val="00964094"/>
    <w:rsid w:val="00981510"/>
    <w:rsid w:val="009816BC"/>
    <w:rsid w:val="00985CB7"/>
    <w:rsid w:val="00997329"/>
    <w:rsid w:val="009B5556"/>
    <w:rsid w:val="009C26F0"/>
    <w:rsid w:val="009C3C42"/>
    <w:rsid w:val="009C5C74"/>
    <w:rsid w:val="009C5CB8"/>
    <w:rsid w:val="009D3CB5"/>
    <w:rsid w:val="009D569F"/>
    <w:rsid w:val="009D5741"/>
    <w:rsid w:val="009D7889"/>
    <w:rsid w:val="009E046E"/>
    <w:rsid w:val="009E269A"/>
    <w:rsid w:val="009E6958"/>
    <w:rsid w:val="009F0BA5"/>
    <w:rsid w:val="009F16FB"/>
    <w:rsid w:val="009F55A6"/>
    <w:rsid w:val="009F6E9E"/>
    <w:rsid w:val="009F7BB3"/>
    <w:rsid w:val="00A00F91"/>
    <w:rsid w:val="00A0232E"/>
    <w:rsid w:val="00A0346F"/>
    <w:rsid w:val="00A106E9"/>
    <w:rsid w:val="00A1263F"/>
    <w:rsid w:val="00A15053"/>
    <w:rsid w:val="00A204E6"/>
    <w:rsid w:val="00A24045"/>
    <w:rsid w:val="00A24BC9"/>
    <w:rsid w:val="00A30213"/>
    <w:rsid w:val="00A351BA"/>
    <w:rsid w:val="00A4284F"/>
    <w:rsid w:val="00A431F1"/>
    <w:rsid w:val="00A5183A"/>
    <w:rsid w:val="00A51DEF"/>
    <w:rsid w:val="00A535ED"/>
    <w:rsid w:val="00A67A5E"/>
    <w:rsid w:val="00A70FEB"/>
    <w:rsid w:val="00A74323"/>
    <w:rsid w:val="00A75EBA"/>
    <w:rsid w:val="00A76EF5"/>
    <w:rsid w:val="00A7763C"/>
    <w:rsid w:val="00A806D5"/>
    <w:rsid w:val="00A919F2"/>
    <w:rsid w:val="00A9318F"/>
    <w:rsid w:val="00A934EE"/>
    <w:rsid w:val="00A943E2"/>
    <w:rsid w:val="00A94A52"/>
    <w:rsid w:val="00A961BD"/>
    <w:rsid w:val="00A974C1"/>
    <w:rsid w:val="00AB02C2"/>
    <w:rsid w:val="00AB407B"/>
    <w:rsid w:val="00AC31A8"/>
    <w:rsid w:val="00AC4DD4"/>
    <w:rsid w:val="00AD4FE2"/>
    <w:rsid w:val="00AD6B19"/>
    <w:rsid w:val="00AD729D"/>
    <w:rsid w:val="00AD7A15"/>
    <w:rsid w:val="00AE22B6"/>
    <w:rsid w:val="00AE2AE3"/>
    <w:rsid w:val="00AE522A"/>
    <w:rsid w:val="00AE55D7"/>
    <w:rsid w:val="00AE6985"/>
    <w:rsid w:val="00AE6CBF"/>
    <w:rsid w:val="00AF115F"/>
    <w:rsid w:val="00AF190F"/>
    <w:rsid w:val="00AF4181"/>
    <w:rsid w:val="00AF46AC"/>
    <w:rsid w:val="00AF5260"/>
    <w:rsid w:val="00B0019E"/>
    <w:rsid w:val="00B04FC1"/>
    <w:rsid w:val="00B05B6E"/>
    <w:rsid w:val="00B11E61"/>
    <w:rsid w:val="00B16954"/>
    <w:rsid w:val="00B203B2"/>
    <w:rsid w:val="00B25F8C"/>
    <w:rsid w:val="00B33C3E"/>
    <w:rsid w:val="00B3460E"/>
    <w:rsid w:val="00B348D4"/>
    <w:rsid w:val="00B36028"/>
    <w:rsid w:val="00B447EA"/>
    <w:rsid w:val="00B44873"/>
    <w:rsid w:val="00B47C96"/>
    <w:rsid w:val="00B54883"/>
    <w:rsid w:val="00B56496"/>
    <w:rsid w:val="00B56BAE"/>
    <w:rsid w:val="00B6205F"/>
    <w:rsid w:val="00B704A4"/>
    <w:rsid w:val="00B74F01"/>
    <w:rsid w:val="00B81261"/>
    <w:rsid w:val="00B844AD"/>
    <w:rsid w:val="00B85BB1"/>
    <w:rsid w:val="00B9184F"/>
    <w:rsid w:val="00B9368E"/>
    <w:rsid w:val="00B9644A"/>
    <w:rsid w:val="00B97C26"/>
    <w:rsid w:val="00BA2B02"/>
    <w:rsid w:val="00BA72FA"/>
    <w:rsid w:val="00BA761F"/>
    <w:rsid w:val="00BB0F77"/>
    <w:rsid w:val="00BB0F88"/>
    <w:rsid w:val="00BB566F"/>
    <w:rsid w:val="00BB609B"/>
    <w:rsid w:val="00BC779C"/>
    <w:rsid w:val="00BD027D"/>
    <w:rsid w:val="00BD4EF1"/>
    <w:rsid w:val="00BD6DE4"/>
    <w:rsid w:val="00BE1D3D"/>
    <w:rsid w:val="00BE5100"/>
    <w:rsid w:val="00BE5757"/>
    <w:rsid w:val="00BE7C52"/>
    <w:rsid w:val="00BF15FF"/>
    <w:rsid w:val="00BF3556"/>
    <w:rsid w:val="00BF5749"/>
    <w:rsid w:val="00BF67CE"/>
    <w:rsid w:val="00C10AF5"/>
    <w:rsid w:val="00C1499E"/>
    <w:rsid w:val="00C21524"/>
    <w:rsid w:val="00C230ED"/>
    <w:rsid w:val="00C235F0"/>
    <w:rsid w:val="00C24224"/>
    <w:rsid w:val="00C24A2C"/>
    <w:rsid w:val="00C253D7"/>
    <w:rsid w:val="00C30408"/>
    <w:rsid w:val="00C3410A"/>
    <w:rsid w:val="00C409AA"/>
    <w:rsid w:val="00C459D6"/>
    <w:rsid w:val="00C52E8E"/>
    <w:rsid w:val="00C56A44"/>
    <w:rsid w:val="00C571CF"/>
    <w:rsid w:val="00C600C2"/>
    <w:rsid w:val="00C62D60"/>
    <w:rsid w:val="00C66B66"/>
    <w:rsid w:val="00C76CD2"/>
    <w:rsid w:val="00C80006"/>
    <w:rsid w:val="00C80428"/>
    <w:rsid w:val="00C83B5E"/>
    <w:rsid w:val="00C84F41"/>
    <w:rsid w:val="00C9397C"/>
    <w:rsid w:val="00C95503"/>
    <w:rsid w:val="00C96982"/>
    <w:rsid w:val="00CA0C5F"/>
    <w:rsid w:val="00CA2CCD"/>
    <w:rsid w:val="00CA3519"/>
    <w:rsid w:val="00CA3E14"/>
    <w:rsid w:val="00CA69A6"/>
    <w:rsid w:val="00CB340F"/>
    <w:rsid w:val="00CB5918"/>
    <w:rsid w:val="00CD5754"/>
    <w:rsid w:val="00CD73C1"/>
    <w:rsid w:val="00CE25F2"/>
    <w:rsid w:val="00CE555A"/>
    <w:rsid w:val="00CE5DF7"/>
    <w:rsid w:val="00D007E3"/>
    <w:rsid w:val="00D02267"/>
    <w:rsid w:val="00D03BFC"/>
    <w:rsid w:val="00D0507F"/>
    <w:rsid w:val="00D105DA"/>
    <w:rsid w:val="00D10B55"/>
    <w:rsid w:val="00D10F71"/>
    <w:rsid w:val="00D12A80"/>
    <w:rsid w:val="00D12B83"/>
    <w:rsid w:val="00D164CA"/>
    <w:rsid w:val="00D22399"/>
    <w:rsid w:val="00D22D9B"/>
    <w:rsid w:val="00D25889"/>
    <w:rsid w:val="00D31B66"/>
    <w:rsid w:val="00D353D7"/>
    <w:rsid w:val="00D54207"/>
    <w:rsid w:val="00D54814"/>
    <w:rsid w:val="00D55214"/>
    <w:rsid w:val="00D604FE"/>
    <w:rsid w:val="00D60915"/>
    <w:rsid w:val="00D62CA2"/>
    <w:rsid w:val="00D65C9A"/>
    <w:rsid w:val="00D6757B"/>
    <w:rsid w:val="00D76636"/>
    <w:rsid w:val="00D803D9"/>
    <w:rsid w:val="00D82361"/>
    <w:rsid w:val="00D83413"/>
    <w:rsid w:val="00D83B51"/>
    <w:rsid w:val="00D92116"/>
    <w:rsid w:val="00D93B64"/>
    <w:rsid w:val="00DA22EE"/>
    <w:rsid w:val="00DA32B0"/>
    <w:rsid w:val="00DA4B95"/>
    <w:rsid w:val="00DB04CC"/>
    <w:rsid w:val="00DB24FC"/>
    <w:rsid w:val="00DB3975"/>
    <w:rsid w:val="00DB4C93"/>
    <w:rsid w:val="00DB7174"/>
    <w:rsid w:val="00DB72D8"/>
    <w:rsid w:val="00DC1139"/>
    <w:rsid w:val="00DD3A04"/>
    <w:rsid w:val="00DE0D56"/>
    <w:rsid w:val="00DE57E4"/>
    <w:rsid w:val="00DE6751"/>
    <w:rsid w:val="00DE7A97"/>
    <w:rsid w:val="00DF0D2E"/>
    <w:rsid w:val="00DF2BC6"/>
    <w:rsid w:val="00DF48BF"/>
    <w:rsid w:val="00E0106F"/>
    <w:rsid w:val="00E0637B"/>
    <w:rsid w:val="00E1344A"/>
    <w:rsid w:val="00E17CCB"/>
    <w:rsid w:val="00E25F03"/>
    <w:rsid w:val="00E3097E"/>
    <w:rsid w:val="00E36DBA"/>
    <w:rsid w:val="00E36E17"/>
    <w:rsid w:val="00E36E30"/>
    <w:rsid w:val="00E37308"/>
    <w:rsid w:val="00E40583"/>
    <w:rsid w:val="00E42957"/>
    <w:rsid w:val="00E5004E"/>
    <w:rsid w:val="00E60839"/>
    <w:rsid w:val="00E64972"/>
    <w:rsid w:val="00E71FAA"/>
    <w:rsid w:val="00E7681F"/>
    <w:rsid w:val="00E83E9B"/>
    <w:rsid w:val="00E85B8F"/>
    <w:rsid w:val="00E91E49"/>
    <w:rsid w:val="00EB19DE"/>
    <w:rsid w:val="00EB2EA4"/>
    <w:rsid w:val="00EB408A"/>
    <w:rsid w:val="00EB6AE8"/>
    <w:rsid w:val="00EC231E"/>
    <w:rsid w:val="00EC591D"/>
    <w:rsid w:val="00EC694B"/>
    <w:rsid w:val="00ED0895"/>
    <w:rsid w:val="00ED3DB1"/>
    <w:rsid w:val="00ED5241"/>
    <w:rsid w:val="00ED52C5"/>
    <w:rsid w:val="00EE0E8E"/>
    <w:rsid w:val="00EE559C"/>
    <w:rsid w:val="00EE635A"/>
    <w:rsid w:val="00EE77B0"/>
    <w:rsid w:val="00EF15C2"/>
    <w:rsid w:val="00EF33A3"/>
    <w:rsid w:val="00EF60E1"/>
    <w:rsid w:val="00F026CF"/>
    <w:rsid w:val="00F035A6"/>
    <w:rsid w:val="00F05567"/>
    <w:rsid w:val="00F06D89"/>
    <w:rsid w:val="00F1134E"/>
    <w:rsid w:val="00F16D02"/>
    <w:rsid w:val="00F217E2"/>
    <w:rsid w:val="00F26240"/>
    <w:rsid w:val="00F36218"/>
    <w:rsid w:val="00F37C6E"/>
    <w:rsid w:val="00F37CC0"/>
    <w:rsid w:val="00F41A46"/>
    <w:rsid w:val="00F445E0"/>
    <w:rsid w:val="00F52DE4"/>
    <w:rsid w:val="00F53A8A"/>
    <w:rsid w:val="00F55607"/>
    <w:rsid w:val="00F559CE"/>
    <w:rsid w:val="00F6216E"/>
    <w:rsid w:val="00F654DB"/>
    <w:rsid w:val="00F70E90"/>
    <w:rsid w:val="00F80111"/>
    <w:rsid w:val="00F91880"/>
    <w:rsid w:val="00F935B2"/>
    <w:rsid w:val="00F95177"/>
    <w:rsid w:val="00FA38F0"/>
    <w:rsid w:val="00FA451A"/>
    <w:rsid w:val="00FA71F3"/>
    <w:rsid w:val="00FC14FE"/>
    <w:rsid w:val="00FD4063"/>
    <w:rsid w:val="00FE651F"/>
    <w:rsid w:val="00FE7031"/>
    <w:rsid w:val="00FF2081"/>
    <w:rsid w:val="00FF27A4"/>
    <w:rsid w:val="00FF3E1C"/>
    <w:rsid w:val="00FF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831B4A"/>
  <w15:docId w15:val="{A25B672D-42A2-4889-8714-25F6C423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63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96F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196F54"/>
    <w:rPr>
      <w:rFonts w:cs="Times New Roman"/>
      <w:color w:val="0000FF"/>
      <w:u w:val="single"/>
    </w:rPr>
  </w:style>
  <w:style w:type="paragraph" w:styleId="BalloonText">
    <w:name w:val="Balloon Text"/>
    <w:basedOn w:val="Normal"/>
    <w:link w:val="BalloonTextChar"/>
    <w:uiPriority w:val="99"/>
    <w:semiHidden/>
    <w:unhideWhenUsed/>
    <w:rsid w:val="00006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69"/>
    <w:rPr>
      <w:rFonts w:ascii="Segoe UI" w:eastAsiaTheme="minorEastAsia" w:hAnsi="Segoe UI" w:cs="Segoe UI"/>
      <w:sz w:val="18"/>
      <w:szCs w:val="18"/>
    </w:rPr>
  </w:style>
  <w:style w:type="character" w:styleId="LineNumber">
    <w:name w:val="line number"/>
    <w:basedOn w:val="DefaultParagraphFont"/>
    <w:uiPriority w:val="99"/>
    <w:semiHidden/>
    <w:unhideWhenUsed/>
    <w:rsid w:val="00684612"/>
  </w:style>
  <w:style w:type="character" w:styleId="CommentReference">
    <w:name w:val="annotation reference"/>
    <w:basedOn w:val="DefaultParagraphFont"/>
    <w:uiPriority w:val="99"/>
    <w:semiHidden/>
    <w:unhideWhenUsed/>
    <w:rsid w:val="00F05567"/>
    <w:rPr>
      <w:sz w:val="16"/>
      <w:szCs w:val="16"/>
    </w:rPr>
  </w:style>
  <w:style w:type="paragraph" w:styleId="CommentText">
    <w:name w:val="annotation text"/>
    <w:basedOn w:val="Normal"/>
    <w:link w:val="CommentTextChar"/>
    <w:uiPriority w:val="99"/>
    <w:semiHidden/>
    <w:unhideWhenUsed/>
    <w:rsid w:val="00F05567"/>
    <w:pPr>
      <w:spacing w:line="240" w:lineRule="auto"/>
    </w:pPr>
    <w:rPr>
      <w:sz w:val="20"/>
      <w:szCs w:val="20"/>
    </w:rPr>
  </w:style>
  <w:style w:type="character" w:customStyle="1" w:styleId="CommentTextChar">
    <w:name w:val="Comment Text Char"/>
    <w:basedOn w:val="DefaultParagraphFont"/>
    <w:link w:val="CommentText"/>
    <w:uiPriority w:val="99"/>
    <w:semiHidden/>
    <w:rsid w:val="00F0556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5567"/>
    <w:rPr>
      <w:b/>
      <w:bCs/>
    </w:rPr>
  </w:style>
  <w:style w:type="character" w:customStyle="1" w:styleId="CommentSubjectChar">
    <w:name w:val="Comment Subject Char"/>
    <w:basedOn w:val="CommentTextChar"/>
    <w:link w:val="CommentSubject"/>
    <w:uiPriority w:val="99"/>
    <w:semiHidden/>
    <w:rsid w:val="00F05567"/>
    <w:rPr>
      <w:rFonts w:eastAsiaTheme="minorEastAsia"/>
      <w:b/>
      <w:bCs/>
      <w:sz w:val="20"/>
      <w:szCs w:val="20"/>
    </w:rPr>
  </w:style>
  <w:style w:type="paragraph" w:styleId="Header">
    <w:name w:val="header"/>
    <w:basedOn w:val="Normal"/>
    <w:link w:val="HeaderChar"/>
    <w:uiPriority w:val="99"/>
    <w:unhideWhenUsed/>
    <w:rsid w:val="00DB7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174"/>
    <w:rPr>
      <w:rFonts w:eastAsiaTheme="minorEastAsia"/>
    </w:rPr>
  </w:style>
  <w:style w:type="paragraph" w:styleId="Footer">
    <w:name w:val="footer"/>
    <w:basedOn w:val="Normal"/>
    <w:link w:val="FooterChar"/>
    <w:uiPriority w:val="99"/>
    <w:unhideWhenUsed/>
    <w:rsid w:val="00DB7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174"/>
    <w:rPr>
      <w:rFonts w:eastAsiaTheme="minorEastAsia"/>
    </w:rPr>
  </w:style>
  <w:style w:type="paragraph" w:styleId="Revision">
    <w:name w:val="Revision"/>
    <w:hidden/>
    <w:uiPriority w:val="99"/>
    <w:semiHidden/>
    <w:rsid w:val="002674D9"/>
    <w:pPr>
      <w:spacing w:after="0" w:line="240" w:lineRule="auto"/>
    </w:pPr>
    <w:rPr>
      <w:rFonts w:eastAsiaTheme="minorEastAsia"/>
    </w:rPr>
  </w:style>
  <w:style w:type="paragraph" w:styleId="ListParagraph">
    <w:name w:val="List Paragraph"/>
    <w:basedOn w:val="Normal"/>
    <w:uiPriority w:val="34"/>
    <w:qFormat/>
    <w:rsid w:val="00AF5260"/>
    <w:pPr>
      <w:ind w:left="720"/>
      <w:contextualSpacing/>
    </w:pPr>
  </w:style>
  <w:style w:type="character" w:styleId="FollowedHyperlink">
    <w:name w:val="FollowedHyperlink"/>
    <w:basedOn w:val="DefaultParagraphFont"/>
    <w:uiPriority w:val="99"/>
    <w:semiHidden/>
    <w:unhideWhenUsed/>
    <w:rsid w:val="00AD6B19"/>
    <w:rPr>
      <w:color w:val="954F72" w:themeColor="followedHyperlink"/>
      <w:u w:val="single"/>
    </w:rPr>
  </w:style>
  <w:style w:type="table" w:styleId="TableGrid">
    <w:name w:val="Table Grid"/>
    <w:basedOn w:val="TableNormal"/>
    <w:uiPriority w:val="59"/>
    <w:rsid w:val="00EB2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35E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782455">
      <w:bodyDiv w:val="1"/>
      <w:marLeft w:val="0"/>
      <w:marRight w:val="0"/>
      <w:marTop w:val="0"/>
      <w:marBottom w:val="0"/>
      <w:divBdr>
        <w:top w:val="none" w:sz="0" w:space="0" w:color="auto"/>
        <w:left w:val="none" w:sz="0" w:space="0" w:color="auto"/>
        <w:bottom w:val="none" w:sz="0" w:space="0" w:color="auto"/>
        <w:right w:val="none" w:sz="0" w:space="0" w:color="auto"/>
      </w:divBdr>
      <w:divsChild>
        <w:div w:id="1079015958">
          <w:marLeft w:val="0"/>
          <w:marRight w:val="0"/>
          <w:marTop w:val="0"/>
          <w:marBottom w:val="0"/>
          <w:divBdr>
            <w:top w:val="none" w:sz="0" w:space="0" w:color="auto"/>
            <w:left w:val="none" w:sz="0" w:space="0" w:color="auto"/>
            <w:bottom w:val="none" w:sz="0" w:space="0" w:color="auto"/>
            <w:right w:val="none" w:sz="0" w:space="0" w:color="auto"/>
          </w:divBdr>
          <w:divsChild>
            <w:div w:id="970288774">
              <w:marLeft w:val="0"/>
              <w:marRight w:val="0"/>
              <w:marTop w:val="0"/>
              <w:marBottom w:val="0"/>
              <w:divBdr>
                <w:top w:val="none" w:sz="0" w:space="0" w:color="auto"/>
                <w:left w:val="none" w:sz="0" w:space="0" w:color="auto"/>
                <w:bottom w:val="none" w:sz="0" w:space="0" w:color="auto"/>
                <w:right w:val="none" w:sz="0" w:space="0" w:color="auto"/>
              </w:divBdr>
              <w:divsChild>
                <w:div w:id="1404597939">
                  <w:marLeft w:val="0"/>
                  <w:marRight w:val="0"/>
                  <w:marTop w:val="0"/>
                  <w:marBottom w:val="0"/>
                  <w:divBdr>
                    <w:top w:val="none" w:sz="0" w:space="0" w:color="auto"/>
                    <w:left w:val="none" w:sz="0" w:space="0" w:color="auto"/>
                    <w:bottom w:val="none" w:sz="0" w:space="0" w:color="auto"/>
                    <w:right w:val="none" w:sz="0" w:space="0" w:color="auto"/>
                  </w:divBdr>
                  <w:divsChild>
                    <w:div w:id="512574919">
                      <w:marLeft w:val="0"/>
                      <w:marRight w:val="0"/>
                      <w:marTop w:val="0"/>
                      <w:marBottom w:val="0"/>
                      <w:divBdr>
                        <w:top w:val="none" w:sz="0" w:space="0" w:color="auto"/>
                        <w:left w:val="none" w:sz="0" w:space="0" w:color="auto"/>
                        <w:bottom w:val="none" w:sz="0" w:space="0" w:color="auto"/>
                        <w:right w:val="none" w:sz="0" w:space="0" w:color="auto"/>
                      </w:divBdr>
                      <w:divsChild>
                        <w:div w:id="919290295">
                          <w:marLeft w:val="0"/>
                          <w:marRight w:val="0"/>
                          <w:marTop w:val="0"/>
                          <w:marBottom w:val="0"/>
                          <w:divBdr>
                            <w:top w:val="none" w:sz="0" w:space="0" w:color="auto"/>
                            <w:left w:val="none" w:sz="0" w:space="0" w:color="auto"/>
                            <w:bottom w:val="none" w:sz="0" w:space="0" w:color="auto"/>
                            <w:right w:val="none" w:sz="0" w:space="0" w:color="auto"/>
                          </w:divBdr>
                          <w:divsChild>
                            <w:div w:id="1811896791">
                              <w:marLeft w:val="0"/>
                              <w:marRight w:val="0"/>
                              <w:marTop w:val="0"/>
                              <w:marBottom w:val="0"/>
                              <w:divBdr>
                                <w:top w:val="none" w:sz="0" w:space="0" w:color="auto"/>
                                <w:left w:val="none" w:sz="0" w:space="0" w:color="auto"/>
                                <w:bottom w:val="none" w:sz="0" w:space="0" w:color="auto"/>
                                <w:right w:val="none" w:sz="0" w:space="0" w:color="auto"/>
                              </w:divBdr>
                              <w:divsChild>
                                <w:div w:id="1319648686">
                                  <w:marLeft w:val="0"/>
                                  <w:marRight w:val="0"/>
                                  <w:marTop w:val="0"/>
                                  <w:marBottom w:val="0"/>
                                  <w:divBdr>
                                    <w:top w:val="none" w:sz="0" w:space="0" w:color="auto"/>
                                    <w:left w:val="none" w:sz="0" w:space="0" w:color="auto"/>
                                    <w:bottom w:val="none" w:sz="0" w:space="0" w:color="auto"/>
                                    <w:right w:val="none" w:sz="0" w:space="0" w:color="auto"/>
                                  </w:divBdr>
                                  <w:divsChild>
                                    <w:div w:id="155418087">
                                      <w:marLeft w:val="0"/>
                                      <w:marRight w:val="0"/>
                                      <w:marTop w:val="0"/>
                                      <w:marBottom w:val="0"/>
                                      <w:divBdr>
                                        <w:top w:val="none" w:sz="0" w:space="0" w:color="auto"/>
                                        <w:left w:val="none" w:sz="0" w:space="0" w:color="auto"/>
                                        <w:bottom w:val="none" w:sz="0" w:space="0" w:color="auto"/>
                                        <w:right w:val="none" w:sz="0" w:space="0" w:color="auto"/>
                                      </w:divBdr>
                                      <w:divsChild>
                                        <w:div w:id="88474854">
                                          <w:marLeft w:val="0"/>
                                          <w:marRight w:val="0"/>
                                          <w:marTop w:val="0"/>
                                          <w:marBottom w:val="0"/>
                                          <w:divBdr>
                                            <w:top w:val="none" w:sz="0" w:space="0" w:color="auto"/>
                                            <w:left w:val="none" w:sz="0" w:space="0" w:color="auto"/>
                                            <w:bottom w:val="none" w:sz="0" w:space="0" w:color="auto"/>
                                            <w:right w:val="none" w:sz="0" w:space="0" w:color="auto"/>
                                          </w:divBdr>
                                          <w:divsChild>
                                            <w:div w:id="82343345">
                                              <w:marLeft w:val="0"/>
                                              <w:marRight w:val="0"/>
                                              <w:marTop w:val="0"/>
                                              <w:marBottom w:val="0"/>
                                              <w:divBdr>
                                                <w:top w:val="none" w:sz="0" w:space="0" w:color="auto"/>
                                                <w:left w:val="none" w:sz="0" w:space="0" w:color="auto"/>
                                                <w:bottom w:val="none" w:sz="0" w:space="0" w:color="auto"/>
                                                <w:right w:val="none" w:sz="0" w:space="0" w:color="auto"/>
                                              </w:divBdr>
                                              <w:divsChild>
                                                <w:div w:id="1042172207">
                                                  <w:marLeft w:val="0"/>
                                                  <w:marRight w:val="0"/>
                                                  <w:marTop w:val="0"/>
                                                  <w:marBottom w:val="0"/>
                                                  <w:divBdr>
                                                    <w:top w:val="none" w:sz="0" w:space="0" w:color="auto"/>
                                                    <w:left w:val="none" w:sz="0" w:space="0" w:color="auto"/>
                                                    <w:bottom w:val="none" w:sz="0" w:space="0" w:color="auto"/>
                                                    <w:right w:val="none" w:sz="0" w:space="0" w:color="auto"/>
                                                  </w:divBdr>
                                                  <w:divsChild>
                                                    <w:div w:id="440607540">
                                                      <w:marLeft w:val="0"/>
                                                      <w:marRight w:val="0"/>
                                                      <w:marTop w:val="0"/>
                                                      <w:marBottom w:val="0"/>
                                                      <w:divBdr>
                                                        <w:top w:val="none" w:sz="0" w:space="0" w:color="auto"/>
                                                        <w:left w:val="none" w:sz="0" w:space="0" w:color="auto"/>
                                                        <w:bottom w:val="none" w:sz="0" w:space="0" w:color="auto"/>
                                                        <w:right w:val="none" w:sz="0" w:space="0" w:color="auto"/>
                                                      </w:divBdr>
                                                      <w:divsChild>
                                                        <w:div w:id="331952223">
                                                          <w:marLeft w:val="0"/>
                                                          <w:marRight w:val="0"/>
                                                          <w:marTop w:val="0"/>
                                                          <w:marBottom w:val="0"/>
                                                          <w:divBdr>
                                                            <w:top w:val="none" w:sz="0" w:space="0" w:color="auto"/>
                                                            <w:left w:val="none" w:sz="0" w:space="0" w:color="auto"/>
                                                            <w:bottom w:val="none" w:sz="0" w:space="0" w:color="auto"/>
                                                            <w:right w:val="none" w:sz="0" w:space="0" w:color="auto"/>
                                                          </w:divBdr>
                                                          <w:divsChild>
                                                            <w:div w:id="1685663978">
                                                              <w:marLeft w:val="0"/>
                                                              <w:marRight w:val="0"/>
                                                              <w:marTop w:val="0"/>
                                                              <w:marBottom w:val="0"/>
                                                              <w:divBdr>
                                                                <w:top w:val="none" w:sz="0" w:space="0" w:color="auto"/>
                                                                <w:left w:val="none" w:sz="0" w:space="0" w:color="auto"/>
                                                                <w:bottom w:val="none" w:sz="0" w:space="0" w:color="auto"/>
                                                                <w:right w:val="none" w:sz="0" w:space="0" w:color="auto"/>
                                                              </w:divBdr>
                                                              <w:divsChild>
                                                                <w:div w:id="1248421257">
                                                                  <w:marLeft w:val="0"/>
                                                                  <w:marRight w:val="0"/>
                                                                  <w:marTop w:val="0"/>
                                                                  <w:marBottom w:val="0"/>
                                                                  <w:divBdr>
                                                                    <w:top w:val="none" w:sz="0" w:space="0" w:color="auto"/>
                                                                    <w:left w:val="none" w:sz="0" w:space="0" w:color="auto"/>
                                                                    <w:bottom w:val="none" w:sz="0" w:space="0" w:color="auto"/>
                                                                    <w:right w:val="none" w:sz="0" w:space="0" w:color="auto"/>
                                                                  </w:divBdr>
                                                                  <w:divsChild>
                                                                    <w:div w:id="953051732">
                                                                      <w:marLeft w:val="0"/>
                                                                      <w:marRight w:val="0"/>
                                                                      <w:marTop w:val="0"/>
                                                                      <w:marBottom w:val="0"/>
                                                                      <w:divBdr>
                                                                        <w:top w:val="none" w:sz="0" w:space="0" w:color="auto"/>
                                                                        <w:left w:val="none" w:sz="0" w:space="0" w:color="auto"/>
                                                                        <w:bottom w:val="none" w:sz="0" w:space="0" w:color="auto"/>
                                                                        <w:right w:val="none" w:sz="0" w:space="0" w:color="auto"/>
                                                                      </w:divBdr>
                                                                      <w:divsChild>
                                                                        <w:div w:id="1619870123">
                                                                          <w:marLeft w:val="0"/>
                                                                          <w:marRight w:val="0"/>
                                                                          <w:marTop w:val="0"/>
                                                                          <w:marBottom w:val="0"/>
                                                                          <w:divBdr>
                                                                            <w:top w:val="none" w:sz="0" w:space="0" w:color="auto"/>
                                                                            <w:left w:val="none" w:sz="0" w:space="0" w:color="auto"/>
                                                                            <w:bottom w:val="none" w:sz="0" w:space="0" w:color="auto"/>
                                                                            <w:right w:val="none" w:sz="0" w:space="0" w:color="auto"/>
                                                                          </w:divBdr>
                                                                          <w:divsChild>
                                                                            <w:div w:id="270210600">
                                                                              <w:marLeft w:val="0"/>
                                                                              <w:marRight w:val="0"/>
                                                                              <w:marTop w:val="0"/>
                                                                              <w:marBottom w:val="0"/>
                                                                              <w:divBdr>
                                                                                <w:top w:val="none" w:sz="0" w:space="0" w:color="auto"/>
                                                                                <w:left w:val="none" w:sz="0" w:space="0" w:color="auto"/>
                                                                                <w:bottom w:val="none" w:sz="0" w:space="0" w:color="auto"/>
                                                                                <w:right w:val="none" w:sz="0" w:space="0" w:color="auto"/>
                                                                              </w:divBdr>
                                                                              <w:divsChild>
                                                                                <w:div w:id="433282939">
                                                                                  <w:marLeft w:val="0"/>
                                                                                  <w:marRight w:val="0"/>
                                                                                  <w:marTop w:val="0"/>
                                                                                  <w:marBottom w:val="0"/>
                                                                                  <w:divBdr>
                                                                                    <w:top w:val="none" w:sz="0" w:space="0" w:color="auto"/>
                                                                                    <w:left w:val="none" w:sz="0" w:space="0" w:color="auto"/>
                                                                                    <w:bottom w:val="none" w:sz="0" w:space="0" w:color="auto"/>
                                                                                    <w:right w:val="none" w:sz="0" w:space="0" w:color="auto"/>
                                                                                  </w:divBdr>
                                                                                  <w:divsChild>
                                                                                    <w:div w:id="1380471197">
                                                                                      <w:marLeft w:val="0"/>
                                                                                      <w:marRight w:val="0"/>
                                                                                      <w:marTop w:val="0"/>
                                                                                      <w:marBottom w:val="0"/>
                                                                                      <w:divBdr>
                                                                                        <w:top w:val="none" w:sz="0" w:space="0" w:color="auto"/>
                                                                                        <w:left w:val="none" w:sz="0" w:space="0" w:color="auto"/>
                                                                                        <w:bottom w:val="none" w:sz="0" w:space="0" w:color="auto"/>
                                                                                        <w:right w:val="none" w:sz="0" w:space="0" w:color="auto"/>
                                                                                      </w:divBdr>
                                                                                      <w:divsChild>
                                                                                        <w:div w:id="1569922958">
                                                                                          <w:marLeft w:val="0"/>
                                                                                          <w:marRight w:val="0"/>
                                                                                          <w:marTop w:val="0"/>
                                                                                          <w:marBottom w:val="0"/>
                                                                                          <w:divBdr>
                                                                                            <w:top w:val="none" w:sz="0" w:space="0" w:color="auto"/>
                                                                                            <w:left w:val="none" w:sz="0" w:space="0" w:color="auto"/>
                                                                                            <w:bottom w:val="none" w:sz="0" w:space="0" w:color="auto"/>
                                                                                            <w:right w:val="none" w:sz="0" w:space="0" w:color="auto"/>
                                                                                          </w:divBdr>
                                                                                          <w:divsChild>
                                                                                            <w:div w:id="512231884">
                                                                                              <w:marLeft w:val="0"/>
                                                                                              <w:marRight w:val="0"/>
                                                                                              <w:marTop w:val="0"/>
                                                                                              <w:marBottom w:val="0"/>
                                                                                              <w:divBdr>
                                                                                                <w:top w:val="none" w:sz="0" w:space="0" w:color="auto"/>
                                                                                                <w:left w:val="none" w:sz="0" w:space="0" w:color="auto"/>
                                                                                                <w:bottom w:val="none" w:sz="0" w:space="0" w:color="auto"/>
                                                                                                <w:right w:val="none" w:sz="0" w:space="0" w:color="auto"/>
                                                                                              </w:divBdr>
                                                                                              <w:divsChild>
                                                                                                <w:div w:id="1118841439">
                                                                                                  <w:marLeft w:val="0"/>
                                                                                                  <w:marRight w:val="0"/>
                                                                                                  <w:marTop w:val="0"/>
                                                                                                  <w:marBottom w:val="0"/>
                                                                                                  <w:divBdr>
                                                                                                    <w:top w:val="none" w:sz="0" w:space="0" w:color="auto"/>
                                                                                                    <w:left w:val="none" w:sz="0" w:space="0" w:color="auto"/>
                                                                                                    <w:bottom w:val="none" w:sz="0" w:space="0" w:color="auto"/>
                                                                                                    <w:right w:val="none" w:sz="0" w:space="0" w:color="auto"/>
                                                                                                  </w:divBdr>
                                                                                                  <w:divsChild>
                                                                                                    <w:div w:id="1297486319">
                                                                                                      <w:marLeft w:val="0"/>
                                                                                                      <w:marRight w:val="0"/>
                                                                                                      <w:marTop w:val="0"/>
                                                                                                      <w:marBottom w:val="0"/>
                                                                                                      <w:divBdr>
                                                                                                        <w:top w:val="none" w:sz="0" w:space="0" w:color="auto"/>
                                                                                                        <w:left w:val="none" w:sz="0" w:space="0" w:color="auto"/>
                                                                                                        <w:bottom w:val="none" w:sz="0" w:space="0" w:color="auto"/>
                                                                                                        <w:right w:val="none" w:sz="0" w:space="0" w:color="auto"/>
                                                                                                      </w:divBdr>
                                                                                                      <w:divsChild>
                                                                                                        <w:div w:id="9169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040019">
      <w:bodyDiv w:val="1"/>
      <w:marLeft w:val="0"/>
      <w:marRight w:val="0"/>
      <w:marTop w:val="0"/>
      <w:marBottom w:val="0"/>
      <w:divBdr>
        <w:top w:val="none" w:sz="0" w:space="0" w:color="auto"/>
        <w:left w:val="none" w:sz="0" w:space="0" w:color="auto"/>
        <w:bottom w:val="none" w:sz="0" w:space="0" w:color="auto"/>
        <w:right w:val="none" w:sz="0" w:space="0" w:color="auto"/>
      </w:divBdr>
    </w:div>
    <w:div w:id="1772898477">
      <w:bodyDiv w:val="1"/>
      <w:marLeft w:val="0"/>
      <w:marRight w:val="0"/>
      <w:marTop w:val="0"/>
      <w:marBottom w:val="0"/>
      <w:divBdr>
        <w:top w:val="none" w:sz="0" w:space="0" w:color="auto"/>
        <w:left w:val="none" w:sz="0" w:space="0" w:color="auto"/>
        <w:bottom w:val="none" w:sz="0" w:space="0" w:color="auto"/>
        <w:right w:val="none" w:sz="0" w:space="0" w:color="auto"/>
      </w:divBdr>
    </w:div>
    <w:div w:id="1789396579">
      <w:bodyDiv w:val="1"/>
      <w:marLeft w:val="0"/>
      <w:marRight w:val="0"/>
      <w:marTop w:val="0"/>
      <w:marBottom w:val="0"/>
      <w:divBdr>
        <w:top w:val="none" w:sz="0" w:space="0" w:color="auto"/>
        <w:left w:val="none" w:sz="0" w:space="0" w:color="auto"/>
        <w:bottom w:val="none" w:sz="0" w:space="0" w:color="auto"/>
        <w:right w:val="none" w:sz="0" w:space="0" w:color="auto"/>
      </w:divBdr>
    </w:div>
    <w:div w:id="2021202732">
      <w:bodyDiv w:val="1"/>
      <w:marLeft w:val="0"/>
      <w:marRight w:val="0"/>
      <w:marTop w:val="0"/>
      <w:marBottom w:val="0"/>
      <w:divBdr>
        <w:top w:val="none" w:sz="0" w:space="0" w:color="auto"/>
        <w:left w:val="none" w:sz="0" w:space="0" w:color="auto"/>
        <w:bottom w:val="none" w:sz="0" w:space="0" w:color="auto"/>
        <w:right w:val="none" w:sz="0" w:space="0" w:color="auto"/>
      </w:divBdr>
    </w:div>
    <w:div w:id="20236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avercm@purdu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jn.nutri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A6BD1-6353-4434-9AE9-34A51BFF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32246</Words>
  <Characters>183808</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Corrie Whisner</dc:creator>
  <cp:lastModifiedBy>adamsm2</cp:lastModifiedBy>
  <cp:revision>3</cp:revision>
  <cp:lastPrinted>2015-09-25T18:13:00Z</cp:lastPrinted>
  <dcterms:created xsi:type="dcterms:W3CDTF">2019-07-01T08:39:00Z</dcterms:created>
  <dcterms:modified xsi:type="dcterms:W3CDTF">2019-07-01T08:39:00Z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cwhisner@asu.edu@www.mendeley.com</vt:lpwstr>
  </property>
  <property fmtid="{D5CDD505-2E9C-101B-9397-08002B2CF9AE}" pid="4" name="Mendeley Citation Style_1">
    <vt:lpwstr>http://www.zotero.org/styles/journal-of-nutrition-10-authors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http://www.zotero.org/styles/journal-of-adolescent-health</vt:lpwstr>
  </property>
  <property fmtid="{D5CDD505-2E9C-101B-9397-08002B2CF9AE}" pid="16" name="Mendeley Recent Style Name 5_1">
    <vt:lpwstr>Journal of Adolescent Health</vt:lpwstr>
  </property>
  <property fmtid="{D5CDD505-2E9C-101B-9397-08002B2CF9AE}" pid="17" name="Mendeley Recent Style Id 6_1">
    <vt:lpwstr>http://www.zotero.org/styles/journal-of-nutrition</vt:lpwstr>
  </property>
  <property fmtid="{D5CDD505-2E9C-101B-9397-08002B2CF9AE}" pid="18" name="Mendeley Recent Style Name 6_1">
    <vt:lpwstr>Journal of Nutrition</vt:lpwstr>
  </property>
  <property fmtid="{D5CDD505-2E9C-101B-9397-08002B2CF9AE}" pid="19" name="Mendeley Recent Style Id 7_1">
    <vt:lpwstr>http://www.zotero.org/styles/journal-of-nutrition-10-authors</vt:lpwstr>
  </property>
  <property fmtid="{D5CDD505-2E9C-101B-9397-08002B2CF9AE}" pid="20" name="Mendeley Recent Style Name 7_1">
    <vt:lpwstr>Journal of Nutrition 10 authors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