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C0F072" w14:textId="65D52EFC" w:rsidR="00420756" w:rsidRDefault="00420756" w:rsidP="00420756">
      <w:pPr>
        <w:pStyle w:val="Heading3"/>
      </w:pPr>
      <w:r>
        <w:t>Kris Darby</w:t>
      </w:r>
    </w:p>
    <w:p w14:paraId="060C3315" w14:textId="77777777" w:rsidR="009D20C6" w:rsidRDefault="009D20C6" w:rsidP="00986C7E">
      <w:pPr>
        <w:pStyle w:val="Heading1"/>
      </w:pPr>
      <w:r w:rsidRPr="009D20C6">
        <w:t xml:space="preserve">Treading the Boards: Walking on Stage and “Sit-Specific” </w:t>
      </w:r>
      <w:r w:rsidRPr="00986C7E">
        <w:t>Theatre</w:t>
      </w:r>
    </w:p>
    <w:p w14:paraId="1D106D38" w14:textId="4083BBC2" w:rsidR="00BB3304" w:rsidRDefault="00C54138" w:rsidP="00AB5681">
      <w:r>
        <w:t xml:space="preserve">This article examines the significance of walking on the theatre stage, responding to the growing research scholarship of pedestrian performance. It seeks to provide a point of expansion for a field that is still largely concerned with site-specific </w:t>
      </w:r>
      <w:r w:rsidR="00A42386">
        <w:t>works where</w:t>
      </w:r>
      <w:r>
        <w:t xml:space="preserve"> audiences walk </w:t>
      </w:r>
      <w:r w:rsidR="00A42386">
        <w:t>during</w:t>
      </w:r>
      <w:r>
        <w:t xml:space="preserve"> </w:t>
      </w:r>
      <w:r w:rsidR="00A42386">
        <w:t xml:space="preserve">the </w:t>
      </w:r>
      <w:r>
        <w:t>perform</w:t>
      </w:r>
      <w:r w:rsidR="00A42386">
        <w:t>ance</w:t>
      </w:r>
      <w:r>
        <w:t xml:space="preserve">. Beginning with a discussion as to the possible reasons for its omission, the author addresses the prominence of walking and the journey as a rehearsal tool employed by a wealth of practitioners. As further justification for the inclusion of the stage in pedestrian performance research, a series of historical case studies are presented, which span over a century of theatrical history. There is an examination of the audience’s pilgrimage to Richard Wagner’s </w:t>
      </w:r>
      <w:r>
        <w:rPr>
          <w:i/>
        </w:rPr>
        <w:t xml:space="preserve">Parsifal </w:t>
      </w:r>
      <w:r>
        <w:t xml:space="preserve">(1882) and the ‘epic flow’ of Erwin </w:t>
      </w:r>
      <w:proofErr w:type="spellStart"/>
      <w:r>
        <w:t>Piscator’s</w:t>
      </w:r>
      <w:proofErr w:type="spellEnd"/>
      <w:r>
        <w:t xml:space="preserve"> treadmill in </w:t>
      </w:r>
      <w:r>
        <w:rPr>
          <w:i/>
        </w:rPr>
        <w:t xml:space="preserve">Good Soldier </w:t>
      </w:r>
      <w:proofErr w:type="spellStart"/>
      <w:r w:rsidR="003353F7" w:rsidRPr="003353F7">
        <w:rPr>
          <w:i/>
        </w:rPr>
        <w:t>Schwejk</w:t>
      </w:r>
      <w:proofErr w:type="spellEnd"/>
      <w:r w:rsidR="003353F7" w:rsidRPr="009D20C6">
        <w:t xml:space="preserve"> </w:t>
      </w:r>
      <w:r>
        <w:t xml:space="preserve">(1927). The significance of walking in Samuel Beckett’s life is also explored through the ‘inward walking’ of </w:t>
      </w:r>
      <w:r>
        <w:rPr>
          <w:i/>
        </w:rPr>
        <w:t xml:space="preserve">Footfalls </w:t>
      </w:r>
      <w:r>
        <w:t xml:space="preserve">(1976) and the proscenium staging of Matthew Earnest’s </w:t>
      </w:r>
      <w:r>
        <w:rPr>
          <w:i/>
        </w:rPr>
        <w:t xml:space="preserve">Wanderlust </w:t>
      </w:r>
      <w:r>
        <w:t>(2010)</w:t>
      </w:r>
      <w:r>
        <w:rPr>
          <w:i/>
        </w:rPr>
        <w:t xml:space="preserve"> </w:t>
      </w:r>
      <w:r>
        <w:t xml:space="preserve">is made significant through its critique of </w:t>
      </w:r>
      <w:proofErr w:type="spellStart"/>
      <w:r>
        <w:t>supermodernity</w:t>
      </w:r>
      <w:proofErr w:type="spellEnd"/>
      <w:r>
        <w:t xml:space="preserve">. The article concludes in arguing that an immobile audience can kinaesthetically empathise with the performers, embarking on their own internalised journey within the theatre. Kris Darby is a Post-Doctoral Teaching Fellow in Drama at Liverpool Hope whose research interests concern the relationship between walking and performance. </w:t>
      </w:r>
    </w:p>
    <w:p w14:paraId="1A3AC6DA" w14:textId="77777777" w:rsidR="00C54138" w:rsidRPr="00C54138" w:rsidRDefault="00C54138" w:rsidP="00AB5681"/>
    <w:p w14:paraId="5BEB53F0" w14:textId="5E0375F8" w:rsidR="00AB5681" w:rsidRPr="00AB5681" w:rsidRDefault="00BB3304" w:rsidP="00AB5681">
      <w:r>
        <w:rPr>
          <w:i/>
        </w:rPr>
        <w:t xml:space="preserve">Key Terms: </w:t>
      </w:r>
      <w:r w:rsidR="00867F98">
        <w:t>w</w:t>
      </w:r>
      <w:r w:rsidR="00AB5681">
        <w:t xml:space="preserve">alking; </w:t>
      </w:r>
      <w:r w:rsidR="00867F98">
        <w:t>j</w:t>
      </w:r>
      <w:r w:rsidR="00444A06">
        <w:t>ourney;</w:t>
      </w:r>
      <w:r>
        <w:t xml:space="preserve"> </w:t>
      </w:r>
      <w:r w:rsidR="00867F98">
        <w:t>f</w:t>
      </w:r>
      <w:r w:rsidR="00463BCE">
        <w:t xml:space="preserve">eet; </w:t>
      </w:r>
      <w:r w:rsidR="00867F98">
        <w:t>i</w:t>
      </w:r>
      <w:r w:rsidR="00463BCE">
        <w:t>mmobility</w:t>
      </w:r>
      <w:r w:rsidR="00CC3BFC">
        <w:t xml:space="preserve">; </w:t>
      </w:r>
      <w:r w:rsidR="00867F98">
        <w:t>kinaesthetic empathy;</w:t>
      </w:r>
    </w:p>
    <w:p w14:paraId="6E00079C" w14:textId="77777777" w:rsidR="00E8398B" w:rsidRPr="009D20C6" w:rsidRDefault="009625BA" w:rsidP="00986C7E">
      <w:pPr>
        <w:pStyle w:val="Heading2"/>
      </w:pPr>
      <w:r w:rsidRPr="009D20C6">
        <w:t xml:space="preserve">Pedestrian </w:t>
      </w:r>
      <w:r w:rsidRPr="00986C7E">
        <w:t>Performance</w:t>
      </w:r>
    </w:p>
    <w:p w14:paraId="1230DB51" w14:textId="431D07E4" w:rsidR="00D65415" w:rsidRPr="009D20C6" w:rsidRDefault="00380403" w:rsidP="00986C7E">
      <w:r w:rsidRPr="009D20C6">
        <w:t>Pedestrian performance</w:t>
      </w:r>
      <w:r w:rsidR="00034BA4" w:rsidRPr="009D20C6">
        <w:t xml:space="preserve"> </w:t>
      </w:r>
      <w:r w:rsidR="00034BA4" w:rsidRPr="00986C7E">
        <w:t xml:space="preserve">is one of </w:t>
      </w:r>
      <w:r w:rsidR="00486060" w:rsidRPr="00986C7E">
        <w:t xml:space="preserve">the </w:t>
      </w:r>
      <w:r w:rsidR="00034BA4" w:rsidRPr="00986C7E">
        <w:t>many terms</w:t>
      </w:r>
      <w:r w:rsidR="005A068D" w:rsidRPr="00AE262E">
        <w:rPr>
          <w:vertAlign w:val="superscript"/>
        </w:rPr>
        <w:endnoteReference w:id="1"/>
      </w:r>
      <w:r w:rsidR="00034BA4" w:rsidRPr="00AE262E">
        <w:rPr>
          <w:vertAlign w:val="superscript"/>
        </w:rPr>
        <w:t xml:space="preserve"> </w:t>
      </w:r>
      <w:r w:rsidR="0056048D" w:rsidRPr="00986C7E">
        <w:t>attributed</w:t>
      </w:r>
      <w:r w:rsidR="00034BA4" w:rsidRPr="00986C7E">
        <w:t xml:space="preserve"> to works that place emphasis </w:t>
      </w:r>
      <w:r w:rsidR="00CF668D">
        <w:t>o</w:t>
      </w:r>
      <w:r w:rsidR="00034BA4" w:rsidRPr="00986C7E">
        <w:t>n the action of walking.</w:t>
      </w:r>
      <w:r w:rsidRPr="00986C7E">
        <w:t xml:space="preserve"> As a research field it is </w:t>
      </w:r>
      <w:r w:rsidR="00034BA4" w:rsidRPr="00986C7E">
        <w:t xml:space="preserve">still relatively </w:t>
      </w:r>
      <w:r w:rsidRPr="00986C7E">
        <w:t>young, reflecting an increase</w:t>
      </w:r>
      <w:r w:rsidR="00B020A8" w:rsidRPr="00986C7E">
        <w:t xml:space="preserve"> since the beginning of the twenty-first century</w:t>
      </w:r>
      <w:r w:rsidRPr="00986C7E">
        <w:t xml:space="preserve"> in </w:t>
      </w:r>
      <w:r w:rsidR="00A42386">
        <w:t xml:space="preserve">such </w:t>
      </w:r>
      <w:r w:rsidRPr="00986C7E">
        <w:t xml:space="preserve">performances. </w:t>
      </w:r>
      <w:r w:rsidR="006E7CE6" w:rsidRPr="00986C7E">
        <w:t xml:space="preserve">For Carl </w:t>
      </w:r>
      <w:proofErr w:type="spellStart"/>
      <w:r w:rsidR="006E7CE6" w:rsidRPr="00986C7E">
        <w:t>Lavery</w:t>
      </w:r>
      <w:proofErr w:type="spellEnd"/>
      <w:r w:rsidR="00780158" w:rsidRPr="00986C7E">
        <w:t xml:space="preserve">, </w:t>
      </w:r>
      <w:r w:rsidR="006E7CE6" w:rsidRPr="00986C7E">
        <w:t>one of the principle academics interested in th</w:t>
      </w:r>
      <w:r w:rsidR="007773A7" w:rsidRPr="00986C7E">
        <w:t>e</w:t>
      </w:r>
      <w:r w:rsidR="006E7CE6" w:rsidRPr="00986C7E">
        <w:t xml:space="preserve"> field, the objective of pedestrian performance is ‘to replace vicarious experience (reading someone else’s account of space) with actual experience (producing one’s own spatial map)’</w:t>
      </w:r>
      <w:r w:rsidR="00444A06">
        <w:t>.</w:t>
      </w:r>
      <w:r w:rsidR="00780158" w:rsidRPr="00AE262E">
        <w:rPr>
          <w:vertAlign w:val="superscript"/>
        </w:rPr>
        <w:endnoteReference w:id="2"/>
      </w:r>
      <w:r w:rsidR="006E7CE6" w:rsidRPr="009D20C6">
        <w:t xml:space="preserve"> It</w:t>
      </w:r>
      <w:r w:rsidR="00D65415" w:rsidRPr="009D20C6">
        <w:t xml:space="preserve"> has grown from an increased interest in site-specific </w:t>
      </w:r>
      <w:r w:rsidR="007A3783" w:rsidRPr="009D20C6">
        <w:t>works that</w:t>
      </w:r>
      <w:r w:rsidR="00D65415" w:rsidRPr="009D20C6">
        <w:t xml:space="preserve"> provid</w:t>
      </w:r>
      <w:r w:rsidR="00BA7649">
        <w:t>e audiences with the “</w:t>
      </w:r>
      <w:r w:rsidR="00D65415" w:rsidRPr="009D20C6">
        <w:t>actual e</w:t>
      </w:r>
      <w:r w:rsidR="003F60C0">
        <w:t>xperience</w:t>
      </w:r>
      <w:r w:rsidR="00BA7649">
        <w:t>”</w:t>
      </w:r>
      <w:r w:rsidR="003F60C0">
        <w:t xml:space="preserve"> of walking</w:t>
      </w:r>
      <w:r w:rsidR="00D65415" w:rsidRPr="009D20C6">
        <w:t xml:space="preserve"> as a means to interact and explore spaces not originally conceived for performance. </w:t>
      </w:r>
      <w:r w:rsidR="00F5611B" w:rsidRPr="009D20C6">
        <w:t>T</w:t>
      </w:r>
      <w:r w:rsidR="00B020A8" w:rsidRPr="009D20C6">
        <w:t xml:space="preserve">he </w:t>
      </w:r>
      <w:r w:rsidR="00034BA4" w:rsidRPr="009D20C6">
        <w:t>urban drifting of arts collective Wrights &amp; Sites and</w:t>
      </w:r>
      <w:r w:rsidR="00F5611B" w:rsidRPr="009D20C6">
        <w:t xml:space="preserve"> </w:t>
      </w:r>
      <w:r w:rsidR="00B020A8" w:rsidRPr="009D20C6">
        <w:t xml:space="preserve">the </w:t>
      </w:r>
      <w:r w:rsidR="00F5611B" w:rsidRPr="009D20C6">
        <w:t>binaural</w:t>
      </w:r>
      <w:r w:rsidR="00B020A8" w:rsidRPr="009D20C6">
        <w:rPr>
          <w:b/>
        </w:rPr>
        <w:t xml:space="preserve"> </w:t>
      </w:r>
      <w:r w:rsidR="00034BA4" w:rsidRPr="009D20C6">
        <w:t>guided walks</w:t>
      </w:r>
      <w:r w:rsidR="00F5611B" w:rsidRPr="009D20C6">
        <w:t xml:space="preserve"> of Janet Cardiff, run parallel </w:t>
      </w:r>
      <w:r w:rsidR="00B020A8" w:rsidRPr="009D20C6">
        <w:t>with</w:t>
      </w:r>
      <w:r w:rsidR="00F5611B" w:rsidRPr="009D20C6">
        <w:t xml:space="preserve"> the more theatrical</w:t>
      </w:r>
      <w:r w:rsidR="00B020A8" w:rsidRPr="009D20C6">
        <w:t xml:space="preserve"> </w:t>
      </w:r>
      <w:r w:rsidR="00F5611B" w:rsidRPr="009D20C6">
        <w:t>promenade and</w:t>
      </w:r>
      <w:r w:rsidR="00B020A8" w:rsidRPr="009D20C6">
        <w:t xml:space="preserve"> environmental </w:t>
      </w:r>
      <w:r w:rsidR="00F5611B" w:rsidRPr="009D20C6">
        <w:t>works from</w:t>
      </w:r>
      <w:r w:rsidR="00B020A8" w:rsidRPr="009D20C6">
        <w:t xml:space="preserve"> companies such as </w:t>
      </w:r>
      <w:proofErr w:type="spellStart"/>
      <w:r w:rsidR="00B020A8" w:rsidRPr="009D20C6">
        <w:t>Punchdrunk</w:t>
      </w:r>
      <w:proofErr w:type="spellEnd"/>
      <w:r w:rsidR="00B020A8" w:rsidRPr="009D20C6">
        <w:t xml:space="preserve"> and </w:t>
      </w:r>
      <w:r w:rsidR="00B37F51" w:rsidRPr="009D20C6">
        <w:t>Grid Iron</w:t>
      </w:r>
      <w:r w:rsidR="00F5611B" w:rsidRPr="009D20C6">
        <w:t>.</w:t>
      </w:r>
      <w:r w:rsidR="00B020A8" w:rsidRPr="009D20C6">
        <w:t xml:space="preserve"> </w:t>
      </w:r>
      <w:r w:rsidR="00F5611B" w:rsidRPr="009D20C6">
        <w:t xml:space="preserve">Audiences are not consigned to taking their </w:t>
      </w:r>
      <w:r w:rsidR="002E48B5" w:rsidRPr="009D20C6">
        <w:t>seats</w:t>
      </w:r>
      <w:r w:rsidR="00F5611B" w:rsidRPr="009D20C6">
        <w:t xml:space="preserve"> in a darke</w:t>
      </w:r>
      <w:r w:rsidR="00486060" w:rsidRPr="009D20C6">
        <w:t>ned auditorium, but are able to share the same space with the performers, touring, exploring and drifting through public and private spaces</w:t>
      </w:r>
      <w:r w:rsidR="00F5611B" w:rsidRPr="009D20C6">
        <w:t xml:space="preserve">. </w:t>
      </w:r>
      <w:r w:rsidR="00B37F51" w:rsidRPr="009D20C6">
        <w:t>Not surprisingly</w:t>
      </w:r>
      <w:r w:rsidR="00D65415" w:rsidRPr="009D20C6">
        <w:t xml:space="preserve">, most of the current research concerning </w:t>
      </w:r>
      <w:r w:rsidR="00B37F51" w:rsidRPr="009D20C6">
        <w:lastRenderedPageBreak/>
        <w:t>pedestrian</w:t>
      </w:r>
      <w:r w:rsidR="00D65415" w:rsidRPr="009D20C6">
        <w:t xml:space="preserve"> performance draws substantially from site-specific theory and the myriad of disciplines it intersects with. Although the application of site-specific theory is found within </w:t>
      </w:r>
      <w:r w:rsidR="00D65415" w:rsidRPr="00680A38">
        <w:t>both</w:t>
      </w:r>
      <w:r w:rsidR="00D65415" w:rsidRPr="009D20C6">
        <w:t xml:space="preserve"> the disciplines of theatre and performance studies, the significance of walking is more keenly researched in the latter. </w:t>
      </w:r>
      <w:r w:rsidR="006E7CE6" w:rsidRPr="009D20C6">
        <w:t xml:space="preserve">This </w:t>
      </w:r>
      <w:r w:rsidR="0020361B" w:rsidRPr="009D20C6">
        <w:t>essay</w:t>
      </w:r>
      <w:r w:rsidR="006E7CE6" w:rsidRPr="009D20C6">
        <w:t xml:space="preserve"> seek</w:t>
      </w:r>
      <w:r w:rsidR="00113A83" w:rsidRPr="009D20C6">
        <w:t xml:space="preserve">s to elucidate as to why the theatre has </w:t>
      </w:r>
      <w:r w:rsidR="009625BA" w:rsidRPr="009D20C6">
        <w:t xml:space="preserve">had </w:t>
      </w:r>
      <w:r w:rsidR="00113A83" w:rsidRPr="009D20C6">
        <w:t xml:space="preserve">little </w:t>
      </w:r>
      <w:r w:rsidR="009625BA" w:rsidRPr="009D20C6">
        <w:t>consideration</w:t>
      </w:r>
      <w:r w:rsidR="00113A83" w:rsidRPr="009D20C6">
        <w:t xml:space="preserve"> in this growing field of </w:t>
      </w:r>
      <w:r w:rsidR="009625BA" w:rsidRPr="009D20C6">
        <w:t xml:space="preserve">pedestrian </w:t>
      </w:r>
      <w:r w:rsidR="00113A83" w:rsidRPr="009D20C6">
        <w:t>performance</w:t>
      </w:r>
      <w:r w:rsidR="009625BA" w:rsidRPr="009D20C6">
        <w:t>,</w:t>
      </w:r>
      <w:r w:rsidR="00113A83" w:rsidRPr="009D20C6">
        <w:t xml:space="preserve"> and what it can contribute to it.</w:t>
      </w:r>
    </w:p>
    <w:p w14:paraId="775A7EC6" w14:textId="77777777" w:rsidR="009625BA" w:rsidRPr="009D20C6" w:rsidRDefault="009625BA" w:rsidP="00986C7E">
      <w:pPr>
        <w:pStyle w:val="Heading2"/>
      </w:pPr>
      <w:r w:rsidRPr="009D20C6">
        <w:t xml:space="preserve">At </w:t>
      </w:r>
      <w:proofErr w:type="gramStart"/>
      <w:r w:rsidR="00730409">
        <w:t>T</w:t>
      </w:r>
      <w:r w:rsidRPr="009D20C6">
        <w:t>he</w:t>
      </w:r>
      <w:proofErr w:type="gramEnd"/>
      <w:r w:rsidRPr="009D20C6">
        <w:t xml:space="preserve"> Theatre Doors</w:t>
      </w:r>
    </w:p>
    <w:p w14:paraId="65BE75A7" w14:textId="08219139" w:rsidR="00A930CB" w:rsidRDefault="00D65415" w:rsidP="00986C7E">
      <w:pPr>
        <w:pStyle w:val="FootnoteText"/>
      </w:pPr>
      <w:r w:rsidRPr="009D20C6">
        <w:t xml:space="preserve">There are two principle reasons why the theatre is largely overlooked with regards to studies of pedestrian performance. The first is that in </w:t>
      </w:r>
      <w:r w:rsidR="00D46942" w:rsidRPr="009D20C6">
        <w:t>a</w:t>
      </w:r>
      <w:r w:rsidRPr="009D20C6">
        <w:t xml:space="preserve"> </w:t>
      </w:r>
      <w:r w:rsidR="0039630E">
        <w:t>conventional modern</w:t>
      </w:r>
      <w:r w:rsidR="00D46942" w:rsidRPr="009D20C6">
        <w:t xml:space="preserve"> </w:t>
      </w:r>
      <w:r w:rsidRPr="009D20C6">
        <w:t xml:space="preserve">theatre, walking is an action largely reserved for the performers who move within the confines of the stage space. Social custom dictates that the audience must remain seated throughout, walking into the auditorium before the performance has begun and exiting once it has finished. </w:t>
      </w:r>
      <w:proofErr w:type="spellStart"/>
      <w:r w:rsidR="00B449BA" w:rsidRPr="009D20C6">
        <w:t>Elinor</w:t>
      </w:r>
      <w:proofErr w:type="spellEnd"/>
      <w:r w:rsidR="00B449BA" w:rsidRPr="009D20C6">
        <w:t xml:space="preserve"> Fuch</w:t>
      </w:r>
      <w:r w:rsidR="001C7B23">
        <w:t>s</w:t>
      </w:r>
      <w:r w:rsidR="00B449BA" w:rsidRPr="009D20C6">
        <w:t xml:space="preserve">’s and </w:t>
      </w:r>
      <w:proofErr w:type="spellStart"/>
      <w:r w:rsidR="00B449BA" w:rsidRPr="009D20C6">
        <w:t>Una</w:t>
      </w:r>
      <w:proofErr w:type="spellEnd"/>
      <w:r w:rsidR="00B449BA" w:rsidRPr="009D20C6">
        <w:t xml:space="preserve"> </w:t>
      </w:r>
      <w:proofErr w:type="spellStart"/>
      <w:r w:rsidR="00B449BA" w:rsidRPr="009D20C6">
        <w:t>Chaudhuri’s</w:t>
      </w:r>
      <w:proofErr w:type="spellEnd"/>
      <w:r w:rsidR="0039630E">
        <w:t xml:space="preserve"> editing of</w:t>
      </w:r>
      <w:r w:rsidR="00B449BA" w:rsidRPr="009D20C6">
        <w:t xml:space="preserve"> </w:t>
      </w:r>
      <w:r w:rsidR="00B449BA" w:rsidRPr="009D20C6">
        <w:rPr>
          <w:i/>
        </w:rPr>
        <w:t>Land/Scape Theatre</w:t>
      </w:r>
      <w:r w:rsidR="00D934F0">
        <w:t xml:space="preserve"> (2002)</w:t>
      </w:r>
      <w:r w:rsidR="00B449BA" w:rsidRPr="009D20C6">
        <w:rPr>
          <w:i/>
        </w:rPr>
        <w:t xml:space="preserve"> </w:t>
      </w:r>
      <w:r w:rsidR="00B449BA" w:rsidRPr="009D20C6">
        <w:t>was motivated by a similar difficulty, evidencing the need to study the ways in which the ‘open countryside and panoramic views’ of landscape are staged within the theatre</w:t>
      </w:r>
      <w:r w:rsidR="00444A06">
        <w:t>.</w:t>
      </w:r>
      <w:r w:rsidR="006647F5">
        <w:rPr>
          <w:rStyle w:val="EndnoteReference"/>
          <w:lang w:val="en-GB"/>
        </w:rPr>
        <w:endnoteReference w:id="3"/>
      </w:r>
      <w:r w:rsidR="00B449BA" w:rsidRPr="009D20C6">
        <w:t xml:space="preserve"> </w:t>
      </w:r>
      <w:r w:rsidR="007A3783" w:rsidRPr="009D20C6">
        <w:t>The theatre as a space that ‘summons the very image of interiority’</w:t>
      </w:r>
      <w:r w:rsidR="00C635E9">
        <w:t>,</w:t>
      </w:r>
      <w:r w:rsidR="009F4023">
        <w:rPr>
          <w:rStyle w:val="EndnoteReference"/>
          <w:lang w:val="en-GB"/>
        </w:rPr>
        <w:endnoteReference w:id="4"/>
      </w:r>
      <w:r w:rsidR="007A3783" w:rsidRPr="009D20C6">
        <w:t xml:space="preserve"> lacks the vast expanse of some of the landscapes traversed by walking artists such as Louise Ann Wilson and Amy </w:t>
      </w:r>
      <w:proofErr w:type="spellStart"/>
      <w:r w:rsidR="007A3783" w:rsidRPr="009D20C6">
        <w:t>Sharrocks</w:t>
      </w:r>
      <w:proofErr w:type="spellEnd"/>
      <w:r w:rsidR="007A3783" w:rsidRPr="009D20C6">
        <w:t xml:space="preserve"> and the </w:t>
      </w:r>
      <w:r w:rsidR="0039630E">
        <w:t>“</w:t>
      </w:r>
      <w:r w:rsidR="007A3783" w:rsidRPr="009D20C6">
        <w:t>actual experience</w:t>
      </w:r>
      <w:r w:rsidR="0039630E">
        <w:t>”</w:t>
      </w:r>
      <w:r w:rsidR="007A3783" w:rsidRPr="009D20C6">
        <w:t xml:space="preserve"> </w:t>
      </w:r>
      <w:proofErr w:type="spellStart"/>
      <w:r w:rsidR="007A3783" w:rsidRPr="009D20C6">
        <w:t>Lavery</w:t>
      </w:r>
      <w:proofErr w:type="spellEnd"/>
      <w:r w:rsidR="007A3783" w:rsidRPr="009D20C6">
        <w:t xml:space="preserve"> attributes to pedestrian performance. </w:t>
      </w:r>
      <w:r w:rsidR="000218AE" w:rsidRPr="009D20C6">
        <w:t xml:space="preserve">However, Esther Pilkington and Martin </w:t>
      </w:r>
      <w:proofErr w:type="spellStart"/>
      <w:r w:rsidR="000218AE" w:rsidRPr="009D20C6">
        <w:t>Nachbar’s</w:t>
      </w:r>
      <w:proofErr w:type="spellEnd"/>
      <w:r w:rsidR="000218AE" w:rsidRPr="009D20C6">
        <w:t xml:space="preserve"> </w:t>
      </w:r>
      <w:r w:rsidR="0039630E">
        <w:t>essay</w:t>
      </w:r>
      <w:r w:rsidR="000218AE" w:rsidRPr="009D20C6">
        <w:t xml:space="preserve"> ‘We Always Arrive in the Theatre On Foot’ (2012), </w:t>
      </w:r>
      <w:r w:rsidR="0039630E">
        <w:t>has reiterated</w:t>
      </w:r>
      <w:r w:rsidR="000218AE" w:rsidRPr="009D20C6">
        <w:t xml:space="preserve"> the significance of walking in the audience’s experience of a theatre event</w:t>
      </w:r>
      <w:r w:rsidR="00C826E6" w:rsidRPr="009D20C6">
        <w:t>;</w:t>
      </w:r>
      <w:r w:rsidR="00622FB2" w:rsidRPr="009D20C6">
        <w:t xml:space="preserve"> an answer to Richard </w:t>
      </w:r>
      <w:proofErr w:type="spellStart"/>
      <w:r w:rsidR="00622FB2" w:rsidRPr="009D20C6">
        <w:t>Schechner’s</w:t>
      </w:r>
      <w:proofErr w:type="spellEnd"/>
      <w:r w:rsidR="00622FB2" w:rsidRPr="009D20C6">
        <w:t xml:space="preserve"> </w:t>
      </w:r>
      <w:r w:rsidR="0039630E">
        <w:t xml:space="preserve">earlier </w:t>
      </w:r>
      <w:r w:rsidR="00622FB2" w:rsidRPr="009D20C6">
        <w:rPr>
          <w:color w:val="000000"/>
        </w:rPr>
        <w:t>asser</w:t>
      </w:r>
      <w:r w:rsidR="00C807C5" w:rsidRPr="009D20C6">
        <w:rPr>
          <w:color w:val="000000"/>
        </w:rPr>
        <w:t>tion that too ‘</w:t>
      </w:r>
      <w:r w:rsidR="00622FB2" w:rsidRPr="009D20C6">
        <w:rPr>
          <w:color w:val="000000"/>
        </w:rPr>
        <w:t>little study has been made of the liminal approac</w:t>
      </w:r>
      <w:r w:rsidR="00C807C5" w:rsidRPr="009D20C6">
        <w:rPr>
          <w:color w:val="000000"/>
        </w:rPr>
        <w:t>hes and leavings of performance’</w:t>
      </w:r>
      <w:r w:rsidR="00444A06">
        <w:rPr>
          <w:color w:val="000000"/>
        </w:rPr>
        <w:t>.</w:t>
      </w:r>
      <w:r w:rsidR="00B13EF9">
        <w:rPr>
          <w:rStyle w:val="EndnoteReference"/>
          <w:color w:val="000000"/>
          <w:lang w:val="en-GB"/>
        </w:rPr>
        <w:endnoteReference w:id="5"/>
      </w:r>
      <w:r w:rsidR="002E48B5" w:rsidRPr="009D20C6">
        <w:t xml:space="preserve"> As </w:t>
      </w:r>
      <w:r w:rsidR="000218AE" w:rsidRPr="009D20C6">
        <w:t xml:space="preserve">will </w:t>
      </w:r>
      <w:r w:rsidR="002E48B5" w:rsidRPr="009D20C6">
        <w:t xml:space="preserve">be </w:t>
      </w:r>
      <w:r w:rsidR="000218AE" w:rsidRPr="009D20C6">
        <w:t>demonstrate</w:t>
      </w:r>
      <w:r w:rsidR="002E48B5" w:rsidRPr="009D20C6">
        <w:t>d</w:t>
      </w:r>
      <w:r w:rsidR="000218AE" w:rsidRPr="009D20C6">
        <w:t xml:space="preserve"> later, this journey to and from the theatre</w:t>
      </w:r>
      <w:r w:rsidR="00622FB2" w:rsidRPr="009D20C6">
        <w:t xml:space="preserve"> can </w:t>
      </w:r>
      <w:r w:rsidR="00BA7649">
        <w:t xml:space="preserve">become imbricated with the performance itself, meaning that an audience’s reading of “someone else’s account of space” can also </w:t>
      </w:r>
      <w:r w:rsidR="009D3066">
        <w:t>merge</w:t>
      </w:r>
      <w:r w:rsidR="00BA7649">
        <w:t xml:space="preserve"> with their “own spatial map”. </w:t>
      </w:r>
    </w:p>
    <w:p w14:paraId="56B46E18" w14:textId="0E358DEA" w:rsidR="00D65415" w:rsidRPr="009D20C6" w:rsidRDefault="00311223" w:rsidP="00986C7E">
      <w:pPr>
        <w:pStyle w:val="FootnoteText"/>
        <w:rPr>
          <w:lang w:val="en-GB"/>
        </w:rPr>
      </w:pPr>
      <w:r>
        <w:t>The second reason for an overlooking of the theatre in pedestrian performance research stems from a</w:t>
      </w:r>
      <w:r w:rsidR="00D65415" w:rsidRPr="009D20C6">
        <w:t xml:space="preserve"> dislike for the traditional demarcation of audience and performer, as well as the institution as a whole, articulated by some exponents of site-specific performance. Walking has in part become symbolic of an exodus from the </w:t>
      </w:r>
      <w:r w:rsidR="007A3783" w:rsidRPr="009D20C6">
        <w:t>theatre;</w:t>
      </w:r>
      <w:r w:rsidR="00D65415" w:rsidRPr="009D20C6">
        <w:t xml:space="preserve"> a ‘getting out of the church’</w:t>
      </w:r>
      <w:r w:rsidR="00444A06">
        <w:t>.</w:t>
      </w:r>
      <w:r w:rsidR="003E0A23">
        <w:rPr>
          <w:rStyle w:val="EndnoteReference"/>
        </w:rPr>
        <w:endnoteReference w:id="6"/>
      </w:r>
      <w:r w:rsidR="008412FB" w:rsidRPr="009D20C6">
        <w:t xml:space="preserve"> </w:t>
      </w:r>
      <w:r w:rsidR="001513A0" w:rsidRPr="009D20C6">
        <w:t xml:space="preserve">However, </w:t>
      </w:r>
      <w:r w:rsidR="004B4823" w:rsidRPr="009D20C6">
        <w:t xml:space="preserve">this does not necessarily suggest that </w:t>
      </w:r>
      <w:r w:rsidR="001513A0" w:rsidRPr="009D20C6">
        <w:t>t</w:t>
      </w:r>
      <w:r w:rsidR="00D63DC0" w:rsidRPr="009D20C6">
        <w:t>heatricality</w:t>
      </w:r>
      <w:r w:rsidR="001513A0" w:rsidRPr="009D20C6">
        <w:t xml:space="preserve"> </w:t>
      </w:r>
      <w:r w:rsidR="004B4823" w:rsidRPr="009D20C6">
        <w:t xml:space="preserve">has been </w:t>
      </w:r>
      <w:r>
        <w:t>wholly avoided</w:t>
      </w:r>
      <w:r w:rsidR="004B4823" w:rsidRPr="009D20C6">
        <w:t xml:space="preserve"> within pedestrian </w:t>
      </w:r>
      <w:r w:rsidR="001513A0" w:rsidRPr="009D20C6">
        <w:t xml:space="preserve">performance. </w:t>
      </w:r>
      <w:r w:rsidR="00EE5627" w:rsidRPr="009D20C6">
        <w:rPr>
          <w:lang w:val="en-GB"/>
        </w:rPr>
        <w:t>For instance,</w:t>
      </w:r>
      <w:r w:rsidR="00FA1F2E" w:rsidRPr="009D20C6">
        <w:rPr>
          <w:lang w:val="en-GB"/>
        </w:rPr>
        <w:t xml:space="preserve"> </w:t>
      </w:r>
      <w:r w:rsidR="008412FB" w:rsidRPr="009D20C6">
        <w:rPr>
          <w:lang w:val="en-GB"/>
        </w:rPr>
        <w:t>Phil Smith</w:t>
      </w:r>
      <w:r>
        <w:rPr>
          <w:lang w:val="en-GB"/>
        </w:rPr>
        <w:t xml:space="preserve"> of Wrights &amp; Sites </w:t>
      </w:r>
      <w:r w:rsidR="008412FB" w:rsidRPr="009D20C6">
        <w:rPr>
          <w:lang w:val="en-GB"/>
        </w:rPr>
        <w:t>asserts that despite his pedestrian</w:t>
      </w:r>
      <w:r w:rsidR="00C807C5" w:rsidRPr="009D20C6">
        <w:rPr>
          <w:lang w:val="en-GB"/>
        </w:rPr>
        <w:t xml:space="preserve"> performance work beginning as ‘</w:t>
      </w:r>
      <w:r w:rsidR="0070505B">
        <w:rPr>
          <w:lang w:val="en-GB"/>
        </w:rPr>
        <w:t xml:space="preserve">an anti-theatrical </w:t>
      </w:r>
      <w:proofErr w:type="gramStart"/>
      <w:r w:rsidR="0070505B">
        <w:rPr>
          <w:lang w:val="en-GB"/>
        </w:rPr>
        <w:t xml:space="preserve">act, </w:t>
      </w:r>
      <w:r w:rsidR="008412FB" w:rsidRPr="009D20C6">
        <w:rPr>
          <w:lang w:val="en-GB"/>
        </w:rPr>
        <w:t>…</w:t>
      </w:r>
      <w:proofErr w:type="gramEnd"/>
      <w:r w:rsidR="008412FB" w:rsidRPr="009D20C6">
        <w:rPr>
          <w:lang w:val="en-GB"/>
        </w:rPr>
        <w:t xml:space="preserve"> elements of theatricality </w:t>
      </w:r>
      <w:r w:rsidR="00C807C5" w:rsidRPr="009D20C6">
        <w:rPr>
          <w:lang w:val="en-GB"/>
        </w:rPr>
        <w:t xml:space="preserve">have resurfaced in </w:t>
      </w:r>
      <w:r w:rsidR="00940484">
        <w:rPr>
          <w:lang w:val="en-GB"/>
        </w:rPr>
        <w:t>his</w:t>
      </w:r>
      <w:r w:rsidR="00C807C5" w:rsidRPr="009D20C6">
        <w:rPr>
          <w:lang w:val="en-GB"/>
        </w:rPr>
        <w:t xml:space="preserve"> practice’</w:t>
      </w:r>
      <w:r w:rsidR="00444A06">
        <w:rPr>
          <w:lang w:val="en-GB"/>
        </w:rPr>
        <w:t>.</w:t>
      </w:r>
      <w:r w:rsidR="00AE3D5F">
        <w:rPr>
          <w:rStyle w:val="EndnoteReference"/>
          <w:lang w:val="en-GB"/>
        </w:rPr>
        <w:endnoteReference w:id="7"/>
      </w:r>
      <w:r w:rsidR="00365194" w:rsidRPr="009D20C6">
        <w:rPr>
          <w:lang w:val="en-GB"/>
        </w:rPr>
        <w:t xml:space="preserve"> This observation is </w:t>
      </w:r>
      <w:r w:rsidR="004800F3" w:rsidRPr="009D20C6">
        <w:rPr>
          <w:lang w:val="en-GB"/>
        </w:rPr>
        <w:t>evidenced by</w:t>
      </w:r>
      <w:r w:rsidR="00365194" w:rsidRPr="009D20C6">
        <w:rPr>
          <w:lang w:val="en-GB"/>
        </w:rPr>
        <w:t xml:space="preserve"> publications such as Nicolas </w:t>
      </w:r>
      <w:proofErr w:type="spellStart"/>
      <w:r w:rsidR="00365194" w:rsidRPr="009D20C6">
        <w:rPr>
          <w:lang w:val="en-GB"/>
        </w:rPr>
        <w:t>Whybrow’s</w:t>
      </w:r>
      <w:proofErr w:type="spellEnd"/>
      <w:r w:rsidR="00365194" w:rsidRPr="009D20C6">
        <w:rPr>
          <w:lang w:val="en-GB"/>
        </w:rPr>
        <w:t xml:space="preserve"> </w:t>
      </w:r>
      <w:r w:rsidR="00365194" w:rsidRPr="009D20C6">
        <w:rPr>
          <w:i/>
          <w:lang w:val="en-GB"/>
        </w:rPr>
        <w:t xml:space="preserve">Street Scenes: Brecht, Benjamin &amp; Berlin </w:t>
      </w:r>
      <w:r w:rsidR="00365194" w:rsidRPr="009D20C6">
        <w:rPr>
          <w:lang w:val="en-GB"/>
        </w:rPr>
        <w:t>(2005)</w:t>
      </w:r>
      <w:r w:rsidR="00365194" w:rsidRPr="009D20C6">
        <w:rPr>
          <w:i/>
          <w:lang w:val="en-GB"/>
        </w:rPr>
        <w:t xml:space="preserve">, </w:t>
      </w:r>
      <w:r w:rsidR="00365194" w:rsidRPr="009D20C6">
        <w:rPr>
          <w:lang w:val="en-GB"/>
        </w:rPr>
        <w:t xml:space="preserve">Jen </w:t>
      </w:r>
      <w:proofErr w:type="spellStart"/>
      <w:r w:rsidR="00365194" w:rsidRPr="009D20C6">
        <w:rPr>
          <w:lang w:val="en-GB"/>
        </w:rPr>
        <w:t>Harvie’s</w:t>
      </w:r>
      <w:proofErr w:type="spellEnd"/>
      <w:r w:rsidR="00365194" w:rsidRPr="009D20C6">
        <w:rPr>
          <w:lang w:val="en-GB"/>
        </w:rPr>
        <w:t xml:space="preserve"> </w:t>
      </w:r>
      <w:r w:rsidR="00365194" w:rsidRPr="009D20C6">
        <w:rPr>
          <w:i/>
          <w:lang w:val="en-GB"/>
        </w:rPr>
        <w:t xml:space="preserve">Theatre &amp; </w:t>
      </w:r>
      <w:proofErr w:type="gramStart"/>
      <w:r w:rsidR="00365194" w:rsidRPr="009D20C6">
        <w:rPr>
          <w:i/>
          <w:lang w:val="en-GB"/>
        </w:rPr>
        <w:t>The</w:t>
      </w:r>
      <w:proofErr w:type="gramEnd"/>
      <w:r w:rsidR="00365194" w:rsidRPr="009D20C6">
        <w:rPr>
          <w:i/>
          <w:lang w:val="en-GB"/>
        </w:rPr>
        <w:t xml:space="preserve"> City </w:t>
      </w:r>
      <w:r w:rsidR="00365194" w:rsidRPr="009D20C6">
        <w:rPr>
          <w:lang w:val="en-GB"/>
        </w:rPr>
        <w:t>(2009)</w:t>
      </w:r>
      <w:r w:rsidR="00365194" w:rsidRPr="009D20C6">
        <w:rPr>
          <w:i/>
          <w:lang w:val="en-GB"/>
        </w:rPr>
        <w:t xml:space="preserve">, </w:t>
      </w:r>
      <w:r w:rsidR="00365194" w:rsidRPr="009D20C6">
        <w:rPr>
          <w:lang w:val="en-GB"/>
        </w:rPr>
        <w:t xml:space="preserve">and </w:t>
      </w:r>
      <w:r w:rsidR="00D934F0">
        <w:rPr>
          <w:i/>
          <w:lang w:val="en-GB"/>
        </w:rPr>
        <w:t xml:space="preserve">Performing </w:t>
      </w:r>
      <w:r w:rsidR="00365194" w:rsidRPr="009D20C6">
        <w:rPr>
          <w:i/>
          <w:lang w:val="en-GB"/>
        </w:rPr>
        <w:t xml:space="preserve">Site-Specific Theatre </w:t>
      </w:r>
      <w:r w:rsidR="00365194" w:rsidRPr="009D20C6">
        <w:rPr>
          <w:lang w:val="en-GB"/>
        </w:rPr>
        <w:t>(2012)</w:t>
      </w:r>
      <w:r w:rsidR="00365194" w:rsidRPr="009D20C6">
        <w:rPr>
          <w:i/>
          <w:lang w:val="en-GB"/>
        </w:rPr>
        <w:t xml:space="preserve">, </w:t>
      </w:r>
      <w:r w:rsidR="00365194" w:rsidRPr="009D20C6">
        <w:rPr>
          <w:lang w:val="en-GB"/>
        </w:rPr>
        <w:t>edited by Anna Birch and Joanne Tompkins.</w:t>
      </w:r>
      <w:r w:rsidR="004B4823" w:rsidRPr="009D20C6">
        <w:rPr>
          <w:lang w:val="en-GB"/>
        </w:rPr>
        <w:t xml:space="preserve"> The theatrical uses of walking in </w:t>
      </w:r>
      <w:r w:rsidR="00F866D4">
        <w:rPr>
          <w:lang w:val="en-GB"/>
        </w:rPr>
        <w:t xml:space="preserve">site-based </w:t>
      </w:r>
      <w:r w:rsidR="004B4823" w:rsidRPr="009D20C6">
        <w:rPr>
          <w:lang w:val="en-GB"/>
        </w:rPr>
        <w:t xml:space="preserve">performance have been discussed at length, </w:t>
      </w:r>
      <w:r w:rsidR="00824FC3">
        <w:rPr>
          <w:lang w:val="en-GB"/>
        </w:rPr>
        <w:t>yet</w:t>
      </w:r>
      <w:r w:rsidR="00365194" w:rsidRPr="009D20C6">
        <w:rPr>
          <w:lang w:val="en-GB"/>
        </w:rPr>
        <w:t xml:space="preserve"> </w:t>
      </w:r>
      <w:r w:rsidR="00FC550E" w:rsidRPr="009D20C6">
        <w:rPr>
          <w:lang w:val="en-GB"/>
        </w:rPr>
        <w:t xml:space="preserve">the </w:t>
      </w:r>
      <w:r w:rsidR="006F4A45">
        <w:rPr>
          <w:lang w:val="en-GB"/>
        </w:rPr>
        <w:t xml:space="preserve">overall </w:t>
      </w:r>
      <w:r w:rsidR="00D477AE">
        <w:rPr>
          <w:lang w:val="en-GB"/>
        </w:rPr>
        <w:t>significance of walking in the training of performers and the devising, rehearsing and staging of theatre productions ha</w:t>
      </w:r>
      <w:r w:rsidR="00B1210D">
        <w:rPr>
          <w:lang w:val="en-GB"/>
        </w:rPr>
        <w:t>ve</w:t>
      </w:r>
      <w:r w:rsidR="00FC550E" w:rsidRPr="009D20C6">
        <w:rPr>
          <w:lang w:val="en-GB"/>
        </w:rPr>
        <w:t xml:space="preserve"> been </w:t>
      </w:r>
      <w:r w:rsidR="00C31A0E" w:rsidRPr="009D20C6">
        <w:rPr>
          <w:lang w:val="en-GB"/>
        </w:rPr>
        <w:t xml:space="preserve">largely </w:t>
      </w:r>
      <w:r w:rsidR="00FC550E" w:rsidRPr="009D20C6">
        <w:rPr>
          <w:lang w:val="en-GB"/>
        </w:rPr>
        <w:t xml:space="preserve">overlooked. </w:t>
      </w:r>
      <w:r w:rsidR="005A601F">
        <w:rPr>
          <w:lang w:val="en-GB"/>
        </w:rPr>
        <w:t xml:space="preserve">This </w:t>
      </w:r>
      <w:r w:rsidR="00824FC3">
        <w:rPr>
          <w:lang w:val="en-GB"/>
        </w:rPr>
        <w:t xml:space="preserve">however, </w:t>
      </w:r>
      <w:r w:rsidR="005A601F">
        <w:rPr>
          <w:lang w:val="en-GB"/>
        </w:rPr>
        <w:t>has been</w:t>
      </w:r>
      <w:r w:rsidR="00F866D4">
        <w:rPr>
          <w:lang w:val="en-GB"/>
        </w:rPr>
        <w:t xml:space="preserve"> recognised recently by Martin </w:t>
      </w:r>
      <w:proofErr w:type="spellStart"/>
      <w:r w:rsidR="00F866D4">
        <w:rPr>
          <w:lang w:val="en-GB"/>
        </w:rPr>
        <w:t>Welton</w:t>
      </w:r>
      <w:proofErr w:type="spellEnd"/>
      <w:r w:rsidR="005A601F">
        <w:rPr>
          <w:lang w:val="en-GB"/>
        </w:rPr>
        <w:t xml:space="preserve"> in his</w:t>
      </w:r>
      <w:r w:rsidR="00F866D4">
        <w:rPr>
          <w:lang w:val="en-GB"/>
        </w:rPr>
        <w:t xml:space="preserve"> essay ‘Getting Things </w:t>
      </w:r>
      <w:proofErr w:type="gramStart"/>
      <w:r w:rsidR="00F866D4">
        <w:rPr>
          <w:lang w:val="en-GB"/>
        </w:rPr>
        <w:t>Off</w:t>
      </w:r>
      <w:proofErr w:type="gramEnd"/>
      <w:r w:rsidR="00F866D4">
        <w:rPr>
          <w:lang w:val="en-GB"/>
        </w:rPr>
        <w:t xml:space="preserve"> the Ground: </w:t>
      </w:r>
      <w:r w:rsidR="00F866D4">
        <w:rPr>
          <w:lang w:val="en-GB"/>
        </w:rPr>
        <w:lastRenderedPageBreak/>
        <w:t xml:space="preserve">Pedestrian Feelings’ (2012). Within it, </w:t>
      </w:r>
      <w:proofErr w:type="spellStart"/>
      <w:r w:rsidR="00F866D4">
        <w:rPr>
          <w:lang w:val="en-GB"/>
        </w:rPr>
        <w:t>Welton</w:t>
      </w:r>
      <w:proofErr w:type="spellEnd"/>
      <w:r w:rsidR="00F866D4">
        <w:rPr>
          <w:lang w:val="en-GB"/>
        </w:rPr>
        <w:t xml:space="preserve"> explores what knowledge the performer accrues between foot and floor, the significance of the ‘walk through’</w:t>
      </w:r>
      <w:r w:rsidR="00E30361">
        <w:rPr>
          <w:lang w:val="en-GB"/>
        </w:rPr>
        <w:t xml:space="preserve"> </w:t>
      </w:r>
      <w:r w:rsidR="00A5167D">
        <w:rPr>
          <w:lang w:val="en-GB"/>
        </w:rPr>
        <w:t>in the rehearsing of a</w:t>
      </w:r>
      <w:r w:rsidR="00B775CC">
        <w:rPr>
          <w:lang w:val="en-GB"/>
        </w:rPr>
        <w:t xml:space="preserve"> performance</w:t>
      </w:r>
      <w:r w:rsidR="008A5732">
        <w:rPr>
          <w:lang w:val="en-GB"/>
        </w:rPr>
        <w:t>,</w:t>
      </w:r>
      <w:r w:rsidR="00B775CC">
        <w:rPr>
          <w:lang w:val="en-GB"/>
        </w:rPr>
        <w:t xml:space="preserve"> </w:t>
      </w:r>
      <w:r w:rsidR="00E30361">
        <w:rPr>
          <w:lang w:val="en-GB"/>
        </w:rPr>
        <w:t>as well as</w:t>
      </w:r>
      <w:r w:rsidR="00F866D4">
        <w:rPr>
          <w:lang w:val="en-GB"/>
        </w:rPr>
        <w:t xml:space="preserve"> </w:t>
      </w:r>
      <w:r w:rsidR="00A5167D">
        <w:rPr>
          <w:lang w:val="en-GB"/>
        </w:rPr>
        <w:t xml:space="preserve">some </w:t>
      </w:r>
      <w:r w:rsidR="00F866D4">
        <w:rPr>
          <w:lang w:val="en-GB"/>
        </w:rPr>
        <w:t xml:space="preserve">historical </w:t>
      </w:r>
      <w:r w:rsidR="00B775CC">
        <w:rPr>
          <w:lang w:val="en-GB"/>
        </w:rPr>
        <w:t>accounts of</w:t>
      </w:r>
      <w:r w:rsidR="00F866D4">
        <w:rPr>
          <w:lang w:val="en-GB"/>
        </w:rPr>
        <w:t xml:space="preserve"> the different uses of walking </w:t>
      </w:r>
      <w:r w:rsidR="00667BAC">
        <w:rPr>
          <w:lang w:val="en-GB"/>
        </w:rPr>
        <w:t>adopted</w:t>
      </w:r>
      <w:r w:rsidR="00F866D4">
        <w:rPr>
          <w:lang w:val="en-GB"/>
        </w:rPr>
        <w:t xml:space="preserve"> by stage actors</w:t>
      </w:r>
      <w:r w:rsidR="00444A06">
        <w:rPr>
          <w:lang w:val="en-GB"/>
        </w:rPr>
        <w:t>.</w:t>
      </w:r>
      <w:r w:rsidR="00A5167D">
        <w:rPr>
          <w:rStyle w:val="EndnoteReference"/>
          <w:lang w:val="en-GB"/>
        </w:rPr>
        <w:endnoteReference w:id="8"/>
      </w:r>
      <w:r w:rsidR="00F866D4">
        <w:rPr>
          <w:lang w:val="en-GB"/>
        </w:rPr>
        <w:t xml:space="preserve"> </w:t>
      </w:r>
      <w:r w:rsidR="00F2404F">
        <w:rPr>
          <w:lang w:val="en-GB"/>
        </w:rPr>
        <w:t xml:space="preserve">It gives merit to the study of the walking of the performer, suggesting that pedestrian performances do not require an audience to remain on its feet. </w:t>
      </w:r>
      <w:r w:rsidR="005A601F">
        <w:rPr>
          <w:lang w:val="en-GB"/>
        </w:rPr>
        <w:t>Despite this, w</w:t>
      </w:r>
      <w:r w:rsidR="00FC550E" w:rsidRPr="009D20C6">
        <w:rPr>
          <w:lang w:val="en-GB"/>
        </w:rPr>
        <w:t xml:space="preserve">ithin </w:t>
      </w:r>
      <w:r w:rsidR="00F2404F">
        <w:rPr>
          <w:lang w:val="en-GB"/>
        </w:rPr>
        <w:t>the</w:t>
      </w:r>
      <w:r w:rsidR="00FC550E" w:rsidRPr="009D20C6">
        <w:rPr>
          <w:lang w:val="en-GB"/>
        </w:rPr>
        <w:t xml:space="preserve"> </w:t>
      </w:r>
      <w:r w:rsidR="00F2404F">
        <w:rPr>
          <w:lang w:val="en-GB"/>
        </w:rPr>
        <w:t>field</w:t>
      </w:r>
      <w:r w:rsidR="00FC550E" w:rsidRPr="009D20C6">
        <w:rPr>
          <w:lang w:val="en-GB"/>
        </w:rPr>
        <w:t xml:space="preserve"> there is still</w:t>
      </w:r>
      <w:r w:rsidR="00365194" w:rsidRPr="009D20C6">
        <w:rPr>
          <w:lang w:val="en-GB"/>
        </w:rPr>
        <w:t xml:space="preserve"> a noticeable emphasis on t</w:t>
      </w:r>
      <w:r w:rsidR="00C50804" w:rsidRPr="009D20C6">
        <w:rPr>
          <w:lang w:val="en-GB"/>
        </w:rPr>
        <w:t xml:space="preserve">he site-specific, </w:t>
      </w:r>
      <w:r w:rsidR="00FC550E" w:rsidRPr="009D20C6">
        <w:rPr>
          <w:lang w:val="en-GB"/>
        </w:rPr>
        <w:t xml:space="preserve">the boundaries of the field </w:t>
      </w:r>
      <w:r w:rsidR="005B2707" w:rsidRPr="009D20C6">
        <w:rPr>
          <w:lang w:val="en-GB"/>
        </w:rPr>
        <w:t>end</w:t>
      </w:r>
      <w:r w:rsidR="00FC550E" w:rsidRPr="009D20C6">
        <w:rPr>
          <w:lang w:val="en-GB"/>
        </w:rPr>
        <w:t>ing</w:t>
      </w:r>
      <w:r w:rsidR="005B2707" w:rsidRPr="009D20C6">
        <w:rPr>
          <w:lang w:val="en-GB"/>
        </w:rPr>
        <w:t xml:space="preserve"> at the theatre doors.</w:t>
      </w:r>
      <w:r w:rsidR="00B449BA" w:rsidRPr="009D20C6">
        <w:rPr>
          <w:lang w:val="en-GB"/>
        </w:rPr>
        <w:t xml:space="preserve"> </w:t>
      </w:r>
    </w:p>
    <w:p w14:paraId="62F0742B" w14:textId="77777777" w:rsidR="00E8398B" w:rsidRPr="009D20C6" w:rsidRDefault="00E8398B" w:rsidP="00986C7E">
      <w:pPr>
        <w:pStyle w:val="Heading2"/>
      </w:pPr>
      <w:r w:rsidRPr="009D20C6">
        <w:t>A Walk-</w:t>
      </w:r>
      <w:r w:rsidR="00730409">
        <w:t>T</w:t>
      </w:r>
      <w:r w:rsidRPr="009D20C6">
        <w:t>hrough</w:t>
      </w:r>
    </w:p>
    <w:p w14:paraId="3DA59393" w14:textId="77777777" w:rsidR="00A930CB" w:rsidRDefault="00363317" w:rsidP="00A930CB">
      <w:pPr>
        <w:pStyle w:val="FootnoteText"/>
      </w:pPr>
      <w:r w:rsidRPr="009D20C6">
        <w:t xml:space="preserve">Walking historian Rebecca </w:t>
      </w:r>
      <w:proofErr w:type="spellStart"/>
      <w:r w:rsidRPr="009D20C6">
        <w:t>Solnit’s</w:t>
      </w:r>
      <w:proofErr w:type="spellEnd"/>
      <w:r w:rsidRPr="009D20C6">
        <w:t xml:space="preserve"> observation that walking and travelling have ‘become central metaphors in thought</w:t>
      </w:r>
      <w:r w:rsidR="00A85B26" w:rsidRPr="009D20C6">
        <w:t xml:space="preserve"> and speech’</w:t>
      </w:r>
      <w:r w:rsidR="0089550A">
        <w:rPr>
          <w:rStyle w:val="EndnoteReference"/>
          <w:lang w:val="en-GB"/>
        </w:rPr>
        <w:endnoteReference w:id="9"/>
      </w:r>
      <w:r w:rsidR="00A85B26" w:rsidRPr="009D20C6">
        <w:t xml:space="preserve"> is recogniz</w:t>
      </w:r>
      <w:r w:rsidRPr="009D20C6">
        <w:t>ed in the theatre also with ‘everyday phrases used by theatre practitioners, such as “treading the boards”, “doing a walk-through”, and “finding the right posture”</w:t>
      </w:r>
      <w:r w:rsidR="0089550A">
        <w:t>’</w:t>
      </w:r>
      <w:r w:rsidR="00444A06">
        <w:t>.</w:t>
      </w:r>
      <w:r w:rsidR="0089550A">
        <w:rPr>
          <w:rStyle w:val="EndnoteReference"/>
          <w:lang w:val="en-GB"/>
        </w:rPr>
        <w:endnoteReference w:id="10"/>
      </w:r>
      <w:r w:rsidRPr="009D20C6">
        <w:t xml:space="preserve"> </w:t>
      </w:r>
      <w:r w:rsidR="00C953A7" w:rsidRPr="00C953A7">
        <w:t xml:space="preserve">Although </w:t>
      </w:r>
      <w:r w:rsidR="00183840">
        <w:t>‘</w:t>
      </w:r>
      <w:r w:rsidR="00C953A7" w:rsidRPr="00C953A7">
        <w:t>perhaps the most popular motif of site-specific practice at the beginning of the twenty-first century</w:t>
      </w:r>
      <w:r w:rsidR="00183840">
        <w:t>’</w:t>
      </w:r>
      <w:r w:rsidR="00444A06">
        <w:t>,</w:t>
      </w:r>
      <w:r w:rsidR="00B15A4D">
        <w:rPr>
          <w:rStyle w:val="EndnoteReference"/>
          <w:lang w:val="en-GB"/>
        </w:rPr>
        <w:endnoteReference w:id="11"/>
      </w:r>
      <w:r w:rsidR="00C953A7" w:rsidRPr="00C953A7">
        <w:t xml:space="preserve"> the journey has also </w:t>
      </w:r>
      <w:r w:rsidR="00C953A7">
        <w:t xml:space="preserve">long </w:t>
      </w:r>
      <w:r w:rsidR="00C953A7" w:rsidRPr="00C953A7">
        <w:t xml:space="preserve">established itself as </w:t>
      </w:r>
      <w:r w:rsidR="00183840">
        <w:t>‘</w:t>
      </w:r>
      <w:r w:rsidR="00C953A7" w:rsidRPr="00C953A7">
        <w:t>the master trope of modern drama</w:t>
      </w:r>
      <w:r w:rsidR="00183840">
        <w:t>’</w:t>
      </w:r>
      <w:r w:rsidR="00C953A7" w:rsidRPr="00C953A7">
        <w:t xml:space="preserve">, having an active and longstanding presence within the theatre </w:t>
      </w:r>
      <w:r w:rsidR="00C953A7">
        <w:t>as well</w:t>
      </w:r>
      <w:r w:rsidR="00444A06">
        <w:t>.</w:t>
      </w:r>
      <w:r w:rsidR="004715A6">
        <w:rPr>
          <w:rStyle w:val="EndnoteReference"/>
          <w:lang w:val="en-GB"/>
        </w:rPr>
        <w:endnoteReference w:id="12"/>
      </w:r>
      <w:r w:rsidR="00C953A7">
        <w:t>Konstantin Stanislavsky</w:t>
      </w:r>
      <w:r w:rsidR="00764D4B" w:rsidRPr="009D20C6">
        <w:t xml:space="preserve"> referred to a need to give actors ‘various paths’</w:t>
      </w:r>
      <w:r w:rsidR="00183840">
        <w:t xml:space="preserve"> in rehearsals</w:t>
      </w:r>
      <w:r w:rsidR="00444A06">
        <w:t>,</w:t>
      </w:r>
      <w:r w:rsidR="00703721">
        <w:rPr>
          <w:rStyle w:val="EndnoteReference"/>
          <w:lang w:val="en-GB"/>
        </w:rPr>
        <w:endnoteReference w:id="13"/>
      </w:r>
      <w:r w:rsidR="00B45D26" w:rsidRPr="009D20C6">
        <w:t xml:space="preserve"> which resonates with</w:t>
      </w:r>
      <w:r w:rsidR="00C953A7">
        <w:t xml:space="preserve"> the writings of his former student Michael Chekhov in</w:t>
      </w:r>
      <w:r w:rsidR="00B45D26" w:rsidRPr="009D20C6">
        <w:t xml:space="preserve"> </w:t>
      </w:r>
      <w:r w:rsidR="00B45D26" w:rsidRPr="009D20C6">
        <w:rPr>
          <w:i/>
        </w:rPr>
        <w:t xml:space="preserve">The Path of the Actor </w:t>
      </w:r>
      <w:r w:rsidR="00B45D26" w:rsidRPr="009D20C6">
        <w:t>(</w:t>
      </w:r>
      <w:r w:rsidR="0060722B" w:rsidRPr="009D20C6">
        <w:t>1927</w:t>
      </w:r>
      <w:r w:rsidR="00B45D26" w:rsidRPr="009D20C6">
        <w:t>).</w:t>
      </w:r>
      <w:r w:rsidR="001174C0" w:rsidRPr="009D20C6">
        <w:t xml:space="preserve"> </w:t>
      </w:r>
      <w:r w:rsidR="00631BC7" w:rsidRPr="009D20C6">
        <w:t xml:space="preserve">Additionally, </w:t>
      </w:r>
      <w:r w:rsidR="001174C0" w:rsidRPr="009D20C6">
        <w:t>Tadeusz Kantor, in an essay entitled ‘My Work – My Journey’</w:t>
      </w:r>
      <w:r w:rsidR="00D934F0">
        <w:t xml:space="preserve"> (1988)</w:t>
      </w:r>
      <w:r w:rsidR="001174C0" w:rsidRPr="009D20C6">
        <w:t xml:space="preserve"> writes: ‘I rushed into this future, with my eyes wide open and with the feeling of “greatness” in my rucksack</w:t>
      </w:r>
      <w:r w:rsidR="00444A06">
        <w:t>.</w:t>
      </w:r>
      <w:r w:rsidR="001174C0" w:rsidRPr="009D20C6">
        <w:t>’</w:t>
      </w:r>
      <w:r w:rsidR="00703721">
        <w:rPr>
          <w:rStyle w:val="EndnoteReference"/>
          <w:lang w:val="en-GB"/>
        </w:rPr>
        <w:endnoteReference w:id="14"/>
      </w:r>
      <w:r w:rsidR="00AE7A98" w:rsidRPr="009D20C6">
        <w:t xml:space="preserve"> </w:t>
      </w:r>
      <w:r w:rsidR="00C953A7" w:rsidRPr="009D20C6">
        <w:t>Walking and the motif of the journey are evocative metaphors for some directors and actors because it suggests a process, and one that has resonances with a multitude of processes within the devising of theatre.</w:t>
      </w:r>
      <w:r w:rsidR="00C953A7">
        <w:t xml:space="preserve"> </w:t>
      </w:r>
      <w:r w:rsidR="00D42FBD" w:rsidRPr="009D20C6">
        <w:t xml:space="preserve">There are numerous </w:t>
      </w:r>
      <w:r w:rsidR="00D83632">
        <w:t>instances</w:t>
      </w:r>
      <w:r w:rsidR="00D42FBD" w:rsidRPr="009D20C6">
        <w:t xml:space="preserve"> of </w:t>
      </w:r>
      <w:r w:rsidR="003C3B6D">
        <w:t xml:space="preserve">this </w:t>
      </w:r>
      <w:r w:rsidR="00AD0D74">
        <w:t>phraseology</w:t>
      </w:r>
      <w:r w:rsidR="00D83632">
        <w:t xml:space="preserve"> </w:t>
      </w:r>
      <w:r w:rsidR="003C3B6D">
        <w:t xml:space="preserve">shared </w:t>
      </w:r>
      <w:r w:rsidR="004E2E36" w:rsidRPr="009D20C6">
        <w:t xml:space="preserve">amongst directors and actors, </w:t>
      </w:r>
      <w:r w:rsidR="003C3B6D">
        <w:t>from a variety of different theatrical styles and cultural backgrounds</w:t>
      </w:r>
      <w:r w:rsidR="007B4709" w:rsidRPr="009D20C6">
        <w:t>.</w:t>
      </w:r>
      <w:r w:rsidR="00D83632">
        <w:t xml:space="preserve"> </w:t>
      </w:r>
    </w:p>
    <w:p w14:paraId="141B5535" w14:textId="77777777" w:rsidR="00A955FB" w:rsidRDefault="00A955FB" w:rsidP="00A955FB">
      <w:pPr>
        <w:spacing w:before="240"/>
      </w:pPr>
      <w:r>
        <w:t>The phrase “Walk around the space” is a common direction heard in actor training, necessitating an awareness of the biomechanical rhythm of the self as well as a haptic and spatial mapping of the environment. The studio and performance space is a network of trajectories in which many paths meet and part. Such paths may act as an aide memoire for the performer, a walking through of a ‘character map’</w:t>
      </w:r>
      <w:r>
        <w:rPr>
          <w:rStyle w:val="EndnoteReference"/>
        </w:rPr>
        <w:endnoteReference w:id="15"/>
      </w:r>
      <w:r>
        <w:t xml:space="preserve"> or a logistical set of directions that signal entrances, costume changes and specific actions both on and offstage. What is particularly significant is that such a path is not a linear or even a continuous one, as the restrictive dimensions of the stage often necessitates a re-treading of the same space. </w:t>
      </w:r>
    </w:p>
    <w:p w14:paraId="77A08DD2" w14:textId="77777777" w:rsidR="00893ABA" w:rsidRPr="00A930CB" w:rsidRDefault="00E6363E" w:rsidP="00A930CB">
      <w:pPr>
        <w:pStyle w:val="FootnoteText"/>
        <w:rPr>
          <w:rStyle w:val="apple-style-span"/>
        </w:rPr>
      </w:pPr>
      <w:r w:rsidRPr="009D20C6">
        <w:t xml:space="preserve">Some of the oldest forms of theatre that actively places emphasis on the action of walking are </w:t>
      </w:r>
      <w:r w:rsidR="00097E47" w:rsidRPr="009D20C6">
        <w:t>primarily found in traditional E</w:t>
      </w:r>
      <w:r w:rsidRPr="009D20C6">
        <w:t xml:space="preserve">astern performance. </w:t>
      </w:r>
      <w:r w:rsidR="00893ABA" w:rsidRPr="009D20C6">
        <w:rPr>
          <w:rStyle w:val="apple-style-span"/>
          <w:color w:val="000000"/>
        </w:rPr>
        <w:t xml:space="preserve">Noh theatre for example, performed since the fourteenth century in Japan, employs a type of walking known as </w:t>
      </w:r>
      <w:proofErr w:type="spellStart"/>
      <w:r w:rsidR="00893ABA" w:rsidRPr="009D20C6">
        <w:rPr>
          <w:rStyle w:val="apple-style-span"/>
          <w:i/>
          <w:color w:val="000000"/>
        </w:rPr>
        <w:t>Suriashi</w:t>
      </w:r>
      <w:proofErr w:type="spellEnd"/>
      <w:r w:rsidR="00893ABA" w:rsidRPr="009D20C6">
        <w:rPr>
          <w:rStyle w:val="apple-style-span"/>
          <w:i/>
          <w:color w:val="000000"/>
        </w:rPr>
        <w:t xml:space="preserve">, </w:t>
      </w:r>
      <w:r w:rsidR="00893ABA" w:rsidRPr="009D20C6">
        <w:rPr>
          <w:rStyle w:val="apple-style-span"/>
          <w:color w:val="000000"/>
        </w:rPr>
        <w:t xml:space="preserve">which </w:t>
      </w:r>
      <w:r w:rsidR="00515AFA">
        <w:rPr>
          <w:rStyle w:val="apple-style-span"/>
          <w:color w:val="000000"/>
        </w:rPr>
        <w:t>‘</w:t>
      </w:r>
      <w:r w:rsidR="00893ABA" w:rsidRPr="009D20C6">
        <w:rPr>
          <w:rStyle w:val="apple-style-span"/>
          <w:color w:val="000000"/>
        </w:rPr>
        <w:t>is the art of sliding the foot, ensuring that it never completely leaves the floor</w:t>
      </w:r>
      <w:r w:rsidR="00515AFA">
        <w:rPr>
          <w:rStyle w:val="apple-style-span"/>
          <w:color w:val="000000"/>
        </w:rPr>
        <w:t>’</w:t>
      </w:r>
      <w:r w:rsidR="00444A06">
        <w:rPr>
          <w:rStyle w:val="apple-style-span"/>
          <w:color w:val="000000"/>
        </w:rPr>
        <w:t>.</w:t>
      </w:r>
      <w:r w:rsidR="00387FC0" w:rsidRPr="009D20C6">
        <w:rPr>
          <w:rStyle w:val="EndnoteReference"/>
          <w:color w:val="000000"/>
        </w:rPr>
        <w:endnoteReference w:id="16"/>
      </w:r>
      <w:r w:rsidR="00893ABA" w:rsidRPr="009D20C6">
        <w:rPr>
          <w:rStyle w:val="apple-style-span"/>
          <w:color w:val="000000"/>
        </w:rPr>
        <w:t xml:space="preserve"> It is part of a triadic relationship with that of the basic body position (</w:t>
      </w:r>
      <w:proofErr w:type="spellStart"/>
      <w:r w:rsidR="00893ABA" w:rsidRPr="009D20C6">
        <w:rPr>
          <w:rStyle w:val="apple-style-span"/>
          <w:i/>
          <w:color w:val="000000"/>
        </w:rPr>
        <w:t>Kamae</w:t>
      </w:r>
      <w:proofErr w:type="spellEnd"/>
      <w:r w:rsidR="00893ABA" w:rsidRPr="009D20C6">
        <w:rPr>
          <w:rStyle w:val="apple-style-span"/>
          <w:color w:val="000000"/>
        </w:rPr>
        <w:t>) and movement forms (</w:t>
      </w:r>
      <w:r w:rsidR="00893ABA" w:rsidRPr="009D20C6">
        <w:rPr>
          <w:rStyle w:val="apple-style-span"/>
          <w:i/>
          <w:color w:val="000000"/>
        </w:rPr>
        <w:t>Kata</w:t>
      </w:r>
      <w:r w:rsidR="00893ABA" w:rsidRPr="009D20C6">
        <w:rPr>
          <w:rStyle w:val="apple-style-span"/>
          <w:color w:val="000000"/>
        </w:rPr>
        <w:t>), which must be all given equal attention by the performer in order to avoid diluting the aesthetic effect of the performance</w:t>
      </w:r>
      <w:r w:rsidR="00444A06">
        <w:rPr>
          <w:rStyle w:val="apple-style-span"/>
          <w:color w:val="000000"/>
        </w:rPr>
        <w:t>.</w:t>
      </w:r>
      <w:r w:rsidR="00B81483">
        <w:rPr>
          <w:rStyle w:val="EndnoteReference"/>
          <w:color w:val="000000"/>
        </w:rPr>
        <w:endnoteReference w:id="17"/>
      </w:r>
      <w:r w:rsidR="00893ABA" w:rsidRPr="009D20C6">
        <w:rPr>
          <w:rStyle w:val="apple-style-span"/>
          <w:color w:val="000000"/>
        </w:rPr>
        <w:t xml:space="preserve"> </w:t>
      </w:r>
      <w:r w:rsidR="00893ABA" w:rsidRPr="009D20C6">
        <w:rPr>
          <w:rStyle w:val="apple-style-span"/>
          <w:color w:val="000000"/>
        </w:rPr>
        <w:lastRenderedPageBreak/>
        <w:t>Japanese director Tadashi Suzuki has continued this attention to walking in his performance work, through what he terms the ‘grammar of the feet’</w:t>
      </w:r>
      <w:r w:rsidR="00444A06">
        <w:rPr>
          <w:rStyle w:val="apple-style-span"/>
          <w:color w:val="000000"/>
        </w:rPr>
        <w:t>.</w:t>
      </w:r>
      <w:r w:rsidR="00144089">
        <w:rPr>
          <w:rStyle w:val="EndnoteReference"/>
          <w:color w:val="000000"/>
        </w:rPr>
        <w:endnoteReference w:id="18"/>
      </w:r>
      <w:r w:rsidR="00893ABA" w:rsidRPr="009D20C6">
        <w:rPr>
          <w:rStyle w:val="apple-style-span"/>
          <w:color w:val="000000"/>
        </w:rPr>
        <w:t xml:space="preserve"> In his book </w:t>
      </w:r>
      <w:r w:rsidR="00893ABA" w:rsidRPr="009D20C6">
        <w:rPr>
          <w:rStyle w:val="apple-style-span"/>
          <w:i/>
          <w:color w:val="000000"/>
        </w:rPr>
        <w:t xml:space="preserve">The Way of Acting </w:t>
      </w:r>
      <w:r w:rsidR="00893ABA" w:rsidRPr="009D20C6">
        <w:rPr>
          <w:rStyle w:val="apple-style-span"/>
          <w:color w:val="000000"/>
        </w:rPr>
        <w:t>(1986)</w:t>
      </w:r>
      <w:r w:rsidR="00893ABA" w:rsidRPr="009D20C6">
        <w:rPr>
          <w:rStyle w:val="apple-style-span"/>
          <w:i/>
          <w:color w:val="000000"/>
        </w:rPr>
        <w:t xml:space="preserve">, </w:t>
      </w:r>
      <w:r w:rsidR="003C7307" w:rsidRPr="009D20C6">
        <w:rPr>
          <w:rStyle w:val="apple-style-span"/>
          <w:color w:val="000000"/>
        </w:rPr>
        <w:t xml:space="preserve">he argues that modern theatre has ‘no feet’, due to a lack of attention paid to the ‘ambulatory possibilities’ </w:t>
      </w:r>
      <w:r w:rsidR="00C64758" w:rsidRPr="009D20C6">
        <w:rPr>
          <w:rStyle w:val="apple-style-span"/>
          <w:color w:val="000000"/>
        </w:rPr>
        <w:t>of</w:t>
      </w:r>
      <w:r w:rsidR="003C7307" w:rsidRPr="009D20C6">
        <w:rPr>
          <w:rStyle w:val="apple-style-span"/>
          <w:color w:val="000000"/>
        </w:rPr>
        <w:t xml:space="preserve"> the actor</w:t>
      </w:r>
      <w:r w:rsidR="00444A06">
        <w:rPr>
          <w:rStyle w:val="apple-style-span"/>
          <w:color w:val="000000"/>
        </w:rPr>
        <w:t>.</w:t>
      </w:r>
      <w:r w:rsidR="00135290">
        <w:rPr>
          <w:rStyle w:val="EndnoteReference"/>
          <w:color w:val="000000"/>
        </w:rPr>
        <w:endnoteReference w:id="19"/>
      </w:r>
      <w:r w:rsidR="003C7307" w:rsidRPr="009D20C6">
        <w:rPr>
          <w:rStyle w:val="apple-style-span"/>
          <w:color w:val="000000"/>
        </w:rPr>
        <w:t xml:space="preserve"> </w:t>
      </w:r>
      <w:r w:rsidR="001100DB" w:rsidRPr="009D20C6">
        <w:rPr>
          <w:rStyle w:val="apple-style-span"/>
          <w:color w:val="000000"/>
        </w:rPr>
        <w:t>Although</w:t>
      </w:r>
      <w:r w:rsidR="005B6BAB" w:rsidRPr="009D20C6">
        <w:rPr>
          <w:rStyle w:val="apple-style-span"/>
          <w:color w:val="000000"/>
        </w:rPr>
        <w:t xml:space="preserve"> Suzuki is referring principally to naturalistic theatre</w:t>
      </w:r>
      <w:r w:rsidR="001100DB" w:rsidRPr="009D20C6">
        <w:rPr>
          <w:rStyle w:val="apple-style-span"/>
          <w:color w:val="000000"/>
        </w:rPr>
        <w:t xml:space="preserve">, there is an argument that </w:t>
      </w:r>
      <w:r w:rsidR="00893ABA" w:rsidRPr="009D20C6">
        <w:rPr>
          <w:rStyle w:val="apple-style-span"/>
          <w:color w:val="000000"/>
        </w:rPr>
        <w:t xml:space="preserve">the curbing of such </w:t>
      </w:r>
      <w:r w:rsidR="00444A06">
        <w:rPr>
          <w:rStyle w:val="apple-style-span"/>
          <w:color w:val="000000"/>
        </w:rPr>
        <w:t>“</w:t>
      </w:r>
      <w:r w:rsidR="00893ABA" w:rsidRPr="009D20C6">
        <w:rPr>
          <w:rStyle w:val="apple-style-span"/>
          <w:color w:val="000000"/>
        </w:rPr>
        <w:t>ambulatory possibilities</w:t>
      </w:r>
      <w:r w:rsidR="00444A06">
        <w:rPr>
          <w:rStyle w:val="apple-style-span"/>
          <w:color w:val="000000"/>
        </w:rPr>
        <w:t>”</w:t>
      </w:r>
      <w:r w:rsidR="00893ABA" w:rsidRPr="009D20C6">
        <w:rPr>
          <w:rStyle w:val="apple-style-span"/>
          <w:color w:val="000000"/>
        </w:rPr>
        <w:t xml:space="preserve"> in </w:t>
      </w:r>
      <w:r w:rsidR="005230E2">
        <w:rPr>
          <w:rStyle w:val="apple-style-span"/>
          <w:color w:val="000000"/>
        </w:rPr>
        <w:t>w</w:t>
      </w:r>
      <w:r w:rsidR="00893ABA" w:rsidRPr="009D20C6">
        <w:rPr>
          <w:rStyle w:val="apple-style-span"/>
          <w:color w:val="000000"/>
        </w:rPr>
        <w:t xml:space="preserve">estern theatre is </w:t>
      </w:r>
      <w:r w:rsidR="001100DB" w:rsidRPr="009D20C6">
        <w:rPr>
          <w:rStyle w:val="apple-style-span"/>
          <w:color w:val="000000"/>
        </w:rPr>
        <w:t xml:space="preserve">possibly </w:t>
      </w:r>
      <w:r w:rsidR="00893ABA" w:rsidRPr="009D20C6">
        <w:rPr>
          <w:rStyle w:val="apple-style-span"/>
          <w:color w:val="000000"/>
        </w:rPr>
        <w:t xml:space="preserve">due to </w:t>
      </w:r>
      <w:r w:rsidR="00C0444E" w:rsidRPr="009D20C6">
        <w:rPr>
          <w:rStyle w:val="apple-style-span"/>
          <w:color w:val="000000"/>
        </w:rPr>
        <w:t>a</w:t>
      </w:r>
      <w:r w:rsidR="00893ABA" w:rsidRPr="009D20C6">
        <w:rPr>
          <w:rStyle w:val="apple-style-span"/>
          <w:color w:val="000000"/>
        </w:rPr>
        <w:t xml:space="preserve"> </w:t>
      </w:r>
      <w:r w:rsidR="00C62E2D" w:rsidRPr="009D20C6">
        <w:rPr>
          <w:rStyle w:val="apple-style-span"/>
          <w:color w:val="000000"/>
        </w:rPr>
        <w:t>need for it to distinguish itself from dance</w:t>
      </w:r>
      <w:r w:rsidR="00893ABA" w:rsidRPr="009D20C6">
        <w:rPr>
          <w:rStyle w:val="apple-style-span"/>
          <w:color w:val="000000"/>
        </w:rPr>
        <w:t>. Eugenio Barba, suggests that the ‘rigid distinction between dance and theatre, characteristic of our culture, reveals a profound wound, a void of tradition, which continually risks drawing the actor towards a denial of the body and the dancer towards virtuosity’</w:t>
      </w:r>
      <w:r w:rsidR="00444A06">
        <w:rPr>
          <w:rStyle w:val="apple-style-span"/>
          <w:color w:val="000000"/>
        </w:rPr>
        <w:t>.</w:t>
      </w:r>
      <w:r w:rsidR="00135290">
        <w:rPr>
          <w:rStyle w:val="EndnoteReference"/>
          <w:color w:val="000000"/>
        </w:rPr>
        <w:endnoteReference w:id="20"/>
      </w:r>
      <w:r w:rsidR="00681D37" w:rsidRPr="009D20C6">
        <w:rPr>
          <w:rStyle w:val="apple-style-span"/>
          <w:color w:val="000000"/>
        </w:rPr>
        <w:t xml:space="preserve"> </w:t>
      </w:r>
      <w:r w:rsidR="00E77DD1" w:rsidRPr="009D20C6">
        <w:rPr>
          <w:rStyle w:val="apple-style-span"/>
          <w:color w:val="000000"/>
        </w:rPr>
        <w:t>However, t</w:t>
      </w:r>
      <w:r w:rsidR="00681D37" w:rsidRPr="009D20C6">
        <w:rPr>
          <w:rStyle w:val="apple-style-span"/>
          <w:color w:val="000000"/>
        </w:rPr>
        <w:t>his is invariably</w:t>
      </w:r>
      <w:r w:rsidR="00893ABA" w:rsidRPr="009D20C6">
        <w:rPr>
          <w:rStyle w:val="apple-style-span"/>
          <w:color w:val="000000"/>
        </w:rPr>
        <w:t xml:space="preserve"> countered by physical theatre, where ‘the somatic impulse is privileged over the cerebral’</w:t>
      </w:r>
      <w:r w:rsidR="00444A06">
        <w:rPr>
          <w:rStyle w:val="apple-style-span"/>
          <w:color w:val="000000"/>
        </w:rPr>
        <w:t>.</w:t>
      </w:r>
      <w:r w:rsidR="00A87295">
        <w:rPr>
          <w:rStyle w:val="EndnoteReference"/>
          <w:color w:val="000000"/>
        </w:rPr>
        <w:endnoteReference w:id="21"/>
      </w:r>
      <w:r w:rsidR="00893ABA" w:rsidRPr="009D20C6">
        <w:rPr>
          <w:rStyle w:val="apple-style-span"/>
          <w:color w:val="000000"/>
        </w:rPr>
        <w:t xml:space="preserve"> Th</w:t>
      </w:r>
      <w:r w:rsidR="00681D37" w:rsidRPr="009D20C6">
        <w:rPr>
          <w:rStyle w:val="apple-style-span"/>
          <w:color w:val="000000"/>
        </w:rPr>
        <w:t>is</w:t>
      </w:r>
      <w:r w:rsidR="00893ABA" w:rsidRPr="009D20C6">
        <w:rPr>
          <w:rStyle w:val="apple-style-span"/>
          <w:color w:val="000000"/>
        </w:rPr>
        <w:t xml:space="preserve"> </w:t>
      </w:r>
      <w:proofErr w:type="gramStart"/>
      <w:r w:rsidR="00681D37" w:rsidRPr="009D20C6">
        <w:rPr>
          <w:rStyle w:val="apple-style-span"/>
          <w:color w:val="000000"/>
        </w:rPr>
        <w:t>itself</w:t>
      </w:r>
      <w:proofErr w:type="gramEnd"/>
      <w:r w:rsidR="00681D37" w:rsidRPr="009D20C6">
        <w:rPr>
          <w:rStyle w:val="apple-style-span"/>
          <w:color w:val="000000"/>
        </w:rPr>
        <w:t xml:space="preserve"> originate</w:t>
      </w:r>
      <w:r w:rsidR="00135290">
        <w:rPr>
          <w:rStyle w:val="apple-style-span"/>
          <w:color w:val="000000"/>
        </w:rPr>
        <w:t>d</w:t>
      </w:r>
      <w:r w:rsidR="00893ABA" w:rsidRPr="009D20C6">
        <w:rPr>
          <w:rStyle w:val="apple-style-span"/>
          <w:color w:val="000000"/>
        </w:rPr>
        <w:t xml:space="preserve"> in part with French perform</w:t>
      </w:r>
      <w:r w:rsidR="00D430DF" w:rsidRPr="009D20C6">
        <w:rPr>
          <w:rStyle w:val="apple-style-span"/>
          <w:color w:val="000000"/>
        </w:rPr>
        <w:t xml:space="preserve">er and director Jacques </w:t>
      </w:r>
      <w:proofErr w:type="spellStart"/>
      <w:r w:rsidR="00D430DF" w:rsidRPr="009D20C6">
        <w:rPr>
          <w:rStyle w:val="apple-style-span"/>
          <w:color w:val="000000"/>
        </w:rPr>
        <w:t>Copeau</w:t>
      </w:r>
      <w:proofErr w:type="spellEnd"/>
      <w:r w:rsidR="00D430DF" w:rsidRPr="009D20C6">
        <w:rPr>
          <w:rStyle w:val="apple-style-span"/>
          <w:color w:val="000000"/>
        </w:rPr>
        <w:t xml:space="preserve"> and his</w:t>
      </w:r>
      <w:r w:rsidR="00893ABA" w:rsidRPr="009D20C6">
        <w:rPr>
          <w:rStyle w:val="apple-style-span"/>
          <w:color w:val="000000"/>
        </w:rPr>
        <w:t xml:space="preserve"> observing of the traditions of the aforementioned Noh theatre </w:t>
      </w:r>
      <w:r w:rsidR="0039638E" w:rsidRPr="009D20C6">
        <w:rPr>
          <w:rStyle w:val="apple-style-span"/>
          <w:color w:val="000000"/>
        </w:rPr>
        <w:t>in the early twentieth century</w:t>
      </w:r>
      <w:r w:rsidR="00444A06">
        <w:rPr>
          <w:rStyle w:val="apple-style-span"/>
          <w:color w:val="000000"/>
        </w:rPr>
        <w:t>.</w:t>
      </w:r>
      <w:r w:rsidR="009E2AE5">
        <w:rPr>
          <w:rStyle w:val="EndnoteReference"/>
          <w:color w:val="000000"/>
        </w:rPr>
        <w:endnoteReference w:id="22"/>
      </w:r>
      <w:r w:rsidR="00893ABA" w:rsidRPr="009D20C6">
        <w:rPr>
          <w:rStyle w:val="apple-style-span"/>
          <w:color w:val="000000"/>
        </w:rPr>
        <w:t xml:space="preserve"> </w:t>
      </w:r>
      <w:r w:rsidR="00681D37" w:rsidRPr="009D20C6">
        <w:rPr>
          <w:rStyle w:val="apple-style-span"/>
          <w:color w:val="000000"/>
        </w:rPr>
        <w:t>Noh</w:t>
      </w:r>
      <w:r w:rsidR="00893ABA" w:rsidRPr="009D20C6">
        <w:rPr>
          <w:rStyle w:val="apple-style-span"/>
          <w:color w:val="000000"/>
        </w:rPr>
        <w:t xml:space="preserve"> </w:t>
      </w:r>
      <w:r w:rsidR="0039638E" w:rsidRPr="009D20C6">
        <w:rPr>
          <w:rStyle w:val="apple-style-span"/>
          <w:color w:val="000000"/>
        </w:rPr>
        <w:t xml:space="preserve">also </w:t>
      </w:r>
      <w:r w:rsidR="00681D37" w:rsidRPr="009D20C6">
        <w:rPr>
          <w:rStyle w:val="apple-style-span"/>
          <w:color w:val="000000"/>
        </w:rPr>
        <w:t xml:space="preserve">later </w:t>
      </w:r>
      <w:r w:rsidR="00893ABA" w:rsidRPr="009D20C6">
        <w:rPr>
          <w:rStyle w:val="apple-style-span"/>
          <w:color w:val="000000"/>
        </w:rPr>
        <w:t xml:space="preserve">proved influential upon </w:t>
      </w:r>
      <w:r w:rsidR="00270184" w:rsidRPr="009D20C6">
        <w:rPr>
          <w:rStyle w:val="apple-style-span"/>
          <w:color w:val="000000"/>
        </w:rPr>
        <w:t xml:space="preserve">Polish director Jerzy </w:t>
      </w:r>
      <w:proofErr w:type="spellStart"/>
      <w:r w:rsidR="00270184" w:rsidRPr="009D20C6">
        <w:rPr>
          <w:rStyle w:val="apple-style-span"/>
          <w:color w:val="000000"/>
        </w:rPr>
        <w:t>Grotowski</w:t>
      </w:r>
      <w:proofErr w:type="spellEnd"/>
      <w:r w:rsidR="00270184" w:rsidRPr="009D20C6">
        <w:rPr>
          <w:rStyle w:val="apple-style-span"/>
          <w:color w:val="000000"/>
        </w:rPr>
        <w:t>, who</w:t>
      </w:r>
      <w:r w:rsidR="00E77DD1" w:rsidRPr="009D20C6">
        <w:rPr>
          <w:rStyle w:val="apple-style-span"/>
          <w:color w:val="000000"/>
        </w:rPr>
        <w:t>s</w:t>
      </w:r>
      <w:r w:rsidR="00CB0459" w:rsidRPr="009D20C6">
        <w:rPr>
          <w:rStyle w:val="apple-style-span"/>
          <w:color w:val="000000"/>
        </w:rPr>
        <w:t>e</w:t>
      </w:r>
      <w:r w:rsidR="00E77DD1" w:rsidRPr="009D20C6">
        <w:rPr>
          <w:rStyle w:val="apple-style-span"/>
          <w:color w:val="000000"/>
        </w:rPr>
        <w:t xml:space="preserve"> Poor Theatre </w:t>
      </w:r>
      <w:r w:rsidR="00A85B26" w:rsidRPr="009D20C6">
        <w:rPr>
          <w:rStyle w:val="apple-style-span"/>
          <w:color w:val="000000"/>
        </w:rPr>
        <w:t>‘minimiz</w:t>
      </w:r>
      <w:r w:rsidR="003125EF" w:rsidRPr="009D20C6">
        <w:rPr>
          <w:rStyle w:val="apple-style-span"/>
          <w:color w:val="000000"/>
        </w:rPr>
        <w:t>ed reliance on autonomous co</w:t>
      </w:r>
      <w:r w:rsidR="00A60028" w:rsidRPr="009D20C6">
        <w:rPr>
          <w:rStyle w:val="apple-style-span"/>
          <w:color w:val="000000"/>
        </w:rPr>
        <w:t>s</w:t>
      </w:r>
      <w:r w:rsidR="003125EF" w:rsidRPr="009D20C6">
        <w:rPr>
          <w:rStyle w:val="apple-style-span"/>
          <w:color w:val="000000"/>
        </w:rPr>
        <w:t xml:space="preserve">tume, make-up, scenery and lighting’ </w:t>
      </w:r>
      <w:r w:rsidR="00CB0459" w:rsidRPr="009D20C6">
        <w:rPr>
          <w:rStyle w:val="apple-style-span"/>
          <w:color w:val="000000"/>
        </w:rPr>
        <w:t>giving prominence to the movement of the actor</w:t>
      </w:r>
      <w:r w:rsidR="00444A06">
        <w:rPr>
          <w:rStyle w:val="apple-style-span"/>
          <w:color w:val="000000"/>
        </w:rPr>
        <w:t>.</w:t>
      </w:r>
      <w:r w:rsidR="004B4B22">
        <w:rPr>
          <w:rStyle w:val="EndnoteReference"/>
          <w:color w:val="000000"/>
        </w:rPr>
        <w:endnoteReference w:id="23"/>
      </w:r>
      <w:r w:rsidR="00CB0459" w:rsidRPr="009D20C6">
        <w:rPr>
          <w:rStyle w:val="apple-style-span"/>
          <w:color w:val="000000"/>
        </w:rPr>
        <w:t xml:space="preserve"> </w:t>
      </w:r>
      <w:proofErr w:type="spellStart"/>
      <w:r w:rsidR="00EC6C6B" w:rsidRPr="009D20C6">
        <w:rPr>
          <w:rStyle w:val="apple-style-span"/>
          <w:color w:val="000000"/>
        </w:rPr>
        <w:t>Grotowski</w:t>
      </w:r>
      <w:proofErr w:type="spellEnd"/>
      <w:r w:rsidR="00CB0459" w:rsidRPr="009D20C6">
        <w:rPr>
          <w:rStyle w:val="apple-style-span"/>
          <w:color w:val="000000"/>
        </w:rPr>
        <w:t xml:space="preserve"> </w:t>
      </w:r>
      <w:r w:rsidR="00893ABA" w:rsidRPr="009D20C6">
        <w:rPr>
          <w:rStyle w:val="apple-style-span"/>
          <w:color w:val="000000"/>
        </w:rPr>
        <w:t>is just one of a number of directors who have utili</w:t>
      </w:r>
      <w:r w:rsidR="00A85B26" w:rsidRPr="009D20C6">
        <w:rPr>
          <w:rStyle w:val="apple-style-span"/>
          <w:color w:val="000000"/>
        </w:rPr>
        <w:t>z</w:t>
      </w:r>
      <w:r w:rsidR="00893ABA" w:rsidRPr="009D20C6">
        <w:rPr>
          <w:rStyle w:val="apple-style-span"/>
          <w:color w:val="000000"/>
        </w:rPr>
        <w:t xml:space="preserve">ed walking in their performance work, </w:t>
      </w:r>
      <w:r w:rsidR="00270184" w:rsidRPr="009D20C6">
        <w:rPr>
          <w:rStyle w:val="apple-style-span"/>
          <w:color w:val="000000"/>
        </w:rPr>
        <w:t>leading</w:t>
      </w:r>
      <w:r w:rsidR="00893ABA" w:rsidRPr="009D20C6">
        <w:rPr>
          <w:rStyle w:val="apple-style-span"/>
          <w:color w:val="000000"/>
        </w:rPr>
        <w:t xml:space="preserve"> to a scattering of walking-related exercises in western theatre</w:t>
      </w:r>
      <w:r w:rsidR="00575A07" w:rsidRPr="009D20C6">
        <w:rPr>
          <w:rStyle w:val="apple-style-span"/>
          <w:color w:val="000000"/>
        </w:rPr>
        <w:t>, ranging from the anecdotal to the instructional</w:t>
      </w:r>
      <w:r w:rsidR="00893ABA" w:rsidRPr="009D20C6">
        <w:rPr>
          <w:rStyle w:val="apple-style-span"/>
          <w:color w:val="000000"/>
        </w:rPr>
        <w:t xml:space="preserve">. </w:t>
      </w:r>
    </w:p>
    <w:p w14:paraId="656D9AA3" w14:textId="77777777" w:rsidR="00270184" w:rsidRPr="009D20C6" w:rsidRDefault="00BA2640" w:rsidP="00986C7E">
      <w:pPr>
        <w:pStyle w:val="Heading2"/>
      </w:pPr>
      <w:r w:rsidRPr="009D20C6">
        <w:t>Ambulatory Possibilities</w:t>
      </w:r>
    </w:p>
    <w:p w14:paraId="38D2480A" w14:textId="77777777" w:rsidR="00575A07" w:rsidRPr="009D20C6" w:rsidRDefault="00D728AD" w:rsidP="00A930CB">
      <w:pPr>
        <w:spacing w:before="240"/>
      </w:pPr>
      <w:r w:rsidRPr="009D20C6">
        <w:t xml:space="preserve">From </w:t>
      </w:r>
      <w:r w:rsidR="00E45FAA" w:rsidRPr="009D20C6">
        <w:t xml:space="preserve">his </w:t>
      </w:r>
      <w:r w:rsidRPr="009D20C6">
        <w:t xml:space="preserve">earlier </w:t>
      </w:r>
      <w:r w:rsidR="00E45FAA" w:rsidRPr="009D20C6">
        <w:t xml:space="preserve">work with </w:t>
      </w:r>
      <w:r w:rsidRPr="009D20C6">
        <w:t>Theatre Laboratory to his later para-theatrical treks,</w:t>
      </w:r>
      <w:r w:rsidR="00893511" w:rsidRPr="009D20C6">
        <w:t xml:space="preserve"> </w:t>
      </w:r>
      <w:r w:rsidR="00535540">
        <w:t xml:space="preserve">Jerzy </w:t>
      </w:r>
      <w:proofErr w:type="spellStart"/>
      <w:r w:rsidR="00893511" w:rsidRPr="009D20C6">
        <w:t>Grotowski</w:t>
      </w:r>
      <w:proofErr w:type="spellEnd"/>
      <w:r w:rsidR="00893511" w:rsidRPr="009D20C6">
        <w:t xml:space="preserve"> </w:t>
      </w:r>
      <w:r w:rsidR="00D560F6" w:rsidRPr="009D20C6">
        <w:t>has become a</w:t>
      </w:r>
      <w:r w:rsidR="00086891" w:rsidRPr="009D20C6">
        <w:t xml:space="preserve"> key figure in the pro</w:t>
      </w:r>
      <w:r w:rsidR="00DA3778">
        <w:t>minence of walking in twentieth-</w:t>
      </w:r>
      <w:r w:rsidR="00086891" w:rsidRPr="009D20C6">
        <w:t xml:space="preserve">century performer training. In a list of physical exercises suggested in his </w:t>
      </w:r>
      <w:r w:rsidR="00086891" w:rsidRPr="009D20C6">
        <w:rPr>
          <w:i/>
        </w:rPr>
        <w:t xml:space="preserve">Towards a Poor Theatre </w:t>
      </w:r>
      <w:r w:rsidR="00086891" w:rsidRPr="009D20C6">
        <w:t>(1969), walking</w:t>
      </w:r>
      <w:r w:rsidR="00893511" w:rsidRPr="009D20C6">
        <w:t xml:space="preserve"> illustrate</w:t>
      </w:r>
      <w:r w:rsidR="00086891" w:rsidRPr="009D20C6">
        <w:t>s</w:t>
      </w:r>
      <w:r w:rsidR="00893511" w:rsidRPr="009D20C6">
        <w:t xml:space="preserve"> </w:t>
      </w:r>
      <w:proofErr w:type="spellStart"/>
      <w:r w:rsidR="00893511" w:rsidRPr="009D20C6">
        <w:rPr>
          <w:i/>
        </w:rPr>
        <w:t>organicity</w:t>
      </w:r>
      <w:proofErr w:type="spellEnd"/>
      <w:r w:rsidR="00893511" w:rsidRPr="009D20C6">
        <w:rPr>
          <w:i/>
        </w:rPr>
        <w:t xml:space="preserve">, </w:t>
      </w:r>
      <w:r w:rsidR="00086891" w:rsidRPr="009D20C6">
        <w:t>allowing the actor to function</w:t>
      </w:r>
      <w:r w:rsidR="00893511" w:rsidRPr="009D20C6">
        <w:t xml:space="preserve"> </w:t>
      </w:r>
      <w:r w:rsidR="00086891" w:rsidRPr="009D20C6">
        <w:t xml:space="preserve">without </w:t>
      </w:r>
      <w:r w:rsidR="00893511" w:rsidRPr="009D20C6">
        <w:t xml:space="preserve">distractions. </w:t>
      </w:r>
      <w:proofErr w:type="spellStart"/>
      <w:r w:rsidR="000E7FE1">
        <w:t>Grotowski’s</w:t>
      </w:r>
      <w:proofErr w:type="spellEnd"/>
      <w:r w:rsidR="00575A07" w:rsidRPr="009D20C6">
        <w:t xml:space="preserve"> ‘plastic exercises’</w:t>
      </w:r>
      <w:r w:rsidR="00086891" w:rsidRPr="009D20C6">
        <w:t>, draw from ‘ancient and medieval theatre in Europe as well as African and oriental theatre’</w:t>
      </w:r>
      <w:r w:rsidR="004E53B5">
        <w:rPr>
          <w:rStyle w:val="EndnoteReference"/>
        </w:rPr>
        <w:endnoteReference w:id="24"/>
      </w:r>
      <w:r w:rsidR="00086891" w:rsidRPr="009D20C6">
        <w:t xml:space="preserve"> and</w:t>
      </w:r>
      <w:r w:rsidR="00575A07" w:rsidRPr="009D20C6">
        <w:t xml:space="preserve"> advocate the importance of studying different types of gait as a means to unmask </w:t>
      </w:r>
      <w:r w:rsidR="004E53B5">
        <w:t>‘</w:t>
      </w:r>
      <w:r w:rsidR="00575A07" w:rsidRPr="009D20C6">
        <w:t>those characteristics that one wis</w:t>
      </w:r>
      <w:r w:rsidR="00B81990" w:rsidRPr="009D20C6">
        <w:t>hes to hide from others</w:t>
      </w:r>
      <w:r w:rsidR="004E53B5">
        <w:t>’</w:t>
      </w:r>
      <w:r w:rsidR="00444A06">
        <w:t>.</w:t>
      </w:r>
      <w:r w:rsidR="004E53B5">
        <w:rPr>
          <w:rStyle w:val="EndnoteReference"/>
        </w:rPr>
        <w:endnoteReference w:id="25"/>
      </w:r>
      <w:r w:rsidR="00575A07" w:rsidRPr="009D20C6">
        <w:t xml:space="preserve"> </w:t>
      </w:r>
      <w:r w:rsidR="00086891" w:rsidRPr="009D20C6">
        <w:t>This</w:t>
      </w:r>
      <w:r w:rsidR="00575A07" w:rsidRPr="009D20C6">
        <w:t xml:space="preserve"> idea of ‘unmasking’ has resonances with French ac</w:t>
      </w:r>
      <w:r w:rsidR="006F4C0D" w:rsidRPr="009D20C6">
        <w:t xml:space="preserve">ting instructor Jacques </w:t>
      </w:r>
      <w:proofErr w:type="spellStart"/>
      <w:r w:rsidR="006F4C0D" w:rsidRPr="009D20C6">
        <w:t>Lecoq</w:t>
      </w:r>
      <w:proofErr w:type="spellEnd"/>
      <w:r w:rsidR="006F4C0D" w:rsidRPr="009D20C6">
        <w:t xml:space="preserve"> and</w:t>
      </w:r>
      <w:r w:rsidR="00575A07" w:rsidRPr="009D20C6">
        <w:t xml:space="preserve"> the development of </w:t>
      </w:r>
      <w:r w:rsidR="00086891" w:rsidRPr="009D20C6">
        <w:t xml:space="preserve">his </w:t>
      </w:r>
      <w:r w:rsidR="00575A07" w:rsidRPr="009D20C6">
        <w:t>clown w</w:t>
      </w:r>
      <w:r w:rsidR="00A85B26" w:rsidRPr="009D20C6">
        <w:t>alks, which sought to externaliz</w:t>
      </w:r>
      <w:r w:rsidR="00575A07" w:rsidRPr="009D20C6">
        <w:t xml:space="preserve">e the personal way of walking </w:t>
      </w:r>
      <w:r w:rsidR="004C36A9">
        <w:t>‘</w:t>
      </w:r>
      <w:r w:rsidR="00575A07" w:rsidRPr="009D20C6">
        <w:t>buried deep within</w:t>
      </w:r>
      <w:r w:rsidR="004C36A9">
        <w:t>’</w:t>
      </w:r>
      <w:r w:rsidR="00575A07" w:rsidRPr="009D20C6">
        <w:t xml:space="preserve"> the performer</w:t>
      </w:r>
      <w:r w:rsidR="00444A06">
        <w:t>.</w:t>
      </w:r>
      <w:r w:rsidR="00FB0784">
        <w:rPr>
          <w:rStyle w:val="EndnoteReference"/>
        </w:rPr>
        <w:endnoteReference w:id="26"/>
      </w:r>
    </w:p>
    <w:p w14:paraId="762285E4" w14:textId="77777777" w:rsidR="00A85490" w:rsidRDefault="00A85490" w:rsidP="00986C7E"/>
    <w:p w14:paraId="25776900" w14:textId="77777777" w:rsidR="00020939" w:rsidRPr="009D20C6" w:rsidRDefault="00020939" w:rsidP="00986C7E"/>
    <w:p w14:paraId="7103F180" w14:textId="77777777" w:rsidR="00575A07" w:rsidRPr="00C62510" w:rsidRDefault="00575A07" w:rsidP="00C62510">
      <w:pPr>
        <w:pStyle w:val="Quote"/>
      </w:pPr>
      <w:r w:rsidRPr="00C62510">
        <w:t xml:space="preserve">This </w:t>
      </w:r>
      <w:r w:rsidR="00A62B6C" w:rsidRPr="00C62510">
        <w:t>“</w:t>
      </w:r>
      <w:r w:rsidRPr="00C62510">
        <w:t>person who walks correctly</w:t>
      </w:r>
      <w:r w:rsidR="00A62B6C" w:rsidRPr="00C62510">
        <w:t>”</w:t>
      </w:r>
      <w:r w:rsidRPr="00C62510">
        <w:t xml:space="preserve"> is an idea that we carry within us, the idea of a perfect gait, one that is economical and neutral. In other words it does not exist in reality and each one of us walks with different </w:t>
      </w:r>
      <w:r w:rsidR="00DC5F6F">
        <w:t>“</w:t>
      </w:r>
      <w:r w:rsidRPr="00C62510">
        <w:t>faults</w:t>
      </w:r>
      <w:r w:rsidR="00DC5F6F">
        <w:t>”</w:t>
      </w:r>
      <w:r w:rsidRPr="00C62510">
        <w:t xml:space="preserve"> which go to make us an individual, different from all others</w:t>
      </w:r>
      <w:r w:rsidR="00444A06">
        <w:t>.</w:t>
      </w:r>
      <w:r w:rsidR="0051158C" w:rsidRPr="00C62510">
        <w:rPr>
          <w:rStyle w:val="EndnoteReference"/>
        </w:rPr>
        <w:endnoteReference w:id="27"/>
      </w:r>
    </w:p>
    <w:p w14:paraId="3F54A6CC" w14:textId="77777777" w:rsidR="00A85490" w:rsidRDefault="00A85490" w:rsidP="00986C7E"/>
    <w:p w14:paraId="2D8FBE25" w14:textId="77777777" w:rsidR="009A7C90" w:rsidRPr="009D20C6" w:rsidRDefault="009A7C90" w:rsidP="00986C7E"/>
    <w:p w14:paraId="7E7E69B4" w14:textId="77777777" w:rsidR="00A930CB" w:rsidRDefault="00575A07" w:rsidP="00986C7E">
      <w:proofErr w:type="spellStart"/>
      <w:r w:rsidRPr="009D20C6">
        <w:t>Lecoq</w:t>
      </w:r>
      <w:proofErr w:type="spellEnd"/>
      <w:r w:rsidRPr="009D20C6">
        <w:t xml:space="preserve">, like </w:t>
      </w:r>
      <w:proofErr w:type="spellStart"/>
      <w:r w:rsidRPr="009D20C6">
        <w:t>Grotowski</w:t>
      </w:r>
      <w:proofErr w:type="spellEnd"/>
      <w:r w:rsidRPr="009D20C6">
        <w:t>, highlights the</w:t>
      </w:r>
      <w:r w:rsidR="00444A06">
        <w:t xml:space="preserve"> infeasibility of perfecting a “neutral” walk</w:t>
      </w:r>
      <w:r w:rsidRPr="009D20C6">
        <w:t xml:space="preserve">, instead choosing to explore the different characteristics of walking and what they denote. Such characteristics, beginning </w:t>
      </w:r>
      <w:r w:rsidRPr="009D20C6">
        <w:lastRenderedPageBreak/>
        <w:t xml:space="preserve">with the feet, allow for an excavation of these </w:t>
      </w:r>
      <w:r w:rsidR="00867FC0">
        <w:t>“</w:t>
      </w:r>
      <w:r w:rsidRPr="009D20C6">
        <w:t>buried</w:t>
      </w:r>
      <w:r w:rsidR="00867FC0">
        <w:t>”</w:t>
      </w:r>
      <w:r w:rsidRPr="009D20C6">
        <w:t xml:space="preserve"> ways of walking, which itself takes the form of a journey</w:t>
      </w:r>
      <w:r w:rsidR="00A85B26" w:rsidRPr="009D20C6">
        <w:t xml:space="preserve"> for the performer to internaliz</w:t>
      </w:r>
      <w:r w:rsidRPr="009D20C6">
        <w:t xml:space="preserve">e. Such an idea was extended by </w:t>
      </w:r>
      <w:proofErr w:type="spellStart"/>
      <w:r w:rsidRPr="009D20C6">
        <w:t>Grotowski</w:t>
      </w:r>
      <w:proofErr w:type="spellEnd"/>
      <w:r w:rsidRPr="009D20C6">
        <w:t xml:space="preserve"> through an exercise that asked his actors to imaginatively traverse different types of terrain, ‘walking on different types of ground, surface, matter’</w:t>
      </w:r>
      <w:r w:rsidR="00867FC0">
        <w:t>.</w:t>
      </w:r>
      <w:r w:rsidR="001F3253">
        <w:rPr>
          <w:rStyle w:val="EndnoteReference"/>
        </w:rPr>
        <w:endnoteReference w:id="28"/>
      </w:r>
      <w:r w:rsidRPr="009D20C6">
        <w:t xml:space="preserve"> This particular exercise was favoured later by improvisation theatre teacher Viola </w:t>
      </w:r>
      <w:proofErr w:type="spellStart"/>
      <w:r w:rsidRPr="009D20C6">
        <w:t>Spolin</w:t>
      </w:r>
      <w:proofErr w:type="spellEnd"/>
      <w:r w:rsidRPr="009D20C6">
        <w:t xml:space="preserve">, who termed it </w:t>
      </w:r>
      <w:r w:rsidRPr="009D20C6">
        <w:rPr>
          <w:i/>
        </w:rPr>
        <w:t xml:space="preserve">space substance, </w:t>
      </w:r>
      <w:r w:rsidRPr="009D20C6">
        <w:t>acting as a means to develop imagination and concentration</w:t>
      </w:r>
      <w:r w:rsidR="00867FC0">
        <w:t>.</w:t>
      </w:r>
      <w:r w:rsidR="00387FC0" w:rsidRPr="009D20C6">
        <w:rPr>
          <w:rStyle w:val="EndnoteReference"/>
        </w:rPr>
        <w:endnoteReference w:id="29"/>
      </w:r>
      <w:r w:rsidRPr="009D20C6">
        <w:t xml:space="preserve"> </w:t>
      </w:r>
      <w:r w:rsidR="009E2AE5">
        <w:t xml:space="preserve">It chimes with Martin </w:t>
      </w:r>
      <w:proofErr w:type="spellStart"/>
      <w:r w:rsidR="009E2AE5">
        <w:t>Welton’s</w:t>
      </w:r>
      <w:proofErr w:type="spellEnd"/>
      <w:r w:rsidR="009E2AE5">
        <w:t xml:space="preserve"> assertion that </w:t>
      </w:r>
      <w:r w:rsidR="00AD4B31">
        <w:t>just ‘</w:t>
      </w:r>
      <w:r w:rsidR="00AD4B31" w:rsidRPr="00AD4B31">
        <w:t xml:space="preserve">as walls </w:t>
      </w:r>
      <w:r w:rsidR="00AD4B31">
        <w:t>“</w:t>
      </w:r>
      <w:r w:rsidR="00AD4B31" w:rsidRPr="00AD4B31">
        <w:t>appear</w:t>
      </w:r>
      <w:r w:rsidR="00AD4B31">
        <w:t>”</w:t>
      </w:r>
      <w:r w:rsidR="00AD4B31" w:rsidRPr="00AD4B31">
        <w:t xml:space="preserve"> against the fixed-point of a mime-artist’s hands, the embodiment of resistance in the feet enacts a path-like space upon or above even an empty stage</w:t>
      </w:r>
      <w:r w:rsidR="00AD4B31">
        <w:t>’</w:t>
      </w:r>
      <w:r w:rsidR="00867FC0">
        <w:t>.</w:t>
      </w:r>
      <w:r w:rsidR="009E2AE5">
        <w:rPr>
          <w:rStyle w:val="EndnoteReference"/>
        </w:rPr>
        <w:endnoteReference w:id="30"/>
      </w:r>
      <w:r w:rsidR="009E2AE5" w:rsidRPr="009E2AE5">
        <w:t xml:space="preserve"> </w:t>
      </w:r>
      <w:r w:rsidRPr="009D20C6">
        <w:t xml:space="preserve">It allows the individual ways of walking found within a company of actors, to share common ground, as they are all reacting to and simultaneously sculpting a shared </w:t>
      </w:r>
      <w:r w:rsidR="00AD4B31">
        <w:t>“path”</w:t>
      </w:r>
      <w:r w:rsidRPr="009D20C6">
        <w:t xml:space="preserve">. </w:t>
      </w:r>
    </w:p>
    <w:p w14:paraId="52AA1D8B" w14:textId="77777777" w:rsidR="00A930CB" w:rsidRDefault="00575A07" w:rsidP="00A930CB">
      <w:pPr>
        <w:spacing w:before="240"/>
        <w:rPr>
          <w:rStyle w:val="apple-style-span"/>
          <w:color w:val="000000"/>
        </w:rPr>
      </w:pPr>
      <w:r w:rsidRPr="009D20C6">
        <w:rPr>
          <w:rStyle w:val="apple-style-span"/>
          <w:color w:val="000000"/>
        </w:rPr>
        <w:t xml:space="preserve">In addition to collectively imagining different terrains to walk across, some directors have chosen to experiment with the rhythmicity of walking through music. In the case of </w:t>
      </w:r>
      <w:r w:rsidR="009E2AE5" w:rsidRPr="009D20C6">
        <w:rPr>
          <w:rStyle w:val="apple-style-span"/>
          <w:color w:val="000000"/>
        </w:rPr>
        <w:t xml:space="preserve">avant-garde director and performer </w:t>
      </w:r>
      <w:r w:rsidRPr="009D20C6">
        <w:rPr>
          <w:rStyle w:val="apple-style-span"/>
          <w:color w:val="000000"/>
        </w:rPr>
        <w:t xml:space="preserve">Robert Wilson, </w:t>
      </w:r>
      <w:r w:rsidR="009E2AE5">
        <w:rPr>
          <w:rStyle w:val="apple-style-span"/>
          <w:color w:val="000000"/>
        </w:rPr>
        <w:t>t</w:t>
      </w:r>
      <w:r w:rsidRPr="009D20C6">
        <w:rPr>
          <w:rStyle w:val="apple-style-span"/>
          <w:color w:val="000000"/>
        </w:rPr>
        <w:t xml:space="preserve">hese have resulted in a number of works that incorporate a significant amount of slow walking, what Maria </w:t>
      </w:r>
      <w:proofErr w:type="spellStart"/>
      <w:r w:rsidRPr="009D20C6">
        <w:rPr>
          <w:rStyle w:val="apple-style-span"/>
          <w:color w:val="000000"/>
        </w:rPr>
        <w:t>Shevtsova</w:t>
      </w:r>
      <w:proofErr w:type="spellEnd"/>
      <w:r w:rsidRPr="009D20C6">
        <w:rPr>
          <w:rStyle w:val="apple-style-span"/>
          <w:color w:val="000000"/>
        </w:rPr>
        <w:t xml:space="preserve"> refers to as the ‘basic Wilson walk’</w:t>
      </w:r>
      <w:r w:rsidR="00867FC0">
        <w:rPr>
          <w:rStyle w:val="apple-style-span"/>
          <w:color w:val="000000"/>
        </w:rPr>
        <w:t>.</w:t>
      </w:r>
      <w:r w:rsidR="00BD7328">
        <w:rPr>
          <w:rStyle w:val="EndnoteReference"/>
          <w:color w:val="000000"/>
        </w:rPr>
        <w:endnoteReference w:id="31"/>
      </w:r>
      <w:r w:rsidRPr="009D20C6">
        <w:rPr>
          <w:rStyle w:val="apple-style-span"/>
          <w:color w:val="000000"/>
        </w:rPr>
        <w:t xml:space="preserve"> Despite Wilson not ha</w:t>
      </w:r>
      <w:r w:rsidR="00064A37" w:rsidRPr="009D20C6">
        <w:rPr>
          <w:rStyle w:val="apple-style-span"/>
          <w:color w:val="000000"/>
        </w:rPr>
        <w:t>ving a ‘training system’</w:t>
      </w:r>
      <w:r w:rsidRPr="009D20C6">
        <w:rPr>
          <w:rStyle w:val="apple-style-span"/>
          <w:color w:val="000000"/>
        </w:rPr>
        <w:t xml:space="preserve">, </w:t>
      </w:r>
      <w:r w:rsidR="00064A37" w:rsidRPr="009D20C6">
        <w:rPr>
          <w:rStyle w:val="apple-style-span"/>
          <w:color w:val="000000"/>
        </w:rPr>
        <w:t xml:space="preserve">in </w:t>
      </w:r>
      <w:r w:rsidR="00AD0D74">
        <w:rPr>
          <w:rStyle w:val="apple-style-span"/>
          <w:i/>
          <w:color w:val="000000"/>
        </w:rPr>
        <w:t>Robert Wilson</w:t>
      </w:r>
      <w:r w:rsidR="004E5B7E">
        <w:rPr>
          <w:rStyle w:val="apple-style-span"/>
          <w:i/>
          <w:color w:val="000000"/>
        </w:rPr>
        <w:t xml:space="preserve"> </w:t>
      </w:r>
      <w:r w:rsidR="004E5B7E">
        <w:rPr>
          <w:rStyle w:val="apple-style-span"/>
          <w:color w:val="000000"/>
        </w:rPr>
        <w:t>(2007)</w:t>
      </w:r>
      <w:r w:rsidR="00064A37" w:rsidRPr="009D20C6">
        <w:rPr>
          <w:rStyle w:val="apple-style-span"/>
          <w:color w:val="000000"/>
        </w:rPr>
        <w:t xml:space="preserve"> </w:t>
      </w:r>
      <w:proofErr w:type="spellStart"/>
      <w:r w:rsidRPr="009D20C6">
        <w:rPr>
          <w:rStyle w:val="apple-style-span"/>
          <w:color w:val="000000"/>
        </w:rPr>
        <w:t>Shevtsova</w:t>
      </w:r>
      <w:proofErr w:type="spellEnd"/>
      <w:r w:rsidRPr="009D20C6">
        <w:rPr>
          <w:rStyle w:val="apple-style-span"/>
          <w:color w:val="000000"/>
        </w:rPr>
        <w:t xml:space="preserve"> assembles a series of </w:t>
      </w:r>
      <w:r w:rsidR="00D65411" w:rsidRPr="009D20C6">
        <w:rPr>
          <w:rStyle w:val="apple-style-span"/>
          <w:color w:val="000000"/>
        </w:rPr>
        <w:t xml:space="preserve">movement </w:t>
      </w:r>
      <w:r w:rsidRPr="009D20C6">
        <w:rPr>
          <w:rStyle w:val="apple-style-span"/>
          <w:color w:val="000000"/>
        </w:rPr>
        <w:t>exercises that resonate with the former’s method of direction</w:t>
      </w:r>
      <w:r w:rsidR="00867FC0">
        <w:rPr>
          <w:rStyle w:val="apple-style-span"/>
          <w:color w:val="000000"/>
        </w:rPr>
        <w:t>.</w:t>
      </w:r>
      <w:r w:rsidR="00BD7328">
        <w:rPr>
          <w:rStyle w:val="EndnoteReference"/>
          <w:color w:val="000000"/>
        </w:rPr>
        <w:endnoteReference w:id="32"/>
      </w:r>
      <w:r w:rsidRPr="009D20C6">
        <w:rPr>
          <w:rStyle w:val="apple-style-span"/>
          <w:color w:val="000000"/>
        </w:rPr>
        <w:t xml:space="preserve"> The level of detail presented in these exercises suggests not only the significance of walking in Wilson’s work, but </w:t>
      </w:r>
      <w:r w:rsidR="005E106B">
        <w:rPr>
          <w:rStyle w:val="apple-style-span"/>
          <w:color w:val="000000"/>
        </w:rPr>
        <w:t>a</w:t>
      </w:r>
      <w:r w:rsidRPr="009D20C6">
        <w:rPr>
          <w:rStyle w:val="apple-style-span"/>
          <w:color w:val="000000"/>
        </w:rPr>
        <w:t xml:space="preserve"> </w:t>
      </w:r>
      <w:r w:rsidR="009E2AE5">
        <w:rPr>
          <w:rStyle w:val="apple-style-span"/>
          <w:color w:val="000000"/>
        </w:rPr>
        <w:t xml:space="preserve">need to document the </w:t>
      </w:r>
      <w:r w:rsidR="0080163D">
        <w:rPr>
          <w:rStyle w:val="apple-style-span"/>
          <w:color w:val="000000"/>
        </w:rPr>
        <w:t>significance</w:t>
      </w:r>
      <w:r w:rsidR="009E2AE5">
        <w:rPr>
          <w:rStyle w:val="apple-style-span"/>
          <w:color w:val="000000"/>
        </w:rPr>
        <w:t xml:space="preserve"> of </w:t>
      </w:r>
      <w:r w:rsidRPr="009D20C6">
        <w:rPr>
          <w:rStyle w:val="apple-style-span"/>
          <w:color w:val="000000"/>
        </w:rPr>
        <w:t>walking in western actor training</w:t>
      </w:r>
      <w:r w:rsidR="00867FC0">
        <w:rPr>
          <w:rStyle w:val="apple-style-span"/>
          <w:color w:val="000000"/>
        </w:rPr>
        <w:t>.</w:t>
      </w:r>
      <w:r w:rsidR="00387FC0" w:rsidRPr="009D20C6">
        <w:rPr>
          <w:rStyle w:val="EndnoteReference"/>
          <w:color w:val="000000"/>
        </w:rPr>
        <w:endnoteReference w:id="33"/>
      </w:r>
      <w:r w:rsidRPr="009D20C6">
        <w:rPr>
          <w:rStyle w:val="apple-style-span"/>
          <w:color w:val="000000"/>
        </w:rPr>
        <w:t xml:space="preserve"> </w:t>
      </w:r>
    </w:p>
    <w:p w14:paraId="633C40C6" w14:textId="77777777" w:rsidR="00575A07" w:rsidRDefault="00575A07" w:rsidP="00A930CB">
      <w:pPr>
        <w:spacing w:before="240"/>
        <w:rPr>
          <w:rStyle w:val="apple-style-span"/>
          <w:color w:val="000000"/>
        </w:rPr>
      </w:pPr>
      <w:r w:rsidRPr="009D20C6">
        <w:rPr>
          <w:rStyle w:val="apple-style-span"/>
          <w:color w:val="000000"/>
        </w:rPr>
        <w:t xml:space="preserve">Returning briefly to </w:t>
      </w:r>
      <w:proofErr w:type="spellStart"/>
      <w:r w:rsidRPr="009D20C6">
        <w:rPr>
          <w:rStyle w:val="apple-style-span"/>
          <w:color w:val="000000"/>
        </w:rPr>
        <w:t>Grotowski</w:t>
      </w:r>
      <w:proofErr w:type="spellEnd"/>
      <w:r w:rsidRPr="009D20C6">
        <w:rPr>
          <w:rStyle w:val="apple-style-span"/>
          <w:color w:val="000000"/>
        </w:rPr>
        <w:t xml:space="preserve">, his observations concerning </w:t>
      </w:r>
      <w:r w:rsidR="00971E5B">
        <w:rPr>
          <w:rStyle w:val="apple-style-span"/>
          <w:color w:val="000000"/>
        </w:rPr>
        <w:t>“</w:t>
      </w:r>
      <w:proofErr w:type="spellStart"/>
      <w:r w:rsidRPr="00971E5B">
        <w:rPr>
          <w:rStyle w:val="apple-style-span"/>
          <w:color w:val="000000"/>
        </w:rPr>
        <w:t>organicity</w:t>
      </w:r>
      <w:proofErr w:type="spellEnd"/>
      <w:r w:rsidR="00971E5B">
        <w:rPr>
          <w:rStyle w:val="apple-style-span"/>
          <w:color w:val="000000"/>
        </w:rPr>
        <w:t>”</w:t>
      </w:r>
      <w:r w:rsidRPr="009D20C6">
        <w:rPr>
          <w:rStyle w:val="apple-style-span"/>
          <w:color w:val="000000"/>
        </w:rPr>
        <w:t xml:space="preserve"> with regard</w:t>
      </w:r>
      <w:r w:rsidR="001B11DA" w:rsidRPr="009D20C6">
        <w:rPr>
          <w:rStyle w:val="apple-style-span"/>
          <w:color w:val="000000"/>
        </w:rPr>
        <w:t>s to walking</w:t>
      </w:r>
      <w:r w:rsidR="00C521C0">
        <w:rPr>
          <w:rStyle w:val="EndnoteReference"/>
          <w:color w:val="000000"/>
        </w:rPr>
        <w:endnoteReference w:id="34"/>
      </w:r>
      <w:r w:rsidR="001B11DA" w:rsidRPr="009D20C6">
        <w:rPr>
          <w:rStyle w:val="apple-style-span"/>
          <w:color w:val="000000"/>
        </w:rPr>
        <w:t xml:space="preserve"> </w:t>
      </w:r>
      <w:r w:rsidRPr="009D20C6">
        <w:rPr>
          <w:rStyle w:val="apple-style-span"/>
          <w:color w:val="000000"/>
        </w:rPr>
        <w:t xml:space="preserve">highlight the difficulties in ascertaining its presence in performance as an </w:t>
      </w:r>
      <w:r w:rsidRPr="009D20C6">
        <w:rPr>
          <w:rStyle w:val="apple-style-span"/>
          <w:i/>
          <w:color w:val="000000"/>
        </w:rPr>
        <w:t>action</w:t>
      </w:r>
      <w:r w:rsidRPr="009D20C6">
        <w:rPr>
          <w:rStyle w:val="apple-style-span"/>
          <w:color w:val="000000"/>
        </w:rPr>
        <w:t xml:space="preserve"> or a </w:t>
      </w:r>
      <w:r w:rsidRPr="009D20C6">
        <w:rPr>
          <w:rStyle w:val="apple-style-span"/>
          <w:i/>
          <w:color w:val="000000"/>
        </w:rPr>
        <w:t xml:space="preserve">movement. </w:t>
      </w:r>
      <w:r w:rsidRPr="009D20C6">
        <w:rPr>
          <w:rStyle w:val="apple-style-span"/>
          <w:color w:val="000000"/>
        </w:rPr>
        <w:t xml:space="preserve">Its familiar existence as an everyday practice </w:t>
      </w:r>
      <w:r w:rsidR="002D4E1F">
        <w:rPr>
          <w:rStyle w:val="apple-style-span"/>
          <w:color w:val="000000"/>
        </w:rPr>
        <w:t xml:space="preserve">in contrast to the ritualistic </w:t>
      </w:r>
      <w:r w:rsidRPr="009D20C6">
        <w:rPr>
          <w:rStyle w:val="apple-style-span"/>
          <w:color w:val="000000"/>
        </w:rPr>
        <w:t>extra-daily practices in which performance resides, have in part contributed to such uncertainty</w:t>
      </w:r>
      <w:r w:rsidR="002D4E1F">
        <w:rPr>
          <w:rStyle w:val="EndnoteReference"/>
          <w:color w:val="000000"/>
        </w:rPr>
        <w:endnoteReference w:id="35"/>
      </w:r>
      <w:r w:rsidRPr="009D20C6">
        <w:rPr>
          <w:rStyle w:val="apple-style-span"/>
          <w:color w:val="000000"/>
        </w:rPr>
        <w:t xml:space="preserve">. In </w:t>
      </w:r>
      <w:r w:rsidR="00FE5846">
        <w:rPr>
          <w:rStyle w:val="apple-style-span"/>
          <w:color w:val="000000"/>
        </w:rPr>
        <w:t>‘</w:t>
      </w:r>
      <w:r w:rsidRPr="00FE5846">
        <w:rPr>
          <w:rStyle w:val="apple-style-span"/>
          <w:color w:val="000000"/>
        </w:rPr>
        <w:t>On Acting and Not-Acting</w:t>
      </w:r>
      <w:r w:rsidR="00FE5846">
        <w:rPr>
          <w:rStyle w:val="apple-style-span"/>
          <w:color w:val="000000"/>
        </w:rPr>
        <w:t>’</w:t>
      </w:r>
      <w:r w:rsidR="004E5B7E">
        <w:rPr>
          <w:rStyle w:val="apple-style-span"/>
          <w:color w:val="000000"/>
        </w:rPr>
        <w:t xml:space="preserve"> (2002)</w:t>
      </w:r>
      <w:r w:rsidRPr="009D20C6">
        <w:rPr>
          <w:rStyle w:val="apple-style-span"/>
          <w:color w:val="000000"/>
        </w:rPr>
        <w:t>, Mich</w:t>
      </w:r>
      <w:r w:rsidR="001B11DA" w:rsidRPr="009D20C6">
        <w:rPr>
          <w:rStyle w:val="apple-style-span"/>
          <w:color w:val="000000"/>
        </w:rPr>
        <w:t>ael Kirby suggests that anyone ‘</w:t>
      </w:r>
      <w:r w:rsidRPr="009D20C6">
        <w:rPr>
          <w:rStyle w:val="apple-style-span"/>
          <w:color w:val="000000"/>
        </w:rPr>
        <w:t>merely walking across a stage containing a realistic setting might come to represent a person in that place – and, perhaps, time – without doing anything</w:t>
      </w:r>
      <w:r w:rsidR="001B11DA" w:rsidRPr="009D20C6">
        <w:rPr>
          <w:rStyle w:val="apple-style-span"/>
          <w:color w:val="000000"/>
        </w:rPr>
        <w:t xml:space="preserve"> we could distinguish as acting’</w:t>
      </w:r>
      <w:r w:rsidR="00867FC0">
        <w:rPr>
          <w:rStyle w:val="apple-style-span"/>
          <w:color w:val="000000"/>
        </w:rPr>
        <w:t>.</w:t>
      </w:r>
      <w:r w:rsidR="008127D0">
        <w:rPr>
          <w:rStyle w:val="EndnoteReference"/>
          <w:color w:val="000000"/>
        </w:rPr>
        <w:endnoteReference w:id="36"/>
      </w:r>
      <w:r w:rsidRPr="009D20C6">
        <w:rPr>
          <w:rStyle w:val="apple-style-span"/>
          <w:color w:val="000000"/>
        </w:rPr>
        <w:t xml:space="preserve"> Such an observation is ambiguous, because on the one hand it suggests that a performer’s walk is indistinguishable from that of an audience’s, but on the other, it implies that walking is naturally </w:t>
      </w:r>
      <w:proofErr w:type="spellStart"/>
      <w:r w:rsidRPr="009D20C6">
        <w:rPr>
          <w:rStyle w:val="apple-style-span"/>
          <w:color w:val="000000"/>
        </w:rPr>
        <w:t>performative</w:t>
      </w:r>
      <w:proofErr w:type="spellEnd"/>
      <w:r w:rsidRPr="009D20C6">
        <w:rPr>
          <w:rStyle w:val="apple-style-span"/>
          <w:color w:val="000000"/>
        </w:rPr>
        <w:t>.</w:t>
      </w:r>
      <w:r w:rsidR="00E2432D" w:rsidRPr="009D20C6">
        <w:rPr>
          <w:rStyle w:val="EndnoteReference"/>
          <w:color w:val="000000"/>
        </w:rPr>
        <w:endnoteReference w:id="37"/>
      </w:r>
      <w:r w:rsidRPr="009D20C6">
        <w:rPr>
          <w:rStyle w:val="apple-style-span"/>
          <w:color w:val="000000"/>
        </w:rPr>
        <w:t xml:space="preserve"> </w:t>
      </w:r>
    </w:p>
    <w:p w14:paraId="198DDF9F" w14:textId="77777777" w:rsidR="00907ED2" w:rsidRPr="009D20C6" w:rsidRDefault="00907ED2" w:rsidP="00986C7E">
      <w:pPr>
        <w:rPr>
          <w:rStyle w:val="apple-style-span"/>
          <w:color w:val="000000"/>
        </w:rPr>
      </w:pPr>
    </w:p>
    <w:p w14:paraId="72C89B9E" w14:textId="77777777" w:rsidR="00A930CB" w:rsidRDefault="00575A07" w:rsidP="00986C7E">
      <w:pPr>
        <w:rPr>
          <w:rStyle w:val="apple-style-span"/>
          <w:color w:val="000000"/>
        </w:rPr>
      </w:pPr>
      <w:r w:rsidRPr="009D20C6">
        <w:rPr>
          <w:rStyle w:val="apple-style-span"/>
          <w:color w:val="000000"/>
        </w:rPr>
        <w:t xml:space="preserve">This latter suggestion </w:t>
      </w:r>
      <w:r w:rsidR="001B11DA" w:rsidRPr="009D20C6">
        <w:rPr>
          <w:rStyle w:val="apple-style-span"/>
          <w:color w:val="000000"/>
        </w:rPr>
        <w:t>brings</w:t>
      </w:r>
      <w:r w:rsidRPr="009D20C6">
        <w:rPr>
          <w:rStyle w:val="apple-style-span"/>
          <w:color w:val="000000"/>
        </w:rPr>
        <w:t xml:space="preserve"> us to Peter Brook </w:t>
      </w:r>
      <w:r w:rsidR="001C7B23">
        <w:rPr>
          <w:rStyle w:val="apple-style-span"/>
          <w:color w:val="000000"/>
        </w:rPr>
        <w:t>who</w:t>
      </w:r>
      <w:r w:rsidR="002876CB" w:rsidRPr="009D20C6">
        <w:rPr>
          <w:rStyle w:val="apple-style-span"/>
          <w:color w:val="000000"/>
        </w:rPr>
        <w:t>s</w:t>
      </w:r>
      <w:r w:rsidR="001C7B23">
        <w:rPr>
          <w:rStyle w:val="apple-style-span"/>
          <w:color w:val="000000"/>
        </w:rPr>
        <w:t>e</w:t>
      </w:r>
      <w:r w:rsidRPr="009D20C6">
        <w:rPr>
          <w:rStyle w:val="apple-style-span"/>
          <w:color w:val="000000"/>
        </w:rPr>
        <w:t xml:space="preserve"> </w:t>
      </w:r>
      <w:r w:rsidR="001B11DA" w:rsidRPr="009D20C6">
        <w:rPr>
          <w:rStyle w:val="apple-style-span"/>
          <w:color w:val="000000"/>
        </w:rPr>
        <w:t xml:space="preserve">widely quoted opening to </w:t>
      </w:r>
      <w:r w:rsidR="001B11DA" w:rsidRPr="009D20C6">
        <w:rPr>
          <w:rStyle w:val="apple-style-span"/>
          <w:i/>
          <w:color w:val="000000"/>
        </w:rPr>
        <w:t>The Empty Space</w:t>
      </w:r>
      <w:r w:rsidR="00623513" w:rsidRPr="009D20C6">
        <w:rPr>
          <w:rStyle w:val="apple-style-span"/>
          <w:color w:val="000000"/>
        </w:rPr>
        <w:t>,</w:t>
      </w:r>
      <w:r w:rsidR="002876CB" w:rsidRPr="009D20C6">
        <w:rPr>
          <w:rStyle w:val="apple-style-span"/>
          <w:color w:val="000000"/>
        </w:rPr>
        <w:t xml:space="preserve"> </w:t>
      </w:r>
      <w:r w:rsidR="004E5B7E">
        <w:rPr>
          <w:rStyle w:val="apple-style-span"/>
          <w:color w:val="000000"/>
        </w:rPr>
        <w:t xml:space="preserve">(1968) </w:t>
      </w:r>
      <w:r w:rsidR="002876CB" w:rsidRPr="009D20C6">
        <w:rPr>
          <w:rStyle w:val="apple-style-span"/>
          <w:color w:val="000000"/>
        </w:rPr>
        <w:t>asserts that an ‘act of theatre</w:t>
      </w:r>
      <w:r w:rsidR="00BF7D4C" w:rsidRPr="009D20C6">
        <w:rPr>
          <w:rStyle w:val="apple-style-span"/>
          <w:color w:val="000000"/>
        </w:rPr>
        <w:t>’</w:t>
      </w:r>
      <w:r w:rsidR="002876CB" w:rsidRPr="009D20C6">
        <w:rPr>
          <w:rStyle w:val="apple-style-span"/>
          <w:color w:val="000000"/>
        </w:rPr>
        <w:t xml:space="preserve"> begins with a walk observed by others</w:t>
      </w:r>
      <w:r w:rsidR="00867FC0">
        <w:rPr>
          <w:rStyle w:val="apple-style-span"/>
          <w:color w:val="000000"/>
        </w:rPr>
        <w:t>.</w:t>
      </w:r>
      <w:r w:rsidR="00843E8E">
        <w:rPr>
          <w:rStyle w:val="EndnoteReference"/>
          <w:color w:val="000000"/>
        </w:rPr>
        <w:endnoteReference w:id="38"/>
      </w:r>
      <w:r w:rsidR="005A13B6" w:rsidRPr="009D20C6">
        <w:rPr>
          <w:rStyle w:val="apple-style-span"/>
          <w:color w:val="000000"/>
        </w:rPr>
        <w:t xml:space="preserve"> </w:t>
      </w:r>
      <w:r w:rsidR="00BF7D4C" w:rsidRPr="009D20C6">
        <w:rPr>
          <w:rStyle w:val="apple-style-span"/>
          <w:color w:val="000000"/>
        </w:rPr>
        <w:t xml:space="preserve">Whilst working in Africa in </w:t>
      </w:r>
      <w:r w:rsidR="002373DE" w:rsidRPr="009D20C6">
        <w:rPr>
          <w:rStyle w:val="apple-style-span"/>
          <w:color w:val="000000"/>
        </w:rPr>
        <w:t>1972</w:t>
      </w:r>
      <w:r w:rsidR="00BF7D4C" w:rsidRPr="009D20C6">
        <w:rPr>
          <w:rStyle w:val="apple-style-span"/>
          <w:b/>
          <w:color w:val="000000"/>
        </w:rPr>
        <w:t>,</w:t>
      </w:r>
      <w:r w:rsidR="00BF7D4C" w:rsidRPr="009D20C6">
        <w:rPr>
          <w:rStyle w:val="apple-style-span"/>
          <w:color w:val="000000"/>
        </w:rPr>
        <w:t xml:space="preserve"> </w:t>
      </w:r>
      <w:r w:rsidRPr="009D20C6">
        <w:rPr>
          <w:rStyle w:val="apple-style-span"/>
          <w:color w:val="000000"/>
        </w:rPr>
        <w:t>Bro</w:t>
      </w:r>
      <w:r w:rsidR="00BF69C6" w:rsidRPr="009D20C6">
        <w:rPr>
          <w:rStyle w:val="apple-style-span"/>
          <w:color w:val="000000"/>
        </w:rPr>
        <w:t>ok ‘</w:t>
      </w:r>
      <w:r w:rsidRPr="009D20C6">
        <w:rPr>
          <w:rStyle w:val="apple-style-span"/>
          <w:color w:val="000000"/>
        </w:rPr>
        <w:t>asked the</w:t>
      </w:r>
      <w:r w:rsidR="00BF69C6" w:rsidRPr="009D20C6">
        <w:rPr>
          <w:rStyle w:val="apple-style-span"/>
          <w:color w:val="000000"/>
        </w:rPr>
        <w:t xml:space="preserve"> actors literally to walk again</w:t>
      </w:r>
      <w:r w:rsidR="00843E8E">
        <w:rPr>
          <w:rStyle w:val="apple-style-span"/>
          <w:color w:val="000000"/>
        </w:rPr>
        <w:t>,</w:t>
      </w:r>
      <w:r w:rsidR="00BF69C6" w:rsidRPr="009D20C6">
        <w:rPr>
          <w:rStyle w:val="apple-style-span"/>
          <w:color w:val="000000"/>
        </w:rPr>
        <w:t>’</w:t>
      </w:r>
      <w:r w:rsidRPr="009D20C6">
        <w:rPr>
          <w:rStyle w:val="apple-style-span"/>
          <w:color w:val="000000"/>
        </w:rPr>
        <w:t xml:space="preserve"> </w:t>
      </w:r>
      <w:r w:rsidR="00843E8E">
        <w:rPr>
          <w:rStyle w:val="apple-style-span"/>
          <w:color w:val="000000"/>
        </w:rPr>
        <w:t>in</w:t>
      </w:r>
      <w:r w:rsidR="001A4AF9" w:rsidRPr="009D20C6">
        <w:rPr>
          <w:rStyle w:val="apple-style-span"/>
          <w:color w:val="000000"/>
        </w:rPr>
        <w:t xml:space="preserve"> what became known as </w:t>
      </w:r>
      <w:r w:rsidR="001A4AF9" w:rsidRPr="009D20C6">
        <w:rPr>
          <w:rStyle w:val="apple-style-span"/>
          <w:i/>
          <w:color w:val="000000"/>
        </w:rPr>
        <w:t>The Walking Show</w:t>
      </w:r>
      <w:r w:rsidR="00867FC0">
        <w:rPr>
          <w:rStyle w:val="apple-style-span"/>
          <w:color w:val="000000"/>
        </w:rPr>
        <w:t>.</w:t>
      </w:r>
      <w:r w:rsidR="00075181">
        <w:rPr>
          <w:rStyle w:val="EndnoteReference"/>
          <w:i/>
          <w:color w:val="000000"/>
        </w:rPr>
        <w:endnoteReference w:id="39"/>
      </w:r>
      <w:r w:rsidR="00BF69C6" w:rsidRPr="009D20C6">
        <w:rPr>
          <w:rStyle w:val="apple-style-span"/>
          <w:color w:val="000000"/>
        </w:rPr>
        <w:t xml:space="preserve"> As John </w:t>
      </w:r>
      <w:proofErr w:type="spellStart"/>
      <w:r w:rsidR="00BF69C6" w:rsidRPr="009D20C6">
        <w:rPr>
          <w:rStyle w:val="apple-style-span"/>
          <w:color w:val="000000"/>
        </w:rPr>
        <w:t>Heilpern</w:t>
      </w:r>
      <w:proofErr w:type="spellEnd"/>
      <w:r w:rsidR="00BF69C6" w:rsidRPr="009D20C6">
        <w:rPr>
          <w:rStyle w:val="apple-style-span"/>
          <w:color w:val="000000"/>
        </w:rPr>
        <w:t xml:space="preserve"> observed: ‘</w:t>
      </w:r>
      <w:r w:rsidRPr="009D20C6">
        <w:rPr>
          <w:rStyle w:val="apple-style-span"/>
          <w:color w:val="000000"/>
        </w:rPr>
        <w:t xml:space="preserve">It’s astonishing – but given the simple direction to do no more than walk, everyone was </w:t>
      </w:r>
      <w:r w:rsidR="00BF69C6" w:rsidRPr="009D20C6">
        <w:rPr>
          <w:rStyle w:val="apple-style-span"/>
          <w:color w:val="000000"/>
        </w:rPr>
        <w:t>running … in the scramble to “perform”, show out</w:t>
      </w:r>
      <w:r w:rsidR="00867FC0">
        <w:rPr>
          <w:rStyle w:val="apple-style-span"/>
          <w:color w:val="000000"/>
        </w:rPr>
        <w:t>.</w:t>
      </w:r>
      <w:r w:rsidR="00BF69C6" w:rsidRPr="009D20C6">
        <w:rPr>
          <w:rStyle w:val="apple-style-span"/>
          <w:color w:val="000000"/>
        </w:rPr>
        <w:t>’</w:t>
      </w:r>
      <w:r w:rsidR="00075181">
        <w:rPr>
          <w:rStyle w:val="EndnoteReference"/>
          <w:color w:val="000000"/>
        </w:rPr>
        <w:endnoteReference w:id="40"/>
      </w:r>
      <w:r w:rsidRPr="009D20C6">
        <w:rPr>
          <w:rStyle w:val="apple-style-span"/>
          <w:color w:val="000000"/>
        </w:rPr>
        <w:t xml:space="preserve"> </w:t>
      </w:r>
      <w:proofErr w:type="spellStart"/>
      <w:r w:rsidRPr="009D20C6">
        <w:rPr>
          <w:rStyle w:val="apple-style-span"/>
          <w:color w:val="000000"/>
        </w:rPr>
        <w:t>Shomit</w:t>
      </w:r>
      <w:proofErr w:type="spellEnd"/>
      <w:r w:rsidRPr="009D20C6">
        <w:rPr>
          <w:rStyle w:val="apple-style-span"/>
          <w:color w:val="000000"/>
        </w:rPr>
        <w:t xml:space="preserve"> </w:t>
      </w:r>
      <w:proofErr w:type="spellStart"/>
      <w:r w:rsidRPr="009D20C6">
        <w:rPr>
          <w:rStyle w:val="apple-style-span"/>
          <w:color w:val="000000"/>
        </w:rPr>
        <w:t>Mitter</w:t>
      </w:r>
      <w:proofErr w:type="spellEnd"/>
      <w:r w:rsidRPr="009D20C6">
        <w:rPr>
          <w:rStyle w:val="apple-style-span"/>
          <w:color w:val="000000"/>
        </w:rPr>
        <w:t xml:space="preserve"> </w:t>
      </w:r>
      <w:r w:rsidR="00BF69C6" w:rsidRPr="009D20C6">
        <w:rPr>
          <w:rStyle w:val="apple-style-span"/>
          <w:color w:val="000000"/>
        </w:rPr>
        <w:t>concluded that in ‘</w:t>
      </w:r>
      <w:r w:rsidRPr="009D20C6">
        <w:rPr>
          <w:rStyle w:val="apple-style-span"/>
          <w:color w:val="000000"/>
        </w:rPr>
        <w:t>order to simply walk, the ac</w:t>
      </w:r>
      <w:r w:rsidR="00BF69C6" w:rsidRPr="009D20C6">
        <w:rPr>
          <w:rStyle w:val="apple-style-span"/>
          <w:color w:val="000000"/>
        </w:rPr>
        <w:t>tors must do no more than exist’ or ‘</w:t>
      </w:r>
      <w:r w:rsidRPr="009D20C6">
        <w:rPr>
          <w:rStyle w:val="apple-style-span"/>
          <w:color w:val="000000"/>
        </w:rPr>
        <w:t>the actors must act withou</w:t>
      </w:r>
      <w:r w:rsidR="00BF69C6" w:rsidRPr="009D20C6">
        <w:rPr>
          <w:rStyle w:val="apple-style-span"/>
          <w:color w:val="000000"/>
        </w:rPr>
        <w:t>t acting in order plainly to be’</w:t>
      </w:r>
      <w:r w:rsidR="00867FC0">
        <w:rPr>
          <w:rStyle w:val="apple-style-span"/>
          <w:color w:val="000000"/>
        </w:rPr>
        <w:t>.</w:t>
      </w:r>
      <w:r w:rsidR="00075181">
        <w:rPr>
          <w:rStyle w:val="EndnoteReference"/>
          <w:color w:val="000000"/>
        </w:rPr>
        <w:endnoteReference w:id="41"/>
      </w:r>
      <w:r w:rsidRPr="009D20C6">
        <w:rPr>
          <w:rStyle w:val="apple-style-span"/>
          <w:color w:val="000000"/>
        </w:rPr>
        <w:t xml:space="preserve"> This assertion echoes that of </w:t>
      </w:r>
      <w:proofErr w:type="spellStart"/>
      <w:r w:rsidRPr="009D20C6">
        <w:rPr>
          <w:rStyle w:val="apple-style-span"/>
          <w:color w:val="000000"/>
        </w:rPr>
        <w:t>Grotowski</w:t>
      </w:r>
      <w:proofErr w:type="spellEnd"/>
      <w:r w:rsidRPr="009D20C6">
        <w:rPr>
          <w:rStyle w:val="apple-style-span"/>
          <w:color w:val="000000"/>
        </w:rPr>
        <w:t xml:space="preserve"> and Suzuki, </w:t>
      </w:r>
      <w:r w:rsidRPr="009D20C6">
        <w:rPr>
          <w:rStyle w:val="apple-style-span"/>
          <w:color w:val="000000"/>
        </w:rPr>
        <w:lastRenderedPageBreak/>
        <w:t xml:space="preserve">advocating a heightened sense of awareness through the body rather than a </w:t>
      </w:r>
      <w:r w:rsidR="00075181">
        <w:rPr>
          <w:rStyle w:val="apple-style-span"/>
          <w:color w:val="000000"/>
        </w:rPr>
        <w:t>‘</w:t>
      </w:r>
      <w:r w:rsidRPr="009D20C6">
        <w:rPr>
          <w:rStyle w:val="apple-style-span"/>
          <w:color w:val="000000"/>
        </w:rPr>
        <w:t>direct transposition of bodily shapes, postures, and training sequences into performance</w:t>
      </w:r>
      <w:r w:rsidR="00075181">
        <w:rPr>
          <w:rStyle w:val="apple-style-span"/>
          <w:color w:val="000000"/>
        </w:rPr>
        <w:t>’</w:t>
      </w:r>
      <w:r w:rsidR="00867FC0">
        <w:rPr>
          <w:rStyle w:val="apple-style-span"/>
          <w:color w:val="000000"/>
        </w:rPr>
        <w:t>.</w:t>
      </w:r>
      <w:r w:rsidR="007C440E">
        <w:rPr>
          <w:rStyle w:val="EndnoteReference"/>
          <w:color w:val="000000"/>
        </w:rPr>
        <w:endnoteReference w:id="42"/>
      </w:r>
    </w:p>
    <w:p w14:paraId="1506F9D5" w14:textId="77777777" w:rsidR="00575A07" w:rsidRPr="009D20C6" w:rsidRDefault="003C5EB0" w:rsidP="00A930CB">
      <w:pPr>
        <w:spacing w:before="240"/>
        <w:rPr>
          <w:rStyle w:val="apple-style-span"/>
          <w:color w:val="000000"/>
        </w:rPr>
      </w:pPr>
      <w:r w:rsidRPr="009D20C6">
        <w:rPr>
          <w:rStyle w:val="apple-style-span"/>
          <w:color w:val="000000"/>
        </w:rPr>
        <w:t>Moving from Africa</w:t>
      </w:r>
      <w:r w:rsidR="000D3272" w:rsidRPr="009D20C6">
        <w:rPr>
          <w:rStyle w:val="apple-style-span"/>
          <w:color w:val="000000"/>
        </w:rPr>
        <w:t xml:space="preserve"> to South America, Augusto </w:t>
      </w:r>
      <w:proofErr w:type="spellStart"/>
      <w:r w:rsidR="000D3272" w:rsidRPr="009D20C6">
        <w:rPr>
          <w:rStyle w:val="apple-style-span"/>
          <w:color w:val="000000"/>
        </w:rPr>
        <w:t>Boal</w:t>
      </w:r>
      <w:proofErr w:type="spellEnd"/>
      <w:r w:rsidR="000D3272" w:rsidRPr="009D20C6">
        <w:rPr>
          <w:rStyle w:val="apple-style-span"/>
          <w:color w:val="000000"/>
        </w:rPr>
        <w:t xml:space="preserve">, writing in </w:t>
      </w:r>
      <w:r w:rsidR="000D3272" w:rsidRPr="009D20C6">
        <w:rPr>
          <w:rStyle w:val="apple-style-span"/>
          <w:i/>
          <w:color w:val="000000"/>
        </w:rPr>
        <w:t>Games for Actors and Non-Actors</w:t>
      </w:r>
      <w:r w:rsidR="004E5B7E">
        <w:rPr>
          <w:rStyle w:val="apple-style-span"/>
          <w:color w:val="000000"/>
        </w:rPr>
        <w:t xml:space="preserve"> (1992)</w:t>
      </w:r>
      <w:r w:rsidR="000D3272" w:rsidRPr="009D20C6">
        <w:rPr>
          <w:rStyle w:val="apple-style-span"/>
          <w:color w:val="000000"/>
        </w:rPr>
        <w:t xml:space="preserve">, </w:t>
      </w:r>
      <w:r w:rsidR="00C94387" w:rsidRPr="009D20C6">
        <w:rPr>
          <w:rStyle w:val="apple-style-span"/>
          <w:color w:val="000000"/>
        </w:rPr>
        <w:t xml:space="preserve">presents a </w:t>
      </w:r>
      <w:r w:rsidR="00B731AF" w:rsidRPr="009D20C6">
        <w:rPr>
          <w:rStyle w:val="apple-style-span"/>
          <w:color w:val="000000"/>
        </w:rPr>
        <w:t>host</w:t>
      </w:r>
      <w:r w:rsidR="00C94387" w:rsidRPr="009D20C6">
        <w:rPr>
          <w:rStyle w:val="apple-style-span"/>
          <w:color w:val="000000"/>
        </w:rPr>
        <w:t xml:space="preserve"> of </w:t>
      </w:r>
      <w:r w:rsidR="00B731AF" w:rsidRPr="009D20C6">
        <w:rPr>
          <w:rStyle w:val="apple-style-span"/>
          <w:color w:val="000000"/>
        </w:rPr>
        <w:t>different walks for the actor to experiment with</w:t>
      </w:r>
      <w:r w:rsidR="00C94387" w:rsidRPr="009D20C6">
        <w:rPr>
          <w:rStyle w:val="apple-style-span"/>
          <w:color w:val="000000"/>
        </w:rPr>
        <w:t>.</w:t>
      </w:r>
      <w:r w:rsidR="00B93A1E" w:rsidRPr="009D20C6">
        <w:rPr>
          <w:rStyle w:val="apple-style-span"/>
          <w:color w:val="000000"/>
        </w:rPr>
        <w:t xml:space="preserve"> He explains that changing ‘our way of walking forces us to activate certain little-used muscle structures, and makes us more conscious of the possibilities of our bodies’</w:t>
      </w:r>
      <w:r w:rsidR="00867FC0">
        <w:rPr>
          <w:rStyle w:val="apple-style-span"/>
          <w:color w:val="000000"/>
        </w:rPr>
        <w:t>.</w:t>
      </w:r>
      <w:r w:rsidR="002C2767">
        <w:rPr>
          <w:rStyle w:val="EndnoteReference"/>
          <w:color w:val="000000"/>
        </w:rPr>
        <w:endnoteReference w:id="43"/>
      </w:r>
      <w:r w:rsidR="00B93A1E" w:rsidRPr="009D20C6">
        <w:rPr>
          <w:rStyle w:val="apple-style-span"/>
          <w:color w:val="000000"/>
        </w:rPr>
        <w:t xml:space="preserve"> </w:t>
      </w:r>
      <w:r w:rsidR="00B731AF" w:rsidRPr="009D20C6">
        <w:rPr>
          <w:rStyle w:val="apple-style-span"/>
          <w:color w:val="000000"/>
        </w:rPr>
        <w:t xml:space="preserve">However, in addition to exploring such </w:t>
      </w:r>
      <w:r w:rsidR="00971E5B">
        <w:rPr>
          <w:rStyle w:val="apple-style-span"/>
          <w:color w:val="000000"/>
        </w:rPr>
        <w:t>“</w:t>
      </w:r>
      <w:r w:rsidR="00B731AF" w:rsidRPr="00971E5B">
        <w:rPr>
          <w:rStyle w:val="apple-style-span"/>
          <w:color w:val="000000"/>
        </w:rPr>
        <w:t>possibilities</w:t>
      </w:r>
      <w:r w:rsidR="00971E5B">
        <w:rPr>
          <w:rStyle w:val="apple-style-span"/>
          <w:color w:val="000000"/>
        </w:rPr>
        <w:t>”</w:t>
      </w:r>
      <w:r w:rsidR="00B731AF" w:rsidRPr="009D20C6">
        <w:rPr>
          <w:rStyle w:val="apple-style-span"/>
          <w:color w:val="000000"/>
        </w:rPr>
        <w:t xml:space="preserve">, </w:t>
      </w:r>
      <w:proofErr w:type="spellStart"/>
      <w:r w:rsidR="00B731AF" w:rsidRPr="009D20C6">
        <w:rPr>
          <w:rStyle w:val="apple-style-span"/>
          <w:color w:val="000000"/>
        </w:rPr>
        <w:t>Boal</w:t>
      </w:r>
      <w:proofErr w:type="spellEnd"/>
      <w:r w:rsidR="00B731AF" w:rsidRPr="009D20C6">
        <w:rPr>
          <w:rStyle w:val="apple-style-span"/>
          <w:color w:val="000000"/>
        </w:rPr>
        <w:t xml:space="preserve"> </w:t>
      </w:r>
      <w:r w:rsidR="00F10209" w:rsidRPr="009D20C6">
        <w:rPr>
          <w:rStyle w:val="apple-style-span"/>
          <w:color w:val="000000"/>
        </w:rPr>
        <w:t>demonstrates an interest in ascertaining t</w:t>
      </w:r>
      <w:r w:rsidR="00C50804" w:rsidRPr="009D20C6">
        <w:rPr>
          <w:rStyle w:val="apple-style-span"/>
          <w:color w:val="000000"/>
        </w:rPr>
        <w:t>he varying factors which prompt</w:t>
      </w:r>
      <w:r w:rsidR="00F10209" w:rsidRPr="009D20C6">
        <w:rPr>
          <w:rStyle w:val="apple-style-span"/>
          <w:color w:val="000000"/>
        </w:rPr>
        <w:t xml:space="preserve"> a person to walk in </w:t>
      </w:r>
      <w:r w:rsidR="00B731AF" w:rsidRPr="009D20C6">
        <w:rPr>
          <w:rStyle w:val="apple-style-span"/>
          <w:color w:val="000000"/>
        </w:rPr>
        <w:t xml:space="preserve">a particular manner. </w:t>
      </w:r>
      <w:r w:rsidR="00681A76" w:rsidRPr="009D20C6">
        <w:rPr>
          <w:rStyle w:val="apple-style-span"/>
          <w:color w:val="000000"/>
        </w:rPr>
        <w:t xml:space="preserve">Such an interest </w:t>
      </w:r>
      <w:r w:rsidR="002B38AD" w:rsidRPr="009D20C6">
        <w:rPr>
          <w:rStyle w:val="apple-style-span"/>
          <w:color w:val="000000"/>
        </w:rPr>
        <w:t xml:space="preserve">is extended further by movement teacher Anne Dennis in </w:t>
      </w:r>
      <w:r w:rsidR="002B38AD" w:rsidRPr="009D20C6">
        <w:rPr>
          <w:rStyle w:val="apple-style-span"/>
          <w:i/>
          <w:color w:val="000000"/>
        </w:rPr>
        <w:t>The Articulate Body: The Physical Training of the Actor</w:t>
      </w:r>
      <w:r w:rsidR="003904A9">
        <w:rPr>
          <w:rStyle w:val="apple-style-span"/>
          <w:color w:val="000000"/>
        </w:rPr>
        <w:t xml:space="preserve"> (2002)</w:t>
      </w:r>
      <w:r w:rsidR="00C50804" w:rsidRPr="009D20C6">
        <w:rPr>
          <w:rStyle w:val="apple-style-span"/>
          <w:color w:val="000000"/>
        </w:rPr>
        <w:t>.</w:t>
      </w:r>
    </w:p>
    <w:p w14:paraId="47AB168D" w14:textId="77777777" w:rsidR="00A85490" w:rsidRDefault="00A85490" w:rsidP="00986C7E">
      <w:pPr>
        <w:rPr>
          <w:rStyle w:val="apple-style-span"/>
          <w:color w:val="000000"/>
        </w:rPr>
      </w:pPr>
    </w:p>
    <w:p w14:paraId="098D0594" w14:textId="77777777" w:rsidR="009B370B" w:rsidRPr="009D20C6" w:rsidRDefault="009B370B" w:rsidP="00986C7E">
      <w:pPr>
        <w:rPr>
          <w:rStyle w:val="apple-style-span"/>
          <w:color w:val="000000"/>
        </w:rPr>
      </w:pPr>
    </w:p>
    <w:p w14:paraId="021BB6E4" w14:textId="77777777" w:rsidR="002B38AD" w:rsidRPr="009D20C6" w:rsidRDefault="002B38AD" w:rsidP="00C62510">
      <w:pPr>
        <w:pStyle w:val="Quote"/>
        <w:rPr>
          <w:rStyle w:val="apple-style-span"/>
          <w:color w:val="000000"/>
        </w:rPr>
      </w:pPr>
      <w:r w:rsidRPr="009D20C6">
        <w:rPr>
          <w:rStyle w:val="apple-style-span"/>
          <w:color w:val="000000"/>
        </w:rPr>
        <w:t>For the actor, the walk is simply an extension of everything a character is, i.e., what he does with his body, what his self-image is, and how his status and interactions with others manifest themselves. The whole history and physicality of his body can be seen in the walk.</w:t>
      </w:r>
      <w:r w:rsidR="00FA45F4">
        <w:rPr>
          <w:rStyle w:val="EndnoteReference"/>
          <w:color w:val="000000"/>
        </w:rPr>
        <w:endnoteReference w:id="44"/>
      </w:r>
    </w:p>
    <w:p w14:paraId="7C43FE2C" w14:textId="77777777" w:rsidR="00A85490" w:rsidRDefault="00A85490" w:rsidP="00986C7E">
      <w:pPr>
        <w:rPr>
          <w:rStyle w:val="apple-style-span"/>
          <w:color w:val="000000"/>
        </w:rPr>
      </w:pPr>
    </w:p>
    <w:p w14:paraId="577AEAC7" w14:textId="77777777" w:rsidR="009B370B" w:rsidRPr="003560AA" w:rsidRDefault="009B370B" w:rsidP="00986C7E">
      <w:pPr>
        <w:rPr>
          <w:rStyle w:val="apple-style-span"/>
          <w:b/>
          <w:color w:val="000000"/>
        </w:rPr>
      </w:pPr>
    </w:p>
    <w:p w14:paraId="218DAA63" w14:textId="77777777" w:rsidR="00A930CB" w:rsidRDefault="005C16CE" w:rsidP="00986C7E">
      <w:r w:rsidRPr="009D20C6">
        <w:t xml:space="preserve">In her book, Dennis presents one of the most substantial </w:t>
      </w:r>
      <w:r w:rsidR="007A3783" w:rsidRPr="009D20C6">
        <w:t>collections</w:t>
      </w:r>
      <w:r w:rsidRPr="009D20C6">
        <w:t xml:space="preserve"> of walking-based exercises for actor training</w:t>
      </w:r>
      <w:r w:rsidR="00200BC0" w:rsidRPr="009D20C6">
        <w:t xml:space="preserve">, drawing from some of the principles of </w:t>
      </w:r>
      <w:proofErr w:type="spellStart"/>
      <w:r w:rsidR="00200BC0" w:rsidRPr="009D20C6">
        <w:t>Lecoq</w:t>
      </w:r>
      <w:proofErr w:type="spellEnd"/>
      <w:r w:rsidR="00200BC0" w:rsidRPr="009D20C6">
        <w:t xml:space="preserve">, </w:t>
      </w:r>
      <w:r w:rsidR="00D56C9B" w:rsidRPr="009D20C6">
        <w:t xml:space="preserve">Etienne </w:t>
      </w:r>
      <w:proofErr w:type="spellStart"/>
      <w:r w:rsidR="00200BC0" w:rsidRPr="009D20C6">
        <w:t>Decroux</w:t>
      </w:r>
      <w:proofErr w:type="spellEnd"/>
      <w:r w:rsidR="00642196">
        <w:t>,</w:t>
      </w:r>
      <w:r w:rsidR="00200BC0" w:rsidRPr="009D20C6">
        <w:t xml:space="preserve"> and </w:t>
      </w:r>
      <w:r w:rsidR="00D56C9B" w:rsidRPr="009D20C6">
        <w:t xml:space="preserve">Jean-Louis </w:t>
      </w:r>
      <w:proofErr w:type="spellStart"/>
      <w:r w:rsidR="00200BC0" w:rsidRPr="009D20C6">
        <w:t>Barrault</w:t>
      </w:r>
      <w:proofErr w:type="spellEnd"/>
      <w:r w:rsidR="00200BC0" w:rsidRPr="009D20C6">
        <w:t>.</w:t>
      </w:r>
      <w:r w:rsidR="00F44D04" w:rsidRPr="009D20C6">
        <w:t xml:space="preserve"> Like </w:t>
      </w:r>
      <w:r w:rsidR="003D2952" w:rsidRPr="009D20C6">
        <w:t>many of the above practitioners, Dennis observes</w:t>
      </w:r>
      <w:r w:rsidR="00345C12" w:rsidRPr="009D20C6">
        <w:t xml:space="preserve"> that an actor’s walk ‘immediately tells us a great deal about him’</w:t>
      </w:r>
      <w:r w:rsidR="00C421E1">
        <w:t>,</w:t>
      </w:r>
      <w:r w:rsidR="00362E0B">
        <w:rPr>
          <w:rStyle w:val="EndnoteReference"/>
        </w:rPr>
        <w:endnoteReference w:id="45"/>
      </w:r>
      <w:r w:rsidR="00345C12" w:rsidRPr="009D20C6">
        <w:t xml:space="preserve"> reiterating </w:t>
      </w:r>
      <w:proofErr w:type="spellStart"/>
      <w:r w:rsidR="00345C12" w:rsidRPr="009D20C6">
        <w:t>Barrault’s</w:t>
      </w:r>
      <w:proofErr w:type="spellEnd"/>
      <w:r w:rsidR="00345C12" w:rsidRPr="009D20C6">
        <w:t xml:space="preserve"> assertion that ‘a man may be betrayed by his walk’</w:t>
      </w:r>
      <w:r w:rsidR="00C421E1">
        <w:t>.</w:t>
      </w:r>
      <w:r w:rsidR="00362E0B">
        <w:rPr>
          <w:rStyle w:val="EndnoteReference"/>
        </w:rPr>
        <w:endnoteReference w:id="46"/>
      </w:r>
      <w:r w:rsidR="00B53A7B">
        <w:t xml:space="preserve"> The actor’s ‘mimetic altering of gait and sensitivity’</w:t>
      </w:r>
      <w:r w:rsidR="002D55E2">
        <w:rPr>
          <w:rStyle w:val="EndnoteReference"/>
        </w:rPr>
        <w:endnoteReference w:id="47"/>
      </w:r>
      <w:r w:rsidR="00B53A7B">
        <w:t xml:space="preserve"> is as much a tool for </w:t>
      </w:r>
      <w:r w:rsidR="0049634E">
        <w:t xml:space="preserve">their own </w:t>
      </w:r>
      <w:r w:rsidR="00B53A7B">
        <w:t>characterisation as it is a means in which to give character to the space they walk.</w:t>
      </w:r>
    </w:p>
    <w:p w14:paraId="52CE667D" w14:textId="77777777" w:rsidR="00C10C1F" w:rsidRPr="00A930CB" w:rsidRDefault="00A930CB" w:rsidP="00A930CB">
      <w:pPr>
        <w:spacing w:before="240"/>
      </w:pPr>
      <w:r>
        <w:t>I</w:t>
      </w:r>
      <w:r w:rsidR="00FD1E2C" w:rsidRPr="009D20C6">
        <w:t>n order to give weight to the inclusion of the theatre stage within pedestrian performance studies w</w:t>
      </w:r>
      <w:r w:rsidR="00C10C1F" w:rsidRPr="009D20C6">
        <w:t xml:space="preserve">hat follows is a </w:t>
      </w:r>
      <w:r w:rsidR="00A749B6" w:rsidRPr="009D20C6">
        <w:t>small selection</w:t>
      </w:r>
      <w:r w:rsidR="00C10C1F" w:rsidRPr="009D20C6">
        <w:t xml:space="preserve"> of historical case studies</w:t>
      </w:r>
      <w:r w:rsidR="00E37C79" w:rsidRPr="009D20C6">
        <w:t>, featuring productions</w:t>
      </w:r>
      <w:r w:rsidR="00C10C1F" w:rsidRPr="009D20C6">
        <w:t xml:space="preserve"> that </w:t>
      </w:r>
      <w:r w:rsidR="001D6FAA" w:rsidRPr="009D20C6">
        <w:t xml:space="preserve">have innovatively used walking in the theatre. </w:t>
      </w:r>
      <w:r w:rsidR="00BA26A0">
        <w:t xml:space="preserve">These are principally works within the western tradition of performance from the late nineteenth to the early twenty-first century. This is </w:t>
      </w:r>
      <w:r w:rsidR="00215880">
        <w:t>largely</w:t>
      </w:r>
      <w:r w:rsidR="00BA26A0">
        <w:t xml:space="preserve"> because studies into the relationship between walking and eastern performance history are much more substantial, as evidenced by research in Noh and Kabuki theatre</w:t>
      </w:r>
      <w:r w:rsidR="00C421E1">
        <w:t>.</w:t>
      </w:r>
      <w:r w:rsidR="00BA26A0">
        <w:rPr>
          <w:rStyle w:val="EndnoteReference"/>
        </w:rPr>
        <w:endnoteReference w:id="48"/>
      </w:r>
      <w:r w:rsidR="00BA26A0">
        <w:t xml:space="preserve"> </w:t>
      </w:r>
      <w:r w:rsidR="001D6FAA" w:rsidRPr="009D20C6">
        <w:t xml:space="preserve">Through examining </w:t>
      </w:r>
      <w:r w:rsidR="00BA26A0">
        <w:t>the selected</w:t>
      </w:r>
      <w:r w:rsidR="001D6FAA" w:rsidRPr="009D20C6">
        <w:t xml:space="preserve"> works through the lens of pedestrian performance, </w:t>
      </w:r>
      <w:r w:rsidR="00215880">
        <w:t>it can be argued</w:t>
      </w:r>
      <w:r w:rsidR="008E47E3" w:rsidRPr="009D20C6">
        <w:t xml:space="preserve"> that, although denied the </w:t>
      </w:r>
      <w:r w:rsidR="009235DB">
        <w:t>“</w:t>
      </w:r>
      <w:r w:rsidR="008E47E3" w:rsidRPr="009D20C6">
        <w:t>actual experience</w:t>
      </w:r>
      <w:r w:rsidR="009235DB">
        <w:t>”</w:t>
      </w:r>
      <w:r w:rsidR="008E47E3" w:rsidRPr="009D20C6">
        <w:t xml:space="preserve"> of walking, an audience </w:t>
      </w:r>
      <w:r w:rsidR="004604FA">
        <w:t xml:space="preserve">can </w:t>
      </w:r>
      <w:r w:rsidR="008E47E3" w:rsidRPr="009D20C6">
        <w:t>encounter a different kind of walking, one which i</w:t>
      </w:r>
      <w:r w:rsidR="00A85B26" w:rsidRPr="009D20C6">
        <w:t>s metaphorical and internaliz</w:t>
      </w:r>
      <w:r w:rsidR="008E47E3" w:rsidRPr="009D20C6">
        <w:t>ed.</w:t>
      </w:r>
      <w:r w:rsidR="00DB226D" w:rsidRPr="009D20C6">
        <w:t xml:space="preserve"> It illustrates how the walking of the actor and the journey motif can facilitate a </w:t>
      </w:r>
      <w:r w:rsidR="00821ECC" w:rsidRPr="00821ECC">
        <w:t>kin</w:t>
      </w:r>
      <w:r w:rsidR="00843F24">
        <w:t>a</w:t>
      </w:r>
      <w:r w:rsidR="00821ECC" w:rsidRPr="00821ECC">
        <w:t>esthetic</w:t>
      </w:r>
      <w:r w:rsidR="00DB226D" w:rsidRPr="009D20C6">
        <w:t xml:space="preserve"> empathy within a seated audience, in which it is possible for them to feel as if a part of the walking that occurs on stage</w:t>
      </w:r>
      <w:r w:rsidR="00C421E1">
        <w:t>.</w:t>
      </w:r>
      <w:r w:rsidR="007D6CB4">
        <w:rPr>
          <w:rStyle w:val="EndnoteReference"/>
        </w:rPr>
        <w:endnoteReference w:id="49"/>
      </w:r>
      <w:r w:rsidR="008E47E3" w:rsidRPr="009D20C6">
        <w:t xml:space="preserve"> </w:t>
      </w:r>
    </w:p>
    <w:p w14:paraId="533EB109" w14:textId="77777777" w:rsidR="00207D79" w:rsidRPr="009D20C6" w:rsidRDefault="00207D79" w:rsidP="00986C7E">
      <w:pPr>
        <w:pStyle w:val="Heading2"/>
      </w:pPr>
      <w:r w:rsidRPr="009D20C6">
        <w:lastRenderedPageBreak/>
        <w:t>Being Carried Along</w:t>
      </w:r>
      <w:r w:rsidR="005A738D" w:rsidRPr="009D20C6">
        <w:t>: Parsifal</w:t>
      </w:r>
    </w:p>
    <w:p w14:paraId="271A8821" w14:textId="77777777" w:rsidR="00A930CB" w:rsidRDefault="00C10C1F" w:rsidP="00986C7E">
      <w:r w:rsidRPr="009D20C6">
        <w:rPr>
          <w:rStyle w:val="apple-style-span"/>
          <w:color w:val="000000"/>
        </w:rPr>
        <w:t xml:space="preserve">Richard Wagner’s opera </w:t>
      </w:r>
      <w:r w:rsidRPr="009D20C6">
        <w:rPr>
          <w:rStyle w:val="apple-style-span"/>
          <w:i/>
          <w:color w:val="000000"/>
        </w:rPr>
        <w:t xml:space="preserve">Parsifal </w:t>
      </w:r>
      <w:r w:rsidRPr="009D20C6">
        <w:rPr>
          <w:rStyle w:val="apple-style-span"/>
          <w:color w:val="000000"/>
        </w:rPr>
        <w:t xml:space="preserve">(1882) was a performance built on two walks: the pilgrimage of the title character to the secret location of the Holy Grail and the audience’s own journey to the Bayreuth </w:t>
      </w:r>
      <w:proofErr w:type="spellStart"/>
      <w:r w:rsidRPr="009D20C6">
        <w:rPr>
          <w:rStyle w:val="apple-style-span"/>
          <w:color w:val="000000"/>
        </w:rPr>
        <w:t>Festpielhaus</w:t>
      </w:r>
      <w:proofErr w:type="spellEnd"/>
      <w:r w:rsidRPr="009D20C6">
        <w:rPr>
          <w:rStyle w:val="apple-style-span"/>
          <w:color w:val="000000"/>
        </w:rPr>
        <w:t xml:space="preserve"> theatre in which it was performed. Throughout the nineteenth century European theatre</w:t>
      </w:r>
      <w:r w:rsidRPr="009D20C6">
        <w:t xml:space="preserve"> ‘tended towards the representational; the audience witnessed a harmoniously conceived “other” world; they were invited to be transported; to become absorbed, anonymous spectators’</w:t>
      </w:r>
      <w:r w:rsidR="00C421E1">
        <w:t>.</w:t>
      </w:r>
      <w:r w:rsidR="00097229">
        <w:rPr>
          <w:rStyle w:val="EndnoteReference"/>
        </w:rPr>
        <w:endnoteReference w:id="50"/>
      </w:r>
      <w:r w:rsidRPr="009D20C6">
        <w:t xml:space="preserve"> Such ‘transportation’ was facilitated </w:t>
      </w:r>
      <w:r w:rsidR="00ED2948" w:rsidRPr="009D20C6">
        <w:t>in part,</w:t>
      </w:r>
      <w:r w:rsidRPr="009D20C6">
        <w:t xml:space="preserve"> by the Symbolism movement</w:t>
      </w:r>
      <w:r w:rsidR="00ED2948" w:rsidRPr="009D20C6">
        <w:t>,</w:t>
      </w:r>
      <w:r w:rsidRPr="009D20C6">
        <w:t xml:space="preserve"> which, emerging towards the end of the </w:t>
      </w:r>
      <w:proofErr w:type="gramStart"/>
      <w:r w:rsidRPr="009D20C6">
        <w:t>century,</w:t>
      </w:r>
      <w:proofErr w:type="gramEnd"/>
      <w:r w:rsidRPr="009D20C6">
        <w:t xml:space="preserve"> ‘saw theatre as a potential crucible in which the arts of poetry, painting, music and dance might be harmoniously fused’</w:t>
      </w:r>
      <w:r w:rsidR="00C421E1">
        <w:t>.</w:t>
      </w:r>
      <w:r w:rsidR="00580AF9">
        <w:rPr>
          <w:rStyle w:val="EndnoteReference"/>
        </w:rPr>
        <w:endnoteReference w:id="51"/>
      </w:r>
      <w:r w:rsidRPr="009D20C6">
        <w:t xml:space="preserve"> As a director, composer and essayist, Wagner was very much at the centre of this transition, and his coining of the term </w:t>
      </w:r>
      <w:proofErr w:type="spellStart"/>
      <w:r w:rsidRPr="009D20C6">
        <w:rPr>
          <w:i/>
        </w:rPr>
        <w:t>gesamtkunstwerk</w:t>
      </w:r>
      <w:proofErr w:type="spellEnd"/>
      <w:r w:rsidRPr="009D20C6">
        <w:rPr>
          <w:i/>
        </w:rPr>
        <w:t xml:space="preserve"> </w:t>
      </w:r>
      <w:r w:rsidRPr="009D20C6">
        <w:t>or ‘total art’</w:t>
      </w:r>
      <w:r w:rsidR="00117A26" w:rsidRPr="009D20C6">
        <w:t xml:space="preserve"> </w:t>
      </w:r>
      <w:r w:rsidRPr="009D20C6">
        <w:t xml:space="preserve">expressed a desire for a </w:t>
      </w:r>
      <w:r w:rsidR="006E49A1" w:rsidRPr="009D20C6">
        <w:t>theatre audience ‘</w:t>
      </w:r>
      <w:r w:rsidRPr="009D20C6">
        <w:t>to forget other inhabitants of the darkened auditorium, and lose themselves in evocations of Germanic m</w:t>
      </w:r>
      <w:r w:rsidR="006E49A1" w:rsidRPr="009D20C6">
        <w:t>yth’</w:t>
      </w:r>
      <w:r w:rsidR="00C421E1">
        <w:t>.</w:t>
      </w:r>
      <w:r w:rsidR="00121AB4">
        <w:rPr>
          <w:rStyle w:val="EndnoteReference"/>
        </w:rPr>
        <w:endnoteReference w:id="52"/>
      </w:r>
    </w:p>
    <w:p w14:paraId="3FE51602" w14:textId="77777777" w:rsidR="006E49A1" w:rsidRPr="009D20C6" w:rsidRDefault="006E49A1" w:rsidP="00A930CB">
      <w:pPr>
        <w:spacing w:before="240"/>
        <w:rPr>
          <w:rStyle w:val="apple-style-span"/>
          <w:color w:val="000000"/>
        </w:rPr>
      </w:pPr>
      <w:r w:rsidRPr="009D20C6">
        <w:rPr>
          <w:rStyle w:val="apple-style-span"/>
          <w:i/>
          <w:color w:val="000000"/>
        </w:rPr>
        <w:t>Parsifal</w:t>
      </w:r>
      <w:r w:rsidRPr="009D20C6">
        <w:rPr>
          <w:rStyle w:val="apple-style-span"/>
          <w:color w:val="000000"/>
        </w:rPr>
        <w:t xml:space="preserve"> was a theatre-specific production, designed exclusively for the Bayreuth </w:t>
      </w:r>
      <w:proofErr w:type="spellStart"/>
      <w:r w:rsidRPr="009D20C6">
        <w:rPr>
          <w:rStyle w:val="apple-style-span"/>
          <w:color w:val="000000"/>
        </w:rPr>
        <w:t>Festspielhaus</w:t>
      </w:r>
      <w:proofErr w:type="spellEnd"/>
      <w:r w:rsidRPr="009D20C6">
        <w:rPr>
          <w:rStyle w:val="apple-style-span"/>
          <w:color w:val="000000"/>
        </w:rPr>
        <w:t>, which, for Christopher Baugh, ‘</w:t>
      </w:r>
      <w:r w:rsidRPr="009D20C6">
        <w:t xml:space="preserve">was a revolutionary architectural solution that removed galleries and provided a unified auditorium offering an encumbered “spectator” to experience and to become absorbed in the “other” world created by the very latest </w:t>
      </w:r>
      <w:r w:rsidR="00AD1FD0" w:rsidRPr="009D20C6">
        <w:t>technology on the stage’</w:t>
      </w:r>
      <w:r w:rsidR="00C421E1">
        <w:t>.</w:t>
      </w:r>
      <w:r w:rsidR="00C83431">
        <w:rPr>
          <w:rStyle w:val="EndnoteReference"/>
        </w:rPr>
        <w:endnoteReference w:id="53"/>
      </w:r>
      <w:r w:rsidRPr="009D20C6">
        <w:rPr>
          <w:rStyle w:val="apple-style-span"/>
          <w:color w:val="000000"/>
        </w:rPr>
        <w:t xml:space="preserve"> In addition to the invisible orchestra pit, and the novel use of electricity in making the grail glow at the end of Act I, we also have one of the earliest attempts in trying to create the illusion of a journey.</w:t>
      </w:r>
    </w:p>
    <w:p w14:paraId="528A1129" w14:textId="77777777" w:rsidR="00A85490" w:rsidRDefault="00A85490" w:rsidP="00986C7E">
      <w:pPr>
        <w:rPr>
          <w:rStyle w:val="apple-style-span"/>
          <w:color w:val="000000"/>
        </w:rPr>
      </w:pPr>
    </w:p>
    <w:p w14:paraId="15C121D9" w14:textId="77777777" w:rsidR="00D0367C" w:rsidRPr="009D20C6" w:rsidRDefault="00D0367C" w:rsidP="00986C7E">
      <w:pPr>
        <w:rPr>
          <w:rStyle w:val="apple-style-span"/>
          <w:color w:val="000000"/>
        </w:rPr>
      </w:pPr>
    </w:p>
    <w:p w14:paraId="2D3C2E0B" w14:textId="77777777" w:rsidR="006E49A1" w:rsidRPr="009D20C6" w:rsidRDefault="006E49A1" w:rsidP="00C62510">
      <w:pPr>
        <w:pStyle w:val="Quote"/>
        <w:rPr>
          <w:rStyle w:val="apple-style-span"/>
          <w:color w:val="000000"/>
        </w:rPr>
      </w:pPr>
      <w:r w:rsidRPr="009D20C6">
        <w:rPr>
          <w:rStyle w:val="apple-style-span"/>
          <w:color w:val="000000"/>
        </w:rPr>
        <w:t xml:space="preserve">Here the rhythmical theme of the Bells of </w:t>
      </w:r>
      <w:proofErr w:type="spellStart"/>
      <w:r w:rsidRPr="009D20C6">
        <w:rPr>
          <w:rStyle w:val="apple-style-span"/>
          <w:color w:val="000000"/>
        </w:rPr>
        <w:t>Monsalvat</w:t>
      </w:r>
      <w:proofErr w:type="spellEnd"/>
      <w:r w:rsidRPr="009D20C6">
        <w:rPr>
          <w:rStyle w:val="apple-style-span"/>
          <w:color w:val="000000"/>
        </w:rPr>
        <w:t xml:space="preserve"> enters and the scenery begins to move whilst Parsifa</w:t>
      </w:r>
      <w:r w:rsidR="0094411D">
        <w:rPr>
          <w:rStyle w:val="apple-style-span"/>
          <w:color w:val="000000"/>
        </w:rPr>
        <w:t xml:space="preserve">l and </w:t>
      </w:r>
      <w:proofErr w:type="spellStart"/>
      <w:r w:rsidR="0094411D">
        <w:rPr>
          <w:rStyle w:val="apple-style-span"/>
          <w:color w:val="000000"/>
        </w:rPr>
        <w:t>Gurnemanz</w:t>
      </w:r>
      <w:proofErr w:type="spellEnd"/>
      <w:r w:rsidR="0094411D">
        <w:rPr>
          <w:rStyle w:val="apple-style-span"/>
          <w:color w:val="000000"/>
        </w:rPr>
        <w:t xml:space="preserve"> appear to walk ….</w:t>
      </w:r>
      <w:r w:rsidRPr="009D20C6">
        <w:rPr>
          <w:rStyle w:val="apple-style-span"/>
          <w:color w:val="000000"/>
        </w:rPr>
        <w:t xml:space="preserve"> As the scene </w:t>
      </w:r>
      <w:proofErr w:type="gramStart"/>
      <w:r w:rsidRPr="009D20C6">
        <w:rPr>
          <w:rStyle w:val="apple-style-span"/>
          <w:color w:val="000000"/>
        </w:rPr>
        <w:t>proceeds the youth remarks</w:t>
      </w:r>
      <w:proofErr w:type="gramEnd"/>
      <w:r w:rsidRPr="009D20C6">
        <w:rPr>
          <w:rStyle w:val="apple-style-span"/>
          <w:color w:val="000000"/>
        </w:rPr>
        <w:t xml:space="preserve"> in surprise: “I hardly step, and yet I seem already far”. “You see, my son”, explains </w:t>
      </w:r>
      <w:proofErr w:type="spellStart"/>
      <w:r w:rsidRPr="009D20C6">
        <w:rPr>
          <w:rStyle w:val="apple-style-span"/>
          <w:color w:val="000000"/>
        </w:rPr>
        <w:t>Gurnemanz</w:t>
      </w:r>
      <w:proofErr w:type="spellEnd"/>
      <w:r w:rsidRPr="009D20C6">
        <w:rPr>
          <w:rStyle w:val="apple-style-span"/>
          <w:color w:val="000000"/>
        </w:rPr>
        <w:t>, “Time changes here to Space</w:t>
      </w:r>
      <w:r w:rsidR="00C421E1">
        <w:rPr>
          <w:rStyle w:val="apple-style-span"/>
          <w:color w:val="000000"/>
        </w:rPr>
        <w:t>.</w:t>
      </w:r>
      <w:r w:rsidRPr="009D20C6">
        <w:rPr>
          <w:rStyle w:val="apple-style-span"/>
          <w:color w:val="000000"/>
        </w:rPr>
        <w:t>”</w:t>
      </w:r>
      <w:r w:rsidR="00D0367C">
        <w:rPr>
          <w:rStyle w:val="EndnoteReference"/>
          <w:color w:val="000000"/>
        </w:rPr>
        <w:endnoteReference w:id="54"/>
      </w:r>
      <w:r w:rsidRPr="009D20C6">
        <w:rPr>
          <w:rStyle w:val="apple-style-span"/>
          <w:color w:val="000000"/>
        </w:rPr>
        <w:t xml:space="preserve"> </w:t>
      </w:r>
    </w:p>
    <w:p w14:paraId="78BF15EA" w14:textId="77777777" w:rsidR="00A85490" w:rsidRPr="009D20C6" w:rsidRDefault="00A85490" w:rsidP="00986C7E">
      <w:pPr>
        <w:rPr>
          <w:rStyle w:val="apple-style-span"/>
          <w:color w:val="000000"/>
        </w:rPr>
      </w:pPr>
    </w:p>
    <w:p w14:paraId="55B89B81" w14:textId="77777777" w:rsidR="00461EE3" w:rsidRPr="009D20C6" w:rsidRDefault="00461EE3" w:rsidP="00986C7E">
      <w:pPr>
        <w:rPr>
          <w:rStyle w:val="apple-style-span"/>
          <w:color w:val="000000"/>
        </w:rPr>
      </w:pPr>
    </w:p>
    <w:p w14:paraId="26329A7A" w14:textId="77777777" w:rsidR="00907ED2" w:rsidRDefault="006E49A1" w:rsidP="00986C7E">
      <w:r w:rsidRPr="009D20C6">
        <w:rPr>
          <w:rStyle w:val="apple-style-span"/>
          <w:color w:val="000000"/>
        </w:rPr>
        <w:t>This change from ‘</w:t>
      </w:r>
      <w:r w:rsidR="00C421E1">
        <w:rPr>
          <w:rStyle w:val="apple-style-span"/>
          <w:color w:val="000000"/>
        </w:rPr>
        <w:t>time to space’ was effected by ‘</w:t>
      </w:r>
      <w:r w:rsidRPr="009D20C6">
        <w:rPr>
          <w:rStyle w:val="apple-style-span"/>
          <w:color w:val="000000"/>
        </w:rPr>
        <w:t xml:space="preserve">means of four long moving dioramas, which were spooled into rollers and gradually </w:t>
      </w:r>
      <w:r w:rsidR="00C421E1">
        <w:rPr>
          <w:rStyle w:val="apple-style-span"/>
          <w:color w:val="000000"/>
        </w:rPr>
        <w:t>unravelled to simulate movement’.</w:t>
      </w:r>
      <w:r w:rsidR="000B659E">
        <w:rPr>
          <w:rStyle w:val="EndnoteReference"/>
          <w:color w:val="000000"/>
        </w:rPr>
        <w:endnoteReference w:id="55"/>
      </w:r>
      <w:r w:rsidRPr="009D20C6">
        <w:rPr>
          <w:rStyle w:val="apple-style-span"/>
          <w:color w:val="000000"/>
        </w:rPr>
        <w:t xml:space="preserve"> Referred to as a </w:t>
      </w:r>
      <w:r w:rsidR="000B659E">
        <w:rPr>
          <w:rStyle w:val="apple-style-span"/>
          <w:color w:val="000000"/>
        </w:rPr>
        <w:t>‘</w:t>
      </w:r>
      <w:r w:rsidRPr="009D20C6">
        <w:rPr>
          <w:rStyle w:val="apple-style-span"/>
          <w:color w:val="000000"/>
        </w:rPr>
        <w:t>master-stroke in scenic illusion</w:t>
      </w:r>
      <w:r w:rsidR="000B659E">
        <w:rPr>
          <w:rStyle w:val="apple-style-span"/>
          <w:color w:val="000000"/>
        </w:rPr>
        <w:t>’</w:t>
      </w:r>
      <w:r w:rsidRPr="009D20C6">
        <w:rPr>
          <w:rStyle w:val="apple-style-span"/>
          <w:color w:val="000000"/>
        </w:rPr>
        <w:t>, this moment dazzled some of its spectators</w:t>
      </w:r>
      <w:r w:rsidR="00C421E1">
        <w:rPr>
          <w:rStyle w:val="apple-style-span"/>
          <w:color w:val="000000"/>
        </w:rPr>
        <w:t>.</w:t>
      </w:r>
      <w:r w:rsidR="000B659E">
        <w:rPr>
          <w:rStyle w:val="EndnoteReference"/>
          <w:color w:val="000000"/>
        </w:rPr>
        <w:endnoteReference w:id="56"/>
      </w:r>
      <w:r w:rsidRPr="009D20C6">
        <w:rPr>
          <w:rStyle w:val="apple-style-span"/>
          <w:color w:val="000000"/>
        </w:rPr>
        <w:t xml:space="preserve"> </w:t>
      </w:r>
      <w:r w:rsidR="00ED2948" w:rsidRPr="009D20C6">
        <w:rPr>
          <w:rStyle w:val="apple-style-span"/>
          <w:color w:val="000000"/>
        </w:rPr>
        <w:t xml:space="preserve">Composer </w:t>
      </w:r>
      <w:r w:rsidR="000B659E">
        <w:rPr>
          <w:rStyle w:val="apple-style-span"/>
          <w:color w:val="000000"/>
        </w:rPr>
        <w:t xml:space="preserve">Felix </w:t>
      </w:r>
      <w:proofErr w:type="spellStart"/>
      <w:r w:rsidR="000B659E">
        <w:rPr>
          <w:rStyle w:val="apple-style-span"/>
          <w:color w:val="000000"/>
        </w:rPr>
        <w:t>Weingartner</w:t>
      </w:r>
      <w:proofErr w:type="spellEnd"/>
      <w:r w:rsidR="000B659E">
        <w:rPr>
          <w:rStyle w:val="apple-style-span"/>
          <w:color w:val="000000"/>
        </w:rPr>
        <w:t xml:space="preserve"> stated that ‘</w:t>
      </w:r>
      <w:r w:rsidRPr="009D20C6">
        <w:rPr>
          <w:rStyle w:val="apple-style-span"/>
          <w:color w:val="000000"/>
        </w:rPr>
        <w:t>one did not walk, one was carried along</w:t>
      </w:r>
      <w:r w:rsidR="000B659E">
        <w:rPr>
          <w:rStyle w:val="apple-style-span"/>
          <w:color w:val="000000"/>
        </w:rPr>
        <w:t>’</w:t>
      </w:r>
      <w:r w:rsidR="00C421E1">
        <w:rPr>
          <w:rStyle w:val="apple-style-span"/>
          <w:color w:val="000000"/>
        </w:rPr>
        <w:t>.</w:t>
      </w:r>
      <w:r w:rsidR="00921DC5">
        <w:rPr>
          <w:rStyle w:val="EndnoteReference"/>
          <w:color w:val="000000"/>
        </w:rPr>
        <w:endnoteReference w:id="57"/>
      </w:r>
      <w:r w:rsidRPr="009D20C6">
        <w:rPr>
          <w:rStyle w:val="apple-style-span"/>
          <w:color w:val="000000"/>
        </w:rPr>
        <w:t xml:space="preserve"> </w:t>
      </w:r>
      <w:r w:rsidRPr="009D20C6">
        <w:t>Wagner here was trying to further establish the totalising effect of his theatre, by attempting to give the audience the ability to transcend the ‘mystic gulf’ between them and the per</w:t>
      </w:r>
      <w:r w:rsidR="00ED2948" w:rsidRPr="009D20C6">
        <w:t>formers, by following the same ‘</w:t>
      </w:r>
      <w:r w:rsidRPr="009D20C6">
        <w:t>magic paths</w:t>
      </w:r>
      <w:r w:rsidR="00ED2948" w:rsidRPr="009D20C6">
        <w:t>’</w:t>
      </w:r>
      <w:r w:rsidRPr="009D20C6">
        <w:t xml:space="preserve"> as Parsifal</w:t>
      </w:r>
      <w:r w:rsidR="00C421E1">
        <w:t>.</w:t>
      </w:r>
      <w:r w:rsidR="00B775AB">
        <w:rPr>
          <w:rStyle w:val="EndnoteReference"/>
          <w:color w:val="000000"/>
        </w:rPr>
        <w:endnoteReference w:id="58"/>
      </w:r>
      <w:r w:rsidRPr="009D20C6">
        <w:t xml:space="preserve"> </w:t>
      </w:r>
      <w:proofErr w:type="spellStart"/>
      <w:r w:rsidRPr="009D20C6">
        <w:t>Weingartner’s</w:t>
      </w:r>
      <w:proofErr w:type="spellEnd"/>
      <w:r w:rsidRPr="009D20C6">
        <w:t xml:space="preserve"> observation about being ‘carried along’, in addition to contributing to the canon of scholarly work concerning the production’s religious themes, illustrates first-hand the effects of this walking without moving. There is a sense that some of the audience did not need to physically walk in order to be given the feeling of embarking on a journey. In fact, such dislocation of the travelling imagination from that of the stationary body adhered to the spiritual transcendental qualities that </w:t>
      </w:r>
      <w:r w:rsidRPr="009D20C6">
        <w:lastRenderedPageBreak/>
        <w:t>helped to annihilate time and space through the actuality of the drama</w:t>
      </w:r>
      <w:r w:rsidR="00C421E1">
        <w:t>.</w:t>
      </w:r>
      <w:r w:rsidR="00B775AB">
        <w:rPr>
          <w:rStyle w:val="EndnoteReference"/>
          <w:color w:val="000000"/>
        </w:rPr>
        <w:endnoteReference w:id="59"/>
      </w:r>
      <w:r w:rsidRPr="009D20C6">
        <w:t xml:space="preserve"> Rather than resorting to a ‘shutter-like revelation’ </w:t>
      </w:r>
      <w:r w:rsidR="003672EA" w:rsidRPr="009D20C6">
        <w:t xml:space="preserve">between scenes, </w:t>
      </w:r>
      <w:r w:rsidRPr="009D20C6">
        <w:t>which invariably segments the narrative, the audience are “let behind the curtain” to a degree, to follow the characters on their journey</w:t>
      </w:r>
      <w:r w:rsidR="00C421E1">
        <w:t>.</w:t>
      </w:r>
      <w:r w:rsidR="00B775AB">
        <w:rPr>
          <w:rStyle w:val="EndnoteReference"/>
        </w:rPr>
        <w:endnoteReference w:id="60"/>
      </w:r>
      <w:r w:rsidR="000F622E">
        <w:t xml:space="preserve"> Parsifal and </w:t>
      </w:r>
      <w:proofErr w:type="spellStart"/>
      <w:r w:rsidR="000F622E">
        <w:t>Gurn</w:t>
      </w:r>
      <w:r w:rsidRPr="009D20C6">
        <w:t>emanz</w:t>
      </w:r>
      <w:proofErr w:type="spellEnd"/>
      <w:r w:rsidRPr="009D20C6">
        <w:t xml:space="preserve"> do not leave the scene, but the scene leaves them, inverting the usual experience for an audience.</w:t>
      </w:r>
    </w:p>
    <w:p w14:paraId="7E5D0266" w14:textId="77777777" w:rsidR="00D65415" w:rsidRDefault="001D7636" w:rsidP="00A930CB">
      <w:pPr>
        <w:spacing w:before="240"/>
      </w:pPr>
      <w:r w:rsidRPr="009D20C6">
        <w:t>The theatre-specific nature of the production, coupled with the location of the theatre itself, has prompted many academics and critics to describe Bayreuth as a pilgrimage site</w:t>
      </w:r>
      <w:r w:rsidR="00C421E1">
        <w:t>.</w:t>
      </w:r>
      <w:r w:rsidR="00DB7A3C">
        <w:rPr>
          <w:rStyle w:val="EndnoteReference"/>
          <w:color w:val="000000"/>
        </w:rPr>
        <w:endnoteReference w:id="61"/>
      </w:r>
      <w:r w:rsidRPr="009D20C6">
        <w:t xml:space="preserve"> In </w:t>
      </w:r>
      <w:r w:rsidRPr="009D20C6">
        <w:rPr>
          <w:i/>
        </w:rPr>
        <w:t>The Haunted Stage</w:t>
      </w:r>
      <w:r w:rsidR="00F279E1">
        <w:rPr>
          <w:i/>
        </w:rPr>
        <w:t xml:space="preserve"> </w:t>
      </w:r>
      <w:r w:rsidR="00F279E1">
        <w:t>(2001)</w:t>
      </w:r>
      <w:r w:rsidRPr="009D20C6">
        <w:rPr>
          <w:i/>
        </w:rPr>
        <w:t xml:space="preserve">, </w:t>
      </w:r>
      <w:r w:rsidRPr="009D20C6">
        <w:t>Marvin Carlson</w:t>
      </w:r>
      <w:r w:rsidR="00ED2948" w:rsidRPr="009D20C6">
        <w:t xml:space="preserve"> </w:t>
      </w:r>
      <w:r w:rsidRPr="009D20C6">
        <w:t xml:space="preserve">suggests the term “pilgrimage theatre” with reference to unique institutions such as Bayreuth, the </w:t>
      </w:r>
      <w:proofErr w:type="spellStart"/>
      <w:r w:rsidRPr="009D20C6">
        <w:t>Cartoucherie</w:t>
      </w:r>
      <w:proofErr w:type="spellEnd"/>
      <w:r w:rsidRPr="009D20C6">
        <w:t xml:space="preserve"> at Vincennes</w:t>
      </w:r>
      <w:r w:rsidR="00642196">
        <w:t>,</w:t>
      </w:r>
      <w:r w:rsidRPr="009D20C6">
        <w:t xml:space="preserve"> and the </w:t>
      </w:r>
      <w:proofErr w:type="spellStart"/>
      <w:r w:rsidRPr="009D20C6">
        <w:t>Bouffes</w:t>
      </w:r>
      <w:proofErr w:type="spellEnd"/>
      <w:r w:rsidRPr="009D20C6">
        <w:t xml:space="preserve"> du Nord</w:t>
      </w:r>
      <w:r w:rsidR="00C421E1">
        <w:t>.</w:t>
      </w:r>
      <w:r w:rsidR="00D4759C">
        <w:rPr>
          <w:rStyle w:val="EndnoteReference"/>
          <w:color w:val="000000"/>
        </w:rPr>
        <w:endnoteReference w:id="62"/>
      </w:r>
      <w:r w:rsidRPr="009D20C6">
        <w:t xml:space="preserve"> For Carlson, each visit to one of these th</w:t>
      </w:r>
      <w:r w:rsidR="00EC664D" w:rsidRPr="009D20C6">
        <w:t>eatres for recurring audiences ‘</w:t>
      </w:r>
      <w:r w:rsidRPr="009D20C6">
        <w:t>is ghosted by memories not only of visiting this particular theatre in the past but indeed of the much more elaborate process of traveling across Europe or from some remote part o</w:t>
      </w:r>
      <w:r w:rsidR="00EC664D" w:rsidRPr="009D20C6">
        <w:t>f the world to come to Bayreuth’</w:t>
      </w:r>
      <w:r w:rsidR="00C421E1">
        <w:t>.</w:t>
      </w:r>
      <w:r w:rsidR="003F6410">
        <w:rPr>
          <w:rStyle w:val="EndnoteReference"/>
          <w:color w:val="000000"/>
        </w:rPr>
        <w:endnoteReference w:id="63"/>
      </w:r>
      <w:r w:rsidRPr="009D20C6">
        <w:rPr>
          <w:i/>
        </w:rPr>
        <w:t xml:space="preserve"> </w:t>
      </w:r>
      <w:r w:rsidRPr="009D20C6">
        <w:t>Consequently, Matthew Wilson Smith suggests that the audience drew parallels between their journey to the theatre and Parsifal’s journey to the Castle of the Grail</w:t>
      </w:r>
      <w:r w:rsidR="003F6410">
        <w:rPr>
          <w:rStyle w:val="EndnoteReference"/>
          <w:color w:val="000000"/>
        </w:rPr>
        <w:endnoteReference w:id="64"/>
      </w:r>
      <w:r w:rsidRPr="009D20C6">
        <w:t xml:space="preserve">. Matthew Jefferies also makes such a comparison, referring to Bayreuth as a </w:t>
      </w:r>
      <w:r w:rsidR="003F6410">
        <w:t>‘</w:t>
      </w:r>
      <w:r w:rsidRPr="009D20C6">
        <w:t>temple</w:t>
      </w:r>
      <w:r w:rsidR="003F6410">
        <w:t>’</w:t>
      </w:r>
      <w:r w:rsidRPr="009D20C6">
        <w:t xml:space="preserve">, providing </w:t>
      </w:r>
      <w:r w:rsidR="003F6410">
        <w:t>‘</w:t>
      </w:r>
      <w:r w:rsidRPr="009D20C6">
        <w:t>holy communion</w:t>
      </w:r>
      <w:r w:rsidR="003F6410">
        <w:t>’</w:t>
      </w:r>
      <w:r w:rsidRPr="009D20C6">
        <w:t xml:space="preserve"> for its audience</w:t>
      </w:r>
      <w:r w:rsidR="00C421E1">
        <w:t>.</w:t>
      </w:r>
      <w:r w:rsidR="00D212A5">
        <w:rPr>
          <w:rStyle w:val="EndnoteReference"/>
          <w:color w:val="000000"/>
        </w:rPr>
        <w:endnoteReference w:id="65"/>
      </w:r>
    </w:p>
    <w:p w14:paraId="5131F937" w14:textId="77777777" w:rsidR="001A26F9" w:rsidRPr="009D20C6" w:rsidRDefault="001A26F9" w:rsidP="00A930CB">
      <w:pPr>
        <w:spacing w:before="240"/>
      </w:pPr>
      <w:r w:rsidRPr="009D20C6">
        <w:t xml:space="preserve">Wagner’s decision to locate Bayreuth outside of the metropolitan district of theatres meant that audiences wishing to experience his productions had to depart from this also. Their journey to the theatre required a social commitment, its location heightening a sense of exclusivity, which prompted Leo Tolstoy to wonder </w:t>
      </w:r>
      <w:r w:rsidR="00EC664D" w:rsidRPr="009D20C6">
        <w:t>‘</w:t>
      </w:r>
      <w:r w:rsidRPr="009D20C6">
        <w:t>what an honest peasant would say watching the cream of the upper classe</w:t>
      </w:r>
      <w:r w:rsidR="00EC664D" w:rsidRPr="009D20C6">
        <w:t>s engaged in voluntary hypnosis’</w:t>
      </w:r>
      <w:r w:rsidR="00C421E1">
        <w:t>.</w:t>
      </w:r>
      <w:r w:rsidR="00D212A5">
        <w:rPr>
          <w:rStyle w:val="EndnoteReference"/>
        </w:rPr>
        <w:endnoteReference w:id="66"/>
      </w:r>
      <w:r w:rsidRPr="009D20C6">
        <w:t xml:space="preserve"> This </w:t>
      </w:r>
      <w:r w:rsidR="006A2BCA">
        <w:t>“</w:t>
      </w:r>
      <w:r w:rsidRPr="009D20C6">
        <w:t>hypnosis</w:t>
      </w:r>
      <w:r w:rsidR="006A2BCA">
        <w:t>”</w:t>
      </w:r>
      <w:r w:rsidRPr="009D20C6">
        <w:t xml:space="preserve"> was facilitated by Wagner’s creation of the aforementioned </w:t>
      </w:r>
      <w:r w:rsidR="00C421E1">
        <w:t>“</w:t>
      </w:r>
      <w:r w:rsidRPr="009D20C6">
        <w:t>mystic gulf</w:t>
      </w:r>
      <w:r w:rsidR="00C421E1">
        <w:t>”</w:t>
      </w:r>
      <w:r w:rsidRPr="009D20C6">
        <w:t xml:space="preserve">, which created a space without obstacles, no longer dividing the audience from the stage. It allowed </w:t>
      </w:r>
      <w:r w:rsidR="006A2BCA">
        <w:t>some</w:t>
      </w:r>
      <w:r w:rsidRPr="009D20C6">
        <w:t xml:space="preserve"> to imaginatively transgress more fluidly into the world of the play, overcoming a threshold of sorts akin to the </w:t>
      </w:r>
      <w:proofErr w:type="spellStart"/>
      <w:r w:rsidRPr="009D20C6">
        <w:t>liminality</w:t>
      </w:r>
      <w:proofErr w:type="spellEnd"/>
      <w:r w:rsidRPr="009D20C6">
        <w:t xml:space="preserve"> of pilgrims, who when temporarily removed fr</w:t>
      </w:r>
      <w:r w:rsidR="00EC664D" w:rsidRPr="009D20C6">
        <w:t>om a social structure exist in ‘no-place and no-time’</w:t>
      </w:r>
      <w:r w:rsidR="00C421E1">
        <w:t>.</w:t>
      </w:r>
      <w:r w:rsidR="006B4ECC">
        <w:rPr>
          <w:rStyle w:val="EndnoteReference"/>
        </w:rPr>
        <w:endnoteReference w:id="67"/>
      </w:r>
      <w:r w:rsidRPr="009D20C6">
        <w:t xml:space="preserve"> Although the innovative design of the Bayreuth theatre enabled such an effect, this was also strengthened by the journey motif of </w:t>
      </w:r>
      <w:r w:rsidRPr="009D20C6">
        <w:rPr>
          <w:i/>
        </w:rPr>
        <w:t xml:space="preserve">Parsifal, </w:t>
      </w:r>
      <w:r w:rsidRPr="009D20C6">
        <w:t>and the marrying of the spiritual quest of its hero with the audience’s unique journey to the theatre.</w:t>
      </w:r>
    </w:p>
    <w:p w14:paraId="05329E0F" w14:textId="77777777" w:rsidR="00CB6B11" w:rsidRPr="009D20C6" w:rsidRDefault="00CB6B11" w:rsidP="00986C7E">
      <w:pPr>
        <w:pStyle w:val="Heading2"/>
      </w:pPr>
      <w:r w:rsidRPr="009D20C6">
        <w:t>The Epic Flow</w:t>
      </w:r>
      <w:r w:rsidR="005A738D" w:rsidRPr="009D20C6">
        <w:t xml:space="preserve">: Good Soldier </w:t>
      </w:r>
      <w:proofErr w:type="spellStart"/>
      <w:r w:rsidR="003353F7" w:rsidRPr="009D20C6">
        <w:t>Schwejk</w:t>
      </w:r>
      <w:proofErr w:type="spellEnd"/>
    </w:p>
    <w:p w14:paraId="01E64838" w14:textId="77777777" w:rsidR="00C421E1" w:rsidRPr="009D20C6" w:rsidRDefault="00CB6B11" w:rsidP="00986C7E">
      <w:r w:rsidRPr="009D20C6">
        <w:t xml:space="preserve">This illusion of distorting the dimensional qualities of the stage space through technological advances in scenography was further illustrated in Erwin </w:t>
      </w:r>
      <w:proofErr w:type="spellStart"/>
      <w:r w:rsidRPr="009D20C6">
        <w:t>Piscator</w:t>
      </w:r>
      <w:r w:rsidR="00651FB8" w:rsidRPr="009D20C6">
        <w:t>’s</w:t>
      </w:r>
      <w:proofErr w:type="spellEnd"/>
      <w:r w:rsidR="00651FB8" w:rsidRPr="009D20C6">
        <w:t xml:space="preserve"> production of </w:t>
      </w:r>
      <w:r w:rsidR="00651FB8" w:rsidRPr="009D20C6">
        <w:rPr>
          <w:i/>
        </w:rPr>
        <w:t xml:space="preserve">Good Soldier </w:t>
      </w:r>
      <w:proofErr w:type="spellStart"/>
      <w:r w:rsidR="003353F7" w:rsidRPr="003353F7">
        <w:rPr>
          <w:i/>
        </w:rPr>
        <w:t>Schwejk</w:t>
      </w:r>
      <w:proofErr w:type="spellEnd"/>
      <w:r w:rsidR="003353F7" w:rsidRPr="009D20C6">
        <w:t xml:space="preserve"> </w:t>
      </w:r>
      <w:r w:rsidR="00651FB8" w:rsidRPr="009D20C6">
        <w:t>(1927)</w:t>
      </w:r>
      <w:r w:rsidRPr="009D20C6">
        <w:t xml:space="preserve"> at the </w:t>
      </w:r>
      <w:proofErr w:type="spellStart"/>
      <w:r w:rsidRPr="009D20C6">
        <w:t>Piscator-Bühne</w:t>
      </w:r>
      <w:proofErr w:type="spellEnd"/>
      <w:r w:rsidRPr="009D20C6">
        <w:t xml:space="preserve"> Theatre in Berlin. </w:t>
      </w:r>
      <w:r w:rsidR="00651FB8" w:rsidRPr="009D20C6">
        <w:t>D</w:t>
      </w:r>
      <w:r w:rsidRPr="009D20C6">
        <w:t xml:space="preserve">eemed the theatre’s </w:t>
      </w:r>
      <w:r w:rsidR="00750439">
        <w:t>‘</w:t>
      </w:r>
      <w:r w:rsidRPr="009D20C6">
        <w:t>greatest popular success</w:t>
      </w:r>
      <w:r w:rsidR="00750439">
        <w:t>’</w:t>
      </w:r>
      <w:r w:rsidR="00750439">
        <w:rPr>
          <w:rStyle w:val="EndnoteReference"/>
          <w:color w:val="000000"/>
        </w:rPr>
        <w:endnoteReference w:id="68"/>
      </w:r>
      <w:r w:rsidRPr="009D20C6">
        <w:t xml:space="preserve">, </w:t>
      </w:r>
      <w:r w:rsidR="00651FB8" w:rsidRPr="009D20C6">
        <w:t xml:space="preserve">the production was </w:t>
      </w:r>
      <w:r w:rsidRPr="009D20C6">
        <w:t xml:space="preserve">adapted by </w:t>
      </w:r>
      <w:proofErr w:type="spellStart"/>
      <w:r w:rsidRPr="009D20C6">
        <w:t>Piscator</w:t>
      </w:r>
      <w:proofErr w:type="spellEnd"/>
      <w:r w:rsidRPr="009D20C6">
        <w:t xml:space="preserve">, Felix </w:t>
      </w:r>
      <w:proofErr w:type="spellStart"/>
      <w:r w:rsidRPr="009D20C6">
        <w:t>Gasbarra</w:t>
      </w:r>
      <w:proofErr w:type="spellEnd"/>
      <w:r w:rsidR="00642196">
        <w:t>,</w:t>
      </w:r>
      <w:r w:rsidRPr="009D20C6">
        <w:t xml:space="preserve"> and </w:t>
      </w:r>
      <w:proofErr w:type="spellStart"/>
      <w:r w:rsidRPr="009D20C6">
        <w:t>Bertolt</w:t>
      </w:r>
      <w:proofErr w:type="spellEnd"/>
      <w:r w:rsidRPr="009D20C6">
        <w:t xml:space="preserve"> Brecht from the unfinished satirical novel </w:t>
      </w:r>
      <w:r w:rsidRPr="009D20C6">
        <w:rPr>
          <w:rStyle w:val="apple-style-span"/>
          <w:i/>
          <w:iCs/>
          <w:color w:val="000000"/>
        </w:rPr>
        <w:t xml:space="preserve">The Fateful Adventures of the Good Soldier </w:t>
      </w:r>
      <w:proofErr w:type="spellStart"/>
      <w:r w:rsidRPr="009D20C6">
        <w:rPr>
          <w:rStyle w:val="apple-style-span"/>
          <w:i/>
          <w:iCs/>
          <w:color w:val="000000"/>
        </w:rPr>
        <w:t>Švejk</w:t>
      </w:r>
      <w:proofErr w:type="spellEnd"/>
      <w:r w:rsidRPr="009D20C6">
        <w:rPr>
          <w:rStyle w:val="apple-style-span"/>
          <w:i/>
          <w:iCs/>
          <w:color w:val="000000"/>
        </w:rPr>
        <w:t xml:space="preserve"> During the World War</w:t>
      </w:r>
      <w:r w:rsidRPr="009D20C6">
        <w:t xml:space="preserve"> </w:t>
      </w:r>
      <w:r w:rsidR="00651FB8" w:rsidRPr="009D20C6">
        <w:t xml:space="preserve">(1911) </w:t>
      </w:r>
      <w:r w:rsidRPr="009D20C6">
        <w:t xml:space="preserve">by Czech writer Jaroslav </w:t>
      </w:r>
      <w:proofErr w:type="spellStart"/>
      <w:r w:rsidRPr="009D20C6">
        <w:t>Hašek</w:t>
      </w:r>
      <w:proofErr w:type="spellEnd"/>
      <w:r w:rsidRPr="009D20C6">
        <w:t xml:space="preserve">. Whilst, as illustrated in </w:t>
      </w:r>
      <w:r w:rsidRPr="009D20C6">
        <w:rPr>
          <w:i/>
        </w:rPr>
        <w:t xml:space="preserve">Parsifal, </w:t>
      </w:r>
      <w:proofErr w:type="spellStart"/>
      <w:r w:rsidRPr="009D20C6">
        <w:t>scenographic</w:t>
      </w:r>
      <w:proofErr w:type="spellEnd"/>
      <w:r w:rsidRPr="009D20C6">
        <w:t xml:space="preserve"> innovations created an optical </w:t>
      </w:r>
      <w:r w:rsidRPr="009D20C6">
        <w:lastRenderedPageBreak/>
        <w:t xml:space="preserve">illusion of the dimensions of the stage expanding, in </w:t>
      </w:r>
      <w:proofErr w:type="spellStart"/>
      <w:r w:rsidR="003353F7" w:rsidRPr="003353F7">
        <w:rPr>
          <w:i/>
        </w:rPr>
        <w:t>Schwejk</w:t>
      </w:r>
      <w:proofErr w:type="spellEnd"/>
      <w:r w:rsidR="003353F7" w:rsidRPr="009D20C6">
        <w:t xml:space="preserve"> </w:t>
      </w:r>
      <w:r w:rsidRPr="009D20C6">
        <w:t xml:space="preserve">they also underwent contraction, prompting an experience that was both seamless and at times dislocating for its audience. </w:t>
      </w:r>
    </w:p>
    <w:p w14:paraId="7A6D4A9B" w14:textId="77777777" w:rsidR="00CB6B11" w:rsidRDefault="00651FB8" w:rsidP="00C421E1">
      <w:pPr>
        <w:spacing w:before="240"/>
      </w:pPr>
      <w:r w:rsidRPr="009D20C6">
        <w:rPr>
          <w:i/>
        </w:rPr>
        <w:t xml:space="preserve">Good Soldier </w:t>
      </w:r>
      <w:proofErr w:type="spellStart"/>
      <w:r w:rsidR="003353F7" w:rsidRPr="003353F7">
        <w:rPr>
          <w:i/>
        </w:rPr>
        <w:t>Schwejk</w:t>
      </w:r>
      <w:proofErr w:type="spellEnd"/>
      <w:r w:rsidR="003353F7" w:rsidRPr="009D20C6">
        <w:t xml:space="preserve"> </w:t>
      </w:r>
      <w:r w:rsidRPr="009D20C6">
        <w:t>concerns the never-en</w:t>
      </w:r>
      <w:r w:rsidR="00EC664D" w:rsidRPr="009D20C6">
        <w:t>ding march of the good soldier ‘</w:t>
      </w:r>
      <w:r w:rsidRPr="009D20C6">
        <w:t>who accepts anything at all, and walks through the wicked world invulnerable</w:t>
      </w:r>
      <w:r w:rsidR="00750439">
        <w:t>’</w:t>
      </w:r>
      <w:r w:rsidRPr="009D20C6">
        <w:t xml:space="preserve"> by marching in a </w:t>
      </w:r>
      <w:r w:rsidR="00750439">
        <w:t>‘</w:t>
      </w:r>
      <w:r w:rsidRPr="009D20C6">
        <w:t>straight line, looking neither right nor left</w:t>
      </w:r>
      <w:r w:rsidR="00EC664D" w:rsidRPr="009D20C6">
        <w:t>’</w:t>
      </w:r>
      <w:r w:rsidR="00C421E1">
        <w:t>.</w:t>
      </w:r>
      <w:r w:rsidR="008D6A6A">
        <w:rPr>
          <w:rStyle w:val="EndnoteReference"/>
          <w:color w:val="000000"/>
        </w:rPr>
        <w:endnoteReference w:id="69"/>
      </w:r>
      <w:r w:rsidRPr="009D20C6">
        <w:t xml:space="preserve"> He is a figure whose blind loyalty to the Austro-Hungarian cause, prompts him to march in total obliviousness of anything that he passes unless it hinders him from reaching the Austrian Front. </w:t>
      </w:r>
      <w:r w:rsidR="00C01E49" w:rsidRPr="009D20C6">
        <w:t xml:space="preserve">Through the stage design, </w:t>
      </w:r>
      <w:proofErr w:type="spellStart"/>
      <w:r w:rsidRPr="009D20C6">
        <w:t>Piscator</w:t>
      </w:r>
      <w:proofErr w:type="spellEnd"/>
      <w:r w:rsidRPr="009D20C6">
        <w:t xml:space="preserve"> </w:t>
      </w:r>
      <w:r w:rsidR="00C01E49" w:rsidRPr="009D20C6">
        <w:t>sought to retain</w:t>
      </w:r>
      <w:r w:rsidRPr="009D20C6">
        <w:t xml:space="preserve"> the rambling step-by-step structure of the novel </w:t>
      </w:r>
      <w:r w:rsidR="00C01E49" w:rsidRPr="009D20C6">
        <w:t>by building a large conveyor belt on stage for the performers to walk on</w:t>
      </w:r>
      <w:r w:rsidR="00C421E1">
        <w:t>.</w:t>
      </w:r>
      <w:r w:rsidR="008D6A6A">
        <w:rPr>
          <w:rStyle w:val="EndnoteReference"/>
          <w:color w:val="000000"/>
        </w:rPr>
        <w:endnoteReference w:id="70"/>
      </w:r>
      <w:r w:rsidRPr="009D20C6">
        <w:t xml:space="preserve"> </w:t>
      </w:r>
      <w:proofErr w:type="spellStart"/>
      <w:r w:rsidR="003353F7" w:rsidRPr="003353F7">
        <w:t>Schwejk</w:t>
      </w:r>
      <w:proofErr w:type="spellEnd"/>
      <w:r w:rsidR="003353F7" w:rsidRPr="009D20C6">
        <w:t xml:space="preserve"> </w:t>
      </w:r>
      <w:r w:rsidRPr="009D20C6">
        <w:t xml:space="preserve">would </w:t>
      </w:r>
      <w:r w:rsidR="004F1214" w:rsidRPr="009D20C6">
        <w:t>not</w:t>
      </w:r>
      <w:r w:rsidRPr="009D20C6">
        <w:t xml:space="preserve"> need to leave the stage, and his long march into infinity would continue uninterrupted. The compression of the novel’s essentials  working in conjunction with that of the seemingly expansive properties of the conveyor belt, allowed for the ‘seamless’ flow of events to physically occur </w:t>
      </w:r>
      <w:r w:rsidR="001C7B23">
        <w:t>“</w:t>
      </w:r>
      <w:r w:rsidRPr="009D20C6">
        <w:t>step-by-st</w:t>
      </w:r>
      <w:r w:rsidR="00EC664D" w:rsidRPr="009D20C6">
        <w:t>ep</w:t>
      </w:r>
      <w:r w:rsidR="001C7B23">
        <w:t>”</w:t>
      </w:r>
      <w:r w:rsidR="00C421E1">
        <w:t>.</w:t>
      </w:r>
      <w:r w:rsidR="00A37404">
        <w:rPr>
          <w:rStyle w:val="EndnoteReference"/>
          <w:color w:val="000000"/>
        </w:rPr>
        <w:endnoteReference w:id="71"/>
      </w:r>
    </w:p>
    <w:p w14:paraId="4DD41A57" w14:textId="77777777" w:rsidR="0088227D" w:rsidRDefault="00651FB8" w:rsidP="00A930CB">
      <w:pPr>
        <w:spacing w:before="240"/>
      </w:pPr>
      <w:r w:rsidRPr="009D20C6">
        <w:t xml:space="preserve">The conveyor belt was similar to the moving panorama in </w:t>
      </w:r>
      <w:r w:rsidRPr="009D20C6">
        <w:rPr>
          <w:i/>
        </w:rPr>
        <w:t xml:space="preserve">Parsifal, </w:t>
      </w:r>
      <w:r w:rsidRPr="009D20C6">
        <w:t xml:space="preserve">in which </w:t>
      </w:r>
      <w:proofErr w:type="spellStart"/>
      <w:r w:rsidR="003353F7" w:rsidRPr="003353F7">
        <w:t>Schwejk</w:t>
      </w:r>
      <w:proofErr w:type="spellEnd"/>
      <w:r w:rsidR="003353F7" w:rsidRPr="009D20C6">
        <w:t xml:space="preserve"> </w:t>
      </w:r>
      <w:r w:rsidRPr="009D20C6">
        <w:t xml:space="preserve">did not need to enter or exit a scene, but the scene seemingly entered around </w:t>
      </w:r>
      <w:r w:rsidRPr="009D20C6">
        <w:rPr>
          <w:i/>
        </w:rPr>
        <w:t>him</w:t>
      </w:r>
      <w:r w:rsidRPr="009D20C6">
        <w:t xml:space="preserve">, thus creating a totalising effect by offering a more seamless experience for the audience. Nevertheless, one of the factors that undercut </w:t>
      </w:r>
      <w:r w:rsidR="00617339" w:rsidRPr="009D20C6">
        <w:t>its</w:t>
      </w:r>
      <w:r w:rsidRPr="009D20C6">
        <w:t xml:space="preserve"> illusi</w:t>
      </w:r>
      <w:r w:rsidR="00617339" w:rsidRPr="009D20C6">
        <w:t>ve qualities</w:t>
      </w:r>
      <w:r w:rsidRPr="009D20C6">
        <w:t xml:space="preserve"> was that </w:t>
      </w:r>
      <w:proofErr w:type="spellStart"/>
      <w:r w:rsidR="003353F7" w:rsidRPr="003353F7">
        <w:t>Schwejk</w:t>
      </w:r>
      <w:proofErr w:type="spellEnd"/>
      <w:r w:rsidRPr="009D20C6">
        <w:t>, when marching, never left his spot on the treadmill, and his overall demeanour did not alter noticeably. He moved with</w:t>
      </w:r>
      <w:r w:rsidR="00EC664D" w:rsidRPr="009D20C6">
        <w:t>out being moved himself, going ‘</w:t>
      </w:r>
      <w:r w:rsidRPr="009D20C6">
        <w:t xml:space="preserve">beyond the single-room space and cause-and-effect </w:t>
      </w:r>
      <w:r w:rsidR="00EC664D" w:rsidRPr="009D20C6">
        <w:t>linear time of dramatic theatre’</w:t>
      </w:r>
      <w:r w:rsidRPr="009D20C6">
        <w:t>, whilst remaining within the same location on stage</w:t>
      </w:r>
      <w:r w:rsidR="00C421E1">
        <w:t>.</w:t>
      </w:r>
      <w:r w:rsidR="001F0A75">
        <w:rPr>
          <w:rStyle w:val="EndnoteReference"/>
          <w:color w:val="000000"/>
        </w:rPr>
        <w:endnoteReference w:id="72"/>
      </w:r>
      <w:r w:rsidR="00DD0EB2" w:rsidRPr="009D20C6">
        <w:t xml:space="preserve"> </w:t>
      </w:r>
      <w:r w:rsidRPr="009D20C6">
        <w:t xml:space="preserve">The initial comedy in </w:t>
      </w:r>
      <w:proofErr w:type="spellStart"/>
      <w:r w:rsidR="003353F7" w:rsidRPr="003353F7">
        <w:t>Schwejk</w:t>
      </w:r>
      <w:r w:rsidR="003353F7">
        <w:t>’s</w:t>
      </w:r>
      <w:proofErr w:type="spellEnd"/>
      <w:r w:rsidR="003353F7" w:rsidRPr="009D20C6">
        <w:t xml:space="preserve"> </w:t>
      </w:r>
      <w:r w:rsidRPr="009D20C6">
        <w:t>inability to move whilst walking became something tragic,</w:t>
      </w:r>
      <w:r w:rsidR="009B4F1F" w:rsidRPr="009D20C6">
        <w:t xml:space="preserve"> in accordance with the figure ‘</w:t>
      </w:r>
      <w:proofErr w:type="gramStart"/>
      <w:r w:rsidRPr="009D20C6">
        <w:t>who</w:t>
      </w:r>
      <w:proofErr w:type="gramEnd"/>
      <w:r w:rsidRPr="009D20C6">
        <w:t xml:space="preserve"> did not develop at all in the course of the novel</w:t>
      </w:r>
      <w:r w:rsidR="009B4F1F" w:rsidRPr="009D20C6">
        <w:t>’</w:t>
      </w:r>
      <w:r w:rsidR="00C421E1">
        <w:t>.</w:t>
      </w:r>
      <w:r w:rsidR="001F0A75">
        <w:rPr>
          <w:rStyle w:val="EndnoteReference"/>
        </w:rPr>
        <w:endnoteReference w:id="73"/>
      </w:r>
      <w:r w:rsidR="00D82CC6" w:rsidRPr="009D20C6">
        <w:t xml:space="preserve"> </w:t>
      </w:r>
      <w:r w:rsidR="009B4F1F" w:rsidRPr="009D20C6">
        <w:t>For Sarah Bryant-</w:t>
      </w:r>
      <w:proofErr w:type="spellStart"/>
      <w:r w:rsidR="009B4F1F" w:rsidRPr="009D20C6">
        <w:t>Bertail</w:t>
      </w:r>
      <w:proofErr w:type="spellEnd"/>
      <w:r w:rsidR="009B4F1F" w:rsidRPr="009D20C6">
        <w:t>, the ‘</w:t>
      </w:r>
      <w:proofErr w:type="spellStart"/>
      <w:r w:rsidR="0088227D" w:rsidRPr="009D20C6">
        <w:t>Piscator-Bühne</w:t>
      </w:r>
      <w:proofErr w:type="spellEnd"/>
      <w:r w:rsidR="0088227D" w:rsidRPr="009D20C6">
        <w:t xml:space="preserve"> had accidently discovered the potential for subversive humour inherent in th</w:t>
      </w:r>
      <w:r w:rsidR="009B4F1F" w:rsidRPr="009D20C6">
        <w:t>e modern stage apparatus itself’</w:t>
      </w:r>
      <w:r w:rsidR="00C421E1">
        <w:t>,</w:t>
      </w:r>
      <w:r w:rsidR="001F0A75">
        <w:rPr>
          <w:rStyle w:val="EndnoteReference"/>
        </w:rPr>
        <w:endnoteReference w:id="74"/>
      </w:r>
      <w:r w:rsidR="0088227D" w:rsidRPr="009D20C6">
        <w:t xml:space="preserve"> and this oscillation between tragedy and comedy relates to the seemingly paradoxical expansive and restrictive dimensions of the stage. </w:t>
      </w:r>
    </w:p>
    <w:p w14:paraId="5D035A17" w14:textId="77777777" w:rsidR="00580346" w:rsidRDefault="00580346" w:rsidP="00A930CB">
      <w:pPr>
        <w:spacing w:before="240"/>
      </w:pPr>
      <w:r w:rsidRPr="009D20C6">
        <w:t xml:space="preserve">These contradictive components were further strengthened by </w:t>
      </w:r>
      <w:proofErr w:type="spellStart"/>
      <w:r w:rsidRPr="009D20C6">
        <w:t>Piscator’s</w:t>
      </w:r>
      <w:proofErr w:type="spellEnd"/>
      <w:r w:rsidRPr="009D20C6">
        <w:t xml:space="preserve"> other </w:t>
      </w:r>
      <w:proofErr w:type="spellStart"/>
      <w:r w:rsidRPr="009D20C6">
        <w:t>scenographic</w:t>
      </w:r>
      <w:proofErr w:type="spellEnd"/>
      <w:r w:rsidRPr="009D20C6">
        <w:t xml:space="preserve"> additions. Behind </w:t>
      </w:r>
      <w:proofErr w:type="spellStart"/>
      <w:r w:rsidR="003353F7" w:rsidRPr="003353F7">
        <w:t>Schwejk</w:t>
      </w:r>
      <w:r w:rsidR="003353F7">
        <w:t>’s</w:t>
      </w:r>
      <w:proofErr w:type="spellEnd"/>
      <w:r w:rsidR="003353F7" w:rsidRPr="009D20C6">
        <w:t xml:space="preserve"> </w:t>
      </w:r>
      <w:r w:rsidRPr="009D20C6">
        <w:t>treadmill, and parallel to it was another conveyor belt, which was employed in order to send actors, props and scenery onto the stage. In addition to allowing scene changes to occur almost seamlessly around the central character, it also,</w:t>
      </w:r>
      <w:r w:rsidR="009B4F1F" w:rsidRPr="009D20C6">
        <w:t xml:space="preserve"> for Bryant-</w:t>
      </w:r>
      <w:proofErr w:type="spellStart"/>
      <w:r w:rsidR="009B4F1F" w:rsidRPr="009D20C6">
        <w:t>Bertail</w:t>
      </w:r>
      <w:proofErr w:type="spellEnd"/>
      <w:r w:rsidR="009B4F1F" w:rsidRPr="009D20C6">
        <w:t>, suggested ‘</w:t>
      </w:r>
      <w:r w:rsidRPr="009D20C6">
        <w:t xml:space="preserve">a </w:t>
      </w:r>
      <w:r w:rsidRPr="009D20C6">
        <w:rPr>
          <w:i/>
        </w:rPr>
        <w:t xml:space="preserve">counter-discourse: </w:t>
      </w:r>
      <w:proofErr w:type="spellStart"/>
      <w:r w:rsidRPr="009D20C6">
        <w:t>Schwejk</w:t>
      </w:r>
      <w:proofErr w:type="spellEnd"/>
      <w:r w:rsidRPr="009D20C6">
        <w:t xml:space="preserve"> walked against the forces rushi</w:t>
      </w:r>
      <w:r w:rsidR="009B4F1F" w:rsidRPr="009D20C6">
        <w:t>ng towards or towering over him’</w:t>
      </w:r>
      <w:r w:rsidR="00C421E1">
        <w:t>.</w:t>
      </w:r>
      <w:r w:rsidR="00DC4F6F">
        <w:rPr>
          <w:rStyle w:val="EndnoteReference"/>
          <w:color w:val="000000"/>
        </w:rPr>
        <w:endnoteReference w:id="75"/>
      </w:r>
      <w:r w:rsidRPr="009D20C6">
        <w:t xml:space="preserve"> These ‘forces’ were illustrated on a screen behind the stage, in which projections of satirical drawings by Dada artist George Grosz  would unravel before the audience as </w:t>
      </w:r>
      <w:proofErr w:type="spellStart"/>
      <w:r w:rsidR="003353F7" w:rsidRPr="003353F7">
        <w:t>Schwejk</w:t>
      </w:r>
      <w:proofErr w:type="spellEnd"/>
      <w:r w:rsidRPr="009D20C6">
        <w:t xml:space="preserve"> walked. Bryant-</w:t>
      </w:r>
      <w:proofErr w:type="spellStart"/>
      <w:r w:rsidRPr="009D20C6">
        <w:t>Bertail</w:t>
      </w:r>
      <w:proofErr w:type="spellEnd"/>
      <w:r w:rsidRPr="009D20C6">
        <w:t xml:space="preserve"> further illustrates the earlier usage of photomontage by the Dada movement as being influential in highlighting the comic irony of </w:t>
      </w:r>
      <w:proofErr w:type="spellStart"/>
      <w:r w:rsidR="003353F7" w:rsidRPr="003353F7">
        <w:rPr>
          <w:i/>
        </w:rPr>
        <w:t>Schwejk</w:t>
      </w:r>
      <w:proofErr w:type="spellEnd"/>
      <w:r w:rsidRPr="009D20C6">
        <w:t>, in which the social relationships between characters ran at times in tandem with the larger political backdrop</w:t>
      </w:r>
      <w:r w:rsidR="00C421E1">
        <w:t>.</w:t>
      </w:r>
      <w:r w:rsidR="003A31CB">
        <w:rPr>
          <w:rStyle w:val="EndnoteReference"/>
          <w:color w:val="000000"/>
        </w:rPr>
        <w:endnoteReference w:id="76"/>
      </w:r>
      <w:r w:rsidRPr="009D20C6">
        <w:t xml:space="preserve"> At one instance, </w:t>
      </w:r>
      <w:proofErr w:type="spellStart"/>
      <w:r w:rsidR="003353F7" w:rsidRPr="003353F7">
        <w:t>Schwejk</w:t>
      </w:r>
      <w:proofErr w:type="spellEnd"/>
      <w:r w:rsidR="003353F7" w:rsidRPr="009D20C6">
        <w:t xml:space="preserve"> </w:t>
      </w:r>
      <w:r w:rsidRPr="009D20C6">
        <w:t xml:space="preserve">conducts a large march from a village, only to then find </w:t>
      </w:r>
      <w:proofErr w:type="gramStart"/>
      <w:r w:rsidRPr="009D20C6">
        <w:t>himself</w:t>
      </w:r>
      <w:proofErr w:type="gramEnd"/>
      <w:r w:rsidRPr="009D20C6">
        <w:t xml:space="preserve"> back in the same village again, his route projected </w:t>
      </w:r>
      <w:r w:rsidRPr="009D20C6">
        <w:lastRenderedPageBreak/>
        <w:t>above</w:t>
      </w:r>
      <w:r w:rsidR="00C421E1">
        <w:t>.</w:t>
      </w:r>
      <w:r w:rsidR="003A31CB">
        <w:rPr>
          <w:rStyle w:val="EndnoteReference"/>
          <w:color w:val="000000"/>
        </w:rPr>
        <w:endnoteReference w:id="77"/>
      </w:r>
      <w:r w:rsidRPr="009D20C6">
        <w:t xml:space="preserve"> This moment highlights his comic ignorance of events but also suggests a tragedy that is i</w:t>
      </w:r>
      <w:r w:rsidR="00A85B26" w:rsidRPr="009D20C6">
        <w:t>nescapable, one that is emphasiz</w:t>
      </w:r>
      <w:r w:rsidRPr="009D20C6">
        <w:t xml:space="preserve">ed by the cyclical treadmill. Unlike </w:t>
      </w:r>
      <w:proofErr w:type="spellStart"/>
      <w:r w:rsidR="003353F7" w:rsidRPr="003353F7">
        <w:t>Schwejk</w:t>
      </w:r>
      <w:proofErr w:type="spellEnd"/>
      <w:r w:rsidRPr="009D20C6">
        <w:t xml:space="preserve">, the projections changed their appearance </w:t>
      </w:r>
      <w:r w:rsidR="009B4F1F" w:rsidRPr="009D20C6">
        <w:t>constantly, presenting the war ‘</w:t>
      </w:r>
      <w:r w:rsidRPr="009D20C6">
        <w:t>as pieces of a montage that the spectators were entrusted to c</w:t>
      </w:r>
      <w:r w:rsidR="009B4F1F" w:rsidRPr="009D20C6">
        <w:t xml:space="preserve">onnect as a system in </w:t>
      </w:r>
      <w:proofErr w:type="gramStart"/>
      <w:r w:rsidR="009B4F1F" w:rsidRPr="009D20C6">
        <w:t>process’</w:t>
      </w:r>
      <w:proofErr w:type="gramEnd"/>
      <w:r w:rsidR="00C421E1">
        <w:t>.</w:t>
      </w:r>
      <w:r w:rsidR="003A31CB">
        <w:rPr>
          <w:rStyle w:val="EndnoteReference"/>
          <w:color w:val="000000"/>
        </w:rPr>
        <w:endnoteReference w:id="78"/>
      </w:r>
      <w:r w:rsidRPr="009D20C6">
        <w:t xml:space="preserve"> This was a heavily politici</w:t>
      </w:r>
      <w:r w:rsidR="00A85B26" w:rsidRPr="009D20C6">
        <w:t>z</w:t>
      </w:r>
      <w:r w:rsidRPr="009D20C6">
        <w:t xml:space="preserve">ed landscape in which each projection sketched </w:t>
      </w:r>
      <w:r w:rsidR="003A31CB">
        <w:t>‘</w:t>
      </w:r>
      <w:r w:rsidRPr="009D20C6">
        <w:t xml:space="preserve">in the power structure to which </w:t>
      </w:r>
      <w:proofErr w:type="spellStart"/>
      <w:r w:rsidRPr="009D20C6">
        <w:t>Schwejk</w:t>
      </w:r>
      <w:proofErr w:type="spellEnd"/>
      <w:r w:rsidRPr="009D20C6">
        <w:t xml:space="preserve"> and his ilk are subject</w:t>
      </w:r>
      <w:r w:rsidR="003A31CB">
        <w:t>’</w:t>
      </w:r>
      <w:r w:rsidR="00C421E1">
        <w:t>.</w:t>
      </w:r>
      <w:r w:rsidR="003A31CB">
        <w:rPr>
          <w:rStyle w:val="EndnoteReference"/>
          <w:color w:val="000000"/>
        </w:rPr>
        <w:endnoteReference w:id="79"/>
      </w:r>
      <w:r w:rsidRPr="009D20C6">
        <w:t xml:space="preserve"> </w:t>
      </w:r>
      <w:proofErr w:type="spellStart"/>
      <w:r w:rsidR="003353F7" w:rsidRPr="003353F7">
        <w:t>Schwejk</w:t>
      </w:r>
      <w:r w:rsidR="003353F7">
        <w:t>’s</w:t>
      </w:r>
      <w:proofErr w:type="spellEnd"/>
      <w:r w:rsidR="003353F7" w:rsidRPr="009D20C6">
        <w:t xml:space="preserve"> </w:t>
      </w:r>
      <w:r w:rsidRPr="009D20C6">
        <w:t xml:space="preserve">journey became bound up with the political history of Europe, its changeability casting the unchangeable soldier as a contradictory symbol of ignorance and passivity who does not react to it. </w:t>
      </w:r>
    </w:p>
    <w:p w14:paraId="64A40011" w14:textId="77777777" w:rsidR="00DD0EB2" w:rsidRPr="009D20C6" w:rsidRDefault="00DD0EB2" w:rsidP="00A930CB">
      <w:pPr>
        <w:spacing w:before="240"/>
      </w:pPr>
      <w:r w:rsidRPr="009D20C6">
        <w:t xml:space="preserve">In addition to the logistical feats of operating the treadmills themselves, comedian Max </w:t>
      </w:r>
      <w:proofErr w:type="spellStart"/>
      <w:r w:rsidRPr="009D20C6">
        <w:t>Pallenberg</w:t>
      </w:r>
      <w:proofErr w:type="spellEnd"/>
      <w:r w:rsidRPr="009D20C6">
        <w:t xml:space="preserve">, who played </w:t>
      </w:r>
      <w:proofErr w:type="spellStart"/>
      <w:r w:rsidR="003353F7" w:rsidRPr="003353F7">
        <w:t>Schwejk</w:t>
      </w:r>
      <w:proofErr w:type="spellEnd"/>
      <w:r w:rsidR="003353F7" w:rsidRPr="009D20C6">
        <w:t xml:space="preserve"> </w:t>
      </w:r>
      <w:r w:rsidRPr="009D20C6">
        <w:t xml:space="preserve">in the production, had the challenge of performing on them for a prolonged period of time. However, although </w:t>
      </w:r>
      <w:proofErr w:type="spellStart"/>
      <w:r w:rsidRPr="009D20C6">
        <w:t>Piscator</w:t>
      </w:r>
      <w:proofErr w:type="spellEnd"/>
      <w:r w:rsidRPr="009D20C6">
        <w:t xml:space="preserve"> </w:t>
      </w:r>
      <w:r w:rsidR="0066295C" w:rsidRPr="009D20C6">
        <w:t>highlights the challenges</w:t>
      </w:r>
      <w:r w:rsidRPr="009D20C6">
        <w:t xml:space="preserve"> of acting whilst walking for a prolonged period</w:t>
      </w:r>
      <w:r w:rsidR="00C421E1">
        <w:t>,</w:t>
      </w:r>
      <w:r w:rsidR="0036608A">
        <w:rPr>
          <w:rStyle w:val="EndnoteReference"/>
          <w:color w:val="000000"/>
        </w:rPr>
        <w:endnoteReference w:id="80"/>
      </w:r>
      <w:r w:rsidRPr="009D20C6">
        <w:t xml:space="preserve"> there may have been advantages for the actor also. The ‘uninterrupted flow’ of the play </w:t>
      </w:r>
      <w:r w:rsidR="009B4F1F" w:rsidRPr="009D20C6">
        <w:t>may have</w:t>
      </w:r>
      <w:r w:rsidRPr="009D20C6">
        <w:t xml:space="preserve"> benefit</w:t>
      </w:r>
      <w:r w:rsidR="009B4F1F" w:rsidRPr="009D20C6">
        <w:t>ted</w:t>
      </w:r>
      <w:r w:rsidRPr="009D20C6">
        <w:t xml:space="preserve"> the performer, who c</w:t>
      </w:r>
      <w:r w:rsidR="009B4F1F" w:rsidRPr="009D20C6">
        <w:t>ould</w:t>
      </w:r>
      <w:r w:rsidRPr="009D20C6">
        <w:t xml:space="preserve"> now remain </w:t>
      </w:r>
      <w:r w:rsidR="00C421E1">
        <w:t>“</w:t>
      </w:r>
      <w:r w:rsidRPr="009D20C6">
        <w:t>in role</w:t>
      </w:r>
      <w:r w:rsidR="00C421E1">
        <w:t>”</w:t>
      </w:r>
      <w:r w:rsidRPr="009D20C6">
        <w:t xml:space="preserve"> throughout with very little dialogue. For Brecht, the </w:t>
      </w:r>
      <w:r w:rsidR="009B4F1F" w:rsidRPr="009D20C6">
        <w:t>‘</w:t>
      </w:r>
      <w:r w:rsidRPr="009D20C6">
        <w:t>performer’s self-observation, an artful and artistic act of self-alienation, stopped the spectator from losing himself in the character completely, i.e. to the point of giving up his own identity, and lent a sp</w:t>
      </w:r>
      <w:r w:rsidR="009B4F1F" w:rsidRPr="009D20C6">
        <w:t>lendid remoteness to the events’</w:t>
      </w:r>
      <w:r w:rsidR="00C421E1">
        <w:t>.</w:t>
      </w:r>
      <w:r w:rsidR="0036608A">
        <w:rPr>
          <w:rStyle w:val="EndnoteReference"/>
        </w:rPr>
        <w:endnoteReference w:id="81"/>
      </w:r>
      <w:r w:rsidRPr="009D20C6">
        <w:t xml:space="preserve"> Such </w:t>
      </w:r>
      <w:r w:rsidR="00C421E1">
        <w:t>“</w:t>
      </w:r>
      <w:r w:rsidRPr="009D20C6">
        <w:t>self-observation</w:t>
      </w:r>
      <w:r w:rsidR="00C421E1">
        <w:t>”</w:t>
      </w:r>
      <w:r w:rsidRPr="009D20C6">
        <w:t xml:space="preserve">, one could argue, was aided by </w:t>
      </w:r>
      <w:proofErr w:type="spellStart"/>
      <w:r w:rsidRPr="009D20C6">
        <w:t>Pallenberg</w:t>
      </w:r>
      <w:proofErr w:type="spellEnd"/>
      <w:r w:rsidRPr="009D20C6">
        <w:t xml:space="preserve"> remaining on stage throughout, his constant movement becoming a process of suspension which enabled him to avoid depicting a fully grounded and perhaps more naturalistic representation of </w:t>
      </w:r>
      <w:proofErr w:type="spellStart"/>
      <w:r w:rsidR="003353F7" w:rsidRPr="003353F7">
        <w:t>Schwejk</w:t>
      </w:r>
      <w:proofErr w:type="spellEnd"/>
      <w:r w:rsidRPr="009D20C6">
        <w:t xml:space="preserve">. Apart from some minor distractions, integral to the plot, the character of </w:t>
      </w:r>
      <w:proofErr w:type="spellStart"/>
      <w:r w:rsidR="003353F7" w:rsidRPr="003353F7">
        <w:t>Schwejk</w:t>
      </w:r>
      <w:proofErr w:type="spellEnd"/>
      <w:r w:rsidR="003353F7" w:rsidRPr="009D20C6">
        <w:t xml:space="preserve"> </w:t>
      </w:r>
      <w:r w:rsidRPr="009D20C6">
        <w:t>was allowed to remain unchanged, retaining the passivity of the character</w:t>
      </w:r>
      <w:r w:rsidR="0036608A">
        <w:rPr>
          <w:rStyle w:val="EndnoteReference"/>
          <w:color w:val="000000"/>
        </w:rPr>
        <w:endnoteReference w:id="82"/>
      </w:r>
      <w:r w:rsidRPr="009D20C6">
        <w:t xml:space="preserve"> and became </w:t>
      </w:r>
      <w:r w:rsidR="0036608A">
        <w:t>‘</w:t>
      </w:r>
      <w:r w:rsidRPr="009D20C6">
        <w:t>one with the figure</w:t>
      </w:r>
      <w:r w:rsidR="0036608A">
        <w:t>’</w:t>
      </w:r>
      <w:r w:rsidRPr="009D20C6">
        <w:t xml:space="preserve"> as one critic noted</w:t>
      </w:r>
      <w:r w:rsidR="00C421E1">
        <w:t>.</w:t>
      </w:r>
      <w:r w:rsidR="0036608A">
        <w:rPr>
          <w:rStyle w:val="EndnoteReference"/>
          <w:color w:val="000000"/>
        </w:rPr>
        <w:endnoteReference w:id="83"/>
      </w:r>
      <w:r w:rsidRPr="009D20C6">
        <w:t xml:space="preserve"> The seamless flow of events created through the use of walking can therefore benefit the performer who never lef</w:t>
      </w:r>
      <w:r w:rsidR="0036608A">
        <w:t>t the stage, engaged within an ‘</w:t>
      </w:r>
      <w:r w:rsidRPr="009D20C6">
        <w:t>epic flow</w:t>
      </w:r>
      <w:r w:rsidR="0036608A">
        <w:t>’</w:t>
      </w:r>
      <w:r w:rsidR="00C421E1">
        <w:t>.</w:t>
      </w:r>
      <w:r w:rsidR="0036608A">
        <w:rPr>
          <w:rStyle w:val="EndnoteReference"/>
          <w:color w:val="000000"/>
        </w:rPr>
        <w:endnoteReference w:id="84"/>
      </w:r>
    </w:p>
    <w:p w14:paraId="02A3729B" w14:textId="77777777" w:rsidR="003140C1" w:rsidRPr="009D20C6" w:rsidRDefault="003140C1" w:rsidP="00986C7E">
      <w:pPr>
        <w:pStyle w:val="Heading2"/>
      </w:pPr>
      <w:r w:rsidRPr="009D20C6">
        <w:t>Inward Walking: Footfalls</w:t>
      </w:r>
      <w:r w:rsidR="005C7E40" w:rsidRPr="009D20C6">
        <w:t xml:space="preserve"> </w:t>
      </w:r>
    </w:p>
    <w:p w14:paraId="53706366" w14:textId="77777777" w:rsidR="003140C1" w:rsidRDefault="003140C1" w:rsidP="00986C7E">
      <w:r w:rsidRPr="009D20C6">
        <w:t xml:space="preserve">In the previous </w:t>
      </w:r>
      <w:r w:rsidR="00E652AD" w:rsidRPr="009D20C6">
        <w:t>examples</w:t>
      </w:r>
      <w:r w:rsidRPr="009D20C6">
        <w:t xml:space="preserve"> technological developments in scenography allowed for the performer to walk unobstructed, without having to turn around. However, in </w:t>
      </w:r>
      <w:r w:rsidRPr="009D20C6">
        <w:rPr>
          <w:i/>
        </w:rPr>
        <w:t xml:space="preserve">Footfalls, </w:t>
      </w:r>
      <w:r w:rsidRPr="009D20C6">
        <w:t>performed originally at the Royal Court in 1976,</w:t>
      </w:r>
      <w:r w:rsidRPr="009D20C6">
        <w:rPr>
          <w:rFonts w:eastAsia="Times New Roman"/>
          <w:i/>
          <w:lang w:eastAsia="en-GB"/>
        </w:rPr>
        <w:t xml:space="preserve"> </w:t>
      </w:r>
      <w:r w:rsidRPr="009D20C6">
        <w:rPr>
          <w:rFonts w:eastAsia="Times New Roman"/>
          <w:lang w:eastAsia="en-GB"/>
        </w:rPr>
        <w:t xml:space="preserve">the action of turning around and retracing steps is critical to its dramatic effect. </w:t>
      </w:r>
      <w:r w:rsidRPr="009D20C6">
        <w:t xml:space="preserve">In a dimly lit stage a woman named May with </w:t>
      </w:r>
      <w:r w:rsidR="002F5143">
        <w:t>‘</w:t>
      </w:r>
      <w:r w:rsidRPr="009D20C6">
        <w:rPr>
          <w:i/>
        </w:rPr>
        <w:t>dishevelled grey hair, worn grey wrap hiding feet, trailing</w:t>
      </w:r>
      <w:r w:rsidR="002F5143">
        <w:t>’</w:t>
      </w:r>
      <w:r w:rsidRPr="009D20C6">
        <w:t xml:space="preserve"> walks back and forth along a strip of light for exactly nine steps for each length, pausing at intervals</w:t>
      </w:r>
      <w:r w:rsidR="00C421E1">
        <w:t>.</w:t>
      </w:r>
      <w:r w:rsidR="00E2432D" w:rsidRPr="009D20C6">
        <w:rPr>
          <w:rStyle w:val="EndnoteReference"/>
        </w:rPr>
        <w:endnoteReference w:id="85"/>
      </w:r>
      <w:r w:rsidRPr="009D20C6">
        <w:t xml:space="preserve"> Throughout this short play, the strip of light reduces </w:t>
      </w:r>
      <w:r w:rsidR="00333C9D">
        <w:t>‘</w:t>
      </w:r>
      <w:r w:rsidRPr="009D20C6">
        <w:t>growing shorter and narrower following each fade out</w:t>
      </w:r>
      <w:r w:rsidR="00333C9D">
        <w:t>’</w:t>
      </w:r>
      <w:r w:rsidR="00C421E1">
        <w:t>,</w:t>
      </w:r>
      <w:r w:rsidR="00333C9D">
        <w:rPr>
          <w:rStyle w:val="EndnoteReference"/>
        </w:rPr>
        <w:endnoteReference w:id="86"/>
      </w:r>
      <w:r w:rsidRPr="009D20C6">
        <w:t xml:space="preserve"> pinpointed by the sound of a chime, until no trace of May remains</w:t>
      </w:r>
      <w:r w:rsidR="00C421E1">
        <w:t>.</w:t>
      </w:r>
      <w:r w:rsidR="00333C9D">
        <w:rPr>
          <w:rStyle w:val="EndnoteReference"/>
        </w:rPr>
        <w:endnoteReference w:id="87"/>
      </w:r>
      <w:r w:rsidRPr="009D20C6">
        <w:t xml:space="preserve"> However, her feet remain unseen and dislocated from the clearly audible sound of footsteps. </w:t>
      </w:r>
      <w:r w:rsidR="0003649C">
        <w:t>Here, p</w:t>
      </w:r>
      <w:r w:rsidRPr="009D20C6">
        <w:rPr>
          <w:rFonts w:eastAsia="Times New Roman"/>
          <w:lang w:eastAsia="en-GB"/>
        </w:rPr>
        <w:t xml:space="preserve">lacing emphasis on the staging of the walker and their path </w:t>
      </w:r>
      <w:r w:rsidR="00A84FE2">
        <w:rPr>
          <w:rFonts w:eastAsia="Times New Roman"/>
          <w:lang w:eastAsia="en-GB"/>
        </w:rPr>
        <w:t>can provide</w:t>
      </w:r>
      <w:r w:rsidRPr="009D20C6">
        <w:rPr>
          <w:rFonts w:eastAsia="Times New Roman"/>
          <w:lang w:eastAsia="en-GB"/>
        </w:rPr>
        <w:t xml:space="preserve"> </w:t>
      </w:r>
      <w:r w:rsidR="00A84FE2">
        <w:rPr>
          <w:rFonts w:eastAsia="Times New Roman"/>
          <w:lang w:eastAsia="en-GB"/>
        </w:rPr>
        <w:t xml:space="preserve">further understanding of Beckett’s </w:t>
      </w:r>
      <w:r w:rsidR="004B1410">
        <w:rPr>
          <w:rFonts w:eastAsia="Times New Roman"/>
          <w:lang w:eastAsia="en-GB"/>
        </w:rPr>
        <w:t>‘</w:t>
      </w:r>
      <w:r w:rsidRPr="009D20C6">
        <w:rPr>
          <w:rFonts w:eastAsia="Times New Roman"/>
          <w:lang w:eastAsia="en-GB"/>
        </w:rPr>
        <w:t>enigmatic</w:t>
      </w:r>
      <w:r w:rsidR="004B1410">
        <w:rPr>
          <w:rFonts w:eastAsia="Times New Roman"/>
          <w:lang w:eastAsia="en-GB"/>
        </w:rPr>
        <w:t>’</w:t>
      </w:r>
      <w:r w:rsidRPr="009D20C6">
        <w:rPr>
          <w:rFonts w:eastAsia="Times New Roman"/>
          <w:lang w:eastAsia="en-GB"/>
        </w:rPr>
        <w:t xml:space="preserve"> text</w:t>
      </w:r>
      <w:r w:rsidR="00C421E1">
        <w:rPr>
          <w:rFonts w:eastAsia="Times New Roman"/>
          <w:lang w:eastAsia="en-GB"/>
        </w:rPr>
        <w:t>.</w:t>
      </w:r>
      <w:r w:rsidR="00410377">
        <w:rPr>
          <w:rStyle w:val="EndnoteReference"/>
          <w:rFonts w:eastAsia="Times New Roman"/>
          <w:lang w:eastAsia="en-GB"/>
        </w:rPr>
        <w:endnoteReference w:id="88"/>
      </w:r>
      <w:r w:rsidRPr="009D20C6">
        <w:t xml:space="preserve"> </w:t>
      </w:r>
    </w:p>
    <w:p w14:paraId="19A217A7" w14:textId="77777777" w:rsidR="003140C1" w:rsidRPr="009D20C6" w:rsidRDefault="003140C1" w:rsidP="00A930CB">
      <w:pPr>
        <w:spacing w:before="240"/>
        <w:rPr>
          <w:i/>
        </w:rPr>
      </w:pPr>
      <w:r w:rsidRPr="009D20C6">
        <w:lastRenderedPageBreak/>
        <w:t xml:space="preserve">Katherine Worth observes how in some of Beckett’s plays walking is a </w:t>
      </w:r>
      <w:r w:rsidR="00410377">
        <w:t>‘</w:t>
      </w:r>
      <w:r w:rsidRPr="009D20C6">
        <w:t>painful necessity</w:t>
      </w:r>
      <w:r w:rsidR="00410377">
        <w:t>’</w:t>
      </w:r>
      <w:r w:rsidR="0000466A">
        <w:rPr>
          <w:rStyle w:val="EndnoteReference"/>
        </w:rPr>
        <w:endnoteReference w:id="89"/>
      </w:r>
      <w:r w:rsidRPr="009D20C6">
        <w:t xml:space="preserve"> as evidenced in the </w:t>
      </w:r>
      <w:r w:rsidR="00410377">
        <w:t>‘</w:t>
      </w:r>
      <w:r w:rsidRPr="009D20C6">
        <w:t>short, stiff strides</w:t>
      </w:r>
      <w:r w:rsidR="00410377">
        <w:t>’</w:t>
      </w:r>
      <w:r w:rsidRPr="009D20C6">
        <w:t xml:space="preserve"> of Vladimir in </w:t>
      </w:r>
      <w:r w:rsidRPr="009D20C6">
        <w:rPr>
          <w:i/>
        </w:rPr>
        <w:t xml:space="preserve">Waiting for </w:t>
      </w:r>
      <w:proofErr w:type="spellStart"/>
      <w:r w:rsidRPr="009D20C6">
        <w:rPr>
          <w:i/>
        </w:rPr>
        <w:t>Godot</w:t>
      </w:r>
      <w:proofErr w:type="spellEnd"/>
      <w:r w:rsidR="0000466A">
        <w:rPr>
          <w:rStyle w:val="EndnoteReference"/>
          <w:i/>
        </w:rPr>
        <w:endnoteReference w:id="90"/>
      </w:r>
      <w:r w:rsidRPr="009D20C6">
        <w:rPr>
          <w:i/>
        </w:rPr>
        <w:t xml:space="preserve"> </w:t>
      </w:r>
      <w:r w:rsidRPr="009D20C6">
        <w:t xml:space="preserve">and the </w:t>
      </w:r>
      <w:r w:rsidR="00410377">
        <w:t>‘</w:t>
      </w:r>
      <w:r w:rsidRPr="009D20C6">
        <w:t>Stiff, staggering walk</w:t>
      </w:r>
      <w:r w:rsidR="00410377">
        <w:t>’</w:t>
      </w:r>
      <w:r w:rsidRPr="009D20C6">
        <w:t xml:space="preserve"> of </w:t>
      </w:r>
      <w:proofErr w:type="spellStart"/>
      <w:r w:rsidRPr="009D20C6">
        <w:t>Clov</w:t>
      </w:r>
      <w:proofErr w:type="spellEnd"/>
      <w:r w:rsidRPr="009D20C6">
        <w:t xml:space="preserve"> in </w:t>
      </w:r>
      <w:r w:rsidRPr="009D20C6">
        <w:rPr>
          <w:i/>
        </w:rPr>
        <w:t>Endgame</w:t>
      </w:r>
      <w:r w:rsidR="00C421E1">
        <w:t>.</w:t>
      </w:r>
      <w:r w:rsidR="00AD1A42" w:rsidRPr="007A47CB">
        <w:rPr>
          <w:rStyle w:val="EndnoteReference"/>
        </w:rPr>
        <w:endnoteReference w:id="91"/>
      </w:r>
      <w:r w:rsidRPr="009D20C6">
        <w:t xml:space="preserve"> Beckett himself was a keen walker, a pastime he inherited from his father</w:t>
      </w:r>
      <w:r w:rsidR="005C141F">
        <w:rPr>
          <w:rStyle w:val="EndnoteReference"/>
        </w:rPr>
        <w:endnoteReference w:id="92"/>
      </w:r>
      <w:r w:rsidRPr="009D20C6">
        <w:t xml:space="preserve"> that eventually became a means for him to combat depression during his spells of illness when he found it difficult to write</w:t>
      </w:r>
      <w:r w:rsidR="00C421E1">
        <w:t>.</w:t>
      </w:r>
      <w:r w:rsidR="00E2432D" w:rsidRPr="009D20C6">
        <w:rPr>
          <w:rStyle w:val="EndnoteReference"/>
        </w:rPr>
        <w:endnoteReference w:id="93"/>
      </w:r>
      <w:r w:rsidRPr="009D20C6">
        <w:t xml:space="preserve"> However, it was the pacing of his mother May who was influential in his later writing of </w:t>
      </w:r>
      <w:r w:rsidRPr="009D20C6">
        <w:rPr>
          <w:i/>
        </w:rPr>
        <w:t>Footfalls.</w:t>
      </w:r>
    </w:p>
    <w:p w14:paraId="7A7212BE" w14:textId="77777777" w:rsidR="00A85490" w:rsidRDefault="00A85490" w:rsidP="00986C7E"/>
    <w:p w14:paraId="05460241" w14:textId="77777777" w:rsidR="00946E9F" w:rsidRPr="009D20C6" w:rsidRDefault="00946E9F" w:rsidP="00986C7E"/>
    <w:p w14:paraId="69D13B92" w14:textId="77777777" w:rsidR="003140C1" w:rsidRPr="009D20C6" w:rsidRDefault="003140C1" w:rsidP="00C62510">
      <w:pPr>
        <w:pStyle w:val="Quote"/>
      </w:pPr>
      <w:r w:rsidRPr="009D20C6">
        <w:t>She did have difficulty sleeping throughout the night, and there were often periods when she paced the floor of her room or wandered through the darkened house as silently as one of the ghosts which she swore haunted it.</w:t>
      </w:r>
      <w:r w:rsidR="00946E9F">
        <w:rPr>
          <w:rStyle w:val="EndnoteReference"/>
        </w:rPr>
        <w:endnoteReference w:id="94"/>
      </w:r>
    </w:p>
    <w:p w14:paraId="1AE74694" w14:textId="77777777" w:rsidR="003140C1" w:rsidRPr="009D20C6" w:rsidRDefault="003140C1" w:rsidP="00986C7E"/>
    <w:p w14:paraId="358B5CE1" w14:textId="77777777" w:rsidR="00A85490" w:rsidRPr="009D20C6" w:rsidRDefault="00A85490" w:rsidP="00986C7E"/>
    <w:p w14:paraId="3E76F7A9" w14:textId="77777777" w:rsidR="003140C1" w:rsidRDefault="003140C1" w:rsidP="00986C7E">
      <w:r w:rsidRPr="009D20C6">
        <w:t xml:space="preserve">Beckett’s mother embodied a mixture of stern Protestantism, superstition and a borderline obsessive compulsive disorder, which manifested itself physically through her pacing. Although there is evidence to suggest that she was not the sole influence for the figure of May in </w:t>
      </w:r>
      <w:r w:rsidRPr="009D20C6">
        <w:rPr>
          <w:i/>
        </w:rPr>
        <w:t>Footfalls,</w:t>
      </w:r>
      <w:r w:rsidRPr="009D20C6">
        <w:t xml:space="preserve"> the sight of her </w:t>
      </w:r>
      <w:r w:rsidR="00297048">
        <w:t>‘</w:t>
      </w:r>
      <w:r w:rsidRPr="009D20C6">
        <w:t>gaunt apparition</w:t>
      </w:r>
      <w:r w:rsidR="00297048">
        <w:t>’</w:t>
      </w:r>
      <w:r w:rsidRPr="009D20C6">
        <w:t xml:space="preserve"> by the Beckett children and the nightmares it prompted, undoubtedly had a lasting effect on the playwright</w:t>
      </w:r>
      <w:r w:rsidR="00C421E1">
        <w:t>.</w:t>
      </w:r>
      <w:r w:rsidR="00297048">
        <w:rPr>
          <w:rStyle w:val="EndnoteReference"/>
        </w:rPr>
        <w:endnoteReference w:id="95"/>
      </w:r>
    </w:p>
    <w:p w14:paraId="7507D2A7" w14:textId="77777777" w:rsidR="003140C1" w:rsidRPr="009D20C6" w:rsidRDefault="003140C1" w:rsidP="00A930CB">
      <w:pPr>
        <w:spacing w:before="240"/>
      </w:pPr>
      <w:r w:rsidRPr="009D20C6">
        <w:t xml:space="preserve">One of the principal reasons why </w:t>
      </w:r>
      <w:r w:rsidRPr="009D20C6">
        <w:rPr>
          <w:i/>
        </w:rPr>
        <w:t>Footfalls</w:t>
      </w:r>
      <w:r w:rsidRPr="009D20C6">
        <w:t xml:space="preserve"> has to be staged with a physically immobile audience is because the character of May must </w:t>
      </w:r>
      <w:r w:rsidR="00D655E0">
        <w:t>‘</w:t>
      </w:r>
      <w:r w:rsidRPr="009D20C6">
        <w:t>hear the feet, however faint they fall</w:t>
      </w:r>
      <w:r w:rsidR="00D655E0">
        <w:t>’</w:t>
      </w:r>
      <w:r w:rsidR="00C421E1">
        <w:t>.</w:t>
      </w:r>
      <w:r w:rsidR="00D655E0">
        <w:rPr>
          <w:rStyle w:val="EndnoteReference"/>
        </w:rPr>
        <w:endnoteReference w:id="96"/>
      </w:r>
      <w:r w:rsidRPr="009D20C6">
        <w:t xml:space="preserve"> Putting the audience on their feet would undoubtedly hinder their ability to </w:t>
      </w:r>
      <w:r w:rsidR="00D655E0">
        <w:t>‘</w:t>
      </w:r>
      <w:r w:rsidRPr="009D20C6">
        <w:t>wa</w:t>
      </w:r>
      <w:r w:rsidR="003B374E" w:rsidRPr="009D20C6">
        <w:t>tch her move in silence</w:t>
      </w:r>
      <w:r w:rsidR="00D655E0">
        <w:t>’</w:t>
      </w:r>
      <w:r w:rsidR="00C421E1">
        <w:t>.</w:t>
      </w:r>
      <w:r w:rsidR="00D655E0">
        <w:rPr>
          <w:rStyle w:val="EndnoteReference"/>
        </w:rPr>
        <w:endnoteReference w:id="97"/>
      </w:r>
      <w:r w:rsidRPr="009D20C6">
        <w:t xml:space="preserve"> Actress Billie Whitelaw, who portrayed May in the original stage production, described the play as a </w:t>
      </w:r>
      <w:r w:rsidR="0070167C">
        <w:t>‘</w:t>
      </w:r>
      <w:r w:rsidRPr="009D20C6">
        <w:t xml:space="preserve">musical </w:t>
      </w:r>
      <w:proofErr w:type="spellStart"/>
      <w:r w:rsidRPr="009D20C6">
        <w:t>Edvard</w:t>
      </w:r>
      <w:proofErr w:type="spellEnd"/>
      <w:r w:rsidRPr="009D20C6">
        <w:t xml:space="preserve"> Munch painting</w:t>
      </w:r>
      <w:r w:rsidR="0070167C">
        <w:t>’</w:t>
      </w:r>
      <w:r w:rsidRPr="009D20C6">
        <w:t xml:space="preserve"> in which Beckett used her </w:t>
      </w:r>
      <w:r w:rsidR="0070167C">
        <w:t>‘</w:t>
      </w:r>
      <w:r w:rsidRPr="009D20C6">
        <w:t>to play the notes</w:t>
      </w:r>
      <w:r w:rsidR="0070167C">
        <w:t>’</w:t>
      </w:r>
      <w:r w:rsidR="00C421E1">
        <w:t>.</w:t>
      </w:r>
      <w:r w:rsidR="0070167C">
        <w:rPr>
          <w:rStyle w:val="EndnoteReference"/>
        </w:rPr>
        <w:endnoteReference w:id="98"/>
      </w:r>
      <w:r w:rsidRPr="009D20C6">
        <w:t xml:space="preserve"> The ‘notes’ themselves are very specific, and Beckett himself later stated that there were </w:t>
      </w:r>
      <w:r w:rsidR="0070167C">
        <w:t>‘</w:t>
      </w:r>
      <w:r w:rsidRPr="009D20C6">
        <w:t>a lot of problems concerning precision</w:t>
      </w:r>
      <w:r w:rsidR="0070167C">
        <w:t>’</w:t>
      </w:r>
      <w:r w:rsidR="00C421E1">
        <w:t>.</w:t>
      </w:r>
      <w:r w:rsidR="00201D11">
        <w:rPr>
          <w:rStyle w:val="EndnoteReference"/>
        </w:rPr>
        <w:endnoteReference w:id="99"/>
      </w:r>
    </w:p>
    <w:p w14:paraId="48293CB7" w14:textId="77777777" w:rsidR="00A85490" w:rsidRDefault="00A85490" w:rsidP="00986C7E">
      <w:pPr>
        <w:rPr>
          <w:rFonts w:eastAsia="Times New Roman"/>
          <w:lang w:eastAsia="en-GB"/>
        </w:rPr>
      </w:pPr>
    </w:p>
    <w:p w14:paraId="710B0F9F" w14:textId="77777777" w:rsidR="00201D11" w:rsidRPr="009D20C6" w:rsidRDefault="00201D11" w:rsidP="00986C7E">
      <w:pPr>
        <w:rPr>
          <w:rFonts w:eastAsia="Times New Roman"/>
          <w:lang w:eastAsia="en-GB"/>
        </w:rPr>
      </w:pPr>
    </w:p>
    <w:p w14:paraId="50632A1E" w14:textId="77777777" w:rsidR="003140C1" w:rsidRPr="003560AA" w:rsidRDefault="003140C1" w:rsidP="003560AA">
      <w:pPr>
        <w:pStyle w:val="IntenseQuote"/>
      </w:pPr>
      <w:r w:rsidRPr="003560AA">
        <w:t>Pacing: starting with right foot (r), from right (R) to left (L), with left foot (l) from L to R.</w:t>
      </w:r>
    </w:p>
    <w:p w14:paraId="07539559" w14:textId="77777777" w:rsidR="003140C1" w:rsidRPr="003560AA" w:rsidRDefault="003140C1" w:rsidP="003560AA">
      <w:pPr>
        <w:pStyle w:val="IntenseQuote"/>
      </w:pPr>
      <w:r w:rsidRPr="003560AA">
        <w:t xml:space="preserve">Turn </w:t>
      </w:r>
      <w:proofErr w:type="spellStart"/>
      <w:r w:rsidRPr="003560AA">
        <w:t>rightabout</w:t>
      </w:r>
      <w:proofErr w:type="spellEnd"/>
      <w:r w:rsidRPr="003560AA">
        <w:t xml:space="preserve"> at L, </w:t>
      </w:r>
      <w:proofErr w:type="spellStart"/>
      <w:r w:rsidRPr="003560AA">
        <w:t>leftabout</w:t>
      </w:r>
      <w:proofErr w:type="spellEnd"/>
      <w:r w:rsidRPr="003560AA">
        <w:t xml:space="preserve"> at R.</w:t>
      </w:r>
    </w:p>
    <w:p w14:paraId="2C951FA5" w14:textId="77777777" w:rsidR="003140C1" w:rsidRPr="003560AA" w:rsidRDefault="003140C1" w:rsidP="003560AA">
      <w:pPr>
        <w:pStyle w:val="IntenseQuote"/>
      </w:pPr>
      <w:r w:rsidRPr="003560AA">
        <w:t>Steps: clearly audible rhythmic tread.</w:t>
      </w:r>
      <w:r w:rsidR="00767664" w:rsidRPr="003560AA">
        <w:rPr>
          <w:rStyle w:val="EndnoteReference"/>
          <w:i w:val="0"/>
        </w:rPr>
        <w:endnoteReference w:id="100"/>
      </w:r>
      <w:r w:rsidRPr="003560AA">
        <w:rPr>
          <w:i w:val="0"/>
          <w:vertAlign w:val="superscript"/>
        </w:rPr>
        <w:t xml:space="preserve"> </w:t>
      </w:r>
    </w:p>
    <w:p w14:paraId="6FEBCC23" w14:textId="77777777" w:rsidR="00A85490" w:rsidRPr="009D20C6" w:rsidRDefault="00A85490" w:rsidP="00986C7E"/>
    <w:p w14:paraId="44035AB1" w14:textId="77777777" w:rsidR="003140C1" w:rsidRPr="009D20C6" w:rsidRDefault="003140C1" w:rsidP="00986C7E"/>
    <w:p w14:paraId="4FBB1B6E" w14:textId="77777777" w:rsidR="003140C1" w:rsidRDefault="003140C1" w:rsidP="00986C7E">
      <w:r w:rsidRPr="009D20C6">
        <w:t>With some of the lines made specific to a single footfall, the degree of focus required by an actor to do this may seem quite staggering. This is further</w:t>
      </w:r>
      <w:r w:rsidR="00414996" w:rsidRPr="009D20C6">
        <w:t>ed</w:t>
      </w:r>
      <w:r w:rsidRPr="009D20C6">
        <w:t xml:space="preserve"> by the fact that May’s walk never alters, and she is committed to doing her nine steps back and forth across the playing space without deviation. She walks back and forth in order to remember, her repetition of lines indicating moments when she encounters the ghost of her former self. Her questions to her Mother </w:t>
      </w:r>
      <w:r w:rsidR="00B50472">
        <w:t>(</w:t>
      </w:r>
      <w:r w:rsidRPr="009D20C6">
        <w:t>‘What age am I now?’</w:t>
      </w:r>
      <w:r w:rsidR="00010FD5">
        <w:rPr>
          <w:rStyle w:val="EndnoteReference"/>
        </w:rPr>
        <w:endnoteReference w:id="101"/>
      </w:r>
      <w:r w:rsidRPr="009D20C6">
        <w:t xml:space="preserve"> </w:t>
      </w:r>
      <w:r w:rsidR="00C817BA">
        <w:t xml:space="preserve">and </w:t>
      </w:r>
      <w:r w:rsidRPr="009D20C6">
        <w:lastRenderedPageBreak/>
        <w:t>‘Will you never have done … revolving it all?’</w:t>
      </w:r>
      <w:r w:rsidR="00010FD5">
        <w:rPr>
          <w:rStyle w:val="EndnoteReference"/>
        </w:rPr>
        <w:endnoteReference w:id="102"/>
      </w:r>
      <w:r w:rsidR="00B50472">
        <w:t xml:space="preserve">) </w:t>
      </w:r>
      <w:r w:rsidRPr="009D20C6">
        <w:t xml:space="preserve">illustrates that May is caught between remembering and forgetting. This brings us to what </w:t>
      </w:r>
      <w:proofErr w:type="gramStart"/>
      <w:r w:rsidRPr="009D20C6">
        <w:t>Worth</w:t>
      </w:r>
      <w:proofErr w:type="gramEnd"/>
      <w:r w:rsidRPr="009D20C6">
        <w:t xml:space="preserve"> in her account of the original production describes as ‘inward walking’, or a ‘going over some stretch of ground in order to see it more clearly, perhaps to lay a ghost’</w:t>
      </w:r>
      <w:r w:rsidR="00C817BA">
        <w:t>.</w:t>
      </w:r>
      <w:r w:rsidR="003737EC">
        <w:rPr>
          <w:rStyle w:val="EndnoteReference"/>
        </w:rPr>
        <w:endnoteReference w:id="103"/>
      </w:r>
      <w:r w:rsidRPr="009D20C6">
        <w:t xml:space="preserve"> However, such repetition is not to make us more aware of </w:t>
      </w:r>
      <w:proofErr w:type="gramStart"/>
      <w:r w:rsidRPr="009D20C6">
        <w:rPr>
          <w:i/>
        </w:rPr>
        <w:t>who</w:t>
      </w:r>
      <w:proofErr w:type="gramEnd"/>
      <w:r w:rsidRPr="009D20C6">
        <w:t xml:space="preserve"> </w:t>
      </w:r>
      <w:r w:rsidR="00C817BA">
        <w:t>exactly May is, but to make us “c</w:t>
      </w:r>
      <w:r w:rsidRPr="009D20C6">
        <w:t>learer</w:t>
      </w:r>
      <w:r w:rsidR="00C817BA">
        <w:t>”</w:t>
      </w:r>
      <w:r w:rsidRPr="009D20C6">
        <w:t xml:space="preserve"> as to her predicament – that of a ghostly figure who does not know if she is </w:t>
      </w:r>
      <w:r w:rsidR="00C15B14">
        <w:t>“</w:t>
      </w:r>
      <w:r w:rsidRPr="009D20C6">
        <w:t>coming or going</w:t>
      </w:r>
      <w:r w:rsidR="00C15B14">
        <w:t>”</w:t>
      </w:r>
      <w:r w:rsidRPr="009D20C6">
        <w:t xml:space="preserve">. Walking here then illustrates an ability to stage a process of simultaneously remembering and forgetting, existing outside of a specific time or place whilst caught in a looping rhythm of footsteps and dialogue. </w:t>
      </w:r>
    </w:p>
    <w:p w14:paraId="581830B6" w14:textId="77777777" w:rsidR="003140C1" w:rsidRPr="009D20C6" w:rsidRDefault="003140C1" w:rsidP="00A930CB">
      <w:pPr>
        <w:spacing w:before="240"/>
      </w:pPr>
      <w:r w:rsidRPr="009D20C6">
        <w:t xml:space="preserve">Walking is the action that makes the character of May </w:t>
      </w:r>
      <w:r w:rsidR="00C817BA">
        <w:t>“</w:t>
      </w:r>
      <w:r w:rsidRPr="009D20C6">
        <w:t>present</w:t>
      </w:r>
      <w:r w:rsidR="00C817BA">
        <w:t>”</w:t>
      </w:r>
      <w:r w:rsidRPr="009D20C6">
        <w:t xml:space="preserve">. As Beckett himself and many have noted, the character of May remains incomplete, </w:t>
      </w:r>
      <w:r w:rsidR="005A30F6">
        <w:t>‘</w:t>
      </w:r>
      <w:r w:rsidRPr="009D20C6">
        <w:t>a presence, not a person – certainly not a person who has ever been properly born outside the imagination</w:t>
      </w:r>
      <w:r w:rsidR="005A30F6">
        <w:t>’</w:t>
      </w:r>
      <w:r w:rsidR="00C817BA">
        <w:t>.</w:t>
      </w:r>
      <w:r w:rsidR="005A30F6">
        <w:rPr>
          <w:rStyle w:val="EndnoteReference"/>
        </w:rPr>
        <w:endnoteReference w:id="104"/>
      </w:r>
      <w:r w:rsidRPr="009D20C6">
        <w:t xml:space="preserve"> Whitelaw described how, as the play progressed, she </w:t>
      </w:r>
      <w:r w:rsidR="005A30F6">
        <w:t>‘</w:t>
      </w:r>
      <w:r w:rsidRPr="009D20C6">
        <w:t xml:space="preserve">began to feel more and more like a </w:t>
      </w:r>
      <w:r w:rsidR="005A30F6">
        <w:t>“</w:t>
      </w:r>
      <w:r w:rsidRPr="009D20C6">
        <w:t>thing</w:t>
      </w:r>
      <w:r w:rsidR="005A30F6">
        <w:t>”</w:t>
      </w:r>
      <w:r w:rsidRPr="009D20C6">
        <w:t xml:space="preserve"> of the spirit, something that was vaporising</w:t>
      </w:r>
      <w:r w:rsidR="005A30F6">
        <w:t>’</w:t>
      </w:r>
      <w:r w:rsidR="00C817BA">
        <w:t>.</w:t>
      </w:r>
      <w:r w:rsidR="005A30F6">
        <w:rPr>
          <w:rStyle w:val="EndnoteReference"/>
        </w:rPr>
        <w:endnoteReference w:id="105"/>
      </w:r>
      <w:r w:rsidRPr="009D20C6">
        <w:t xml:space="preserve"> May’s presence and indeed her existence is bound up with her walking, and this notion of her ‘not being quite there’, suggests that she does not have a ‘place’ outside of this reducing strip of light</w:t>
      </w:r>
      <w:r w:rsidR="00C817BA">
        <w:t>.</w:t>
      </w:r>
      <w:r w:rsidR="00D82DDE">
        <w:rPr>
          <w:rStyle w:val="EndnoteReference"/>
        </w:rPr>
        <w:endnoteReference w:id="106"/>
      </w:r>
      <w:r w:rsidRPr="009D20C6">
        <w:t xml:space="preserve"> This is echoed by Enoch </w:t>
      </w:r>
      <w:proofErr w:type="spellStart"/>
      <w:r w:rsidRPr="009D20C6">
        <w:t>Brater</w:t>
      </w:r>
      <w:proofErr w:type="spellEnd"/>
      <w:r w:rsidRPr="009D20C6">
        <w:t xml:space="preserve"> in his detailed examination of the play, who compares </w:t>
      </w:r>
      <w:r w:rsidR="00414996" w:rsidRPr="009D20C6">
        <w:t xml:space="preserve">May’s </w:t>
      </w:r>
      <w:r w:rsidRPr="009D20C6">
        <w:t>walking route to an elongated ‘variation of the figure 8 turned on its side’, resembling ‘the mathematician’s symbol for infinity’</w:t>
      </w:r>
      <w:r w:rsidR="00C817BA">
        <w:t>.</w:t>
      </w:r>
      <w:r w:rsidR="00992A43">
        <w:rPr>
          <w:rStyle w:val="EndnoteReference"/>
        </w:rPr>
        <w:endnoteReference w:id="107"/>
      </w:r>
      <w:r w:rsidRPr="009D20C6">
        <w:t xml:space="preserve"> The connotations of such movement – the repetitive pacing for prolonged periods of time – chime with a host of different types of walking and walking routes, and through careful cross-analysis the differences between the ‘inward walking’ and actual walking of </w:t>
      </w:r>
      <w:r w:rsidRPr="009D20C6">
        <w:rPr>
          <w:i/>
        </w:rPr>
        <w:t>Footfalls</w:t>
      </w:r>
      <w:r w:rsidR="00E27670">
        <w:rPr>
          <w:i/>
        </w:rPr>
        <w:t xml:space="preserve"> </w:t>
      </w:r>
      <w:r w:rsidR="00E27670">
        <w:t>can be ascertained</w:t>
      </w:r>
      <w:r w:rsidRPr="009D20C6">
        <w:t>.</w:t>
      </w:r>
    </w:p>
    <w:p w14:paraId="3311A995" w14:textId="77777777" w:rsidR="00D64736" w:rsidRPr="009D20C6" w:rsidRDefault="00E34B4B" w:rsidP="00986C7E">
      <w:pPr>
        <w:pStyle w:val="Heading2"/>
      </w:pPr>
      <w:r w:rsidRPr="009D20C6">
        <w:t xml:space="preserve">The </w:t>
      </w:r>
      <w:r w:rsidR="00716A88" w:rsidRPr="009D20C6">
        <w:t>Super-Modern</w:t>
      </w:r>
      <w:r w:rsidRPr="009D20C6">
        <w:t>: Wanderlust</w:t>
      </w:r>
      <w:r w:rsidR="005C7E40" w:rsidRPr="009D20C6">
        <w:t xml:space="preserve"> </w:t>
      </w:r>
    </w:p>
    <w:p w14:paraId="47A38F72" w14:textId="0A75A52F" w:rsidR="00F35C1B" w:rsidRDefault="00822DD3" w:rsidP="00986C7E">
      <w:r>
        <w:t xml:space="preserve">Originally staged at the Cleveland </w:t>
      </w:r>
      <w:r w:rsidR="00D50D5D">
        <w:t>Public</w:t>
      </w:r>
      <w:r>
        <w:t xml:space="preserve"> Theatre, </w:t>
      </w:r>
      <w:r w:rsidR="00F35C1B" w:rsidRPr="009D20C6">
        <w:t xml:space="preserve">Matthew Earnest’s </w:t>
      </w:r>
      <w:r w:rsidR="00F35C1B" w:rsidRPr="009D20C6">
        <w:rPr>
          <w:i/>
        </w:rPr>
        <w:t>Wanderlust</w:t>
      </w:r>
      <w:r w:rsidR="005C7E40" w:rsidRPr="009D20C6">
        <w:rPr>
          <w:i/>
        </w:rPr>
        <w:t xml:space="preserve"> </w:t>
      </w:r>
      <w:r w:rsidR="005C7E40" w:rsidRPr="009D20C6">
        <w:t>(2010)</w:t>
      </w:r>
      <w:r w:rsidR="00F35C1B" w:rsidRPr="009D20C6">
        <w:rPr>
          <w:i/>
        </w:rPr>
        <w:t xml:space="preserve"> </w:t>
      </w:r>
      <w:r w:rsidR="00414996" w:rsidRPr="009D20C6">
        <w:t xml:space="preserve">is </w:t>
      </w:r>
      <w:r w:rsidR="00F35C1B" w:rsidRPr="009D20C6">
        <w:t xml:space="preserve">an important and overlooked case study in pedestrian performance research. </w:t>
      </w:r>
      <w:r w:rsidR="003875E9" w:rsidRPr="009D20C6">
        <w:t>I</w:t>
      </w:r>
      <w:r w:rsidR="00F35C1B" w:rsidRPr="009D20C6">
        <w:t xml:space="preserve">t is one of very few recent pedestrian performances taking place in a conventional stage setting and </w:t>
      </w:r>
      <w:r w:rsidR="003875E9" w:rsidRPr="009D20C6">
        <w:t>furthermore,</w:t>
      </w:r>
      <w:r w:rsidR="00F35C1B" w:rsidRPr="009D20C6">
        <w:t xml:space="preserve"> is very much a piece </w:t>
      </w:r>
      <w:r w:rsidR="00F35C1B" w:rsidRPr="009D20C6">
        <w:rPr>
          <w:i/>
        </w:rPr>
        <w:t>about</w:t>
      </w:r>
      <w:r w:rsidR="00F35C1B" w:rsidRPr="009D20C6">
        <w:t xml:space="preserve"> the action of walking itself. It is adapted from the non-fiction book of the same name by Rebecca </w:t>
      </w:r>
      <w:proofErr w:type="spellStart"/>
      <w:r w:rsidR="00F35C1B" w:rsidRPr="009D20C6">
        <w:t>Solnit</w:t>
      </w:r>
      <w:proofErr w:type="spellEnd"/>
      <w:r w:rsidR="005C7E40" w:rsidRPr="009D20C6">
        <w:t xml:space="preserve"> (2002)</w:t>
      </w:r>
      <w:r w:rsidR="00F35C1B" w:rsidRPr="009D20C6">
        <w:t>, present</w:t>
      </w:r>
      <w:r w:rsidR="00844C48">
        <w:t>ing</w:t>
      </w:r>
      <w:r w:rsidR="00F35C1B" w:rsidRPr="009D20C6">
        <w:t xml:space="preserve"> a history of walking that has proven popular with academics</w:t>
      </w:r>
      <w:r w:rsidR="003875E9" w:rsidRPr="009D20C6">
        <w:t xml:space="preserve"> and artists</w:t>
      </w:r>
      <w:r w:rsidR="00F35C1B" w:rsidRPr="009D20C6">
        <w:t>. With regards to the perfor</w:t>
      </w:r>
      <w:bookmarkStart w:id="0" w:name="_GoBack"/>
      <w:bookmarkEnd w:id="0"/>
      <w:r w:rsidR="00F35C1B" w:rsidRPr="009D20C6">
        <w:t>mance’s quite traditional staging arrangement, Earnest revealed that his reasoning for this was two-fold. Firstly, he felt that it was logistically easier to stage a touring production in a proscenium arch arrangement and secondly, such staging was more in accordance with his approach to the adaptation</w:t>
      </w:r>
      <w:r w:rsidR="00C817BA">
        <w:t>.</w:t>
      </w:r>
      <w:r w:rsidR="009E474A">
        <w:rPr>
          <w:rStyle w:val="EndnoteReference"/>
        </w:rPr>
        <w:endnoteReference w:id="108"/>
      </w:r>
      <w:r w:rsidR="00F35C1B" w:rsidRPr="009D20C6">
        <w:t xml:space="preserve"> It is this second aspect </w:t>
      </w:r>
      <w:r w:rsidR="00437CE2">
        <w:t>that will be focussed on here</w:t>
      </w:r>
      <w:r w:rsidR="00F35C1B" w:rsidRPr="009D20C6">
        <w:t xml:space="preserve">, as Earnest’s adaptation, like all the case studies in this </w:t>
      </w:r>
      <w:r w:rsidR="0020361B" w:rsidRPr="009D20C6">
        <w:t>essay</w:t>
      </w:r>
      <w:r w:rsidR="00F35C1B" w:rsidRPr="009D20C6">
        <w:t xml:space="preserve">, could only achieve its proper effect in the theatre by the audience remaining immobile. Such a move encouraged the audience to take a more objective stance, demonstrating a tension between the experience of walking and its representation. Whilst in many site-based pedestrian performances, walking functions as a means for audiences to explore sites, here, it is the action itself that is being explicitly interrogated. </w:t>
      </w:r>
    </w:p>
    <w:p w14:paraId="68C2EBD7" w14:textId="77777777" w:rsidR="00E34B4B" w:rsidRDefault="00F35C1B" w:rsidP="00A930CB">
      <w:pPr>
        <w:spacing w:before="240"/>
      </w:pPr>
      <w:r w:rsidRPr="009D20C6">
        <w:lastRenderedPageBreak/>
        <w:t xml:space="preserve">The piece like its source material, concerns the history of walking and the role it has played in humanity’s history, chiming with Francesco </w:t>
      </w:r>
      <w:proofErr w:type="spellStart"/>
      <w:r w:rsidRPr="009D20C6">
        <w:t>Careri’s</w:t>
      </w:r>
      <w:proofErr w:type="spellEnd"/>
      <w:r w:rsidRPr="009D20C6">
        <w:t xml:space="preserve"> belief that </w:t>
      </w:r>
      <w:r w:rsidR="009E474A">
        <w:t>‘</w:t>
      </w:r>
      <w:r w:rsidRPr="009D20C6">
        <w:t>the history of the origins of man is a history of walking</w:t>
      </w:r>
      <w:r w:rsidR="00C817BA">
        <w:t>.</w:t>
      </w:r>
      <w:r w:rsidR="009E474A">
        <w:t>’</w:t>
      </w:r>
      <w:r w:rsidR="009E474A">
        <w:rPr>
          <w:rStyle w:val="EndnoteReference"/>
        </w:rPr>
        <w:endnoteReference w:id="109"/>
      </w:r>
      <w:r w:rsidR="00D33F7F">
        <w:t xml:space="preserve"> In one hundred minutes</w:t>
      </w:r>
      <w:r w:rsidRPr="009D20C6">
        <w:t xml:space="preserve"> </w:t>
      </w:r>
      <w:r w:rsidR="00D33F7F">
        <w:t>(</w:t>
      </w:r>
      <w:r w:rsidRPr="009D20C6">
        <w:t>without an interval</w:t>
      </w:r>
      <w:r w:rsidR="00D33F7F">
        <w:t>),</w:t>
      </w:r>
      <w:r w:rsidRPr="009D20C6">
        <w:t xml:space="preserve"> </w:t>
      </w:r>
      <w:r w:rsidRPr="009D20C6">
        <w:rPr>
          <w:i/>
        </w:rPr>
        <w:t xml:space="preserve">Wanderlust </w:t>
      </w:r>
      <w:r w:rsidRPr="009D20C6">
        <w:t>travels far both geographically and temporally, showing the audience glimp</w:t>
      </w:r>
      <w:r w:rsidR="00D33F7F">
        <w:t>ses of the beginning of walking</w:t>
      </w:r>
      <w:r w:rsidR="00437CE2">
        <w:t xml:space="preserve"> a</w:t>
      </w:r>
      <w:r w:rsidR="00D33F7F">
        <w:t>nd</w:t>
      </w:r>
      <w:r w:rsidRPr="009D20C6">
        <w:t xml:space="preserve"> its possible demise in a post-walking world. </w:t>
      </w:r>
    </w:p>
    <w:p w14:paraId="18DE98BC" w14:textId="77777777" w:rsidR="00F35C1B" w:rsidRDefault="00F35C1B" w:rsidP="00A930CB">
      <w:pPr>
        <w:spacing w:before="240"/>
      </w:pPr>
      <w:r w:rsidRPr="009D20C6">
        <w:t xml:space="preserve">One of the principal argumentative threads running through </w:t>
      </w:r>
      <w:r w:rsidRPr="009D20C6">
        <w:rPr>
          <w:i/>
        </w:rPr>
        <w:t>Wanderlust</w:t>
      </w:r>
      <w:r w:rsidRPr="009D20C6">
        <w:t xml:space="preserve"> is that of walking as an act of resistance to super-modernity. Defined by sociologist Marc </w:t>
      </w:r>
      <w:proofErr w:type="spellStart"/>
      <w:r w:rsidRPr="009D20C6">
        <w:t>Augé</w:t>
      </w:r>
      <w:proofErr w:type="spellEnd"/>
      <w:r w:rsidRPr="009D20C6">
        <w:t xml:space="preserve">, super-modernity is a concept born from a belief in the </w:t>
      </w:r>
      <w:r w:rsidR="00E33BAE">
        <w:t>‘</w:t>
      </w:r>
      <w:r w:rsidRPr="009D20C6">
        <w:t>acceleration of history</w:t>
      </w:r>
      <w:r w:rsidR="00E33BAE">
        <w:t>’</w:t>
      </w:r>
      <w:r w:rsidR="00E33BAE">
        <w:rPr>
          <w:rStyle w:val="EndnoteReference"/>
        </w:rPr>
        <w:endnoteReference w:id="110"/>
      </w:r>
      <w:r w:rsidRPr="009D20C6">
        <w:t xml:space="preserve"> and the shrinking of space, due to an increase in high-speed transportation</w:t>
      </w:r>
      <w:r w:rsidR="00C817BA">
        <w:t>.</w:t>
      </w:r>
      <w:r w:rsidR="00E1081E">
        <w:rPr>
          <w:rStyle w:val="EndnoteReference"/>
        </w:rPr>
        <w:endnoteReference w:id="111"/>
      </w:r>
      <w:r w:rsidRPr="009D20C6">
        <w:t xml:space="preserve"> For </w:t>
      </w:r>
      <w:proofErr w:type="spellStart"/>
      <w:r w:rsidRPr="009D20C6">
        <w:t>Augé</w:t>
      </w:r>
      <w:proofErr w:type="spellEnd"/>
      <w:r w:rsidRPr="009D20C6">
        <w:t xml:space="preserve">, we </w:t>
      </w:r>
      <w:r w:rsidR="00E1081E">
        <w:t>‘</w:t>
      </w:r>
      <w:r w:rsidRPr="009D20C6">
        <w:t>are in an era characterized by changes in scale – of course in the context of space exploration, but also on earth: rapid means of transport have brought any capital within a few hours’ travel of any other</w:t>
      </w:r>
      <w:r w:rsidR="00E1081E">
        <w:t>’</w:t>
      </w:r>
      <w:r w:rsidR="00C817BA">
        <w:t>.</w:t>
      </w:r>
      <w:r w:rsidR="00E1081E">
        <w:rPr>
          <w:rStyle w:val="EndnoteReference"/>
        </w:rPr>
        <w:endnoteReference w:id="112"/>
      </w:r>
      <w:r w:rsidRPr="009D20C6">
        <w:t xml:space="preserve"> In </w:t>
      </w:r>
      <w:r w:rsidRPr="009D20C6">
        <w:rPr>
          <w:i/>
        </w:rPr>
        <w:t xml:space="preserve">Wanderlust </w:t>
      </w:r>
      <w:r w:rsidRPr="009D20C6">
        <w:t>we witness this transition from modernity to super-modernity in a compressed period of time, beginning in England in 1830 with the unveiling of George Stevenson’s Rocket. Here the announcer champions the superiority of mot</w:t>
      </w:r>
      <w:r w:rsidR="00A85B26" w:rsidRPr="009D20C6">
        <w:t>oriz</w:t>
      </w:r>
      <w:r w:rsidR="003875E9" w:rsidRPr="009D20C6">
        <w:t>ed transportation in which ‘</w:t>
      </w:r>
      <w:r w:rsidRPr="009D20C6">
        <w:t>foot power at last begins its long</w:t>
      </w:r>
      <w:r w:rsidR="003875E9" w:rsidRPr="009D20C6">
        <w:t xml:space="preserve"> slide towards obsolescence’</w:t>
      </w:r>
      <w:r w:rsidRPr="009D20C6">
        <w:t xml:space="preserve"> t</w:t>
      </w:r>
      <w:r w:rsidR="003875E9" w:rsidRPr="009D20C6">
        <w:t>hat will signal the arrival of ‘</w:t>
      </w:r>
      <w:r w:rsidRPr="009D20C6">
        <w:t>The Mechanical Principle, the new philosophy of the 19</w:t>
      </w:r>
      <w:r w:rsidRPr="009D20C6">
        <w:rPr>
          <w:vertAlign w:val="superscript"/>
        </w:rPr>
        <w:t>th</w:t>
      </w:r>
      <w:r w:rsidR="003875E9" w:rsidRPr="009D20C6">
        <w:t xml:space="preserve"> century!</w:t>
      </w:r>
      <w:proofErr w:type="gramStart"/>
      <w:r w:rsidR="003875E9" w:rsidRPr="009D20C6">
        <w:t>’</w:t>
      </w:r>
      <w:r w:rsidR="00C817BA">
        <w:t>.</w:t>
      </w:r>
      <w:proofErr w:type="gramEnd"/>
      <w:r w:rsidR="00E1081E">
        <w:rPr>
          <w:rStyle w:val="EndnoteReference"/>
        </w:rPr>
        <w:endnoteReference w:id="113"/>
      </w:r>
      <w:r w:rsidRPr="009D20C6">
        <w:t xml:space="preserve"> Earnest, in a similar vein to </w:t>
      </w:r>
      <w:proofErr w:type="spellStart"/>
      <w:r w:rsidRPr="009D20C6">
        <w:t>Piscator</w:t>
      </w:r>
      <w:proofErr w:type="spellEnd"/>
      <w:r w:rsidRPr="009D20C6">
        <w:t xml:space="preserve"> with </w:t>
      </w:r>
      <w:proofErr w:type="spellStart"/>
      <w:r w:rsidRPr="009D20C6">
        <w:rPr>
          <w:i/>
        </w:rPr>
        <w:t>Schweik</w:t>
      </w:r>
      <w:proofErr w:type="spellEnd"/>
      <w:r w:rsidRPr="009D20C6">
        <w:rPr>
          <w:i/>
        </w:rPr>
        <w:t xml:space="preserve">, </w:t>
      </w:r>
      <w:r w:rsidRPr="009D20C6">
        <w:t>comically juxtaposes these aspects with the tragic events that befell the arrival of the railway. Mrs</w:t>
      </w:r>
      <w:r w:rsidR="00E34F4D">
        <w:t>.</w:t>
      </w:r>
      <w:r w:rsidRPr="009D20C6">
        <w:t xml:space="preserve"> </w:t>
      </w:r>
      <w:proofErr w:type="spellStart"/>
      <w:r w:rsidRPr="009D20C6">
        <w:t>Schivelbusch’s</w:t>
      </w:r>
      <w:proofErr w:type="spellEnd"/>
      <w:r w:rsidRPr="009D20C6">
        <w:t xml:space="preserve"> facial mutilation involves the dropping of her dislodged eyeball into a Ziploc bag and William </w:t>
      </w:r>
      <w:proofErr w:type="spellStart"/>
      <w:r w:rsidRPr="009D20C6">
        <w:t>Huskinsson</w:t>
      </w:r>
      <w:proofErr w:type="spellEnd"/>
      <w:r w:rsidRPr="009D20C6">
        <w:t xml:space="preserve">, who was run over by the train is carried offstage by the rest of the cast who sing ‘You are my Sunshine’ </w:t>
      </w:r>
      <w:r w:rsidR="00E1081E">
        <w:t>‘</w:t>
      </w:r>
      <w:r w:rsidRPr="009D20C6">
        <w:t>as a funeral dirge</w:t>
      </w:r>
      <w:r w:rsidR="00E1081E">
        <w:t>’</w:t>
      </w:r>
      <w:r w:rsidR="00C817BA">
        <w:t>.</w:t>
      </w:r>
      <w:r w:rsidR="00E1081E">
        <w:rPr>
          <w:rStyle w:val="EndnoteReference"/>
        </w:rPr>
        <w:endnoteReference w:id="114"/>
      </w:r>
      <w:r w:rsidRPr="009D20C6">
        <w:t xml:space="preserve"> This, coupled with the </w:t>
      </w:r>
      <w:r w:rsidR="002119AE">
        <w:t>‘</w:t>
      </w:r>
      <w:r w:rsidRPr="009D20C6">
        <w:t>canned cheers</w:t>
      </w:r>
      <w:r w:rsidR="002119AE">
        <w:t>’</w:t>
      </w:r>
      <w:r w:rsidRPr="009D20C6">
        <w:t>, su</w:t>
      </w:r>
      <w:r w:rsidR="00A85B26" w:rsidRPr="009D20C6">
        <w:t>ggests that for Earnest, motoriz</w:t>
      </w:r>
      <w:r w:rsidRPr="009D20C6">
        <w:t>ed transportation has an inherent artificiality</w:t>
      </w:r>
      <w:r w:rsidR="00C817BA">
        <w:t>.</w:t>
      </w:r>
      <w:r w:rsidR="002119AE">
        <w:rPr>
          <w:rStyle w:val="EndnoteReference"/>
        </w:rPr>
        <w:endnoteReference w:id="115"/>
      </w:r>
      <w:r w:rsidRPr="009D20C6">
        <w:t xml:space="preserve"> The announcer may have dispelled some of the myths that prefixed the arrival of The Rocket, but within this tragi-comic framing Earnest suggests that there are still psychological and physiological eff</w:t>
      </w:r>
      <w:r w:rsidR="00A85B26" w:rsidRPr="009D20C6">
        <w:t>ects to be incurred from motoriz</w:t>
      </w:r>
      <w:r w:rsidRPr="009D20C6">
        <w:t>ed transport that cannot be ignored.</w:t>
      </w:r>
    </w:p>
    <w:p w14:paraId="2E9620EA" w14:textId="77777777" w:rsidR="00F35C1B" w:rsidRPr="009D20C6" w:rsidRDefault="00F35C1B" w:rsidP="00A930CB">
      <w:pPr>
        <w:spacing w:before="240"/>
      </w:pPr>
      <w:r w:rsidRPr="009D20C6">
        <w:t xml:space="preserve">This scene is book-ended with the last scene of the play which relates to the last chapter in </w:t>
      </w:r>
      <w:proofErr w:type="spellStart"/>
      <w:r w:rsidRPr="009D20C6">
        <w:t>Solnit’s</w:t>
      </w:r>
      <w:proofErr w:type="spellEnd"/>
      <w:r w:rsidRPr="009D20C6">
        <w:t xml:space="preserve"> book. This moment, a popular one with reviewers, takes place entirely within a car and depicts a family who drive around Las Vegas observing all the sights entirely from within their vehicle. Famous landmarks are juxtaposed, there is an overdependence on GPS and a wariness of walkers, who are viewed almost as unnatural figures who are behind the times. Earnest uses a spotlight to isolate the family further</w:t>
      </w:r>
      <w:r w:rsidR="00C817BA">
        <w:t>,</w:t>
      </w:r>
      <w:r w:rsidR="0011203D">
        <w:rPr>
          <w:rStyle w:val="EndnoteReference"/>
        </w:rPr>
        <w:endnoteReference w:id="116"/>
      </w:r>
      <w:r w:rsidRPr="009D20C6">
        <w:t xml:space="preserve"> echoing Carl </w:t>
      </w:r>
      <w:proofErr w:type="spellStart"/>
      <w:r w:rsidRPr="009D20C6">
        <w:t>Lavery’s</w:t>
      </w:r>
      <w:proofErr w:type="spellEnd"/>
      <w:r w:rsidRPr="009D20C6">
        <w:t xml:space="preserve"> comments regarding the loneliness and isolation of travel by car. </w:t>
      </w:r>
    </w:p>
    <w:p w14:paraId="507988D3" w14:textId="77777777" w:rsidR="00A85490" w:rsidRDefault="00A85490" w:rsidP="00986C7E"/>
    <w:p w14:paraId="6182DBFE" w14:textId="77777777" w:rsidR="007D320F" w:rsidRPr="009D20C6" w:rsidRDefault="007D320F" w:rsidP="00986C7E"/>
    <w:p w14:paraId="743E9B34" w14:textId="77777777" w:rsidR="00F35C1B" w:rsidRPr="009D20C6" w:rsidRDefault="00F35C1B" w:rsidP="00C62510">
      <w:pPr>
        <w:pStyle w:val="Quote"/>
      </w:pPr>
      <w:r w:rsidRPr="009D20C6">
        <w:t xml:space="preserve">The act of driving alone in a car, for instance, demonstrates the lonely isolation of the contemporary individual better than any theoretical text ever could: it provides empirical proof that </w:t>
      </w:r>
      <w:proofErr w:type="spellStart"/>
      <w:r w:rsidRPr="009D20C6">
        <w:t>supermodern</w:t>
      </w:r>
      <w:proofErr w:type="spellEnd"/>
      <w:r w:rsidRPr="009D20C6">
        <w:t xml:space="preserve"> individuality – the right to go where we want, when we want – entails separation from others and reinforces solitude.</w:t>
      </w:r>
      <w:r w:rsidR="0011203D">
        <w:rPr>
          <w:rStyle w:val="EndnoteReference"/>
        </w:rPr>
        <w:endnoteReference w:id="117"/>
      </w:r>
      <w:r w:rsidRPr="009D20C6">
        <w:t xml:space="preserve"> </w:t>
      </w:r>
    </w:p>
    <w:p w14:paraId="20D5045E" w14:textId="77777777" w:rsidR="00A85490" w:rsidRDefault="00A85490" w:rsidP="00986C7E"/>
    <w:p w14:paraId="271541F9" w14:textId="77777777" w:rsidR="007D320F" w:rsidRPr="009D20C6" w:rsidRDefault="007D320F" w:rsidP="00986C7E"/>
    <w:p w14:paraId="7590AD4B" w14:textId="77777777" w:rsidR="00F35C1B" w:rsidRPr="009D20C6" w:rsidRDefault="007A3783" w:rsidP="00986C7E">
      <w:r w:rsidRPr="009D20C6">
        <w:t>This is the present that Earnest satirically depicts; a world in which walking is becoming substituted by high-speed motor travel, creating spaces that we barely interact with</w:t>
      </w:r>
      <w:r w:rsidR="00C817BA">
        <w:t>.</w:t>
      </w:r>
      <w:r w:rsidR="00E147FB">
        <w:rPr>
          <w:rStyle w:val="EndnoteReference"/>
        </w:rPr>
        <w:endnoteReference w:id="118"/>
      </w:r>
      <w:r w:rsidRPr="009D20C6">
        <w:t xml:space="preserve"> </w:t>
      </w:r>
      <w:r w:rsidR="00F35C1B" w:rsidRPr="009D20C6">
        <w:t>As technology advances, the divide betwee</w:t>
      </w:r>
      <w:r w:rsidR="00A85B26" w:rsidRPr="009D20C6">
        <w:t>n walking and high-speed motoriz</w:t>
      </w:r>
      <w:r w:rsidR="00F35C1B" w:rsidRPr="009D20C6">
        <w:t xml:space="preserve">ed transportation continues to </w:t>
      </w:r>
      <w:r w:rsidR="003875E9" w:rsidRPr="009D20C6">
        <w:t>expand. Earnest explains how in</w:t>
      </w:r>
    </w:p>
    <w:p w14:paraId="4A550D28" w14:textId="77777777" w:rsidR="00A85490" w:rsidRDefault="00A85490" w:rsidP="00986C7E"/>
    <w:p w14:paraId="3BE69B90" w14:textId="77777777" w:rsidR="00911A1B" w:rsidRPr="009D20C6" w:rsidRDefault="00911A1B" w:rsidP="00986C7E"/>
    <w:p w14:paraId="18EAA999" w14:textId="77777777" w:rsidR="00F35C1B" w:rsidRPr="009D20C6" w:rsidRDefault="00F35C1B" w:rsidP="00C62510">
      <w:pPr>
        <w:pStyle w:val="Quote"/>
        <w:rPr>
          <w:rFonts w:eastAsia="Times New Roman"/>
          <w:lang w:eastAsia="en-GB"/>
        </w:rPr>
      </w:pPr>
      <w:r w:rsidRPr="009D20C6">
        <w:rPr>
          <w:rFonts w:eastAsia="Times New Roman"/>
          <w:lang w:eastAsia="en-GB"/>
        </w:rPr>
        <w:t xml:space="preserve">Capitalist, mostly </w:t>
      </w:r>
      <w:proofErr w:type="spellStart"/>
      <w:r w:rsidRPr="009D20C6">
        <w:rPr>
          <w:rFonts w:eastAsia="Times New Roman"/>
          <w:lang w:eastAsia="en-GB"/>
        </w:rPr>
        <w:t>vacationless</w:t>
      </w:r>
      <w:proofErr w:type="spellEnd"/>
      <w:r w:rsidRPr="009D20C6">
        <w:rPr>
          <w:rFonts w:eastAsia="Times New Roman"/>
          <w:lang w:eastAsia="en-GB"/>
        </w:rPr>
        <w:t xml:space="preserve"> and broke America, the only hope of travel and discovery is Las Vegas, where one may see replicas of all the world's great sites – the pyramids, the Eiffel Tower, the Statue of Liberty, etc. – in one place. I put a middle class family in a car on summer vacation to Las Vegas, hoping that I could express Rebecca's point that we're not really in our bodies anymore, but that we experience the world rolling in these really bizarre boxes we call cars, looking out at the world through windows, not travelling on our own natural steam.</w:t>
      </w:r>
      <w:r w:rsidR="00911A1B">
        <w:rPr>
          <w:rStyle w:val="EndnoteReference"/>
          <w:rFonts w:eastAsia="Times New Roman"/>
          <w:lang w:eastAsia="en-GB"/>
        </w:rPr>
        <w:endnoteReference w:id="119"/>
      </w:r>
      <w:r w:rsidRPr="009D20C6">
        <w:rPr>
          <w:rFonts w:eastAsia="Times New Roman"/>
          <w:lang w:eastAsia="en-GB"/>
        </w:rPr>
        <w:t xml:space="preserve"> </w:t>
      </w:r>
    </w:p>
    <w:p w14:paraId="7D791497" w14:textId="77777777" w:rsidR="00A85490" w:rsidRDefault="00A85490" w:rsidP="00986C7E">
      <w:pPr>
        <w:rPr>
          <w:rFonts w:eastAsia="Times New Roman"/>
          <w:lang w:eastAsia="en-GB"/>
        </w:rPr>
      </w:pPr>
    </w:p>
    <w:p w14:paraId="2917E609" w14:textId="77777777" w:rsidR="00911A1B" w:rsidRPr="009D20C6" w:rsidRDefault="00911A1B" w:rsidP="00986C7E"/>
    <w:p w14:paraId="14E0A071" w14:textId="77777777" w:rsidR="00F35C1B" w:rsidRDefault="00F35C1B" w:rsidP="00986C7E">
      <w:r w:rsidRPr="009D20C6">
        <w:t xml:space="preserve">Such a </w:t>
      </w:r>
      <w:r w:rsidR="0002059F">
        <w:t>“</w:t>
      </w:r>
      <w:r w:rsidRPr="009D20C6">
        <w:t>point</w:t>
      </w:r>
      <w:r w:rsidR="0002059F">
        <w:t>”</w:t>
      </w:r>
      <w:r w:rsidRPr="009D20C6">
        <w:t xml:space="preserve"> divided critics, some labelling it as </w:t>
      </w:r>
      <w:r w:rsidR="00643C3F">
        <w:t>‘</w:t>
      </w:r>
      <w:r w:rsidRPr="009D20C6">
        <w:t>the show’s highlight</w:t>
      </w:r>
      <w:r w:rsidR="00643C3F">
        <w:t>’</w:t>
      </w:r>
      <w:r w:rsidR="00030BCF">
        <w:rPr>
          <w:rStyle w:val="EndnoteReference"/>
        </w:rPr>
        <w:endnoteReference w:id="120"/>
      </w:r>
      <w:r w:rsidRPr="009D20C6">
        <w:t xml:space="preserve"> and others believed that such a </w:t>
      </w:r>
      <w:r w:rsidR="00643C3F">
        <w:t>‘</w:t>
      </w:r>
      <w:r w:rsidRPr="009D20C6">
        <w:t>moralizing thread</w:t>
      </w:r>
      <w:r w:rsidR="00643C3F">
        <w:t>’</w:t>
      </w:r>
      <w:r w:rsidRPr="009D20C6">
        <w:t xml:space="preserve"> is </w:t>
      </w:r>
      <w:r w:rsidR="00643C3F">
        <w:t>‘</w:t>
      </w:r>
      <w:r w:rsidRPr="009D20C6">
        <w:t>simplistic and dated</w:t>
      </w:r>
      <w:r w:rsidR="00643C3F">
        <w:t>’</w:t>
      </w:r>
      <w:r w:rsidR="00C817BA">
        <w:t>.</w:t>
      </w:r>
      <w:r w:rsidR="000D53F0">
        <w:rPr>
          <w:rStyle w:val="EndnoteReference"/>
        </w:rPr>
        <w:endnoteReference w:id="121"/>
      </w:r>
      <w:r w:rsidRPr="009D20C6">
        <w:t xml:space="preserve"> The piece fo</w:t>
      </w:r>
      <w:r w:rsidR="00643C3F">
        <w:t>r Earnest is about proving that</w:t>
      </w:r>
      <w:r w:rsidRPr="009D20C6">
        <w:rPr>
          <w:rStyle w:val="apple-style-span"/>
          <w:color w:val="000000"/>
        </w:rPr>
        <w:t xml:space="preserve"> </w:t>
      </w:r>
      <w:r w:rsidR="00643C3F">
        <w:rPr>
          <w:rStyle w:val="apple-style-span"/>
          <w:color w:val="000000"/>
        </w:rPr>
        <w:t xml:space="preserve">travelling ‘is what makes your life richer </w:t>
      </w:r>
      <w:r w:rsidRPr="009D20C6">
        <w:rPr>
          <w:rStyle w:val="apple-style-span"/>
          <w:color w:val="000000"/>
        </w:rPr>
        <w:t>… if you allow it to happen to you</w:t>
      </w:r>
      <w:r w:rsidR="00643C3F">
        <w:rPr>
          <w:rStyle w:val="apple-style-span"/>
          <w:color w:val="000000"/>
        </w:rPr>
        <w:t>’</w:t>
      </w:r>
      <w:r w:rsidR="00C817BA">
        <w:rPr>
          <w:rStyle w:val="apple-style-span"/>
          <w:color w:val="000000"/>
        </w:rPr>
        <w:t>,</w:t>
      </w:r>
      <w:r w:rsidR="00613711">
        <w:rPr>
          <w:rStyle w:val="EndnoteReference"/>
          <w:color w:val="000000"/>
        </w:rPr>
        <w:endnoteReference w:id="122"/>
      </w:r>
      <w:r w:rsidRPr="009D20C6">
        <w:rPr>
          <w:rStyle w:val="apple-style-span"/>
          <w:color w:val="000000"/>
        </w:rPr>
        <w:t xml:space="preserve"> but in Las Vegas the short distance between</w:t>
      </w:r>
      <w:r w:rsidR="003875E9" w:rsidRPr="009D20C6">
        <w:t xml:space="preserve"> these ‘architectural greatest hits’</w:t>
      </w:r>
      <w:r w:rsidRPr="009D20C6">
        <w:t xml:space="preserve"> detracts from the </w:t>
      </w:r>
      <w:r w:rsidR="0002059F">
        <w:t>“</w:t>
      </w:r>
      <w:r w:rsidRPr="009D20C6">
        <w:t>riches</w:t>
      </w:r>
      <w:r w:rsidR="0002059F">
        <w:t>”</w:t>
      </w:r>
      <w:r w:rsidRPr="009D20C6">
        <w:t xml:space="preserve"> of travel</w:t>
      </w:r>
      <w:r w:rsidR="00C817BA">
        <w:t>.</w:t>
      </w:r>
      <w:r w:rsidR="008318AE">
        <w:rPr>
          <w:rStyle w:val="EndnoteReference"/>
        </w:rPr>
        <w:endnoteReference w:id="123"/>
      </w:r>
      <w:r w:rsidRPr="009D20C6">
        <w:t xml:space="preserve"> This, combined with the comparativel</w:t>
      </w:r>
      <w:r w:rsidR="00A85B26" w:rsidRPr="009D20C6">
        <w:t>y less effort needed for motoriz</w:t>
      </w:r>
      <w:r w:rsidRPr="009D20C6">
        <w:t xml:space="preserve">ed transportation, means that the pleasures found in walking, as illustrated by Earnest and his company in the preceding </w:t>
      </w:r>
      <w:proofErr w:type="gramStart"/>
      <w:r w:rsidRPr="009D20C6">
        <w:t>scenes,</w:t>
      </w:r>
      <w:proofErr w:type="gramEnd"/>
      <w:r w:rsidRPr="009D20C6">
        <w:t xml:space="preserve"> will diminish. Earnest’s argument, although perhaps a little </w:t>
      </w:r>
      <w:r w:rsidR="0002059F">
        <w:t>“</w:t>
      </w:r>
      <w:r w:rsidRPr="009D20C6">
        <w:t>simplistic</w:t>
      </w:r>
      <w:r w:rsidR="0002059F">
        <w:t>”</w:t>
      </w:r>
      <w:r w:rsidRPr="009D20C6">
        <w:t xml:space="preserve">, is by no means </w:t>
      </w:r>
      <w:r w:rsidR="0002059F">
        <w:t>“</w:t>
      </w:r>
      <w:r w:rsidRPr="009D20C6">
        <w:t>dated</w:t>
      </w:r>
      <w:r w:rsidR="0002059F">
        <w:t>”</w:t>
      </w:r>
      <w:r w:rsidRPr="009D20C6">
        <w:t xml:space="preserve">, and what makes its effect all the more powerful is that it is presented in the theatre, another </w:t>
      </w:r>
      <w:r w:rsidR="0002059F">
        <w:t>“</w:t>
      </w:r>
      <w:r w:rsidRPr="009D20C6">
        <w:t>bizarre box</w:t>
      </w:r>
      <w:r w:rsidR="0002059F">
        <w:t>”</w:t>
      </w:r>
      <w:r w:rsidRPr="009D20C6">
        <w:t xml:space="preserve"> in which we look at the world on stage through another </w:t>
      </w:r>
      <w:r w:rsidR="0002059F">
        <w:t>“</w:t>
      </w:r>
      <w:r w:rsidRPr="009D20C6">
        <w:t>window</w:t>
      </w:r>
      <w:r w:rsidR="0002059F">
        <w:t>”</w:t>
      </w:r>
      <w:r w:rsidRPr="009D20C6">
        <w:t xml:space="preserve">. </w:t>
      </w:r>
    </w:p>
    <w:p w14:paraId="0877D93C" w14:textId="77777777" w:rsidR="00F35C1B" w:rsidRPr="009D20C6" w:rsidRDefault="00F35C1B" w:rsidP="00A930CB">
      <w:pPr>
        <w:spacing w:before="240"/>
      </w:pPr>
      <w:r w:rsidRPr="009D20C6">
        <w:rPr>
          <w:i/>
        </w:rPr>
        <w:t>Wanderlust</w:t>
      </w:r>
      <w:r w:rsidRPr="009D20C6">
        <w:t xml:space="preserve"> perhaps loses a sense of specificity with this staging that could be achieved by taking the audience to an actual location. However, here the theatre further illustrates a sense of detachment, observed by an audience that does not have to physically move. Earnest’s attitude towards driving echoes that of</w:t>
      </w:r>
      <w:r w:rsidR="003875E9" w:rsidRPr="009D20C6">
        <w:t xml:space="preserve"> the </w:t>
      </w:r>
      <w:r w:rsidR="009E6A00" w:rsidRPr="009D20C6">
        <w:t>Austrian</w:t>
      </w:r>
      <w:r w:rsidR="003875E9" w:rsidRPr="009D20C6">
        <w:t xml:space="preserve"> playwright Peter </w:t>
      </w:r>
      <w:proofErr w:type="spellStart"/>
      <w:r w:rsidR="003875E9" w:rsidRPr="009D20C6">
        <w:t>Handke</w:t>
      </w:r>
      <w:proofErr w:type="spellEnd"/>
      <w:r w:rsidR="003875E9" w:rsidRPr="009D20C6">
        <w:t>, in which ‘</w:t>
      </w:r>
      <w:r w:rsidRPr="009D20C6">
        <w:t>there exists no departure, no chang</w:t>
      </w:r>
      <w:r w:rsidR="003875E9" w:rsidRPr="009D20C6">
        <w:t>e of scene, no sense of arrival’</w:t>
      </w:r>
      <w:r w:rsidR="00C817BA">
        <w:t>.</w:t>
      </w:r>
      <w:r w:rsidR="00504B38">
        <w:rPr>
          <w:rStyle w:val="EndnoteReference"/>
        </w:rPr>
        <w:endnoteReference w:id="124"/>
      </w:r>
      <w:r w:rsidRPr="009D20C6">
        <w:t xml:space="preserve"> Earnest attempts to make such a readily accepted and familiar action strange by setting it in an environment that is also susceptible to departure, changing scenery and arrival – that of the theatre. The close proximities between capital cities that </w:t>
      </w:r>
      <w:proofErr w:type="spellStart"/>
      <w:r w:rsidR="00A85B26" w:rsidRPr="009D20C6">
        <w:t>Augé</w:t>
      </w:r>
      <w:proofErr w:type="spellEnd"/>
      <w:r w:rsidR="00A85B26" w:rsidRPr="009D20C6">
        <w:t xml:space="preserve"> refers to are here emphasiz</w:t>
      </w:r>
      <w:r w:rsidRPr="009D20C6">
        <w:t>ed, making the distance between whole countries and even time periods lasting but a few seconds. This is a reason why o</w:t>
      </w:r>
      <w:r w:rsidR="003875E9" w:rsidRPr="009D20C6">
        <w:t>ne member of the audience felt ‘exhausted’</w:t>
      </w:r>
      <w:r w:rsidRPr="009D20C6">
        <w:t>, because they were forced to align themselves with the pace of Earnest’s piece, which was faster than their own ‘natural stream’</w:t>
      </w:r>
      <w:r w:rsidR="00C817BA">
        <w:t>.</w:t>
      </w:r>
      <w:r w:rsidR="008318AE">
        <w:rPr>
          <w:rStyle w:val="EndnoteReference"/>
        </w:rPr>
        <w:endnoteReference w:id="125"/>
      </w:r>
      <w:r w:rsidRPr="009D20C6">
        <w:t xml:space="preserve"> </w:t>
      </w:r>
    </w:p>
    <w:p w14:paraId="78D57F87" w14:textId="77777777" w:rsidR="002A1001" w:rsidRPr="009D20C6" w:rsidRDefault="00283637" w:rsidP="00986C7E">
      <w:pPr>
        <w:pStyle w:val="Heading2"/>
      </w:pPr>
      <w:r>
        <w:lastRenderedPageBreak/>
        <w:t>Sit-Specific Performance</w:t>
      </w:r>
    </w:p>
    <w:p w14:paraId="318A48BE" w14:textId="77777777" w:rsidR="002A1001" w:rsidRDefault="002A1001" w:rsidP="00986C7E">
      <w:pPr>
        <w:rPr>
          <w:rStyle w:val="apple-style-span"/>
          <w:color w:val="000000"/>
        </w:rPr>
      </w:pPr>
      <w:r w:rsidRPr="009D20C6">
        <w:t>The variety of different dramatic effects generated by the staging of a walk, provide a firm case for the accommodation of the theatre</w:t>
      </w:r>
      <w:r w:rsidR="0002059F">
        <w:t xml:space="preserve"> stage</w:t>
      </w:r>
      <w:r w:rsidRPr="009D20C6">
        <w:t xml:space="preserve"> within studies of pedestrian performance. </w:t>
      </w:r>
      <w:r w:rsidR="00A85B26" w:rsidRPr="009D20C6">
        <w:rPr>
          <w:rStyle w:val="apple-style-span"/>
          <w:color w:val="000000"/>
        </w:rPr>
        <w:t>Audiences can recognize that acting is a specializ</w:t>
      </w:r>
      <w:r w:rsidRPr="009D20C6">
        <w:rPr>
          <w:rStyle w:val="apple-style-span"/>
          <w:color w:val="000000"/>
        </w:rPr>
        <w:t>ed skill, but walking across a spa</w:t>
      </w:r>
      <w:r w:rsidR="002408A2">
        <w:rPr>
          <w:rStyle w:val="apple-style-span"/>
          <w:color w:val="000000"/>
        </w:rPr>
        <w:t xml:space="preserve">ce is something perceived as </w:t>
      </w:r>
      <w:proofErr w:type="gramStart"/>
      <w:r w:rsidR="002408A2">
        <w:rPr>
          <w:rStyle w:val="apple-style-span"/>
          <w:color w:val="000000"/>
        </w:rPr>
        <w:t xml:space="preserve">an </w:t>
      </w:r>
      <w:r w:rsidRPr="009D20C6">
        <w:rPr>
          <w:rStyle w:val="apple-style-span"/>
          <w:color w:val="000000"/>
        </w:rPr>
        <w:t>ability</w:t>
      </w:r>
      <w:proofErr w:type="gramEnd"/>
      <w:r w:rsidRPr="009D20C6">
        <w:rPr>
          <w:rStyle w:val="apple-style-span"/>
          <w:color w:val="000000"/>
        </w:rPr>
        <w:t xml:space="preserve"> possessed by most people. It is </w:t>
      </w:r>
      <w:r w:rsidR="00253A8C">
        <w:rPr>
          <w:rStyle w:val="apple-style-span"/>
          <w:color w:val="000000"/>
        </w:rPr>
        <w:t>an</w:t>
      </w:r>
      <w:r w:rsidR="005D16AD" w:rsidRPr="009D20C6">
        <w:rPr>
          <w:rStyle w:val="apple-style-span"/>
          <w:color w:val="000000"/>
        </w:rPr>
        <w:t xml:space="preserve"> action </w:t>
      </w:r>
      <w:r w:rsidRPr="009D20C6">
        <w:rPr>
          <w:rStyle w:val="apple-style-span"/>
          <w:color w:val="000000"/>
        </w:rPr>
        <w:t xml:space="preserve">that </w:t>
      </w:r>
      <w:r w:rsidR="005D16AD" w:rsidRPr="009D20C6">
        <w:rPr>
          <w:rStyle w:val="apple-style-span"/>
          <w:color w:val="000000"/>
        </w:rPr>
        <w:t>helps foster a kin</w:t>
      </w:r>
      <w:r w:rsidR="00843F24">
        <w:rPr>
          <w:rStyle w:val="apple-style-span"/>
          <w:color w:val="000000"/>
        </w:rPr>
        <w:t>a</w:t>
      </w:r>
      <w:r w:rsidR="005D16AD" w:rsidRPr="009D20C6">
        <w:rPr>
          <w:rStyle w:val="apple-style-span"/>
          <w:color w:val="000000"/>
        </w:rPr>
        <w:t xml:space="preserve">esthetic empathy for the movement of the performers on stage but also creates uncertainty as to whether it is </w:t>
      </w:r>
      <w:r w:rsidRPr="009D20C6">
        <w:rPr>
          <w:rStyle w:val="apple-style-span"/>
          <w:color w:val="000000"/>
        </w:rPr>
        <w:t xml:space="preserve">acting </w:t>
      </w:r>
      <w:r w:rsidR="005D16AD" w:rsidRPr="009D20C6">
        <w:rPr>
          <w:rStyle w:val="apple-style-span"/>
          <w:color w:val="000000"/>
        </w:rPr>
        <w:t>or</w:t>
      </w:r>
      <w:r w:rsidRPr="009D20C6">
        <w:rPr>
          <w:rStyle w:val="apple-style-span"/>
          <w:color w:val="000000"/>
        </w:rPr>
        <w:t xml:space="preserve"> </w:t>
      </w:r>
      <w:r w:rsidR="005D16AD" w:rsidRPr="009D20C6">
        <w:rPr>
          <w:rStyle w:val="apple-style-span"/>
          <w:color w:val="000000"/>
        </w:rPr>
        <w:t>‘</w:t>
      </w:r>
      <w:r w:rsidRPr="009D20C6">
        <w:rPr>
          <w:rStyle w:val="apple-style-span"/>
          <w:color w:val="000000"/>
        </w:rPr>
        <w:t>not-acting’.</w:t>
      </w:r>
    </w:p>
    <w:p w14:paraId="21156DAD" w14:textId="77777777" w:rsidR="002A1001" w:rsidRDefault="002A1001" w:rsidP="00A930CB">
      <w:pPr>
        <w:spacing w:before="240"/>
      </w:pPr>
      <w:r w:rsidRPr="009D20C6">
        <w:t xml:space="preserve">In </w:t>
      </w:r>
      <w:proofErr w:type="spellStart"/>
      <w:r w:rsidRPr="009D20C6">
        <w:t>analy</w:t>
      </w:r>
      <w:r w:rsidR="0002059F">
        <w:t>z</w:t>
      </w:r>
      <w:r w:rsidRPr="009D20C6">
        <w:t>ing</w:t>
      </w:r>
      <w:proofErr w:type="spellEnd"/>
      <w:r w:rsidRPr="009D20C6">
        <w:t xml:space="preserve"> the theatrical event through the lens of pedestrian performance we can observe how the very walk of a</w:t>
      </w:r>
      <w:r w:rsidR="00253A8C">
        <w:t>n</w:t>
      </w:r>
      <w:r w:rsidRPr="009D20C6">
        <w:t xml:space="preserve"> </w:t>
      </w:r>
      <w:r w:rsidR="00253A8C">
        <w:t>actor</w:t>
      </w:r>
      <w:r w:rsidRPr="009D20C6">
        <w:t xml:space="preserve"> can act as a point of entry into understanding their </w:t>
      </w:r>
      <w:r w:rsidR="00253A8C">
        <w:t>characterisation</w:t>
      </w:r>
      <w:r w:rsidRPr="009D20C6">
        <w:t xml:space="preserve">. For the performer in the studio, </w:t>
      </w:r>
      <w:r w:rsidR="005D16AD" w:rsidRPr="009D20C6">
        <w:t>this</w:t>
      </w:r>
      <w:r w:rsidRPr="009D20C6">
        <w:t xml:space="preserve"> provides a sense of return, of unmasking and re-learning bio-mechanical processes to develop themselves, the motif of the journey presenting a seductive means to articulate this. The staging of the path can yield a myriad of themes and ideas pertinent to a play, whether it </w:t>
      </w:r>
      <w:r w:rsidR="007A3783" w:rsidRPr="009D20C6">
        <w:t>is</w:t>
      </w:r>
      <w:r w:rsidRPr="009D20C6">
        <w:t xml:space="preserve"> the quite seamless technological trickery of a magical pilgrimage or a tragic, never-ending mechanical march t</w:t>
      </w:r>
      <w:r w:rsidR="00A85B26" w:rsidRPr="009D20C6">
        <w:t>hrough a politiciz</w:t>
      </w:r>
      <w:r w:rsidRPr="009D20C6">
        <w:t>ed landscape.</w:t>
      </w:r>
    </w:p>
    <w:p w14:paraId="4E1D58B8" w14:textId="0D073A78" w:rsidR="002A1001" w:rsidRDefault="002A1001" w:rsidP="00A930CB">
      <w:pPr>
        <w:spacing w:before="240"/>
      </w:pPr>
      <w:r w:rsidRPr="009D20C6">
        <w:t xml:space="preserve">Pedestrian performance also acknowledges the significance of the audience’s journey to and from the theatre. The </w:t>
      </w:r>
      <w:r w:rsidR="00843F24" w:rsidRPr="009D20C6">
        <w:t>kinaesthetic</w:t>
      </w:r>
      <w:r w:rsidRPr="009D20C6">
        <w:t xml:space="preserve"> experience they accrue when walking to a performance is suspended when they take their seats. The performance they witness may extend such a journey or remind them of their immobility through a manipulation of not just their emotional empathy but their abil</w:t>
      </w:r>
      <w:r w:rsidR="00A85B26" w:rsidRPr="009D20C6">
        <w:t xml:space="preserve">ity to </w:t>
      </w:r>
      <w:r w:rsidR="00843F24" w:rsidRPr="009D20C6">
        <w:t>kinaesthetically</w:t>
      </w:r>
      <w:r w:rsidR="00A85B26" w:rsidRPr="009D20C6">
        <w:t xml:space="preserve"> empathiz</w:t>
      </w:r>
      <w:r w:rsidRPr="009D20C6">
        <w:t xml:space="preserve">e with the movements of the performers. </w:t>
      </w:r>
      <w:r w:rsidR="00DF797B">
        <w:t>For some audiences, their</w:t>
      </w:r>
      <w:r w:rsidRPr="009D20C6">
        <w:t xml:space="preserve"> departure from the theatre facilitates a marrying of such empathy with their walking, which, as evidenced in </w:t>
      </w:r>
      <w:r w:rsidRPr="009D20C6">
        <w:rPr>
          <w:i/>
        </w:rPr>
        <w:t xml:space="preserve">Wanderlust, </w:t>
      </w:r>
      <w:r w:rsidRPr="009D20C6">
        <w:t xml:space="preserve">facilitated introspective reflection as to the historical significance of their feet. </w:t>
      </w:r>
    </w:p>
    <w:p w14:paraId="56E160A3" w14:textId="77777777" w:rsidR="00B34F00" w:rsidRPr="009D20C6" w:rsidRDefault="002A1001" w:rsidP="00A930CB">
      <w:pPr>
        <w:spacing w:before="240"/>
      </w:pPr>
      <w:r w:rsidRPr="009D20C6">
        <w:rPr>
          <w:rStyle w:val="apple-style-span"/>
          <w:color w:val="000000"/>
        </w:rPr>
        <w:t xml:space="preserve">In focussing on site-based performances that require its audience to walk throughout, the field of pedestrian performance overlooks the significance of the </w:t>
      </w:r>
      <w:r w:rsidRPr="009D20C6">
        <w:rPr>
          <w:rStyle w:val="apple-style-span"/>
          <w:i/>
          <w:color w:val="000000"/>
        </w:rPr>
        <w:t xml:space="preserve">immobility </w:t>
      </w:r>
      <w:r w:rsidRPr="009D20C6">
        <w:rPr>
          <w:rStyle w:val="apple-style-span"/>
          <w:color w:val="000000"/>
        </w:rPr>
        <w:t xml:space="preserve">of an audience. </w:t>
      </w:r>
      <w:r w:rsidR="00365523">
        <w:rPr>
          <w:rStyle w:val="apple-style-span"/>
          <w:color w:val="000000"/>
        </w:rPr>
        <w:t xml:space="preserve">Fiona </w:t>
      </w:r>
      <w:proofErr w:type="spellStart"/>
      <w:r w:rsidR="00365523">
        <w:rPr>
          <w:rStyle w:val="apple-style-span"/>
          <w:color w:val="000000"/>
        </w:rPr>
        <w:t>Wilkie’s</w:t>
      </w:r>
      <w:proofErr w:type="spellEnd"/>
      <w:r w:rsidR="00365523">
        <w:rPr>
          <w:rStyle w:val="apple-style-span"/>
          <w:color w:val="000000"/>
        </w:rPr>
        <w:t xml:space="preserve"> suggestion that the ‘well-documented “walking” model’ of site-based performance has scope for expansion</w:t>
      </w:r>
      <w:r w:rsidR="00BB38B1">
        <w:rPr>
          <w:rStyle w:val="EndnoteReference"/>
          <w:color w:val="000000"/>
        </w:rPr>
        <w:endnoteReference w:id="126"/>
      </w:r>
      <w:r w:rsidR="00365523">
        <w:rPr>
          <w:rStyle w:val="apple-style-span"/>
          <w:color w:val="000000"/>
        </w:rPr>
        <w:t xml:space="preserve"> </w:t>
      </w:r>
      <w:r w:rsidR="003B57AC">
        <w:rPr>
          <w:rStyle w:val="apple-style-span"/>
          <w:color w:val="000000"/>
        </w:rPr>
        <w:t xml:space="preserve">further </w:t>
      </w:r>
      <w:r w:rsidR="00365523">
        <w:rPr>
          <w:rStyle w:val="apple-style-span"/>
          <w:color w:val="000000"/>
        </w:rPr>
        <w:t>suggests a need to rethink the defining characteristics of pedestrian performance itself.</w:t>
      </w:r>
      <w:r w:rsidR="003B57AC">
        <w:rPr>
          <w:rStyle w:val="apple-style-span"/>
          <w:color w:val="000000"/>
        </w:rPr>
        <w:t xml:space="preserve"> </w:t>
      </w:r>
      <w:r w:rsidRPr="009D20C6">
        <w:rPr>
          <w:rStyle w:val="apple-style-span"/>
          <w:color w:val="000000"/>
        </w:rPr>
        <w:t>As interest in walking and performance continues to grow, the field itself also needs to grow</w:t>
      </w:r>
      <w:r w:rsidR="00532CE0" w:rsidRPr="009D20C6">
        <w:rPr>
          <w:rStyle w:val="apple-style-span"/>
          <w:color w:val="000000"/>
        </w:rPr>
        <w:t xml:space="preserve">, widening its </w:t>
      </w:r>
      <w:r w:rsidR="003B57AC">
        <w:rPr>
          <w:rStyle w:val="apple-style-span"/>
          <w:color w:val="000000"/>
        </w:rPr>
        <w:t>gaze</w:t>
      </w:r>
      <w:r w:rsidR="00532CE0" w:rsidRPr="009D20C6">
        <w:rPr>
          <w:rStyle w:val="apple-style-span"/>
          <w:color w:val="000000"/>
        </w:rPr>
        <w:t xml:space="preserve"> </w:t>
      </w:r>
      <w:r w:rsidR="005F7517">
        <w:rPr>
          <w:rStyle w:val="apple-style-span"/>
          <w:color w:val="000000"/>
        </w:rPr>
        <w:t>without stopping at</w:t>
      </w:r>
      <w:r w:rsidR="00532CE0" w:rsidRPr="009D20C6">
        <w:rPr>
          <w:rStyle w:val="apple-style-span"/>
          <w:color w:val="000000"/>
        </w:rPr>
        <w:t xml:space="preserve"> the theatre doors</w:t>
      </w:r>
      <w:r w:rsidRPr="009D20C6">
        <w:rPr>
          <w:rStyle w:val="apple-style-span"/>
          <w:color w:val="000000"/>
        </w:rPr>
        <w:t xml:space="preserve">. </w:t>
      </w:r>
    </w:p>
    <w:sectPr w:rsidR="00B34F00" w:rsidRPr="009D20C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E3B3C2" w14:textId="77777777" w:rsidR="004C1EF2" w:rsidRDefault="004C1EF2" w:rsidP="00986C7E">
      <w:r>
        <w:separator/>
      </w:r>
    </w:p>
  </w:endnote>
  <w:endnote w:type="continuationSeparator" w:id="0">
    <w:p w14:paraId="5EC016CB" w14:textId="77777777" w:rsidR="004C1EF2" w:rsidRDefault="004C1EF2" w:rsidP="00986C7E">
      <w:r>
        <w:continuationSeparator/>
      </w:r>
    </w:p>
  </w:endnote>
  <w:endnote w:id="1">
    <w:p w14:paraId="4CA000C3" w14:textId="77777777" w:rsidR="005A068D" w:rsidRPr="007F7104" w:rsidRDefault="005A068D" w:rsidP="007F7104">
      <w:pPr>
        <w:pStyle w:val="EndnoteText"/>
        <w:jc w:val="left"/>
        <w:rPr>
          <w:sz w:val="20"/>
          <w:szCs w:val="20"/>
        </w:rPr>
      </w:pPr>
      <w:r w:rsidRPr="007F7104">
        <w:rPr>
          <w:rStyle w:val="EndnoteReference"/>
          <w:sz w:val="20"/>
          <w:szCs w:val="20"/>
        </w:rPr>
        <w:endnoteRef/>
      </w:r>
      <w:r w:rsidRPr="007F7104">
        <w:rPr>
          <w:sz w:val="20"/>
          <w:szCs w:val="20"/>
        </w:rPr>
        <w:t xml:space="preserve"> These include: ambulatory performance, walking-based practice, walking performance.</w:t>
      </w:r>
    </w:p>
  </w:endnote>
  <w:endnote w:id="2">
    <w:p w14:paraId="314A288F" w14:textId="77777777" w:rsidR="00780158" w:rsidRPr="007F7104" w:rsidRDefault="00780158" w:rsidP="007F7104">
      <w:pPr>
        <w:pStyle w:val="EndnoteText"/>
        <w:jc w:val="left"/>
        <w:rPr>
          <w:sz w:val="20"/>
          <w:szCs w:val="20"/>
        </w:rPr>
      </w:pPr>
      <w:r w:rsidRPr="007F7104">
        <w:rPr>
          <w:rStyle w:val="EndnoteReference"/>
          <w:sz w:val="20"/>
          <w:szCs w:val="20"/>
        </w:rPr>
        <w:endnoteRef/>
      </w:r>
      <w:r w:rsidRPr="007F7104">
        <w:rPr>
          <w:sz w:val="20"/>
          <w:szCs w:val="20"/>
        </w:rPr>
        <w:t xml:space="preserve"> Carl </w:t>
      </w:r>
      <w:proofErr w:type="spellStart"/>
      <w:r w:rsidRPr="007F7104">
        <w:rPr>
          <w:sz w:val="20"/>
          <w:szCs w:val="20"/>
        </w:rPr>
        <w:t>Lavery</w:t>
      </w:r>
      <w:proofErr w:type="spellEnd"/>
      <w:r w:rsidRPr="007F7104">
        <w:rPr>
          <w:sz w:val="20"/>
          <w:szCs w:val="20"/>
        </w:rPr>
        <w:t xml:space="preserve">, </w:t>
      </w:r>
      <w:r w:rsidR="00C602C0" w:rsidRPr="007F7104">
        <w:rPr>
          <w:sz w:val="20"/>
          <w:szCs w:val="20"/>
        </w:rPr>
        <w:t>‘</w:t>
      </w:r>
      <w:r w:rsidRPr="007F7104">
        <w:rPr>
          <w:sz w:val="20"/>
          <w:szCs w:val="20"/>
        </w:rPr>
        <w:t>Mourning Walk and Pedestrian Performance: History, Aesthetics and Ethics</w:t>
      </w:r>
      <w:r w:rsidR="00C602C0" w:rsidRPr="007F7104">
        <w:rPr>
          <w:sz w:val="20"/>
          <w:szCs w:val="20"/>
        </w:rPr>
        <w:t>’</w:t>
      </w:r>
      <w:r w:rsidRPr="007F7104">
        <w:rPr>
          <w:sz w:val="20"/>
          <w:szCs w:val="20"/>
        </w:rPr>
        <w:t xml:space="preserve">, in </w:t>
      </w:r>
      <w:r w:rsidR="00AE3D5F" w:rsidRPr="007F7104">
        <w:rPr>
          <w:sz w:val="20"/>
          <w:szCs w:val="20"/>
        </w:rPr>
        <w:t xml:space="preserve">Roberta </w:t>
      </w:r>
      <w:r w:rsidRPr="007F7104">
        <w:rPr>
          <w:sz w:val="20"/>
          <w:szCs w:val="20"/>
        </w:rPr>
        <w:t>Mock</w:t>
      </w:r>
      <w:r w:rsidR="006A376F" w:rsidRPr="007F7104">
        <w:rPr>
          <w:sz w:val="20"/>
          <w:szCs w:val="20"/>
        </w:rPr>
        <w:t>, ed.</w:t>
      </w:r>
      <w:r w:rsidRPr="007F7104">
        <w:rPr>
          <w:sz w:val="20"/>
          <w:szCs w:val="20"/>
        </w:rPr>
        <w:t xml:space="preserve">, </w:t>
      </w:r>
      <w:r w:rsidRPr="007F7104">
        <w:rPr>
          <w:i/>
          <w:sz w:val="20"/>
          <w:szCs w:val="20"/>
        </w:rPr>
        <w:t>Walking, Writing and Performance</w:t>
      </w:r>
      <w:r w:rsidRPr="007F7104">
        <w:rPr>
          <w:sz w:val="20"/>
          <w:szCs w:val="20"/>
        </w:rPr>
        <w:t xml:space="preserve"> (Bristol: Intellect Books, 2009)</w:t>
      </w:r>
      <w:r w:rsidR="000504A3" w:rsidRPr="007F7104">
        <w:rPr>
          <w:sz w:val="20"/>
          <w:szCs w:val="20"/>
        </w:rPr>
        <w:t>,</w:t>
      </w:r>
      <w:r w:rsidRPr="007F7104">
        <w:rPr>
          <w:sz w:val="20"/>
          <w:szCs w:val="20"/>
        </w:rPr>
        <w:t xml:space="preserve"> p. 45.</w:t>
      </w:r>
    </w:p>
  </w:endnote>
  <w:endnote w:id="3">
    <w:p w14:paraId="0502C920" w14:textId="77777777" w:rsidR="006647F5" w:rsidRPr="007F7104" w:rsidRDefault="006647F5" w:rsidP="007F7104">
      <w:pPr>
        <w:pStyle w:val="EndnoteText"/>
        <w:jc w:val="left"/>
        <w:rPr>
          <w:sz w:val="20"/>
          <w:szCs w:val="20"/>
        </w:rPr>
      </w:pPr>
      <w:r w:rsidRPr="007F7104">
        <w:rPr>
          <w:rStyle w:val="EndnoteReference"/>
          <w:sz w:val="20"/>
          <w:szCs w:val="20"/>
        </w:rPr>
        <w:endnoteRef/>
      </w:r>
      <w:r w:rsidRPr="007F7104">
        <w:rPr>
          <w:sz w:val="20"/>
          <w:szCs w:val="20"/>
        </w:rPr>
        <w:t xml:space="preserve"> </w:t>
      </w:r>
      <w:proofErr w:type="spellStart"/>
      <w:r w:rsidRPr="007F7104">
        <w:rPr>
          <w:sz w:val="20"/>
          <w:szCs w:val="20"/>
        </w:rPr>
        <w:t>Elinor</w:t>
      </w:r>
      <w:proofErr w:type="spellEnd"/>
      <w:r w:rsidRPr="007F7104">
        <w:rPr>
          <w:sz w:val="20"/>
          <w:szCs w:val="20"/>
        </w:rPr>
        <w:t xml:space="preserve"> Fuchs and </w:t>
      </w:r>
      <w:proofErr w:type="spellStart"/>
      <w:r w:rsidRPr="007F7104">
        <w:rPr>
          <w:sz w:val="20"/>
          <w:szCs w:val="20"/>
        </w:rPr>
        <w:t>Una</w:t>
      </w:r>
      <w:proofErr w:type="spellEnd"/>
      <w:r w:rsidRPr="007F7104">
        <w:rPr>
          <w:sz w:val="20"/>
          <w:szCs w:val="20"/>
        </w:rPr>
        <w:t xml:space="preserve"> </w:t>
      </w:r>
      <w:proofErr w:type="spellStart"/>
      <w:r w:rsidRPr="007F7104">
        <w:rPr>
          <w:sz w:val="20"/>
          <w:szCs w:val="20"/>
        </w:rPr>
        <w:t>Chaudhuri</w:t>
      </w:r>
      <w:proofErr w:type="spellEnd"/>
      <w:r w:rsidRPr="007F7104">
        <w:rPr>
          <w:sz w:val="20"/>
          <w:szCs w:val="20"/>
        </w:rPr>
        <w:t>,</w:t>
      </w:r>
      <w:r w:rsidR="00580AF9" w:rsidRPr="007F7104">
        <w:rPr>
          <w:sz w:val="20"/>
          <w:szCs w:val="20"/>
        </w:rPr>
        <w:t xml:space="preserve"> eds.,</w:t>
      </w:r>
      <w:r w:rsidRPr="007F7104">
        <w:rPr>
          <w:sz w:val="20"/>
          <w:szCs w:val="20"/>
        </w:rPr>
        <w:t xml:space="preserve"> </w:t>
      </w:r>
      <w:r w:rsidR="003E0A23" w:rsidRPr="007F7104">
        <w:rPr>
          <w:i/>
          <w:sz w:val="20"/>
          <w:szCs w:val="20"/>
        </w:rPr>
        <w:t>Land/Scape/</w:t>
      </w:r>
      <w:proofErr w:type="spellStart"/>
      <w:r w:rsidR="003E0A23" w:rsidRPr="007F7104">
        <w:rPr>
          <w:i/>
          <w:sz w:val="20"/>
          <w:szCs w:val="20"/>
        </w:rPr>
        <w:t>Theater</w:t>
      </w:r>
      <w:proofErr w:type="spellEnd"/>
      <w:r w:rsidRPr="007F7104">
        <w:rPr>
          <w:i/>
          <w:sz w:val="20"/>
          <w:szCs w:val="20"/>
        </w:rPr>
        <w:t xml:space="preserve"> </w:t>
      </w:r>
      <w:r w:rsidRPr="007F7104">
        <w:rPr>
          <w:sz w:val="20"/>
          <w:szCs w:val="20"/>
        </w:rPr>
        <w:t>(Michigan: University of Michigan Press, 2002)</w:t>
      </w:r>
      <w:r w:rsidR="000504A3" w:rsidRPr="007F7104">
        <w:rPr>
          <w:sz w:val="20"/>
          <w:szCs w:val="20"/>
        </w:rPr>
        <w:t>,</w:t>
      </w:r>
      <w:r w:rsidRPr="007F7104">
        <w:rPr>
          <w:sz w:val="20"/>
          <w:szCs w:val="20"/>
        </w:rPr>
        <w:t xml:space="preserve"> p.1.  </w:t>
      </w:r>
    </w:p>
  </w:endnote>
  <w:endnote w:id="4">
    <w:p w14:paraId="56EA7590" w14:textId="77777777" w:rsidR="009F4023" w:rsidRPr="007F7104" w:rsidRDefault="009F4023" w:rsidP="007F7104">
      <w:pPr>
        <w:pStyle w:val="EndnoteText"/>
        <w:jc w:val="left"/>
        <w:rPr>
          <w:sz w:val="20"/>
          <w:szCs w:val="20"/>
        </w:rPr>
      </w:pPr>
      <w:r w:rsidRPr="007F7104">
        <w:rPr>
          <w:rStyle w:val="EndnoteReference"/>
          <w:sz w:val="20"/>
          <w:szCs w:val="20"/>
        </w:rPr>
        <w:endnoteRef/>
      </w:r>
      <w:r w:rsidRPr="007F7104">
        <w:rPr>
          <w:sz w:val="20"/>
          <w:szCs w:val="20"/>
        </w:rPr>
        <w:t xml:space="preserve"> </w:t>
      </w:r>
      <w:proofErr w:type="gramStart"/>
      <w:r w:rsidR="00301C89" w:rsidRPr="007F7104">
        <w:rPr>
          <w:sz w:val="20"/>
          <w:szCs w:val="20"/>
        </w:rPr>
        <w:t>Ibid</w:t>
      </w:r>
      <w:r w:rsidRPr="007F7104">
        <w:rPr>
          <w:i/>
          <w:sz w:val="20"/>
          <w:szCs w:val="20"/>
        </w:rPr>
        <w:t xml:space="preserve">, </w:t>
      </w:r>
      <w:r w:rsidRPr="007F7104">
        <w:rPr>
          <w:sz w:val="20"/>
          <w:szCs w:val="20"/>
        </w:rPr>
        <w:t>p. 1.</w:t>
      </w:r>
      <w:proofErr w:type="gramEnd"/>
    </w:p>
  </w:endnote>
  <w:endnote w:id="5">
    <w:p w14:paraId="7BAD0434" w14:textId="77777777" w:rsidR="00B13EF9" w:rsidRPr="007F7104" w:rsidRDefault="00B13EF9" w:rsidP="007F7104">
      <w:pPr>
        <w:pStyle w:val="EndnoteText"/>
        <w:jc w:val="left"/>
        <w:rPr>
          <w:sz w:val="20"/>
          <w:szCs w:val="20"/>
        </w:rPr>
      </w:pPr>
      <w:r w:rsidRPr="007F7104">
        <w:rPr>
          <w:rStyle w:val="EndnoteReference"/>
          <w:sz w:val="20"/>
          <w:szCs w:val="20"/>
        </w:rPr>
        <w:endnoteRef/>
      </w:r>
      <w:r w:rsidRPr="007F7104">
        <w:rPr>
          <w:sz w:val="20"/>
          <w:szCs w:val="20"/>
        </w:rPr>
        <w:t xml:space="preserve"> Richard </w:t>
      </w:r>
      <w:proofErr w:type="spellStart"/>
      <w:r w:rsidRPr="007F7104">
        <w:rPr>
          <w:sz w:val="20"/>
          <w:szCs w:val="20"/>
        </w:rPr>
        <w:t>S</w:t>
      </w:r>
      <w:r w:rsidR="00FC678F" w:rsidRPr="007F7104">
        <w:rPr>
          <w:sz w:val="20"/>
          <w:szCs w:val="20"/>
        </w:rPr>
        <w:t>c</w:t>
      </w:r>
      <w:r w:rsidRPr="007F7104">
        <w:rPr>
          <w:sz w:val="20"/>
          <w:szCs w:val="20"/>
        </w:rPr>
        <w:t>hechner</w:t>
      </w:r>
      <w:proofErr w:type="spellEnd"/>
      <w:r w:rsidRPr="007F7104">
        <w:rPr>
          <w:sz w:val="20"/>
          <w:szCs w:val="20"/>
        </w:rPr>
        <w:t xml:space="preserve">, </w:t>
      </w:r>
      <w:r w:rsidRPr="007F7104">
        <w:rPr>
          <w:i/>
          <w:sz w:val="20"/>
          <w:szCs w:val="20"/>
        </w:rPr>
        <w:t>Essays o</w:t>
      </w:r>
      <w:r w:rsidR="003E0A23" w:rsidRPr="007F7104">
        <w:rPr>
          <w:i/>
          <w:sz w:val="20"/>
          <w:szCs w:val="20"/>
        </w:rPr>
        <w:t>n Performance Theory, 1970-1976</w:t>
      </w:r>
      <w:r w:rsidRPr="007F7104">
        <w:rPr>
          <w:i/>
          <w:sz w:val="20"/>
          <w:szCs w:val="20"/>
        </w:rPr>
        <w:t xml:space="preserve"> </w:t>
      </w:r>
      <w:r w:rsidRPr="007F7104">
        <w:rPr>
          <w:sz w:val="20"/>
          <w:szCs w:val="20"/>
        </w:rPr>
        <w:t>(New York: Drama Book Specialists)</w:t>
      </w:r>
      <w:r w:rsidR="000504A3" w:rsidRPr="007F7104">
        <w:rPr>
          <w:sz w:val="20"/>
          <w:szCs w:val="20"/>
        </w:rPr>
        <w:t>,</w:t>
      </w:r>
      <w:r w:rsidRPr="007F7104">
        <w:rPr>
          <w:sz w:val="20"/>
          <w:szCs w:val="20"/>
        </w:rPr>
        <w:t xml:space="preserve"> p. 122.</w:t>
      </w:r>
    </w:p>
  </w:endnote>
  <w:endnote w:id="6">
    <w:p w14:paraId="37873880" w14:textId="77777777" w:rsidR="003E0A23" w:rsidRPr="007F7104" w:rsidRDefault="003E0A23" w:rsidP="007F7104">
      <w:pPr>
        <w:pStyle w:val="EndnoteText"/>
        <w:jc w:val="left"/>
        <w:rPr>
          <w:sz w:val="20"/>
          <w:szCs w:val="20"/>
        </w:rPr>
      </w:pPr>
      <w:r w:rsidRPr="007F7104">
        <w:rPr>
          <w:rStyle w:val="EndnoteReference"/>
          <w:sz w:val="20"/>
          <w:szCs w:val="20"/>
        </w:rPr>
        <w:endnoteRef/>
      </w:r>
      <w:r w:rsidRPr="007F7104">
        <w:rPr>
          <w:sz w:val="20"/>
          <w:szCs w:val="20"/>
        </w:rPr>
        <w:t xml:space="preserve"> Simon </w:t>
      </w:r>
      <w:proofErr w:type="spellStart"/>
      <w:r w:rsidRPr="007F7104">
        <w:rPr>
          <w:sz w:val="20"/>
          <w:szCs w:val="20"/>
        </w:rPr>
        <w:t>Persighetti</w:t>
      </w:r>
      <w:proofErr w:type="spellEnd"/>
      <w:r w:rsidRPr="007F7104">
        <w:rPr>
          <w:sz w:val="20"/>
          <w:szCs w:val="20"/>
        </w:rPr>
        <w:t xml:space="preserve">, ‘Wrights &amp; Sites &amp; Other Regions’, in Wrights &amp; Sites eds., </w:t>
      </w:r>
      <w:r w:rsidRPr="007F7104">
        <w:rPr>
          <w:i/>
          <w:sz w:val="20"/>
          <w:szCs w:val="20"/>
        </w:rPr>
        <w:t xml:space="preserve">Site-Specific: The Quay Thing Documented </w:t>
      </w:r>
      <w:r w:rsidRPr="007F7104">
        <w:rPr>
          <w:sz w:val="20"/>
          <w:szCs w:val="20"/>
        </w:rPr>
        <w:t>(Wiltshire: Antony Rowe, 2000), p. 11.</w:t>
      </w:r>
    </w:p>
  </w:endnote>
  <w:endnote w:id="7">
    <w:p w14:paraId="598F58D8" w14:textId="77777777" w:rsidR="00AE3D5F" w:rsidRPr="007F7104" w:rsidRDefault="00AE3D5F" w:rsidP="007F7104">
      <w:pPr>
        <w:pStyle w:val="EndnoteText"/>
        <w:jc w:val="left"/>
        <w:rPr>
          <w:sz w:val="20"/>
          <w:szCs w:val="20"/>
        </w:rPr>
      </w:pPr>
      <w:r w:rsidRPr="007F7104">
        <w:rPr>
          <w:rStyle w:val="EndnoteReference"/>
          <w:sz w:val="20"/>
          <w:szCs w:val="20"/>
        </w:rPr>
        <w:endnoteRef/>
      </w:r>
      <w:r w:rsidRPr="007F7104">
        <w:rPr>
          <w:sz w:val="20"/>
          <w:szCs w:val="20"/>
        </w:rPr>
        <w:t xml:space="preserve"> Phil Smith, ‘Crab Walking and </w:t>
      </w:r>
      <w:proofErr w:type="spellStart"/>
      <w:r w:rsidRPr="007F7104">
        <w:rPr>
          <w:sz w:val="20"/>
          <w:szCs w:val="20"/>
        </w:rPr>
        <w:t>Mythogeography</w:t>
      </w:r>
      <w:proofErr w:type="spellEnd"/>
      <w:r w:rsidRPr="007F7104">
        <w:rPr>
          <w:sz w:val="20"/>
          <w:szCs w:val="20"/>
        </w:rPr>
        <w:t xml:space="preserve">’, in Roberta Mock, ed., </w:t>
      </w:r>
      <w:r w:rsidRPr="007F7104">
        <w:rPr>
          <w:i/>
          <w:sz w:val="20"/>
          <w:szCs w:val="20"/>
        </w:rPr>
        <w:t>Walking, Writing and Performance</w:t>
      </w:r>
      <w:r w:rsidRPr="007F7104">
        <w:rPr>
          <w:sz w:val="20"/>
          <w:szCs w:val="20"/>
        </w:rPr>
        <w:t xml:space="preserve"> (Bristol: Intellect Books, 2009), p. 81.</w:t>
      </w:r>
    </w:p>
  </w:endnote>
  <w:endnote w:id="8">
    <w:p w14:paraId="6B504835" w14:textId="77777777" w:rsidR="00A5167D" w:rsidRPr="007F7104" w:rsidRDefault="00A5167D" w:rsidP="007F7104">
      <w:pPr>
        <w:pStyle w:val="EndnoteText"/>
        <w:jc w:val="left"/>
        <w:rPr>
          <w:sz w:val="20"/>
          <w:szCs w:val="20"/>
        </w:rPr>
      </w:pPr>
      <w:r w:rsidRPr="007F7104">
        <w:rPr>
          <w:rStyle w:val="EndnoteReference"/>
          <w:sz w:val="20"/>
          <w:szCs w:val="20"/>
        </w:rPr>
        <w:endnoteRef/>
      </w:r>
      <w:r w:rsidRPr="007F7104">
        <w:rPr>
          <w:sz w:val="20"/>
          <w:szCs w:val="20"/>
        </w:rPr>
        <w:t xml:space="preserve"> Martin </w:t>
      </w:r>
      <w:proofErr w:type="spellStart"/>
      <w:r w:rsidRPr="007F7104">
        <w:rPr>
          <w:sz w:val="20"/>
          <w:szCs w:val="20"/>
        </w:rPr>
        <w:t>Welton</w:t>
      </w:r>
      <w:proofErr w:type="spellEnd"/>
      <w:r w:rsidRPr="007F7104">
        <w:rPr>
          <w:sz w:val="20"/>
          <w:szCs w:val="20"/>
        </w:rPr>
        <w:t xml:space="preserve"> ‘Getting Things </w:t>
      </w:r>
      <w:proofErr w:type="gramStart"/>
      <w:r w:rsidRPr="007F7104">
        <w:rPr>
          <w:sz w:val="20"/>
          <w:szCs w:val="20"/>
        </w:rPr>
        <w:t>Off</w:t>
      </w:r>
      <w:proofErr w:type="gramEnd"/>
      <w:r w:rsidRPr="007F7104">
        <w:rPr>
          <w:sz w:val="20"/>
          <w:szCs w:val="20"/>
        </w:rPr>
        <w:t xml:space="preserve"> the Ground: Pedestrian Feelings’, </w:t>
      </w:r>
      <w:r w:rsidRPr="007F7104">
        <w:rPr>
          <w:i/>
          <w:sz w:val="20"/>
          <w:szCs w:val="20"/>
        </w:rPr>
        <w:t xml:space="preserve">Performance Research, </w:t>
      </w:r>
      <w:r w:rsidRPr="007F7104">
        <w:rPr>
          <w:sz w:val="20"/>
          <w:szCs w:val="20"/>
        </w:rPr>
        <w:t>Vol. XVII, No. 2, pp. 12-7.</w:t>
      </w:r>
    </w:p>
  </w:endnote>
  <w:endnote w:id="9">
    <w:p w14:paraId="01EF0F1F" w14:textId="77777777" w:rsidR="0089550A" w:rsidRPr="007F7104" w:rsidRDefault="0089550A" w:rsidP="007F7104">
      <w:pPr>
        <w:pStyle w:val="EndnoteText"/>
        <w:jc w:val="left"/>
        <w:rPr>
          <w:sz w:val="20"/>
          <w:szCs w:val="20"/>
        </w:rPr>
      </w:pPr>
      <w:r w:rsidRPr="007F7104">
        <w:rPr>
          <w:rStyle w:val="EndnoteReference"/>
          <w:sz w:val="20"/>
          <w:szCs w:val="20"/>
        </w:rPr>
        <w:endnoteRef/>
      </w:r>
      <w:r w:rsidRPr="007F7104">
        <w:rPr>
          <w:sz w:val="20"/>
          <w:szCs w:val="20"/>
        </w:rPr>
        <w:t xml:space="preserve"> Rebecca </w:t>
      </w:r>
      <w:proofErr w:type="spellStart"/>
      <w:r w:rsidRPr="007F7104">
        <w:rPr>
          <w:sz w:val="20"/>
          <w:szCs w:val="20"/>
        </w:rPr>
        <w:t>Solnit</w:t>
      </w:r>
      <w:proofErr w:type="spellEnd"/>
      <w:r w:rsidRPr="007F7104">
        <w:rPr>
          <w:sz w:val="20"/>
          <w:szCs w:val="20"/>
        </w:rPr>
        <w:t xml:space="preserve">, </w:t>
      </w:r>
      <w:r w:rsidRPr="007F7104">
        <w:rPr>
          <w:i/>
          <w:sz w:val="20"/>
          <w:szCs w:val="20"/>
        </w:rPr>
        <w:t xml:space="preserve">Wanderlust: A History of Walking </w:t>
      </w:r>
      <w:r w:rsidRPr="007F7104">
        <w:rPr>
          <w:sz w:val="20"/>
          <w:szCs w:val="20"/>
        </w:rPr>
        <w:t>(London: Verso, 2002), p. 73.</w:t>
      </w:r>
    </w:p>
  </w:endnote>
  <w:endnote w:id="10">
    <w:p w14:paraId="4B23C119" w14:textId="77777777" w:rsidR="0089550A" w:rsidRPr="007F7104" w:rsidRDefault="0089550A" w:rsidP="007F7104">
      <w:pPr>
        <w:pStyle w:val="EndnoteText"/>
        <w:jc w:val="left"/>
        <w:rPr>
          <w:sz w:val="20"/>
          <w:szCs w:val="20"/>
        </w:rPr>
      </w:pPr>
      <w:r w:rsidRPr="007F7104">
        <w:rPr>
          <w:rStyle w:val="EndnoteReference"/>
          <w:sz w:val="20"/>
          <w:szCs w:val="20"/>
        </w:rPr>
        <w:endnoteRef/>
      </w:r>
      <w:r w:rsidRPr="007F7104">
        <w:rPr>
          <w:sz w:val="20"/>
          <w:szCs w:val="20"/>
        </w:rPr>
        <w:t xml:space="preserve"> Carl </w:t>
      </w:r>
      <w:proofErr w:type="spellStart"/>
      <w:r w:rsidRPr="007F7104">
        <w:rPr>
          <w:sz w:val="20"/>
          <w:szCs w:val="20"/>
        </w:rPr>
        <w:t>Lavery</w:t>
      </w:r>
      <w:proofErr w:type="spellEnd"/>
      <w:r w:rsidRPr="007F7104">
        <w:rPr>
          <w:sz w:val="20"/>
          <w:szCs w:val="20"/>
        </w:rPr>
        <w:t xml:space="preserve">, ‘Preamble: A Panegyric for the Foot’, </w:t>
      </w:r>
      <w:r w:rsidRPr="007F7104">
        <w:rPr>
          <w:i/>
          <w:sz w:val="20"/>
          <w:szCs w:val="20"/>
        </w:rPr>
        <w:t xml:space="preserve">Performance Research, </w:t>
      </w:r>
      <w:r w:rsidR="00A45AED" w:rsidRPr="007F7104">
        <w:rPr>
          <w:sz w:val="20"/>
          <w:szCs w:val="20"/>
        </w:rPr>
        <w:t xml:space="preserve">Vol. </w:t>
      </w:r>
      <w:r w:rsidRPr="007F7104">
        <w:rPr>
          <w:sz w:val="20"/>
          <w:szCs w:val="20"/>
        </w:rPr>
        <w:t xml:space="preserve">XVII, No. 2 (2012), p. 3.  </w:t>
      </w:r>
    </w:p>
  </w:endnote>
  <w:endnote w:id="11">
    <w:p w14:paraId="35B3B5B3" w14:textId="77777777" w:rsidR="00B15A4D" w:rsidRPr="007F7104" w:rsidRDefault="00B15A4D" w:rsidP="007F7104">
      <w:pPr>
        <w:pStyle w:val="EndnoteText"/>
        <w:jc w:val="left"/>
        <w:rPr>
          <w:sz w:val="20"/>
          <w:szCs w:val="20"/>
        </w:rPr>
      </w:pPr>
      <w:r w:rsidRPr="007F7104">
        <w:rPr>
          <w:rStyle w:val="EndnoteReference"/>
          <w:sz w:val="20"/>
          <w:szCs w:val="20"/>
        </w:rPr>
        <w:endnoteRef/>
      </w:r>
      <w:r w:rsidRPr="007F7104">
        <w:rPr>
          <w:sz w:val="20"/>
          <w:szCs w:val="20"/>
        </w:rPr>
        <w:t xml:space="preserve"> Fiona </w:t>
      </w:r>
      <w:proofErr w:type="spellStart"/>
      <w:r w:rsidRPr="007F7104">
        <w:rPr>
          <w:sz w:val="20"/>
          <w:szCs w:val="20"/>
        </w:rPr>
        <w:t>Wilkie</w:t>
      </w:r>
      <w:proofErr w:type="spellEnd"/>
      <w:r w:rsidRPr="007F7104">
        <w:rPr>
          <w:sz w:val="20"/>
          <w:szCs w:val="20"/>
        </w:rPr>
        <w:t>, ‘</w:t>
      </w:r>
      <w:proofErr w:type="gramStart"/>
      <w:r w:rsidRPr="007F7104">
        <w:rPr>
          <w:sz w:val="20"/>
          <w:szCs w:val="20"/>
        </w:rPr>
        <w:t>The</w:t>
      </w:r>
      <w:proofErr w:type="gramEnd"/>
      <w:r w:rsidRPr="007F7104">
        <w:rPr>
          <w:sz w:val="20"/>
          <w:szCs w:val="20"/>
        </w:rPr>
        <w:t xml:space="preserve"> Production of “Site”: Site-Specific Theatre’, in Nadine </w:t>
      </w:r>
      <w:proofErr w:type="spellStart"/>
      <w:r w:rsidRPr="007F7104">
        <w:rPr>
          <w:sz w:val="20"/>
          <w:szCs w:val="20"/>
        </w:rPr>
        <w:t>Holdsworth</w:t>
      </w:r>
      <w:proofErr w:type="spellEnd"/>
      <w:r w:rsidRPr="007F7104">
        <w:rPr>
          <w:sz w:val="20"/>
          <w:szCs w:val="20"/>
        </w:rPr>
        <w:t xml:space="preserve"> and M</w:t>
      </w:r>
      <w:r w:rsidR="004A0F96" w:rsidRPr="007F7104">
        <w:rPr>
          <w:sz w:val="20"/>
          <w:szCs w:val="20"/>
        </w:rPr>
        <w:t>ary</w:t>
      </w:r>
      <w:r w:rsidRPr="007F7104">
        <w:rPr>
          <w:sz w:val="20"/>
          <w:szCs w:val="20"/>
        </w:rPr>
        <w:t xml:space="preserve"> </w:t>
      </w:r>
      <w:proofErr w:type="spellStart"/>
      <w:r w:rsidRPr="007F7104">
        <w:rPr>
          <w:sz w:val="20"/>
          <w:szCs w:val="20"/>
        </w:rPr>
        <w:t>Luckhurst</w:t>
      </w:r>
      <w:proofErr w:type="spellEnd"/>
      <w:r w:rsidRPr="007F7104">
        <w:rPr>
          <w:sz w:val="20"/>
          <w:szCs w:val="20"/>
        </w:rPr>
        <w:t xml:space="preserve">, eds., </w:t>
      </w:r>
      <w:r w:rsidRPr="007F7104">
        <w:rPr>
          <w:i/>
          <w:sz w:val="20"/>
          <w:szCs w:val="20"/>
        </w:rPr>
        <w:t>A Concise Companion to 20</w:t>
      </w:r>
      <w:r w:rsidRPr="007F7104">
        <w:rPr>
          <w:i/>
          <w:sz w:val="20"/>
          <w:szCs w:val="20"/>
          <w:vertAlign w:val="superscript"/>
        </w:rPr>
        <w:t>th</w:t>
      </w:r>
      <w:r w:rsidRPr="007F7104">
        <w:rPr>
          <w:i/>
          <w:sz w:val="20"/>
          <w:szCs w:val="20"/>
        </w:rPr>
        <w:t xml:space="preserve"> Century British and Irish Drama </w:t>
      </w:r>
      <w:r w:rsidRPr="007F7104">
        <w:rPr>
          <w:sz w:val="20"/>
          <w:szCs w:val="20"/>
        </w:rPr>
        <w:t>(Oxford: Blackwell, 2007), p. 99.</w:t>
      </w:r>
    </w:p>
  </w:endnote>
  <w:endnote w:id="12">
    <w:p w14:paraId="4A4E67CC" w14:textId="77777777" w:rsidR="004715A6" w:rsidRPr="007F7104" w:rsidRDefault="004715A6" w:rsidP="007F7104">
      <w:pPr>
        <w:pStyle w:val="EndnoteText"/>
        <w:jc w:val="left"/>
        <w:rPr>
          <w:sz w:val="20"/>
          <w:szCs w:val="20"/>
        </w:rPr>
      </w:pPr>
      <w:r w:rsidRPr="007F7104">
        <w:rPr>
          <w:rStyle w:val="EndnoteReference"/>
          <w:sz w:val="20"/>
          <w:szCs w:val="20"/>
        </w:rPr>
        <w:endnoteRef/>
      </w:r>
      <w:r w:rsidRPr="007F7104">
        <w:rPr>
          <w:sz w:val="20"/>
          <w:szCs w:val="20"/>
        </w:rPr>
        <w:t xml:space="preserve"> </w:t>
      </w:r>
      <w:proofErr w:type="spellStart"/>
      <w:r w:rsidRPr="007F7104">
        <w:rPr>
          <w:sz w:val="20"/>
          <w:szCs w:val="20"/>
        </w:rPr>
        <w:t>Una</w:t>
      </w:r>
      <w:proofErr w:type="spellEnd"/>
      <w:r w:rsidRPr="007F7104">
        <w:rPr>
          <w:sz w:val="20"/>
          <w:szCs w:val="20"/>
        </w:rPr>
        <w:t xml:space="preserve"> </w:t>
      </w:r>
      <w:proofErr w:type="spellStart"/>
      <w:r w:rsidRPr="007F7104">
        <w:rPr>
          <w:sz w:val="20"/>
          <w:szCs w:val="20"/>
        </w:rPr>
        <w:t>Chaudhuri</w:t>
      </w:r>
      <w:proofErr w:type="spellEnd"/>
      <w:r w:rsidRPr="007F7104">
        <w:rPr>
          <w:sz w:val="20"/>
          <w:szCs w:val="20"/>
        </w:rPr>
        <w:t xml:space="preserve">, </w:t>
      </w:r>
      <w:r w:rsidRPr="007F7104">
        <w:rPr>
          <w:i/>
          <w:sz w:val="20"/>
          <w:szCs w:val="20"/>
        </w:rPr>
        <w:t xml:space="preserve">Staging Place: The Geography of Modern Drama </w:t>
      </w:r>
      <w:r w:rsidRPr="007F7104">
        <w:rPr>
          <w:sz w:val="20"/>
          <w:szCs w:val="20"/>
        </w:rPr>
        <w:t xml:space="preserve">(Ann </w:t>
      </w:r>
      <w:proofErr w:type="spellStart"/>
      <w:r w:rsidRPr="007F7104">
        <w:rPr>
          <w:sz w:val="20"/>
          <w:szCs w:val="20"/>
        </w:rPr>
        <w:t>Arbor</w:t>
      </w:r>
      <w:proofErr w:type="spellEnd"/>
      <w:r w:rsidRPr="007F7104">
        <w:rPr>
          <w:sz w:val="20"/>
          <w:szCs w:val="20"/>
        </w:rPr>
        <w:t xml:space="preserve">: University of Michigan, 1997), p. 53. </w:t>
      </w:r>
    </w:p>
  </w:endnote>
  <w:endnote w:id="13">
    <w:p w14:paraId="3CF0D9CC" w14:textId="77777777" w:rsidR="00703721" w:rsidRPr="007F7104" w:rsidRDefault="00703721" w:rsidP="007F7104">
      <w:pPr>
        <w:pStyle w:val="EndnoteText"/>
        <w:jc w:val="left"/>
        <w:rPr>
          <w:sz w:val="20"/>
          <w:szCs w:val="20"/>
        </w:rPr>
      </w:pPr>
      <w:r w:rsidRPr="007F7104">
        <w:rPr>
          <w:rStyle w:val="EndnoteReference"/>
          <w:sz w:val="20"/>
          <w:szCs w:val="20"/>
        </w:rPr>
        <w:endnoteRef/>
      </w:r>
      <w:r w:rsidRPr="007F7104">
        <w:rPr>
          <w:sz w:val="20"/>
          <w:szCs w:val="20"/>
        </w:rPr>
        <w:t xml:space="preserve"> Konstantin Stanislavsky quoted in Sharon Marie </w:t>
      </w:r>
      <w:proofErr w:type="spellStart"/>
      <w:r w:rsidRPr="007F7104">
        <w:rPr>
          <w:sz w:val="20"/>
          <w:szCs w:val="20"/>
        </w:rPr>
        <w:t>Carnike</w:t>
      </w:r>
      <w:proofErr w:type="spellEnd"/>
      <w:r w:rsidRPr="007F7104">
        <w:rPr>
          <w:sz w:val="20"/>
          <w:szCs w:val="20"/>
        </w:rPr>
        <w:t>, ‘</w:t>
      </w:r>
      <w:proofErr w:type="spellStart"/>
      <w:r w:rsidRPr="007F7104">
        <w:rPr>
          <w:sz w:val="20"/>
          <w:szCs w:val="20"/>
        </w:rPr>
        <w:t>Staniskavsky’s</w:t>
      </w:r>
      <w:proofErr w:type="spellEnd"/>
      <w:r w:rsidRPr="007F7104">
        <w:rPr>
          <w:sz w:val="20"/>
          <w:szCs w:val="20"/>
        </w:rPr>
        <w:t xml:space="preserve"> System: Pathways for the Actor’, in Alison Hodge, ed., </w:t>
      </w:r>
      <w:r w:rsidRPr="007F7104">
        <w:rPr>
          <w:i/>
          <w:sz w:val="20"/>
          <w:szCs w:val="20"/>
        </w:rPr>
        <w:t xml:space="preserve">Twentieth Century Actor Training </w:t>
      </w:r>
      <w:r w:rsidRPr="007F7104">
        <w:rPr>
          <w:sz w:val="20"/>
          <w:szCs w:val="20"/>
        </w:rPr>
        <w:t xml:space="preserve">(London: Routledge, 2000), p. 17. </w:t>
      </w:r>
    </w:p>
  </w:endnote>
  <w:endnote w:id="14">
    <w:p w14:paraId="7EE03508" w14:textId="77777777" w:rsidR="00703721" w:rsidRPr="007F7104" w:rsidRDefault="00703721" w:rsidP="007F7104">
      <w:pPr>
        <w:pStyle w:val="EndnoteText"/>
        <w:jc w:val="left"/>
        <w:rPr>
          <w:sz w:val="20"/>
          <w:szCs w:val="20"/>
        </w:rPr>
      </w:pPr>
      <w:r w:rsidRPr="007F7104">
        <w:rPr>
          <w:rStyle w:val="EndnoteReference"/>
          <w:sz w:val="20"/>
          <w:szCs w:val="20"/>
        </w:rPr>
        <w:endnoteRef/>
      </w:r>
      <w:r w:rsidRPr="007F7104">
        <w:rPr>
          <w:sz w:val="20"/>
          <w:szCs w:val="20"/>
        </w:rPr>
        <w:t xml:space="preserve"> Tadeusz Kantor, </w:t>
      </w:r>
      <w:r w:rsidRPr="007F7104">
        <w:rPr>
          <w:i/>
          <w:sz w:val="20"/>
          <w:szCs w:val="20"/>
        </w:rPr>
        <w:t xml:space="preserve">A Journey Through Other Spaces: Essays and Manifestos, 1944-1990, </w:t>
      </w:r>
      <w:r w:rsidR="00026DF2" w:rsidRPr="007F7104">
        <w:rPr>
          <w:sz w:val="20"/>
          <w:szCs w:val="20"/>
        </w:rPr>
        <w:t xml:space="preserve">translated by </w:t>
      </w:r>
      <w:r w:rsidRPr="007F7104">
        <w:rPr>
          <w:sz w:val="20"/>
          <w:szCs w:val="20"/>
        </w:rPr>
        <w:t xml:space="preserve">Michael </w:t>
      </w:r>
      <w:proofErr w:type="spellStart"/>
      <w:r w:rsidRPr="007F7104">
        <w:rPr>
          <w:sz w:val="20"/>
          <w:szCs w:val="20"/>
        </w:rPr>
        <w:t>Kobialka</w:t>
      </w:r>
      <w:proofErr w:type="spellEnd"/>
      <w:r w:rsidRPr="007F7104">
        <w:rPr>
          <w:sz w:val="20"/>
          <w:szCs w:val="20"/>
        </w:rPr>
        <w:t xml:space="preserve">, ed. (London: University of California Press, 1993), p. 17.  </w:t>
      </w:r>
    </w:p>
  </w:endnote>
  <w:endnote w:id="15">
    <w:p w14:paraId="7A5F7082" w14:textId="77777777" w:rsidR="00A955FB" w:rsidRPr="007F7104" w:rsidRDefault="00A955FB" w:rsidP="00A955FB">
      <w:pPr>
        <w:pStyle w:val="EndnoteText"/>
        <w:jc w:val="left"/>
        <w:rPr>
          <w:sz w:val="20"/>
          <w:szCs w:val="20"/>
        </w:rPr>
      </w:pPr>
      <w:r w:rsidRPr="007F7104">
        <w:rPr>
          <w:rStyle w:val="EndnoteReference"/>
          <w:sz w:val="20"/>
          <w:szCs w:val="20"/>
        </w:rPr>
        <w:endnoteRef/>
      </w:r>
      <w:r w:rsidRPr="007F7104">
        <w:rPr>
          <w:sz w:val="20"/>
          <w:szCs w:val="20"/>
        </w:rPr>
        <w:t xml:space="preserve"> A term used by site-specific promenade company </w:t>
      </w:r>
      <w:proofErr w:type="spellStart"/>
      <w:r w:rsidRPr="007F7104">
        <w:rPr>
          <w:sz w:val="20"/>
          <w:szCs w:val="20"/>
        </w:rPr>
        <w:t>Punchdrunk</w:t>
      </w:r>
      <w:proofErr w:type="spellEnd"/>
      <w:r w:rsidRPr="007F7104">
        <w:rPr>
          <w:sz w:val="20"/>
          <w:szCs w:val="20"/>
        </w:rPr>
        <w:t xml:space="preserve"> to reflect their mapping of the performer’s movements through the site. See Andrew </w:t>
      </w:r>
      <w:proofErr w:type="spellStart"/>
      <w:r w:rsidRPr="007F7104">
        <w:rPr>
          <w:sz w:val="20"/>
          <w:szCs w:val="20"/>
        </w:rPr>
        <w:t>Eglinton</w:t>
      </w:r>
      <w:proofErr w:type="spellEnd"/>
      <w:r w:rsidRPr="007F7104">
        <w:rPr>
          <w:sz w:val="20"/>
          <w:szCs w:val="20"/>
        </w:rPr>
        <w:t xml:space="preserve">, ‘Reflections on a Decade of </w:t>
      </w:r>
      <w:proofErr w:type="spellStart"/>
      <w:r w:rsidRPr="007F7104">
        <w:rPr>
          <w:sz w:val="20"/>
          <w:szCs w:val="20"/>
        </w:rPr>
        <w:t>Punchdrunk</w:t>
      </w:r>
      <w:proofErr w:type="spellEnd"/>
      <w:r w:rsidRPr="007F7104">
        <w:rPr>
          <w:sz w:val="20"/>
          <w:szCs w:val="20"/>
        </w:rPr>
        <w:t xml:space="preserve"> Theatre’, </w:t>
      </w:r>
      <w:r w:rsidRPr="007F7104">
        <w:rPr>
          <w:i/>
          <w:sz w:val="20"/>
          <w:szCs w:val="20"/>
        </w:rPr>
        <w:t xml:space="preserve">Theatre Forum, </w:t>
      </w:r>
      <w:r w:rsidRPr="007F7104">
        <w:rPr>
          <w:sz w:val="20"/>
          <w:szCs w:val="20"/>
        </w:rPr>
        <w:t>No. 37, p. 52.</w:t>
      </w:r>
    </w:p>
  </w:endnote>
  <w:endnote w:id="16">
    <w:p w14:paraId="3A6C2E21" w14:textId="77777777" w:rsidR="00387FC0" w:rsidRPr="007F7104" w:rsidRDefault="00387FC0" w:rsidP="007F7104">
      <w:pPr>
        <w:pStyle w:val="EndnoteText"/>
        <w:jc w:val="left"/>
        <w:rPr>
          <w:sz w:val="20"/>
          <w:szCs w:val="20"/>
        </w:rPr>
      </w:pPr>
      <w:r w:rsidRPr="007F7104">
        <w:rPr>
          <w:rStyle w:val="EndnoteReference"/>
          <w:sz w:val="20"/>
          <w:szCs w:val="20"/>
        </w:rPr>
        <w:endnoteRef/>
      </w:r>
      <w:r w:rsidRPr="007F7104">
        <w:rPr>
          <w:sz w:val="20"/>
          <w:szCs w:val="20"/>
        </w:rPr>
        <w:t xml:space="preserve"> </w:t>
      </w:r>
      <w:r w:rsidR="00703721" w:rsidRPr="007F7104">
        <w:rPr>
          <w:sz w:val="20"/>
          <w:szCs w:val="20"/>
        </w:rPr>
        <w:t xml:space="preserve">David Griffiths, </w:t>
      </w:r>
      <w:proofErr w:type="gramStart"/>
      <w:r w:rsidR="00703721" w:rsidRPr="007F7104">
        <w:rPr>
          <w:i/>
          <w:sz w:val="20"/>
          <w:szCs w:val="20"/>
        </w:rPr>
        <w:t>The</w:t>
      </w:r>
      <w:proofErr w:type="gramEnd"/>
      <w:r w:rsidR="00703721" w:rsidRPr="007F7104">
        <w:rPr>
          <w:i/>
          <w:sz w:val="20"/>
          <w:szCs w:val="20"/>
        </w:rPr>
        <w:t xml:space="preserve"> Training of Noh Actors and the Dove </w:t>
      </w:r>
      <w:r w:rsidR="00703721" w:rsidRPr="007F7104">
        <w:rPr>
          <w:sz w:val="20"/>
          <w:szCs w:val="20"/>
        </w:rPr>
        <w:t>(London: Routledge, 1998), p. 38.</w:t>
      </w:r>
    </w:p>
  </w:endnote>
  <w:endnote w:id="17">
    <w:p w14:paraId="6332680D" w14:textId="77777777" w:rsidR="00B81483" w:rsidRPr="007F7104" w:rsidRDefault="00B81483" w:rsidP="007F7104">
      <w:pPr>
        <w:pStyle w:val="EndnoteText"/>
        <w:jc w:val="left"/>
        <w:rPr>
          <w:sz w:val="20"/>
          <w:szCs w:val="20"/>
        </w:rPr>
      </w:pPr>
      <w:r w:rsidRPr="007F7104">
        <w:rPr>
          <w:rStyle w:val="EndnoteReference"/>
          <w:sz w:val="20"/>
          <w:szCs w:val="20"/>
        </w:rPr>
        <w:endnoteRef/>
      </w:r>
      <w:r w:rsidRPr="007F7104">
        <w:rPr>
          <w:sz w:val="20"/>
          <w:szCs w:val="20"/>
        </w:rPr>
        <w:t xml:space="preserve"> </w:t>
      </w:r>
      <w:proofErr w:type="gramStart"/>
      <w:r w:rsidRPr="007F7104">
        <w:rPr>
          <w:sz w:val="20"/>
          <w:szCs w:val="20"/>
        </w:rPr>
        <w:t>Ibid.,</w:t>
      </w:r>
      <w:proofErr w:type="gramEnd"/>
      <w:r w:rsidRPr="007F7104">
        <w:rPr>
          <w:sz w:val="20"/>
          <w:szCs w:val="20"/>
        </w:rPr>
        <w:t xml:space="preserve"> p. 38.</w:t>
      </w:r>
    </w:p>
  </w:endnote>
  <w:endnote w:id="18">
    <w:p w14:paraId="1FCEA02E" w14:textId="77777777" w:rsidR="00144089" w:rsidRPr="007F7104" w:rsidRDefault="00144089" w:rsidP="007F7104">
      <w:pPr>
        <w:pStyle w:val="EndnoteText"/>
        <w:jc w:val="left"/>
        <w:rPr>
          <w:i/>
          <w:sz w:val="20"/>
          <w:szCs w:val="20"/>
        </w:rPr>
      </w:pPr>
      <w:r w:rsidRPr="007F7104">
        <w:rPr>
          <w:rStyle w:val="EndnoteReference"/>
          <w:sz w:val="20"/>
          <w:szCs w:val="20"/>
        </w:rPr>
        <w:endnoteRef/>
      </w:r>
      <w:r w:rsidRPr="007F7104">
        <w:rPr>
          <w:sz w:val="20"/>
          <w:szCs w:val="20"/>
        </w:rPr>
        <w:t xml:space="preserve"> Tadashi Suzuki, </w:t>
      </w:r>
      <w:r w:rsidRPr="007F7104">
        <w:rPr>
          <w:i/>
          <w:sz w:val="20"/>
          <w:szCs w:val="20"/>
        </w:rPr>
        <w:t>The Way of Acting: The Theatre Writings of Tadashi Suzuki</w:t>
      </w:r>
      <w:r w:rsidR="00775B6D" w:rsidRPr="007F7104">
        <w:rPr>
          <w:i/>
          <w:sz w:val="20"/>
          <w:szCs w:val="20"/>
        </w:rPr>
        <w:t xml:space="preserve">, </w:t>
      </w:r>
      <w:r w:rsidR="00775B6D" w:rsidRPr="007F7104">
        <w:rPr>
          <w:sz w:val="20"/>
          <w:szCs w:val="20"/>
        </w:rPr>
        <w:t>translated by J</w:t>
      </w:r>
      <w:r w:rsidR="009D18EC" w:rsidRPr="007F7104">
        <w:rPr>
          <w:sz w:val="20"/>
          <w:szCs w:val="20"/>
        </w:rPr>
        <w:t>.</w:t>
      </w:r>
      <w:r w:rsidR="00775B6D" w:rsidRPr="007F7104">
        <w:rPr>
          <w:sz w:val="20"/>
          <w:szCs w:val="20"/>
        </w:rPr>
        <w:t xml:space="preserve"> T</w:t>
      </w:r>
      <w:r w:rsidR="009D18EC" w:rsidRPr="007F7104">
        <w:rPr>
          <w:sz w:val="20"/>
          <w:szCs w:val="20"/>
        </w:rPr>
        <w:t>homas</w:t>
      </w:r>
      <w:r w:rsidR="004168E4">
        <w:rPr>
          <w:sz w:val="20"/>
          <w:szCs w:val="20"/>
        </w:rPr>
        <w:t xml:space="preserve">. </w:t>
      </w:r>
      <w:proofErr w:type="spellStart"/>
      <w:r w:rsidR="00775B6D" w:rsidRPr="007F7104">
        <w:rPr>
          <w:sz w:val="20"/>
          <w:szCs w:val="20"/>
        </w:rPr>
        <w:t>Rimmer</w:t>
      </w:r>
      <w:proofErr w:type="spellEnd"/>
      <w:r w:rsidRPr="007F7104">
        <w:rPr>
          <w:i/>
          <w:sz w:val="20"/>
          <w:szCs w:val="20"/>
        </w:rPr>
        <w:t xml:space="preserve"> </w:t>
      </w:r>
      <w:r w:rsidRPr="007F7104">
        <w:rPr>
          <w:sz w:val="20"/>
          <w:szCs w:val="20"/>
        </w:rPr>
        <w:t xml:space="preserve">(New York: Theatre Communications Group, 1986), p. 3. </w:t>
      </w:r>
      <w:r w:rsidR="00BC108B">
        <w:rPr>
          <w:sz w:val="20"/>
          <w:szCs w:val="20"/>
        </w:rPr>
        <w:t>For an account of some of the walking exercises employed by Suzuki, see J</w:t>
      </w:r>
      <w:r w:rsidR="00BC3ECF">
        <w:rPr>
          <w:sz w:val="20"/>
          <w:szCs w:val="20"/>
        </w:rPr>
        <w:t>ames</w:t>
      </w:r>
      <w:r w:rsidR="00BC108B">
        <w:rPr>
          <w:sz w:val="20"/>
          <w:szCs w:val="20"/>
        </w:rPr>
        <w:t xml:space="preserve"> R</w:t>
      </w:r>
      <w:r w:rsidR="00BC3ECF">
        <w:rPr>
          <w:sz w:val="20"/>
          <w:szCs w:val="20"/>
        </w:rPr>
        <w:t>.</w:t>
      </w:r>
      <w:r w:rsidR="00BC108B">
        <w:rPr>
          <w:sz w:val="20"/>
          <w:szCs w:val="20"/>
        </w:rPr>
        <w:t xml:space="preserve"> Brandon, ‘</w:t>
      </w:r>
      <w:r w:rsidR="00BC108B" w:rsidRPr="00BC108B">
        <w:rPr>
          <w:sz w:val="20"/>
          <w:szCs w:val="20"/>
        </w:rPr>
        <w:t xml:space="preserve">Training at the Little Theatre: The Suzuki Method’, </w:t>
      </w:r>
      <w:r w:rsidR="00BC108B" w:rsidRPr="00BC108B">
        <w:rPr>
          <w:i/>
          <w:sz w:val="20"/>
          <w:szCs w:val="20"/>
        </w:rPr>
        <w:t>The Drama Review: TDR</w:t>
      </w:r>
      <w:r w:rsidR="00BC108B" w:rsidRPr="00BC108B">
        <w:rPr>
          <w:sz w:val="20"/>
          <w:szCs w:val="20"/>
        </w:rPr>
        <w:t xml:space="preserve">, </w:t>
      </w:r>
      <w:r w:rsidR="00BC108B">
        <w:rPr>
          <w:sz w:val="20"/>
          <w:szCs w:val="20"/>
        </w:rPr>
        <w:t>V</w:t>
      </w:r>
      <w:r w:rsidR="00BC108B" w:rsidRPr="00BC108B">
        <w:rPr>
          <w:sz w:val="20"/>
          <w:szCs w:val="20"/>
        </w:rPr>
        <w:t xml:space="preserve">ol. 22, </w:t>
      </w:r>
      <w:r w:rsidR="00BC108B">
        <w:rPr>
          <w:sz w:val="20"/>
          <w:szCs w:val="20"/>
        </w:rPr>
        <w:t>N</w:t>
      </w:r>
      <w:r w:rsidR="009E7959">
        <w:rPr>
          <w:sz w:val="20"/>
          <w:szCs w:val="20"/>
        </w:rPr>
        <w:t>o. 4 (1978), p</w:t>
      </w:r>
      <w:r w:rsidR="00BC108B" w:rsidRPr="00BC108B">
        <w:rPr>
          <w:sz w:val="20"/>
          <w:szCs w:val="20"/>
        </w:rPr>
        <w:t>. 29-42.</w:t>
      </w:r>
      <w:r w:rsidRPr="007F7104">
        <w:rPr>
          <w:i/>
          <w:sz w:val="20"/>
          <w:szCs w:val="20"/>
        </w:rPr>
        <w:t xml:space="preserve"> </w:t>
      </w:r>
    </w:p>
  </w:endnote>
  <w:endnote w:id="19">
    <w:p w14:paraId="54E3B5F0" w14:textId="77777777" w:rsidR="00135290" w:rsidRPr="007F7104" w:rsidRDefault="00135290" w:rsidP="007F7104">
      <w:pPr>
        <w:pStyle w:val="EndnoteText"/>
        <w:jc w:val="left"/>
        <w:rPr>
          <w:sz w:val="20"/>
          <w:szCs w:val="20"/>
        </w:rPr>
      </w:pPr>
      <w:r w:rsidRPr="007F7104">
        <w:rPr>
          <w:rStyle w:val="EndnoteReference"/>
          <w:sz w:val="20"/>
          <w:szCs w:val="20"/>
        </w:rPr>
        <w:endnoteRef/>
      </w:r>
      <w:r w:rsidRPr="007F7104">
        <w:rPr>
          <w:sz w:val="20"/>
          <w:szCs w:val="20"/>
        </w:rPr>
        <w:t xml:space="preserve"> </w:t>
      </w:r>
      <w:proofErr w:type="gramStart"/>
      <w:r w:rsidRPr="007F7104">
        <w:rPr>
          <w:sz w:val="20"/>
          <w:szCs w:val="20"/>
        </w:rPr>
        <w:t>Ibid.,</w:t>
      </w:r>
      <w:proofErr w:type="gramEnd"/>
      <w:r w:rsidRPr="007F7104">
        <w:rPr>
          <w:sz w:val="20"/>
          <w:szCs w:val="20"/>
        </w:rPr>
        <w:t xml:space="preserve"> p. 7.</w:t>
      </w:r>
    </w:p>
  </w:endnote>
  <w:endnote w:id="20">
    <w:p w14:paraId="3EC79EFD" w14:textId="77777777" w:rsidR="00135290" w:rsidRPr="007F7104" w:rsidRDefault="00135290" w:rsidP="007F7104">
      <w:pPr>
        <w:pStyle w:val="EndnoteText"/>
        <w:jc w:val="left"/>
        <w:rPr>
          <w:sz w:val="20"/>
          <w:szCs w:val="20"/>
        </w:rPr>
      </w:pPr>
      <w:r w:rsidRPr="007F7104">
        <w:rPr>
          <w:rStyle w:val="EndnoteReference"/>
          <w:sz w:val="20"/>
          <w:szCs w:val="20"/>
        </w:rPr>
        <w:endnoteRef/>
      </w:r>
      <w:r w:rsidRPr="007F7104">
        <w:rPr>
          <w:sz w:val="20"/>
          <w:szCs w:val="20"/>
        </w:rPr>
        <w:t xml:space="preserve"> </w:t>
      </w:r>
      <w:proofErr w:type="gramStart"/>
      <w:r w:rsidRPr="007F7104">
        <w:rPr>
          <w:sz w:val="20"/>
          <w:szCs w:val="20"/>
        </w:rPr>
        <w:t xml:space="preserve">Eugenio Barba, </w:t>
      </w:r>
      <w:r w:rsidRPr="007F7104">
        <w:rPr>
          <w:i/>
          <w:sz w:val="20"/>
          <w:szCs w:val="20"/>
        </w:rPr>
        <w:t>Beyond the Floating Islands</w:t>
      </w:r>
      <w:r w:rsidR="009D18EC" w:rsidRPr="007F7104">
        <w:rPr>
          <w:i/>
          <w:sz w:val="20"/>
          <w:szCs w:val="20"/>
        </w:rPr>
        <w:t xml:space="preserve">, </w:t>
      </w:r>
      <w:r w:rsidR="009D18EC" w:rsidRPr="007F7104">
        <w:rPr>
          <w:sz w:val="20"/>
          <w:szCs w:val="20"/>
        </w:rPr>
        <w:t>translated by Judy Barba</w:t>
      </w:r>
      <w:r w:rsidRPr="007F7104">
        <w:rPr>
          <w:i/>
          <w:sz w:val="20"/>
          <w:szCs w:val="20"/>
        </w:rPr>
        <w:t xml:space="preserve"> </w:t>
      </w:r>
      <w:r w:rsidRPr="007F7104">
        <w:rPr>
          <w:sz w:val="20"/>
          <w:szCs w:val="20"/>
        </w:rPr>
        <w:t>(New York: PAJ Publications, 1986), p. 142.</w:t>
      </w:r>
      <w:proofErr w:type="gramEnd"/>
    </w:p>
  </w:endnote>
  <w:endnote w:id="21">
    <w:p w14:paraId="0B2B31D8" w14:textId="77777777" w:rsidR="00A87295" w:rsidRPr="007F7104" w:rsidRDefault="00A87295" w:rsidP="007F7104">
      <w:pPr>
        <w:pStyle w:val="EndnoteText"/>
        <w:jc w:val="left"/>
        <w:rPr>
          <w:sz w:val="20"/>
          <w:szCs w:val="20"/>
        </w:rPr>
      </w:pPr>
      <w:r w:rsidRPr="007F7104">
        <w:rPr>
          <w:rStyle w:val="EndnoteReference"/>
          <w:sz w:val="20"/>
          <w:szCs w:val="20"/>
        </w:rPr>
        <w:endnoteRef/>
      </w:r>
      <w:r w:rsidRPr="007F7104">
        <w:rPr>
          <w:sz w:val="20"/>
          <w:szCs w:val="20"/>
        </w:rPr>
        <w:t xml:space="preserve"> </w:t>
      </w:r>
      <w:proofErr w:type="spellStart"/>
      <w:r w:rsidRPr="007F7104">
        <w:rPr>
          <w:sz w:val="20"/>
          <w:szCs w:val="20"/>
        </w:rPr>
        <w:t>Dymphna</w:t>
      </w:r>
      <w:proofErr w:type="spellEnd"/>
      <w:r w:rsidRPr="007F7104">
        <w:rPr>
          <w:sz w:val="20"/>
          <w:szCs w:val="20"/>
        </w:rPr>
        <w:t xml:space="preserve"> </w:t>
      </w:r>
      <w:proofErr w:type="spellStart"/>
      <w:r w:rsidRPr="007F7104">
        <w:rPr>
          <w:sz w:val="20"/>
          <w:szCs w:val="20"/>
        </w:rPr>
        <w:t>Callery</w:t>
      </w:r>
      <w:proofErr w:type="spellEnd"/>
      <w:r w:rsidRPr="007F7104">
        <w:rPr>
          <w:sz w:val="20"/>
          <w:szCs w:val="20"/>
        </w:rPr>
        <w:t xml:space="preserve">, Through the Body: A Practical Guide to Physical Theatre (London: Nick </w:t>
      </w:r>
      <w:proofErr w:type="spellStart"/>
      <w:r w:rsidRPr="007F7104">
        <w:rPr>
          <w:sz w:val="20"/>
          <w:szCs w:val="20"/>
        </w:rPr>
        <w:t>Hern</w:t>
      </w:r>
      <w:proofErr w:type="spellEnd"/>
      <w:r w:rsidRPr="007F7104">
        <w:rPr>
          <w:sz w:val="20"/>
          <w:szCs w:val="20"/>
        </w:rPr>
        <w:t>, 2001), p. 4.</w:t>
      </w:r>
    </w:p>
  </w:endnote>
  <w:endnote w:id="22">
    <w:p w14:paraId="1323EE75" w14:textId="77777777" w:rsidR="009E2AE5" w:rsidRPr="007F7104" w:rsidRDefault="009E2AE5" w:rsidP="007F7104">
      <w:pPr>
        <w:pStyle w:val="EndnoteText"/>
        <w:jc w:val="left"/>
        <w:rPr>
          <w:sz w:val="20"/>
          <w:szCs w:val="20"/>
        </w:rPr>
      </w:pPr>
      <w:r w:rsidRPr="007F7104">
        <w:rPr>
          <w:rStyle w:val="EndnoteReference"/>
          <w:sz w:val="20"/>
          <w:szCs w:val="20"/>
        </w:rPr>
        <w:endnoteRef/>
      </w:r>
      <w:r w:rsidRPr="007F7104">
        <w:rPr>
          <w:sz w:val="20"/>
          <w:szCs w:val="20"/>
        </w:rPr>
        <w:t xml:space="preserve"> </w:t>
      </w:r>
      <w:proofErr w:type="gramStart"/>
      <w:r w:rsidRPr="007F7104">
        <w:rPr>
          <w:sz w:val="20"/>
          <w:szCs w:val="20"/>
        </w:rPr>
        <w:t>Ibid.,</w:t>
      </w:r>
      <w:proofErr w:type="gramEnd"/>
      <w:r w:rsidRPr="007F7104">
        <w:rPr>
          <w:sz w:val="20"/>
          <w:szCs w:val="20"/>
        </w:rPr>
        <w:t xml:space="preserve"> p. 8.</w:t>
      </w:r>
    </w:p>
  </w:endnote>
  <w:endnote w:id="23">
    <w:p w14:paraId="647FC0D0" w14:textId="77777777" w:rsidR="004B4B22" w:rsidRPr="007F7104" w:rsidRDefault="004B4B22" w:rsidP="007F7104">
      <w:pPr>
        <w:pStyle w:val="EndnoteText"/>
        <w:jc w:val="left"/>
        <w:rPr>
          <w:sz w:val="20"/>
          <w:szCs w:val="20"/>
        </w:rPr>
      </w:pPr>
      <w:r w:rsidRPr="007F7104">
        <w:rPr>
          <w:rStyle w:val="EndnoteReference"/>
          <w:sz w:val="20"/>
          <w:szCs w:val="20"/>
        </w:rPr>
        <w:endnoteRef/>
      </w:r>
      <w:r w:rsidRPr="007F7104">
        <w:rPr>
          <w:sz w:val="20"/>
          <w:szCs w:val="20"/>
        </w:rPr>
        <w:t xml:space="preserve"> Lisa Wolford, ‘</w:t>
      </w:r>
      <w:proofErr w:type="spellStart"/>
      <w:r w:rsidRPr="007F7104">
        <w:rPr>
          <w:sz w:val="20"/>
          <w:szCs w:val="20"/>
        </w:rPr>
        <w:t>Grotowski’s</w:t>
      </w:r>
      <w:proofErr w:type="spellEnd"/>
      <w:r w:rsidRPr="007F7104">
        <w:rPr>
          <w:sz w:val="20"/>
          <w:szCs w:val="20"/>
        </w:rPr>
        <w:t xml:space="preserve"> Vision of the Actor’, </w:t>
      </w:r>
      <w:r w:rsidR="004E53B5" w:rsidRPr="007F7104">
        <w:rPr>
          <w:sz w:val="20"/>
          <w:szCs w:val="20"/>
        </w:rPr>
        <w:t xml:space="preserve">in Alison Hodge, ed., </w:t>
      </w:r>
      <w:r w:rsidR="004E53B5" w:rsidRPr="007F7104">
        <w:rPr>
          <w:i/>
          <w:sz w:val="20"/>
          <w:szCs w:val="20"/>
        </w:rPr>
        <w:t xml:space="preserve">Twentieth Century Actor Training </w:t>
      </w:r>
      <w:r w:rsidR="004E53B5" w:rsidRPr="007F7104">
        <w:rPr>
          <w:sz w:val="20"/>
          <w:szCs w:val="20"/>
        </w:rPr>
        <w:t>(London: Routledge, 2000), p. 196.</w:t>
      </w:r>
    </w:p>
  </w:endnote>
  <w:endnote w:id="24">
    <w:p w14:paraId="1414E240" w14:textId="77777777" w:rsidR="004E53B5" w:rsidRPr="007F7104" w:rsidRDefault="004E53B5" w:rsidP="007F7104">
      <w:pPr>
        <w:pStyle w:val="EndnoteText"/>
        <w:jc w:val="left"/>
        <w:rPr>
          <w:sz w:val="20"/>
          <w:szCs w:val="20"/>
        </w:rPr>
      </w:pPr>
      <w:r w:rsidRPr="007F7104">
        <w:rPr>
          <w:rStyle w:val="EndnoteReference"/>
          <w:sz w:val="20"/>
          <w:szCs w:val="20"/>
        </w:rPr>
        <w:endnoteRef/>
      </w:r>
      <w:r w:rsidRPr="007F7104">
        <w:rPr>
          <w:sz w:val="20"/>
          <w:szCs w:val="20"/>
        </w:rPr>
        <w:t xml:space="preserve"> Jerzy </w:t>
      </w:r>
      <w:proofErr w:type="spellStart"/>
      <w:r w:rsidRPr="007F7104">
        <w:rPr>
          <w:sz w:val="20"/>
          <w:szCs w:val="20"/>
        </w:rPr>
        <w:t>Grotowski</w:t>
      </w:r>
      <w:proofErr w:type="spellEnd"/>
      <w:r w:rsidRPr="007F7104">
        <w:rPr>
          <w:sz w:val="20"/>
          <w:szCs w:val="20"/>
        </w:rPr>
        <w:t xml:space="preserve">, </w:t>
      </w:r>
      <w:r w:rsidRPr="007F7104">
        <w:rPr>
          <w:i/>
          <w:sz w:val="20"/>
          <w:szCs w:val="20"/>
        </w:rPr>
        <w:t xml:space="preserve">Towards a Poor Theatre </w:t>
      </w:r>
      <w:r w:rsidRPr="007F7104">
        <w:rPr>
          <w:sz w:val="20"/>
          <w:szCs w:val="20"/>
        </w:rPr>
        <w:t>(London: Methuen Drama, 1975), p. 110.</w:t>
      </w:r>
    </w:p>
  </w:endnote>
  <w:endnote w:id="25">
    <w:p w14:paraId="0038804E" w14:textId="77777777" w:rsidR="004E53B5" w:rsidRPr="007F7104" w:rsidRDefault="004E53B5" w:rsidP="007F7104">
      <w:pPr>
        <w:pStyle w:val="EndnoteText"/>
        <w:jc w:val="left"/>
        <w:rPr>
          <w:sz w:val="20"/>
          <w:szCs w:val="20"/>
        </w:rPr>
      </w:pPr>
      <w:r w:rsidRPr="007F7104">
        <w:rPr>
          <w:rStyle w:val="EndnoteReference"/>
          <w:sz w:val="20"/>
          <w:szCs w:val="20"/>
        </w:rPr>
        <w:endnoteRef/>
      </w:r>
      <w:r w:rsidRPr="007F7104">
        <w:rPr>
          <w:sz w:val="20"/>
          <w:szCs w:val="20"/>
        </w:rPr>
        <w:t xml:space="preserve"> </w:t>
      </w:r>
      <w:proofErr w:type="gramStart"/>
      <w:r w:rsidRPr="007F7104">
        <w:rPr>
          <w:sz w:val="20"/>
          <w:szCs w:val="20"/>
        </w:rPr>
        <w:t>Ibid.,</w:t>
      </w:r>
      <w:proofErr w:type="gramEnd"/>
      <w:r w:rsidRPr="007F7104">
        <w:rPr>
          <w:sz w:val="20"/>
          <w:szCs w:val="20"/>
        </w:rPr>
        <w:t xml:space="preserve"> p. 112.</w:t>
      </w:r>
    </w:p>
  </w:endnote>
  <w:endnote w:id="26">
    <w:p w14:paraId="129ED5A7" w14:textId="77777777" w:rsidR="00FB0784" w:rsidRPr="007F7104" w:rsidRDefault="00FB0784" w:rsidP="007F7104">
      <w:pPr>
        <w:pStyle w:val="EndnoteText"/>
        <w:jc w:val="left"/>
        <w:rPr>
          <w:sz w:val="20"/>
          <w:szCs w:val="20"/>
        </w:rPr>
      </w:pPr>
      <w:r w:rsidRPr="007F7104">
        <w:rPr>
          <w:rStyle w:val="EndnoteReference"/>
          <w:sz w:val="20"/>
          <w:szCs w:val="20"/>
        </w:rPr>
        <w:endnoteRef/>
      </w:r>
      <w:r w:rsidRPr="007F7104">
        <w:rPr>
          <w:sz w:val="20"/>
          <w:szCs w:val="20"/>
        </w:rPr>
        <w:t xml:space="preserve"> Jacques </w:t>
      </w:r>
      <w:proofErr w:type="spellStart"/>
      <w:r w:rsidRPr="007F7104">
        <w:rPr>
          <w:sz w:val="20"/>
          <w:szCs w:val="20"/>
        </w:rPr>
        <w:t>Lecoq</w:t>
      </w:r>
      <w:proofErr w:type="spellEnd"/>
      <w:r w:rsidRPr="007F7104">
        <w:rPr>
          <w:sz w:val="20"/>
          <w:szCs w:val="20"/>
        </w:rPr>
        <w:t xml:space="preserve"> quoted in Mary </w:t>
      </w:r>
      <w:proofErr w:type="spellStart"/>
      <w:r w:rsidRPr="007F7104">
        <w:rPr>
          <w:sz w:val="20"/>
          <w:szCs w:val="20"/>
        </w:rPr>
        <w:t>Bryden</w:t>
      </w:r>
      <w:proofErr w:type="spellEnd"/>
      <w:r w:rsidRPr="007F7104">
        <w:rPr>
          <w:sz w:val="20"/>
          <w:szCs w:val="20"/>
        </w:rPr>
        <w:t>, ‘Clowning with Beckett’, in S</w:t>
      </w:r>
      <w:r w:rsidR="006A2A25" w:rsidRPr="007F7104">
        <w:rPr>
          <w:sz w:val="20"/>
          <w:szCs w:val="20"/>
        </w:rPr>
        <w:t>tanley E.</w:t>
      </w:r>
      <w:r w:rsidRPr="007F7104">
        <w:rPr>
          <w:sz w:val="20"/>
          <w:szCs w:val="20"/>
        </w:rPr>
        <w:t xml:space="preserve"> </w:t>
      </w:r>
      <w:proofErr w:type="spellStart"/>
      <w:r w:rsidRPr="007F7104">
        <w:rPr>
          <w:sz w:val="20"/>
          <w:szCs w:val="20"/>
        </w:rPr>
        <w:t>Gontarski</w:t>
      </w:r>
      <w:proofErr w:type="spellEnd"/>
      <w:r w:rsidRPr="007F7104">
        <w:rPr>
          <w:sz w:val="20"/>
          <w:szCs w:val="20"/>
        </w:rPr>
        <w:t>, ed.</w:t>
      </w:r>
      <w:r w:rsidR="00D311CB" w:rsidRPr="007F7104">
        <w:rPr>
          <w:sz w:val="20"/>
          <w:szCs w:val="20"/>
        </w:rPr>
        <w:t xml:space="preserve">, </w:t>
      </w:r>
      <w:r w:rsidR="00D311CB" w:rsidRPr="007F7104">
        <w:rPr>
          <w:i/>
          <w:sz w:val="20"/>
          <w:szCs w:val="20"/>
        </w:rPr>
        <w:t>A Companion to Samuel Beckett</w:t>
      </w:r>
      <w:r w:rsidRPr="007F7104">
        <w:rPr>
          <w:sz w:val="20"/>
          <w:szCs w:val="20"/>
        </w:rPr>
        <w:t xml:space="preserve"> (Malden: Wiley-Blackwell, 2010), p. 362.</w:t>
      </w:r>
    </w:p>
  </w:endnote>
  <w:endnote w:id="27">
    <w:p w14:paraId="72772CAD" w14:textId="77777777" w:rsidR="0051158C" w:rsidRPr="007F7104" w:rsidRDefault="0051158C" w:rsidP="007F7104">
      <w:pPr>
        <w:pStyle w:val="EndnoteText"/>
        <w:jc w:val="left"/>
        <w:rPr>
          <w:sz w:val="20"/>
          <w:szCs w:val="20"/>
        </w:rPr>
      </w:pPr>
      <w:r w:rsidRPr="007F7104">
        <w:rPr>
          <w:rStyle w:val="EndnoteReference"/>
          <w:sz w:val="20"/>
          <w:szCs w:val="20"/>
        </w:rPr>
        <w:endnoteRef/>
      </w:r>
      <w:r w:rsidRPr="007F7104">
        <w:rPr>
          <w:sz w:val="20"/>
          <w:szCs w:val="20"/>
        </w:rPr>
        <w:t xml:space="preserve"> Jacques </w:t>
      </w:r>
      <w:proofErr w:type="spellStart"/>
      <w:r w:rsidRPr="007F7104">
        <w:rPr>
          <w:sz w:val="20"/>
          <w:szCs w:val="20"/>
        </w:rPr>
        <w:t>Lecoq</w:t>
      </w:r>
      <w:proofErr w:type="spellEnd"/>
      <w:r w:rsidRPr="007F7104">
        <w:rPr>
          <w:sz w:val="20"/>
          <w:szCs w:val="20"/>
        </w:rPr>
        <w:t xml:space="preserve">, </w:t>
      </w:r>
      <w:r w:rsidRPr="007F7104">
        <w:rPr>
          <w:i/>
          <w:sz w:val="20"/>
          <w:szCs w:val="20"/>
        </w:rPr>
        <w:t xml:space="preserve">Theatre of Movement and Gesture, </w:t>
      </w:r>
      <w:r w:rsidRPr="007F7104">
        <w:rPr>
          <w:sz w:val="20"/>
          <w:szCs w:val="20"/>
        </w:rPr>
        <w:t xml:space="preserve">David </w:t>
      </w:r>
      <w:proofErr w:type="spellStart"/>
      <w:r w:rsidRPr="007F7104">
        <w:rPr>
          <w:sz w:val="20"/>
          <w:szCs w:val="20"/>
        </w:rPr>
        <w:t>Bradby</w:t>
      </w:r>
      <w:proofErr w:type="spellEnd"/>
      <w:r w:rsidRPr="007F7104">
        <w:rPr>
          <w:sz w:val="20"/>
          <w:szCs w:val="20"/>
        </w:rPr>
        <w:t>, ed. (Abingdon: Routledge, 2006), p.</w:t>
      </w:r>
      <w:r w:rsidR="009A7C90" w:rsidRPr="007F7104">
        <w:rPr>
          <w:sz w:val="20"/>
          <w:szCs w:val="20"/>
        </w:rPr>
        <w:t xml:space="preserve"> 11.</w:t>
      </w:r>
    </w:p>
  </w:endnote>
  <w:endnote w:id="28">
    <w:p w14:paraId="60F9DC38" w14:textId="77777777" w:rsidR="001F3253" w:rsidRPr="007F7104" w:rsidRDefault="001F3253" w:rsidP="007F7104">
      <w:pPr>
        <w:pStyle w:val="EndnoteText"/>
        <w:jc w:val="left"/>
        <w:rPr>
          <w:sz w:val="20"/>
          <w:szCs w:val="20"/>
        </w:rPr>
      </w:pPr>
      <w:r w:rsidRPr="007F7104">
        <w:rPr>
          <w:rStyle w:val="EndnoteReference"/>
          <w:sz w:val="20"/>
          <w:szCs w:val="20"/>
        </w:rPr>
        <w:endnoteRef/>
      </w:r>
      <w:r w:rsidRPr="007F7104">
        <w:rPr>
          <w:sz w:val="20"/>
          <w:szCs w:val="20"/>
        </w:rPr>
        <w:t xml:space="preserve"> </w:t>
      </w:r>
      <w:proofErr w:type="spellStart"/>
      <w:r w:rsidRPr="007F7104">
        <w:rPr>
          <w:sz w:val="20"/>
          <w:szCs w:val="20"/>
        </w:rPr>
        <w:t>Grotowski</w:t>
      </w:r>
      <w:proofErr w:type="spellEnd"/>
      <w:r w:rsidRPr="007F7104">
        <w:rPr>
          <w:sz w:val="20"/>
          <w:szCs w:val="20"/>
        </w:rPr>
        <w:t xml:space="preserve">, Towards a Poor Theatre, p. 111. </w:t>
      </w:r>
    </w:p>
  </w:endnote>
  <w:endnote w:id="29">
    <w:p w14:paraId="6C8227A2" w14:textId="77777777" w:rsidR="00387FC0" w:rsidRPr="007F7104" w:rsidRDefault="00387FC0" w:rsidP="007F7104">
      <w:pPr>
        <w:pStyle w:val="EndnoteText"/>
        <w:jc w:val="left"/>
        <w:rPr>
          <w:sz w:val="20"/>
          <w:szCs w:val="20"/>
        </w:rPr>
      </w:pPr>
      <w:r w:rsidRPr="007F7104">
        <w:rPr>
          <w:rStyle w:val="EndnoteReference"/>
          <w:sz w:val="20"/>
          <w:szCs w:val="20"/>
        </w:rPr>
        <w:endnoteRef/>
      </w:r>
      <w:r w:rsidRPr="007F7104">
        <w:rPr>
          <w:sz w:val="20"/>
          <w:szCs w:val="20"/>
        </w:rPr>
        <w:t xml:space="preserve"> </w:t>
      </w:r>
      <w:r w:rsidR="00E17150" w:rsidRPr="007F7104">
        <w:rPr>
          <w:sz w:val="20"/>
          <w:szCs w:val="20"/>
        </w:rPr>
        <w:t>R</w:t>
      </w:r>
      <w:r w:rsidR="003300CA" w:rsidRPr="007F7104">
        <w:rPr>
          <w:sz w:val="20"/>
          <w:szCs w:val="20"/>
        </w:rPr>
        <w:t>enee</w:t>
      </w:r>
      <w:r w:rsidR="00E17150" w:rsidRPr="007F7104">
        <w:rPr>
          <w:sz w:val="20"/>
          <w:szCs w:val="20"/>
        </w:rPr>
        <w:t xml:space="preserve"> </w:t>
      </w:r>
      <w:proofErr w:type="spellStart"/>
      <w:r w:rsidR="00E17150" w:rsidRPr="007F7104">
        <w:rPr>
          <w:sz w:val="20"/>
          <w:szCs w:val="20"/>
        </w:rPr>
        <w:t>Emunah</w:t>
      </w:r>
      <w:proofErr w:type="spellEnd"/>
      <w:r w:rsidR="00E17150" w:rsidRPr="007F7104">
        <w:rPr>
          <w:sz w:val="20"/>
          <w:szCs w:val="20"/>
        </w:rPr>
        <w:t xml:space="preserve">, Acting for Real: Drama Therapy Process, Technique and Performance (London: Bruner-Routledge, 1994), p. 184. </w:t>
      </w:r>
    </w:p>
  </w:endnote>
  <w:endnote w:id="30">
    <w:p w14:paraId="58376324" w14:textId="77777777" w:rsidR="009E2AE5" w:rsidRPr="007F7104" w:rsidRDefault="009E2AE5" w:rsidP="007F7104">
      <w:pPr>
        <w:pStyle w:val="EndnoteText"/>
        <w:jc w:val="left"/>
        <w:rPr>
          <w:sz w:val="20"/>
          <w:szCs w:val="20"/>
        </w:rPr>
      </w:pPr>
      <w:r w:rsidRPr="007F7104">
        <w:rPr>
          <w:rStyle w:val="EndnoteReference"/>
          <w:sz w:val="20"/>
          <w:szCs w:val="20"/>
        </w:rPr>
        <w:endnoteRef/>
      </w:r>
      <w:r w:rsidRPr="007F7104">
        <w:rPr>
          <w:sz w:val="20"/>
          <w:szCs w:val="20"/>
        </w:rPr>
        <w:t xml:space="preserve"> </w:t>
      </w:r>
      <w:proofErr w:type="spellStart"/>
      <w:r w:rsidRPr="007F7104">
        <w:rPr>
          <w:sz w:val="20"/>
          <w:szCs w:val="20"/>
        </w:rPr>
        <w:t>Welton</w:t>
      </w:r>
      <w:proofErr w:type="spellEnd"/>
      <w:r w:rsidRPr="007F7104">
        <w:rPr>
          <w:sz w:val="20"/>
          <w:szCs w:val="20"/>
        </w:rPr>
        <w:t xml:space="preserve">, ‘Getting Things </w:t>
      </w:r>
      <w:proofErr w:type="gramStart"/>
      <w:r w:rsidRPr="007F7104">
        <w:rPr>
          <w:sz w:val="20"/>
          <w:szCs w:val="20"/>
        </w:rPr>
        <w:t>Off</w:t>
      </w:r>
      <w:proofErr w:type="gramEnd"/>
      <w:r w:rsidRPr="007F7104">
        <w:rPr>
          <w:sz w:val="20"/>
          <w:szCs w:val="20"/>
        </w:rPr>
        <w:t xml:space="preserve"> the Ground’, p. 1</w:t>
      </w:r>
      <w:r w:rsidR="009E0A8D" w:rsidRPr="007F7104">
        <w:rPr>
          <w:sz w:val="20"/>
          <w:szCs w:val="20"/>
        </w:rPr>
        <w:t>6</w:t>
      </w:r>
      <w:r w:rsidRPr="007F7104">
        <w:rPr>
          <w:sz w:val="20"/>
          <w:szCs w:val="20"/>
        </w:rPr>
        <w:t>.</w:t>
      </w:r>
    </w:p>
  </w:endnote>
  <w:endnote w:id="31">
    <w:p w14:paraId="5FE34E7E" w14:textId="77777777" w:rsidR="00BD7328" w:rsidRPr="007F7104" w:rsidRDefault="00BD7328" w:rsidP="007F7104">
      <w:pPr>
        <w:pStyle w:val="EndnoteText"/>
        <w:jc w:val="left"/>
        <w:rPr>
          <w:sz w:val="20"/>
          <w:szCs w:val="20"/>
        </w:rPr>
      </w:pPr>
      <w:r w:rsidRPr="007F7104">
        <w:rPr>
          <w:rStyle w:val="EndnoteReference"/>
          <w:sz w:val="20"/>
          <w:szCs w:val="20"/>
        </w:rPr>
        <w:endnoteRef/>
      </w:r>
      <w:r w:rsidRPr="007F7104">
        <w:rPr>
          <w:sz w:val="20"/>
          <w:szCs w:val="20"/>
        </w:rPr>
        <w:t xml:space="preserve"> Maria </w:t>
      </w:r>
      <w:proofErr w:type="spellStart"/>
      <w:r w:rsidRPr="007F7104">
        <w:rPr>
          <w:sz w:val="20"/>
          <w:szCs w:val="20"/>
        </w:rPr>
        <w:t>Shetsova</w:t>
      </w:r>
      <w:proofErr w:type="spellEnd"/>
      <w:r w:rsidRPr="007F7104">
        <w:rPr>
          <w:sz w:val="20"/>
          <w:szCs w:val="20"/>
        </w:rPr>
        <w:t xml:space="preserve">, </w:t>
      </w:r>
      <w:r w:rsidRPr="007F7104">
        <w:rPr>
          <w:i/>
          <w:sz w:val="20"/>
          <w:szCs w:val="20"/>
        </w:rPr>
        <w:t xml:space="preserve">Robert Wilson </w:t>
      </w:r>
      <w:r w:rsidRPr="007F7104">
        <w:rPr>
          <w:sz w:val="20"/>
          <w:szCs w:val="20"/>
        </w:rPr>
        <w:t>(Abingdon: Routledge, 2007), p. 126.</w:t>
      </w:r>
    </w:p>
  </w:endnote>
  <w:endnote w:id="32">
    <w:p w14:paraId="2E471FA0" w14:textId="77777777" w:rsidR="00BD7328" w:rsidRPr="007F7104" w:rsidRDefault="00BD7328" w:rsidP="007F7104">
      <w:pPr>
        <w:pStyle w:val="EndnoteText"/>
        <w:jc w:val="left"/>
        <w:rPr>
          <w:sz w:val="20"/>
          <w:szCs w:val="20"/>
        </w:rPr>
      </w:pPr>
      <w:r w:rsidRPr="007F7104">
        <w:rPr>
          <w:rStyle w:val="EndnoteReference"/>
          <w:sz w:val="20"/>
          <w:szCs w:val="20"/>
        </w:rPr>
        <w:endnoteRef/>
      </w:r>
      <w:r w:rsidRPr="007F7104">
        <w:rPr>
          <w:sz w:val="20"/>
          <w:szCs w:val="20"/>
        </w:rPr>
        <w:t xml:space="preserve"> </w:t>
      </w:r>
      <w:proofErr w:type="gramStart"/>
      <w:r w:rsidRPr="007F7104">
        <w:rPr>
          <w:sz w:val="20"/>
          <w:szCs w:val="20"/>
        </w:rPr>
        <w:t>Ibid.,</w:t>
      </w:r>
      <w:proofErr w:type="gramEnd"/>
      <w:r w:rsidRPr="007F7104">
        <w:rPr>
          <w:sz w:val="20"/>
          <w:szCs w:val="20"/>
        </w:rPr>
        <w:t xml:space="preserve"> pp. 119-29.</w:t>
      </w:r>
    </w:p>
  </w:endnote>
  <w:endnote w:id="33">
    <w:p w14:paraId="79950D85" w14:textId="77777777" w:rsidR="00387FC0" w:rsidRPr="007F7104" w:rsidRDefault="00387FC0" w:rsidP="007F7104">
      <w:pPr>
        <w:pStyle w:val="EndnoteText"/>
        <w:jc w:val="left"/>
        <w:rPr>
          <w:sz w:val="20"/>
          <w:szCs w:val="20"/>
        </w:rPr>
      </w:pPr>
      <w:r w:rsidRPr="007F7104">
        <w:rPr>
          <w:rStyle w:val="EndnoteReference"/>
          <w:sz w:val="20"/>
          <w:szCs w:val="20"/>
        </w:rPr>
        <w:endnoteRef/>
      </w:r>
      <w:r w:rsidRPr="007F7104">
        <w:rPr>
          <w:sz w:val="20"/>
          <w:szCs w:val="20"/>
        </w:rPr>
        <w:t xml:space="preserve"> It is important to note that a number of these exercises are very similar to those outlined by Tadashi Suzuki in </w:t>
      </w:r>
      <w:r w:rsidRPr="007F7104">
        <w:rPr>
          <w:i/>
          <w:sz w:val="20"/>
          <w:szCs w:val="20"/>
        </w:rPr>
        <w:t xml:space="preserve">The Way of Acting, </w:t>
      </w:r>
      <w:r w:rsidRPr="007F7104">
        <w:rPr>
          <w:sz w:val="20"/>
          <w:szCs w:val="20"/>
        </w:rPr>
        <w:t>suggesting a western appropriation of these ideas.</w:t>
      </w:r>
    </w:p>
  </w:endnote>
  <w:endnote w:id="34">
    <w:p w14:paraId="6634A3B2" w14:textId="77777777" w:rsidR="00C521C0" w:rsidRPr="007F7104" w:rsidRDefault="00C521C0" w:rsidP="007F7104">
      <w:pPr>
        <w:pStyle w:val="EndnoteText"/>
        <w:jc w:val="left"/>
        <w:rPr>
          <w:sz w:val="20"/>
          <w:szCs w:val="20"/>
        </w:rPr>
      </w:pPr>
      <w:r w:rsidRPr="007F7104">
        <w:rPr>
          <w:rStyle w:val="EndnoteReference"/>
          <w:sz w:val="20"/>
          <w:szCs w:val="20"/>
        </w:rPr>
        <w:endnoteRef/>
      </w:r>
      <w:r w:rsidRPr="007F7104">
        <w:rPr>
          <w:sz w:val="20"/>
          <w:szCs w:val="20"/>
        </w:rPr>
        <w:t xml:space="preserve"> See Wolford, ‘</w:t>
      </w:r>
      <w:proofErr w:type="spellStart"/>
      <w:r w:rsidRPr="007F7104">
        <w:rPr>
          <w:sz w:val="20"/>
          <w:szCs w:val="20"/>
        </w:rPr>
        <w:t>Grotowski’s</w:t>
      </w:r>
      <w:proofErr w:type="spellEnd"/>
      <w:r w:rsidRPr="007F7104">
        <w:rPr>
          <w:sz w:val="20"/>
          <w:szCs w:val="20"/>
        </w:rPr>
        <w:t xml:space="preserve"> Vision of the Actor’, p. 205. </w:t>
      </w:r>
    </w:p>
  </w:endnote>
  <w:endnote w:id="35">
    <w:p w14:paraId="0C78D196" w14:textId="77777777" w:rsidR="002D4E1F" w:rsidRPr="007F7104" w:rsidRDefault="002D4E1F" w:rsidP="007F7104">
      <w:pPr>
        <w:pStyle w:val="EndnoteText"/>
        <w:jc w:val="left"/>
        <w:rPr>
          <w:sz w:val="20"/>
          <w:szCs w:val="20"/>
        </w:rPr>
      </w:pPr>
      <w:r w:rsidRPr="007F7104">
        <w:rPr>
          <w:rStyle w:val="EndnoteReference"/>
          <w:sz w:val="20"/>
          <w:szCs w:val="20"/>
        </w:rPr>
        <w:endnoteRef/>
      </w:r>
      <w:r w:rsidRPr="007F7104">
        <w:rPr>
          <w:sz w:val="20"/>
          <w:szCs w:val="20"/>
        </w:rPr>
        <w:t xml:space="preserve"> </w:t>
      </w:r>
    </w:p>
  </w:endnote>
  <w:endnote w:id="36">
    <w:p w14:paraId="120D2CE1" w14:textId="77777777" w:rsidR="008127D0" w:rsidRPr="007F7104" w:rsidRDefault="008127D0" w:rsidP="007F7104">
      <w:pPr>
        <w:pStyle w:val="EndnoteText"/>
        <w:jc w:val="left"/>
        <w:rPr>
          <w:sz w:val="20"/>
          <w:szCs w:val="20"/>
        </w:rPr>
      </w:pPr>
      <w:r w:rsidRPr="007F7104">
        <w:rPr>
          <w:rStyle w:val="EndnoteReference"/>
          <w:sz w:val="20"/>
          <w:szCs w:val="20"/>
        </w:rPr>
        <w:endnoteRef/>
      </w:r>
      <w:r w:rsidRPr="007F7104">
        <w:rPr>
          <w:sz w:val="20"/>
          <w:szCs w:val="20"/>
        </w:rPr>
        <w:t xml:space="preserve"> Michael Kirby, ‘On Acting and Not-Acting’, in Phil</w:t>
      </w:r>
      <w:r w:rsidR="004049A9" w:rsidRPr="007F7104">
        <w:rPr>
          <w:sz w:val="20"/>
          <w:szCs w:val="20"/>
        </w:rPr>
        <w:t>l</w:t>
      </w:r>
      <w:r w:rsidRPr="007F7104">
        <w:rPr>
          <w:sz w:val="20"/>
          <w:szCs w:val="20"/>
        </w:rPr>
        <w:t xml:space="preserve">ip </w:t>
      </w:r>
      <w:proofErr w:type="spellStart"/>
      <w:r w:rsidRPr="007F7104">
        <w:rPr>
          <w:sz w:val="20"/>
          <w:szCs w:val="20"/>
        </w:rPr>
        <w:t>Zarrilli</w:t>
      </w:r>
      <w:proofErr w:type="spellEnd"/>
      <w:r w:rsidRPr="007F7104">
        <w:rPr>
          <w:sz w:val="20"/>
          <w:szCs w:val="20"/>
        </w:rPr>
        <w:t xml:space="preserve">, ed., </w:t>
      </w:r>
      <w:r w:rsidRPr="007F7104">
        <w:rPr>
          <w:i/>
          <w:sz w:val="20"/>
          <w:szCs w:val="20"/>
        </w:rPr>
        <w:t>Acting (Re</w:t>
      </w:r>
      <w:proofErr w:type="gramStart"/>
      <w:r w:rsidRPr="007F7104">
        <w:rPr>
          <w:i/>
          <w:sz w:val="20"/>
          <w:szCs w:val="20"/>
        </w:rPr>
        <w:t>)Considered</w:t>
      </w:r>
      <w:proofErr w:type="gramEnd"/>
      <w:r w:rsidRPr="007F7104">
        <w:rPr>
          <w:i/>
          <w:sz w:val="20"/>
          <w:szCs w:val="20"/>
        </w:rPr>
        <w:t xml:space="preserve">: A Theoretical and Practical Guide </w:t>
      </w:r>
      <w:r w:rsidRPr="007F7104">
        <w:rPr>
          <w:sz w:val="20"/>
          <w:szCs w:val="20"/>
        </w:rPr>
        <w:t>(London: Routledge, 2002), p. 42.</w:t>
      </w:r>
    </w:p>
  </w:endnote>
  <w:endnote w:id="37">
    <w:p w14:paraId="1E7F6EDC" w14:textId="77777777" w:rsidR="00E2432D" w:rsidRPr="007F7104" w:rsidRDefault="00E2432D" w:rsidP="007F7104">
      <w:pPr>
        <w:pStyle w:val="EndnoteText"/>
        <w:jc w:val="left"/>
        <w:rPr>
          <w:sz w:val="20"/>
          <w:szCs w:val="20"/>
        </w:rPr>
      </w:pPr>
      <w:r w:rsidRPr="007F7104">
        <w:rPr>
          <w:rStyle w:val="EndnoteReference"/>
          <w:sz w:val="20"/>
          <w:szCs w:val="20"/>
        </w:rPr>
        <w:endnoteRef/>
      </w:r>
      <w:r w:rsidRPr="007F7104">
        <w:rPr>
          <w:sz w:val="20"/>
          <w:szCs w:val="20"/>
        </w:rPr>
        <w:t xml:space="preserve"> Kirby relates an anecdote regarding a </w:t>
      </w:r>
      <w:r w:rsidR="003339A1" w:rsidRPr="007F7104">
        <w:rPr>
          <w:sz w:val="20"/>
          <w:szCs w:val="20"/>
        </w:rPr>
        <w:t>‘</w:t>
      </w:r>
      <w:r w:rsidRPr="007F7104">
        <w:rPr>
          <w:sz w:val="20"/>
          <w:szCs w:val="20"/>
        </w:rPr>
        <w:t>critic who headed backstage to congratulate a friend and could be seen by the audience as he passed outside the windows of the on-stage house; it was an opportune moment in the story, however, and he wa</w:t>
      </w:r>
      <w:r w:rsidR="00EB63F5" w:rsidRPr="007F7104">
        <w:rPr>
          <w:sz w:val="20"/>
          <w:szCs w:val="20"/>
        </w:rPr>
        <w:t>s accepted as part of the play</w:t>
      </w:r>
      <w:r w:rsidR="003339A1" w:rsidRPr="007F7104">
        <w:rPr>
          <w:sz w:val="20"/>
          <w:szCs w:val="20"/>
        </w:rPr>
        <w:t>’</w:t>
      </w:r>
      <w:r w:rsidR="00EB63F5" w:rsidRPr="007F7104">
        <w:rPr>
          <w:sz w:val="20"/>
          <w:szCs w:val="20"/>
        </w:rPr>
        <w:t xml:space="preserve">, p. 42. </w:t>
      </w:r>
    </w:p>
  </w:endnote>
  <w:endnote w:id="38">
    <w:p w14:paraId="19CCAD77" w14:textId="77777777" w:rsidR="00843E8E" w:rsidRPr="007F7104" w:rsidRDefault="00843E8E" w:rsidP="007F7104">
      <w:pPr>
        <w:pStyle w:val="EndnoteText"/>
        <w:jc w:val="left"/>
        <w:rPr>
          <w:sz w:val="20"/>
          <w:szCs w:val="20"/>
        </w:rPr>
      </w:pPr>
      <w:r w:rsidRPr="007F7104">
        <w:rPr>
          <w:rStyle w:val="EndnoteReference"/>
          <w:sz w:val="20"/>
          <w:szCs w:val="20"/>
        </w:rPr>
        <w:endnoteRef/>
      </w:r>
      <w:r w:rsidRPr="007F7104">
        <w:rPr>
          <w:sz w:val="20"/>
          <w:szCs w:val="20"/>
        </w:rPr>
        <w:t xml:space="preserve"> Peter Brook, </w:t>
      </w:r>
      <w:proofErr w:type="gramStart"/>
      <w:r w:rsidRPr="007F7104">
        <w:rPr>
          <w:i/>
          <w:sz w:val="20"/>
          <w:szCs w:val="20"/>
        </w:rPr>
        <w:t>The</w:t>
      </w:r>
      <w:proofErr w:type="gramEnd"/>
      <w:r w:rsidRPr="007F7104">
        <w:rPr>
          <w:i/>
          <w:sz w:val="20"/>
          <w:szCs w:val="20"/>
        </w:rPr>
        <w:t xml:space="preserve"> Empty Space </w:t>
      </w:r>
      <w:r w:rsidRPr="007F7104">
        <w:rPr>
          <w:sz w:val="20"/>
          <w:szCs w:val="20"/>
        </w:rPr>
        <w:t xml:space="preserve">(London: </w:t>
      </w:r>
      <w:proofErr w:type="spellStart"/>
      <w:r w:rsidRPr="007F7104">
        <w:rPr>
          <w:sz w:val="20"/>
          <w:szCs w:val="20"/>
        </w:rPr>
        <w:t>MacGibbon</w:t>
      </w:r>
      <w:proofErr w:type="spellEnd"/>
      <w:r w:rsidRPr="007F7104">
        <w:rPr>
          <w:sz w:val="20"/>
          <w:szCs w:val="20"/>
        </w:rPr>
        <w:t xml:space="preserve"> &amp; </w:t>
      </w:r>
      <w:proofErr w:type="spellStart"/>
      <w:r w:rsidRPr="007F7104">
        <w:rPr>
          <w:sz w:val="20"/>
          <w:szCs w:val="20"/>
        </w:rPr>
        <w:t>Kee</w:t>
      </w:r>
      <w:proofErr w:type="spellEnd"/>
      <w:r w:rsidRPr="007F7104">
        <w:rPr>
          <w:sz w:val="20"/>
          <w:szCs w:val="20"/>
        </w:rPr>
        <w:t>, 1968), p. 9.</w:t>
      </w:r>
    </w:p>
  </w:endnote>
  <w:endnote w:id="39">
    <w:p w14:paraId="5C2762E7" w14:textId="77777777" w:rsidR="00075181" w:rsidRPr="007F7104" w:rsidRDefault="00075181" w:rsidP="007F7104">
      <w:pPr>
        <w:pStyle w:val="EndnoteText"/>
        <w:jc w:val="left"/>
        <w:rPr>
          <w:sz w:val="20"/>
          <w:szCs w:val="20"/>
        </w:rPr>
      </w:pPr>
      <w:r w:rsidRPr="007F7104">
        <w:rPr>
          <w:rStyle w:val="EndnoteReference"/>
          <w:sz w:val="20"/>
          <w:szCs w:val="20"/>
        </w:rPr>
        <w:endnoteRef/>
      </w:r>
      <w:r w:rsidRPr="007F7104">
        <w:rPr>
          <w:sz w:val="20"/>
          <w:szCs w:val="20"/>
        </w:rPr>
        <w:t xml:space="preserve"> John </w:t>
      </w:r>
      <w:proofErr w:type="spellStart"/>
      <w:r w:rsidRPr="007F7104">
        <w:rPr>
          <w:sz w:val="20"/>
          <w:szCs w:val="20"/>
        </w:rPr>
        <w:t>Heilpern</w:t>
      </w:r>
      <w:proofErr w:type="spellEnd"/>
      <w:r w:rsidRPr="007F7104">
        <w:rPr>
          <w:sz w:val="20"/>
          <w:szCs w:val="20"/>
        </w:rPr>
        <w:t xml:space="preserve"> quoted in </w:t>
      </w:r>
      <w:proofErr w:type="spellStart"/>
      <w:r w:rsidRPr="007F7104">
        <w:rPr>
          <w:sz w:val="20"/>
          <w:szCs w:val="20"/>
        </w:rPr>
        <w:t>Shomit</w:t>
      </w:r>
      <w:proofErr w:type="spellEnd"/>
      <w:r w:rsidRPr="007F7104">
        <w:rPr>
          <w:sz w:val="20"/>
          <w:szCs w:val="20"/>
        </w:rPr>
        <w:t xml:space="preserve"> </w:t>
      </w:r>
      <w:proofErr w:type="spellStart"/>
      <w:r w:rsidRPr="007F7104">
        <w:rPr>
          <w:sz w:val="20"/>
          <w:szCs w:val="20"/>
        </w:rPr>
        <w:t>Mitter</w:t>
      </w:r>
      <w:proofErr w:type="spellEnd"/>
      <w:r w:rsidRPr="007F7104">
        <w:rPr>
          <w:sz w:val="20"/>
          <w:szCs w:val="20"/>
        </w:rPr>
        <w:t xml:space="preserve">, </w:t>
      </w:r>
      <w:r w:rsidRPr="007F7104">
        <w:rPr>
          <w:i/>
          <w:sz w:val="20"/>
          <w:szCs w:val="20"/>
        </w:rPr>
        <w:t xml:space="preserve">Systems of Rehearsal: Stanislavsky, Brecht, </w:t>
      </w:r>
      <w:proofErr w:type="spellStart"/>
      <w:r w:rsidRPr="007F7104">
        <w:rPr>
          <w:i/>
          <w:sz w:val="20"/>
          <w:szCs w:val="20"/>
        </w:rPr>
        <w:t>Grotowski</w:t>
      </w:r>
      <w:proofErr w:type="spellEnd"/>
      <w:r w:rsidRPr="007F7104">
        <w:rPr>
          <w:i/>
          <w:sz w:val="20"/>
          <w:szCs w:val="20"/>
        </w:rPr>
        <w:t xml:space="preserve"> and Brook </w:t>
      </w:r>
      <w:r w:rsidRPr="007F7104">
        <w:rPr>
          <w:sz w:val="20"/>
          <w:szCs w:val="20"/>
        </w:rPr>
        <w:t xml:space="preserve">(London: Routledge, 1992), p. 87. </w:t>
      </w:r>
    </w:p>
  </w:endnote>
  <w:endnote w:id="40">
    <w:p w14:paraId="6E0A2C5B" w14:textId="77777777" w:rsidR="00075181" w:rsidRPr="007F7104" w:rsidRDefault="00075181" w:rsidP="007F7104">
      <w:pPr>
        <w:pStyle w:val="EndnoteText"/>
        <w:jc w:val="left"/>
        <w:rPr>
          <w:sz w:val="20"/>
          <w:szCs w:val="20"/>
        </w:rPr>
      </w:pPr>
      <w:r w:rsidRPr="007F7104">
        <w:rPr>
          <w:rStyle w:val="EndnoteReference"/>
          <w:sz w:val="20"/>
          <w:szCs w:val="20"/>
        </w:rPr>
        <w:endnoteRef/>
      </w:r>
      <w:r w:rsidRPr="007F7104">
        <w:rPr>
          <w:sz w:val="20"/>
          <w:szCs w:val="20"/>
        </w:rPr>
        <w:t xml:space="preserve"> </w:t>
      </w:r>
      <w:proofErr w:type="gramStart"/>
      <w:r w:rsidRPr="007F7104">
        <w:rPr>
          <w:sz w:val="20"/>
          <w:szCs w:val="20"/>
        </w:rPr>
        <w:t>Ibid.,</w:t>
      </w:r>
      <w:proofErr w:type="gramEnd"/>
      <w:r w:rsidRPr="007F7104">
        <w:rPr>
          <w:sz w:val="20"/>
          <w:szCs w:val="20"/>
        </w:rPr>
        <w:t xml:space="preserve"> p. 87.</w:t>
      </w:r>
    </w:p>
  </w:endnote>
  <w:endnote w:id="41">
    <w:p w14:paraId="1754833E" w14:textId="77777777" w:rsidR="00075181" w:rsidRPr="007F7104" w:rsidRDefault="00075181" w:rsidP="007F7104">
      <w:pPr>
        <w:pStyle w:val="EndnoteText"/>
        <w:jc w:val="left"/>
        <w:rPr>
          <w:sz w:val="20"/>
          <w:szCs w:val="20"/>
        </w:rPr>
      </w:pPr>
      <w:r w:rsidRPr="007F7104">
        <w:rPr>
          <w:rStyle w:val="EndnoteReference"/>
          <w:sz w:val="20"/>
          <w:szCs w:val="20"/>
        </w:rPr>
        <w:endnoteRef/>
      </w:r>
      <w:r w:rsidRPr="007F7104">
        <w:rPr>
          <w:sz w:val="20"/>
          <w:szCs w:val="20"/>
        </w:rPr>
        <w:t xml:space="preserve"> </w:t>
      </w:r>
      <w:proofErr w:type="spellStart"/>
      <w:r w:rsidRPr="007F7104">
        <w:rPr>
          <w:sz w:val="20"/>
          <w:szCs w:val="20"/>
        </w:rPr>
        <w:t>Shomit</w:t>
      </w:r>
      <w:proofErr w:type="spellEnd"/>
      <w:r w:rsidRPr="007F7104">
        <w:rPr>
          <w:sz w:val="20"/>
          <w:szCs w:val="20"/>
        </w:rPr>
        <w:t xml:space="preserve"> </w:t>
      </w:r>
      <w:proofErr w:type="spellStart"/>
      <w:r w:rsidRPr="007F7104">
        <w:rPr>
          <w:sz w:val="20"/>
          <w:szCs w:val="20"/>
        </w:rPr>
        <w:t>Mitter</w:t>
      </w:r>
      <w:proofErr w:type="spellEnd"/>
      <w:r w:rsidRPr="007F7104">
        <w:rPr>
          <w:sz w:val="20"/>
          <w:szCs w:val="20"/>
        </w:rPr>
        <w:t xml:space="preserve">, Systems of Rehearsal: Stanislavsky, Brecht, </w:t>
      </w:r>
      <w:proofErr w:type="spellStart"/>
      <w:r w:rsidRPr="007F7104">
        <w:rPr>
          <w:sz w:val="20"/>
          <w:szCs w:val="20"/>
        </w:rPr>
        <w:t>Grotowski</w:t>
      </w:r>
      <w:proofErr w:type="spellEnd"/>
      <w:r w:rsidRPr="007F7104">
        <w:rPr>
          <w:sz w:val="20"/>
          <w:szCs w:val="20"/>
        </w:rPr>
        <w:t xml:space="preserve"> and Brook (London: Routledge, 1992), pp. 108-9.</w:t>
      </w:r>
    </w:p>
  </w:endnote>
  <w:endnote w:id="42">
    <w:p w14:paraId="203B8F75" w14:textId="77777777" w:rsidR="007C440E" w:rsidRPr="007F7104" w:rsidRDefault="007C440E" w:rsidP="007F7104">
      <w:pPr>
        <w:pStyle w:val="EndnoteText"/>
        <w:jc w:val="left"/>
        <w:rPr>
          <w:i/>
          <w:sz w:val="20"/>
          <w:szCs w:val="20"/>
        </w:rPr>
      </w:pPr>
      <w:r w:rsidRPr="007F7104">
        <w:rPr>
          <w:rStyle w:val="EndnoteReference"/>
          <w:sz w:val="20"/>
          <w:szCs w:val="20"/>
        </w:rPr>
        <w:endnoteRef/>
      </w:r>
      <w:r w:rsidRPr="007F7104">
        <w:rPr>
          <w:sz w:val="20"/>
          <w:szCs w:val="20"/>
        </w:rPr>
        <w:t xml:space="preserve"> </w:t>
      </w:r>
      <w:r w:rsidR="00774950" w:rsidRPr="007F7104">
        <w:rPr>
          <w:sz w:val="20"/>
          <w:szCs w:val="20"/>
        </w:rPr>
        <w:t xml:space="preserve">Paul </w:t>
      </w:r>
      <w:proofErr w:type="spellStart"/>
      <w:r w:rsidR="00774950" w:rsidRPr="007F7104">
        <w:rPr>
          <w:sz w:val="20"/>
          <w:szCs w:val="20"/>
        </w:rPr>
        <w:t>Allain</w:t>
      </w:r>
      <w:proofErr w:type="spellEnd"/>
      <w:r w:rsidR="00774950" w:rsidRPr="007F7104">
        <w:rPr>
          <w:sz w:val="20"/>
          <w:szCs w:val="20"/>
        </w:rPr>
        <w:t xml:space="preserve">, ‘Suzuki Training’, </w:t>
      </w:r>
      <w:proofErr w:type="gramStart"/>
      <w:r w:rsidR="00774950" w:rsidRPr="007F7104">
        <w:rPr>
          <w:i/>
          <w:sz w:val="20"/>
          <w:szCs w:val="20"/>
        </w:rPr>
        <w:t>The</w:t>
      </w:r>
      <w:proofErr w:type="gramEnd"/>
      <w:r w:rsidR="00774950" w:rsidRPr="007F7104">
        <w:rPr>
          <w:i/>
          <w:sz w:val="20"/>
          <w:szCs w:val="20"/>
        </w:rPr>
        <w:t xml:space="preserve"> Drama Review, </w:t>
      </w:r>
      <w:r w:rsidR="00774950" w:rsidRPr="007F7104">
        <w:rPr>
          <w:sz w:val="20"/>
          <w:szCs w:val="20"/>
        </w:rPr>
        <w:t>Vol. XLII, No. 1 (1998), p. 78.</w:t>
      </w:r>
      <w:r w:rsidR="00774950" w:rsidRPr="007F7104">
        <w:rPr>
          <w:i/>
          <w:sz w:val="20"/>
          <w:szCs w:val="20"/>
        </w:rPr>
        <w:t xml:space="preserve"> </w:t>
      </w:r>
    </w:p>
  </w:endnote>
  <w:endnote w:id="43">
    <w:p w14:paraId="27FB3C3E" w14:textId="77777777" w:rsidR="002C2767" w:rsidRPr="007F7104" w:rsidRDefault="002C2767" w:rsidP="007F7104">
      <w:pPr>
        <w:pStyle w:val="EndnoteText"/>
        <w:jc w:val="left"/>
        <w:rPr>
          <w:sz w:val="20"/>
          <w:szCs w:val="20"/>
        </w:rPr>
      </w:pPr>
      <w:r w:rsidRPr="007F7104">
        <w:rPr>
          <w:rStyle w:val="EndnoteReference"/>
          <w:sz w:val="20"/>
          <w:szCs w:val="20"/>
        </w:rPr>
        <w:endnoteRef/>
      </w:r>
      <w:r w:rsidRPr="007F7104">
        <w:rPr>
          <w:sz w:val="20"/>
          <w:szCs w:val="20"/>
        </w:rPr>
        <w:t xml:space="preserve"> Augusto </w:t>
      </w:r>
      <w:proofErr w:type="spellStart"/>
      <w:r w:rsidRPr="007F7104">
        <w:rPr>
          <w:sz w:val="20"/>
          <w:szCs w:val="20"/>
        </w:rPr>
        <w:t>Boal</w:t>
      </w:r>
      <w:proofErr w:type="spellEnd"/>
      <w:r w:rsidRPr="007F7104">
        <w:rPr>
          <w:sz w:val="20"/>
          <w:szCs w:val="20"/>
        </w:rPr>
        <w:t xml:space="preserve">, </w:t>
      </w:r>
      <w:r w:rsidRPr="007F7104">
        <w:rPr>
          <w:i/>
          <w:sz w:val="20"/>
          <w:szCs w:val="20"/>
        </w:rPr>
        <w:t xml:space="preserve">Games for Actors and Non-Actors </w:t>
      </w:r>
      <w:r w:rsidRPr="007F7104">
        <w:rPr>
          <w:sz w:val="20"/>
          <w:szCs w:val="20"/>
        </w:rPr>
        <w:t>(London: Routledge, 1992), p. 70.</w:t>
      </w:r>
    </w:p>
  </w:endnote>
  <w:endnote w:id="44">
    <w:p w14:paraId="6C42EDF6" w14:textId="77777777" w:rsidR="00FA45F4" w:rsidRPr="007F7104" w:rsidRDefault="00FA45F4" w:rsidP="007F7104">
      <w:pPr>
        <w:pStyle w:val="EndnoteText"/>
        <w:jc w:val="left"/>
        <w:rPr>
          <w:sz w:val="20"/>
          <w:szCs w:val="20"/>
        </w:rPr>
      </w:pPr>
      <w:r w:rsidRPr="007F7104">
        <w:rPr>
          <w:rStyle w:val="EndnoteReference"/>
          <w:sz w:val="20"/>
          <w:szCs w:val="20"/>
        </w:rPr>
        <w:endnoteRef/>
      </w:r>
      <w:r w:rsidRPr="007F7104">
        <w:rPr>
          <w:sz w:val="20"/>
          <w:szCs w:val="20"/>
        </w:rPr>
        <w:t xml:space="preserve"> Anne Dennis, </w:t>
      </w:r>
      <w:proofErr w:type="gramStart"/>
      <w:r w:rsidR="009633AC" w:rsidRPr="007F7104">
        <w:rPr>
          <w:sz w:val="20"/>
          <w:szCs w:val="20"/>
        </w:rPr>
        <w:t>The</w:t>
      </w:r>
      <w:proofErr w:type="gramEnd"/>
      <w:r w:rsidR="009633AC" w:rsidRPr="007F7104">
        <w:rPr>
          <w:sz w:val="20"/>
          <w:szCs w:val="20"/>
        </w:rPr>
        <w:t xml:space="preserve"> </w:t>
      </w:r>
      <w:r w:rsidRPr="007F7104">
        <w:rPr>
          <w:sz w:val="20"/>
          <w:szCs w:val="20"/>
        </w:rPr>
        <w:t>Articulate Body: The Physical Training of the Actor (</w:t>
      </w:r>
      <w:r w:rsidR="002734A7" w:rsidRPr="007F7104">
        <w:rPr>
          <w:sz w:val="20"/>
          <w:szCs w:val="20"/>
        </w:rPr>
        <w:t xml:space="preserve">London: Nick </w:t>
      </w:r>
      <w:proofErr w:type="spellStart"/>
      <w:r w:rsidR="002734A7" w:rsidRPr="007F7104">
        <w:rPr>
          <w:sz w:val="20"/>
          <w:szCs w:val="20"/>
        </w:rPr>
        <w:t>Hern</w:t>
      </w:r>
      <w:proofErr w:type="spellEnd"/>
      <w:r w:rsidR="002734A7" w:rsidRPr="007F7104">
        <w:rPr>
          <w:sz w:val="20"/>
          <w:szCs w:val="20"/>
        </w:rPr>
        <w:t xml:space="preserve">, </w:t>
      </w:r>
      <w:r w:rsidRPr="007F7104">
        <w:rPr>
          <w:sz w:val="20"/>
          <w:szCs w:val="20"/>
        </w:rPr>
        <w:t>2002), pp. 45-6.</w:t>
      </w:r>
    </w:p>
  </w:endnote>
  <w:endnote w:id="45">
    <w:p w14:paraId="5EAFF598" w14:textId="77777777" w:rsidR="00362E0B" w:rsidRPr="007F7104" w:rsidRDefault="00362E0B" w:rsidP="007F7104">
      <w:pPr>
        <w:pStyle w:val="EndnoteText"/>
        <w:jc w:val="left"/>
        <w:rPr>
          <w:sz w:val="20"/>
          <w:szCs w:val="20"/>
        </w:rPr>
      </w:pPr>
      <w:r w:rsidRPr="007F7104">
        <w:rPr>
          <w:rStyle w:val="EndnoteReference"/>
          <w:sz w:val="20"/>
          <w:szCs w:val="20"/>
        </w:rPr>
        <w:endnoteRef/>
      </w:r>
      <w:r w:rsidRPr="007F7104">
        <w:rPr>
          <w:sz w:val="20"/>
          <w:szCs w:val="20"/>
        </w:rPr>
        <w:t xml:space="preserve"> </w:t>
      </w:r>
      <w:proofErr w:type="gramStart"/>
      <w:r w:rsidRPr="007F7104">
        <w:rPr>
          <w:sz w:val="20"/>
          <w:szCs w:val="20"/>
        </w:rPr>
        <w:t>Ibid.,</w:t>
      </w:r>
      <w:proofErr w:type="gramEnd"/>
      <w:r w:rsidRPr="007F7104">
        <w:rPr>
          <w:sz w:val="20"/>
          <w:szCs w:val="20"/>
        </w:rPr>
        <w:t xml:space="preserve"> p. 46.</w:t>
      </w:r>
    </w:p>
  </w:endnote>
  <w:endnote w:id="46">
    <w:p w14:paraId="1F6DB28B" w14:textId="77777777" w:rsidR="00362E0B" w:rsidRPr="007F7104" w:rsidRDefault="00362E0B" w:rsidP="007F7104">
      <w:pPr>
        <w:pStyle w:val="EndnoteText"/>
        <w:jc w:val="left"/>
        <w:rPr>
          <w:sz w:val="20"/>
          <w:szCs w:val="20"/>
        </w:rPr>
      </w:pPr>
      <w:r w:rsidRPr="007F7104">
        <w:rPr>
          <w:rStyle w:val="EndnoteReference"/>
          <w:sz w:val="20"/>
          <w:szCs w:val="20"/>
        </w:rPr>
        <w:endnoteRef/>
      </w:r>
      <w:r w:rsidRPr="007F7104">
        <w:rPr>
          <w:sz w:val="20"/>
          <w:szCs w:val="20"/>
        </w:rPr>
        <w:t xml:space="preserve"> Jean-Louis </w:t>
      </w:r>
      <w:proofErr w:type="spellStart"/>
      <w:r w:rsidRPr="007F7104">
        <w:rPr>
          <w:sz w:val="20"/>
          <w:szCs w:val="20"/>
        </w:rPr>
        <w:t>Barrault</w:t>
      </w:r>
      <w:proofErr w:type="spellEnd"/>
      <w:r w:rsidRPr="007F7104">
        <w:rPr>
          <w:sz w:val="20"/>
          <w:szCs w:val="20"/>
        </w:rPr>
        <w:t xml:space="preserve"> quoted in Dennis, </w:t>
      </w:r>
      <w:r w:rsidRPr="007F7104">
        <w:rPr>
          <w:i/>
          <w:sz w:val="20"/>
          <w:szCs w:val="20"/>
        </w:rPr>
        <w:t xml:space="preserve">The Articulate Body, </w:t>
      </w:r>
      <w:proofErr w:type="gramStart"/>
      <w:r w:rsidRPr="007F7104">
        <w:rPr>
          <w:sz w:val="20"/>
          <w:szCs w:val="20"/>
        </w:rPr>
        <w:t>p</w:t>
      </w:r>
      <w:proofErr w:type="gramEnd"/>
      <w:r w:rsidRPr="007F7104">
        <w:rPr>
          <w:sz w:val="20"/>
          <w:szCs w:val="20"/>
        </w:rPr>
        <w:t>. 46.</w:t>
      </w:r>
    </w:p>
  </w:endnote>
  <w:endnote w:id="47">
    <w:p w14:paraId="4E674EAB" w14:textId="77777777" w:rsidR="002D55E2" w:rsidRPr="007F7104" w:rsidRDefault="002D55E2" w:rsidP="007F7104">
      <w:pPr>
        <w:pStyle w:val="EndnoteText"/>
        <w:jc w:val="left"/>
        <w:rPr>
          <w:sz w:val="20"/>
          <w:szCs w:val="20"/>
        </w:rPr>
      </w:pPr>
      <w:r w:rsidRPr="007F7104">
        <w:rPr>
          <w:rStyle w:val="EndnoteReference"/>
          <w:sz w:val="20"/>
          <w:szCs w:val="20"/>
        </w:rPr>
        <w:endnoteRef/>
      </w:r>
      <w:r w:rsidRPr="007F7104">
        <w:rPr>
          <w:sz w:val="20"/>
          <w:szCs w:val="20"/>
        </w:rPr>
        <w:t xml:space="preserve"> </w:t>
      </w:r>
      <w:proofErr w:type="spellStart"/>
      <w:r w:rsidRPr="007F7104">
        <w:rPr>
          <w:sz w:val="20"/>
          <w:szCs w:val="20"/>
        </w:rPr>
        <w:t>Welton</w:t>
      </w:r>
      <w:proofErr w:type="spellEnd"/>
      <w:r w:rsidRPr="007F7104">
        <w:rPr>
          <w:sz w:val="20"/>
          <w:szCs w:val="20"/>
        </w:rPr>
        <w:t xml:space="preserve">, ‘Getting Things </w:t>
      </w:r>
      <w:proofErr w:type="gramStart"/>
      <w:r w:rsidRPr="007F7104">
        <w:rPr>
          <w:sz w:val="20"/>
          <w:szCs w:val="20"/>
        </w:rPr>
        <w:t>Off</w:t>
      </w:r>
      <w:proofErr w:type="gramEnd"/>
      <w:r w:rsidRPr="007F7104">
        <w:rPr>
          <w:sz w:val="20"/>
          <w:szCs w:val="20"/>
        </w:rPr>
        <w:t xml:space="preserve"> the Ground’, p. 13.</w:t>
      </w:r>
    </w:p>
  </w:endnote>
  <w:endnote w:id="48">
    <w:p w14:paraId="6C41DD98" w14:textId="77777777" w:rsidR="00BA26A0" w:rsidRPr="007F7104" w:rsidRDefault="00BA26A0" w:rsidP="007F7104">
      <w:pPr>
        <w:pStyle w:val="EndnoteText"/>
        <w:jc w:val="left"/>
        <w:rPr>
          <w:i/>
          <w:sz w:val="20"/>
          <w:szCs w:val="20"/>
        </w:rPr>
      </w:pPr>
      <w:r w:rsidRPr="007F7104">
        <w:rPr>
          <w:rStyle w:val="EndnoteReference"/>
          <w:sz w:val="20"/>
          <w:szCs w:val="20"/>
        </w:rPr>
        <w:endnoteRef/>
      </w:r>
      <w:r w:rsidRPr="007F7104">
        <w:rPr>
          <w:sz w:val="20"/>
          <w:szCs w:val="20"/>
        </w:rPr>
        <w:t xml:space="preserve"> See</w:t>
      </w:r>
      <w:r w:rsidR="00AB21DF" w:rsidRPr="007F7104">
        <w:rPr>
          <w:sz w:val="20"/>
          <w:szCs w:val="20"/>
        </w:rPr>
        <w:t xml:space="preserve"> David Griffiths, </w:t>
      </w:r>
      <w:r w:rsidR="00AB21DF" w:rsidRPr="007F7104">
        <w:rPr>
          <w:i/>
          <w:sz w:val="20"/>
          <w:szCs w:val="20"/>
        </w:rPr>
        <w:t xml:space="preserve">The Training of Noh Actors and the Dove </w:t>
      </w:r>
      <w:r w:rsidR="00AB21DF" w:rsidRPr="007F7104">
        <w:rPr>
          <w:sz w:val="20"/>
          <w:szCs w:val="20"/>
        </w:rPr>
        <w:t>and E</w:t>
      </w:r>
      <w:r w:rsidR="008B66B2" w:rsidRPr="007F7104">
        <w:rPr>
          <w:sz w:val="20"/>
          <w:szCs w:val="20"/>
        </w:rPr>
        <w:t>arle</w:t>
      </w:r>
      <w:r w:rsidR="00AB21DF" w:rsidRPr="007F7104">
        <w:rPr>
          <w:sz w:val="20"/>
          <w:szCs w:val="20"/>
        </w:rPr>
        <w:t xml:space="preserve"> Ernst, </w:t>
      </w:r>
      <w:r w:rsidR="00AB21DF" w:rsidRPr="007F7104">
        <w:rPr>
          <w:i/>
          <w:sz w:val="20"/>
          <w:szCs w:val="20"/>
        </w:rPr>
        <w:t xml:space="preserve">The Kabuki Theatre </w:t>
      </w:r>
      <w:r w:rsidR="00AB21DF" w:rsidRPr="007F7104">
        <w:rPr>
          <w:sz w:val="20"/>
          <w:szCs w:val="20"/>
        </w:rPr>
        <w:t>(New York: Grove Press, 1956).</w:t>
      </w:r>
      <w:r w:rsidRPr="007F7104">
        <w:rPr>
          <w:i/>
          <w:sz w:val="20"/>
          <w:szCs w:val="20"/>
        </w:rPr>
        <w:t xml:space="preserve"> </w:t>
      </w:r>
    </w:p>
  </w:endnote>
  <w:endnote w:id="49">
    <w:p w14:paraId="35DF0A81" w14:textId="77777777" w:rsidR="007D6CB4" w:rsidRPr="007F7104" w:rsidRDefault="007D6CB4" w:rsidP="007F7104">
      <w:pPr>
        <w:pStyle w:val="EndnoteText"/>
        <w:jc w:val="left"/>
        <w:rPr>
          <w:sz w:val="20"/>
          <w:szCs w:val="20"/>
        </w:rPr>
      </w:pPr>
      <w:r w:rsidRPr="007F7104">
        <w:rPr>
          <w:rStyle w:val="EndnoteReference"/>
          <w:sz w:val="20"/>
          <w:szCs w:val="20"/>
        </w:rPr>
        <w:endnoteRef/>
      </w:r>
      <w:r w:rsidRPr="007F7104">
        <w:rPr>
          <w:sz w:val="20"/>
          <w:szCs w:val="20"/>
        </w:rPr>
        <w:t xml:space="preserve"> Susan Leigh Foster, ‘Movement’s Contagion: The </w:t>
      </w:r>
      <w:proofErr w:type="spellStart"/>
      <w:r w:rsidRPr="007F7104">
        <w:rPr>
          <w:sz w:val="20"/>
          <w:szCs w:val="20"/>
        </w:rPr>
        <w:t>Kinesthetic</w:t>
      </w:r>
      <w:proofErr w:type="spellEnd"/>
      <w:r w:rsidRPr="007F7104">
        <w:rPr>
          <w:sz w:val="20"/>
          <w:szCs w:val="20"/>
        </w:rPr>
        <w:t xml:space="preserve"> Impact of Performance’, in T</w:t>
      </w:r>
      <w:r w:rsidR="00821ECC" w:rsidRPr="007F7104">
        <w:rPr>
          <w:sz w:val="20"/>
          <w:szCs w:val="20"/>
        </w:rPr>
        <w:t>racy</w:t>
      </w:r>
      <w:r w:rsidRPr="007F7104">
        <w:rPr>
          <w:sz w:val="20"/>
          <w:szCs w:val="20"/>
        </w:rPr>
        <w:t xml:space="preserve"> C</w:t>
      </w:r>
      <w:r w:rsidR="00821ECC" w:rsidRPr="007F7104">
        <w:rPr>
          <w:sz w:val="20"/>
          <w:szCs w:val="20"/>
        </w:rPr>
        <w:t>.</w:t>
      </w:r>
      <w:r w:rsidRPr="007F7104">
        <w:rPr>
          <w:sz w:val="20"/>
          <w:szCs w:val="20"/>
        </w:rPr>
        <w:t xml:space="preserve"> Davis, ed., </w:t>
      </w:r>
      <w:r w:rsidRPr="007F7104">
        <w:rPr>
          <w:i/>
          <w:sz w:val="20"/>
          <w:szCs w:val="20"/>
        </w:rPr>
        <w:t xml:space="preserve">The Cambridge Companion to Performance Studies </w:t>
      </w:r>
      <w:r w:rsidRPr="007F7104">
        <w:rPr>
          <w:sz w:val="20"/>
          <w:szCs w:val="20"/>
        </w:rPr>
        <w:t>(Cambridge: Cambridge University Press, 2008), p. 50.</w:t>
      </w:r>
    </w:p>
  </w:endnote>
  <w:endnote w:id="50">
    <w:p w14:paraId="48A2BB1F" w14:textId="77777777" w:rsidR="00097229" w:rsidRPr="007F7104" w:rsidRDefault="00097229" w:rsidP="007F7104">
      <w:pPr>
        <w:pStyle w:val="EndnoteText"/>
        <w:jc w:val="left"/>
        <w:rPr>
          <w:sz w:val="20"/>
          <w:szCs w:val="20"/>
        </w:rPr>
      </w:pPr>
      <w:r w:rsidRPr="007F7104">
        <w:rPr>
          <w:rStyle w:val="EndnoteReference"/>
          <w:sz w:val="20"/>
          <w:szCs w:val="20"/>
        </w:rPr>
        <w:endnoteRef/>
      </w:r>
      <w:r w:rsidRPr="007F7104">
        <w:rPr>
          <w:sz w:val="20"/>
          <w:szCs w:val="20"/>
        </w:rPr>
        <w:t xml:space="preserve"> Christopher Baugh, Theatre, Performance and Technology: The Development of Scenography in the Twentieth Century (Basingstoke: Palgrave Macmillan, 2005), p. 13. </w:t>
      </w:r>
    </w:p>
  </w:endnote>
  <w:endnote w:id="51">
    <w:p w14:paraId="25F1804F" w14:textId="77777777" w:rsidR="00580AF9" w:rsidRPr="007F7104" w:rsidRDefault="00580AF9" w:rsidP="007F7104">
      <w:pPr>
        <w:pStyle w:val="EndnoteText"/>
        <w:jc w:val="left"/>
        <w:rPr>
          <w:sz w:val="20"/>
          <w:szCs w:val="20"/>
        </w:rPr>
      </w:pPr>
      <w:r w:rsidRPr="007F7104">
        <w:rPr>
          <w:rStyle w:val="EndnoteReference"/>
          <w:sz w:val="20"/>
          <w:szCs w:val="20"/>
        </w:rPr>
        <w:endnoteRef/>
      </w:r>
      <w:r w:rsidRPr="007F7104">
        <w:rPr>
          <w:sz w:val="20"/>
          <w:szCs w:val="20"/>
        </w:rPr>
        <w:t xml:space="preserve"> Richard Drain, ed., </w:t>
      </w:r>
      <w:r w:rsidRPr="007F7104">
        <w:rPr>
          <w:i/>
          <w:sz w:val="20"/>
          <w:szCs w:val="20"/>
        </w:rPr>
        <w:t xml:space="preserve">Twentieth Century Performance Reader: A Sourcebook </w:t>
      </w:r>
      <w:r w:rsidRPr="007F7104">
        <w:rPr>
          <w:sz w:val="20"/>
          <w:szCs w:val="20"/>
        </w:rPr>
        <w:t>(London: Routledge, 1995), p. 3.</w:t>
      </w:r>
    </w:p>
  </w:endnote>
  <w:endnote w:id="52">
    <w:p w14:paraId="3CD42DB1" w14:textId="77777777" w:rsidR="00121AB4" w:rsidRPr="007F7104" w:rsidRDefault="00121AB4" w:rsidP="007F7104">
      <w:pPr>
        <w:pStyle w:val="EndnoteText"/>
        <w:jc w:val="left"/>
        <w:rPr>
          <w:sz w:val="20"/>
          <w:szCs w:val="20"/>
        </w:rPr>
      </w:pPr>
      <w:r w:rsidRPr="007F7104">
        <w:rPr>
          <w:rStyle w:val="EndnoteReference"/>
          <w:sz w:val="20"/>
          <w:szCs w:val="20"/>
        </w:rPr>
        <w:endnoteRef/>
      </w:r>
      <w:r w:rsidRPr="007F7104">
        <w:rPr>
          <w:sz w:val="20"/>
          <w:szCs w:val="20"/>
        </w:rPr>
        <w:t xml:space="preserve"> David Wiles, </w:t>
      </w:r>
      <w:r w:rsidRPr="007F7104">
        <w:rPr>
          <w:i/>
          <w:sz w:val="20"/>
          <w:szCs w:val="20"/>
        </w:rPr>
        <w:t xml:space="preserve">A Short History of Western Performance Space </w:t>
      </w:r>
      <w:r w:rsidRPr="007F7104">
        <w:rPr>
          <w:sz w:val="20"/>
          <w:szCs w:val="20"/>
        </w:rPr>
        <w:t>(Cambridge: Cambridge University Press, 2003), p. 52.</w:t>
      </w:r>
    </w:p>
  </w:endnote>
  <w:endnote w:id="53">
    <w:p w14:paraId="32E9B4B8" w14:textId="77777777" w:rsidR="00C83431" w:rsidRPr="007F7104" w:rsidRDefault="00C83431" w:rsidP="007F7104">
      <w:pPr>
        <w:pStyle w:val="EndnoteText"/>
        <w:jc w:val="left"/>
        <w:rPr>
          <w:sz w:val="20"/>
          <w:szCs w:val="20"/>
        </w:rPr>
      </w:pPr>
      <w:r w:rsidRPr="007F7104">
        <w:rPr>
          <w:rStyle w:val="EndnoteReference"/>
          <w:sz w:val="20"/>
          <w:szCs w:val="20"/>
        </w:rPr>
        <w:endnoteRef/>
      </w:r>
      <w:r w:rsidRPr="007F7104">
        <w:rPr>
          <w:sz w:val="20"/>
          <w:szCs w:val="20"/>
        </w:rPr>
        <w:t xml:space="preserve"> Baugh, Theatre, Performance and Technology, p. 21.</w:t>
      </w:r>
    </w:p>
  </w:endnote>
  <w:endnote w:id="54">
    <w:p w14:paraId="4AC6D361" w14:textId="77777777" w:rsidR="00D0367C" w:rsidRPr="007F7104" w:rsidRDefault="00D0367C" w:rsidP="007F7104">
      <w:pPr>
        <w:pStyle w:val="EndnoteText"/>
        <w:jc w:val="left"/>
        <w:rPr>
          <w:sz w:val="20"/>
          <w:szCs w:val="20"/>
        </w:rPr>
      </w:pPr>
      <w:r w:rsidRPr="007F7104">
        <w:rPr>
          <w:rStyle w:val="EndnoteReference"/>
          <w:sz w:val="20"/>
          <w:szCs w:val="20"/>
        </w:rPr>
        <w:endnoteRef/>
      </w:r>
      <w:r w:rsidRPr="007F7104">
        <w:rPr>
          <w:sz w:val="20"/>
          <w:szCs w:val="20"/>
        </w:rPr>
        <w:t xml:space="preserve"> Alice Leighton </w:t>
      </w:r>
      <w:proofErr w:type="spellStart"/>
      <w:r w:rsidRPr="007F7104">
        <w:rPr>
          <w:sz w:val="20"/>
          <w:szCs w:val="20"/>
        </w:rPr>
        <w:t>Cleather</w:t>
      </w:r>
      <w:proofErr w:type="spellEnd"/>
      <w:r w:rsidRPr="007F7104">
        <w:rPr>
          <w:sz w:val="20"/>
          <w:szCs w:val="20"/>
        </w:rPr>
        <w:t xml:space="preserve"> and Basil Crump, </w:t>
      </w:r>
      <w:proofErr w:type="spellStart"/>
      <w:r w:rsidRPr="007F7104">
        <w:rPr>
          <w:i/>
          <w:sz w:val="20"/>
          <w:szCs w:val="20"/>
        </w:rPr>
        <w:t>Lohengrin</w:t>
      </w:r>
      <w:proofErr w:type="spellEnd"/>
      <w:r w:rsidRPr="007F7104">
        <w:rPr>
          <w:i/>
          <w:sz w:val="20"/>
          <w:szCs w:val="20"/>
        </w:rPr>
        <w:t xml:space="preserve"> and Parsifal </w:t>
      </w:r>
      <w:r w:rsidRPr="007F7104">
        <w:rPr>
          <w:sz w:val="20"/>
          <w:szCs w:val="20"/>
        </w:rPr>
        <w:t>(London: Methuen, 1932), pp. 97-8.</w:t>
      </w:r>
    </w:p>
  </w:endnote>
  <w:endnote w:id="55">
    <w:p w14:paraId="48A81697" w14:textId="77777777" w:rsidR="000B659E" w:rsidRPr="007F7104" w:rsidRDefault="000B659E" w:rsidP="007F7104">
      <w:pPr>
        <w:pStyle w:val="EndnoteText"/>
        <w:jc w:val="left"/>
        <w:rPr>
          <w:sz w:val="20"/>
          <w:szCs w:val="20"/>
        </w:rPr>
      </w:pPr>
      <w:r w:rsidRPr="007F7104">
        <w:rPr>
          <w:rStyle w:val="EndnoteReference"/>
          <w:sz w:val="20"/>
          <w:szCs w:val="20"/>
        </w:rPr>
        <w:endnoteRef/>
      </w:r>
      <w:r w:rsidRPr="007F7104">
        <w:rPr>
          <w:sz w:val="20"/>
          <w:szCs w:val="20"/>
        </w:rPr>
        <w:t xml:space="preserve"> Matthew Wilson Smith, </w:t>
      </w:r>
      <w:proofErr w:type="gramStart"/>
      <w:r w:rsidRPr="007F7104">
        <w:rPr>
          <w:i/>
          <w:sz w:val="20"/>
          <w:szCs w:val="20"/>
        </w:rPr>
        <w:t>The</w:t>
      </w:r>
      <w:proofErr w:type="gramEnd"/>
      <w:r w:rsidRPr="007F7104">
        <w:rPr>
          <w:i/>
          <w:sz w:val="20"/>
          <w:szCs w:val="20"/>
        </w:rPr>
        <w:t xml:space="preserve"> Total Work of Art: From Bayreuth to Cyberspace </w:t>
      </w:r>
      <w:r w:rsidRPr="007F7104">
        <w:rPr>
          <w:sz w:val="20"/>
          <w:szCs w:val="20"/>
        </w:rPr>
        <w:t>(London: Routledge, 2007), p. 29.</w:t>
      </w:r>
    </w:p>
  </w:endnote>
  <w:endnote w:id="56">
    <w:p w14:paraId="73777D56" w14:textId="77777777" w:rsidR="000B659E" w:rsidRPr="007F7104" w:rsidRDefault="000B659E" w:rsidP="007F7104">
      <w:pPr>
        <w:pStyle w:val="EndnoteText"/>
        <w:jc w:val="left"/>
        <w:rPr>
          <w:sz w:val="20"/>
          <w:szCs w:val="20"/>
        </w:rPr>
      </w:pPr>
      <w:r w:rsidRPr="007F7104">
        <w:rPr>
          <w:rStyle w:val="EndnoteReference"/>
          <w:sz w:val="20"/>
          <w:szCs w:val="20"/>
        </w:rPr>
        <w:endnoteRef/>
      </w:r>
      <w:r w:rsidRPr="007F7104">
        <w:rPr>
          <w:sz w:val="20"/>
          <w:szCs w:val="20"/>
        </w:rPr>
        <w:t xml:space="preserve"> </w:t>
      </w:r>
      <w:proofErr w:type="spellStart"/>
      <w:r w:rsidRPr="007F7104">
        <w:rPr>
          <w:sz w:val="20"/>
          <w:szCs w:val="20"/>
        </w:rPr>
        <w:t>Cleather</w:t>
      </w:r>
      <w:proofErr w:type="spellEnd"/>
      <w:r w:rsidRPr="007F7104">
        <w:rPr>
          <w:sz w:val="20"/>
          <w:szCs w:val="20"/>
        </w:rPr>
        <w:t xml:space="preserve"> and Crump, </w:t>
      </w:r>
      <w:proofErr w:type="spellStart"/>
      <w:r w:rsidRPr="007F7104">
        <w:rPr>
          <w:i/>
          <w:sz w:val="20"/>
          <w:szCs w:val="20"/>
        </w:rPr>
        <w:t>Lohengrin</w:t>
      </w:r>
      <w:proofErr w:type="spellEnd"/>
      <w:r w:rsidRPr="007F7104">
        <w:rPr>
          <w:i/>
          <w:sz w:val="20"/>
          <w:szCs w:val="20"/>
        </w:rPr>
        <w:t xml:space="preserve"> and Parsifal, </w:t>
      </w:r>
      <w:r w:rsidRPr="007F7104">
        <w:rPr>
          <w:sz w:val="20"/>
          <w:szCs w:val="20"/>
        </w:rPr>
        <w:t>p. 97.</w:t>
      </w:r>
    </w:p>
  </w:endnote>
  <w:endnote w:id="57">
    <w:p w14:paraId="4A104E51" w14:textId="77777777" w:rsidR="00921DC5" w:rsidRPr="007F7104" w:rsidRDefault="00921DC5" w:rsidP="007F7104">
      <w:pPr>
        <w:pStyle w:val="EndnoteText"/>
        <w:jc w:val="left"/>
        <w:rPr>
          <w:sz w:val="20"/>
          <w:szCs w:val="20"/>
        </w:rPr>
      </w:pPr>
      <w:r w:rsidRPr="007F7104">
        <w:rPr>
          <w:rStyle w:val="EndnoteReference"/>
          <w:sz w:val="20"/>
          <w:szCs w:val="20"/>
        </w:rPr>
        <w:endnoteRef/>
      </w:r>
      <w:r w:rsidRPr="007F7104">
        <w:rPr>
          <w:sz w:val="20"/>
          <w:szCs w:val="20"/>
        </w:rPr>
        <w:t xml:space="preserve"> </w:t>
      </w:r>
      <w:r w:rsidRPr="007F7104">
        <w:rPr>
          <w:rStyle w:val="apple-style-span"/>
          <w:color w:val="000000"/>
          <w:sz w:val="20"/>
          <w:szCs w:val="20"/>
        </w:rPr>
        <w:t xml:space="preserve">Felix </w:t>
      </w:r>
      <w:proofErr w:type="spellStart"/>
      <w:r w:rsidRPr="007F7104">
        <w:rPr>
          <w:rStyle w:val="apple-style-span"/>
          <w:color w:val="000000"/>
          <w:sz w:val="20"/>
          <w:szCs w:val="20"/>
        </w:rPr>
        <w:t>Weingartner</w:t>
      </w:r>
      <w:proofErr w:type="spellEnd"/>
      <w:r w:rsidRPr="007F7104">
        <w:rPr>
          <w:rStyle w:val="apple-style-span"/>
          <w:color w:val="000000"/>
          <w:sz w:val="20"/>
          <w:szCs w:val="20"/>
        </w:rPr>
        <w:t xml:space="preserve"> quoted in Smith, </w:t>
      </w:r>
      <w:r w:rsidRPr="007F7104">
        <w:rPr>
          <w:i/>
          <w:sz w:val="20"/>
          <w:szCs w:val="20"/>
        </w:rPr>
        <w:t xml:space="preserve">The Total Work of Art, </w:t>
      </w:r>
      <w:proofErr w:type="gramStart"/>
      <w:r w:rsidRPr="007F7104">
        <w:rPr>
          <w:sz w:val="20"/>
          <w:szCs w:val="20"/>
        </w:rPr>
        <w:t>p</w:t>
      </w:r>
      <w:proofErr w:type="gramEnd"/>
      <w:r w:rsidRPr="007F7104">
        <w:rPr>
          <w:sz w:val="20"/>
          <w:szCs w:val="20"/>
        </w:rPr>
        <w:t xml:space="preserve">. 29. </w:t>
      </w:r>
    </w:p>
  </w:endnote>
  <w:endnote w:id="58">
    <w:p w14:paraId="6E995FDA" w14:textId="77777777" w:rsidR="00B775AB" w:rsidRPr="007F7104" w:rsidRDefault="00B775AB" w:rsidP="007F7104">
      <w:pPr>
        <w:pStyle w:val="EndnoteText"/>
        <w:jc w:val="left"/>
        <w:rPr>
          <w:sz w:val="20"/>
          <w:szCs w:val="20"/>
        </w:rPr>
      </w:pPr>
      <w:r w:rsidRPr="007F7104">
        <w:rPr>
          <w:rStyle w:val="EndnoteReference"/>
          <w:sz w:val="20"/>
          <w:szCs w:val="20"/>
        </w:rPr>
        <w:endnoteRef/>
      </w:r>
      <w:r w:rsidRPr="007F7104">
        <w:rPr>
          <w:sz w:val="20"/>
          <w:szCs w:val="20"/>
        </w:rPr>
        <w:t xml:space="preserve"> Richard Wagner, </w:t>
      </w:r>
      <w:proofErr w:type="gramStart"/>
      <w:r w:rsidRPr="007F7104">
        <w:rPr>
          <w:i/>
          <w:sz w:val="20"/>
          <w:szCs w:val="20"/>
        </w:rPr>
        <w:t>The</w:t>
      </w:r>
      <w:proofErr w:type="gramEnd"/>
      <w:r w:rsidRPr="007F7104">
        <w:rPr>
          <w:i/>
          <w:sz w:val="20"/>
          <w:szCs w:val="20"/>
        </w:rPr>
        <w:t xml:space="preserve"> Diary of Richard Wagner 1865-1882 </w:t>
      </w:r>
      <w:r w:rsidRPr="007F7104">
        <w:rPr>
          <w:sz w:val="20"/>
          <w:szCs w:val="20"/>
        </w:rPr>
        <w:t xml:space="preserve">(London: Victor </w:t>
      </w:r>
      <w:proofErr w:type="spellStart"/>
      <w:r w:rsidRPr="007F7104">
        <w:rPr>
          <w:sz w:val="20"/>
          <w:szCs w:val="20"/>
        </w:rPr>
        <w:t>Gollancz</w:t>
      </w:r>
      <w:proofErr w:type="spellEnd"/>
      <w:r w:rsidRPr="007F7104">
        <w:rPr>
          <w:sz w:val="20"/>
          <w:szCs w:val="20"/>
        </w:rPr>
        <w:t>, 1980 [1865]), p. 47.</w:t>
      </w:r>
    </w:p>
  </w:endnote>
  <w:endnote w:id="59">
    <w:p w14:paraId="0CFF13A7" w14:textId="77777777" w:rsidR="00B775AB" w:rsidRPr="007F7104" w:rsidRDefault="00B775AB" w:rsidP="007F7104">
      <w:pPr>
        <w:pStyle w:val="EndnoteText"/>
        <w:jc w:val="left"/>
        <w:rPr>
          <w:sz w:val="20"/>
          <w:szCs w:val="20"/>
        </w:rPr>
      </w:pPr>
      <w:r w:rsidRPr="007F7104">
        <w:rPr>
          <w:rStyle w:val="EndnoteReference"/>
          <w:sz w:val="20"/>
          <w:szCs w:val="20"/>
        </w:rPr>
        <w:endnoteRef/>
      </w:r>
      <w:r w:rsidRPr="007F7104">
        <w:rPr>
          <w:sz w:val="20"/>
          <w:szCs w:val="20"/>
        </w:rPr>
        <w:t xml:space="preserve"> Richard Wagner quoted in </w:t>
      </w:r>
      <w:proofErr w:type="spellStart"/>
      <w:r w:rsidRPr="007F7104">
        <w:rPr>
          <w:sz w:val="20"/>
          <w:szCs w:val="20"/>
        </w:rPr>
        <w:t>Cleather</w:t>
      </w:r>
      <w:proofErr w:type="spellEnd"/>
      <w:r w:rsidRPr="007F7104">
        <w:rPr>
          <w:sz w:val="20"/>
          <w:szCs w:val="20"/>
        </w:rPr>
        <w:t xml:space="preserve"> and Crump, </w:t>
      </w:r>
      <w:proofErr w:type="spellStart"/>
      <w:r w:rsidRPr="007F7104">
        <w:rPr>
          <w:i/>
          <w:sz w:val="20"/>
          <w:szCs w:val="20"/>
        </w:rPr>
        <w:t>Lohengrin</w:t>
      </w:r>
      <w:proofErr w:type="spellEnd"/>
      <w:r w:rsidRPr="007F7104">
        <w:rPr>
          <w:i/>
          <w:sz w:val="20"/>
          <w:szCs w:val="20"/>
        </w:rPr>
        <w:t xml:space="preserve"> and Parsifal, </w:t>
      </w:r>
      <w:r w:rsidRPr="007F7104">
        <w:rPr>
          <w:sz w:val="20"/>
          <w:szCs w:val="20"/>
        </w:rPr>
        <w:t>p. 98.</w:t>
      </w:r>
    </w:p>
  </w:endnote>
  <w:endnote w:id="60">
    <w:p w14:paraId="30A19F0C" w14:textId="77777777" w:rsidR="00B775AB" w:rsidRPr="007F7104" w:rsidRDefault="00B775AB" w:rsidP="007F7104">
      <w:pPr>
        <w:pStyle w:val="EndnoteText"/>
        <w:jc w:val="left"/>
        <w:rPr>
          <w:sz w:val="20"/>
          <w:szCs w:val="20"/>
        </w:rPr>
      </w:pPr>
      <w:r w:rsidRPr="007F7104">
        <w:rPr>
          <w:rStyle w:val="EndnoteReference"/>
          <w:sz w:val="20"/>
          <w:szCs w:val="20"/>
        </w:rPr>
        <w:endnoteRef/>
      </w:r>
      <w:r w:rsidRPr="007F7104">
        <w:rPr>
          <w:sz w:val="20"/>
          <w:szCs w:val="20"/>
        </w:rPr>
        <w:t xml:space="preserve"> </w:t>
      </w:r>
      <w:proofErr w:type="gramStart"/>
      <w:r w:rsidRPr="007F7104">
        <w:rPr>
          <w:sz w:val="20"/>
          <w:szCs w:val="20"/>
        </w:rPr>
        <w:t>Baugh, Theatre, Performance and Technology, p. 86.</w:t>
      </w:r>
      <w:proofErr w:type="gramEnd"/>
    </w:p>
  </w:endnote>
  <w:endnote w:id="61">
    <w:p w14:paraId="435F5DBC" w14:textId="77777777" w:rsidR="00DB7A3C" w:rsidRPr="007F7104" w:rsidRDefault="00DB7A3C" w:rsidP="007F7104">
      <w:pPr>
        <w:pStyle w:val="EndnoteText"/>
        <w:jc w:val="left"/>
        <w:rPr>
          <w:sz w:val="20"/>
          <w:szCs w:val="20"/>
        </w:rPr>
      </w:pPr>
      <w:r w:rsidRPr="007F7104">
        <w:rPr>
          <w:rStyle w:val="EndnoteReference"/>
          <w:sz w:val="20"/>
          <w:szCs w:val="20"/>
        </w:rPr>
        <w:endnoteRef/>
      </w:r>
      <w:r w:rsidRPr="007F7104">
        <w:rPr>
          <w:sz w:val="20"/>
          <w:szCs w:val="20"/>
        </w:rPr>
        <w:t xml:space="preserve"> See Nicholas Kilburn, </w:t>
      </w:r>
      <w:r w:rsidRPr="007F7104">
        <w:rPr>
          <w:i/>
          <w:sz w:val="20"/>
          <w:szCs w:val="20"/>
        </w:rPr>
        <w:t xml:space="preserve">Wagner’s “Parsifal”: A Pilgrimage to Bayreuth, August 1888 </w:t>
      </w:r>
      <w:r w:rsidRPr="007F7104">
        <w:rPr>
          <w:sz w:val="20"/>
          <w:szCs w:val="20"/>
        </w:rPr>
        <w:t xml:space="preserve">(Bishop </w:t>
      </w:r>
      <w:proofErr w:type="spellStart"/>
      <w:r w:rsidRPr="007F7104">
        <w:rPr>
          <w:sz w:val="20"/>
          <w:szCs w:val="20"/>
        </w:rPr>
        <w:t>Aukland</w:t>
      </w:r>
      <w:proofErr w:type="spellEnd"/>
      <w:r w:rsidRPr="007F7104">
        <w:rPr>
          <w:sz w:val="20"/>
          <w:szCs w:val="20"/>
        </w:rPr>
        <w:t xml:space="preserve">: W.J. Cummins, 1888); Raymond Furness, </w:t>
      </w:r>
      <w:r w:rsidRPr="007F7104">
        <w:rPr>
          <w:i/>
          <w:sz w:val="20"/>
          <w:szCs w:val="20"/>
        </w:rPr>
        <w:t xml:space="preserve">Wagner and Literature </w:t>
      </w:r>
      <w:r w:rsidRPr="007F7104">
        <w:rPr>
          <w:sz w:val="20"/>
          <w:szCs w:val="20"/>
        </w:rPr>
        <w:t xml:space="preserve">(Manchester: Manchester University Press) and Matthew Wilson Smith, </w:t>
      </w:r>
      <w:r w:rsidRPr="007F7104">
        <w:rPr>
          <w:i/>
          <w:sz w:val="20"/>
          <w:szCs w:val="20"/>
        </w:rPr>
        <w:t xml:space="preserve">The Total Work of Art: From Bayreuth to Cyberspace </w:t>
      </w:r>
      <w:r w:rsidRPr="007F7104">
        <w:rPr>
          <w:sz w:val="20"/>
          <w:szCs w:val="20"/>
        </w:rPr>
        <w:t>(London: Routledge, 2007).</w:t>
      </w:r>
    </w:p>
  </w:endnote>
  <w:endnote w:id="62">
    <w:p w14:paraId="3C9BCEFD" w14:textId="77777777" w:rsidR="00D4759C" w:rsidRPr="007F7104" w:rsidRDefault="00D4759C" w:rsidP="007F7104">
      <w:pPr>
        <w:pStyle w:val="EndnoteText"/>
        <w:jc w:val="left"/>
        <w:rPr>
          <w:sz w:val="20"/>
          <w:szCs w:val="20"/>
        </w:rPr>
      </w:pPr>
      <w:r w:rsidRPr="007F7104">
        <w:rPr>
          <w:rStyle w:val="EndnoteReference"/>
          <w:sz w:val="20"/>
          <w:szCs w:val="20"/>
        </w:rPr>
        <w:endnoteRef/>
      </w:r>
      <w:r w:rsidRPr="007F7104">
        <w:rPr>
          <w:sz w:val="20"/>
          <w:szCs w:val="20"/>
        </w:rPr>
        <w:t xml:space="preserve"> Marvin Carlson, </w:t>
      </w:r>
      <w:proofErr w:type="gramStart"/>
      <w:r w:rsidRPr="007F7104">
        <w:rPr>
          <w:i/>
          <w:sz w:val="20"/>
          <w:szCs w:val="20"/>
        </w:rPr>
        <w:t>The</w:t>
      </w:r>
      <w:proofErr w:type="gramEnd"/>
      <w:r w:rsidRPr="007F7104">
        <w:rPr>
          <w:i/>
          <w:sz w:val="20"/>
          <w:szCs w:val="20"/>
        </w:rPr>
        <w:t xml:space="preserve"> Haunted Stage: The Theatre as Memory Machine </w:t>
      </w:r>
      <w:r w:rsidRPr="007F7104">
        <w:rPr>
          <w:sz w:val="20"/>
          <w:szCs w:val="20"/>
        </w:rPr>
        <w:t xml:space="preserve">(Ann </w:t>
      </w:r>
      <w:proofErr w:type="spellStart"/>
      <w:r w:rsidRPr="007F7104">
        <w:rPr>
          <w:sz w:val="20"/>
          <w:szCs w:val="20"/>
        </w:rPr>
        <w:t>Arbor</w:t>
      </w:r>
      <w:proofErr w:type="spellEnd"/>
      <w:r w:rsidRPr="007F7104">
        <w:rPr>
          <w:sz w:val="20"/>
          <w:szCs w:val="20"/>
        </w:rPr>
        <w:t>: University of Michigan Press, 2001), pp. 157-8.</w:t>
      </w:r>
    </w:p>
  </w:endnote>
  <w:endnote w:id="63">
    <w:p w14:paraId="406083A5" w14:textId="77777777" w:rsidR="003F6410" w:rsidRPr="007F7104" w:rsidRDefault="003F6410" w:rsidP="007F7104">
      <w:pPr>
        <w:pStyle w:val="EndnoteText"/>
        <w:jc w:val="left"/>
        <w:rPr>
          <w:sz w:val="20"/>
          <w:szCs w:val="20"/>
        </w:rPr>
      </w:pPr>
      <w:r w:rsidRPr="007F7104">
        <w:rPr>
          <w:rStyle w:val="EndnoteReference"/>
          <w:sz w:val="20"/>
          <w:szCs w:val="20"/>
        </w:rPr>
        <w:endnoteRef/>
      </w:r>
      <w:r w:rsidRPr="007F7104">
        <w:rPr>
          <w:sz w:val="20"/>
          <w:szCs w:val="20"/>
        </w:rPr>
        <w:t xml:space="preserve"> </w:t>
      </w:r>
      <w:proofErr w:type="gramStart"/>
      <w:r w:rsidRPr="007F7104">
        <w:rPr>
          <w:sz w:val="20"/>
          <w:szCs w:val="20"/>
        </w:rPr>
        <w:t>Ibid.,</w:t>
      </w:r>
      <w:proofErr w:type="gramEnd"/>
      <w:r w:rsidRPr="007F7104">
        <w:rPr>
          <w:sz w:val="20"/>
          <w:szCs w:val="20"/>
        </w:rPr>
        <w:t xml:space="preserve"> p. 157.</w:t>
      </w:r>
    </w:p>
  </w:endnote>
  <w:endnote w:id="64">
    <w:p w14:paraId="51A73292" w14:textId="77777777" w:rsidR="003F6410" w:rsidRPr="007F7104" w:rsidRDefault="003F6410" w:rsidP="007F7104">
      <w:pPr>
        <w:pStyle w:val="EndnoteText"/>
        <w:jc w:val="left"/>
        <w:rPr>
          <w:sz w:val="20"/>
          <w:szCs w:val="20"/>
        </w:rPr>
      </w:pPr>
      <w:r w:rsidRPr="007F7104">
        <w:rPr>
          <w:rStyle w:val="EndnoteReference"/>
          <w:sz w:val="20"/>
          <w:szCs w:val="20"/>
        </w:rPr>
        <w:endnoteRef/>
      </w:r>
      <w:r w:rsidRPr="007F7104">
        <w:rPr>
          <w:sz w:val="20"/>
          <w:szCs w:val="20"/>
        </w:rPr>
        <w:t xml:space="preserve"> Smith, </w:t>
      </w:r>
      <w:proofErr w:type="gramStart"/>
      <w:r w:rsidRPr="007F7104">
        <w:rPr>
          <w:sz w:val="20"/>
          <w:szCs w:val="20"/>
        </w:rPr>
        <w:t>The</w:t>
      </w:r>
      <w:proofErr w:type="gramEnd"/>
      <w:r w:rsidRPr="007F7104">
        <w:rPr>
          <w:sz w:val="20"/>
          <w:szCs w:val="20"/>
        </w:rPr>
        <w:t xml:space="preserve"> Total Work of Art, p. 29.</w:t>
      </w:r>
    </w:p>
  </w:endnote>
  <w:endnote w:id="65">
    <w:p w14:paraId="164BFEE2" w14:textId="77777777" w:rsidR="00D212A5" w:rsidRPr="007F7104" w:rsidRDefault="00D212A5" w:rsidP="007F7104">
      <w:pPr>
        <w:pStyle w:val="EndnoteText"/>
        <w:jc w:val="left"/>
        <w:rPr>
          <w:sz w:val="20"/>
          <w:szCs w:val="20"/>
        </w:rPr>
      </w:pPr>
      <w:r w:rsidRPr="007F7104">
        <w:rPr>
          <w:rStyle w:val="EndnoteReference"/>
          <w:sz w:val="20"/>
          <w:szCs w:val="20"/>
        </w:rPr>
        <w:endnoteRef/>
      </w:r>
      <w:r w:rsidRPr="007F7104">
        <w:rPr>
          <w:sz w:val="20"/>
          <w:szCs w:val="20"/>
        </w:rPr>
        <w:t xml:space="preserve"> Matthew Jefferies, ‘Imperial Germany: Cultural and Intellectual Trends’, in Mary </w:t>
      </w:r>
      <w:proofErr w:type="spellStart"/>
      <w:r w:rsidRPr="007F7104">
        <w:rPr>
          <w:sz w:val="20"/>
          <w:szCs w:val="20"/>
        </w:rPr>
        <w:t>Fulbrook</w:t>
      </w:r>
      <w:proofErr w:type="spellEnd"/>
      <w:r w:rsidRPr="007F7104">
        <w:rPr>
          <w:sz w:val="20"/>
          <w:szCs w:val="20"/>
        </w:rPr>
        <w:t xml:space="preserve">, ed., </w:t>
      </w:r>
      <w:r w:rsidRPr="007F7104">
        <w:rPr>
          <w:i/>
          <w:sz w:val="20"/>
          <w:szCs w:val="20"/>
        </w:rPr>
        <w:t xml:space="preserve">German History </w:t>
      </w:r>
      <w:proofErr w:type="gramStart"/>
      <w:r w:rsidRPr="007F7104">
        <w:rPr>
          <w:i/>
          <w:sz w:val="20"/>
          <w:szCs w:val="20"/>
        </w:rPr>
        <w:t>Since</w:t>
      </w:r>
      <w:proofErr w:type="gramEnd"/>
      <w:r w:rsidRPr="007F7104">
        <w:rPr>
          <w:i/>
          <w:sz w:val="20"/>
          <w:szCs w:val="20"/>
        </w:rPr>
        <w:t xml:space="preserve"> 1800 </w:t>
      </w:r>
      <w:r w:rsidRPr="007F7104">
        <w:rPr>
          <w:sz w:val="20"/>
          <w:szCs w:val="20"/>
        </w:rPr>
        <w:t>(London: Arnold, 1997), p. 187.</w:t>
      </w:r>
    </w:p>
  </w:endnote>
  <w:endnote w:id="66">
    <w:p w14:paraId="7C7DD088" w14:textId="77777777" w:rsidR="00D212A5" w:rsidRPr="007F7104" w:rsidRDefault="00D212A5" w:rsidP="007F7104">
      <w:pPr>
        <w:pStyle w:val="EndnoteText"/>
        <w:jc w:val="left"/>
        <w:rPr>
          <w:sz w:val="20"/>
          <w:szCs w:val="20"/>
        </w:rPr>
      </w:pPr>
      <w:r w:rsidRPr="007F7104">
        <w:rPr>
          <w:rStyle w:val="EndnoteReference"/>
          <w:sz w:val="20"/>
          <w:szCs w:val="20"/>
        </w:rPr>
        <w:endnoteRef/>
      </w:r>
      <w:r w:rsidRPr="007F7104">
        <w:rPr>
          <w:sz w:val="20"/>
          <w:szCs w:val="20"/>
        </w:rPr>
        <w:t xml:space="preserve"> Wiles, </w:t>
      </w:r>
      <w:proofErr w:type="gramStart"/>
      <w:r w:rsidRPr="007F7104">
        <w:rPr>
          <w:sz w:val="20"/>
          <w:szCs w:val="20"/>
        </w:rPr>
        <w:t>A</w:t>
      </w:r>
      <w:proofErr w:type="gramEnd"/>
      <w:r w:rsidRPr="007F7104">
        <w:rPr>
          <w:sz w:val="20"/>
          <w:szCs w:val="20"/>
        </w:rPr>
        <w:t xml:space="preserve"> Short History of Western Performance Space, p. 229. </w:t>
      </w:r>
    </w:p>
  </w:endnote>
  <w:endnote w:id="67">
    <w:p w14:paraId="01B5E699" w14:textId="77777777" w:rsidR="006B4ECC" w:rsidRPr="007F7104" w:rsidRDefault="006B4ECC" w:rsidP="007F7104">
      <w:pPr>
        <w:pStyle w:val="EndnoteText"/>
        <w:jc w:val="left"/>
        <w:rPr>
          <w:sz w:val="20"/>
          <w:szCs w:val="20"/>
        </w:rPr>
      </w:pPr>
      <w:r w:rsidRPr="007F7104">
        <w:rPr>
          <w:rStyle w:val="EndnoteReference"/>
          <w:sz w:val="20"/>
          <w:szCs w:val="20"/>
        </w:rPr>
        <w:endnoteRef/>
      </w:r>
      <w:r w:rsidRPr="007F7104">
        <w:rPr>
          <w:sz w:val="20"/>
          <w:szCs w:val="20"/>
        </w:rPr>
        <w:t xml:space="preserve"> Victor Turner and Edith Turner, </w:t>
      </w:r>
      <w:r w:rsidRPr="007F7104">
        <w:rPr>
          <w:i/>
          <w:sz w:val="20"/>
          <w:szCs w:val="20"/>
        </w:rPr>
        <w:t xml:space="preserve">Image and Pilgrimage in Christian Culture: Anthropological Perspectives </w:t>
      </w:r>
      <w:r w:rsidRPr="007F7104">
        <w:rPr>
          <w:sz w:val="20"/>
          <w:szCs w:val="20"/>
        </w:rPr>
        <w:t>(London: Basil Blackwell, 1978), p. 250.</w:t>
      </w:r>
    </w:p>
  </w:endnote>
  <w:endnote w:id="68">
    <w:p w14:paraId="3A5C325B" w14:textId="77777777" w:rsidR="00750439" w:rsidRPr="007F7104" w:rsidRDefault="00750439" w:rsidP="007F7104">
      <w:pPr>
        <w:pStyle w:val="EndnoteText"/>
        <w:jc w:val="left"/>
        <w:rPr>
          <w:sz w:val="20"/>
          <w:szCs w:val="20"/>
        </w:rPr>
      </w:pPr>
      <w:r w:rsidRPr="007F7104">
        <w:rPr>
          <w:rStyle w:val="EndnoteReference"/>
          <w:sz w:val="20"/>
          <w:szCs w:val="20"/>
        </w:rPr>
        <w:endnoteRef/>
      </w:r>
      <w:r w:rsidRPr="007F7104">
        <w:rPr>
          <w:sz w:val="20"/>
          <w:szCs w:val="20"/>
        </w:rPr>
        <w:t xml:space="preserve"> Edward Braun, </w:t>
      </w:r>
      <w:proofErr w:type="gramStart"/>
      <w:r w:rsidRPr="007F7104">
        <w:rPr>
          <w:sz w:val="20"/>
          <w:szCs w:val="20"/>
        </w:rPr>
        <w:t>The</w:t>
      </w:r>
      <w:proofErr w:type="gramEnd"/>
      <w:r w:rsidRPr="007F7104">
        <w:rPr>
          <w:sz w:val="20"/>
          <w:szCs w:val="20"/>
        </w:rPr>
        <w:t xml:space="preserve"> Director and the Stage: From Naturalism to </w:t>
      </w:r>
      <w:proofErr w:type="spellStart"/>
      <w:r w:rsidRPr="007F7104">
        <w:rPr>
          <w:sz w:val="20"/>
          <w:szCs w:val="20"/>
        </w:rPr>
        <w:t>Grotowski</w:t>
      </w:r>
      <w:proofErr w:type="spellEnd"/>
      <w:r w:rsidRPr="007F7104">
        <w:rPr>
          <w:sz w:val="20"/>
          <w:szCs w:val="20"/>
        </w:rPr>
        <w:t xml:space="preserve"> (London: Methuen, 1982), p. 157.</w:t>
      </w:r>
    </w:p>
  </w:endnote>
  <w:endnote w:id="69">
    <w:p w14:paraId="7E049E6E" w14:textId="77777777" w:rsidR="008D6A6A" w:rsidRPr="007F7104" w:rsidRDefault="008D6A6A" w:rsidP="007F7104">
      <w:pPr>
        <w:pStyle w:val="EndnoteText"/>
        <w:jc w:val="left"/>
        <w:rPr>
          <w:sz w:val="20"/>
          <w:szCs w:val="20"/>
        </w:rPr>
      </w:pPr>
      <w:r w:rsidRPr="007F7104">
        <w:rPr>
          <w:rStyle w:val="EndnoteReference"/>
          <w:sz w:val="20"/>
          <w:szCs w:val="20"/>
        </w:rPr>
        <w:endnoteRef/>
      </w:r>
      <w:r w:rsidRPr="007F7104">
        <w:rPr>
          <w:sz w:val="20"/>
          <w:szCs w:val="20"/>
        </w:rPr>
        <w:t xml:space="preserve"> Maria Ley-</w:t>
      </w:r>
      <w:proofErr w:type="spellStart"/>
      <w:r w:rsidRPr="007F7104">
        <w:rPr>
          <w:sz w:val="20"/>
          <w:szCs w:val="20"/>
        </w:rPr>
        <w:t>Piscator</w:t>
      </w:r>
      <w:proofErr w:type="spellEnd"/>
      <w:r w:rsidRPr="007F7104">
        <w:rPr>
          <w:sz w:val="20"/>
          <w:szCs w:val="20"/>
        </w:rPr>
        <w:t xml:space="preserve">, </w:t>
      </w:r>
      <w:proofErr w:type="gramStart"/>
      <w:r w:rsidRPr="007F7104">
        <w:rPr>
          <w:i/>
          <w:sz w:val="20"/>
          <w:szCs w:val="20"/>
        </w:rPr>
        <w:t>The</w:t>
      </w:r>
      <w:proofErr w:type="gramEnd"/>
      <w:r w:rsidRPr="007F7104">
        <w:rPr>
          <w:i/>
          <w:sz w:val="20"/>
          <w:szCs w:val="20"/>
        </w:rPr>
        <w:t xml:space="preserve"> </w:t>
      </w:r>
      <w:proofErr w:type="spellStart"/>
      <w:r w:rsidRPr="007F7104">
        <w:rPr>
          <w:i/>
          <w:sz w:val="20"/>
          <w:szCs w:val="20"/>
        </w:rPr>
        <w:t>Piscator</w:t>
      </w:r>
      <w:proofErr w:type="spellEnd"/>
      <w:r w:rsidRPr="007F7104">
        <w:rPr>
          <w:i/>
          <w:sz w:val="20"/>
          <w:szCs w:val="20"/>
        </w:rPr>
        <w:t xml:space="preserve"> Experiment: The Political Theatre </w:t>
      </w:r>
      <w:r w:rsidRPr="007F7104">
        <w:rPr>
          <w:sz w:val="20"/>
          <w:szCs w:val="20"/>
        </w:rPr>
        <w:t xml:space="preserve">(London: </w:t>
      </w:r>
      <w:proofErr w:type="spellStart"/>
      <w:r w:rsidRPr="007F7104">
        <w:rPr>
          <w:sz w:val="20"/>
          <w:szCs w:val="20"/>
        </w:rPr>
        <w:t>Feffer</w:t>
      </w:r>
      <w:proofErr w:type="spellEnd"/>
      <w:r w:rsidRPr="007F7104">
        <w:rPr>
          <w:sz w:val="20"/>
          <w:szCs w:val="20"/>
        </w:rPr>
        <w:t xml:space="preserve"> &amp; Simons, 1970), p. 88.</w:t>
      </w:r>
    </w:p>
  </w:endnote>
  <w:endnote w:id="70">
    <w:p w14:paraId="123EDCD9" w14:textId="77777777" w:rsidR="008D6A6A" w:rsidRPr="007F7104" w:rsidRDefault="008D6A6A" w:rsidP="007F7104">
      <w:pPr>
        <w:pStyle w:val="EndnoteText"/>
        <w:jc w:val="left"/>
        <w:rPr>
          <w:sz w:val="20"/>
          <w:szCs w:val="20"/>
        </w:rPr>
      </w:pPr>
      <w:r w:rsidRPr="007F7104">
        <w:rPr>
          <w:rStyle w:val="EndnoteReference"/>
          <w:sz w:val="20"/>
          <w:szCs w:val="20"/>
        </w:rPr>
        <w:endnoteRef/>
      </w:r>
      <w:r w:rsidRPr="007F7104">
        <w:rPr>
          <w:sz w:val="20"/>
          <w:szCs w:val="20"/>
        </w:rPr>
        <w:t xml:space="preserve"> John Willett, </w:t>
      </w:r>
      <w:proofErr w:type="gramStart"/>
      <w:r w:rsidRPr="007F7104">
        <w:rPr>
          <w:sz w:val="20"/>
          <w:szCs w:val="20"/>
        </w:rPr>
        <w:t>The</w:t>
      </w:r>
      <w:proofErr w:type="gramEnd"/>
      <w:r w:rsidRPr="007F7104">
        <w:rPr>
          <w:sz w:val="20"/>
          <w:szCs w:val="20"/>
        </w:rPr>
        <w:t xml:space="preserve"> Theatre of Erwin </w:t>
      </w:r>
      <w:proofErr w:type="spellStart"/>
      <w:r w:rsidRPr="007F7104">
        <w:rPr>
          <w:sz w:val="20"/>
          <w:szCs w:val="20"/>
        </w:rPr>
        <w:t>Piscator</w:t>
      </w:r>
      <w:proofErr w:type="spellEnd"/>
      <w:r w:rsidRPr="007F7104">
        <w:rPr>
          <w:sz w:val="20"/>
          <w:szCs w:val="20"/>
        </w:rPr>
        <w:t>: Half a Century of Politics in the Theatre (London: Methuen, 1986), p. 90.</w:t>
      </w:r>
    </w:p>
  </w:endnote>
  <w:endnote w:id="71">
    <w:p w14:paraId="10AB201D" w14:textId="77777777" w:rsidR="00A37404" w:rsidRPr="007F7104" w:rsidRDefault="00A37404" w:rsidP="007F7104">
      <w:pPr>
        <w:pStyle w:val="EndnoteText"/>
        <w:jc w:val="left"/>
        <w:rPr>
          <w:sz w:val="20"/>
          <w:szCs w:val="20"/>
        </w:rPr>
      </w:pPr>
      <w:r w:rsidRPr="007F7104">
        <w:rPr>
          <w:rStyle w:val="EndnoteReference"/>
          <w:sz w:val="20"/>
          <w:szCs w:val="20"/>
        </w:rPr>
        <w:endnoteRef/>
      </w:r>
      <w:r w:rsidRPr="007F7104">
        <w:rPr>
          <w:sz w:val="20"/>
          <w:szCs w:val="20"/>
        </w:rPr>
        <w:t xml:space="preserve"> Felix </w:t>
      </w:r>
      <w:proofErr w:type="spellStart"/>
      <w:r w:rsidRPr="007F7104">
        <w:rPr>
          <w:sz w:val="20"/>
          <w:szCs w:val="20"/>
        </w:rPr>
        <w:t>Gasbarra</w:t>
      </w:r>
      <w:proofErr w:type="spellEnd"/>
      <w:r w:rsidRPr="007F7104">
        <w:rPr>
          <w:sz w:val="20"/>
          <w:szCs w:val="20"/>
        </w:rPr>
        <w:t xml:space="preserve"> quoted in Erwin </w:t>
      </w:r>
      <w:proofErr w:type="spellStart"/>
      <w:r w:rsidRPr="007F7104">
        <w:rPr>
          <w:sz w:val="20"/>
          <w:szCs w:val="20"/>
        </w:rPr>
        <w:t>Piscator</w:t>
      </w:r>
      <w:proofErr w:type="spellEnd"/>
      <w:r w:rsidRPr="007F7104">
        <w:rPr>
          <w:sz w:val="20"/>
          <w:szCs w:val="20"/>
        </w:rPr>
        <w:t xml:space="preserve">, </w:t>
      </w:r>
      <w:r w:rsidRPr="007F7104">
        <w:rPr>
          <w:i/>
          <w:sz w:val="20"/>
          <w:szCs w:val="20"/>
        </w:rPr>
        <w:t>The Political Theatre</w:t>
      </w:r>
      <w:r w:rsidR="009D18EC" w:rsidRPr="007F7104">
        <w:rPr>
          <w:i/>
          <w:sz w:val="20"/>
          <w:szCs w:val="20"/>
        </w:rPr>
        <w:t xml:space="preserve">, </w:t>
      </w:r>
      <w:r w:rsidR="009D18EC" w:rsidRPr="007F7104">
        <w:rPr>
          <w:sz w:val="20"/>
          <w:szCs w:val="20"/>
        </w:rPr>
        <w:t xml:space="preserve">translated by Hugh </w:t>
      </w:r>
      <w:proofErr w:type="spellStart"/>
      <w:r w:rsidR="009D18EC" w:rsidRPr="007F7104">
        <w:rPr>
          <w:sz w:val="20"/>
          <w:szCs w:val="20"/>
        </w:rPr>
        <w:t>Rorrison</w:t>
      </w:r>
      <w:proofErr w:type="spellEnd"/>
      <w:r w:rsidRPr="007F7104">
        <w:rPr>
          <w:i/>
          <w:sz w:val="20"/>
          <w:szCs w:val="20"/>
        </w:rPr>
        <w:t xml:space="preserve"> </w:t>
      </w:r>
      <w:r w:rsidRPr="007F7104">
        <w:rPr>
          <w:sz w:val="20"/>
          <w:szCs w:val="20"/>
        </w:rPr>
        <w:t>(London: Eyre Methuen, 1980), p. 259.</w:t>
      </w:r>
    </w:p>
  </w:endnote>
  <w:endnote w:id="72">
    <w:p w14:paraId="0FFBC39E" w14:textId="77777777" w:rsidR="001F0A75" w:rsidRPr="007F7104" w:rsidRDefault="001F0A75" w:rsidP="007F7104">
      <w:pPr>
        <w:pStyle w:val="EndnoteText"/>
        <w:jc w:val="left"/>
        <w:rPr>
          <w:sz w:val="20"/>
          <w:szCs w:val="20"/>
        </w:rPr>
      </w:pPr>
      <w:r w:rsidRPr="007F7104">
        <w:rPr>
          <w:rStyle w:val="EndnoteReference"/>
          <w:sz w:val="20"/>
          <w:szCs w:val="20"/>
        </w:rPr>
        <w:endnoteRef/>
      </w:r>
      <w:r w:rsidRPr="007F7104">
        <w:rPr>
          <w:sz w:val="20"/>
          <w:szCs w:val="20"/>
        </w:rPr>
        <w:t xml:space="preserve"> Sarah Bryant-</w:t>
      </w:r>
      <w:proofErr w:type="spellStart"/>
      <w:r w:rsidRPr="007F7104">
        <w:rPr>
          <w:sz w:val="20"/>
          <w:szCs w:val="20"/>
        </w:rPr>
        <w:t>Bertail</w:t>
      </w:r>
      <w:proofErr w:type="spellEnd"/>
      <w:r w:rsidRPr="007F7104">
        <w:rPr>
          <w:sz w:val="20"/>
          <w:szCs w:val="20"/>
        </w:rPr>
        <w:t xml:space="preserve">, </w:t>
      </w:r>
      <w:r w:rsidRPr="007F7104">
        <w:rPr>
          <w:i/>
          <w:sz w:val="20"/>
          <w:szCs w:val="20"/>
        </w:rPr>
        <w:t xml:space="preserve">Space and Time in Epic </w:t>
      </w:r>
      <w:proofErr w:type="spellStart"/>
      <w:r w:rsidRPr="007F7104">
        <w:rPr>
          <w:i/>
          <w:sz w:val="20"/>
          <w:szCs w:val="20"/>
        </w:rPr>
        <w:t>Theater</w:t>
      </w:r>
      <w:proofErr w:type="spellEnd"/>
      <w:r w:rsidRPr="007F7104">
        <w:rPr>
          <w:i/>
          <w:sz w:val="20"/>
          <w:szCs w:val="20"/>
        </w:rPr>
        <w:t xml:space="preserve">: The </w:t>
      </w:r>
      <w:proofErr w:type="spellStart"/>
      <w:r w:rsidRPr="007F7104">
        <w:rPr>
          <w:i/>
          <w:sz w:val="20"/>
          <w:szCs w:val="20"/>
        </w:rPr>
        <w:t>Brechtian</w:t>
      </w:r>
      <w:proofErr w:type="spellEnd"/>
      <w:r w:rsidRPr="007F7104">
        <w:rPr>
          <w:i/>
          <w:sz w:val="20"/>
          <w:szCs w:val="20"/>
        </w:rPr>
        <w:t xml:space="preserve"> Legacy </w:t>
      </w:r>
      <w:r w:rsidRPr="007F7104">
        <w:rPr>
          <w:sz w:val="20"/>
          <w:szCs w:val="20"/>
        </w:rPr>
        <w:t xml:space="preserve">(Woodbridge: </w:t>
      </w:r>
      <w:proofErr w:type="spellStart"/>
      <w:r w:rsidRPr="007F7104">
        <w:rPr>
          <w:sz w:val="20"/>
          <w:szCs w:val="20"/>
        </w:rPr>
        <w:t>Boydell</w:t>
      </w:r>
      <w:proofErr w:type="spellEnd"/>
      <w:r w:rsidRPr="007F7104">
        <w:rPr>
          <w:sz w:val="20"/>
          <w:szCs w:val="20"/>
        </w:rPr>
        <w:t xml:space="preserve"> &amp; Brewer, 2000), p. 38.</w:t>
      </w:r>
    </w:p>
  </w:endnote>
  <w:endnote w:id="73">
    <w:p w14:paraId="488C3806" w14:textId="77777777" w:rsidR="001F0A75" w:rsidRPr="007F7104" w:rsidRDefault="001F0A75" w:rsidP="007F7104">
      <w:pPr>
        <w:pStyle w:val="EndnoteText"/>
        <w:jc w:val="left"/>
        <w:rPr>
          <w:sz w:val="20"/>
          <w:szCs w:val="20"/>
        </w:rPr>
      </w:pPr>
      <w:r w:rsidRPr="007F7104">
        <w:rPr>
          <w:rStyle w:val="EndnoteReference"/>
          <w:sz w:val="20"/>
          <w:szCs w:val="20"/>
        </w:rPr>
        <w:endnoteRef/>
      </w:r>
      <w:r w:rsidRPr="007F7104">
        <w:rPr>
          <w:sz w:val="20"/>
          <w:szCs w:val="20"/>
        </w:rPr>
        <w:t xml:space="preserve"> Felix </w:t>
      </w:r>
      <w:proofErr w:type="spellStart"/>
      <w:r w:rsidRPr="007F7104">
        <w:rPr>
          <w:sz w:val="20"/>
          <w:szCs w:val="20"/>
        </w:rPr>
        <w:t>Gasbarra</w:t>
      </w:r>
      <w:proofErr w:type="spellEnd"/>
      <w:r w:rsidRPr="007F7104">
        <w:rPr>
          <w:sz w:val="20"/>
          <w:szCs w:val="20"/>
        </w:rPr>
        <w:t xml:space="preserve"> quoted in </w:t>
      </w:r>
      <w:proofErr w:type="spellStart"/>
      <w:r w:rsidRPr="007F7104">
        <w:rPr>
          <w:sz w:val="20"/>
          <w:szCs w:val="20"/>
        </w:rPr>
        <w:t>Piscator</w:t>
      </w:r>
      <w:proofErr w:type="spellEnd"/>
      <w:r w:rsidRPr="007F7104">
        <w:rPr>
          <w:sz w:val="20"/>
          <w:szCs w:val="20"/>
        </w:rPr>
        <w:t xml:space="preserve">, </w:t>
      </w:r>
      <w:r w:rsidRPr="007F7104">
        <w:rPr>
          <w:i/>
          <w:sz w:val="20"/>
          <w:szCs w:val="20"/>
        </w:rPr>
        <w:t>The Political Theatre</w:t>
      </w:r>
      <w:r w:rsidRPr="007F7104">
        <w:rPr>
          <w:sz w:val="20"/>
          <w:szCs w:val="20"/>
        </w:rPr>
        <w:t xml:space="preserve">, </w:t>
      </w:r>
      <w:proofErr w:type="gramStart"/>
      <w:r w:rsidRPr="007F7104">
        <w:rPr>
          <w:sz w:val="20"/>
          <w:szCs w:val="20"/>
        </w:rPr>
        <w:t>p</w:t>
      </w:r>
      <w:proofErr w:type="gramEnd"/>
      <w:r w:rsidRPr="007F7104">
        <w:rPr>
          <w:sz w:val="20"/>
          <w:szCs w:val="20"/>
        </w:rPr>
        <w:t>. 258.</w:t>
      </w:r>
    </w:p>
  </w:endnote>
  <w:endnote w:id="74">
    <w:p w14:paraId="464E1DCA" w14:textId="77777777" w:rsidR="001F0A75" w:rsidRPr="007F7104" w:rsidRDefault="001F0A75" w:rsidP="007F7104">
      <w:pPr>
        <w:pStyle w:val="EndnoteText"/>
        <w:jc w:val="left"/>
        <w:rPr>
          <w:sz w:val="20"/>
          <w:szCs w:val="20"/>
        </w:rPr>
      </w:pPr>
      <w:r w:rsidRPr="007F7104">
        <w:rPr>
          <w:rStyle w:val="EndnoteReference"/>
          <w:sz w:val="20"/>
          <w:szCs w:val="20"/>
        </w:rPr>
        <w:endnoteRef/>
      </w:r>
      <w:r w:rsidRPr="007F7104">
        <w:rPr>
          <w:sz w:val="20"/>
          <w:szCs w:val="20"/>
        </w:rPr>
        <w:t xml:space="preserve"> Bryant-</w:t>
      </w:r>
      <w:proofErr w:type="spellStart"/>
      <w:r w:rsidRPr="007F7104">
        <w:rPr>
          <w:sz w:val="20"/>
          <w:szCs w:val="20"/>
        </w:rPr>
        <w:t>Bertail</w:t>
      </w:r>
      <w:proofErr w:type="spellEnd"/>
      <w:r w:rsidRPr="007F7104">
        <w:rPr>
          <w:sz w:val="20"/>
          <w:szCs w:val="20"/>
        </w:rPr>
        <w:t xml:space="preserve">, Space and Time in Epic </w:t>
      </w:r>
      <w:proofErr w:type="spellStart"/>
      <w:r w:rsidRPr="007F7104">
        <w:rPr>
          <w:sz w:val="20"/>
          <w:szCs w:val="20"/>
        </w:rPr>
        <w:t>Theater</w:t>
      </w:r>
      <w:proofErr w:type="spellEnd"/>
      <w:r w:rsidRPr="007F7104">
        <w:rPr>
          <w:sz w:val="20"/>
          <w:szCs w:val="20"/>
        </w:rPr>
        <w:t>, p. 41.</w:t>
      </w:r>
    </w:p>
  </w:endnote>
  <w:endnote w:id="75">
    <w:p w14:paraId="3DD99F88" w14:textId="77777777" w:rsidR="00DC4F6F" w:rsidRPr="007F7104" w:rsidRDefault="00DC4F6F" w:rsidP="007F7104">
      <w:pPr>
        <w:pStyle w:val="EndnoteText"/>
        <w:jc w:val="left"/>
        <w:rPr>
          <w:sz w:val="20"/>
          <w:szCs w:val="20"/>
        </w:rPr>
      </w:pPr>
      <w:r w:rsidRPr="007F7104">
        <w:rPr>
          <w:rStyle w:val="EndnoteReference"/>
          <w:sz w:val="20"/>
          <w:szCs w:val="20"/>
        </w:rPr>
        <w:endnoteRef/>
      </w:r>
      <w:r w:rsidRPr="007F7104">
        <w:rPr>
          <w:sz w:val="20"/>
          <w:szCs w:val="20"/>
        </w:rPr>
        <w:t xml:space="preserve"> </w:t>
      </w:r>
      <w:proofErr w:type="gramStart"/>
      <w:r w:rsidRPr="007F7104">
        <w:rPr>
          <w:sz w:val="20"/>
          <w:szCs w:val="20"/>
        </w:rPr>
        <w:t>Ibid.,</w:t>
      </w:r>
      <w:proofErr w:type="gramEnd"/>
      <w:r w:rsidRPr="007F7104">
        <w:rPr>
          <w:sz w:val="20"/>
          <w:szCs w:val="20"/>
        </w:rPr>
        <w:t xml:space="preserve"> p. 50.</w:t>
      </w:r>
    </w:p>
  </w:endnote>
  <w:endnote w:id="76">
    <w:p w14:paraId="60C9F361" w14:textId="77777777" w:rsidR="003A31CB" w:rsidRPr="007F7104" w:rsidRDefault="003A31CB" w:rsidP="007F7104">
      <w:pPr>
        <w:pStyle w:val="EndnoteText"/>
        <w:jc w:val="left"/>
        <w:rPr>
          <w:sz w:val="20"/>
          <w:szCs w:val="20"/>
        </w:rPr>
      </w:pPr>
      <w:r w:rsidRPr="007F7104">
        <w:rPr>
          <w:rStyle w:val="EndnoteReference"/>
          <w:sz w:val="20"/>
          <w:szCs w:val="20"/>
        </w:rPr>
        <w:endnoteRef/>
      </w:r>
      <w:r w:rsidRPr="007F7104">
        <w:rPr>
          <w:sz w:val="20"/>
          <w:szCs w:val="20"/>
        </w:rPr>
        <w:t xml:space="preserve"> </w:t>
      </w:r>
      <w:proofErr w:type="gramStart"/>
      <w:r w:rsidRPr="007F7104">
        <w:rPr>
          <w:sz w:val="20"/>
          <w:szCs w:val="20"/>
        </w:rPr>
        <w:t>Ibid.,</w:t>
      </w:r>
      <w:proofErr w:type="gramEnd"/>
      <w:r w:rsidRPr="007F7104">
        <w:rPr>
          <w:sz w:val="20"/>
          <w:szCs w:val="20"/>
        </w:rPr>
        <w:t xml:space="preserve"> p. 35.</w:t>
      </w:r>
    </w:p>
  </w:endnote>
  <w:endnote w:id="77">
    <w:p w14:paraId="3E8ABB50" w14:textId="77777777" w:rsidR="003A31CB" w:rsidRPr="007F7104" w:rsidRDefault="003A31CB" w:rsidP="007F7104">
      <w:pPr>
        <w:pStyle w:val="EndnoteText"/>
        <w:jc w:val="left"/>
        <w:rPr>
          <w:sz w:val="20"/>
          <w:szCs w:val="20"/>
        </w:rPr>
      </w:pPr>
      <w:r w:rsidRPr="007F7104">
        <w:rPr>
          <w:rStyle w:val="EndnoteReference"/>
          <w:sz w:val="20"/>
          <w:szCs w:val="20"/>
        </w:rPr>
        <w:endnoteRef/>
      </w:r>
      <w:r w:rsidRPr="007F7104">
        <w:rPr>
          <w:sz w:val="20"/>
          <w:szCs w:val="20"/>
        </w:rPr>
        <w:t xml:space="preserve"> </w:t>
      </w:r>
      <w:proofErr w:type="gramStart"/>
      <w:r w:rsidRPr="007F7104">
        <w:rPr>
          <w:sz w:val="20"/>
          <w:szCs w:val="20"/>
        </w:rPr>
        <w:t>Ibid.,</w:t>
      </w:r>
      <w:proofErr w:type="gramEnd"/>
      <w:r w:rsidRPr="007F7104">
        <w:rPr>
          <w:sz w:val="20"/>
          <w:szCs w:val="20"/>
        </w:rPr>
        <w:t xml:space="preserve"> p. 48.</w:t>
      </w:r>
    </w:p>
  </w:endnote>
  <w:endnote w:id="78">
    <w:p w14:paraId="6B40B531" w14:textId="77777777" w:rsidR="003A31CB" w:rsidRPr="007F7104" w:rsidRDefault="003A31CB" w:rsidP="007F7104">
      <w:pPr>
        <w:pStyle w:val="EndnoteText"/>
        <w:jc w:val="left"/>
        <w:rPr>
          <w:sz w:val="20"/>
          <w:szCs w:val="20"/>
        </w:rPr>
      </w:pPr>
      <w:r w:rsidRPr="007F7104">
        <w:rPr>
          <w:rStyle w:val="EndnoteReference"/>
          <w:sz w:val="20"/>
          <w:szCs w:val="20"/>
        </w:rPr>
        <w:endnoteRef/>
      </w:r>
      <w:r w:rsidRPr="007F7104">
        <w:rPr>
          <w:sz w:val="20"/>
          <w:szCs w:val="20"/>
        </w:rPr>
        <w:t xml:space="preserve"> </w:t>
      </w:r>
      <w:proofErr w:type="gramStart"/>
      <w:r w:rsidRPr="007F7104">
        <w:rPr>
          <w:sz w:val="20"/>
          <w:szCs w:val="20"/>
        </w:rPr>
        <w:t>Ibid.,</w:t>
      </w:r>
      <w:proofErr w:type="gramEnd"/>
      <w:r w:rsidRPr="007F7104">
        <w:rPr>
          <w:sz w:val="20"/>
          <w:szCs w:val="20"/>
        </w:rPr>
        <w:t xml:space="preserve"> p. 38.</w:t>
      </w:r>
    </w:p>
  </w:endnote>
  <w:endnote w:id="79">
    <w:p w14:paraId="2C73FD6E" w14:textId="77777777" w:rsidR="003A31CB" w:rsidRPr="007F7104" w:rsidRDefault="003A31CB" w:rsidP="007F7104">
      <w:pPr>
        <w:pStyle w:val="EndnoteText"/>
        <w:jc w:val="left"/>
        <w:rPr>
          <w:sz w:val="20"/>
          <w:szCs w:val="20"/>
        </w:rPr>
      </w:pPr>
      <w:r w:rsidRPr="007F7104">
        <w:rPr>
          <w:rStyle w:val="EndnoteReference"/>
          <w:sz w:val="20"/>
          <w:szCs w:val="20"/>
        </w:rPr>
        <w:endnoteRef/>
      </w:r>
      <w:r w:rsidRPr="007F7104">
        <w:rPr>
          <w:sz w:val="20"/>
          <w:szCs w:val="20"/>
        </w:rPr>
        <w:t xml:space="preserve"> Sheila </w:t>
      </w:r>
      <w:proofErr w:type="spellStart"/>
      <w:r w:rsidRPr="007F7104">
        <w:rPr>
          <w:sz w:val="20"/>
          <w:szCs w:val="20"/>
        </w:rPr>
        <w:t>McAlpine</w:t>
      </w:r>
      <w:proofErr w:type="spellEnd"/>
      <w:r w:rsidRPr="007F7104">
        <w:rPr>
          <w:sz w:val="20"/>
          <w:szCs w:val="20"/>
        </w:rPr>
        <w:t xml:space="preserve">, </w:t>
      </w:r>
      <w:r w:rsidRPr="007F7104">
        <w:rPr>
          <w:i/>
          <w:sz w:val="20"/>
          <w:szCs w:val="20"/>
        </w:rPr>
        <w:t xml:space="preserve">Visual Aids in the Productions of the First </w:t>
      </w:r>
      <w:proofErr w:type="spellStart"/>
      <w:r w:rsidRPr="007F7104">
        <w:rPr>
          <w:i/>
          <w:sz w:val="20"/>
          <w:szCs w:val="20"/>
        </w:rPr>
        <w:t>Piscator-Bühne</w:t>
      </w:r>
      <w:proofErr w:type="spellEnd"/>
      <w:r w:rsidRPr="007F7104">
        <w:rPr>
          <w:i/>
          <w:sz w:val="20"/>
          <w:szCs w:val="20"/>
        </w:rPr>
        <w:t xml:space="preserve">, 1927-28 </w:t>
      </w:r>
      <w:r w:rsidRPr="007F7104">
        <w:rPr>
          <w:sz w:val="20"/>
          <w:szCs w:val="20"/>
        </w:rPr>
        <w:t>(Michigan: The University of Michigan</w:t>
      </w:r>
      <w:r w:rsidR="005D5444" w:rsidRPr="007F7104">
        <w:rPr>
          <w:sz w:val="20"/>
          <w:szCs w:val="20"/>
        </w:rPr>
        <w:t>, 1990</w:t>
      </w:r>
      <w:r w:rsidRPr="007F7104">
        <w:rPr>
          <w:sz w:val="20"/>
          <w:szCs w:val="20"/>
        </w:rPr>
        <w:t>)</w:t>
      </w:r>
      <w:proofErr w:type="gramStart"/>
      <w:r w:rsidRPr="007F7104">
        <w:rPr>
          <w:sz w:val="20"/>
          <w:szCs w:val="20"/>
        </w:rPr>
        <w:t>,p</w:t>
      </w:r>
      <w:proofErr w:type="gramEnd"/>
      <w:r w:rsidRPr="007F7104">
        <w:rPr>
          <w:sz w:val="20"/>
          <w:szCs w:val="20"/>
        </w:rPr>
        <w:t xml:space="preserve">. 210. </w:t>
      </w:r>
    </w:p>
  </w:endnote>
  <w:endnote w:id="80">
    <w:p w14:paraId="78CE3CB3" w14:textId="77777777" w:rsidR="0036608A" w:rsidRPr="007F7104" w:rsidRDefault="0036608A" w:rsidP="007F7104">
      <w:pPr>
        <w:pStyle w:val="EndnoteText"/>
        <w:jc w:val="left"/>
        <w:rPr>
          <w:sz w:val="20"/>
          <w:szCs w:val="20"/>
        </w:rPr>
      </w:pPr>
      <w:r w:rsidRPr="007F7104">
        <w:rPr>
          <w:rStyle w:val="EndnoteReference"/>
          <w:sz w:val="20"/>
          <w:szCs w:val="20"/>
        </w:rPr>
        <w:endnoteRef/>
      </w:r>
      <w:r w:rsidRPr="007F7104">
        <w:rPr>
          <w:sz w:val="20"/>
          <w:szCs w:val="20"/>
        </w:rPr>
        <w:t xml:space="preserve"> </w:t>
      </w:r>
      <w:proofErr w:type="spellStart"/>
      <w:r w:rsidRPr="007F7104">
        <w:rPr>
          <w:sz w:val="20"/>
          <w:szCs w:val="20"/>
        </w:rPr>
        <w:t>Piscator</w:t>
      </w:r>
      <w:proofErr w:type="spellEnd"/>
      <w:r w:rsidRPr="007F7104">
        <w:rPr>
          <w:sz w:val="20"/>
          <w:szCs w:val="20"/>
        </w:rPr>
        <w:t xml:space="preserve">, </w:t>
      </w:r>
      <w:proofErr w:type="gramStart"/>
      <w:r w:rsidRPr="007F7104">
        <w:rPr>
          <w:sz w:val="20"/>
          <w:szCs w:val="20"/>
        </w:rPr>
        <w:t>The</w:t>
      </w:r>
      <w:proofErr w:type="gramEnd"/>
      <w:r w:rsidRPr="007F7104">
        <w:rPr>
          <w:sz w:val="20"/>
          <w:szCs w:val="20"/>
        </w:rPr>
        <w:t xml:space="preserve"> Political Theatre, p. 260.</w:t>
      </w:r>
    </w:p>
  </w:endnote>
  <w:endnote w:id="81">
    <w:p w14:paraId="1AFB93C5" w14:textId="77777777" w:rsidR="0036608A" w:rsidRPr="007F7104" w:rsidRDefault="0036608A" w:rsidP="007F7104">
      <w:pPr>
        <w:pStyle w:val="EndnoteText"/>
        <w:jc w:val="left"/>
        <w:rPr>
          <w:sz w:val="20"/>
          <w:szCs w:val="20"/>
        </w:rPr>
      </w:pPr>
      <w:r w:rsidRPr="007F7104">
        <w:rPr>
          <w:rStyle w:val="EndnoteReference"/>
          <w:sz w:val="20"/>
          <w:szCs w:val="20"/>
        </w:rPr>
        <w:endnoteRef/>
      </w:r>
      <w:r w:rsidRPr="007F7104">
        <w:rPr>
          <w:sz w:val="20"/>
          <w:szCs w:val="20"/>
        </w:rPr>
        <w:t xml:space="preserve"> </w:t>
      </w:r>
      <w:proofErr w:type="spellStart"/>
      <w:r w:rsidRPr="007F7104">
        <w:rPr>
          <w:sz w:val="20"/>
          <w:szCs w:val="20"/>
        </w:rPr>
        <w:t>Bertolt</w:t>
      </w:r>
      <w:proofErr w:type="spellEnd"/>
      <w:r w:rsidRPr="007F7104">
        <w:rPr>
          <w:sz w:val="20"/>
          <w:szCs w:val="20"/>
        </w:rPr>
        <w:t xml:space="preserve"> Brecht, </w:t>
      </w:r>
      <w:r w:rsidRPr="007F7104">
        <w:rPr>
          <w:i/>
          <w:sz w:val="20"/>
          <w:szCs w:val="20"/>
        </w:rPr>
        <w:t>Brecht on Theatre: The Development of an Aesthetic</w:t>
      </w:r>
      <w:r w:rsidR="007B4242" w:rsidRPr="007F7104">
        <w:rPr>
          <w:i/>
          <w:sz w:val="20"/>
          <w:szCs w:val="20"/>
        </w:rPr>
        <w:t xml:space="preserve">, </w:t>
      </w:r>
      <w:r w:rsidR="007B4242" w:rsidRPr="007F7104">
        <w:rPr>
          <w:sz w:val="20"/>
          <w:szCs w:val="20"/>
        </w:rPr>
        <w:t>translated by John Willett, ed.</w:t>
      </w:r>
      <w:r w:rsidRPr="007F7104">
        <w:rPr>
          <w:i/>
          <w:sz w:val="20"/>
          <w:szCs w:val="20"/>
        </w:rPr>
        <w:t xml:space="preserve"> </w:t>
      </w:r>
      <w:r w:rsidRPr="007F7104">
        <w:rPr>
          <w:sz w:val="20"/>
          <w:szCs w:val="20"/>
        </w:rPr>
        <w:t>(</w:t>
      </w:r>
      <w:proofErr w:type="spellStart"/>
      <w:r w:rsidRPr="007F7104">
        <w:rPr>
          <w:sz w:val="20"/>
          <w:szCs w:val="20"/>
        </w:rPr>
        <w:t>Bodmin</w:t>
      </w:r>
      <w:proofErr w:type="spellEnd"/>
      <w:r w:rsidRPr="007F7104">
        <w:rPr>
          <w:sz w:val="20"/>
          <w:szCs w:val="20"/>
        </w:rPr>
        <w:t>: MPG Books, 1964), p. 93.</w:t>
      </w:r>
    </w:p>
  </w:endnote>
  <w:endnote w:id="82">
    <w:p w14:paraId="4060A00B" w14:textId="77777777" w:rsidR="0036608A" w:rsidRPr="007F7104" w:rsidRDefault="0036608A" w:rsidP="007F7104">
      <w:pPr>
        <w:pStyle w:val="EndnoteText"/>
        <w:jc w:val="left"/>
        <w:rPr>
          <w:sz w:val="20"/>
          <w:szCs w:val="20"/>
        </w:rPr>
      </w:pPr>
      <w:r w:rsidRPr="007F7104">
        <w:rPr>
          <w:rStyle w:val="EndnoteReference"/>
          <w:sz w:val="20"/>
          <w:szCs w:val="20"/>
        </w:rPr>
        <w:endnoteRef/>
      </w:r>
      <w:r w:rsidRPr="007F7104">
        <w:rPr>
          <w:sz w:val="20"/>
          <w:szCs w:val="20"/>
        </w:rPr>
        <w:t xml:space="preserve"> Felix </w:t>
      </w:r>
      <w:proofErr w:type="spellStart"/>
      <w:r w:rsidRPr="007F7104">
        <w:rPr>
          <w:sz w:val="20"/>
          <w:szCs w:val="20"/>
        </w:rPr>
        <w:t>Gasbarra</w:t>
      </w:r>
      <w:proofErr w:type="spellEnd"/>
      <w:r w:rsidRPr="007F7104">
        <w:rPr>
          <w:sz w:val="20"/>
          <w:szCs w:val="20"/>
        </w:rPr>
        <w:t xml:space="preserve"> quoted in </w:t>
      </w:r>
      <w:proofErr w:type="spellStart"/>
      <w:r w:rsidRPr="007F7104">
        <w:rPr>
          <w:sz w:val="20"/>
          <w:szCs w:val="20"/>
        </w:rPr>
        <w:t>Piscator</w:t>
      </w:r>
      <w:proofErr w:type="spellEnd"/>
      <w:r w:rsidRPr="007F7104">
        <w:rPr>
          <w:sz w:val="20"/>
          <w:szCs w:val="20"/>
        </w:rPr>
        <w:t xml:space="preserve">, </w:t>
      </w:r>
      <w:r w:rsidRPr="007F7104">
        <w:rPr>
          <w:i/>
          <w:sz w:val="20"/>
          <w:szCs w:val="20"/>
        </w:rPr>
        <w:t>The Political Theatre</w:t>
      </w:r>
      <w:r w:rsidRPr="007F7104">
        <w:rPr>
          <w:sz w:val="20"/>
          <w:szCs w:val="20"/>
        </w:rPr>
        <w:t xml:space="preserve">, </w:t>
      </w:r>
      <w:proofErr w:type="gramStart"/>
      <w:r w:rsidRPr="007F7104">
        <w:rPr>
          <w:sz w:val="20"/>
          <w:szCs w:val="20"/>
        </w:rPr>
        <w:t>p</w:t>
      </w:r>
      <w:proofErr w:type="gramEnd"/>
      <w:r w:rsidRPr="007F7104">
        <w:rPr>
          <w:sz w:val="20"/>
          <w:szCs w:val="20"/>
        </w:rPr>
        <w:t>. 258.</w:t>
      </w:r>
    </w:p>
  </w:endnote>
  <w:endnote w:id="83">
    <w:p w14:paraId="55E897AB" w14:textId="77777777" w:rsidR="0036608A" w:rsidRPr="007F7104" w:rsidRDefault="0036608A" w:rsidP="007F7104">
      <w:pPr>
        <w:pStyle w:val="EndnoteText"/>
        <w:jc w:val="left"/>
        <w:rPr>
          <w:sz w:val="20"/>
          <w:szCs w:val="20"/>
        </w:rPr>
      </w:pPr>
      <w:r w:rsidRPr="007F7104">
        <w:rPr>
          <w:rStyle w:val="EndnoteReference"/>
          <w:sz w:val="20"/>
          <w:szCs w:val="20"/>
        </w:rPr>
        <w:endnoteRef/>
      </w:r>
      <w:r w:rsidRPr="007F7104">
        <w:rPr>
          <w:sz w:val="20"/>
          <w:szCs w:val="20"/>
        </w:rPr>
        <w:t xml:space="preserve"> Alfred </w:t>
      </w:r>
      <w:proofErr w:type="spellStart"/>
      <w:r w:rsidRPr="007F7104">
        <w:rPr>
          <w:sz w:val="20"/>
          <w:szCs w:val="20"/>
        </w:rPr>
        <w:t>Polgar</w:t>
      </w:r>
      <w:proofErr w:type="spellEnd"/>
      <w:r w:rsidRPr="007F7104">
        <w:rPr>
          <w:sz w:val="20"/>
          <w:szCs w:val="20"/>
        </w:rPr>
        <w:t xml:space="preserve"> quoted in </w:t>
      </w:r>
      <w:proofErr w:type="spellStart"/>
      <w:r w:rsidRPr="007F7104">
        <w:rPr>
          <w:sz w:val="20"/>
          <w:szCs w:val="20"/>
        </w:rPr>
        <w:t>Piscator</w:t>
      </w:r>
      <w:proofErr w:type="spellEnd"/>
      <w:r w:rsidRPr="007F7104">
        <w:rPr>
          <w:sz w:val="20"/>
          <w:szCs w:val="20"/>
        </w:rPr>
        <w:t xml:space="preserve">, </w:t>
      </w:r>
      <w:r w:rsidRPr="007F7104">
        <w:rPr>
          <w:i/>
          <w:sz w:val="20"/>
          <w:szCs w:val="20"/>
        </w:rPr>
        <w:t>The Political Theatre</w:t>
      </w:r>
      <w:r w:rsidRPr="007F7104">
        <w:rPr>
          <w:sz w:val="20"/>
          <w:szCs w:val="20"/>
        </w:rPr>
        <w:t xml:space="preserve">, </w:t>
      </w:r>
      <w:proofErr w:type="gramStart"/>
      <w:r w:rsidRPr="007F7104">
        <w:rPr>
          <w:sz w:val="20"/>
          <w:szCs w:val="20"/>
        </w:rPr>
        <w:t>p</w:t>
      </w:r>
      <w:proofErr w:type="gramEnd"/>
      <w:r w:rsidRPr="007F7104">
        <w:rPr>
          <w:sz w:val="20"/>
          <w:szCs w:val="20"/>
        </w:rPr>
        <w:t>. 253.</w:t>
      </w:r>
    </w:p>
  </w:endnote>
  <w:endnote w:id="84">
    <w:p w14:paraId="570F5482" w14:textId="77777777" w:rsidR="0036608A" w:rsidRPr="007F7104" w:rsidRDefault="0036608A" w:rsidP="007F7104">
      <w:pPr>
        <w:pStyle w:val="EndnoteText"/>
        <w:jc w:val="left"/>
        <w:rPr>
          <w:sz w:val="20"/>
          <w:szCs w:val="20"/>
        </w:rPr>
      </w:pPr>
      <w:r w:rsidRPr="007F7104">
        <w:rPr>
          <w:rStyle w:val="EndnoteReference"/>
          <w:sz w:val="20"/>
          <w:szCs w:val="20"/>
        </w:rPr>
        <w:endnoteRef/>
      </w:r>
      <w:r w:rsidRPr="007F7104">
        <w:rPr>
          <w:sz w:val="20"/>
          <w:szCs w:val="20"/>
        </w:rPr>
        <w:t xml:space="preserve"> </w:t>
      </w:r>
      <w:proofErr w:type="spellStart"/>
      <w:r w:rsidRPr="007F7104">
        <w:rPr>
          <w:sz w:val="20"/>
          <w:szCs w:val="20"/>
        </w:rPr>
        <w:t>McAlpine</w:t>
      </w:r>
      <w:proofErr w:type="spellEnd"/>
      <w:r w:rsidRPr="007F7104">
        <w:rPr>
          <w:sz w:val="20"/>
          <w:szCs w:val="20"/>
        </w:rPr>
        <w:t xml:space="preserve">, Visual Aids in the Productions of the First </w:t>
      </w:r>
      <w:proofErr w:type="spellStart"/>
      <w:r w:rsidRPr="007F7104">
        <w:rPr>
          <w:sz w:val="20"/>
          <w:szCs w:val="20"/>
        </w:rPr>
        <w:t>Piscator-Bühne</w:t>
      </w:r>
      <w:proofErr w:type="spellEnd"/>
      <w:r w:rsidRPr="007F7104">
        <w:rPr>
          <w:sz w:val="20"/>
          <w:szCs w:val="20"/>
        </w:rPr>
        <w:t>, 1927-28, p. 223.</w:t>
      </w:r>
    </w:p>
  </w:endnote>
  <w:endnote w:id="85">
    <w:p w14:paraId="0229F3D2" w14:textId="77777777" w:rsidR="00E2432D" w:rsidRPr="007F7104" w:rsidRDefault="00E2432D" w:rsidP="007F7104">
      <w:pPr>
        <w:pStyle w:val="EndnoteText"/>
        <w:jc w:val="left"/>
        <w:rPr>
          <w:sz w:val="20"/>
          <w:szCs w:val="20"/>
        </w:rPr>
      </w:pPr>
      <w:r w:rsidRPr="007F7104">
        <w:rPr>
          <w:rStyle w:val="EndnoteReference"/>
          <w:sz w:val="20"/>
          <w:szCs w:val="20"/>
        </w:rPr>
        <w:endnoteRef/>
      </w:r>
      <w:r w:rsidRPr="007F7104">
        <w:rPr>
          <w:sz w:val="20"/>
          <w:szCs w:val="20"/>
        </w:rPr>
        <w:t xml:space="preserve"> </w:t>
      </w:r>
      <w:r w:rsidR="002F5143" w:rsidRPr="007F7104">
        <w:rPr>
          <w:sz w:val="20"/>
          <w:szCs w:val="20"/>
        </w:rPr>
        <w:t xml:space="preserve">Samuel Beckett, </w:t>
      </w:r>
      <w:r w:rsidR="002F5143" w:rsidRPr="007F7104">
        <w:rPr>
          <w:i/>
          <w:sz w:val="20"/>
          <w:szCs w:val="20"/>
        </w:rPr>
        <w:t xml:space="preserve">Collected Shorter Plays </w:t>
      </w:r>
      <w:r w:rsidR="002F5143" w:rsidRPr="007F7104">
        <w:rPr>
          <w:sz w:val="20"/>
          <w:szCs w:val="20"/>
        </w:rPr>
        <w:t xml:space="preserve">(London: Faber, 1984), p. 239. </w:t>
      </w:r>
      <w:r w:rsidRPr="007F7104">
        <w:rPr>
          <w:sz w:val="20"/>
          <w:szCs w:val="20"/>
        </w:rPr>
        <w:t>Beckett originally had May walking seven steps, but lengthened this to nine in later productions</w:t>
      </w:r>
      <w:r w:rsidR="002F5143" w:rsidRPr="007F7104">
        <w:rPr>
          <w:sz w:val="20"/>
          <w:szCs w:val="20"/>
        </w:rPr>
        <w:t>. See S</w:t>
      </w:r>
      <w:r w:rsidR="00061EEC" w:rsidRPr="007F7104">
        <w:rPr>
          <w:sz w:val="20"/>
          <w:szCs w:val="20"/>
        </w:rPr>
        <w:t>tanley</w:t>
      </w:r>
      <w:r w:rsidR="002F5143" w:rsidRPr="007F7104">
        <w:rPr>
          <w:sz w:val="20"/>
          <w:szCs w:val="20"/>
        </w:rPr>
        <w:t xml:space="preserve"> E</w:t>
      </w:r>
      <w:r w:rsidR="00061EEC" w:rsidRPr="007F7104">
        <w:rPr>
          <w:sz w:val="20"/>
          <w:szCs w:val="20"/>
        </w:rPr>
        <w:t>.</w:t>
      </w:r>
      <w:r w:rsidR="002F5143" w:rsidRPr="007F7104">
        <w:rPr>
          <w:sz w:val="20"/>
          <w:szCs w:val="20"/>
        </w:rPr>
        <w:t xml:space="preserve"> </w:t>
      </w:r>
      <w:proofErr w:type="spellStart"/>
      <w:r w:rsidR="002F5143" w:rsidRPr="007F7104">
        <w:rPr>
          <w:sz w:val="20"/>
          <w:szCs w:val="20"/>
        </w:rPr>
        <w:t>Gontarski</w:t>
      </w:r>
      <w:proofErr w:type="spellEnd"/>
      <w:r w:rsidR="002F5143" w:rsidRPr="007F7104">
        <w:rPr>
          <w:sz w:val="20"/>
          <w:szCs w:val="20"/>
        </w:rPr>
        <w:t xml:space="preserve">, ed., </w:t>
      </w:r>
      <w:proofErr w:type="gramStart"/>
      <w:r w:rsidR="002F5143" w:rsidRPr="007F7104">
        <w:rPr>
          <w:i/>
          <w:sz w:val="20"/>
          <w:szCs w:val="20"/>
        </w:rPr>
        <w:t>The</w:t>
      </w:r>
      <w:proofErr w:type="gramEnd"/>
      <w:r w:rsidR="002F5143" w:rsidRPr="007F7104">
        <w:rPr>
          <w:i/>
          <w:sz w:val="20"/>
          <w:szCs w:val="20"/>
        </w:rPr>
        <w:t xml:space="preserve"> Shorter Plays: With Revised Texts for Footfalls, Come and Go, and What Where </w:t>
      </w:r>
      <w:r w:rsidR="002F5143" w:rsidRPr="007F7104">
        <w:rPr>
          <w:sz w:val="20"/>
          <w:szCs w:val="20"/>
        </w:rPr>
        <w:t>(New York: Grove Press, 1999)</w:t>
      </w:r>
      <w:r w:rsidRPr="007F7104">
        <w:rPr>
          <w:sz w:val="20"/>
          <w:szCs w:val="20"/>
        </w:rPr>
        <w:t xml:space="preserve"> </w:t>
      </w:r>
      <w:r w:rsidR="002F5143" w:rsidRPr="007F7104">
        <w:rPr>
          <w:sz w:val="20"/>
          <w:szCs w:val="20"/>
        </w:rPr>
        <w:t>p. 281</w:t>
      </w:r>
      <w:r w:rsidRPr="007F7104">
        <w:rPr>
          <w:sz w:val="20"/>
          <w:szCs w:val="20"/>
        </w:rPr>
        <w:t>.</w:t>
      </w:r>
    </w:p>
  </w:endnote>
  <w:endnote w:id="86">
    <w:p w14:paraId="1E7B64AE" w14:textId="77777777" w:rsidR="00333C9D" w:rsidRPr="007F7104" w:rsidRDefault="00333C9D" w:rsidP="007F7104">
      <w:pPr>
        <w:pStyle w:val="EndnoteText"/>
        <w:jc w:val="left"/>
        <w:rPr>
          <w:sz w:val="20"/>
          <w:szCs w:val="20"/>
        </w:rPr>
      </w:pPr>
      <w:r w:rsidRPr="007F7104">
        <w:rPr>
          <w:rStyle w:val="EndnoteReference"/>
          <w:sz w:val="20"/>
          <w:szCs w:val="20"/>
        </w:rPr>
        <w:endnoteRef/>
      </w:r>
      <w:r w:rsidRPr="007F7104">
        <w:rPr>
          <w:sz w:val="20"/>
          <w:szCs w:val="20"/>
        </w:rPr>
        <w:t xml:space="preserve"> Enoch </w:t>
      </w:r>
      <w:proofErr w:type="spellStart"/>
      <w:r w:rsidRPr="007F7104">
        <w:rPr>
          <w:sz w:val="20"/>
          <w:szCs w:val="20"/>
        </w:rPr>
        <w:t>Brater</w:t>
      </w:r>
      <w:proofErr w:type="spellEnd"/>
      <w:r w:rsidRPr="007F7104">
        <w:rPr>
          <w:sz w:val="20"/>
          <w:szCs w:val="20"/>
        </w:rPr>
        <w:t xml:space="preserve">, ‘A Footnote to Footfalls: Footsteps of Infinity on Beckett’s Narrow Space’, </w:t>
      </w:r>
      <w:r w:rsidRPr="007F7104">
        <w:rPr>
          <w:i/>
          <w:sz w:val="20"/>
          <w:szCs w:val="20"/>
        </w:rPr>
        <w:t xml:space="preserve">Comparative Drama, </w:t>
      </w:r>
      <w:r w:rsidRPr="007F7104">
        <w:rPr>
          <w:sz w:val="20"/>
          <w:szCs w:val="20"/>
        </w:rPr>
        <w:t>Vol. XII, No. 1, p. 35.</w:t>
      </w:r>
    </w:p>
  </w:endnote>
  <w:endnote w:id="87">
    <w:p w14:paraId="7ED23330" w14:textId="77777777" w:rsidR="00333C9D" w:rsidRPr="007F7104" w:rsidRDefault="00333C9D" w:rsidP="007F7104">
      <w:pPr>
        <w:pStyle w:val="EndnoteText"/>
        <w:jc w:val="left"/>
        <w:rPr>
          <w:sz w:val="20"/>
          <w:szCs w:val="20"/>
        </w:rPr>
      </w:pPr>
      <w:r w:rsidRPr="007F7104">
        <w:rPr>
          <w:rStyle w:val="EndnoteReference"/>
          <w:sz w:val="20"/>
          <w:szCs w:val="20"/>
        </w:rPr>
        <w:endnoteRef/>
      </w:r>
      <w:r w:rsidRPr="007F7104">
        <w:rPr>
          <w:sz w:val="20"/>
          <w:szCs w:val="20"/>
        </w:rPr>
        <w:t xml:space="preserve"> Samuel Beckett, </w:t>
      </w:r>
      <w:r w:rsidRPr="007F7104">
        <w:rPr>
          <w:i/>
          <w:sz w:val="20"/>
          <w:szCs w:val="20"/>
        </w:rPr>
        <w:t>Collected Shorter Plays</w:t>
      </w:r>
      <w:r w:rsidRPr="007F7104">
        <w:rPr>
          <w:sz w:val="20"/>
          <w:szCs w:val="20"/>
        </w:rPr>
        <w:t>, p. 243.</w:t>
      </w:r>
    </w:p>
  </w:endnote>
  <w:endnote w:id="88">
    <w:p w14:paraId="6102B052" w14:textId="77777777" w:rsidR="00410377" w:rsidRPr="007F7104" w:rsidRDefault="00410377" w:rsidP="007F7104">
      <w:pPr>
        <w:pStyle w:val="EndnoteText"/>
        <w:jc w:val="left"/>
        <w:rPr>
          <w:sz w:val="20"/>
          <w:szCs w:val="20"/>
        </w:rPr>
      </w:pPr>
      <w:r w:rsidRPr="007F7104">
        <w:rPr>
          <w:rStyle w:val="EndnoteReference"/>
          <w:sz w:val="20"/>
          <w:szCs w:val="20"/>
        </w:rPr>
        <w:endnoteRef/>
      </w:r>
      <w:r w:rsidRPr="007F7104">
        <w:rPr>
          <w:sz w:val="20"/>
          <w:szCs w:val="20"/>
        </w:rPr>
        <w:t xml:space="preserve"> </w:t>
      </w:r>
      <w:proofErr w:type="spellStart"/>
      <w:r w:rsidRPr="007F7104">
        <w:rPr>
          <w:sz w:val="20"/>
          <w:szCs w:val="20"/>
        </w:rPr>
        <w:t>Brater</w:t>
      </w:r>
      <w:proofErr w:type="spellEnd"/>
      <w:r w:rsidRPr="007F7104">
        <w:rPr>
          <w:sz w:val="20"/>
          <w:szCs w:val="20"/>
        </w:rPr>
        <w:t xml:space="preserve">, ‘A Footnote to Footfalls’, p. 35. </w:t>
      </w:r>
    </w:p>
  </w:endnote>
  <w:endnote w:id="89">
    <w:p w14:paraId="3F332B9B" w14:textId="77777777" w:rsidR="0000466A" w:rsidRPr="007F7104" w:rsidRDefault="0000466A" w:rsidP="007F7104">
      <w:pPr>
        <w:pStyle w:val="EndnoteText"/>
        <w:jc w:val="left"/>
        <w:rPr>
          <w:sz w:val="20"/>
          <w:szCs w:val="20"/>
        </w:rPr>
      </w:pPr>
      <w:r w:rsidRPr="007F7104">
        <w:rPr>
          <w:rStyle w:val="EndnoteReference"/>
          <w:sz w:val="20"/>
          <w:szCs w:val="20"/>
        </w:rPr>
        <w:endnoteRef/>
      </w:r>
      <w:r w:rsidRPr="007F7104">
        <w:rPr>
          <w:sz w:val="20"/>
          <w:szCs w:val="20"/>
        </w:rPr>
        <w:t xml:space="preserve"> Katherine Worth, </w:t>
      </w:r>
      <w:r w:rsidRPr="007F7104">
        <w:rPr>
          <w:i/>
          <w:sz w:val="20"/>
          <w:szCs w:val="20"/>
        </w:rPr>
        <w:t xml:space="preserve">Samuel Beckett’s Theatre: Life Journeys </w:t>
      </w:r>
      <w:r w:rsidRPr="007F7104">
        <w:rPr>
          <w:sz w:val="20"/>
          <w:szCs w:val="20"/>
        </w:rPr>
        <w:t>(Oxford: Clarendon, 2001), p. 93.</w:t>
      </w:r>
    </w:p>
  </w:endnote>
  <w:endnote w:id="90">
    <w:p w14:paraId="291CAFC7" w14:textId="77777777" w:rsidR="0000466A" w:rsidRPr="007F7104" w:rsidRDefault="0000466A" w:rsidP="007F7104">
      <w:pPr>
        <w:pStyle w:val="EndnoteText"/>
        <w:jc w:val="left"/>
        <w:rPr>
          <w:sz w:val="20"/>
          <w:szCs w:val="20"/>
        </w:rPr>
      </w:pPr>
      <w:r w:rsidRPr="007F7104">
        <w:rPr>
          <w:rStyle w:val="EndnoteReference"/>
          <w:sz w:val="20"/>
          <w:szCs w:val="20"/>
        </w:rPr>
        <w:endnoteRef/>
      </w:r>
      <w:r w:rsidRPr="007F7104">
        <w:rPr>
          <w:sz w:val="20"/>
          <w:szCs w:val="20"/>
        </w:rPr>
        <w:t xml:space="preserve"> Samuel Beckett, </w:t>
      </w:r>
      <w:r w:rsidRPr="007F7104">
        <w:rPr>
          <w:i/>
          <w:sz w:val="20"/>
          <w:szCs w:val="20"/>
        </w:rPr>
        <w:t xml:space="preserve">Waiting For </w:t>
      </w:r>
      <w:proofErr w:type="spellStart"/>
      <w:r w:rsidRPr="007F7104">
        <w:rPr>
          <w:i/>
          <w:sz w:val="20"/>
          <w:szCs w:val="20"/>
        </w:rPr>
        <w:t>Godot</w:t>
      </w:r>
      <w:proofErr w:type="spellEnd"/>
      <w:r w:rsidRPr="007F7104">
        <w:rPr>
          <w:i/>
          <w:sz w:val="20"/>
          <w:szCs w:val="20"/>
        </w:rPr>
        <w:t xml:space="preserve">: A Tragicomedy in Two Acts </w:t>
      </w:r>
      <w:r w:rsidRPr="007F7104">
        <w:rPr>
          <w:sz w:val="20"/>
          <w:szCs w:val="20"/>
        </w:rPr>
        <w:t>(London: Faber, 1956), p. 9.</w:t>
      </w:r>
    </w:p>
  </w:endnote>
  <w:endnote w:id="91">
    <w:p w14:paraId="4C90304C" w14:textId="77777777" w:rsidR="00AD1A42" w:rsidRPr="007F7104" w:rsidRDefault="00AD1A42" w:rsidP="007F7104">
      <w:pPr>
        <w:pStyle w:val="EndnoteText"/>
        <w:jc w:val="left"/>
        <w:rPr>
          <w:sz w:val="20"/>
          <w:szCs w:val="20"/>
        </w:rPr>
      </w:pPr>
      <w:r w:rsidRPr="007F7104">
        <w:rPr>
          <w:rStyle w:val="EndnoteReference"/>
          <w:sz w:val="20"/>
          <w:szCs w:val="20"/>
        </w:rPr>
        <w:endnoteRef/>
      </w:r>
      <w:r w:rsidRPr="007F7104">
        <w:rPr>
          <w:sz w:val="20"/>
          <w:szCs w:val="20"/>
        </w:rPr>
        <w:t xml:space="preserve"> Samuel Beckett, </w:t>
      </w:r>
      <w:r w:rsidRPr="007F7104">
        <w:rPr>
          <w:i/>
          <w:sz w:val="20"/>
          <w:szCs w:val="20"/>
        </w:rPr>
        <w:t xml:space="preserve">Endgame </w:t>
      </w:r>
      <w:r w:rsidRPr="007F7104">
        <w:rPr>
          <w:sz w:val="20"/>
          <w:szCs w:val="20"/>
        </w:rPr>
        <w:t>(London: Faber, 1964), p. 11.</w:t>
      </w:r>
    </w:p>
  </w:endnote>
  <w:endnote w:id="92">
    <w:p w14:paraId="5299A6A1" w14:textId="77777777" w:rsidR="005C141F" w:rsidRPr="007F7104" w:rsidRDefault="005C141F" w:rsidP="007F7104">
      <w:pPr>
        <w:pStyle w:val="EndnoteText"/>
        <w:jc w:val="left"/>
        <w:rPr>
          <w:sz w:val="20"/>
          <w:szCs w:val="20"/>
        </w:rPr>
      </w:pPr>
      <w:r w:rsidRPr="007F7104">
        <w:rPr>
          <w:rStyle w:val="EndnoteReference"/>
          <w:sz w:val="20"/>
          <w:szCs w:val="20"/>
        </w:rPr>
        <w:endnoteRef/>
      </w:r>
      <w:r w:rsidRPr="007F7104">
        <w:rPr>
          <w:sz w:val="20"/>
          <w:szCs w:val="20"/>
        </w:rPr>
        <w:t xml:space="preserve"> </w:t>
      </w:r>
      <w:r w:rsidR="00956572" w:rsidRPr="007F7104">
        <w:rPr>
          <w:sz w:val="20"/>
          <w:szCs w:val="20"/>
        </w:rPr>
        <w:t xml:space="preserve">David Pattie, </w:t>
      </w:r>
      <w:r w:rsidR="00956572" w:rsidRPr="007F7104">
        <w:rPr>
          <w:i/>
          <w:sz w:val="20"/>
          <w:szCs w:val="20"/>
        </w:rPr>
        <w:t xml:space="preserve">Samuel Beckett </w:t>
      </w:r>
      <w:r w:rsidR="00956572" w:rsidRPr="007F7104">
        <w:rPr>
          <w:sz w:val="20"/>
          <w:szCs w:val="20"/>
        </w:rPr>
        <w:t>(London: Routledge, 2000), p. 7.</w:t>
      </w:r>
    </w:p>
  </w:endnote>
  <w:endnote w:id="93">
    <w:p w14:paraId="6B9A5237" w14:textId="77777777" w:rsidR="00E2432D" w:rsidRPr="007F7104" w:rsidRDefault="00E2432D" w:rsidP="007F7104">
      <w:pPr>
        <w:pStyle w:val="EndnoteText"/>
        <w:jc w:val="left"/>
        <w:rPr>
          <w:sz w:val="20"/>
          <w:szCs w:val="20"/>
        </w:rPr>
      </w:pPr>
      <w:r w:rsidRPr="007F7104">
        <w:rPr>
          <w:rStyle w:val="EndnoteReference"/>
          <w:sz w:val="20"/>
          <w:szCs w:val="20"/>
        </w:rPr>
        <w:endnoteRef/>
      </w:r>
      <w:r w:rsidRPr="007F7104">
        <w:rPr>
          <w:sz w:val="20"/>
          <w:szCs w:val="20"/>
        </w:rPr>
        <w:t xml:space="preserve"> </w:t>
      </w:r>
      <w:r w:rsidR="0069118D" w:rsidRPr="007F7104">
        <w:rPr>
          <w:sz w:val="20"/>
          <w:szCs w:val="20"/>
        </w:rPr>
        <w:t xml:space="preserve">Deirdre Bair, </w:t>
      </w:r>
      <w:r w:rsidR="0069118D" w:rsidRPr="007F7104">
        <w:rPr>
          <w:i/>
          <w:sz w:val="20"/>
          <w:szCs w:val="20"/>
        </w:rPr>
        <w:t xml:space="preserve">Samuel Beckett: A Biography </w:t>
      </w:r>
      <w:r w:rsidR="0069118D" w:rsidRPr="007F7104">
        <w:rPr>
          <w:sz w:val="20"/>
          <w:szCs w:val="20"/>
        </w:rPr>
        <w:t xml:space="preserve">(London: Cape, 1978), pp. 215-6. </w:t>
      </w:r>
      <w:r w:rsidRPr="007F7104">
        <w:rPr>
          <w:sz w:val="20"/>
          <w:szCs w:val="20"/>
        </w:rPr>
        <w:t xml:space="preserve">After the passing of his father, Beckett was quoted as saying: </w:t>
      </w:r>
      <w:r w:rsidR="0069118D" w:rsidRPr="007F7104">
        <w:rPr>
          <w:sz w:val="20"/>
          <w:szCs w:val="20"/>
        </w:rPr>
        <w:t>‘</w:t>
      </w:r>
      <w:r w:rsidRPr="007F7104">
        <w:rPr>
          <w:sz w:val="20"/>
          <w:szCs w:val="20"/>
        </w:rPr>
        <w:t>I can’t write about him. I can only walk the fields and climb the ditches after him</w:t>
      </w:r>
      <w:r w:rsidR="0069118D" w:rsidRPr="007F7104">
        <w:rPr>
          <w:sz w:val="20"/>
          <w:szCs w:val="20"/>
        </w:rPr>
        <w:t xml:space="preserve">’. See Pattie, </w:t>
      </w:r>
      <w:r w:rsidR="0069118D" w:rsidRPr="007F7104">
        <w:rPr>
          <w:i/>
          <w:sz w:val="20"/>
          <w:szCs w:val="20"/>
        </w:rPr>
        <w:t xml:space="preserve">Samuel Beckett, </w:t>
      </w:r>
      <w:r w:rsidR="0069118D" w:rsidRPr="007F7104">
        <w:rPr>
          <w:sz w:val="20"/>
          <w:szCs w:val="20"/>
        </w:rPr>
        <w:t>p. 22.</w:t>
      </w:r>
    </w:p>
  </w:endnote>
  <w:endnote w:id="94">
    <w:p w14:paraId="1A50FF1E" w14:textId="77777777" w:rsidR="00946E9F" w:rsidRPr="007F7104" w:rsidRDefault="00946E9F" w:rsidP="007F7104">
      <w:pPr>
        <w:pStyle w:val="EndnoteText"/>
        <w:jc w:val="left"/>
        <w:rPr>
          <w:sz w:val="20"/>
          <w:szCs w:val="20"/>
        </w:rPr>
      </w:pPr>
      <w:r w:rsidRPr="007F7104">
        <w:rPr>
          <w:rStyle w:val="EndnoteReference"/>
          <w:sz w:val="20"/>
          <w:szCs w:val="20"/>
        </w:rPr>
        <w:endnoteRef/>
      </w:r>
      <w:r w:rsidRPr="007F7104">
        <w:rPr>
          <w:sz w:val="20"/>
          <w:szCs w:val="20"/>
        </w:rPr>
        <w:t xml:space="preserve"> Bair, Samuel Beckett, p. 10.</w:t>
      </w:r>
    </w:p>
  </w:endnote>
  <w:endnote w:id="95">
    <w:p w14:paraId="3057F48C" w14:textId="77777777" w:rsidR="00297048" w:rsidRPr="007F7104" w:rsidRDefault="00297048" w:rsidP="007F7104">
      <w:pPr>
        <w:pStyle w:val="EndnoteText"/>
        <w:jc w:val="left"/>
        <w:rPr>
          <w:sz w:val="20"/>
          <w:szCs w:val="20"/>
        </w:rPr>
      </w:pPr>
      <w:r w:rsidRPr="007F7104">
        <w:rPr>
          <w:rStyle w:val="EndnoteReference"/>
          <w:sz w:val="20"/>
          <w:szCs w:val="20"/>
        </w:rPr>
        <w:endnoteRef/>
      </w:r>
      <w:r w:rsidRPr="007F7104">
        <w:rPr>
          <w:sz w:val="20"/>
          <w:szCs w:val="20"/>
        </w:rPr>
        <w:t xml:space="preserve"> </w:t>
      </w:r>
      <w:proofErr w:type="gramStart"/>
      <w:r w:rsidRPr="007F7104">
        <w:rPr>
          <w:sz w:val="20"/>
          <w:szCs w:val="20"/>
        </w:rPr>
        <w:t>Ibid.,</w:t>
      </w:r>
      <w:proofErr w:type="gramEnd"/>
      <w:r w:rsidRPr="007F7104">
        <w:rPr>
          <w:sz w:val="20"/>
          <w:szCs w:val="20"/>
        </w:rPr>
        <w:t xml:space="preserve"> p. 23.</w:t>
      </w:r>
    </w:p>
  </w:endnote>
  <w:endnote w:id="96">
    <w:p w14:paraId="394D5FBF" w14:textId="77777777" w:rsidR="00D655E0" w:rsidRPr="007F7104" w:rsidRDefault="00D655E0" w:rsidP="007F7104">
      <w:pPr>
        <w:pStyle w:val="EndnoteText"/>
        <w:jc w:val="left"/>
        <w:rPr>
          <w:sz w:val="20"/>
          <w:szCs w:val="20"/>
        </w:rPr>
      </w:pPr>
      <w:r w:rsidRPr="007F7104">
        <w:rPr>
          <w:rStyle w:val="EndnoteReference"/>
          <w:sz w:val="20"/>
          <w:szCs w:val="20"/>
        </w:rPr>
        <w:endnoteRef/>
      </w:r>
      <w:r w:rsidRPr="007F7104">
        <w:rPr>
          <w:sz w:val="20"/>
          <w:szCs w:val="20"/>
        </w:rPr>
        <w:t xml:space="preserve"> Beckett, Collected Shorter Plays, p. 241.</w:t>
      </w:r>
    </w:p>
  </w:endnote>
  <w:endnote w:id="97">
    <w:p w14:paraId="685F07C3" w14:textId="77777777" w:rsidR="00D655E0" w:rsidRPr="007F7104" w:rsidRDefault="00D655E0" w:rsidP="007F7104">
      <w:pPr>
        <w:pStyle w:val="EndnoteText"/>
        <w:jc w:val="left"/>
        <w:rPr>
          <w:sz w:val="20"/>
          <w:szCs w:val="20"/>
        </w:rPr>
      </w:pPr>
      <w:r w:rsidRPr="007F7104">
        <w:rPr>
          <w:rStyle w:val="EndnoteReference"/>
          <w:sz w:val="20"/>
          <w:szCs w:val="20"/>
        </w:rPr>
        <w:endnoteRef/>
      </w:r>
      <w:r w:rsidRPr="007F7104">
        <w:rPr>
          <w:sz w:val="20"/>
          <w:szCs w:val="20"/>
        </w:rPr>
        <w:t xml:space="preserve"> </w:t>
      </w:r>
      <w:proofErr w:type="gramStart"/>
      <w:r w:rsidRPr="007F7104">
        <w:rPr>
          <w:sz w:val="20"/>
          <w:szCs w:val="20"/>
        </w:rPr>
        <w:t>Ibid.,</w:t>
      </w:r>
      <w:proofErr w:type="gramEnd"/>
      <w:r w:rsidRPr="007F7104">
        <w:rPr>
          <w:sz w:val="20"/>
          <w:szCs w:val="20"/>
        </w:rPr>
        <w:t xml:space="preserve"> p. 241.</w:t>
      </w:r>
    </w:p>
  </w:endnote>
  <w:endnote w:id="98">
    <w:p w14:paraId="20B9BAD4" w14:textId="77777777" w:rsidR="0070167C" w:rsidRPr="007F7104" w:rsidRDefault="0070167C" w:rsidP="007F7104">
      <w:pPr>
        <w:pStyle w:val="EndnoteText"/>
        <w:jc w:val="left"/>
        <w:rPr>
          <w:sz w:val="20"/>
          <w:szCs w:val="20"/>
        </w:rPr>
      </w:pPr>
      <w:r w:rsidRPr="007F7104">
        <w:rPr>
          <w:rStyle w:val="EndnoteReference"/>
          <w:sz w:val="20"/>
          <w:szCs w:val="20"/>
        </w:rPr>
        <w:endnoteRef/>
      </w:r>
      <w:r w:rsidRPr="007F7104">
        <w:rPr>
          <w:sz w:val="20"/>
          <w:szCs w:val="20"/>
        </w:rPr>
        <w:t xml:space="preserve"> Billie Whitelaw quoted in Pattie, </w:t>
      </w:r>
      <w:r w:rsidRPr="007F7104">
        <w:rPr>
          <w:i/>
          <w:sz w:val="20"/>
          <w:szCs w:val="20"/>
        </w:rPr>
        <w:t xml:space="preserve">Samuel Beckett, </w:t>
      </w:r>
      <w:proofErr w:type="gramStart"/>
      <w:r w:rsidRPr="007F7104">
        <w:rPr>
          <w:sz w:val="20"/>
          <w:szCs w:val="20"/>
        </w:rPr>
        <w:t>pp</w:t>
      </w:r>
      <w:proofErr w:type="gramEnd"/>
      <w:r w:rsidRPr="007F7104">
        <w:rPr>
          <w:sz w:val="20"/>
          <w:szCs w:val="20"/>
        </w:rPr>
        <w:t>. 44-5.</w:t>
      </w:r>
    </w:p>
  </w:endnote>
  <w:endnote w:id="99">
    <w:p w14:paraId="10411B94" w14:textId="77777777" w:rsidR="00201D11" w:rsidRPr="007F7104" w:rsidRDefault="00201D11" w:rsidP="007F7104">
      <w:pPr>
        <w:pStyle w:val="EndnoteText"/>
        <w:jc w:val="left"/>
        <w:rPr>
          <w:sz w:val="20"/>
          <w:szCs w:val="20"/>
        </w:rPr>
      </w:pPr>
      <w:r w:rsidRPr="007F7104">
        <w:rPr>
          <w:rStyle w:val="EndnoteReference"/>
          <w:sz w:val="20"/>
          <w:szCs w:val="20"/>
        </w:rPr>
        <w:endnoteRef/>
      </w:r>
      <w:r w:rsidRPr="007F7104">
        <w:rPr>
          <w:sz w:val="20"/>
          <w:szCs w:val="20"/>
        </w:rPr>
        <w:t xml:space="preserve"> </w:t>
      </w:r>
      <w:proofErr w:type="spellStart"/>
      <w:r w:rsidRPr="007F7104">
        <w:rPr>
          <w:sz w:val="20"/>
          <w:szCs w:val="20"/>
        </w:rPr>
        <w:t>Brater</w:t>
      </w:r>
      <w:proofErr w:type="spellEnd"/>
      <w:r w:rsidRPr="007F7104">
        <w:rPr>
          <w:sz w:val="20"/>
          <w:szCs w:val="20"/>
        </w:rPr>
        <w:t>, ‘A Footnote to Footfalls’, p. 35.</w:t>
      </w:r>
    </w:p>
  </w:endnote>
  <w:endnote w:id="100">
    <w:p w14:paraId="2CCBB7F6" w14:textId="77777777" w:rsidR="00767664" w:rsidRPr="007F7104" w:rsidRDefault="00767664" w:rsidP="007F7104">
      <w:pPr>
        <w:pStyle w:val="EndnoteText"/>
        <w:jc w:val="left"/>
        <w:rPr>
          <w:sz w:val="20"/>
          <w:szCs w:val="20"/>
        </w:rPr>
      </w:pPr>
      <w:r w:rsidRPr="007F7104">
        <w:rPr>
          <w:rStyle w:val="EndnoteReference"/>
          <w:sz w:val="20"/>
          <w:szCs w:val="20"/>
        </w:rPr>
        <w:endnoteRef/>
      </w:r>
      <w:r w:rsidRPr="007F7104">
        <w:rPr>
          <w:sz w:val="20"/>
          <w:szCs w:val="20"/>
        </w:rPr>
        <w:t xml:space="preserve"> Beckett, Collected Shorter Plays, p. 239.</w:t>
      </w:r>
    </w:p>
  </w:endnote>
  <w:endnote w:id="101">
    <w:p w14:paraId="1E5D1EE1" w14:textId="77777777" w:rsidR="00010FD5" w:rsidRPr="007F7104" w:rsidRDefault="00010FD5" w:rsidP="007F7104">
      <w:pPr>
        <w:pStyle w:val="EndnoteText"/>
        <w:jc w:val="left"/>
        <w:rPr>
          <w:sz w:val="20"/>
          <w:szCs w:val="20"/>
        </w:rPr>
      </w:pPr>
      <w:r w:rsidRPr="007F7104">
        <w:rPr>
          <w:rStyle w:val="EndnoteReference"/>
          <w:sz w:val="20"/>
          <w:szCs w:val="20"/>
        </w:rPr>
        <w:endnoteRef/>
      </w:r>
      <w:r w:rsidRPr="007F7104">
        <w:rPr>
          <w:sz w:val="20"/>
          <w:szCs w:val="20"/>
        </w:rPr>
        <w:t xml:space="preserve"> </w:t>
      </w:r>
      <w:proofErr w:type="gramStart"/>
      <w:r w:rsidRPr="007F7104">
        <w:rPr>
          <w:sz w:val="20"/>
          <w:szCs w:val="20"/>
        </w:rPr>
        <w:t>Ibid.,</w:t>
      </w:r>
      <w:proofErr w:type="gramEnd"/>
      <w:r w:rsidRPr="007F7104">
        <w:rPr>
          <w:sz w:val="20"/>
          <w:szCs w:val="20"/>
        </w:rPr>
        <w:t xml:space="preserve"> p. 240.</w:t>
      </w:r>
    </w:p>
  </w:endnote>
  <w:endnote w:id="102">
    <w:p w14:paraId="75764E4A" w14:textId="77777777" w:rsidR="00010FD5" w:rsidRPr="007F7104" w:rsidRDefault="00010FD5" w:rsidP="007F7104">
      <w:pPr>
        <w:pStyle w:val="EndnoteText"/>
        <w:jc w:val="left"/>
        <w:rPr>
          <w:sz w:val="20"/>
          <w:szCs w:val="20"/>
        </w:rPr>
      </w:pPr>
      <w:r w:rsidRPr="007F7104">
        <w:rPr>
          <w:rStyle w:val="EndnoteReference"/>
          <w:sz w:val="20"/>
          <w:szCs w:val="20"/>
        </w:rPr>
        <w:endnoteRef/>
      </w:r>
      <w:r w:rsidRPr="007F7104">
        <w:rPr>
          <w:sz w:val="20"/>
          <w:szCs w:val="20"/>
        </w:rPr>
        <w:t xml:space="preserve"> </w:t>
      </w:r>
      <w:proofErr w:type="gramStart"/>
      <w:r w:rsidRPr="007F7104">
        <w:rPr>
          <w:sz w:val="20"/>
          <w:szCs w:val="20"/>
        </w:rPr>
        <w:t>Ibid.,</w:t>
      </w:r>
      <w:proofErr w:type="gramEnd"/>
      <w:r w:rsidRPr="007F7104">
        <w:rPr>
          <w:sz w:val="20"/>
          <w:szCs w:val="20"/>
        </w:rPr>
        <w:t xml:space="preserve"> p. 243.</w:t>
      </w:r>
    </w:p>
  </w:endnote>
  <w:endnote w:id="103">
    <w:p w14:paraId="56A661B2" w14:textId="77777777" w:rsidR="003737EC" w:rsidRPr="007F7104" w:rsidRDefault="003737EC" w:rsidP="007F7104">
      <w:pPr>
        <w:pStyle w:val="EndnoteText"/>
        <w:jc w:val="left"/>
        <w:rPr>
          <w:sz w:val="20"/>
          <w:szCs w:val="20"/>
        </w:rPr>
      </w:pPr>
      <w:r w:rsidRPr="007F7104">
        <w:rPr>
          <w:rStyle w:val="EndnoteReference"/>
          <w:sz w:val="20"/>
          <w:szCs w:val="20"/>
        </w:rPr>
        <w:endnoteRef/>
      </w:r>
      <w:r w:rsidRPr="007F7104">
        <w:rPr>
          <w:sz w:val="20"/>
          <w:szCs w:val="20"/>
        </w:rPr>
        <w:t xml:space="preserve"> </w:t>
      </w:r>
      <w:proofErr w:type="gramStart"/>
      <w:r w:rsidRPr="007F7104">
        <w:rPr>
          <w:sz w:val="20"/>
          <w:szCs w:val="20"/>
        </w:rPr>
        <w:t>Worth, Samuel Beckett’s Theatre, p. 93.</w:t>
      </w:r>
      <w:proofErr w:type="gramEnd"/>
    </w:p>
  </w:endnote>
  <w:endnote w:id="104">
    <w:p w14:paraId="47FECA65" w14:textId="77777777" w:rsidR="005A30F6" w:rsidRPr="007F7104" w:rsidRDefault="005A30F6" w:rsidP="007F7104">
      <w:pPr>
        <w:pStyle w:val="EndnoteText"/>
        <w:jc w:val="left"/>
        <w:rPr>
          <w:sz w:val="20"/>
          <w:szCs w:val="20"/>
        </w:rPr>
      </w:pPr>
      <w:r w:rsidRPr="007F7104">
        <w:rPr>
          <w:rStyle w:val="EndnoteReference"/>
          <w:sz w:val="20"/>
          <w:szCs w:val="20"/>
        </w:rPr>
        <w:endnoteRef/>
      </w:r>
      <w:r w:rsidRPr="007F7104">
        <w:rPr>
          <w:sz w:val="20"/>
          <w:szCs w:val="20"/>
        </w:rPr>
        <w:t xml:space="preserve"> Samuel Beckett quoted in </w:t>
      </w:r>
      <w:proofErr w:type="spellStart"/>
      <w:r w:rsidRPr="007F7104">
        <w:rPr>
          <w:sz w:val="20"/>
          <w:szCs w:val="20"/>
        </w:rPr>
        <w:t>Brater</w:t>
      </w:r>
      <w:proofErr w:type="spellEnd"/>
      <w:r w:rsidRPr="007F7104">
        <w:rPr>
          <w:sz w:val="20"/>
          <w:szCs w:val="20"/>
        </w:rPr>
        <w:t xml:space="preserve">, </w:t>
      </w:r>
      <w:r w:rsidR="00992A43" w:rsidRPr="007F7104">
        <w:rPr>
          <w:sz w:val="20"/>
          <w:szCs w:val="20"/>
        </w:rPr>
        <w:t>‘A Footnote to Footfalls</w:t>
      </w:r>
      <w:r w:rsidRPr="007F7104">
        <w:rPr>
          <w:sz w:val="20"/>
          <w:szCs w:val="20"/>
        </w:rPr>
        <w:t>’, p. 39.</w:t>
      </w:r>
    </w:p>
  </w:endnote>
  <w:endnote w:id="105">
    <w:p w14:paraId="14A771A4" w14:textId="77777777" w:rsidR="005A30F6" w:rsidRPr="007F7104" w:rsidRDefault="005A30F6" w:rsidP="007F7104">
      <w:pPr>
        <w:pStyle w:val="EndnoteText"/>
        <w:jc w:val="left"/>
        <w:rPr>
          <w:sz w:val="20"/>
          <w:szCs w:val="20"/>
        </w:rPr>
      </w:pPr>
      <w:r w:rsidRPr="007F7104">
        <w:rPr>
          <w:rStyle w:val="EndnoteReference"/>
          <w:sz w:val="20"/>
          <w:szCs w:val="20"/>
        </w:rPr>
        <w:endnoteRef/>
      </w:r>
      <w:r w:rsidRPr="007F7104">
        <w:rPr>
          <w:sz w:val="20"/>
          <w:szCs w:val="20"/>
        </w:rPr>
        <w:t xml:space="preserve"> Billie Whitelaw quoted in </w:t>
      </w:r>
      <w:r w:rsidR="00266A1A" w:rsidRPr="007F7104">
        <w:rPr>
          <w:sz w:val="20"/>
          <w:szCs w:val="20"/>
        </w:rPr>
        <w:t xml:space="preserve">Mary </w:t>
      </w:r>
      <w:proofErr w:type="spellStart"/>
      <w:r w:rsidR="00266A1A" w:rsidRPr="007F7104">
        <w:rPr>
          <w:sz w:val="20"/>
          <w:szCs w:val="20"/>
        </w:rPr>
        <w:t>Bryden</w:t>
      </w:r>
      <w:proofErr w:type="spellEnd"/>
      <w:r w:rsidR="00266A1A" w:rsidRPr="007F7104">
        <w:rPr>
          <w:sz w:val="20"/>
          <w:szCs w:val="20"/>
        </w:rPr>
        <w:t xml:space="preserve">, ed., </w:t>
      </w:r>
      <w:r w:rsidR="00266A1A" w:rsidRPr="007F7104">
        <w:rPr>
          <w:i/>
          <w:sz w:val="20"/>
          <w:szCs w:val="20"/>
        </w:rPr>
        <w:t xml:space="preserve">Samuel Beckett and Music </w:t>
      </w:r>
      <w:r w:rsidR="00266A1A" w:rsidRPr="007F7104">
        <w:rPr>
          <w:sz w:val="20"/>
          <w:szCs w:val="20"/>
        </w:rPr>
        <w:t>(Oxford: Oxford University Press, 1998)</w:t>
      </w:r>
      <w:r w:rsidR="00B55FB2" w:rsidRPr="007F7104">
        <w:rPr>
          <w:sz w:val="20"/>
          <w:szCs w:val="20"/>
        </w:rPr>
        <w:t>, pp. 2-3</w:t>
      </w:r>
      <w:r w:rsidR="00266A1A" w:rsidRPr="007F7104">
        <w:rPr>
          <w:sz w:val="20"/>
          <w:szCs w:val="20"/>
        </w:rPr>
        <w:t>.</w:t>
      </w:r>
    </w:p>
  </w:endnote>
  <w:endnote w:id="106">
    <w:p w14:paraId="76BF5819" w14:textId="77777777" w:rsidR="00D82DDE" w:rsidRPr="007F7104" w:rsidRDefault="00D82DDE" w:rsidP="007F7104">
      <w:pPr>
        <w:pStyle w:val="EndnoteText"/>
        <w:jc w:val="left"/>
        <w:rPr>
          <w:sz w:val="20"/>
          <w:szCs w:val="20"/>
        </w:rPr>
      </w:pPr>
      <w:r w:rsidRPr="007F7104">
        <w:rPr>
          <w:rStyle w:val="EndnoteReference"/>
          <w:sz w:val="20"/>
          <w:szCs w:val="20"/>
        </w:rPr>
        <w:endnoteRef/>
      </w:r>
      <w:r w:rsidRPr="007F7104">
        <w:rPr>
          <w:sz w:val="20"/>
          <w:szCs w:val="20"/>
        </w:rPr>
        <w:t xml:space="preserve"> Samuel Beckett quoted in S</w:t>
      </w:r>
      <w:r w:rsidR="00992A43" w:rsidRPr="007F7104">
        <w:rPr>
          <w:sz w:val="20"/>
          <w:szCs w:val="20"/>
        </w:rPr>
        <w:t>teven</w:t>
      </w:r>
      <w:r w:rsidRPr="007F7104">
        <w:rPr>
          <w:sz w:val="20"/>
          <w:szCs w:val="20"/>
        </w:rPr>
        <w:t xml:space="preserve"> Connor, </w:t>
      </w:r>
      <w:r w:rsidRPr="007F7104">
        <w:rPr>
          <w:i/>
          <w:sz w:val="20"/>
          <w:szCs w:val="20"/>
        </w:rPr>
        <w:t xml:space="preserve">Samuel Beckett: Repetition, Theory and Text </w:t>
      </w:r>
      <w:r w:rsidRPr="007F7104">
        <w:rPr>
          <w:sz w:val="20"/>
          <w:szCs w:val="20"/>
        </w:rPr>
        <w:t>(Oxford: Basil Blackwell, 1988), p. 154.</w:t>
      </w:r>
    </w:p>
  </w:endnote>
  <w:endnote w:id="107">
    <w:p w14:paraId="25A3A7C7" w14:textId="77777777" w:rsidR="00992A43" w:rsidRPr="007F7104" w:rsidRDefault="00992A43" w:rsidP="007F7104">
      <w:pPr>
        <w:pStyle w:val="EndnoteText"/>
        <w:jc w:val="left"/>
        <w:rPr>
          <w:sz w:val="20"/>
          <w:szCs w:val="20"/>
        </w:rPr>
      </w:pPr>
      <w:r w:rsidRPr="007F7104">
        <w:rPr>
          <w:rStyle w:val="EndnoteReference"/>
          <w:sz w:val="20"/>
          <w:szCs w:val="20"/>
        </w:rPr>
        <w:endnoteRef/>
      </w:r>
      <w:r w:rsidRPr="007F7104">
        <w:rPr>
          <w:sz w:val="20"/>
          <w:szCs w:val="20"/>
        </w:rPr>
        <w:t xml:space="preserve"> </w:t>
      </w:r>
      <w:proofErr w:type="spellStart"/>
      <w:r w:rsidRPr="007F7104">
        <w:rPr>
          <w:sz w:val="20"/>
          <w:szCs w:val="20"/>
        </w:rPr>
        <w:t>Brater</w:t>
      </w:r>
      <w:proofErr w:type="spellEnd"/>
      <w:r w:rsidRPr="007F7104">
        <w:rPr>
          <w:sz w:val="20"/>
          <w:szCs w:val="20"/>
        </w:rPr>
        <w:t>, ‘A Footnote to Footfalls’, p. 37.</w:t>
      </w:r>
    </w:p>
  </w:endnote>
  <w:endnote w:id="108">
    <w:p w14:paraId="126837F7" w14:textId="77777777" w:rsidR="009E474A" w:rsidRPr="007F7104" w:rsidRDefault="009E474A" w:rsidP="007F7104">
      <w:pPr>
        <w:pStyle w:val="EndnoteText"/>
        <w:jc w:val="left"/>
        <w:rPr>
          <w:sz w:val="20"/>
          <w:szCs w:val="20"/>
        </w:rPr>
      </w:pPr>
      <w:r w:rsidRPr="007F7104">
        <w:rPr>
          <w:rStyle w:val="EndnoteReference"/>
          <w:sz w:val="20"/>
          <w:szCs w:val="20"/>
        </w:rPr>
        <w:endnoteRef/>
      </w:r>
      <w:r w:rsidRPr="007F7104">
        <w:rPr>
          <w:sz w:val="20"/>
          <w:szCs w:val="20"/>
        </w:rPr>
        <w:t xml:space="preserve"> Matthew Earnest, personal communication with author (2011).</w:t>
      </w:r>
    </w:p>
  </w:endnote>
  <w:endnote w:id="109">
    <w:p w14:paraId="4337BAD3" w14:textId="77777777" w:rsidR="009E474A" w:rsidRPr="007F7104" w:rsidRDefault="009E474A" w:rsidP="007F7104">
      <w:pPr>
        <w:pStyle w:val="EndnoteText"/>
        <w:jc w:val="left"/>
        <w:rPr>
          <w:sz w:val="20"/>
          <w:szCs w:val="20"/>
        </w:rPr>
      </w:pPr>
      <w:r w:rsidRPr="007F7104">
        <w:rPr>
          <w:rStyle w:val="EndnoteReference"/>
          <w:sz w:val="20"/>
          <w:szCs w:val="20"/>
        </w:rPr>
        <w:endnoteRef/>
      </w:r>
      <w:r w:rsidRPr="007F7104">
        <w:rPr>
          <w:sz w:val="20"/>
          <w:szCs w:val="20"/>
        </w:rPr>
        <w:t xml:space="preserve"> Francisco </w:t>
      </w:r>
      <w:proofErr w:type="spellStart"/>
      <w:r w:rsidRPr="007F7104">
        <w:rPr>
          <w:sz w:val="20"/>
          <w:szCs w:val="20"/>
        </w:rPr>
        <w:t>Careri</w:t>
      </w:r>
      <w:proofErr w:type="spellEnd"/>
      <w:r w:rsidRPr="007F7104">
        <w:rPr>
          <w:sz w:val="20"/>
          <w:szCs w:val="20"/>
        </w:rPr>
        <w:t xml:space="preserve">, </w:t>
      </w:r>
      <w:proofErr w:type="spellStart"/>
      <w:r w:rsidRPr="007F7104">
        <w:rPr>
          <w:i/>
          <w:sz w:val="20"/>
          <w:szCs w:val="20"/>
        </w:rPr>
        <w:t>Walkscapes</w:t>
      </w:r>
      <w:proofErr w:type="spellEnd"/>
      <w:r w:rsidRPr="007F7104">
        <w:rPr>
          <w:i/>
          <w:sz w:val="20"/>
          <w:szCs w:val="20"/>
        </w:rPr>
        <w:t xml:space="preserve">: Walking as an Aesthetic Practice, </w:t>
      </w:r>
      <w:r w:rsidRPr="007F7104">
        <w:rPr>
          <w:sz w:val="20"/>
          <w:szCs w:val="20"/>
        </w:rPr>
        <w:t>translated from Spanish by Steve Piccolo and Paul Hammond (</w:t>
      </w:r>
      <w:proofErr w:type="gramStart"/>
      <w:r w:rsidRPr="007F7104">
        <w:rPr>
          <w:color w:val="202020"/>
          <w:sz w:val="20"/>
          <w:szCs w:val="20"/>
        </w:rPr>
        <w:t>Barcelona :</w:t>
      </w:r>
      <w:proofErr w:type="gramEnd"/>
      <w:r w:rsidRPr="007F7104">
        <w:rPr>
          <w:color w:val="202020"/>
          <w:sz w:val="20"/>
          <w:szCs w:val="20"/>
        </w:rPr>
        <w:t xml:space="preserve"> Editorial </w:t>
      </w:r>
      <w:proofErr w:type="spellStart"/>
      <w:r w:rsidRPr="007F7104">
        <w:rPr>
          <w:color w:val="202020"/>
          <w:sz w:val="20"/>
          <w:szCs w:val="20"/>
        </w:rPr>
        <w:t>Gustava</w:t>
      </w:r>
      <w:proofErr w:type="spellEnd"/>
      <w:r w:rsidRPr="007F7104">
        <w:rPr>
          <w:color w:val="202020"/>
          <w:sz w:val="20"/>
          <w:szCs w:val="20"/>
        </w:rPr>
        <w:t xml:space="preserve"> </w:t>
      </w:r>
      <w:proofErr w:type="spellStart"/>
      <w:r w:rsidRPr="007F7104">
        <w:rPr>
          <w:color w:val="202020"/>
          <w:sz w:val="20"/>
          <w:szCs w:val="20"/>
        </w:rPr>
        <w:t>Gili</w:t>
      </w:r>
      <w:proofErr w:type="spellEnd"/>
      <w:r w:rsidRPr="007F7104">
        <w:rPr>
          <w:color w:val="202020"/>
          <w:sz w:val="20"/>
          <w:szCs w:val="20"/>
        </w:rPr>
        <w:t xml:space="preserve">, GG, </w:t>
      </w:r>
      <w:r w:rsidRPr="007F7104">
        <w:rPr>
          <w:sz w:val="20"/>
          <w:szCs w:val="20"/>
        </w:rPr>
        <w:t>2009)</w:t>
      </w:r>
      <w:r w:rsidR="00E33BAE" w:rsidRPr="007F7104">
        <w:rPr>
          <w:sz w:val="20"/>
          <w:szCs w:val="20"/>
        </w:rPr>
        <w:t>,</w:t>
      </w:r>
      <w:r w:rsidRPr="007F7104">
        <w:rPr>
          <w:sz w:val="20"/>
          <w:szCs w:val="20"/>
        </w:rPr>
        <w:t xml:space="preserve"> p. 44.</w:t>
      </w:r>
    </w:p>
  </w:endnote>
  <w:endnote w:id="110">
    <w:p w14:paraId="4C06FE0E" w14:textId="77777777" w:rsidR="00E33BAE" w:rsidRPr="007F7104" w:rsidRDefault="00E33BAE" w:rsidP="007F7104">
      <w:pPr>
        <w:pStyle w:val="EndnoteText"/>
        <w:jc w:val="left"/>
        <w:rPr>
          <w:sz w:val="20"/>
          <w:szCs w:val="20"/>
        </w:rPr>
      </w:pPr>
      <w:r w:rsidRPr="007F7104">
        <w:rPr>
          <w:rStyle w:val="EndnoteReference"/>
          <w:sz w:val="20"/>
          <w:szCs w:val="20"/>
        </w:rPr>
        <w:endnoteRef/>
      </w:r>
      <w:r w:rsidRPr="007F7104">
        <w:rPr>
          <w:sz w:val="20"/>
          <w:szCs w:val="20"/>
        </w:rPr>
        <w:t xml:space="preserve"> Marc </w:t>
      </w:r>
      <w:proofErr w:type="spellStart"/>
      <w:r w:rsidRPr="007F7104">
        <w:rPr>
          <w:sz w:val="20"/>
          <w:szCs w:val="20"/>
        </w:rPr>
        <w:t>Augé</w:t>
      </w:r>
      <w:proofErr w:type="spellEnd"/>
      <w:r w:rsidRPr="007F7104">
        <w:rPr>
          <w:sz w:val="20"/>
          <w:szCs w:val="20"/>
        </w:rPr>
        <w:t xml:space="preserve">, </w:t>
      </w:r>
      <w:r w:rsidRPr="007F7104">
        <w:rPr>
          <w:i/>
          <w:sz w:val="20"/>
          <w:szCs w:val="20"/>
        </w:rPr>
        <w:t xml:space="preserve">Non-Places: Introduction to an Anthropology of </w:t>
      </w:r>
      <w:proofErr w:type="spellStart"/>
      <w:r w:rsidRPr="007F7104">
        <w:rPr>
          <w:i/>
          <w:sz w:val="20"/>
          <w:szCs w:val="20"/>
        </w:rPr>
        <w:t>Supermodernity</w:t>
      </w:r>
      <w:proofErr w:type="spellEnd"/>
      <w:r w:rsidRPr="007F7104">
        <w:rPr>
          <w:i/>
          <w:sz w:val="20"/>
          <w:szCs w:val="20"/>
        </w:rPr>
        <w:t xml:space="preserve">, </w:t>
      </w:r>
      <w:r w:rsidRPr="007F7104">
        <w:rPr>
          <w:sz w:val="20"/>
          <w:szCs w:val="20"/>
        </w:rPr>
        <w:t>translated from the French by J</w:t>
      </w:r>
      <w:r w:rsidR="00E1081E" w:rsidRPr="007F7104">
        <w:rPr>
          <w:sz w:val="20"/>
          <w:szCs w:val="20"/>
        </w:rPr>
        <w:t>ohn</w:t>
      </w:r>
      <w:r w:rsidRPr="007F7104">
        <w:rPr>
          <w:sz w:val="20"/>
          <w:szCs w:val="20"/>
        </w:rPr>
        <w:t xml:space="preserve"> Howe</w:t>
      </w:r>
      <w:r w:rsidRPr="007F7104">
        <w:rPr>
          <w:i/>
          <w:sz w:val="20"/>
          <w:szCs w:val="20"/>
        </w:rPr>
        <w:t xml:space="preserve"> </w:t>
      </w:r>
      <w:r w:rsidRPr="007F7104">
        <w:rPr>
          <w:sz w:val="20"/>
          <w:szCs w:val="20"/>
        </w:rPr>
        <w:t>(London: Verso), p. 28.</w:t>
      </w:r>
    </w:p>
  </w:endnote>
  <w:endnote w:id="111">
    <w:p w14:paraId="434D2AEA" w14:textId="77777777" w:rsidR="00E1081E" w:rsidRPr="007F7104" w:rsidRDefault="00E1081E" w:rsidP="007F7104">
      <w:pPr>
        <w:pStyle w:val="EndnoteText"/>
        <w:jc w:val="left"/>
        <w:rPr>
          <w:sz w:val="20"/>
          <w:szCs w:val="20"/>
        </w:rPr>
      </w:pPr>
      <w:r w:rsidRPr="007F7104">
        <w:rPr>
          <w:rStyle w:val="EndnoteReference"/>
          <w:sz w:val="20"/>
          <w:szCs w:val="20"/>
        </w:rPr>
        <w:endnoteRef/>
      </w:r>
      <w:r w:rsidRPr="007F7104">
        <w:rPr>
          <w:sz w:val="20"/>
          <w:szCs w:val="20"/>
        </w:rPr>
        <w:t xml:space="preserve"> </w:t>
      </w:r>
      <w:proofErr w:type="gramStart"/>
      <w:r w:rsidRPr="007F7104">
        <w:rPr>
          <w:sz w:val="20"/>
          <w:szCs w:val="20"/>
        </w:rPr>
        <w:t>Ibid.,</w:t>
      </w:r>
      <w:proofErr w:type="gramEnd"/>
      <w:r w:rsidRPr="007F7104">
        <w:rPr>
          <w:sz w:val="20"/>
          <w:szCs w:val="20"/>
        </w:rPr>
        <w:t xml:space="preserve"> p. 31.</w:t>
      </w:r>
    </w:p>
  </w:endnote>
  <w:endnote w:id="112">
    <w:p w14:paraId="027425F5" w14:textId="77777777" w:rsidR="00E1081E" w:rsidRPr="007F7104" w:rsidRDefault="00E1081E" w:rsidP="007F7104">
      <w:pPr>
        <w:pStyle w:val="EndnoteText"/>
        <w:jc w:val="left"/>
        <w:rPr>
          <w:sz w:val="20"/>
          <w:szCs w:val="20"/>
        </w:rPr>
      </w:pPr>
      <w:r w:rsidRPr="007F7104">
        <w:rPr>
          <w:rStyle w:val="EndnoteReference"/>
          <w:sz w:val="20"/>
          <w:szCs w:val="20"/>
        </w:rPr>
        <w:endnoteRef/>
      </w:r>
      <w:r w:rsidRPr="007F7104">
        <w:rPr>
          <w:sz w:val="20"/>
          <w:szCs w:val="20"/>
        </w:rPr>
        <w:t xml:space="preserve"> </w:t>
      </w:r>
      <w:proofErr w:type="gramStart"/>
      <w:r w:rsidRPr="007F7104">
        <w:rPr>
          <w:sz w:val="20"/>
          <w:szCs w:val="20"/>
        </w:rPr>
        <w:t>Ibid.,</w:t>
      </w:r>
      <w:proofErr w:type="gramEnd"/>
      <w:r w:rsidRPr="007F7104">
        <w:rPr>
          <w:sz w:val="20"/>
          <w:szCs w:val="20"/>
        </w:rPr>
        <w:t xml:space="preserve"> p. 31.</w:t>
      </w:r>
    </w:p>
  </w:endnote>
  <w:endnote w:id="113">
    <w:p w14:paraId="3CE0DE67" w14:textId="77777777" w:rsidR="00E1081E" w:rsidRPr="007F7104" w:rsidRDefault="00E1081E" w:rsidP="007F7104">
      <w:pPr>
        <w:pStyle w:val="EndnoteText"/>
        <w:jc w:val="left"/>
        <w:rPr>
          <w:sz w:val="20"/>
          <w:szCs w:val="20"/>
        </w:rPr>
      </w:pPr>
      <w:r w:rsidRPr="007F7104">
        <w:rPr>
          <w:rStyle w:val="EndnoteReference"/>
          <w:sz w:val="20"/>
          <w:szCs w:val="20"/>
        </w:rPr>
        <w:endnoteRef/>
      </w:r>
      <w:r w:rsidRPr="007F7104">
        <w:rPr>
          <w:sz w:val="20"/>
          <w:szCs w:val="20"/>
        </w:rPr>
        <w:t xml:space="preserve"> Matthew Earnest, </w:t>
      </w:r>
      <w:r w:rsidRPr="007F7104">
        <w:rPr>
          <w:i/>
          <w:sz w:val="20"/>
          <w:szCs w:val="20"/>
        </w:rPr>
        <w:t xml:space="preserve">Wanderlust: A History of Walking </w:t>
      </w:r>
      <w:r w:rsidRPr="007F7104">
        <w:rPr>
          <w:sz w:val="20"/>
          <w:szCs w:val="20"/>
        </w:rPr>
        <w:t>(Unpublished, 2010), p. 9.</w:t>
      </w:r>
    </w:p>
  </w:endnote>
  <w:endnote w:id="114">
    <w:p w14:paraId="19C0EA51" w14:textId="77777777" w:rsidR="00E1081E" w:rsidRPr="007F7104" w:rsidRDefault="00E1081E" w:rsidP="007F7104">
      <w:pPr>
        <w:pStyle w:val="EndnoteText"/>
        <w:jc w:val="left"/>
        <w:rPr>
          <w:sz w:val="20"/>
          <w:szCs w:val="20"/>
        </w:rPr>
      </w:pPr>
      <w:r w:rsidRPr="007F7104">
        <w:rPr>
          <w:rStyle w:val="EndnoteReference"/>
          <w:sz w:val="20"/>
          <w:szCs w:val="20"/>
        </w:rPr>
        <w:endnoteRef/>
      </w:r>
      <w:r w:rsidRPr="007F7104">
        <w:rPr>
          <w:sz w:val="20"/>
          <w:szCs w:val="20"/>
        </w:rPr>
        <w:t xml:space="preserve"> </w:t>
      </w:r>
      <w:proofErr w:type="gramStart"/>
      <w:r w:rsidRPr="007F7104">
        <w:rPr>
          <w:sz w:val="20"/>
          <w:szCs w:val="20"/>
        </w:rPr>
        <w:t>Ibid.,</w:t>
      </w:r>
      <w:proofErr w:type="gramEnd"/>
      <w:r w:rsidRPr="007F7104">
        <w:rPr>
          <w:sz w:val="20"/>
          <w:szCs w:val="20"/>
        </w:rPr>
        <w:t xml:space="preserve"> p. 9.</w:t>
      </w:r>
    </w:p>
  </w:endnote>
  <w:endnote w:id="115">
    <w:p w14:paraId="18E9E831" w14:textId="77777777" w:rsidR="002119AE" w:rsidRPr="007F7104" w:rsidRDefault="002119AE" w:rsidP="007F7104">
      <w:pPr>
        <w:pStyle w:val="EndnoteText"/>
        <w:jc w:val="left"/>
        <w:rPr>
          <w:sz w:val="20"/>
          <w:szCs w:val="20"/>
        </w:rPr>
      </w:pPr>
      <w:r w:rsidRPr="007F7104">
        <w:rPr>
          <w:rStyle w:val="EndnoteReference"/>
          <w:sz w:val="20"/>
          <w:szCs w:val="20"/>
        </w:rPr>
        <w:endnoteRef/>
      </w:r>
      <w:r w:rsidRPr="007F7104">
        <w:rPr>
          <w:sz w:val="20"/>
          <w:szCs w:val="20"/>
        </w:rPr>
        <w:t xml:space="preserve"> </w:t>
      </w:r>
      <w:proofErr w:type="gramStart"/>
      <w:r w:rsidRPr="007F7104">
        <w:rPr>
          <w:sz w:val="20"/>
          <w:szCs w:val="20"/>
        </w:rPr>
        <w:t>Ibid.,</w:t>
      </w:r>
      <w:proofErr w:type="gramEnd"/>
      <w:r w:rsidRPr="007F7104">
        <w:rPr>
          <w:sz w:val="20"/>
          <w:szCs w:val="20"/>
        </w:rPr>
        <w:t xml:space="preserve"> p. 9.</w:t>
      </w:r>
    </w:p>
  </w:endnote>
  <w:endnote w:id="116">
    <w:p w14:paraId="607D4D35" w14:textId="77777777" w:rsidR="0011203D" w:rsidRPr="007F7104" w:rsidRDefault="0011203D" w:rsidP="007F7104">
      <w:pPr>
        <w:pStyle w:val="EndnoteText"/>
        <w:jc w:val="left"/>
        <w:rPr>
          <w:sz w:val="20"/>
          <w:szCs w:val="20"/>
        </w:rPr>
      </w:pPr>
      <w:r w:rsidRPr="007F7104">
        <w:rPr>
          <w:rStyle w:val="EndnoteReference"/>
          <w:sz w:val="20"/>
          <w:szCs w:val="20"/>
        </w:rPr>
        <w:endnoteRef/>
      </w:r>
      <w:r w:rsidRPr="007F7104">
        <w:rPr>
          <w:sz w:val="20"/>
          <w:szCs w:val="20"/>
        </w:rPr>
        <w:t xml:space="preserve"> </w:t>
      </w:r>
      <w:proofErr w:type="gramStart"/>
      <w:r w:rsidRPr="007F7104">
        <w:rPr>
          <w:sz w:val="20"/>
          <w:szCs w:val="20"/>
        </w:rPr>
        <w:t>Ibid.,</w:t>
      </w:r>
      <w:proofErr w:type="gramEnd"/>
      <w:r w:rsidRPr="007F7104">
        <w:rPr>
          <w:sz w:val="20"/>
          <w:szCs w:val="20"/>
        </w:rPr>
        <w:t xml:space="preserve"> p. 48.</w:t>
      </w:r>
    </w:p>
  </w:endnote>
  <w:endnote w:id="117">
    <w:p w14:paraId="4207C6F1" w14:textId="77777777" w:rsidR="0011203D" w:rsidRPr="007F7104" w:rsidRDefault="0011203D" w:rsidP="007F7104">
      <w:pPr>
        <w:pStyle w:val="EndnoteText"/>
        <w:jc w:val="left"/>
        <w:rPr>
          <w:sz w:val="20"/>
          <w:szCs w:val="20"/>
        </w:rPr>
      </w:pPr>
      <w:r w:rsidRPr="007F7104">
        <w:rPr>
          <w:rStyle w:val="EndnoteReference"/>
          <w:sz w:val="20"/>
          <w:szCs w:val="20"/>
        </w:rPr>
        <w:endnoteRef/>
      </w:r>
      <w:r w:rsidRPr="007F7104">
        <w:rPr>
          <w:sz w:val="20"/>
          <w:szCs w:val="20"/>
        </w:rPr>
        <w:t xml:space="preserve"> Carl </w:t>
      </w:r>
      <w:proofErr w:type="spellStart"/>
      <w:r w:rsidRPr="007F7104">
        <w:rPr>
          <w:sz w:val="20"/>
          <w:szCs w:val="20"/>
        </w:rPr>
        <w:t>Lavery</w:t>
      </w:r>
      <w:proofErr w:type="spellEnd"/>
      <w:r w:rsidRPr="007F7104">
        <w:rPr>
          <w:sz w:val="20"/>
          <w:szCs w:val="20"/>
        </w:rPr>
        <w:t>, ‘</w:t>
      </w:r>
      <w:proofErr w:type="gramStart"/>
      <w:r w:rsidRPr="007F7104">
        <w:rPr>
          <w:sz w:val="20"/>
          <w:szCs w:val="20"/>
        </w:rPr>
        <w:t>The</w:t>
      </w:r>
      <w:proofErr w:type="gramEnd"/>
      <w:r w:rsidRPr="007F7104">
        <w:rPr>
          <w:sz w:val="20"/>
          <w:szCs w:val="20"/>
        </w:rPr>
        <w:t xml:space="preserve"> Pepys of London E11: Graeme Miller and the Politics of Linked’, </w:t>
      </w:r>
      <w:r w:rsidRPr="007F7104">
        <w:rPr>
          <w:i/>
          <w:sz w:val="20"/>
          <w:szCs w:val="20"/>
        </w:rPr>
        <w:t xml:space="preserve">New Theatre Quarterly, </w:t>
      </w:r>
      <w:r w:rsidRPr="007F7104">
        <w:rPr>
          <w:sz w:val="20"/>
          <w:szCs w:val="20"/>
        </w:rPr>
        <w:t xml:space="preserve">Vol. XXI, No. 2, p. </w:t>
      </w:r>
      <w:r w:rsidR="009D342F" w:rsidRPr="007F7104">
        <w:rPr>
          <w:sz w:val="20"/>
          <w:szCs w:val="20"/>
        </w:rPr>
        <w:t>152.</w:t>
      </w:r>
    </w:p>
  </w:endnote>
  <w:endnote w:id="118">
    <w:p w14:paraId="3F67D97A" w14:textId="77777777" w:rsidR="00E147FB" w:rsidRPr="007F7104" w:rsidRDefault="00E147FB" w:rsidP="007F7104">
      <w:pPr>
        <w:pStyle w:val="EndnoteText"/>
        <w:jc w:val="left"/>
        <w:rPr>
          <w:sz w:val="20"/>
          <w:szCs w:val="20"/>
        </w:rPr>
      </w:pPr>
      <w:r w:rsidRPr="007F7104">
        <w:rPr>
          <w:rStyle w:val="EndnoteReference"/>
          <w:sz w:val="20"/>
          <w:szCs w:val="20"/>
        </w:rPr>
        <w:endnoteRef/>
      </w:r>
      <w:r w:rsidRPr="007F7104">
        <w:rPr>
          <w:sz w:val="20"/>
          <w:szCs w:val="20"/>
        </w:rPr>
        <w:t xml:space="preserve"> Raymond Lucas, ‘“Taking a Line for a Walk”: Walking as an Aesthetic Practice’, in Tim </w:t>
      </w:r>
      <w:proofErr w:type="spellStart"/>
      <w:r w:rsidRPr="007F7104">
        <w:rPr>
          <w:sz w:val="20"/>
          <w:szCs w:val="20"/>
        </w:rPr>
        <w:t>Ingold</w:t>
      </w:r>
      <w:proofErr w:type="spellEnd"/>
      <w:r w:rsidRPr="007F7104">
        <w:rPr>
          <w:sz w:val="20"/>
          <w:szCs w:val="20"/>
        </w:rPr>
        <w:t xml:space="preserve"> and Jo Lee </w:t>
      </w:r>
      <w:proofErr w:type="spellStart"/>
      <w:r w:rsidRPr="007F7104">
        <w:rPr>
          <w:sz w:val="20"/>
          <w:szCs w:val="20"/>
        </w:rPr>
        <w:t>Vergunst</w:t>
      </w:r>
      <w:proofErr w:type="spellEnd"/>
      <w:r w:rsidRPr="007F7104">
        <w:rPr>
          <w:sz w:val="20"/>
          <w:szCs w:val="20"/>
        </w:rPr>
        <w:t xml:space="preserve">, eds., </w:t>
      </w:r>
      <w:r w:rsidRPr="007F7104">
        <w:rPr>
          <w:i/>
          <w:sz w:val="20"/>
          <w:szCs w:val="20"/>
        </w:rPr>
        <w:t xml:space="preserve">Ways of Walking: Ethnography and Practice on Foot </w:t>
      </w:r>
      <w:r w:rsidRPr="007F7104">
        <w:rPr>
          <w:sz w:val="20"/>
          <w:szCs w:val="20"/>
        </w:rPr>
        <w:t xml:space="preserve">(Aldershot: </w:t>
      </w:r>
      <w:proofErr w:type="spellStart"/>
      <w:r w:rsidRPr="007F7104">
        <w:rPr>
          <w:sz w:val="20"/>
          <w:szCs w:val="20"/>
        </w:rPr>
        <w:t>Ashgate</w:t>
      </w:r>
      <w:proofErr w:type="spellEnd"/>
      <w:r w:rsidRPr="007F7104">
        <w:rPr>
          <w:sz w:val="20"/>
          <w:szCs w:val="20"/>
        </w:rPr>
        <w:t xml:space="preserve"> Publishing Limited, 2008), p. 175.</w:t>
      </w:r>
    </w:p>
  </w:endnote>
  <w:endnote w:id="119">
    <w:p w14:paraId="0E0EF391" w14:textId="77777777" w:rsidR="00911A1B" w:rsidRPr="007F7104" w:rsidRDefault="00911A1B" w:rsidP="007F7104">
      <w:pPr>
        <w:pStyle w:val="EndnoteText"/>
        <w:jc w:val="left"/>
        <w:rPr>
          <w:sz w:val="20"/>
          <w:szCs w:val="20"/>
        </w:rPr>
      </w:pPr>
      <w:r w:rsidRPr="007F7104">
        <w:rPr>
          <w:rStyle w:val="EndnoteReference"/>
          <w:sz w:val="20"/>
          <w:szCs w:val="20"/>
        </w:rPr>
        <w:endnoteRef/>
      </w:r>
      <w:r w:rsidRPr="007F7104">
        <w:rPr>
          <w:sz w:val="20"/>
          <w:szCs w:val="20"/>
        </w:rPr>
        <w:t xml:space="preserve"> Matthew Earnest, personal communication with author (2011).</w:t>
      </w:r>
    </w:p>
  </w:endnote>
  <w:endnote w:id="120">
    <w:p w14:paraId="6EA2B7C6" w14:textId="77777777" w:rsidR="00030BCF" w:rsidRPr="007F7104" w:rsidRDefault="00030BCF" w:rsidP="007F7104">
      <w:pPr>
        <w:pStyle w:val="EndnoteText"/>
        <w:jc w:val="left"/>
        <w:rPr>
          <w:sz w:val="20"/>
          <w:szCs w:val="20"/>
        </w:rPr>
      </w:pPr>
      <w:r w:rsidRPr="007F7104">
        <w:rPr>
          <w:rStyle w:val="EndnoteReference"/>
          <w:sz w:val="20"/>
          <w:szCs w:val="20"/>
        </w:rPr>
        <w:endnoteRef/>
      </w:r>
      <w:r w:rsidRPr="007F7104">
        <w:rPr>
          <w:sz w:val="20"/>
          <w:szCs w:val="20"/>
        </w:rPr>
        <w:t xml:space="preserve"> Roy </w:t>
      </w:r>
      <w:proofErr w:type="spellStart"/>
      <w:r w:rsidRPr="007F7104">
        <w:rPr>
          <w:sz w:val="20"/>
          <w:szCs w:val="20"/>
        </w:rPr>
        <w:t>Berko</w:t>
      </w:r>
      <w:proofErr w:type="spellEnd"/>
      <w:r w:rsidRPr="007F7104">
        <w:rPr>
          <w:sz w:val="20"/>
          <w:szCs w:val="20"/>
        </w:rPr>
        <w:t xml:space="preserve">, ‘Wanderlust: A History of Walking’, </w:t>
      </w:r>
      <w:r w:rsidRPr="007F7104">
        <w:rPr>
          <w:i/>
          <w:sz w:val="20"/>
          <w:szCs w:val="20"/>
        </w:rPr>
        <w:t xml:space="preserve">Roy </w:t>
      </w:r>
      <w:proofErr w:type="spellStart"/>
      <w:r w:rsidRPr="007F7104">
        <w:rPr>
          <w:i/>
          <w:sz w:val="20"/>
          <w:szCs w:val="20"/>
        </w:rPr>
        <w:t>Berko</w:t>
      </w:r>
      <w:proofErr w:type="spellEnd"/>
      <w:r w:rsidRPr="007F7104">
        <w:rPr>
          <w:i/>
          <w:sz w:val="20"/>
          <w:szCs w:val="20"/>
        </w:rPr>
        <w:t xml:space="preserve"> </w:t>
      </w:r>
      <w:r w:rsidRPr="007F7104">
        <w:rPr>
          <w:sz w:val="20"/>
          <w:szCs w:val="20"/>
        </w:rPr>
        <w:t xml:space="preserve">(online: </w:t>
      </w:r>
      <w:hyperlink r:id="rId1" w:history="1">
        <w:r w:rsidR="000D53F0" w:rsidRPr="007F7104">
          <w:rPr>
            <w:rStyle w:val="Hyperlink"/>
            <w:sz w:val="20"/>
            <w:szCs w:val="20"/>
          </w:rPr>
          <w:t>http://royberkinfo.blogspot.com/2010/05/wanderlust-history-of-walking.html</w:t>
        </w:r>
      </w:hyperlink>
      <w:r w:rsidR="000D53F0" w:rsidRPr="007F7104">
        <w:rPr>
          <w:rStyle w:val="apple-style-span"/>
          <w:sz w:val="20"/>
          <w:szCs w:val="20"/>
        </w:rPr>
        <w:t>, 2010).</w:t>
      </w:r>
    </w:p>
  </w:endnote>
  <w:endnote w:id="121">
    <w:p w14:paraId="73710650" w14:textId="77777777" w:rsidR="000D53F0" w:rsidRPr="007F7104" w:rsidRDefault="000D53F0" w:rsidP="007F7104">
      <w:pPr>
        <w:pStyle w:val="EndnoteText"/>
        <w:jc w:val="left"/>
        <w:rPr>
          <w:sz w:val="20"/>
          <w:szCs w:val="20"/>
        </w:rPr>
      </w:pPr>
      <w:r w:rsidRPr="007F7104">
        <w:rPr>
          <w:rStyle w:val="EndnoteReference"/>
          <w:sz w:val="20"/>
          <w:szCs w:val="20"/>
        </w:rPr>
        <w:endnoteRef/>
      </w:r>
      <w:r w:rsidRPr="007F7104">
        <w:rPr>
          <w:sz w:val="20"/>
          <w:szCs w:val="20"/>
        </w:rPr>
        <w:t xml:space="preserve"> Claudia La Rocco, </w:t>
      </w:r>
      <w:r w:rsidRPr="007F7104">
        <w:rPr>
          <w:rStyle w:val="apple-style-span"/>
          <w:iCs/>
          <w:sz w:val="20"/>
          <w:szCs w:val="20"/>
        </w:rPr>
        <w:t xml:space="preserve">‘A History of How We Got from Here to There’, </w:t>
      </w:r>
      <w:r w:rsidRPr="007F7104">
        <w:rPr>
          <w:rStyle w:val="apple-style-span"/>
          <w:i/>
          <w:iCs/>
          <w:sz w:val="20"/>
          <w:szCs w:val="20"/>
        </w:rPr>
        <w:t xml:space="preserve">The New York Times, </w:t>
      </w:r>
      <w:r w:rsidRPr="007F7104">
        <w:rPr>
          <w:rStyle w:val="apple-style-span"/>
          <w:iCs/>
          <w:sz w:val="20"/>
          <w:szCs w:val="20"/>
        </w:rPr>
        <w:t xml:space="preserve">(online: </w:t>
      </w:r>
      <w:hyperlink r:id="rId2" w:history="1">
        <w:r w:rsidRPr="007F7104">
          <w:rPr>
            <w:rStyle w:val="Hyperlink"/>
            <w:sz w:val="20"/>
            <w:szCs w:val="20"/>
          </w:rPr>
          <w:t>http://theater.nytimes.com/2010/07/16/theater/reviews/16wander.html</w:t>
        </w:r>
      </w:hyperlink>
      <w:r w:rsidRPr="007F7104">
        <w:rPr>
          <w:rStyle w:val="apple-style-span"/>
          <w:iCs/>
          <w:sz w:val="20"/>
          <w:szCs w:val="20"/>
        </w:rPr>
        <w:t>, 2010).</w:t>
      </w:r>
    </w:p>
  </w:endnote>
  <w:endnote w:id="122">
    <w:p w14:paraId="520C0DBE" w14:textId="77777777" w:rsidR="00613711" w:rsidRPr="007F7104" w:rsidRDefault="00613711" w:rsidP="007F7104">
      <w:pPr>
        <w:pStyle w:val="EndnoteText"/>
        <w:jc w:val="left"/>
        <w:rPr>
          <w:sz w:val="20"/>
          <w:szCs w:val="20"/>
        </w:rPr>
      </w:pPr>
      <w:r w:rsidRPr="007F7104">
        <w:rPr>
          <w:rStyle w:val="EndnoteReference"/>
          <w:sz w:val="20"/>
          <w:szCs w:val="20"/>
        </w:rPr>
        <w:endnoteRef/>
      </w:r>
      <w:r w:rsidRPr="007F7104">
        <w:rPr>
          <w:sz w:val="20"/>
          <w:szCs w:val="20"/>
        </w:rPr>
        <w:t xml:space="preserve"> Matthew Earnest quoted in Rebecca </w:t>
      </w:r>
      <w:proofErr w:type="spellStart"/>
      <w:r w:rsidRPr="007F7104">
        <w:rPr>
          <w:sz w:val="20"/>
          <w:szCs w:val="20"/>
        </w:rPr>
        <w:t>Kastleman</w:t>
      </w:r>
      <w:proofErr w:type="spellEnd"/>
      <w:r w:rsidRPr="007F7104">
        <w:rPr>
          <w:sz w:val="20"/>
          <w:szCs w:val="20"/>
        </w:rPr>
        <w:t xml:space="preserve">, ‘These Feet Were Made </w:t>
      </w:r>
      <w:proofErr w:type="gramStart"/>
      <w:r w:rsidRPr="007F7104">
        <w:rPr>
          <w:sz w:val="20"/>
          <w:szCs w:val="20"/>
        </w:rPr>
        <w:t>For</w:t>
      </w:r>
      <w:proofErr w:type="gramEnd"/>
      <w:r w:rsidRPr="007F7104">
        <w:rPr>
          <w:sz w:val="20"/>
          <w:szCs w:val="20"/>
        </w:rPr>
        <w:t xml:space="preserve"> Walking’, </w:t>
      </w:r>
      <w:r w:rsidRPr="007F7104">
        <w:rPr>
          <w:i/>
          <w:sz w:val="20"/>
          <w:szCs w:val="20"/>
        </w:rPr>
        <w:t xml:space="preserve">American Theatre, </w:t>
      </w:r>
      <w:r w:rsidRPr="007F7104">
        <w:rPr>
          <w:sz w:val="20"/>
          <w:szCs w:val="20"/>
        </w:rPr>
        <w:t>May/June (New York: Theatre Communications Group, 2010), p. 21.</w:t>
      </w:r>
    </w:p>
  </w:endnote>
  <w:endnote w:id="123">
    <w:p w14:paraId="33781468" w14:textId="77777777" w:rsidR="008318AE" w:rsidRPr="007F7104" w:rsidRDefault="008318AE" w:rsidP="007F7104">
      <w:pPr>
        <w:pStyle w:val="EndnoteText"/>
        <w:jc w:val="left"/>
        <w:rPr>
          <w:sz w:val="20"/>
          <w:szCs w:val="20"/>
        </w:rPr>
      </w:pPr>
      <w:r w:rsidRPr="007F7104">
        <w:rPr>
          <w:rStyle w:val="EndnoteReference"/>
          <w:sz w:val="20"/>
          <w:szCs w:val="20"/>
        </w:rPr>
        <w:endnoteRef/>
      </w:r>
      <w:r w:rsidRPr="007F7104">
        <w:rPr>
          <w:sz w:val="20"/>
          <w:szCs w:val="20"/>
        </w:rPr>
        <w:t xml:space="preserve"> </w:t>
      </w:r>
      <w:proofErr w:type="spellStart"/>
      <w:r w:rsidRPr="007F7104">
        <w:rPr>
          <w:sz w:val="20"/>
          <w:szCs w:val="20"/>
        </w:rPr>
        <w:t>Solnit</w:t>
      </w:r>
      <w:proofErr w:type="spellEnd"/>
      <w:r w:rsidRPr="007F7104">
        <w:rPr>
          <w:sz w:val="20"/>
          <w:szCs w:val="20"/>
        </w:rPr>
        <w:t xml:space="preserve">, </w:t>
      </w:r>
      <w:r w:rsidRPr="007F7104">
        <w:rPr>
          <w:i/>
          <w:sz w:val="20"/>
          <w:szCs w:val="20"/>
        </w:rPr>
        <w:t xml:space="preserve">Wanderlust, </w:t>
      </w:r>
      <w:r w:rsidRPr="007F7104">
        <w:rPr>
          <w:sz w:val="20"/>
          <w:szCs w:val="20"/>
        </w:rPr>
        <w:t>p. 286.</w:t>
      </w:r>
    </w:p>
  </w:endnote>
  <w:endnote w:id="124">
    <w:p w14:paraId="20B3A037" w14:textId="77777777" w:rsidR="00504B38" w:rsidRPr="007F7104" w:rsidRDefault="00504B38" w:rsidP="007F7104">
      <w:pPr>
        <w:pStyle w:val="EndnoteText"/>
        <w:jc w:val="left"/>
        <w:rPr>
          <w:sz w:val="20"/>
          <w:szCs w:val="20"/>
        </w:rPr>
      </w:pPr>
      <w:r w:rsidRPr="007F7104">
        <w:rPr>
          <w:rStyle w:val="EndnoteReference"/>
          <w:sz w:val="20"/>
          <w:szCs w:val="20"/>
        </w:rPr>
        <w:endnoteRef/>
      </w:r>
      <w:r w:rsidRPr="007F7104">
        <w:rPr>
          <w:sz w:val="20"/>
          <w:szCs w:val="20"/>
        </w:rPr>
        <w:t xml:space="preserve"> Peter </w:t>
      </w:r>
      <w:proofErr w:type="spellStart"/>
      <w:r w:rsidRPr="007F7104">
        <w:rPr>
          <w:sz w:val="20"/>
          <w:szCs w:val="20"/>
        </w:rPr>
        <w:t>Handke</w:t>
      </w:r>
      <w:proofErr w:type="spellEnd"/>
      <w:r w:rsidRPr="007F7104">
        <w:rPr>
          <w:sz w:val="20"/>
          <w:szCs w:val="20"/>
        </w:rPr>
        <w:t xml:space="preserve"> in conversation with Peter von Becker quoted in Mark </w:t>
      </w:r>
      <w:proofErr w:type="spellStart"/>
      <w:r w:rsidRPr="007F7104">
        <w:rPr>
          <w:sz w:val="20"/>
          <w:szCs w:val="20"/>
        </w:rPr>
        <w:t>Trezona</w:t>
      </w:r>
      <w:proofErr w:type="spellEnd"/>
      <w:r w:rsidRPr="007F7104">
        <w:rPr>
          <w:sz w:val="20"/>
          <w:szCs w:val="20"/>
        </w:rPr>
        <w:t xml:space="preserve">, ‘The Hour We Knew Nothing of Each Other – Peter </w:t>
      </w:r>
      <w:proofErr w:type="spellStart"/>
      <w:r w:rsidRPr="007F7104">
        <w:rPr>
          <w:sz w:val="20"/>
          <w:szCs w:val="20"/>
        </w:rPr>
        <w:t>Handke</w:t>
      </w:r>
      <w:proofErr w:type="spellEnd"/>
      <w:r w:rsidRPr="007F7104">
        <w:rPr>
          <w:sz w:val="20"/>
          <w:szCs w:val="20"/>
        </w:rPr>
        <w:t xml:space="preserve">’, </w:t>
      </w:r>
      <w:r w:rsidRPr="007F7104">
        <w:rPr>
          <w:i/>
          <w:sz w:val="20"/>
          <w:szCs w:val="20"/>
        </w:rPr>
        <w:t xml:space="preserve">Performance Marks </w:t>
      </w:r>
      <w:r w:rsidRPr="007F7104">
        <w:rPr>
          <w:sz w:val="20"/>
          <w:szCs w:val="20"/>
        </w:rPr>
        <w:t xml:space="preserve">(online: </w:t>
      </w:r>
      <w:hyperlink r:id="rId3" w:history="1">
        <w:r w:rsidRPr="007F7104">
          <w:rPr>
            <w:rStyle w:val="Hyperlink"/>
            <w:sz w:val="20"/>
            <w:szCs w:val="20"/>
          </w:rPr>
          <w:t>http://performancemarks.blogspot.com/2008/04/hour-we-knew-nothing-of-each-other.html</w:t>
        </w:r>
      </w:hyperlink>
      <w:r w:rsidRPr="007F7104">
        <w:rPr>
          <w:rStyle w:val="apple-style-span"/>
          <w:sz w:val="20"/>
          <w:szCs w:val="20"/>
        </w:rPr>
        <w:t>, 2008).</w:t>
      </w:r>
    </w:p>
  </w:endnote>
  <w:endnote w:id="125">
    <w:p w14:paraId="26162DEE" w14:textId="77777777" w:rsidR="008318AE" w:rsidRPr="007F7104" w:rsidRDefault="008318AE" w:rsidP="007F7104">
      <w:pPr>
        <w:jc w:val="left"/>
        <w:rPr>
          <w:sz w:val="20"/>
          <w:szCs w:val="20"/>
        </w:rPr>
      </w:pPr>
      <w:r w:rsidRPr="007F7104">
        <w:rPr>
          <w:rStyle w:val="EndnoteReference"/>
          <w:sz w:val="20"/>
          <w:szCs w:val="20"/>
        </w:rPr>
        <w:endnoteRef/>
      </w:r>
      <w:r w:rsidRPr="007F7104">
        <w:rPr>
          <w:sz w:val="20"/>
          <w:szCs w:val="20"/>
        </w:rPr>
        <w:t xml:space="preserve"> Christine </w:t>
      </w:r>
      <w:proofErr w:type="spellStart"/>
      <w:r w:rsidRPr="007F7104">
        <w:rPr>
          <w:sz w:val="20"/>
          <w:szCs w:val="20"/>
        </w:rPr>
        <w:t>Howey</w:t>
      </w:r>
      <w:proofErr w:type="spellEnd"/>
      <w:r w:rsidRPr="007F7104">
        <w:rPr>
          <w:sz w:val="20"/>
          <w:szCs w:val="20"/>
        </w:rPr>
        <w:t xml:space="preserve">, </w:t>
      </w:r>
      <w:r w:rsidRPr="007F7104">
        <w:rPr>
          <w:rStyle w:val="apple-style-span"/>
          <w:sz w:val="20"/>
          <w:szCs w:val="20"/>
        </w:rPr>
        <w:t xml:space="preserve">‘Power Walking’, </w:t>
      </w:r>
      <w:proofErr w:type="gramStart"/>
      <w:r w:rsidRPr="007F7104">
        <w:rPr>
          <w:rStyle w:val="apple-style-span"/>
          <w:i/>
          <w:sz w:val="20"/>
          <w:szCs w:val="20"/>
        </w:rPr>
        <w:t>Cleveland</w:t>
      </w:r>
      <w:proofErr w:type="gramEnd"/>
      <w:r w:rsidRPr="007F7104">
        <w:rPr>
          <w:rStyle w:val="apple-style-span"/>
          <w:i/>
          <w:sz w:val="20"/>
          <w:szCs w:val="20"/>
        </w:rPr>
        <w:t xml:space="preserve"> Scene </w:t>
      </w:r>
      <w:r w:rsidRPr="007F7104">
        <w:rPr>
          <w:rStyle w:val="apple-style-span"/>
          <w:sz w:val="20"/>
          <w:szCs w:val="20"/>
        </w:rPr>
        <w:t xml:space="preserve">(online: </w:t>
      </w:r>
      <w:hyperlink r:id="rId4" w:history="1">
        <w:r w:rsidRPr="007F7104">
          <w:rPr>
            <w:rStyle w:val="Hyperlink"/>
            <w:sz w:val="20"/>
            <w:szCs w:val="20"/>
          </w:rPr>
          <w:t>http://www.clevescene.com/cleveland/power-walking/Content?oid=1908899</w:t>
        </w:r>
      </w:hyperlink>
      <w:r w:rsidRPr="007F7104">
        <w:rPr>
          <w:rStyle w:val="apple-style-span"/>
          <w:sz w:val="20"/>
          <w:szCs w:val="20"/>
        </w:rPr>
        <w:t>, 2010).</w:t>
      </w:r>
    </w:p>
  </w:endnote>
  <w:endnote w:id="126">
    <w:p w14:paraId="3BECD608" w14:textId="77777777" w:rsidR="00BB38B1" w:rsidRPr="00BB38B1" w:rsidRDefault="00BB38B1" w:rsidP="007F7104">
      <w:pPr>
        <w:pStyle w:val="EndnoteText"/>
        <w:jc w:val="left"/>
      </w:pPr>
      <w:r w:rsidRPr="007F7104">
        <w:rPr>
          <w:rStyle w:val="EndnoteReference"/>
          <w:sz w:val="20"/>
          <w:szCs w:val="20"/>
        </w:rPr>
        <w:endnoteRef/>
      </w:r>
      <w:r w:rsidRPr="007F7104">
        <w:rPr>
          <w:sz w:val="20"/>
          <w:szCs w:val="20"/>
        </w:rPr>
        <w:t xml:space="preserve"> Fiona </w:t>
      </w:r>
      <w:proofErr w:type="spellStart"/>
      <w:r w:rsidRPr="007F7104">
        <w:rPr>
          <w:sz w:val="20"/>
          <w:szCs w:val="20"/>
        </w:rPr>
        <w:t>Wilkie</w:t>
      </w:r>
      <w:proofErr w:type="spellEnd"/>
      <w:r w:rsidRPr="007F7104">
        <w:rPr>
          <w:sz w:val="20"/>
          <w:szCs w:val="20"/>
        </w:rPr>
        <w:t xml:space="preserve">, ‘Site-Specific Performance and the Mobility Turn’, </w:t>
      </w:r>
      <w:r w:rsidRPr="007F7104">
        <w:rPr>
          <w:i/>
          <w:sz w:val="20"/>
          <w:szCs w:val="20"/>
        </w:rPr>
        <w:t xml:space="preserve">Contemporary Theatre Review, </w:t>
      </w:r>
      <w:r w:rsidRPr="007F7104">
        <w:rPr>
          <w:sz w:val="20"/>
          <w:szCs w:val="20"/>
        </w:rPr>
        <w:t>Vol. XXII, No. 2, p. 207.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1D6CD3" w14:textId="77777777" w:rsidR="004C1EF2" w:rsidRDefault="004C1EF2" w:rsidP="00986C7E">
      <w:r>
        <w:separator/>
      </w:r>
    </w:p>
  </w:footnote>
  <w:footnote w:type="continuationSeparator" w:id="0">
    <w:p w14:paraId="7D041668" w14:textId="77777777" w:rsidR="004C1EF2" w:rsidRDefault="004C1EF2" w:rsidP="00986C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415"/>
    <w:rsid w:val="0000466A"/>
    <w:rsid w:val="00006DA6"/>
    <w:rsid w:val="00010FD5"/>
    <w:rsid w:val="0002059F"/>
    <w:rsid w:val="00020939"/>
    <w:rsid w:val="000218AE"/>
    <w:rsid w:val="00022AEB"/>
    <w:rsid w:val="00026DF2"/>
    <w:rsid w:val="00030BCF"/>
    <w:rsid w:val="00034BA4"/>
    <w:rsid w:val="0003649C"/>
    <w:rsid w:val="000504A3"/>
    <w:rsid w:val="000611A6"/>
    <w:rsid w:val="00061EEC"/>
    <w:rsid w:val="00064A37"/>
    <w:rsid w:val="00075181"/>
    <w:rsid w:val="00086891"/>
    <w:rsid w:val="00090DE9"/>
    <w:rsid w:val="00091ED4"/>
    <w:rsid w:val="00097229"/>
    <w:rsid w:val="00097E47"/>
    <w:rsid w:val="000B4BB8"/>
    <w:rsid w:val="000B659E"/>
    <w:rsid w:val="000C514B"/>
    <w:rsid w:val="000C74E0"/>
    <w:rsid w:val="000C7CD0"/>
    <w:rsid w:val="000D111F"/>
    <w:rsid w:val="000D3272"/>
    <w:rsid w:val="000D3CF9"/>
    <w:rsid w:val="000D53F0"/>
    <w:rsid w:val="000D599B"/>
    <w:rsid w:val="000D5B3B"/>
    <w:rsid w:val="000E7FE1"/>
    <w:rsid w:val="000F622E"/>
    <w:rsid w:val="000F635F"/>
    <w:rsid w:val="001100DB"/>
    <w:rsid w:val="0011203D"/>
    <w:rsid w:val="001132F4"/>
    <w:rsid w:val="00113A57"/>
    <w:rsid w:val="00113A83"/>
    <w:rsid w:val="001174C0"/>
    <w:rsid w:val="00117A26"/>
    <w:rsid w:val="00120D44"/>
    <w:rsid w:val="00121AB4"/>
    <w:rsid w:val="00134472"/>
    <w:rsid w:val="00135265"/>
    <w:rsid w:val="00135290"/>
    <w:rsid w:val="00144089"/>
    <w:rsid w:val="001459CA"/>
    <w:rsid w:val="001513A0"/>
    <w:rsid w:val="00171B4E"/>
    <w:rsid w:val="00183840"/>
    <w:rsid w:val="001A1AB2"/>
    <w:rsid w:val="001A26F9"/>
    <w:rsid w:val="001A4AF9"/>
    <w:rsid w:val="001A6307"/>
    <w:rsid w:val="001A76D8"/>
    <w:rsid w:val="001B11DA"/>
    <w:rsid w:val="001B4F86"/>
    <w:rsid w:val="001B639F"/>
    <w:rsid w:val="001B69B8"/>
    <w:rsid w:val="001C1BB6"/>
    <w:rsid w:val="001C62EB"/>
    <w:rsid w:val="001C6AD1"/>
    <w:rsid w:val="001C765A"/>
    <w:rsid w:val="001C76BC"/>
    <w:rsid w:val="001C7B23"/>
    <w:rsid w:val="001D03BB"/>
    <w:rsid w:val="001D41AD"/>
    <w:rsid w:val="001D6FAA"/>
    <w:rsid w:val="001D7636"/>
    <w:rsid w:val="001F0A75"/>
    <w:rsid w:val="001F2089"/>
    <w:rsid w:val="001F3253"/>
    <w:rsid w:val="00200BC0"/>
    <w:rsid w:val="00201D11"/>
    <w:rsid w:val="0020361B"/>
    <w:rsid w:val="002039E2"/>
    <w:rsid w:val="00206FD2"/>
    <w:rsid w:val="00207D79"/>
    <w:rsid w:val="00210E8E"/>
    <w:rsid w:val="002119AE"/>
    <w:rsid w:val="00215880"/>
    <w:rsid w:val="00230E77"/>
    <w:rsid w:val="00234BE9"/>
    <w:rsid w:val="00234D07"/>
    <w:rsid w:val="002373DE"/>
    <w:rsid w:val="002408A2"/>
    <w:rsid w:val="00242B14"/>
    <w:rsid w:val="00245BF7"/>
    <w:rsid w:val="00253A8C"/>
    <w:rsid w:val="00266A1A"/>
    <w:rsid w:val="00270184"/>
    <w:rsid w:val="002734A7"/>
    <w:rsid w:val="00283637"/>
    <w:rsid w:val="002876CB"/>
    <w:rsid w:val="00293363"/>
    <w:rsid w:val="0029550B"/>
    <w:rsid w:val="00297048"/>
    <w:rsid w:val="002974D2"/>
    <w:rsid w:val="00297E97"/>
    <w:rsid w:val="002A1001"/>
    <w:rsid w:val="002A60EC"/>
    <w:rsid w:val="002B38AD"/>
    <w:rsid w:val="002B38F9"/>
    <w:rsid w:val="002B5329"/>
    <w:rsid w:val="002C2767"/>
    <w:rsid w:val="002C7E08"/>
    <w:rsid w:val="002D4E1F"/>
    <w:rsid w:val="002D55E2"/>
    <w:rsid w:val="002E48B5"/>
    <w:rsid w:val="002F5143"/>
    <w:rsid w:val="00301C89"/>
    <w:rsid w:val="00311223"/>
    <w:rsid w:val="003125EF"/>
    <w:rsid w:val="003140C1"/>
    <w:rsid w:val="003300CA"/>
    <w:rsid w:val="003339A1"/>
    <w:rsid w:val="00333C9D"/>
    <w:rsid w:val="003353F7"/>
    <w:rsid w:val="00344B49"/>
    <w:rsid w:val="00345C12"/>
    <w:rsid w:val="003557EB"/>
    <w:rsid w:val="003560AA"/>
    <w:rsid w:val="00362E0B"/>
    <w:rsid w:val="00363317"/>
    <w:rsid w:val="00365194"/>
    <w:rsid w:val="00365523"/>
    <w:rsid w:val="0036608A"/>
    <w:rsid w:val="003672EA"/>
    <w:rsid w:val="00370F47"/>
    <w:rsid w:val="003727FB"/>
    <w:rsid w:val="003737EC"/>
    <w:rsid w:val="00380403"/>
    <w:rsid w:val="003869EE"/>
    <w:rsid w:val="003875E9"/>
    <w:rsid w:val="00387F1F"/>
    <w:rsid w:val="00387FC0"/>
    <w:rsid w:val="003904A9"/>
    <w:rsid w:val="0039630E"/>
    <w:rsid w:val="0039638E"/>
    <w:rsid w:val="00397EEA"/>
    <w:rsid w:val="003A2602"/>
    <w:rsid w:val="003A31CB"/>
    <w:rsid w:val="003A550B"/>
    <w:rsid w:val="003B19FF"/>
    <w:rsid w:val="003B374E"/>
    <w:rsid w:val="003B57AC"/>
    <w:rsid w:val="003C3B6D"/>
    <w:rsid w:val="003C5EB0"/>
    <w:rsid w:val="003C7307"/>
    <w:rsid w:val="003D2952"/>
    <w:rsid w:val="003E0A23"/>
    <w:rsid w:val="003F1D95"/>
    <w:rsid w:val="003F60C0"/>
    <w:rsid w:val="003F6410"/>
    <w:rsid w:val="004049A9"/>
    <w:rsid w:val="00407FAA"/>
    <w:rsid w:val="00410377"/>
    <w:rsid w:val="00414996"/>
    <w:rsid w:val="004168E4"/>
    <w:rsid w:val="00420756"/>
    <w:rsid w:val="004209EB"/>
    <w:rsid w:val="00424BA2"/>
    <w:rsid w:val="00432481"/>
    <w:rsid w:val="00437CE2"/>
    <w:rsid w:val="00437EF7"/>
    <w:rsid w:val="00443259"/>
    <w:rsid w:val="00444A06"/>
    <w:rsid w:val="004472BA"/>
    <w:rsid w:val="00451EF3"/>
    <w:rsid w:val="00452132"/>
    <w:rsid w:val="004604FA"/>
    <w:rsid w:val="00461EE3"/>
    <w:rsid w:val="00462CF6"/>
    <w:rsid w:val="00463BCE"/>
    <w:rsid w:val="00470F4E"/>
    <w:rsid w:val="004715A6"/>
    <w:rsid w:val="00474B7B"/>
    <w:rsid w:val="004800F3"/>
    <w:rsid w:val="00481816"/>
    <w:rsid w:val="00483E96"/>
    <w:rsid w:val="00486060"/>
    <w:rsid w:val="00486A28"/>
    <w:rsid w:val="0049634E"/>
    <w:rsid w:val="004A0F96"/>
    <w:rsid w:val="004A7024"/>
    <w:rsid w:val="004B1410"/>
    <w:rsid w:val="004B37FE"/>
    <w:rsid w:val="004B4823"/>
    <w:rsid w:val="004B4B22"/>
    <w:rsid w:val="004C1EF2"/>
    <w:rsid w:val="004C36A9"/>
    <w:rsid w:val="004C5F14"/>
    <w:rsid w:val="004D19FA"/>
    <w:rsid w:val="004E2E36"/>
    <w:rsid w:val="004E3651"/>
    <w:rsid w:val="004E53B5"/>
    <w:rsid w:val="004E5B7E"/>
    <w:rsid w:val="004F1214"/>
    <w:rsid w:val="004F28BC"/>
    <w:rsid w:val="004F4E7F"/>
    <w:rsid w:val="004F7AE5"/>
    <w:rsid w:val="00504B38"/>
    <w:rsid w:val="00505D43"/>
    <w:rsid w:val="0051158C"/>
    <w:rsid w:val="00511D83"/>
    <w:rsid w:val="00514416"/>
    <w:rsid w:val="00515AFA"/>
    <w:rsid w:val="005173D8"/>
    <w:rsid w:val="005230E2"/>
    <w:rsid w:val="00524EEC"/>
    <w:rsid w:val="00532CE0"/>
    <w:rsid w:val="00535540"/>
    <w:rsid w:val="005439F5"/>
    <w:rsid w:val="0056048D"/>
    <w:rsid w:val="00575A07"/>
    <w:rsid w:val="00580346"/>
    <w:rsid w:val="00580AF9"/>
    <w:rsid w:val="005A068D"/>
    <w:rsid w:val="005A13B6"/>
    <w:rsid w:val="005A30F6"/>
    <w:rsid w:val="005A601F"/>
    <w:rsid w:val="005A738D"/>
    <w:rsid w:val="005B2707"/>
    <w:rsid w:val="005B6BAB"/>
    <w:rsid w:val="005C141F"/>
    <w:rsid w:val="005C16CE"/>
    <w:rsid w:val="005C2E93"/>
    <w:rsid w:val="005C7E40"/>
    <w:rsid w:val="005D16AD"/>
    <w:rsid w:val="005D5444"/>
    <w:rsid w:val="005E106B"/>
    <w:rsid w:val="005E6AF9"/>
    <w:rsid w:val="005F7517"/>
    <w:rsid w:val="00600585"/>
    <w:rsid w:val="0060722B"/>
    <w:rsid w:val="00613711"/>
    <w:rsid w:val="00613A60"/>
    <w:rsid w:val="00615B3B"/>
    <w:rsid w:val="00617339"/>
    <w:rsid w:val="00622FB2"/>
    <w:rsid w:val="00623513"/>
    <w:rsid w:val="00631BC7"/>
    <w:rsid w:val="00637877"/>
    <w:rsid w:val="00637BEE"/>
    <w:rsid w:val="00640599"/>
    <w:rsid w:val="00642196"/>
    <w:rsid w:val="00643A2E"/>
    <w:rsid w:val="00643C3F"/>
    <w:rsid w:val="00643E23"/>
    <w:rsid w:val="00645CE4"/>
    <w:rsid w:val="00651FB8"/>
    <w:rsid w:val="0066295C"/>
    <w:rsid w:val="006647F5"/>
    <w:rsid w:val="00667BAC"/>
    <w:rsid w:val="006713F9"/>
    <w:rsid w:val="00672039"/>
    <w:rsid w:val="00675143"/>
    <w:rsid w:val="00680A38"/>
    <w:rsid w:val="0068162E"/>
    <w:rsid w:val="00681A76"/>
    <w:rsid w:val="00681D37"/>
    <w:rsid w:val="00685823"/>
    <w:rsid w:val="0069118D"/>
    <w:rsid w:val="006A2A25"/>
    <w:rsid w:val="006A2BCA"/>
    <w:rsid w:val="006A376F"/>
    <w:rsid w:val="006B4ECC"/>
    <w:rsid w:val="006B50E9"/>
    <w:rsid w:val="006D0363"/>
    <w:rsid w:val="006D50E7"/>
    <w:rsid w:val="006E49A1"/>
    <w:rsid w:val="006E72E0"/>
    <w:rsid w:val="006E7CE6"/>
    <w:rsid w:val="006F4A45"/>
    <w:rsid w:val="006F4C0D"/>
    <w:rsid w:val="0070167C"/>
    <w:rsid w:val="00703721"/>
    <w:rsid w:val="0070505B"/>
    <w:rsid w:val="007144A5"/>
    <w:rsid w:val="00716A88"/>
    <w:rsid w:val="007217E6"/>
    <w:rsid w:val="00730409"/>
    <w:rsid w:val="007321E7"/>
    <w:rsid w:val="00737579"/>
    <w:rsid w:val="00743E81"/>
    <w:rsid w:val="00750439"/>
    <w:rsid w:val="007555F1"/>
    <w:rsid w:val="00760E97"/>
    <w:rsid w:val="00762289"/>
    <w:rsid w:val="00762C64"/>
    <w:rsid w:val="00764D4B"/>
    <w:rsid w:val="00767664"/>
    <w:rsid w:val="00774950"/>
    <w:rsid w:val="00774DC1"/>
    <w:rsid w:val="00775B6D"/>
    <w:rsid w:val="007773A7"/>
    <w:rsid w:val="00780158"/>
    <w:rsid w:val="00787639"/>
    <w:rsid w:val="007A3783"/>
    <w:rsid w:val="007A46FD"/>
    <w:rsid w:val="007A47CB"/>
    <w:rsid w:val="007B4242"/>
    <w:rsid w:val="007B4709"/>
    <w:rsid w:val="007C440E"/>
    <w:rsid w:val="007C60C2"/>
    <w:rsid w:val="007D320F"/>
    <w:rsid w:val="007D39EA"/>
    <w:rsid w:val="007D5E03"/>
    <w:rsid w:val="007D6CB4"/>
    <w:rsid w:val="007F2F38"/>
    <w:rsid w:val="007F7104"/>
    <w:rsid w:val="007F732C"/>
    <w:rsid w:val="0080163D"/>
    <w:rsid w:val="00801DA7"/>
    <w:rsid w:val="008127D0"/>
    <w:rsid w:val="008128E8"/>
    <w:rsid w:val="008135C2"/>
    <w:rsid w:val="00821ECC"/>
    <w:rsid w:val="00822DD3"/>
    <w:rsid w:val="00824FC3"/>
    <w:rsid w:val="008318AE"/>
    <w:rsid w:val="008412FB"/>
    <w:rsid w:val="00843E8E"/>
    <w:rsid w:val="00843F24"/>
    <w:rsid w:val="00844C48"/>
    <w:rsid w:val="00862FEE"/>
    <w:rsid w:val="00867F98"/>
    <w:rsid w:val="00867FC0"/>
    <w:rsid w:val="0088227D"/>
    <w:rsid w:val="0088554F"/>
    <w:rsid w:val="008931EB"/>
    <w:rsid w:val="00893511"/>
    <w:rsid w:val="00893ABA"/>
    <w:rsid w:val="0089550A"/>
    <w:rsid w:val="008A5732"/>
    <w:rsid w:val="008B66B2"/>
    <w:rsid w:val="008D6A6A"/>
    <w:rsid w:val="008E106F"/>
    <w:rsid w:val="008E47E3"/>
    <w:rsid w:val="008F482E"/>
    <w:rsid w:val="0090626C"/>
    <w:rsid w:val="00907ED2"/>
    <w:rsid w:val="00911A1B"/>
    <w:rsid w:val="00917FA9"/>
    <w:rsid w:val="00921DC5"/>
    <w:rsid w:val="009235DB"/>
    <w:rsid w:val="00925491"/>
    <w:rsid w:val="00940484"/>
    <w:rsid w:val="0094411D"/>
    <w:rsid w:val="00946D83"/>
    <w:rsid w:val="00946E9F"/>
    <w:rsid w:val="009503BC"/>
    <w:rsid w:val="00954727"/>
    <w:rsid w:val="00956572"/>
    <w:rsid w:val="00956DC2"/>
    <w:rsid w:val="009625BA"/>
    <w:rsid w:val="009633AC"/>
    <w:rsid w:val="0097147F"/>
    <w:rsid w:val="00971E5B"/>
    <w:rsid w:val="009851BE"/>
    <w:rsid w:val="00986C7E"/>
    <w:rsid w:val="00992A43"/>
    <w:rsid w:val="00992C9E"/>
    <w:rsid w:val="00995717"/>
    <w:rsid w:val="009A31AC"/>
    <w:rsid w:val="009A361A"/>
    <w:rsid w:val="009A7C90"/>
    <w:rsid w:val="009B03AE"/>
    <w:rsid w:val="009B370B"/>
    <w:rsid w:val="009B4F1F"/>
    <w:rsid w:val="009B5C85"/>
    <w:rsid w:val="009D18EC"/>
    <w:rsid w:val="009D20C6"/>
    <w:rsid w:val="009D3066"/>
    <w:rsid w:val="009D342F"/>
    <w:rsid w:val="009E0A8D"/>
    <w:rsid w:val="009E1ADD"/>
    <w:rsid w:val="009E2AE5"/>
    <w:rsid w:val="009E474A"/>
    <w:rsid w:val="009E6641"/>
    <w:rsid w:val="009E6A00"/>
    <w:rsid w:val="009E7959"/>
    <w:rsid w:val="009F4023"/>
    <w:rsid w:val="00A13D86"/>
    <w:rsid w:val="00A37404"/>
    <w:rsid w:val="00A40BCD"/>
    <w:rsid w:val="00A42386"/>
    <w:rsid w:val="00A45AED"/>
    <w:rsid w:val="00A5167D"/>
    <w:rsid w:val="00A60028"/>
    <w:rsid w:val="00A62B6C"/>
    <w:rsid w:val="00A749B6"/>
    <w:rsid w:val="00A77711"/>
    <w:rsid w:val="00A84FE2"/>
    <w:rsid w:val="00A85490"/>
    <w:rsid w:val="00A85B26"/>
    <w:rsid w:val="00A87295"/>
    <w:rsid w:val="00A930CB"/>
    <w:rsid w:val="00A955FB"/>
    <w:rsid w:val="00AA3D4C"/>
    <w:rsid w:val="00AA49B0"/>
    <w:rsid w:val="00AB21DF"/>
    <w:rsid w:val="00AB5681"/>
    <w:rsid w:val="00AD0D74"/>
    <w:rsid w:val="00AD1A42"/>
    <w:rsid w:val="00AD1FD0"/>
    <w:rsid w:val="00AD4030"/>
    <w:rsid w:val="00AD4B31"/>
    <w:rsid w:val="00AE262E"/>
    <w:rsid w:val="00AE3D5F"/>
    <w:rsid w:val="00AE5730"/>
    <w:rsid w:val="00AE7A98"/>
    <w:rsid w:val="00AF0E82"/>
    <w:rsid w:val="00AF48FB"/>
    <w:rsid w:val="00B01777"/>
    <w:rsid w:val="00B020A8"/>
    <w:rsid w:val="00B04E82"/>
    <w:rsid w:val="00B1210D"/>
    <w:rsid w:val="00B13EF9"/>
    <w:rsid w:val="00B15A4D"/>
    <w:rsid w:val="00B240E4"/>
    <w:rsid w:val="00B34F00"/>
    <w:rsid w:val="00B37F51"/>
    <w:rsid w:val="00B449BA"/>
    <w:rsid w:val="00B45D26"/>
    <w:rsid w:val="00B50472"/>
    <w:rsid w:val="00B52DF0"/>
    <w:rsid w:val="00B53A7B"/>
    <w:rsid w:val="00B55FB2"/>
    <w:rsid w:val="00B731AF"/>
    <w:rsid w:val="00B775AB"/>
    <w:rsid w:val="00B775CC"/>
    <w:rsid w:val="00B81483"/>
    <w:rsid w:val="00B814BD"/>
    <w:rsid w:val="00B81990"/>
    <w:rsid w:val="00B8351D"/>
    <w:rsid w:val="00B928B8"/>
    <w:rsid w:val="00B93A1E"/>
    <w:rsid w:val="00BA2640"/>
    <w:rsid w:val="00BA26A0"/>
    <w:rsid w:val="00BA7649"/>
    <w:rsid w:val="00BB3304"/>
    <w:rsid w:val="00BB38B1"/>
    <w:rsid w:val="00BC108B"/>
    <w:rsid w:val="00BC38DA"/>
    <w:rsid w:val="00BC3ECF"/>
    <w:rsid w:val="00BD3809"/>
    <w:rsid w:val="00BD7328"/>
    <w:rsid w:val="00BF69C6"/>
    <w:rsid w:val="00BF7D4C"/>
    <w:rsid w:val="00C01E49"/>
    <w:rsid w:val="00C0444E"/>
    <w:rsid w:val="00C10C1F"/>
    <w:rsid w:val="00C11E82"/>
    <w:rsid w:val="00C13760"/>
    <w:rsid w:val="00C15B14"/>
    <w:rsid w:val="00C214AC"/>
    <w:rsid w:val="00C2449C"/>
    <w:rsid w:val="00C2452A"/>
    <w:rsid w:val="00C31A0E"/>
    <w:rsid w:val="00C33A3B"/>
    <w:rsid w:val="00C421E1"/>
    <w:rsid w:val="00C50804"/>
    <w:rsid w:val="00C50B3E"/>
    <w:rsid w:val="00C521C0"/>
    <w:rsid w:val="00C54138"/>
    <w:rsid w:val="00C5775F"/>
    <w:rsid w:val="00C60156"/>
    <w:rsid w:val="00C602C0"/>
    <w:rsid w:val="00C62510"/>
    <w:rsid w:val="00C62E2D"/>
    <w:rsid w:val="00C635E9"/>
    <w:rsid w:val="00C64758"/>
    <w:rsid w:val="00C6503E"/>
    <w:rsid w:val="00C807C5"/>
    <w:rsid w:val="00C817BA"/>
    <w:rsid w:val="00C81DB7"/>
    <w:rsid w:val="00C820A9"/>
    <w:rsid w:val="00C826E6"/>
    <w:rsid w:val="00C83431"/>
    <w:rsid w:val="00C84D4D"/>
    <w:rsid w:val="00C92C46"/>
    <w:rsid w:val="00C94387"/>
    <w:rsid w:val="00C953A7"/>
    <w:rsid w:val="00C960B2"/>
    <w:rsid w:val="00CA3B72"/>
    <w:rsid w:val="00CB0459"/>
    <w:rsid w:val="00CB0777"/>
    <w:rsid w:val="00CB6B11"/>
    <w:rsid w:val="00CC3BFC"/>
    <w:rsid w:val="00CD099D"/>
    <w:rsid w:val="00CE499A"/>
    <w:rsid w:val="00CE54AB"/>
    <w:rsid w:val="00CF668D"/>
    <w:rsid w:val="00D0367C"/>
    <w:rsid w:val="00D074F9"/>
    <w:rsid w:val="00D07597"/>
    <w:rsid w:val="00D212A5"/>
    <w:rsid w:val="00D25CDC"/>
    <w:rsid w:val="00D311CB"/>
    <w:rsid w:val="00D33F7F"/>
    <w:rsid w:val="00D36492"/>
    <w:rsid w:val="00D42571"/>
    <w:rsid w:val="00D42FBD"/>
    <w:rsid w:val="00D430DF"/>
    <w:rsid w:val="00D46942"/>
    <w:rsid w:val="00D470C8"/>
    <w:rsid w:val="00D4759C"/>
    <w:rsid w:val="00D477AE"/>
    <w:rsid w:val="00D50D5D"/>
    <w:rsid w:val="00D531DD"/>
    <w:rsid w:val="00D560F6"/>
    <w:rsid w:val="00D56C9B"/>
    <w:rsid w:val="00D63DC0"/>
    <w:rsid w:val="00D64736"/>
    <w:rsid w:val="00D65411"/>
    <w:rsid w:val="00D65415"/>
    <w:rsid w:val="00D655E0"/>
    <w:rsid w:val="00D728AD"/>
    <w:rsid w:val="00D77D63"/>
    <w:rsid w:val="00D82CC6"/>
    <w:rsid w:val="00D82DDE"/>
    <w:rsid w:val="00D83632"/>
    <w:rsid w:val="00D934F0"/>
    <w:rsid w:val="00DA2DF3"/>
    <w:rsid w:val="00DA3778"/>
    <w:rsid w:val="00DB226D"/>
    <w:rsid w:val="00DB7A3C"/>
    <w:rsid w:val="00DC4F6F"/>
    <w:rsid w:val="00DC5F6F"/>
    <w:rsid w:val="00DC65D5"/>
    <w:rsid w:val="00DD0211"/>
    <w:rsid w:val="00DD0EB2"/>
    <w:rsid w:val="00DD7708"/>
    <w:rsid w:val="00DE43B3"/>
    <w:rsid w:val="00DF0F28"/>
    <w:rsid w:val="00DF59C7"/>
    <w:rsid w:val="00DF797B"/>
    <w:rsid w:val="00E10074"/>
    <w:rsid w:val="00E1081E"/>
    <w:rsid w:val="00E13FB3"/>
    <w:rsid w:val="00E147FB"/>
    <w:rsid w:val="00E166D1"/>
    <w:rsid w:val="00E17150"/>
    <w:rsid w:val="00E21FB1"/>
    <w:rsid w:val="00E23C2A"/>
    <w:rsid w:val="00E2432D"/>
    <w:rsid w:val="00E27670"/>
    <w:rsid w:val="00E30361"/>
    <w:rsid w:val="00E33BAE"/>
    <w:rsid w:val="00E34B4B"/>
    <w:rsid w:val="00E34F4D"/>
    <w:rsid w:val="00E37C79"/>
    <w:rsid w:val="00E45FAA"/>
    <w:rsid w:val="00E509AC"/>
    <w:rsid w:val="00E52B98"/>
    <w:rsid w:val="00E62F64"/>
    <w:rsid w:val="00E6363E"/>
    <w:rsid w:val="00E652AD"/>
    <w:rsid w:val="00E672D8"/>
    <w:rsid w:val="00E70ADB"/>
    <w:rsid w:val="00E77DD1"/>
    <w:rsid w:val="00E8073B"/>
    <w:rsid w:val="00E8398B"/>
    <w:rsid w:val="00E933AA"/>
    <w:rsid w:val="00EA1029"/>
    <w:rsid w:val="00EB1681"/>
    <w:rsid w:val="00EB63F5"/>
    <w:rsid w:val="00EB6654"/>
    <w:rsid w:val="00EB7B8E"/>
    <w:rsid w:val="00EC664D"/>
    <w:rsid w:val="00EC6C6B"/>
    <w:rsid w:val="00ED1376"/>
    <w:rsid w:val="00ED2948"/>
    <w:rsid w:val="00EE5627"/>
    <w:rsid w:val="00EE6CBF"/>
    <w:rsid w:val="00EF089D"/>
    <w:rsid w:val="00F03D4E"/>
    <w:rsid w:val="00F10209"/>
    <w:rsid w:val="00F2404F"/>
    <w:rsid w:val="00F279E1"/>
    <w:rsid w:val="00F27A2F"/>
    <w:rsid w:val="00F33B6B"/>
    <w:rsid w:val="00F35C1B"/>
    <w:rsid w:val="00F35D4E"/>
    <w:rsid w:val="00F44D04"/>
    <w:rsid w:val="00F5611B"/>
    <w:rsid w:val="00F86413"/>
    <w:rsid w:val="00F866D4"/>
    <w:rsid w:val="00F94F80"/>
    <w:rsid w:val="00FA1F2E"/>
    <w:rsid w:val="00FA45F4"/>
    <w:rsid w:val="00FB0784"/>
    <w:rsid w:val="00FC550E"/>
    <w:rsid w:val="00FC678F"/>
    <w:rsid w:val="00FD1E2C"/>
    <w:rsid w:val="00FD7DB9"/>
    <w:rsid w:val="00FE18B0"/>
    <w:rsid w:val="00FE3F0A"/>
    <w:rsid w:val="00FE5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E5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C7E"/>
    <w:pPr>
      <w:spacing w:line="360" w:lineRule="auto"/>
      <w:jc w:val="both"/>
    </w:pPr>
    <w:rPr>
      <w:rFonts w:ascii="Times New Roman" w:hAnsi="Times New Roman"/>
    </w:rPr>
  </w:style>
  <w:style w:type="paragraph" w:styleId="Heading1">
    <w:name w:val="heading 1"/>
    <w:basedOn w:val="Normal"/>
    <w:next w:val="Normal"/>
    <w:link w:val="Heading1Char"/>
    <w:uiPriority w:val="9"/>
    <w:qFormat/>
    <w:rsid w:val="00986C7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986C7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9D20C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9D20C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D20C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D20C6"/>
    <w:pPr>
      <w:spacing w:before="240" w:after="60"/>
      <w:outlineLvl w:val="5"/>
    </w:pPr>
    <w:rPr>
      <w:b/>
      <w:bCs/>
    </w:rPr>
  </w:style>
  <w:style w:type="paragraph" w:styleId="Heading7">
    <w:name w:val="heading 7"/>
    <w:basedOn w:val="Normal"/>
    <w:next w:val="Normal"/>
    <w:link w:val="Heading7Char"/>
    <w:uiPriority w:val="9"/>
    <w:semiHidden/>
    <w:unhideWhenUsed/>
    <w:qFormat/>
    <w:rsid w:val="009D20C6"/>
    <w:pPr>
      <w:spacing w:before="240" w:after="60"/>
      <w:outlineLvl w:val="6"/>
    </w:pPr>
  </w:style>
  <w:style w:type="paragraph" w:styleId="Heading8">
    <w:name w:val="heading 8"/>
    <w:basedOn w:val="Normal"/>
    <w:next w:val="Normal"/>
    <w:link w:val="Heading8Char"/>
    <w:uiPriority w:val="9"/>
    <w:semiHidden/>
    <w:unhideWhenUsed/>
    <w:qFormat/>
    <w:rsid w:val="009D20C6"/>
    <w:pPr>
      <w:spacing w:before="240" w:after="60"/>
      <w:outlineLvl w:val="7"/>
    </w:pPr>
    <w:rPr>
      <w:i/>
      <w:iCs/>
    </w:rPr>
  </w:style>
  <w:style w:type="paragraph" w:styleId="Heading9">
    <w:name w:val="heading 9"/>
    <w:basedOn w:val="Normal"/>
    <w:next w:val="Normal"/>
    <w:link w:val="Heading9Char"/>
    <w:uiPriority w:val="9"/>
    <w:semiHidden/>
    <w:unhideWhenUsed/>
    <w:qFormat/>
    <w:rsid w:val="009D20C6"/>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C7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86C7E"/>
    <w:rPr>
      <w:rFonts w:asciiTheme="majorHAnsi" w:eastAsiaTheme="majorEastAsia" w:hAnsiTheme="majorHAnsi"/>
      <w:b/>
      <w:bCs/>
      <w:i/>
      <w:iCs/>
      <w:sz w:val="28"/>
      <w:szCs w:val="28"/>
    </w:rPr>
  </w:style>
  <w:style w:type="paragraph" w:styleId="FootnoteText">
    <w:name w:val="footnote text"/>
    <w:basedOn w:val="Normal"/>
    <w:link w:val="FootnoteTextChar"/>
    <w:uiPriority w:val="99"/>
    <w:unhideWhenUsed/>
    <w:rsid w:val="00D65415"/>
    <w:pPr>
      <w:spacing w:before="200"/>
    </w:pPr>
    <w:rPr>
      <w:lang w:val="en-US" w:bidi="en-US"/>
    </w:rPr>
  </w:style>
  <w:style w:type="character" w:customStyle="1" w:styleId="FootnoteTextChar">
    <w:name w:val="Footnote Text Char"/>
    <w:basedOn w:val="DefaultParagraphFont"/>
    <w:link w:val="FootnoteText"/>
    <w:uiPriority w:val="99"/>
    <w:rsid w:val="00D65415"/>
    <w:rPr>
      <w:rFonts w:eastAsiaTheme="minorEastAsia"/>
      <w:sz w:val="20"/>
      <w:szCs w:val="20"/>
      <w:lang w:val="en-US" w:bidi="en-US"/>
    </w:rPr>
  </w:style>
  <w:style w:type="character" w:styleId="FootnoteReference">
    <w:name w:val="footnote reference"/>
    <w:basedOn w:val="DefaultParagraphFont"/>
    <w:uiPriority w:val="99"/>
    <w:unhideWhenUsed/>
    <w:rsid w:val="00D65415"/>
    <w:rPr>
      <w:vertAlign w:val="superscript"/>
    </w:rPr>
  </w:style>
  <w:style w:type="character" w:customStyle="1" w:styleId="apple-style-span">
    <w:name w:val="apple-style-span"/>
    <w:basedOn w:val="DefaultParagraphFont"/>
    <w:rsid w:val="00893ABA"/>
  </w:style>
  <w:style w:type="character" w:customStyle="1" w:styleId="Heading3Char">
    <w:name w:val="Heading 3 Char"/>
    <w:basedOn w:val="DefaultParagraphFont"/>
    <w:link w:val="Heading3"/>
    <w:uiPriority w:val="9"/>
    <w:rsid w:val="009D20C6"/>
    <w:rPr>
      <w:rFonts w:asciiTheme="majorHAnsi" w:eastAsiaTheme="majorEastAsia" w:hAnsiTheme="majorHAnsi"/>
      <w:b/>
      <w:bCs/>
      <w:sz w:val="26"/>
      <w:szCs w:val="26"/>
    </w:rPr>
  </w:style>
  <w:style w:type="paragraph" w:styleId="Caption">
    <w:name w:val="caption"/>
    <w:basedOn w:val="Normal"/>
    <w:next w:val="Normal"/>
    <w:uiPriority w:val="35"/>
    <w:unhideWhenUsed/>
    <w:rsid w:val="00E8398B"/>
    <w:rPr>
      <w:b/>
      <w:bCs/>
      <w:caps/>
      <w:sz w:val="16"/>
      <w:szCs w:val="16"/>
    </w:rPr>
  </w:style>
  <w:style w:type="paragraph" w:styleId="BalloonText">
    <w:name w:val="Balloon Text"/>
    <w:basedOn w:val="Normal"/>
    <w:link w:val="BalloonTextChar"/>
    <w:uiPriority w:val="99"/>
    <w:semiHidden/>
    <w:unhideWhenUsed/>
    <w:rsid w:val="00D64736"/>
    <w:rPr>
      <w:rFonts w:ascii="Tahoma" w:hAnsi="Tahoma" w:cs="Tahoma"/>
      <w:sz w:val="16"/>
      <w:szCs w:val="16"/>
    </w:rPr>
  </w:style>
  <w:style w:type="character" w:customStyle="1" w:styleId="BalloonTextChar">
    <w:name w:val="Balloon Text Char"/>
    <w:basedOn w:val="DefaultParagraphFont"/>
    <w:link w:val="BalloonText"/>
    <w:uiPriority w:val="99"/>
    <w:semiHidden/>
    <w:rsid w:val="00D64736"/>
    <w:rPr>
      <w:rFonts w:ascii="Tahoma" w:hAnsi="Tahoma" w:cs="Tahoma"/>
      <w:sz w:val="16"/>
      <w:szCs w:val="16"/>
    </w:rPr>
  </w:style>
  <w:style w:type="character" w:customStyle="1" w:styleId="Heading4Char">
    <w:name w:val="Heading 4 Char"/>
    <w:basedOn w:val="DefaultParagraphFont"/>
    <w:link w:val="Heading4"/>
    <w:uiPriority w:val="9"/>
    <w:rsid w:val="009D20C6"/>
    <w:rPr>
      <w:b/>
      <w:bCs/>
      <w:sz w:val="28"/>
      <w:szCs w:val="28"/>
    </w:rPr>
  </w:style>
  <w:style w:type="character" w:customStyle="1" w:styleId="Heading5Char">
    <w:name w:val="Heading 5 Char"/>
    <w:basedOn w:val="DefaultParagraphFont"/>
    <w:link w:val="Heading5"/>
    <w:uiPriority w:val="9"/>
    <w:semiHidden/>
    <w:rsid w:val="009D20C6"/>
    <w:rPr>
      <w:b/>
      <w:bCs/>
      <w:i/>
      <w:iCs/>
      <w:sz w:val="26"/>
      <w:szCs w:val="26"/>
    </w:rPr>
  </w:style>
  <w:style w:type="character" w:customStyle="1" w:styleId="Heading6Char">
    <w:name w:val="Heading 6 Char"/>
    <w:basedOn w:val="DefaultParagraphFont"/>
    <w:link w:val="Heading6"/>
    <w:uiPriority w:val="9"/>
    <w:semiHidden/>
    <w:rsid w:val="009D20C6"/>
    <w:rPr>
      <w:b/>
      <w:bCs/>
    </w:rPr>
  </w:style>
  <w:style w:type="character" w:customStyle="1" w:styleId="Heading7Char">
    <w:name w:val="Heading 7 Char"/>
    <w:basedOn w:val="DefaultParagraphFont"/>
    <w:link w:val="Heading7"/>
    <w:uiPriority w:val="9"/>
    <w:semiHidden/>
    <w:rsid w:val="009D20C6"/>
    <w:rPr>
      <w:sz w:val="24"/>
      <w:szCs w:val="24"/>
    </w:rPr>
  </w:style>
  <w:style w:type="character" w:customStyle="1" w:styleId="Heading8Char">
    <w:name w:val="Heading 8 Char"/>
    <w:basedOn w:val="DefaultParagraphFont"/>
    <w:link w:val="Heading8"/>
    <w:uiPriority w:val="9"/>
    <w:semiHidden/>
    <w:rsid w:val="009D20C6"/>
    <w:rPr>
      <w:i/>
      <w:iCs/>
      <w:sz w:val="24"/>
      <w:szCs w:val="24"/>
    </w:rPr>
  </w:style>
  <w:style w:type="character" w:customStyle="1" w:styleId="Heading9Char">
    <w:name w:val="Heading 9 Char"/>
    <w:basedOn w:val="DefaultParagraphFont"/>
    <w:link w:val="Heading9"/>
    <w:uiPriority w:val="9"/>
    <w:semiHidden/>
    <w:rsid w:val="009D20C6"/>
    <w:rPr>
      <w:rFonts w:asciiTheme="majorHAnsi" w:eastAsiaTheme="majorEastAsia" w:hAnsiTheme="majorHAnsi"/>
    </w:rPr>
  </w:style>
  <w:style w:type="paragraph" w:styleId="Title">
    <w:name w:val="Title"/>
    <w:basedOn w:val="Normal"/>
    <w:next w:val="Normal"/>
    <w:link w:val="TitleChar"/>
    <w:uiPriority w:val="10"/>
    <w:qFormat/>
    <w:rsid w:val="009D20C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D20C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D20C6"/>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9D20C6"/>
    <w:rPr>
      <w:rFonts w:asciiTheme="majorHAnsi" w:eastAsiaTheme="majorEastAsia" w:hAnsiTheme="majorHAnsi" w:cstheme="majorBidi"/>
      <w:sz w:val="24"/>
      <w:szCs w:val="24"/>
    </w:rPr>
  </w:style>
  <w:style w:type="character" w:styleId="Strong">
    <w:name w:val="Strong"/>
    <w:basedOn w:val="DefaultParagraphFont"/>
    <w:uiPriority w:val="22"/>
    <w:qFormat/>
    <w:rsid w:val="009D20C6"/>
    <w:rPr>
      <w:b/>
      <w:bCs/>
    </w:rPr>
  </w:style>
  <w:style w:type="character" w:styleId="Emphasis">
    <w:name w:val="Emphasis"/>
    <w:basedOn w:val="DefaultParagraphFont"/>
    <w:uiPriority w:val="20"/>
    <w:qFormat/>
    <w:rsid w:val="009D20C6"/>
    <w:rPr>
      <w:rFonts w:asciiTheme="minorHAnsi" w:hAnsiTheme="minorHAnsi"/>
      <w:b/>
      <w:i/>
      <w:iCs/>
    </w:rPr>
  </w:style>
  <w:style w:type="paragraph" w:styleId="NoSpacing">
    <w:name w:val="No Spacing"/>
    <w:basedOn w:val="Normal"/>
    <w:uiPriority w:val="1"/>
    <w:qFormat/>
    <w:rsid w:val="009D20C6"/>
    <w:rPr>
      <w:szCs w:val="32"/>
    </w:rPr>
  </w:style>
  <w:style w:type="paragraph" w:styleId="Quote">
    <w:name w:val="Quote"/>
    <w:basedOn w:val="Normal"/>
    <w:next w:val="Normal"/>
    <w:link w:val="QuoteChar"/>
    <w:uiPriority w:val="29"/>
    <w:qFormat/>
    <w:rsid w:val="00C62510"/>
    <w:pPr>
      <w:spacing w:line="240" w:lineRule="auto"/>
      <w:ind w:left="720"/>
    </w:pPr>
  </w:style>
  <w:style w:type="character" w:customStyle="1" w:styleId="QuoteChar">
    <w:name w:val="Quote Char"/>
    <w:basedOn w:val="DefaultParagraphFont"/>
    <w:link w:val="Quote"/>
    <w:uiPriority w:val="29"/>
    <w:rsid w:val="00C62510"/>
    <w:rPr>
      <w:rFonts w:ascii="Times New Roman" w:hAnsi="Times New Roman"/>
    </w:rPr>
  </w:style>
  <w:style w:type="paragraph" w:styleId="IntenseQuote">
    <w:name w:val="Intense Quote"/>
    <w:basedOn w:val="Normal"/>
    <w:next w:val="Normal"/>
    <w:link w:val="IntenseQuoteChar"/>
    <w:uiPriority w:val="30"/>
    <w:qFormat/>
    <w:rsid w:val="003560AA"/>
    <w:pPr>
      <w:spacing w:line="240" w:lineRule="auto"/>
      <w:ind w:left="720" w:right="720"/>
    </w:pPr>
    <w:rPr>
      <w:i/>
    </w:rPr>
  </w:style>
  <w:style w:type="character" w:customStyle="1" w:styleId="IntenseQuoteChar">
    <w:name w:val="Intense Quote Char"/>
    <w:basedOn w:val="DefaultParagraphFont"/>
    <w:link w:val="IntenseQuote"/>
    <w:uiPriority w:val="30"/>
    <w:rsid w:val="003560AA"/>
    <w:rPr>
      <w:rFonts w:ascii="Times New Roman" w:hAnsi="Times New Roman"/>
      <w:i/>
    </w:rPr>
  </w:style>
  <w:style w:type="character" w:styleId="SubtleEmphasis">
    <w:name w:val="Subtle Emphasis"/>
    <w:uiPriority w:val="19"/>
    <w:qFormat/>
    <w:rsid w:val="009D20C6"/>
    <w:rPr>
      <w:i/>
      <w:color w:val="5A5A5A" w:themeColor="text1" w:themeTint="A5"/>
    </w:rPr>
  </w:style>
  <w:style w:type="character" w:styleId="IntenseEmphasis">
    <w:name w:val="Intense Emphasis"/>
    <w:basedOn w:val="DefaultParagraphFont"/>
    <w:uiPriority w:val="21"/>
    <w:qFormat/>
    <w:rsid w:val="009D20C6"/>
    <w:rPr>
      <w:b/>
      <w:i/>
      <w:sz w:val="24"/>
      <w:szCs w:val="24"/>
      <w:u w:val="single"/>
    </w:rPr>
  </w:style>
  <w:style w:type="character" w:styleId="SubtleReference">
    <w:name w:val="Subtle Reference"/>
    <w:basedOn w:val="DefaultParagraphFont"/>
    <w:uiPriority w:val="31"/>
    <w:qFormat/>
    <w:rsid w:val="009D20C6"/>
    <w:rPr>
      <w:sz w:val="24"/>
      <w:szCs w:val="24"/>
      <w:u w:val="single"/>
    </w:rPr>
  </w:style>
  <w:style w:type="character" w:styleId="IntenseReference">
    <w:name w:val="Intense Reference"/>
    <w:basedOn w:val="DefaultParagraphFont"/>
    <w:uiPriority w:val="32"/>
    <w:qFormat/>
    <w:rsid w:val="009D20C6"/>
    <w:rPr>
      <w:b/>
      <w:sz w:val="24"/>
      <w:u w:val="single"/>
    </w:rPr>
  </w:style>
  <w:style w:type="character" w:styleId="BookTitle">
    <w:name w:val="Book Title"/>
    <w:basedOn w:val="DefaultParagraphFont"/>
    <w:uiPriority w:val="33"/>
    <w:qFormat/>
    <w:rsid w:val="009D20C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D20C6"/>
    <w:pPr>
      <w:outlineLvl w:val="9"/>
    </w:pPr>
  </w:style>
  <w:style w:type="paragraph" w:styleId="EndnoteText">
    <w:name w:val="endnote text"/>
    <w:basedOn w:val="Normal"/>
    <w:link w:val="EndnoteTextChar"/>
    <w:uiPriority w:val="99"/>
    <w:unhideWhenUsed/>
    <w:rsid w:val="00387FC0"/>
  </w:style>
  <w:style w:type="character" w:customStyle="1" w:styleId="EndnoteTextChar">
    <w:name w:val="Endnote Text Char"/>
    <w:basedOn w:val="DefaultParagraphFont"/>
    <w:link w:val="EndnoteText"/>
    <w:uiPriority w:val="99"/>
    <w:rsid w:val="00387FC0"/>
  </w:style>
  <w:style w:type="character" w:styleId="EndnoteReference">
    <w:name w:val="endnote reference"/>
    <w:basedOn w:val="DefaultParagraphFont"/>
    <w:uiPriority w:val="99"/>
    <w:semiHidden/>
    <w:unhideWhenUsed/>
    <w:rsid w:val="00387FC0"/>
    <w:rPr>
      <w:vertAlign w:val="superscript"/>
    </w:rPr>
  </w:style>
  <w:style w:type="paragraph" w:styleId="ListParagraph">
    <w:name w:val="List Paragraph"/>
    <w:basedOn w:val="Normal"/>
    <w:uiPriority w:val="34"/>
    <w:qFormat/>
    <w:rsid w:val="009D20C6"/>
    <w:pPr>
      <w:ind w:left="720"/>
      <w:contextualSpacing/>
    </w:pPr>
  </w:style>
  <w:style w:type="character" w:styleId="Hyperlink">
    <w:name w:val="Hyperlink"/>
    <w:basedOn w:val="DefaultParagraphFont"/>
    <w:uiPriority w:val="99"/>
    <w:unhideWhenUsed/>
    <w:rsid w:val="009E474A"/>
    <w:rPr>
      <w:color w:val="0000FF"/>
      <w:u w:val="single"/>
    </w:rPr>
  </w:style>
  <w:style w:type="character" w:styleId="FollowedHyperlink">
    <w:name w:val="FollowedHyperlink"/>
    <w:basedOn w:val="DefaultParagraphFont"/>
    <w:uiPriority w:val="99"/>
    <w:semiHidden/>
    <w:unhideWhenUsed/>
    <w:rsid w:val="000D53F0"/>
    <w:rPr>
      <w:color w:val="800080" w:themeColor="followedHyperlink"/>
      <w:u w:val="single"/>
    </w:rPr>
  </w:style>
  <w:style w:type="paragraph" w:styleId="Header">
    <w:name w:val="header"/>
    <w:basedOn w:val="Normal"/>
    <w:link w:val="HeaderChar"/>
    <w:uiPriority w:val="99"/>
    <w:unhideWhenUsed/>
    <w:rsid w:val="009E2AE5"/>
    <w:pPr>
      <w:tabs>
        <w:tab w:val="center" w:pos="4513"/>
        <w:tab w:val="right" w:pos="9026"/>
      </w:tabs>
    </w:pPr>
  </w:style>
  <w:style w:type="character" w:customStyle="1" w:styleId="HeaderChar">
    <w:name w:val="Header Char"/>
    <w:basedOn w:val="DefaultParagraphFont"/>
    <w:link w:val="Header"/>
    <w:uiPriority w:val="99"/>
    <w:rsid w:val="009E2AE5"/>
    <w:rPr>
      <w:sz w:val="24"/>
      <w:szCs w:val="24"/>
    </w:rPr>
  </w:style>
  <w:style w:type="paragraph" w:styleId="Footer">
    <w:name w:val="footer"/>
    <w:basedOn w:val="Normal"/>
    <w:link w:val="FooterChar"/>
    <w:uiPriority w:val="99"/>
    <w:unhideWhenUsed/>
    <w:rsid w:val="009E2AE5"/>
    <w:pPr>
      <w:tabs>
        <w:tab w:val="center" w:pos="4513"/>
        <w:tab w:val="right" w:pos="9026"/>
      </w:tabs>
    </w:pPr>
  </w:style>
  <w:style w:type="character" w:customStyle="1" w:styleId="FooterChar">
    <w:name w:val="Footer Char"/>
    <w:basedOn w:val="DefaultParagraphFont"/>
    <w:link w:val="Footer"/>
    <w:uiPriority w:val="99"/>
    <w:rsid w:val="009E2AE5"/>
    <w:rPr>
      <w:sz w:val="24"/>
      <w:szCs w:val="24"/>
    </w:rPr>
  </w:style>
  <w:style w:type="character" w:styleId="CommentReference">
    <w:name w:val="annotation reference"/>
    <w:basedOn w:val="DefaultParagraphFont"/>
    <w:uiPriority w:val="99"/>
    <w:semiHidden/>
    <w:unhideWhenUsed/>
    <w:rsid w:val="00CF668D"/>
    <w:rPr>
      <w:sz w:val="16"/>
      <w:szCs w:val="16"/>
    </w:rPr>
  </w:style>
  <w:style w:type="paragraph" w:styleId="CommentText">
    <w:name w:val="annotation text"/>
    <w:basedOn w:val="Normal"/>
    <w:link w:val="CommentTextChar"/>
    <w:uiPriority w:val="99"/>
    <w:semiHidden/>
    <w:unhideWhenUsed/>
    <w:rsid w:val="00CF668D"/>
    <w:pPr>
      <w:spacing w:line="240" w:lineRule="auto"/>
    </w:pPr>
    <w:rPr>
      <w:sz w:val="20"/>
      <w:szCs w:val="20"/>
    </w:rPr>
  </w:style>
  <w:style w:type="character" w:customStyle="1" w:styleId="CommentTextChar">
    <w:name w:val="Comment Text Char"/>
    <w:basedOn w:val="DefaultParagraphFont"/>
    <w:link w:val="CommentText"/>
    <w:uiPriority w:val="99"/>
    <w:semiHidden/>
    <w:rsid w:val="00CF668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F668D"/>
    <w:rPr>
      <w:b/>
      <w:bCs/>
    </w:rPr>
  </w:style>
  <w:style w:type="character" w:customStyle="1" w:styleId="CommentSubjectChar">
    <w:name w:val="Comment Subject Char"/>
    <w:basedOn w:val="CommentTextChar"/>
    <w:link w:val="CommentSubject"/>
    <w:uiPriority w:val="99"/>
    <w:semiHidden/>
    <w:rsid w:val="00CF668D"/>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C7E"/>
    <w:pPr>
      <w:spacing w:line="360" w:lineRule="auto"/>
      <w:jc w:val="both"/>
    </w:pPr>
    <w:rPr>
      <w:rFonts w:ascii="Times New Roman" w:hAnsi="Times New Roman"/>
    </w:rPr>
  </w:style>
  <w:style w:type="paragraph" w:styleId="Heading1">
    <w:name w:val="heading 1"/>
    <w:basedOn w:val="Normal"/>
    <w:next w:val="Normal"/>
    <w:link w:val="Heading1Char"/>
    <w:uiPriority w:val="9"/>
    <w:qFormat/>
    <w:rsid w:val="00986C7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986C7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9D20C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9D20C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D20C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D20C6"/>
    <w:pPr>
      <w:spacing w:before="240" w:after="60"/>
      <w:outlineLvl w:val="5"/>
    </w:pPr>
    <w:rPr>
      <w:b/>
      <w:bCs/>
    </w:rPr>
  </w:style>
  <w:style w:type="paragraph" w:styleId="Heading7">
    <w:name w:val="heading 7"/>
    <w:basedOn w:val="Normal"/>
    <w:next w:val="Normal"/>
    <w:link w:val="Heading7Char"/>
    <w:uiPriority w:val="9"/>
    <w:semiHidden/>
    <w:unhideWhenUsed/>
    <w:qFormat/>
    <w:rsid w:val="009D20C6"/>
    <w:pPr>
      <w:spacing w:before="240" w:after="60"/>
      <w:outlineLvl w:val="6"/>
    </w:pPr>
  </w:style>
  <w:style w:type="paragraph" w:styleId="Heading8">
    <w:name w:val="heading 8"/>
    <w:basedOn w:val="Normal"/>
    <w:next w:val="Normal"/>
    <w:link w:val="Heading8Char"/>
    <w:uiPriority w:val="9"/>
    <w:semiHidden/>
    <w:unhideWhenUsed/>
    <w:qFormat/>
    <w:rsid w:val="009D20C6"/>
    <w:pPr>
      <w:spacing w:before="240" w:after="60"/>
      <w:outlineLvl w:val="7"/>
    </w:pPr>
    <w:rPr>
      <w:i/>
      <w:iCs/>
    </w:rPr>
  </w:style>
  <w:style w:type="paragraph" w:styleId="Heading9">
    <w:name w:val="heading 9"/>
    <w:basedOn w:val="Normal"/>
    <w:next w:val="Normal"/>
    <w:link w:val="Heading9Char"/>
    <w:uiPriority w:val="9"/>
    <w:semiHidden/>
    <w:unhideWhenUsed/>
    <w:qFormat/>
    <w:rsid w:val="009D20C6"/>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C7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86C7E"/>
    <w:rPr>
      <w:rFonts w:asciiTheme="majorHAnsi" w:eastAsiaTheme="majorEastAsia" w:hAnsiTheme="majorHAnsi"/>
      <w:b/>
      <w:bCs/>
      <w:i/>
      <w:iCs/>
      <w:sz w:val="28"/>
      <w:szCs w:val="28"/>
    </w:rPr>
  </w:style>
  <w:style w:type="paragraph" w:styleId="FootnoteText">
    <w:name w:val="footnote text"/>
    <w:basedOn w:val="Normal"/>
    <w:link w:val="FootnoteTextChar"/>
    <w:uiPriority w:val="99"/>
    <w:unhideWhenUsed/>
    <w:rsid w:val="00D65415"/>
    <w:pPr>
      <w:spacing w:before="200"/>
    </w:pPr>
    <w:rPr>
      <w:lang w:val="en-US" w:bidi="en-US"/>
    </w:rPr>
  </w:style>
  <w:style w:type="character" w:customStyle="1" w:styleId="FootnoteTextChar">
    <w:name w:val="Footnote Text Char"/>
    <w:basedOn w:val="DefaultParagraphFont"/>
    <w:link w:val="FootnoteText"/>
    <w:uiPriority w:val="99"/>
    <w:rsid w:val="00D65415"/>
    <w:rPr>
      <w:rFonts w:eastAsiaTheme="minorEastAsia"/>
      <w:sz w:val="20"/>
      <w:szCs w:val="20"/>
      <w:lang w:val="en-US" w:bidi="en-US"/>
    </w:rPr>
  </w:style>
  <w:style w:type="character" w:styleId="FootnoteReference">
    <w:name w:val="footnote reference"/>
    <w:basedOn w:val="DefaultParagraphFont"/>
    <w:uiPriority w:val="99"/>
    <w:unhideWhenUsed/>
    <w:rsid w:val="00D65415"/>
    <w:rPr>
      <w:vertAlign w:val="superscript"/>
    </w:rPr>
  </w:style>
  <w:style w:type="character" w:customStyle="1" w:styleId="apple-style-span">
    <w:name w:val="apple-style-span"/>
    <w:basedOn w:val="DefaultParagraphFont"/>
    <w:rsid w:val="00893ABA"/>
  </w:style>
  <w:style w:type="character" w:customStyle="1" w:styleId="Heading3Char">
    <w:name w:val="Heading 3 Char"/>
    <w:basedOn w:val="DefaultParagraphFont"/>
    <w:link w:val="Heading3"/>
    <w:uiPriority w:val="9"/>
    <w:rsid w:val="009D20C6"/>
    <w:rPr>
      <w:rFonts w:asciiTheme="majorHAnsi" w:eastAsiaTheme="majorEastAsia" w:hAnsiTheme="majorHAnsi"/>
      <w:b/>
      <w:bCs/>
      <w:sz w:val="26"/>
      <w:szCs w:val="26"/>
    </w:rPr>
  </w:style>
  <w:style w:type="paragraph" w:styleId="Caption">
    <w:name w:val="caption"/>
    <w:basedOn w:val="Normal"/>
    <w:next w:val="Normal"/>
    <w:uiPriority w:val="35"/>
    <w:unhideWhenUsed/>
    <w:rsid w:val="00E8398B"/>
    <w:rPr>
      <w:b/>
      <w:bCs/>
      <w:caps/>
      <w:sz w:val="16"/>
      <w:szCs w:val="16"/>
    </w:rPr>
  </w:style>
  <w:style w:type="paragraph" w:styleId="BalloonText">
    <w:name w:val="Balloon Text"/>
    <w:basedOn w:val="Normal"/>
    <w:link w:val="BalloonTextChar"/>
    <w:uiPriority w:val="99"/>
    <w:semiHidden/>
    <w:unhideWhenUsed/>
    <w:rsid w:val="00D64736"/>
    <w:rPr>
      <w:rFonts w:ascii="Tahoma" w:hAnsi="Tahoma" w:cs="Tahoma"/>
      <w:sz w:val="16"/>
      <w:szCs w:val="16"/>
    </w:rPr>
  </w:style>
  <w:style w:type="character" w:customStyle="1" w:styleId="BalloonTextChar">
    <w:name w:val="Balloon Text Char"/>
    <w:basedOn w:val="DefaultParagraphFont"/>
    <w:link w:val="BalloonText"/>
    <w:uiPriority w:val="99"/>
    <w:semiHidden/>
    <w:rsid w:val="00D64736"/>
    <w:rPr>
      <w:rFonts w:ascii="Tahoma" w:hAnsi="Tahoma" w:cs="Tahoma"/>
      <w:sz w:val="16"/>
      <w:szCs w:val="16"/>
    </w:rPr>
  </w:style>
  <w:style w:type="character" w:customStyle="1" w:styleId="Heading4Char">
    <w:name w:val="Heading 4 Char"/>
    <w:basedOn w:val="DefaultParagraphFont"/>
    <w:link w:val="Heading4"/>
    <w:uiPriority w:val="9"/>
    <w:rsid w:val="009D20C6"/>
    <w:rPr>
      <w:b/>
      <w:bCs/>
      <w:sz w:val="28"/>
      <w:szCs w:val="28"/>
    </w:rPr>
  </w:style>
  <w:style w:type="character" w:customStyle="1" w:styleId="Heading5Char">
    <w:name w:val="Heading 5 Char"/>
    <w:basedOn w:val="DefaultParagraphFont"/>
    <w:link w:val="Heading5"/>
    <w:uiPriority w:val="9"/>
    <w:semiHidden/>
    <w:rsid w:val="009D20C6"/>
    <w:rPr>
      <w:b/>
      <w:bCs/>
      <w:i/>
      <w:iCs/>
      <w:sz w:val="26"/>
      <w:szCs w:val="26"/>
    </w:rPr>
  </w:style>
  <w:style w:type="character" w:customStyle="1" w:styleId="Heading6Char">
    <w:name w:val="Heading 6 Char"/>
    <w:basedOn w:val="DefaultParagraphFont"/>
    <w:link w:val="Heading6"/>
    <w:uiPriority w:val="9"/>
    <w:semiHidden/>
    <w:rsid w:val="009D20C6"/>
    <w:rPr>
      <w:b/>
      <w:bCs/>
    </w:rPr>
  </w:style>
  <w:style w:type="character" w:customStyle="1" w:styleId="Heading7Char">
    <w:name w:val="Heading 7 Char"/>
    <w:basedOn w:val="DefaultParagraphFont"/>
    <w:link w:val="Heading7"/>
    <w:uiPriority w:val="9"/>
    <w:semiHidden/>
    <w:rsid w:val="009D20C6"/>
    <w:rPr>
      <w:sz w:val="24"/>
      <w:szCs w:val="24"/>
    </w:rPr>
  </w:style>
  <w:style w:type="character" w:customStyle="1" w:styleId="Heading8Char">
    <w:name w:val="Heading 8 Char"/>
    <w:basedOn w:val="DefaultParagraphFont"/>
    <w:link w:val="Heading8"/>
    <w:uiPriority w:val="9"/>
    <w:semiHidden/>
    <w:rsid w:val="009D20C6"/>
    <w:rPr>
      <w:i/>
      <w:iCs/>
      <w:sz w:val="24"/>
      <w:szCs w:val="24"/>
    </w:rPr>
  </w:style>
  <w:style w:type="character" w:customStyle="1" w:styleId="Heading9Char">
    <w:name w:val="Heading 9 Char"/>
    <w:basedOn w:val="DefaultParagraphFont"/>
    <w:link w:val="Heading9"/>
    <w:uiPriority w:val="9"/>
    <w:semiHidden/>
    <w:rsid w:val="009D20C6"/>
    <w:rPr>
      <w:rFonts w:asciiTheme="majorHAnsi" w:eastAsiaTheme="majorEastAsia" w:hAnsiTheme="majorHAnsi"/>
    </w:rPr>
  </w:style>
  <w:style w:type="paragraph" w:styleId="Title">
    <w:name w:val="Title"/>
    <w:basedOn w:val="Normal"/>
    <w:next w:val="Normal"/>
    <w:link w:val="TitleChar"/>
    <w:uiPriority w:val="10"/>
    <w:qFormat/>
    <w:rsid w:val="009D20C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D20C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D20C6"/>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9D20C6"/>
    <w:rPr>
      <w:rFonts w:asciiTheme="majorHAnsi" w:eastAsiaTheme="majorEastAsia" w:hAnsiTheme="majorHAnsi" w:cstheme="majorBidi"/>
      <w:sz w:val="24"/>
      <w:szCs w:val="24"/>
    </w:rPr>
  </w:style>
  <w:style w:type="character" w:styleId="Strong">
    <w:name w:val="Strong"/>
    <w:basedOn w:val="DefaultParagraphFont"/>
    <w:uiPriority w:val="22"/>
    <w:qFormat/>
    <w:rsid w:val="009D20C6"/>
    <w:rPr>
      <w:b/>
      <w:bCs/>
    </w:rPr>
  </w:style>
  <w:style w:type="character" w:styleId="Emphasis">
    <w:name w:val="Emphasis"/>
    <w:basedOn w:val="DefaultParagraphFont"/>
    <w:uiPriority w:val="20"/>
    <w:qFormat/>
    <w:rsid w:val="009D20C6"/>
    <w:rPr>
      <w:rFonts w:asciiTheme="minorHAnsi" w:hAnsiTheme="minorHAnsi"/>
      <w:b/>
      <w:i/>
      <w:iCs/>
    </w:rPr>
  </w:style>
  <w:style w:type="paragraph" w:styleId="NoSpacing">
    <w:name w:val="No Spacing"/>
    <w:basedOn w:val="Normal"/>
    <w:uiPriority w:val="1"/>
    <w:qFormat/>
    <w:rsid w:val="009D20C6"/>
    <w:rPr>
      <w:szCs w:val="32"/>
    </w:rPr>
  </w:style>
  <w:style w:type="paragraph" w:styleId="Quote">
    <w:name w:val="Quote"/>
    <w:basedOn w:val="Normal"/>
    <w:next w:val="Normal"/>
    <w:link w:val="QuoteChar"/>
    <w:uiPriority w:val="29"/>
    <w:qFormat/>
    <w:rsid w:val="00C62510"/>
    <w:pPr>
      <w:spacing w:line="240" w:lineRule="auto"/>
      <w:ind w:left="720"/>
    </w:pPr>
  </w:style>
  <w:style w:type="character" w:customStyle="1" w:styleId="QuoteChar">
    <w:name w:val="Quote Char"/>
    <w:basedOn w:val="DefaultParagraphFont"/>
    <w:link w:val="Quote"/>
    <w:uiPriority w:val="29"/>
    <w:rsid w:val="00C62510"/>
    <w:rPr>
      <w:rFonts w:ascii="Times New Roman" w:hAnsi="Times New Roman"/>
    </w:rPr>
  </w:style>
  <w:style w:type="paragraph" w:styleId="IntenseQuote">
    <w:name w:val="Intense Quote"/>
    <w:basedOn w:val="Normal"/>
    <w:next w:val="Normal"/>
    <w:link w:val="IntenseQuoteChar"/>
    <w:uiPriority w:val="30"/>
    <w:qFormat/>
    <w:rsid w:val="003560AA"/>
    <w:pPr>
      <w:spacing w:line="240" w:lineRule="auto"/>
      <w:ind w:left="720" w:right="720"/>
    </w:pPr>
    <w:rPr>
      <w:i/>
    </w:rPr>
  </w:style>
  <w:style w:type="character" w:customStyle="1" w:styleId="IntenseQuoteChar">
    <w:name w:val="Intense Quote Char"/>
    <w:basedOn w:val="DefaultParagraphFont"/>
    <w:link w:val="IntenseQuote"/>
    <w:uiPriority w:val="30"/>
    <w:rsid w:val="003560AA"/>
    <w:rPr>
      <w:rFonts w:ascii="Times New Roman" w:hAnsi="Times New Roman"/>
      <w:i/>
    </w:rPr>
  </w:style>
  <w:style w:type="character" w:styleId="SubtleEmphasis">
    <w:name w:val="Subtle Emphasis"/>
    <w:uiPriority w:val="19"/>
    <w:qFormat/>
    <w:rsid w:val="009D20C6"/>
    <w:rPr>
      <w:i/>
      <w:color w:val="5A5A5A" w:themeColor="text1" w:themeTint="A5"/>
    </w:rPr>
  </w:style>
  <w:style w:type="character" w:styleId="IntenseEmphasis">
    <w:name w:val="Intense Emphasis"/>
    <w:basedOn w:val="DefaultParagraphFont"/>
    <w:uiPriority w:val="21"/>
    <w:qFormat/>
    <w:rsid w:val="009D20C6"/>
    <w:rPr>
      <w:b/>
      <w:i/>
      <w:sz w:val="24"/>
      <w:szCs w:val="24"/>
      <w:u w:val="single"/>
    </w:rPr>
  </w:style>
  <w:style w:type="character" w:styleId="SubtleReference">
    <w:name w:val="Subtle Reference"/>
    <w:basedOn w:val="DefaultParagraphFont"/>
    <w:uiPriority w:val="31"/>
    <w:qFormat/>
    <w:rsid w:val="009D20C6"/>
    <w:rPr>
      <w:sz w:val="24"/>
      <w:szCs w:val="24"/>
      <w:u w:val="single"/>
    </w:rPr>
  </w:style>
  <w:style w:type="character" w:styleId="IntenseReference">
    <w:name w:val="Intense Reference"/>
    <w:basedOn w:val="DefaultParagraphFont"/>
    <w:uiPriority w:val="32"/>
    <w:qFormat/>
    <w:rsid w:val="009D20C6"/>
    <w:rPr>
      <w:b/>
      <w:sz w:val="24"/>
      <w:u w:val="single"/>
    </w:rPr>
  </w:style>
  <w:style w:type="character" w:styleId="BookTitle">
    <w:name w:val="Book Title"/>
    <w:basedOn w:val="DefaultParagraphFont"/>
    <w:uiPriority w:val="33"/>
    <w:qFormat/>
    <w:rsid w:val="009D20C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D20C6"/>
    <w:pPr>
      <w:outlineLvl w:val="9"/>
    </w:pPr>
  </w:style>
  <w:style w:type="paragraph" w:styleId="EndnoteText">
    <w:name w:val="endnote text"/>
    <w:basedOn w:val="Normal"/>
    <w:link w:val="EndnoteTextChar"/>
    <w:uiPriority w:val="99"/>
    <w:unhideWhenUsed/>
    <w:rsid w:val="00387FC0"/>
  </w:style>
  <w:style w:type="character" w:customStyle="1" w:styleId="EndnoteTextChar">
    <w:name w:val="Endnote Text Char"/>
    <w:basedOn w:val="DefaultParagraphFont"/>
    <w:link w:val="EndnoteText"/>
    <w:uiPriority w:val="99"/>
    <w:rsid w:val="00387FC0"/>
  </w:style>
  <w:style w:type="character" w:styleId="EndnoteReference">
    <w:name w:val="endnote reference"/>
    <w:basedOn w:val="DefaultParagraphFont"/>
    <w:uiPriority w:val="99"/>
    <w:semiHidden/>
    <w:unhideWhenUsed/>
    <w:rsid w:val="00387FC0"/>
    <w:rPr>
      <w:vertAlign w:val="superscript"/>
    </w:rPr>
  </w:style>
  <w:style w:type="paragraph" w:styleId="ListParagraph">
    <w:name w:val="List Paragraph"/>
    <w:basedOn w:val="Normal"/>
    <w:uiPriority w:val="34"/>
    <w:qFormat/>
    <w:rsid w:val="009D20C6"/>
    <w:pPr>
      <w:ind w:left="720"/>
      <w:contextualSpacing/>
    </w:pPr>
  </w:style>
  <w:style w:type="character" w:styleId="Hyperlink">
    <w:name w:val="Hyperlink"/>
    <w:basedOn w:val="DefaultParagraphFont"/>
    <w:uiPriority w:val="99"/>
    <w:unhideWhenUsed/>
    <w:rsid w:val="009E474A"/>
    <w:rPr>
      <w:color w:val="0000FF"/>
      <w:u w:val="single"/>
    </w:rPr>
  </w:style>
  <w:style w:type="character" w:styleId="FollowedHyperlink">
    <w:name w:val="FollowedHyperlink"/>
    <w:basedOn w:val="DefaultParagraphFont"/>
    <w:uiPriority w:val="99"/>
    <w:semiHidden/>
    <w:unhideWhenUsed/>
    <w:rsid w:val="000D53F0"/>
    <w:rPr>
      <w:color w:val="800080" w:themeColor="followedHyperlink"/>
      <w:u w:val="single"/>
    </w:rPr>
  </w:style>
  <w:style w:type="paragraph" w:styleId="Header">
    <w:name w:val="header"/>
    <w:basedOn w:val="Normal"/>
    <w:link w:val="HeaderChar"/>
    <w:uiPriority w:val="99"/>
    <w:unhideWhenUsed/>
    <w:rsid w:val="009E2AE5"/>
    <w:pPr>
      <w:tabs>
        <w:tab w:val="center" w:pos="4513"/>
        <w:tab w:val="right" w:pos="9026"/>
      </w:tabs>
    </w:pPr>
  </w:style>
  <w:style w:type="character" w:customStyle="1" w:styleId="HeaderChar">
    <w:name w:val="Header Char"/>
    <w:basedOn w:val="DefaultParagraphFont"/>
    <w:link w:val="Header"/>
    <w:uiPriority w:val="99"/>
    <w:rsid w:val="009E2AE5"/>
    <w:rPr>
      <w:sz w:val="24"/>
      <w:szCs w:val="24"/>
    </w:rPr>
  </w:style>
  <w:style w:type="paragraph" w:styleId="Footer">
    <w:name w:val="footer"/>
    <w:basedOn w:val="Normal"/>
    <w:link w:val="FooterChar"/>
    <w:uiPriority w:val="99"/>
    <w:unhideWhenUsed/>
    <w:rsid w:val="009E2AE5"/>
    <w:pPr>
      <w:tabs>
        <w:tab w:val="center" w:pos="4513"/>
        <w:tab w:val="right" w:pos="9026"/>
      </w:tabs>
    </w:pPr>
  </w:style>
  <w:style w:type="character" w:customStyle="1" w:styleId="FooterChar">
    <w:name w:val="Footer Char"/>
    <w:basedOn w:val="DefaultParagraphFont"/>
    <w:link w:val="Footer"/>
    <w:uiPriority w:val="99"/>
    <w:rsid w:val="009E2AE5"/>
    <w:rPr>
      <w:sz w:val="24"/>
      <w:szCs w:val="24"/>
    </w:rPr>
  </w:style>
  <w:style w:type="character" w:styleId="CommentReference">
    <w:name w:val="annotation reference"/>
    <w:basedOn w:val="DefaultParagraphFont"/>
    <w:uiPriority w:val="99"/>
    <w:semiHidden/>
    <w:unhideWhenUsed/>
    <w:rsid w:val="00CF668D"/>
    <w:rPr>
      <w:sz w:val="16"/>
      <w:szCs w:val="16"/>
    </w:rPr>
  </w:style>
  <w:style w:type="paragraph" w:styleId="CommentText">
    <w:name w:val="annotation text"/>
    <w:basedOn w:val="Normal"/>
    <w:link w:val="CommentTextChar"/>
    <w:uiPriority w:val="99"/>
    <w:semiHidden/>
    <w:unhideWhenUsed/>
    <w:rsid w:val="00CF668D"/>
    <w:pPr>
      <w:spacing w:line="240" w:lineRule="auto"/>
    </w:pPr>
    <w:rPr>
      <w:sz w:val="20"/>
      <w:szCs w:val="20"/>
    </w:rPr>
  </w:style>
  <w:style w:type="character" w:customStyle="1" w:styleId="CommentTextChar">
    <w:name w:val="Comment Text Char"/>
    <w:basedOn w:val="DefaultParagraphFont"/>
    <w:link w:val="CommentText"/>
    <w:uiPriority w:val="99"/>
    <w:semiHidden/>
    <w:rsid w:val="00CF668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F668D"/>
    <w:rPr>
      <w:b/>
      <w:bCs/>
    </w:rPr>
  </w:style>
  <w:style w:type="character" w:customStyle="1" w:styleId="CommentSubjectChar">
    <w:name w:val="Comment Subject Char"/>
    <w:basedOn w:val="CommentTextChar"/>
    <w:link w:val="CommentSubject"/>
    <w:uiPriority w:val="99"/>
    <w:semiHidden/>
    <w:rsid w:val="00CF668D"/>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performancemarks.blogspot.com/2008/04/hour-we-knew-nothing-of-each-other.html" TargetMode="External"/><Relationship Id="rId2" Type="http://schemas.openxmlformats.org/officeDocument/2006/relationships/hyperlink" Target="http://theater.nytimes.com/2010/07/16/theater/reviews/16wander.html" TargetMode="External"/><Relationship Id="rId1" Type="http://schemas.openxmlformats.org/officeDocument/2006/relationships/hyperlink" Target="http://royberkinfo.blogspot.com/2010/05/wanderlust-history-of-walking.html" TargetMode="External"/><Relationship Id="rId4" Type="http://schemas.openxmlformats.org/officeDocument/2006/relationships/hyperlink" Target="http://www.clevescene.com/cleveland/power-walking/Content?oid=19088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CAAA9-72E0-49C9-A3CC-BE3F4E3FF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20</Pages>
  <Words>6673</Words>
  <Characters>38040</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dc:creator>
  <cp:lastModifiedBy>Kris</cp:lastModifiedBy>
  <cp:revision>15</cp:revision>
  <cp:lastPrinted>2014-06-05T14:15:00Z</cp:lastPrinted>
  <dcterms:created xsi:type="dcterms:W3CDTF">2014-06-25T08:07:00Z</dcterms:created>
  <dcterms:modified xsi:type="dcterms:W3CDTF">2014-06-26T14:49:00Z</dcterms:modified>
</cp:coreProperties>
</file>