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1D" w:rsidRDefault="0049298F" w:rsidP="0049298F">
      <w:pPr>
        <w:jc w:val="both"/>
        <w:rPr>
          <w:i/>
        </w:rPr>
      </w:pPr>
      <w:r>
        <w:rPr>
          <w:b/>
        </w:rPr>
        <w:t>Daily s</w:t>
      </w:r>
      <w:r w:rsidR="006745F7">
        <w:rPr>
          <w:b/>
        </w:rPr>
        <w:t xml:space="preserve">nacking frequency </w:t>
      </w:r>
      <w:r w:rsidR="00CA2CED">
        <w:rPr>
          <w:b/>
        </w:rPr>
        <w:t>i</w:t>
      </w:r>
      <w:r>
        <w:rPr>
          <w:b/>
        </w:rPr>
        <w:t>s associated with age, working pattern and</w:t>
      </w:r>
      <w:r w:rsidR="00FF69B7">
        <w:rPr>
          <w:b/>
        </w:rPr>
        <w:t xml:space="preserve"> </w:t>
      </w:r>
      <w:r>
        <w:rPr>
          <w:b/>
        </w:rPr>
        <w:t>dietary nutritional profile</w:t>
      </w:r>
      <w:r w:rsidR="00FF69B7" w:rsidRPr="00FF69B7">
        <w:rPr>
          <w:b/>
        </w:rPr>
        <w:t xml:space="preserve"> of </w:t>
      </w:r>
      <w:r w:rsidR="00FF69B7">
        <w:rPr>
          <w:b/>
        </w:rPr>
        <w:t>professional workers</w:t>
      </w:r>
      <w:r w:rsidR="00FF69B7" w:rsidRPr="00FF69B7">
        <w:rPr>
          <w:b/>
        </w:rPr>
        <w:t xml:space="preserve"> ag</w:t>
      </w:r>
      <w:r>
        <w:rPr>
          <w:b/>
        </w:rPr>
        <w:t xml:space="preserve">ed between 30 and 65 years old. </w:t>
      </w:r>
      <w:r>
        <w:t>By Y. Jin</w:t>
      </w:r>
      <w:r>
        <w:rPr>
          <w:vertAlign w:val="superscript"/>
        </w:rPr>
        <w:t xml:space="preserve">1 </w:t>
      </w:r>
      <w:r>
        <w:t>and T. Birchall</w:t>
      </w:r>
      <w:r>
        <w:rPr>
          <w:vertAlign w:val="superscript"/>
        </w:rPr>
        <w:t>1</w:t>
      </w:r>
      <w:r>
        <w:t xml:space="preserve">, </w:t>
      </w:r>
      <w:r w:rsidRPr="00F247F6">
        <w:rPr>
          <w:vertAlign w:val="superscript"/>
        </w:rPr>
        <w:t>1</w:t>
      </w:r>
      <w:r>
        <w:rPr>
          <w:i/>
        </w:rPr>
        <w:t>School of Health Sciences, Liverpool Hope University, Liverpool. L16 9JD.</w:t>
      </w:r>
    </w:p>
    <w:p w:rsidR="0049298F" w:rsidRPr="00CA2CED" w:rsidRDefault="0049298F" w:rsidP="0049298F">
      <w:pPr>
        <w:jc w:val="both"/>
        <w:rPr>
          <w:sz w:val="18"/>
        </w:rPr>
      </w:pPr>
    </w:p>
    <w:p w:rsidR="0034281D" w:rsidRDefault="007B4E58" w:rsidP="00D91651">
      <w:pPr>
        <w:jc w:val="both"/>
      </w:pPr>
      <w:r>
        <w:t>There</w:t>
      </w:r>
      <w:r w:rsidR="00367B83">
        <w:t xml:space="preserve"> is an emerging body of studies</w:t>
      </w:r>
      <w:r w:rsidR="0049298F">
        <w:t xml:space="preserve"> showi</w:t>
      </w:r>
      <w:r w:rsidR="00367B83">
        <w:t>ng the</w:t>
      </w:r>
      <w:r>
        <w:t xml:space="preserve"> association of snacking </w:t>
      </w:r>
      <w:r w:rsidR="00367B83">
        <w:t xml:space="preserve">behaviour with weight status or nutritional status in general populations </w:t>
      </w:r>
      <w:r w:rsidR="00367B83">
        <w:rPr>
          <w:vertAlign w:val="superscript"/>
        </w:rPr>
        <w:t>(1, 2)</w:t>
      </w:r>
      <w:r>
        <w:t>. However, there</w:t>
      </w:r>
      <w:r w:rsidR="00367B83">
        <w:t xml:space="preserve"> is </w:t>
      </w:r>
      <w:r w:rsidR="0049298F">
        <w:t xml:space="preserve">a lacking of evidence examining </w:t>
      </w:r>
      <w:r>
        <w:t xml:space="preserve">the </w:t>
      </w:r>
      <w:r w:rsidR="003E64FB">
        <w:t xml:space="preserve">link </w:t>
      </w:r>
      <w:r w:rsidR="00486922">
        <w:t>of</w:t>
      </w:r>
      <w:r w:rsidR="00367B83">
        <w:t xml:space="preserve"> </w:t>
      </w:r>
      <w:r w:rsidR="0049298F">
        <w:t>snacking frequency with</w:t>
      </w:r>
      <w:r>
        <w:t xml:space="preserve"> n</w:t>
      </w:r>
      <w:r w:rsidR="00486922">
        <w:t>utritional status in urban-living</w:t>
      </w:r>
      <w:r>
        <w:t xml:space="preserve"> professional wor</w:t>
      </w:r>
      <w:r w:rsidR="006448C9">
        <w:t>kers</w:t>
      </w:r>
      <w:r w:rsidR="0049298F">
        <w:t xml:space="preserve">. This study </w:t>
      </w:r>
      <w:r w:rsidR="00486922">
        <w:t>investigate</w:t>
      </w:r>
      <w:r w:rsidR="0049298F">
        <w:t>d</w:t>
      </w:r>
      <w:r w:rsidR="00486922">
        <w:t xml:space="preserve"> the association of daily snacking frequency with nutrit</w:t>
      </w:r>
      <w:r w:rsidR="003E64FB">
        <w:t xml:space="preserve">ional status amongst </w:t>
      </w:r>
      <w:r w:rsidR="00486922">
        <w:t xml:space="preserve">professional workers residing in the North West of England. </w:t>
      </w:r>
    </w:p>
    <w:p w:rsidR="00302C2B" w:rsidRDefault="00302C2B" w:rsidP="00D91651">
      <w:pPr>
        <w:ind w:firstLine="284"/>
        <w:jc w:val="both"/>
      </w:pPr>
      <w:r>
        <w:t>35 professional workers (M 13, F 22</w:t>
      </w:r>
      <w:r w:rsidRPr="003E3203">
        <w:t>) aged</w:t>
      </w:r>
      <w:r>
        <w:t xml:space="preserve"> 30-65 years old were recruited via random selection from Liverpool and its surrounding areas. Laboratory and anthropometric measures of CVD risk were assessed including blood pressure, measures of central obesity and biomarkers of fasting capillary blood gluco</w:t>
      </w:r>
      <w:r w:rsidR="006448C9">
        <w:t xml:space="preserve">se and lipid profile. Dietary intake profiles including </w:t>
      </w:r>
      <w:r w:rsidR="003E64FB">
        <w:t xml:space="preserve">total </w:t>
      </w:r>
      <w:r w:rsidR="006448C9">
        <w:t xml:space="preserve">energy, nutrients and snacking </w:t>
      </w:r>
      <w:r w:rsidR="003E64FB">
        <w:t xml:space="preserve">behaviours </w:t>
      </w:r>
      <w:r>
        <w:t xml:space="preserve">were recorded using a validated 3-day diet diary and analysed using a dietary assessment software </w:t>
      </w:r>
      <w:proofErr w:type="spellStart"/>
      <w:r>
        <w:t>Microdiet</w:t>
      </w:r>
      <w:proofErr w:type="spellEnd"/>
      <w:r>
        <w:t xml:space="preserve">. Information </w:t>
      </w:r>
      <w:r w:rsidR="006448C9">
        <w:t xml:space="preserve">on </w:t>
      </w:r>
      <w:r>
        <w:t>working hours per week was collected using a sociodemographic</w:t>
      </w:r>
      <w:r w:rsidR="006448C9">
        <w:t xml:space="preserve"> questionnaire. Variation in </w:t>
      </w:r>
      <w:r w:rsidR="003E64FB">
        <w:t xml:space="preserve">nutritional </w:t>
      </w:r>
      <w:r w:rsidR="00BA190C">
        <w:t>status amongst</w:t>
      </w:r>
      <w:r w:rsidR="003E64FB">
        <w:t xml:space="preserve"> all </w:t>
      </w:r>
      <w:r w:rsidR="006448C9">
        <w:t>snacking</w:t>
      </w:r>
      <w:r w:rsidR="00BA190C">
        <w:t>-</w:t>
      </w:r>
      <w:r w:rsidR="006448C9">
        <w:t xml:space="preserve">frequency groups </w:t>
      </w:r>
      <w:r w:rsidR="00C01448">
        <w:t>was asses</w:t>
      </w:r>
      <w:r w:rsidR="00BA190C">
        <w:t>sed by</w:t>
      </w:r>
      <w:r w:rsidR="00C01448">
        <w:t xml:space="preserve"> Univariate</w:t>
      </w:r>
      <w:r w:rsidR="00BA190C">
        <w:t xml:space="preserve"> analysis with Bonferroni </w:t>
      </w:r>
      <w:r w:rsidR="00BA190C">
        <w:rPr>
          <w:i/>
        </w:rPr>
        <w:t>post hoc</w:t>
      </w:r>
      <w:r w:rsidR="00BA190C">
        <w:t xml:space="preserve"> test using </w:t>
      </w:r>
      <w:r w:rsidR="006448C9">
        <w:t xml:space="preserve">SPSS </w:t>
      </w:r>
      <w:r w:rsidR="00BA190C">
        <w:t xml:space="preserve">(v </w:t>
      </w:r>
      <w:r w:rsidR="006448C9">
        <w:t>22</w:t>
      </w:r>
      <w:r w:rsidR="003E64FB">
        <w:t>). The</w:t>
      </w:r>
      <w:r w:rsidR="006448C9">
        <w:t xml:space="preserve"> statistical significance </w:t>
      </w:r>
      <w:r w:rsidR="00BA190C">
        <w:t xml:space="preserve">was </w:t>
      </w:r>
      <w:r w:rsidR="006448C9">
        <w:t xml:space="preserve">set at </w:t>
      </w:r>
      <w:r w:rsidR="00EC5A67">
        <w:t xml:space="preserve">≤ </w:t>
      </w:r>
      <w:r w:rsidR="006448C9">
        <w:t>0.05.</w:t>
      </w:r>
    </w:p>
    <w:p w:rsidR="00D91651" w:rsidRDefault="00B25CCD" w:rsidP="00D91651">
      <w:pPr>
        <w:ind w:firstLine="284"/>
        <w:jc w:val="both"/>
      </w:pPr>
      <w:r>
        <w:t xml:space="preserve">The snack items consumed comprised </w:t>
      </w:r>
      <w:r w:rsidR="00B26866">
        <w:t>hot</w:t>
      </w:r>
      <w:r w:rsidR="00F8121D">
        <w:t xml:space="preserve"> and cold beverages</w:t>
      </w:r>
      <w:r w:rsidR="00977B0F">
        <w:t xml:space="preserve">, </w:t>
      </w:r>
      <w:r w:rsidR="00AC61C2">
        <w:t>wine</w:t>
      </w:r>
      <w:r w:rsidR="008D6122">
        <w:t xml:space="preserve"> and beer</w:t>
      </w:r>
      <w:r w:rsidR="00AC61C2">
        <w:t xml:space="preserve">, </w:t>
      </w:r>
      <w:r w:rsidR="00F8121D">
        <w:t xml:space="preserve">savoury snacks, </w:t>
      </w:r>
      <w:r w:rsidR="001A0B26">
        <w:t>fruit</w:t>
      </w:r>
      <w:r w:rsidR="008D6122">
        <w:t xml:space="preserve"> and</w:t>
      </w:r>
      <w:r w:rsidR="00F8121D">
        <w:t xml:space="preserve"> vegetables</w:t>
      </w:r>
      <w:r w:rsidR="001A0B26">
        <w:t xml:space="preserve">, toast, </w:t>
      </w:r>
      <w:r w:rsidR="00F8121D">
        <w:t xml:space="preserve">sandwich, crumpet, </w:t>
      </w:r>
      <w:r w:rsidR="008D6122">
        <w:t xml:space="preserve">humus, bread sticks, </w:t>
      </w:r>
      <w:r w:rsidR="00F8121D">
        <w:t>cereals</w:t>
      </w:r>
      <w:r w:rsidR="001A0B26">
        <w:t xml:space="preserve">, </w:t>
      </w:r>
      <w:r w:rsidR="008D6122">
        <w:t xml:space="preserve">cereal bars, </w:t>
      </w:r>
      <w:r w:rsidR="00F8121D">
        <w:t>dairy</w:t>
      </w:r>
      <w:r w:rsidR="008D6122">
        <w:t xml:space="preserve"> foods</w:t>
      </w:r>
      <w:r w:rsidR="001A0B26">
        <w:t xml:space="preserve">, </w:t>
      </w:r>
      <w:r w:rsidR="00F8121D">
        <w:t>sweets, confectioneries,</w:t>
      </w:r>
      <w:r w:rsidR="001A0B26">
        <w:t xml:space="preserve"> ice cream</w:t>
      </w:r>
      <w:r w:rsidR="00F8121D">
        <w:t xml:space="preserve">, </w:t>
      </w:r>
      <w:r w:rsidR="00977B0F">
        <w:t xml:space="preserve">nuts, </w:t>
      </w:r>
      <w:r w:rsidR="00F8121D">
        <w:t>raisins</w:t>
      </w:r>
      <w:r w:rsidR="00977B0F">
        <w:t xml:space="preserve">, </w:t>
      </w:r>
      <w:r w:rsidR="00F8121D">
        <w:t>fruit jelly</w:t>
      </w:r>
      <w:r w:rsidR="00C72807">
        <w:t xml:space="preserve"> and </w:t>
      </w:r>
      <w:bookmarkStart w:id="0" w:name="_GoBack"/>
      <w:bookmarkEnd w:id="0"/>
      <w:r w:rsidR="00F8121D">
        <w:t>yogurt</w:t>
      </w:r>
      <w:r w:rsidR="00F571BC">
        <w:t>. S</w:t>
      </w:r>
      <w:r w:rsidR="00CA2CED">
        <w:t>ignificant variations existed</w:t>
      </w:r>
      <w:r w:rsidR="00F571BC">
        <w:t xml:space="preserve"> in </w:t>
      </w:r>
      <w:r w:rsidR="005330C7">
        <w:t>age, working hours/week and dietary nutritional profiles</w:t>
      </w:r>
      <w:r w:rsidR="00AC61C2">
        <w:t xml:space="preserve"> across all </w:t>
      </w:r>
      <w:r w:rsidR="00F571BC">
        <w:t>snack-frequency groups.</w:t>
      </w:r>
      <w:r w:rsidR="00CA2CED">
        <w:t xml:space="preserve"> </w:t>
      </w:r>
      <w:r w:rsidR="005330C7">
        <w:t xml:space="preserve">Only statistically significant </w:t>
      </w:r>
      <w:r w:rsidR="008D6122">
        <w:t>data are</w:t>
      </w:r>
      <w:r w:rsidR="005330C7">
        <w:t xml:space="preserve"> presented in the Table below.</w:t>
      </w:r>
    </w:p>
    <w:p w:rsidR="00F571BC" w:rsidRPr="00F46281" w:rsidRDefault="00F571BC" w:rsidP="00D91651">
      <w:pPr>
        <w:ind w:firstLine="284"/>
        <w:jc w:val="both"/>
        <w:rPr>
          <w:sz w:val="20"/>
        </w:rPr>
      </w:pPr>
    </w:p>
    <w:tbl>
      <w:tblPr>
        <w:tblW w:w="9229" w:type="dxa"/>
        <w:jc w:val="center"/>
        <w:tblLook w:val="04A0" w:firstRow="1" w:lastRow="0" w:firstColumn="1" w:lastColumn="0" w:noHBand="0" w:noVBand="1"/>
      </w:tblPr>
      <w:tblGrid>
        <w:gridCol w:w="1660"/>
        <w:gridCol w:w="989"/>
        <w:gridCol w:w="866"/>
        <w:gridCol w:w="1008"/>
        <w:gridCol w:w="866"/>
        <w:gridCol w:w="989"/>
        <w:gridCol w:w="866"/>
        <w:gridCol w:w="1119"/>
        <w:gridCol w:w="866"/>
      </w:tblGrid>
      <w:tr w:rsidR="00D91651" w:rsidRPr="00D91651" w:rsidTr="000E0F31">
        <w:trPr>
          <w:trHeight w:val="300"/>
          <w:jc w:val="center"/>
        </w:trPr>
        <w:tc>
          <w:tcPr>
            <w:tcW w:w="1660" w:type="dxa"/>
            <w:tcBorders>
              <w:top w:val="nil"/>
              <w:left w:val="nil"/>
              <w:bottom w:val="nil"/>
              <w:right w:val="nil"/>
            </w:tcBorders>
            <w:shd w:val="clear" w:color="auto" w:fill="auto"/>
            <w:noWrap/>
            <w:vAlign w:val="center"/>
            <w:hideMark/>
          </w:tcPr>
          <w:p w:rsidR="00D91651" w:rsidRPr="00D91651" w:rsidRDefault="00D91651" w:rsidP="00D91651">
            <w:pPr>
              <w:rPr>
                <w:sz w:val="20"/>
                <w:szCs w:val="20"/>
                <w:lang w:eastAsia="zh-CN"/>
              </w:rPr>
            </w:pPr>
          </w:p>
        </w:tc>
        <w:tc>
          <w:tcPr>
            <w:tcW w:w="7569" w:type="dxa"/>
            <w:gridSpan w:val="8"/>
            <w:tcBorders>
              <w:top w:val="single" w:sz="4" w:space="0" w:color="auto"/>
              <w:left w:val="nil"/>
              <w:bottom w:val="single" w:sz="4" w:space="0" w:color="auto"/>
              <w:right w:val="nil"/>
            </w:tcBorders>
            <w:shd w:val="clear" w:color="auto" w:fill="auto"/>
            <w:noWrap/>
            <w:vAlign w:val="center"/>
            <w:hideMark/>
          </w:tcPr>
          <w:p w:rsidR="00D91651" w:rsidRPr="00D91651" w:rsidRDefault="00F46281" w:rsidP="00D91651">
            <w:pPr>
              <w:jc w:val="center"/>
              <w:rPr>
                <w:b/>
                <w:bCs/>
                <w:color w:val="000000"/>
                <w:sz w:val="20"/>
                <w:szCs w:val="20"/>
                <w:vertAlign w:val="superscript"/>
                <w:lang w:eastAsia="zh-CN"/>
              </w:rPr>
            </w:pPr>
            <w:r>
              <w:rPr>
                <w:b/>
                <w:bCs/>
                <w:color w:val="000000"/>
                <w:sz w:val="20"/>
                <w:szCs w:val="20"/>
                <w:lang w:eastAsia="zh-CN"/>
              </w:rPr>
              <w:t>Snacking F</w:t>
            </w:r>
            <w:r w:rsidR="00D91651" w:rsidRPr="00D91651">
              <w:rPr>
                <w:b/>
                <w:bCs/>
                <w:color w:val="000000"/>
                <w:sz w:val="20"/>
                <w:szCs w:val="20"/>
                <w:lang w:eastAsia="zh-CN"/>
              </w:rPr>
              <w:t>requency / day</w:t>
            </w:r>
            <w:r>
              <w:rPr>
                <w:b/>
                <w:bCs/>
                <w:color w:val="000000"/>
                <w:sz w:val="20"/>
                <w:szCs w:val="20"/>
                <w:vertAlign w:val="superscript"/>
                <w:lang w:eastAsia="zh-CN"/>
              </w:rPr>
              <w:t>*</w:t>
            </w:r>
          </w:p>
        </w:tc>
      </w:tr>
      <w:tr w:rsidR="00D91651" w:rsidRPr="00D91651" w:rsidTr="000E0F31">
        <w:trPr>
          <w:trHeight w:val="300"/>
          <w:jc w:val="center"/>
        </w:trPr>
        <w:tc>
          <w:tcPr>
            <w:tcW w:w="1660" w:type="dxa"/>
            <w:vMerge w:val="restart"/>
            <w:tcBorders>
              <w:top w:val="single" w:sz="4" w:space="0" w:color="auto"/>
              <w:left w:val="nil"/>
              <w:bottom w:val="single" w:sz="4" w:space="0" w:color="000000"/>
              <w:right w:val="nil"/>
            </w:tcBorders>
            <w:shd w:val="clear" w:color="auto" w:fill="auto"/>
            <w:noWrap/>
            <w:vAlign w:val="center"/>
            <w:hideMark/>
          </w:tcPr>
          <w:p w:rsidR="00D91651" w:rsidRPr="00D91651" w:rsidRDefault="00D91651" w:rsidP="00D91651">
            <w:pPr>
              <w:jc w:val="center"/>
              <w:rPr>
                <w:b/>
                <w:bCs/>
                <w:color w:val="000000"/>
                <w:sz w:val="20"/>
                <w:szCs w:val="20"/>
                <w:lang w:eastAsia="zh-CN"/>
              </w:rPr>
            </w:pPr>
            <w:r w:rsidRPr="00D91651">
              <w:rPr>
                <w:b/>
                <w:bCs/>
                <w:color w:val="000000"/>
                <w:sz w:val="20"/>
                <w:szCs w:val="20"/>
                <w:lang w:eastAsia="zh-CN"/>
              </w:rPr>
              <w:t>Parameters</w:t>
            </w:r>
          </w:p>
        </w:tc>
        <w:tc>
          <w:tcPr>
            <w:tcW w:w="185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D91651" w:rsidRPr="00D91651" w:rsidRDefault="00D91651" w:rsidP="00D91651">
            <w:pPr>
              <w:jc w:val="center"/>
              <w:rPr>
                <w:b/>
                <w:bCs/>
                <w:color w:val="000000"/>
                <w:sz w:val="20"/>
                <w:szCs w:val="20"/>
                <w:lang w:eastAsia="zh-CN"/>
              </w:rPr>
            </w:pPr>
            <w:r w:rsidRPr="00D91651">
              <w:rPr>
                <w:b/>
                <w:bCs/>
                <w:color w:val="000000"/>
                <w:sz w:val="20"/>
                <w:szCs w:val="20"/>
                <w:lang w:eastAsia="zh-CN"/>
              </w:rPr>
              <w:t>Once</w:t>
            </w:r>
          </w:p>
        </w:tc>
        <w:tc>
          <w:tcPr>
            <w:tcW w:w="187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D91651" w:rsidRPr="00D91651" w:rsidRDefault="00D91651" w:rsidP="00D91651">
            <w:pPr>
              <w:jc w:val="center"/>
              <w:rPr>
                <w:b/>
                <w:bCs/>
                <w:color w:val="000000"/>
                <w:sz w:val="20"/>
                <w:szCs w:val="20"/>
                <w:lang w:eastAsia="zh-CN"/>
              </w:rPr>
            </w:pPr>
            <w:r w:rsidRPr="00D91651">
              <w:rPr>
                <w:b/>
                <w:bCs/>
                <w:color w:val="000000"/>
                <w:sz w:val="20"/>
                <w:szCs w:val="20"/>
                <w:lang w:eastAsia="zh-CN"/>
              </w:rPr>
              <w:t>Twice</w:t>
            </w:r>
          </w:p>
        </w:tc>
        <w:tc>
          <w:tcPr>
            <w:tcW w:w="18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91651" w:rsidRPr="00D91651" w:rsidRDefault="00D91651" w:rsidP="00D91651">
            <w:pPr>
              <w:jc w:val="center"/>
              <w:rPr>
                <w:b/>
                <w:bCs/>
                <w:color w:val="000000"/>
                <w:sz w:val="20"/>
                <w:szCs w:val="20"/>
                <w:lang w:eastAsia="zh-CN"/>
              </w:rPr>
            </w:pPr>
            <w:r w:rsidRPr="00D91651">
              <w:rPr>
                <w:b/>
                <w:bCs/>
                <w:color w:val="000000"/>
                <w:sz w:val="20"/>
                <w:szCs w:val="20"/>
                <w:lang w:eastAsia="zh-CN"/>
              </w:rPr>
              <w:t>Three times</w:t>
            </w:r>
          </w:p>
        </w:tc>
        <w:tc>
          <w:tcPr>
            <w:tcW w:w="1985" w:type="dxa"/>
            <w:gridSpan w:val="2"/>
            <w:tcBorders>
              <w:top w:val="single" w:sz="4" w:space="0" w:color="auto"/>
              <w:left w:val="nil"/>
              <w:bottom w:val="single" w:sz="4" w:space="0" w:color="auto"/>
              <w:right w:val="nil"/>
            </w:tcBorders>
            <w:shd w:val="clear" w:color="auto" w:fill="auto"/>
            <w:noWrap/>
            <w:vAlign w:val="center"/>
            <w:hideMark/>
          </w:tcPr>
          <w:p w:rsidR="00D91651" w:rsidRPr="00D91651" w:rsidRDefault="00D91651" w:rsidP="00D91651">
            <w:pPr>
              <w:jc w:val="center"/>
              <w:rPr>
                <w:b/>
                <w:bCs/>
                <w:color w:val="000000"/>
                <w:sz w:val="20"/>
                <w:szCs w:val="20"/>
                <w:lang w:eastAsia="zh-CN"/>
              </w:rPr>
            </w:pPr>
            <w:r w:rsidRPr="00D91651">
              <w:rPr>
                <w:b/>
                <w:bCs/>
                <w:color w:val="000000"/>
                <w:sz w:val="20"/>
                <w:szCs w:val="20"/>
                <w:lang w:eastAsia="zh-CN"/>
              </w:rPr>
              <w:t>Four times</w:t>
            </w:r>
          </w:p>
        </w:tc>
      </w:tr>
      <w:tr w:rsidR="000E0F31" w:rsidRPr="00D91651" w:rsidTr="000E0F31">
        <w:trPr>
          <w:trHeight w:val="300"/>
          <w:jc w:val="center"/>
        </w:trPr>
        <w:tc>
          <w:tcPr>
            <w:tcW w:w="1660" w:type="dxa"/>
            <w:vMerge/>
            <w:tcBorders>
              <w:top w:val="single" w:sz="4" w:space="0" w:color="auto"/>
              <w:left w:val="nil"/>
              <w:bottom w:val="single" w:sz="4" w:space="0" w:color="000000"/>
              <w:right w:val="nil"/>
            </w:tcBorders>
            <w:vAlign w:val="center"/>
            <w:hideMark/>
          </w:tcPr>
          <w:p w:rsidR="00D91651" w:rsidRPr="00D91651" w:rsidRDefault="00D91651" w:rsidP="00D91651">
            <w:pPr>
              <w:rPr>
                <w:b/>
                <w:bCs/>
                <w:color w:val="000000"/>
                <w:sz w:val="20"/>
                <w:szCs w:val="20"/>
                <w:lang w:eastAsia="zh-CN"/>
              </w:rPr>
            </w:pPr>
          </w:p>
        </w:tc>
        <w:tc>
          <w:tcPr>
            <w:tcW w:w="989"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Mean</w:t>
            </w:r>
          </w:p>
        </w:tc>
        <w:tc>
          <w:tcPr>
            <w:tcW w:w="866" w:type="dxa"/>
            <w:tcBorders>
              <w:top w:val="nil"/>
              <w:left w:val="nil"/>
              <w:bottom w:val="single" w:sz="4" w:space="0" w:color="auto"/>
              <w:right w:val="single" w:sz="4" w:space="0" w:color="auto"/>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SD</w:t>
            </w:r>
          </w:p>
        </w:tc>
        <w:tc>
          <w:tcPr>
            <w:tcW w:w="1008"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Mean</w:t>
            </w:r>
          </w:p>
        </w:tc>
        <w:tc>
          <w:tcPr>
            <w:tcW w:w="866" w:type="dxa"/>
            <w:tcBorders>
              <w:top w:val="nil"/>
              <w:left w:val="nil"/>
              <w:bottom w:val="single" w:sz="4" w:space="0" w:color="auto"/>
              <w:right w:val="single" w:sz="4" w:space="0" w:color="auto"/>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SD</w:t>
            </w:r>
          </w:p>
        </w:tc>
        <w:tc>
          <w:tcPr>
            <w:tcW w:w="989"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Mean</w:t>
            </w:r>
          </w:p>
        </w:tc>
        <w:tc>
          <w:tcPr>
            <w:tcW w:w="866" w:type="dxa"/>
            <w:tcBorders>
              <w:top w:val="nil"/>
              <w:left w:val="nil"/>
              <w:bottom w:val="single" w:sz="4" w:space="0" w:color="auto"/>
              <w:right w:val="single" w:sz="4" w:space="0" w:color="auto"/>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SD</w:t>
            </w:r>
          </w:p>
        </w:tc>
        <w:tc>
          <w:tcPr>
            <w:tcW w:w="1119"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Mean</w:t>
            </w:r>
          </w:p>
        </w:tc>
        <w:tc>
          <w:tcPr>
            <w:tcW w:w="866"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SD</w:t>
            </w:r>
          </w:p>
        </w:tc>
      </w:tr>
      <w:tr w:rsidR="00D91651" w:rsidRPr="00D91651" w:rsidTr="000E0F31">
        <w:trPr>
          <w:trHeight w:val="51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 xml:space="preserve">Total Energy intake (Kcal/day)  </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1575.56</w:t>
            </w:r>
            <w:r w:rsidR="00AC61C2">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114.04</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1955.07</w:t>
            </w:r>
            <w:r w:rsidR="00AC61C2">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557.82</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2131.47</w:t>
            </w:r>
            <w:r w:rsidR="00AC61C2">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506.81</w:t>
            </w:r>
          </w:p>
        </w:tc>
        <w:tc>
          <w:tcPr>
            <w:tcW w:w="111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2413.92</w:t>
            </w:r>
            <w:r w:rsidR="00AC61C2">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802.88</w:t>
            </w:r>
          </w:p>
        </w:tc>
      </w:tr>
      <w:tr w:rsidR="00D91651" w:rsidRPr="00D91651" w:rsidTr="000E0F31">
        <w:trPr>
          <w:trHeight w:val="51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total sugar intake (g/day)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54.97</w:t>
            </w:r>
            <w:r w:rsidR="00AC61C2">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15.97</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80.29</w:t>
            </w:r>
            <w:r w:rsidR="00AC61C2">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31.08</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103.58</w:t>
            </w:r>
            <w:r w:rsidR="00AC61C2">
              <w:rPr>
                <w:color w:val="000000"/>
                <w:sz w:val="20"/>
                <w:szCs w:val="20"/>
                <w:vertAlign w:val="superscript"/>
                <w:lang w:eastAsia="zh-CN"/>
              </w:rPr>
              <w:t>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42.39</w:t>
            </w:r>
          </w:p>
        </w:tc>
        <w:tc>
          <w:tcPr>
            <w:tcW w:w="111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108.83</w:t>
            </w:r>
            <w:r w:rsidR="00AC61C2">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44.84</w:t>
            </w:r>
          </w:p>
        </w:tc>
      </w:tr>
      <w:tr w:rsidR="00D91651" w:rsidRPr="00D91651" w:rsidTr="000E0F31">
        <w:trPr>
          <w:trHeight w:val="51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protein intake (g/day)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56.23</w:t>
            </w:r>
            <w:r w:rsidR="00AC61C2">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1.48</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72.88</w:t>
            </w:r>
            <w:r w:rsidR="00AC61C2">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1.33</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72.51</w:t>
            </w:r>
            <w:r w:rsidR="00AC61C2">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1.32</w:t>
            </w:r>
          </w:p>
        </w:tc>
        <w:tc>
          <w:tcPr>
            <w:tcW w:w="111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104.71</w:t>
            </w:r>
            <w:r w:rsidR="00AC61C2">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1.82</w:t>
            </w:r>
          </w:p>
        </w:tc>
      </w:tr>
      <w:tr w:rsidR="00D91651" w:rsidRPr="00D91651" w:rsidTr="000E0F31">
        <w:trPr>
          <w:trHeight w:val="51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total cholesterol (g/day)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95.02</w:t>
            </w:r>
            <w:r w:rsidR="0048121A">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3.29</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153.39</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1.83</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172.07</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2.07</w:t>
            </w:r>
          </w:p>
        </w:tc>
        <w:tc>
          <w:tcPr>
            <w:tcW w:w="111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312.10</w:t>
            </w:r>
            <w:r w:rsidR="0048121A">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1.60</w:t>
            </w:r>
          </w:p>
        </w:tc>
      </w:tr>
      <w:tr w:rsidR="00D91651" w:rsidRPr="00D91651" w:rsidTr="000E0F31">
        <w:trPr>
          <w:trHeight w:val="615"/>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Retinol Equivalent (µg/day)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661.07</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251.71</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553.37</w:t>
            </w:r>
            <w:r w:rsidR="0048121A">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337.31</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840.48</w:t>
            </w:r>
            <w:r w:rsidR="0048121A">
              <w:rPr>
                <w:color w:val="000000"/>
                <w:sz w:val="20"/>
                <w:szCs w:val="20"/>
                <w:vertAlign w:val="superscript"/>
                <w:lang w:eastAsia="zh-CN"/>
              </w:rPr>
              <w:t>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399.98</w:t>
            </w:r>
          </w:p>
        </w:tc>
        <w:tc>
          <w:tcPr>
            <w:tcW w:w="1119" w:type="dxa"/>
            <w:tcBorders>
              <w:top w:val="nil"/>
              <w:left w:val="nil"/>
              <w:bottom w:val="nil"/>
              <w:right w:val="nil"/>
            </w:tcBorders>
            <w:shd w:val="clear" w:color="000000" w:fill="FFFFFF"/>
            <w:noWrap/>
            <w:vAlign w:val="center"/>
            <w:hideMark/>
          </w:tcPr>
          <w:p w:rsidR="00D91651" w:rsidRPr="00D91651" w:rsidRDefault="0048121A" w:rsidP="00D91651">
            <w:pPr>
              <w:jc w:val="center"/>
              <w:rPr>
                <w:color w:val="000000"/>
                <w:sz w:val="20"/>
                <w:szCs w:val="20"/>
                <w:vertAlign w:val="superscript"/>
                <w:lang w:eastAsia="zh-CN"/>
              </w:rPr>
            </w:pPr>
            <w:r>
              <w:rPr>
                <w:color w:val="000000"/>
                <w:sz w:val="20"/>
                <w:szCs w:val="20"/>
                <w:lang w:eastAsia="zh-CN"/>
              </w:rPr>
              <w:t>26</w:t>
            </w:r>
            <w:r w:rsidR="00D91651" w:rsidRPr="00D91651">
              <w:rPr>
                <w:color w:val="000000"/>
                <w:sz w:val="20"/>
                <w:szCs w:val="20"/>
                <w:lang w:eastAsia="zh-CN"/>
              </w:rPr>
              <w:t>.97</w:t>
            </w:r>
            <w:r>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299.90</w:t>
            </w:r>
          </w:p>
        </w:tc>
      </w:tr>
      <w:tr w:rsidR="00D91651" w:rsidRPr="00D91651" w:rsidTr="000E0F31">
        <w:trPr>
          <w:trHeight w:val="51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Total carotene (µg/day)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2238.72</w:t>
            </w:r>
            <w:r w:rsidR="000E0F31">
              <w:rPr>
                <w:color w:val="000000"/>
                <w:sz w:val="20"/>
                <w:szCs w:val="20"/>
                <w:vertAlign w:val="superscript"/>
                <w:lang w:eastAsia="zh-CN"/>
              </w:rPr>
              <w:t>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2.19</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1288.25</w:t>
            </w:r>
            <w:r w:rsidR="000E0F31">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2.59</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2691.53</w:t>
            </w:r>
            <w:r w:rsidR="000E0F31">
              <w:rPr>
                <w:color w:val="000000"/>
                <w:sz w:val="20"/>
                <w:szCs w:val="20"/>
                <w:vertAlign w:val="superscript"/>
                <w:lang w:eastAsia="zh-CN"/>
              </w:rPr>
              <w:t>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2.51</w:t>
            </w:r>
          </w:p>
        </w:tc>
        <w:tc>
          <w:tcPr>
            <w:tcW w:w="1119" w:type="dxa"/>
            <w:tcBorders>
              <w:top w:val="nil"/>
              <w:left w:val="nil"/>
              <w:bottom w:val="nil"/>
              <w:right w:val="nil"/>
            </w:tcBorders>
            <w:shd w:val="clear" w:color="000000" w:fill="FFFFFF"/>
            <w:noWrap/>
            <w:vAlign w:val="center"/>
            <w:hideMark/>
          </w:tcPr>
          <w:p w:rsidR="00D91651" w:rsidRPr="00D91651" w:rsidRDefault="000E0F31" w:rsidP="00D91651">
            <w:pPr>
              <w:jc w:val="center"/>
              <w:rPr>
                <w:color w:val="000000"/>
                <w:sz w:val="20"/>
                <w:szCs w:val="20"/>
                <w:lang w:eastAsia="zh-CN"/>
              </w:rPr>
            </w:pPr>
            <w:r>
              <w:rPr>
                <w:color w:val="000000"/>
                <w:sz w:val="20"/>
                <w:szCs w:val="20"/>
                <w:vertAlign w:val="superscript"/>
                <w:lang w:eastAsia="zh-CN"/>
              </w:rPr>
              <w:t>a</w:t>
            </w:r>
            <w:r w:rsidR="00D91651" w:rsidRPr="00D91651">
              <w:rPr>
                <w:color w:val="000000"/>
                <w:sz w:val="20"/>
                <w:szCs w:val="20"/>
                <w:lang w:eastAsia="zh-CN"/>
              </w:rPr>
              <w:t>436.52</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4.68</w:t>
            </w:r>
          </w:p>
        </w:tc>
      </w:tr>
      <w:tr w:rsidR="00D91651" w:rsidRPr="00D91651" w:rsidTr="000E0F31">
        <w:trPr>
          <w:trHeight w:val="54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Vitamin B</w:t>
            </w:r>
            <w:r w:rsidRPr="00D91651">
              <w:rPr>
                <w:color w:val="000000"/>
                <w:sz w:val="20"/>
                <w:szCs w:val="20"/>
                <w:vertAlign w:val="subscript"/>
                <w:lang w:eastAsia="zh-CN"/>
              </w:rPr>
              <w:t xml:space="preserve">2 </w:t>
            </w:r>
            <w:r w:rsidRPr="00D91651">
              <w:rPr>
                <w:color w:val="000000"/>
                <w:sz w:val="20"/>
                <w:szCs w:val="20"/>
                <w:lang w:eastAsia="zh-CN"/>
              </w:rPr>
              <w:t>(µg/day)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1.66</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0.84</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1.16</w:t>
            </w:r>
            <w:r w:rsidR="0048121A">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0.53</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1.31</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0.62</w:t>
            </w:r>
          </w:p>
        </w:tc>
        <w:tc>
          <w:tcPr>
            <w:tcW w:w="111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1.92</w:t>
            </w:r>
            <w:r w:rsidR="0048121A">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0.55</w:t>
            </w:r>
          </w:p>
        </w:tc>
      </w:tr>
      <w:tr w:rsidR="000E0F31" w:rsidRPr="00D91651" w:rsidTr="000E0F31">
        <w:trPr>
          <w:trHeight w:val="54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Dietary Vitamin B</w:t>
            </w:r>
            <w:r w:rsidRPr="00D91651">
              <w:rPr>
                <w:color w:val="000000"/>
                <w:sz w:val="20"/>
                <w:szCs w:val="20"/>
                <w:vertAlign w:val="subscript"/>
                <w:lang w:eastAsia="zh-CN"/>
              </w:rPr>
              <w:t xml:space="preserve">5 </w:t>
            </w:r>
            <w:r w:rsidRPr="00D91651">
              <w:rPr>
                <w:color w:val="000000"/>
                <w:sz w:val="20"/>
                <w:szCs w:val="20"/>
                <w:lang w:eastAsia="zh-CN"/>
              </w:rPr>
              <w:t>(µg/day)</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4.66</w:t>
            </w:r>
            <w:r w:rsidR="0048121A">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2.57</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3.35</w:t>
            </w:r>
            <w:r w:rsidR="0048121A">
              <w:rPr>
                <w:color w:val="000000"/>
                <w:sz w:val="20"/>
                <w:szCs w:val="20"/>
                <w:vertAlign w:val="superscript"/>
                <w:lang w:eastAsia="zh-CN"/>
              </w:rPr>
              <w:t>a</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1.58</w:t>
            </w:r>
          </w:p>
        </w:tc>
        <w:tc>
          <w:tcPr>
            <w:tcW w:w="989"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4.40</w:t>
            </w:r>
            <w:r w:rsidR="0048121A">
              <w:rPr>
                <w:color w:val="000000"/>
                <w:sz w:val="20"/>
                <w:szCs w:val="20"/>
                <w:vertAlign w:val="superscript"/>
                <w:lang w:eastAsia="zh-CN"/>
              </w:rPr>
              <w:t>ab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1.36</w:t>
            </w:r>
          </w:p>
        </w:tc>
        <w:tc>
          <w:tcPr>
            <w:tcW w:w="1119"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6.18</w:t>
            </w:r>
            <w:r w:rsidR="0048121A">
              <w:rPr>
                <w:color w:val="000000"/>
                <w:sz w:val="20"/>
                <w:szCs w:val="20"/>
                <w:vertAlign w:val="superscript"/>
                <w:lang w:eastAsia="zh-CN"/>
              </w:rPr>
              <w:t>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1.63</w:t>
            </w:r>
          </w:p>
        </w:tc>
      </w:tr>
      <w:tr w:rsidR="000E0F31" w:rsidRPr="00D91651" w:rsidTr="000E0F31">
        <w:trPr>
          <w:trHeight w:val="300"/>
          <w:jc w:val="center"/>
        </w:trPr>
        <w:tc>
          <w:tcPr>
            <w:tcW w:w="1660" w:type="dxa"/>
            <w:tcBorders>
              <w:top w:val="nil"/>
              <w:left w:val="nil"/>
              <w:bottom w:val="nil"/>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Age (years)</w:t>
            </w:r>
          </w:p>
        </w:tc>
        <w:tc>
          <w:tcPr>
            <w:tcW w:w="989"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39.33</w:t>
            </w:r>
            <w:r w:rsidR="006745F7">
              <w:rPr>
                <w:color w:val="000000"/>
                <w:sz w:val="20"/>
                <w:szCs w:val="20"/>
                <w:vertAlign w:val="superscript"/>
                <w:lang w:eastAsia="zh-CN"/>
              </w:rPr>
              <w:t>ab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11.85</w:t>
            </w:r>
          </w:p>
        </w:tc>
        <w:tc>
          <w:tcPr>
            <w:tcW w:w="1008"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48.33</w:t>
            </w:r>
            <w:r w:rsidR="006745F7">
              <w:rPr>
                <w:color w:val="000000"/>
                <w:sz w:val="20"/>
                <w:szCs w:val="20"/>
                <w:vertAlign w:val="superscript"/>
                <w:lang w:eastAsia="zh-CN"/>
              </w:rPr>
              <w:t>b</w:t>
            </w:r>
          </w:p>
        </w:tc>
        <w:tc>
          <w:tcPr>
            <w:tcW w:w="866" w:type="dxa"/>
            <w:tcBorders>
              <w:top w:val="nil"/>
              <w:left w:val="nil"/>
              <w:bottom w:val="nil"/>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10.24</w:t>
            </w:r>
          </w:p>
        </w:tc>
        <w:tc>
          <w:tcPr>
            <w:tcW w:w="989"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44.77</w:t>
            </w:r>
            <w:r w:rsidR="006745F7">
              <w:rPr>
                <w:color w:val="000000"/>
                <w:sz w:val="20"/>
                <w:szCs w:val="20"/>
                <w:vertAlign w:val="superscript"/>
                <w:lang w:eastAsia="zh-CN"/>
              </w:rPr>
              <w:t>ab</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9.93</w:t>
            </w:r>
          </w:p>
        </w:tc>
        <w:tc>
          <w:tcPr>
            <w:tcW w:w="1119"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36.50</w:t>
            </w:r>
            <w:r w:rsidR="006745F7">
              <w:rPr>
                <w:color w:val="000000"/>
                <w:sz w:val="20"/>
                <w:szCs w:val="20"/>
                <w:vertAlign w:val="superscript"/>
                <w:lang w:eastAsia="zh-CN"/>
              </w:rPr>
              <w:t>a</w:t>
            </w:r>
          </w:p>
        </w:tc>
        <w:tc>
          <w:tcPr>
            <w:tcW w:w="866" w:type="dxa"/>
            <w:tcBorders>
              <w:top w:val="nil"/>
              <w:left w:val="nil"/>
              <w:bottom w:val="nil"/>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5.69</w:t>
            </w:r>
          </w:p>
        </w:tc>
      </w:tr>
      <w:tr w:rsidR="000E0F31" w:rsidRPr="00D91651" w:rsidTr="000E0F31">
        <w:trPr>
          <w:trHeight w:val="510"/>
          <w:jc w:val="center"/>
        </w:trPr>
        <w:tc>
          <w:tcPr>
            <w:tcW w:w="1660" w:type="dxa"/>
            <w:tcBorders>
              <w:top w:val="nil"/>
              <w:left w:val="nil"/>
              <w:bottom w:val="single" w:sz="4" w:space="0" w:color="auto"/>
              <w:right w:val="nil"/>
            </w:tcBorders>
            <w:shd w:val="clear" w:color="auto" w:fill="auto"/>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Working hours</w:t>
            </w:r>
            <w:r>
              <w:rPr>
                <w:color w:val="000000"/>
                <w:sz w:val="20"/>
                <w:szCs w:val="20"/>
                <w:lang w:eastAsia="zh-CN"/>
              </w:rPr>
              <w:t>/wee</w:t>
            </w:r>
            <w:r w:rsidR="006745F7">
              <w:rPr>
                <w:color w:val="000000"/>
                <w:sz w:val="20"/>
                <w:szCs w:val="20"/>
                <w:lang w:eastAsia="zh-CN"/>
              </w:rPr>
              <w:t>k</w:t>
            </w:r>
          </w:p>
        </w:tc>
        <w:tc>
          <w:tcPr>
            <w:tcW w:w="989"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49.67</w:t>
            </w:r>
            <w:r w:rsidR="006745F7">
              <w:rPr>
                <w:color w:val="000000"/>
                <w:sz w:val="20"/>
                <w:szCs w:val="20"/>
                <w:vertAlign w:val="superscript"/>
                <w:lang w:eastAsia="zh-CN"/>
              </w:rPr>
              <w:t>c</w:t>
            </w:r>
          </w:p>
        </w:tc>
        <w:tc>
          <w:tcPr>
            <w:tcW w:w="866"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8.39</w:t>
            </w:r>
          </w:p>
        </w:tc>
        <w:tc>
          <w:tcPr>
            <w:tcW w:w="1008"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35.57</w:t>
            </w:r>
            <w:r w:rsidR="006745F7">
              <w:rPr>
                <w:color w:val="000000"/>
                <w:sz w:val="20"/>
                <w:szCs w:val="20"/>
                <w:vertAlign w:val="superscript"/>
                <w:lang w:eastAsia="zh-CN"/>
              </w:rPr>
              <w:t>bc</w:t>
            </w:r>
          </w:p>
        </w:tc>
        <w:tc>
          <w:tcPr>
            <w:tcW w:w="866" w:type="dxa"/>
            <w:tcBorders>
              <w:top w:val="nil"/>
              <w:left w:val="nil"/>
              <w:bottom w:val="single" w:sz="4" w:space="0" w:color="auto"/>
              <w:right w:val="nil"/>
            </w:tcBorders>
            <w:shd w:val="clear" w:color="000000" w:fill="FFFFFF"/>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11.06</w:t>
            </w:r>
          </w:p>
        </w:tc>
        <w:tc>
          <w:tcPr>
            <w:tcW w:w="989"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23.81</w:t>
            </w:r>
            <w:r w:rsidR="006745F7">
              <w:rPr>
                <w:color w:val="000000"/>
                <w:sz w:val="20"/>
                <w:szCs w:val="20"/>
                <w:vertAlign w:val="superscript"/>
                <w:lang w:eastAsia="zh-CN"/>
              </w:rPr>
              <w:t>a</w:t>
            </w:r>
          </w:p>
        </w:tc>
        <w:tc>
          <w:tcPr>
            <w:tcW w:w="866"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13.99</w:t>
            </w:r>
          </w:p>
        </w:tc>
        <w:tc>
          <w:tcPr>
            <w:tcW w:w="1119"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vertAlign w:val="superscript"/>
                <w:lang w:eastAsia="zh-CN"/>
              </w:rPr>
            </w:pPr>
            <w:r w:rsidRPr="00D91651">
              <w:rPr>
                <w:color w:val="000000"/>
                <w:sz w:val="20"/>
                <w:szCs w:val="20"/>
                <w:lang w:eastAsia="zh-CN"/>
              </w:rPr>
              <w:t>28.06</w:t>
            </w:r>
            <w:r w:rsidR="006745F7">
              <w:rPr>
                <w:color w:val="000000"/>
                <w:sz w:val="20"/>
                <w:szCs w:val="20"/>
                <w:vertAlign w:val="superscript"/>
                <w:lang w:eastAsia="zh-CN"/>
              </w:rPr>
              <w:t>ab</w:t>
            </w:r>
          </w:p>
        </w:tc>
        <w:tc>
          <w:tcPr>
            <w:tcW w:w="866" w:type="dxa"/>
            <w:tcBorders>
              <w:top w:val="nil"/>
              <w:left w:val="nil"/>
              <w:bottom w:val="single" w:sz="4" w:space="0" w:color="auto"/>
              <w:right w:val="nil"/>
            </w:tcBorders>
            <w:shd w:val="clear" w:color="auto" w:fill="auto"/>
            <w:noWrap/>
            <w:vAlign w:val="center"/>
            <w:hideMark/>
          </w:tcPr>
          <w:p w:rsidR="00D91651" w:rsidRPr="00D91651" w:rsidRDefault="00D91651" w:rsidP="00D91651">
            <w:pPr>
              <w:jc w:val="center"/>
              <w:rPr>
                <w:color w:val="000000"/>
                <w:sz w:val="20"/>
                <w:szCs w:val="20"/>
                <w:lang w:eastAsia="zh-CN"/>
              </w:rPr>
            </w:pPr>
            <w:r w:rsidRPr="00D91651">
              <w:rPr>
                <w:color w:val="000000"/>
                <w:sz w:val="20"/>
                <w:szCs w:val="20"/>
                <w:lang w:eastAsia="zh-CN"/>
              </w:rPr>
              <w:t>6.62</w:t>
            </w:r>
          </w:p>
        </w:tc>
      </w:tr>
    </w:tbl>
    <w:p w:rsidR="00F46281" w:rsidRDefault="00F46281" w:rsidP="00CA2CED">
      <w:pPr>
        <w:jc w:val="both"/>
        <w:rPr>
          <w:sz w:val="18"/>
        </w:rPr>
      </w:pPr>
      <w:r>
        <w:rPr>
          <w:sz w:val="18"/>
        </w:rPr>
        <w:t>*</w:t>
      </w:r>
      <w:r w:rsidR="00CA2CED">
        <w:rPr>
          <w:sz w:val="18"/>
        </w:rPr>
        <w:t xml:space="preserve"> Individual mean was c</w:t>
      </w:r>
      <w:r w:rsidRPr="00F46281">
        <w:rPr>
          <w:sz w:val="18"/>
        </w:rPr>
        <w:t>alculated based on the 3-da</w:t>
      </w:r>
      <w:r>
        <w:rPr>
          <w:sz w:val="18"/>
        </w:rPr>
        <w:t xml:space="preserve">y dietary record with </w:t>
      </w:r>
      <w:r w:rsidR="00CA2CED">
        <w:rPr>
          <w:sz w:val="18"/>
        </w:rPr>
        <w:t xml:space="preserve">all </w:t>
      </w:r>
      <w:r w:rsidRPr="00F46281">
        <w:rPr>
          <w:sz w:val="18"/>
        </w:rPr>
        <w:t>resulted val</w:t>
      </w:r>
      <w:r>
        <w:rPr>
          <w:sz w:val="18"/>
        </w:rPr>
        <w:t xml:space="preserve">ues being </w:t>
      </w:r>
      <w:r w:rsidRPr="00F46281">
        <w:rPr>
          <w:sz w:val="18"/>
        </w:rPr>
        <w:t>classified into four levels.</w:t>
      </w:r>
      <w:r>
        <w:rPr>
          <w:sz w:val="18"/>
        </w:rPr>
        <w:t xml:space="preserve"> </w:t>
      </w:r>
    </w:p>
    <w:p w:rsidR="00CA2CED" w:rsidRPr="0073500E" w:rsidRDefault="00CA2CED" w:rsidP="003D446F">
      <w:pPr>
        <w:jc w:val="both"/>
        <w:rPr>
          <w:i/>
          <w:sz w:val="18"/>
        </w:rPr>
      </w:pPr>
      <w:proofErr w:type="spellStart"/>
      <w:r>
        <w:rPr>
          <w:sz w:val="18"/>
          <w:vertAlign w:val="superscript"/>
        </w:rPr>
        <w:t>abc</w:t>
      </w:r>
      <w:proofErr w:type="spellEnd"/>
      <w:r>
        <w:rPr>
          <w:sz w:val="18"/>
        </w:rPr>
        <w:t xml:space="preserve"> Different uppercase superscript</w:t>
      </w:r>
      <w:r w:rsidR="0073500E">
        <w:rPr>
          <w:sz w:val="18"/>
        </w:rPr>
        <w:t xml:space="preserve">s </w:t>
      </w:r>
      <w:r w:rsidR="00983415">
        <w:rPr>
          <w:sz w:val="18"/>
        </w:rPr>
        <w:t xml:space="preserve">indicate statistically </w:t>
      </w:r>
      <w:r>
        <w:rPr>
          <w:sz w:val="18"/>
        </w:rPr>
        <w:t>significant differences am</w:t>
      </w:r>
      <w:r w:rsidR="004D199A">
        <w:rPr>
          <w:sz w:val="18"/>
        </w:rPr>
        <w:t xml:space="preserve">ongst snacking-frequency groups, </w:t>
      </w:r>
      <w:r w:rsidR="004D199A">
        <w:rPr>
          <w:i/>
          <w:sz w:val="18"/>
        </w:rPr>
        <w:t>P</w:t>
      </w:r>
      <w:r w:rsidR="004D199A">
        <w:rPr>
          <w:sz w:val="18"/>
        </w:rPr>
        <w:t>&lt;0.05.</w:t>
      </w:r>
    </w:p>
    <w:p w:rsidR="003D446F" w:rsidRPr="007D3D75" w:rsidRDefault="003D446F" w:rsidP="003D446F">
      <w:pPr>
        <w:jc w:val="both"/>
        <w:rPr>
          <w:sz w:val="8"/>
        </w:rPr>
      </w:pPr>
    </w:p>
    <w:p w:rsidR="0063016E" w:rsidRPr="00C677C0" w:rsidRDefault="005330C7" w:rsidP="00EC5A67">
      <w:pPr>
        <w:ind w:firstLine="284"/>
        <w:jc w:val="both"/>
      </w:pPr>
      <w:r w:rsidRPr="00C677C0">
        <w:t>In conclusion, total energy and certain macronutrient intakes followed an increasing trend with the increased snacking frequencies.</w:t>
      </w:r>
      <w:r w:rsidR="00827911" w:rsidRPr="00C677C0">
        <w:t xml:space="preserve"> Snacking of four times a day resulted in </w:t>
      </w:r>
      <w:r w:rsidR="008D6122" w:rsidRPr="00C677C0">
        <w:t xml:space="preserve">significantly </w:t>
      </w:r>
      <w:r w:rsidR="00827911" w:rsidRPr="00C677C0">
        <w:t>higher intakes of vitamin B</w:t>
      </w:r>
      <w:r w:rsidR="00827911" w:rsidRPr="00C677C0">
        <w:rPr>
          <w:color w:val="000000"/>
          <w:vertAlign w:val="subscript"/>
          <w:lang w:eastAsia="zh-CN"/>
        </w:rPr>
        <w:t xml:space="preserve">2 </w:t>
      </w:r>
      <w:r w:rsidR="00827911" w:rsidRPr="00C677C0">
        <w:t>and B</w:t>
      </w:r>
      <w:r w:rsidR="00827911" w:rsidRPr="00C677C0">
        <w:rPr>
          <w:color w:val="000000"/>
          <w:vertAlign w:val="subscript"/>
          <w:lang w:eastAsia="zh-CN"/>
        </w:rPr>
        <w:t xml:space="preserve">5 </w:t>
      </w:r>
      <w:r w:rsidR="00827911" w:rsidRPr="00C677C0">
        <w:t xml:space="preserve">compared to the snacking of twice a day group </w:t>
      </w:r>
      <w:r w:rsidR="002969BD" w:rsidRPr="00C677C0">
        <w:t xml:space="preserve">but stayed the lowest in </w:t>
      </w:r>
      <w:r w:rsidR="008D6122" w:rsidRPr="00C677C0">
        <w:t xml:space="preserve">the </w:t>
      </w:r>
      <w:r w:rsidR="002969BD" w:rsidRPr="00C677C0">
        <w:t>total carotene intake. Snacking of the highest frequency was observed in the youngest age group who worked for almost the shortest working time per week amongst all.</w:t>
      </w:r>
    </w:p>
    <w:p w:rsidR="003D446F" w:rsidRPr="007D3D75" w:rsidRDefault="003D446F" w:rsidP="003D446F">
      <w:pPr>
        <w:jc w:val="both"/>
        <w:rPr>
          <w:sz w:val="16"/>
        </w:rPr>
      </w:pPr>
    </w:p>
    <w:p w:rsidR="0063016E" w:rsidRPr="003D446F" w:rsidRDefault="003D446F" w:rsidP="003D446F">
      <w:pPr>
        <w:jc w:val="both"/>
        <w:rPr>
          <w:sz w:val="20"/>
        </w:rPr>
      </w:pPr>
      <w:r w:rsidRPr="003D446F">
        <w:rPr>
          <w:sz w:val="20"/>
        </w:rPr>
        <w:t>1.</w:t>
      </w:r>
      <w:r>
        <w:rPr>
          <w:sz w:val="20"/>
        </w:rPr>
        <w:t xml:space="preserve"> </w:t>
      </w:r>
      <w:r w:rsidR="0063016E" w:rsidRPr="003D446F">
        <w:rPr>
          <w:sz w:val="20"/>
        </w:rPr>
        <w:t xml:space="preserve">Murakami K and Livingstone MB (2016) </w:t>
      </w:r>
      <w:r w:rsidR="0063016E" w:rsidRPr="003D446F">
        <w:rPr>
          <w:i/>
          <w:sz w:val="20"/>
        </w:rPr>
        <w:t xml:space="preserve">Br J </w:t>
      </w:r>
      <w:proofErr w:type="spellStart"/>
      <w:r w:rsidR="0063016E" w:rsidRPr="003D446F">
        <w:rPr>
          <w:i/>
          <w:sz w:val="20"/>
        </w:rPr>
        <w:t>Nutr</w:t>
      </w:r>
      <w:proofErr w:type="spellEnd"/>
      <w:r w:rsidRPr="003D446F">
        <w:rPr>
          <w:i/>
          <w:sz w:val="20"/>
        </w:rPr>
        <w:t xml:space="preserve"> </w:t>
      </w:r>
      <w:r w:rsidRPr="003D446F">
        <w:rPr>
          <w:b/>
          <w:sz w:val="20"/>
        </w:rPr>
        <w:t>March 22</w:t>
      </w:r>
      <w:r w:rsidRPr="003D446F">
        <w:rPr>
          <w:sz w:val="20"/>
        </w:rPr>
        <w:t>, 1-11.</w:t>
      </w:r>
    </w:p>
    <w:p w:rsidR="000C6604" w:rsidRDefault="003D446F" w:rsidP="007D2616">
      <w:pPr>
        <w:jc w:val="both"/>
      </w:pPr>
      <w:r w:rsidRPr="00C677C0">
        <w:rPr>
          <w:sz w:val="20"/>
        </w:rPr>
        <w:t xml:space="preserve">2. </w:t>
      </w:r>
      <w:r>
        <w:rPr>
          <w:sz w:val="20"/>
        </w:rPr>
        <w:t xml:space="preserve">Park E, </w:t>
      </w:r>
      <w:proofErr w:type="spellStart"/>
      <w:r>
        <w:rPr>
          <w:sz w:val="20"/>
        </w:rPr>
        <w:t>Edirisinghe</w:t>
      </w:r>
      <w:proofErr w:type="spellEnd"/>
      <w:r>
        <w:rPr>
          <w:sz w:val="20"/>
        </w:rPr>
        <w:t xml:space="preserve"> I, Inui T </w:t>
      </w:r>
      <w:r>
        <w:rPr>
          <w:i/>
          <w:sz w:val="20"/>
        </w:rPr>
        <w:t>et al.</w:t>
      </w:r>
      <w:r>
        <w:rPr>
          <w:sz w:val="20"/>
        </w:rPr>
        <w:t xml:space="preserve"> </w:t>
      </w:r>
      <w:r w:rsidR="0028493F">
        <w:rPr>
          <w:sz w:val="20"/>
        </w:rPr>
        <w:t xml:space="preserve">(2016) </w:t>
      </w:r>
      <w:r>
        <w:rPr>
          <w:i/>
          <w:sz w:val="20"/>
        </w:rPr>
        <w:t xml:space="preserve">Physio </w:t>
      </w:r>
      <w:proofErr w:type="spellStart"/>
      <w:r>
        <w:rPr>
          <w:i/>
          <w:sz w:val="20"/>
        </w:rPr>
        <w:t>Behav</w:t>
      </w:r>
      <w:proofErr w:type="spellEnd"/>
      <w:r>
        <w:rPr>
          <w:sz w:val="20"/>
        </w:rPr>
        <w:t xml:space="preserve"> </w:t>
      </w:r>
      <w:r>
        <w:rPr>
          <w:b/>
          <w:sz w:val="20"/>
        </w:rPr>
        <w:t>159</w:t>
      </w:r>
      <w:r>
        <w:rPr>
          <w:sz w:val="20"/>
        </w:rPr>
        <w:t>, 64-71.</w:t>
      </w:r>
    </w:p>
    <w:sectPr w:rsidR="000C6604" w:rsidSect="003D446F">
      <w:pgSz w:w="11906" w:h="16838"/>
      <w:pgMar w:top="397"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ED7"/>
    <w:multiLevelType w:val="hybridMultilevel"/>
    <w:tmpl w:val="2B0CC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3A79D3"/>
    <w:multiLevelType w:val="hybridMultilevel"/>
    <w:tmpl w:val="5DD4F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067274"/>
    <w:multiLevelType w:val="hybridMultilevel"/>
    <w:tmpl w:val="30AEE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2E7611"/>
    <w:multiLevelType w:val="hybridMultilevel"/>
    <w:tmpl w:val="D122B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9F3918"/>
    <w:multiLevelType w:val="hybridMultilevel"/>
    <w:tmpl w:val="923EE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FA"/>
    <w:rsid w:val="000302CD"/>
    <w:rsid w:val="00055A8D"/>
    <w:rsid w:val="00055B88"/>
    <w:rsid w:val="000927D6"/>
    <w:rsid w:val="000963E0"/>
    <w:rsid w:val="000A5D7A"/>
    <w:rsid w:val="000C072A"/>
    <w:rsid w:val="000C6604"/>
    <w:rsid w:val="000D3F12"/>
    <w:rsid w:val="000E0F31"/>
    <w:rsid w:val="000E54FD"/>
    <w:rsid w:val="000E6EE3"/>
    <w:rsid w:val="000F5475"/>
    <w:rsid w:val="00103E74"/>
    <w:rsid w:val="00107A51"/>
    <w:rsid w:val="00123B46"/>
    <w:rsid w:val="001242D9"/>
    <w:rsid w:val="00125067"/>
    <w:rsid w:val="0013557C"/>
    <w:rsid w:val="00137097"/>
    <w:rsid w:val="001545D7"/>
    <w:rsid w:val="001630ED"/>
    <w:rsid w:val="0018123F"/>
    <w:rsid w:val="00184E13"/>
    <w:rsid w:val="00194F48"/>
    <w:rsid w:val="001A0B26"/>
    <w:rsid w:val="001B31E0"/>
    <w:rsid w:val="001C24F4"/>
    <w:rsid w:val="001C319A"/>
    <w:rsid w:val="001E17FD"/>
    <w:rsid w:val="001F3C30"/>
    <w:rsid w:val="001F3F0C"/>
    <w:rsid w:val="001F5CE7"/>
    <w:rsid w:val="001F683E"/>
    <w:rsid w:val="0021026D"/>
    <w:rsid w:val="00221117"/>
    <w:rsid w:val="0023563A"/>
    <w:rsid w:val="00236A6D"/>
    <w:rsid w:val="0026532C"/>
    <w:rsid w:val="00265B0B"/>
    <w:rsid w:val="00267953"/>
    <w:rsid w:val="002706D4"/>
    <w:rsid w:val="0028493F"/>
    <w:rsid w:val="00294190"/>
    <w:rsid w:val="002969BD"/>
    <w:rsid w:val="0029741D"/>
    <w:rsid w:val="002A09CC"/>
    <w:rsid w:val="002A3104"/>
    <w:rsid w:val="002B524D"/>
    <w:rsid w:val="002E6426"/>
    <w:rsid w:val="00302C2B"/>
    <w:rsid w:val="003107BC"/>
    <w:rsid w:val="003360D1"/>
    <w:rsid w:val="0034281D"/>
    <w:rsid w:val="003568A5"/>
    <w:rsid w:val="0036136C"/>
    <w:rsid w:val="00367B83"/>
    <w:rsid w:val="00371705"/>
    <w:rsid w:val="00375231"/>
    <w:rsid w:val="00394233"/>
    <w:rsid w:val="003A67F0"/>
    <w:rsid w:val="003A7B22"/>
    <w:rsid w:val="003C3488"/>
    <w:rsid w:val="003D3D73"/>
    <w:rsid w:val="003D446F"/>
    <w:rsid w:val="003E3203"/>
    <w:rsid w:val="003E64FB"/>
    <w:rsid w:val="003F7CD7"/>
    <w:rsid w:val="00411880"/>
    <w:rsid w:val="0041595A"/>
    <w:rsid w:val="00421E1B"/>
    <w:rsid w:val="0043263B"/>
    <w:rsid w:val="004374AE"/>
    <w:rsid w:val="004519BF"/>
    <w:rsid w:val="0048121A"/>
    <w:rsid w:val="00486922"/>
    <w:rsid w:val="0049298F"/>
    <w:rsid w:val="00492A03"/>
    <w:rsid w:val="004B5710"/>
    <w:rsid w:val="004B74FF"/>
    <w:rsid w:val="004C3192"/>
    <w:rsid w:val="004D199A"/>
    <w:rsid w:val="004E2FD2"/>
    <w:rsid w:val="004E3950"/>
    <w:rsid w:val="004F7DA4"/>
    <w:rsid w:val="00500254"/>
    <w:rsid w:val="005330C7"/>
    <w:rsid w:val="005743CC"/>
    <w:rsid w:val="0058168F"/>
    <w:rsid w:val="00581C71"/>
    <w:rsid w:val="005A1C0D"/>
    <w:rsid w:val="005B1756"/>
    <w:rsid w:val="005B5F6B"/>
    <w:rsid w:val="005D0197"/>
    <w:rsid w:val="005D0CC4"/>
    <w:rsid w:val="005D1301"/>
    <w:rsid w:val="005E1F80"/>
    <w:rsid w:val="0063016E"/>
    <w:rsid w:val="00636381"/>
    <w:rsid w:val="006378F8"/>
    <w:rsid w:val="006448C9"/>
    <w:rsid w:val="006745F7"/>
    <w:rsid w:val="00677D33"/>
    <w:rsid w:val="006C1D10"/>
    <w:rsid w:val="006C4511"/>
    <w:rsid w:val="006E4768"/>
    <w:rsid w:val="006F1B60"/>
    <w:rsid w:val="006F1ECD"/>
    <w:rsid w:val="00702646"/>
    <w:rsid w:val="0070384A"/>
    <w:rsid w:val="0073500E"/>
    <w:rsid w:val="00751B28"/>
    <w:rsid w:val="00776FBD"/>
    <w:rsid w:val="00782E75"/>
    <w:rsid w:val="00791E8D"/>
    <w:rsid w:val="00794719"/>
    <w:rsid w:val="00796B0B"/>
    <w:rsid w:val="007A64B3"/>
    <w:rsid w:val="007A7AF7"/>
    <w:rsid w:val="007B4E58"/>
    <w:rsid w:val="007B7541"/>
    <w:rsid w:val="007C299A"/>
    <w:rsid w:val="007D2616"/>
    <w:rsid w:val="007D3D75"/>
    <w:rsid w:val="007D4D82"/>
    <w:rsid w:val="007D6F76"/>
    <w:rsid w:val="007E5607"/>
    <w:rsid w:val="007F2F2E"/>
    <w:rsid w:val="00827911"/>
    <w:rsid w:val="00832F0B"/>
    <w:rsid w:val="008344EE"/>
    <w:rsid w:val="00883C74"/>
    <w:rsid w:val="00886DBF"/>
    <w:rsid w:val="008A6BE5"/>
    <w:rsid w:val="008B0838"/>
    <w:rsid w:val="008B1C22"/>
    <w:rsid w:val="008D2DFE"/>
    <w:rsid w:val="008D6122"/>
    <w:rsid w:val="008E02CC"/>
    <w:rsid w:val="00927FDD"/>
    <w:rsid w:val="00931A39"/>
    <w:rsid w:val="00942E79"/>
    <w:rsid w:val="0095117C"/>
    <w:rsid w:val="009651EE"/>
    <w:rsid w:val="0097235A"/>
    <w:rsid w:val="009727B9"/>
    <w:rsid w:val="00972B5E"/>
    <w:rsid w:val="00974DDD"/>
    <w:rsid w:val="00977B0F"/>
    <w:rsid w:val="00983415"/>
    <w:rsid w:val="00984A37"/>
    <w:rsid w:val="009864E3"/>
    <w:rsid w:val="00986C82"/>
    <w:rsid w:val="00993FBA"/>
    <w:rsid w:val="009B1221"/>
    <w:rsid w:val="009C5010"/>
    <w:rsid w:val="009C7057"/>
    <w:rsid w:val="009D349A"/>
    <w:rsid w:val="009F3E7D"/>
    <w:rsid w:val="009F4FFB"/>
    <w:rsid w:val="00A11B30"/>
    <w:rsid w:val="00A1282F"/>
    <w:rsid w:val="00A157FE"/>
    <w:rsid w:val="00A325D1"/>
    <w:rsid w:val="00A33138"/>
    <w:rsid w:val="00A41EDF"/>
    <w:rsid w:val="00A4438B"/>
    <w:rsid w:val="00A61783"/>
    <w:rsid w:val="00A929B1"/>
    <w:rsid w:val="00AA7816"/>
    <w:rsid w:val="00AB2E0E"/>
    <w:rsid w:val="00AC61C2"/>
    <w:rsid w:val="00AD06B6"/>
    <w:rsid w:val="00AD1394"/>
    <w:rsid w:val="00AE27BB"/>
    <w:rsid w:val="00AF457D"/>
    <w:rsid w:val="00B069B6"/>
    <w:rsid w:val="00B06BDC"/>
    <w:rsid w:val="00B10E1D"/>
    <w:rsid w:val="00B15092"/>
    <w:rsid w:val="00B25CCD"/>
    <w:rsid w:val="00B26866"/>
    <w:rsid w:val="00B309F0"/>
    <w:rsid w:val="00B33ED2"/>
    <w:rsid w:val="00B42176"/>
    <w:rsid w:val="00B540C4"/>
    <w:rsid w:val="00B6475E"/>
    <w:rsid w:val="00B6524B"/>
    <w:rsid w:val="00B73BFA"/>
    <w:rsid w:val="00B73FCD"/>
    <w:rsid w:val="00B8002F"/>
    <w:rsid w:val="00BA190C"/>
    <w:rsid w:val="00BA392B"/>
    <w:rsid w:val="00BA5E4D"/>
    <w:rsid w:val="00BC1483"/>
    <w:rsid w:val="00BC6EDB"/>
    <w:rsid w:val="00BD2B3D"/>
    <w:rsid w:val="00BF0315"/>
    <w:rsid w:val="00BF757E"/>
    <w:rsid w:val="00BF7695"/>
    <w:rsid w:val="00C01448"/>
    <w:rsid w:val="00C02FEA"/>
    <w:rsid w:val="00C06796"/>
    <w:rsid w:val="00C10BBE"/>
    <w:rsid w:val="00C113B0"/>
    <w:rsid w:val="00C41DDE"/>
    <w:rsid w:val="00C42721"/>
    <w:rsid w:val="00C4473D"/>
    <w:rsid w:val="00C47CD7"/>
    <w:rsid w:val="00C677C0"/>
    <w:rsid w:val="00C725BE"/>
    <w:rsid w:val="00C72807"/>
    <w:rsid w:val="00C72F40"/>
    <w:rsid w:val="00C7427A"/>
    <w:rsid w:val="00C81C9E"/>
    <w:rsid w:val="00C96214"/>
    <w:rsid w:val="00CA2CED"/>
    <w:rsid w:val="00CA7764"/>
    <w:rsid w:val="00CB0C3B"/>
    <w:rsid w:val="00CB7076"/>
    <w:rsid w:val="00CD230B"/>
    <w:rsid w:val="00CD2C25"/>
    <w:rsid w:val="00CD3B2D"/>
    <w:rsid w:val="00CE7B0C"/>
    <w:rsid w:val="00CF1053"/>
    <w:rsid w:val="00CF6CA4"/>
    <w:rsid w:val="00D20B67"/>
    <w:rsid w:val="00D23337"/>
    <w:rsid w:val="00D25B03"/>
    <w:rsid w:val="00D42539"/>
    <w:rsid w:val="00D451D3"/>
    <w:rsid w:val="00D45610"/>
    <w:rsid w:val="00D57D64"/>
    <w:rsid w:val="00D83BEC"/>
    <w:rsid w:val="00D87106"/>
    <w:rsid w:val="00D8755D"/>
    <w:rsid w:val="00D91651"/>
    <w:rsid w:val="00D92627"/>
    <w:rsid w:val="00D92EF1"/>
    <w:rsid w:val="00DA79D8"/>
    <w:rsid w:val="00DB0765"/>
    <w:rsid w:val="00DB5F8F"/>
    <w:rsid w:val="00DB756F"/>
    <w:rsid w:val="00DB75EA"/>
    <w:rsid w:val="00DC4DD0"/>
    <w:rsid w:val="00DD38FE"/>
    <w:rsid w:val="00DD46F9"/>
    <w:rsid w:val="00E05E3E"/>
    <w:rsid w:val="00E111FB"/>
    <w:rsid w:val="00E2003B"/>
    <w:rsid w:val="00E366A6"/>
    <w:rsid w:val="00E518B7"/>
    <w:rsid w:val="00E54431"/>
    <w:rsid w:val="00E713E9"/>
    <w:rsid w:val="00EC5A67"/>
    <w:rsid w:val="00EC679A"/>
    <w:rsid w:val="00EC6A78"/>
    <w:rsid w:val="00EE22CF"/>
    <w:rsid w:val="00EE6FC3"/>
    <w:rsid w:val="00EE741A"/>
    <w:rsid w:val="00EF0515"/>
    <w:rsid w:val="00F020E3"/>
    <w:rsid w:val="00F121C3"/>
    <w:rsid w:val="00F12B2A"/>
    <w:rsid w:val="00F247F6"/>
    <w:rsid w:val="00F30532"/>
    <w:rsid w:val="00F35997"/>
    <w:rsid w:val="00F4543B"/>
    <w:rsid w:val="00F46281"/>
    <w:rsid w:val="00F46E82"/>
    <w:rsid w:val="00F571BC"/>
    <w:rsid w:val="00F64E28"/>
    <w:rsid w:val="00F73D19"/>
    <w:rsid w:val="00F8121D"/>
    <w:rsid w:val="00F93F51"/>
    <w:rsid w:val="00F949E9"/>
    <w:rsid w:val="00FC0D4D"/>
    <w:rsid w:val="00FC266A"/>
    <w:rsid w:val="00FE3D42"/>
    <w:rsid w:val="00FF256B"/>
    <w:rsid w:val="00FF69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B88"/>
    <w:rPr>
      <w:color w:val="0000FF" w:themeColor="hyperlink"/>
      <w:u w:val="single"/>
    </w:rPr>
  </w:style>
  <w:style w:type="paragraph" w:styleId="BalloonText">
    <w:name w:val="Balloon Text"/>
    <w:basedOn w:val="Normal"/>
    <w:link w:val="BalloonTextChar"/>
    <w:uiPriority w:val="99"/>
    <w:semiHidden/>
    <w:unhideWhenUsed/>
    <w:rsid w:val="00236A6D"/>
    <w:rPr>
      <w:rFonts w:ascii="Tahoma" w:hAnsi="Tahoma" w:cs="Tahoma"/>
      <w:sz w:val="16"/>
      <w:szCs w:val="16"/>
    </w:rPr>
  </w:style>
  <w:style w:type="character" w:customStyle="1" w:styleId="BalloonTextChar">
    <w:name w:val="Balloon Text Char"/>
    <w:basedOn w:val="DefaultParagraphFont"/>
    <w:link w:val="BalloonText"/>
    <w:uiPriority w:val="99"/>
    <w:semiHidden/>
    <w:rsid w:val="00236A6D"/>
    <w:rPr>
      <w:rFonts w:ascii="Tahoma" w:eastAsia="Times New Roman" w:hAnsi="Tahoma" w:cs="Tahoma"/>
      <w:sz w:val="16"/>
      <w:szCs w:val="16"/>
      <w:lang w:eastAsia="en-GB"/>
    </w:rPr>
  </w:style>
  <w:style w:type="paragraph" w:styleId="ListParagraph">
    <w:name w:val="List Paragraph"/>
    <w:basedOn w:val="Normal"/>
    <w:uiPriority w:val="34"/>
    <w:qFormat/>
    <w:rsid w:val="00CA2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B88"/>
    <w:rPr>
      <w:color w:val="0000FF" w:themeColor="hyperlink"/>
      <w:u w:val="single"/>
    </w:rPr>
  </w:style>
  <w:style w:type="paragraph" w:styleId="BalloonText">
    <w:name w:val="Balloon Text"/>
    <w:basedOn w:val="Normal"/>
    <w:link w:val="BalloonTextChar"/>
    <w:uiPriority w:val="99"/>
    <w:semiHidden/>
    <w:unhideWhenUsed/>
    <w:rsid w:val="00236A6D"/>
    <w:rPr>
      <w:rFonts w:ascii="Tahoma" w:hAnsi="Tahoma" w:cs="Tahoma"/>
      <w:sz w:val="16"/>
      <w:szCs w:val="16"/>
    </w:rPr>
  </w:style>
  <w:style w:type="character" w:customStyle="1" w:styleId="BalloonTextChar">
    <w:name w:val="Balloon Text Char"/>
    <w:basedOn w:val="DefaultParagraphFont"/>
    <w:link w:val="BalloonText"/>
    <w:uiPriority w:val="99"/>
    <w:semiHidden/>
    <w:rsid w:val="00236A6D"/>
    <w:rPr>
      <w:rFonts w:ascii="Tahoma" w:eastAsia="Times New Roman" w:hAnsi="Tahoma" w:cs="Tahoma"/>
      <w:sz w:val="16"/>
      <w:szCs w:val="16"/>
      <w:lang w:eastAsia="en-GB"/>
    </w:rPr>
  </w:style>
  <w:style w:type="paragraph" w:styleId="ListParagraph">
    <w:name w:val="List Paragraph"/>
    <w:basedOn w:val="Normal"/>
    <w:uiPriority w:val="34"/>
    <w:qFormat/>
    <w:rsid w:val="00CA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838">
      <w:bodyDiv w:val="1"/>
      <w:marLeft w:val="0"/>
      <w:marRight w:val="0"/>
      <w:marTop w:val="0"/>
      <w:marBottom w:val="0"/>
      <w:divBdr>
        <w:top w:val="none" w:sz="0" w:space="0" w:color="auto"/>
        <w:left w:val="none" w:sz="0" w:space="0" w:color="auto"/>
        <w:bottom w:val="none" w:sz="0" w:space="0" w:color="auto"/>
        <w:right w:val="none" w:sz="0" w:space="0" w:color="auto"/>
      </w:divBdr>
    </w:div>
    <w:div w:id="175192410">
      <w:bodyDiv w:val="1"/>
      <w:marLeft w:val="0"/>
      <w:marRight w:val="0"/>
      <w:marTop w:val="0"/>
      <w:marBottom w:val="0"/>
      <w:divBdr>
        <w:top w:val="none" w:sz="0" w:space="0" w:color="auto"/>
        <w:left w:val="none" w:sz="0" w:space="0" w:color="auto"/>
        <w:bottom w:val="none" w:sz="0" w:space="0" w:color="auto"/>
        <w:right w:val="none" w:sz="0" w:space="0" w:color="auto"/>
      </w:divBdr>
    </w:div>
    <w:div w:id="264581045">
      <w:bodyDiv w:val="1"/>
      <w:marLeft w:val="0"/>
      <w:marRight w:val="0"/>
      <w:marTop w:val="0"/>
      <w:marBottom w:val="0"/>
      <w:divBdr>
        <w:top w:val="none" w:sz="0" w:space="0" w:color="auto"/>
        <w:left w:val="none" w:sz="0" w:space="0" w:color="auto"/>
        <w:bottom w:val="none" w:sz="0" w:space="0" w:color="auto"/>
        <w:right w:val="none" w:sz="0" w:space="0" w:color="auto"/>
      </w:divBdr>
    </w:div>
    <w:div w:id="311524413">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738214009">
      <w:bodyDiv w:val="1"/>
      <w:marLeft w:val="0"/>
      <w:marRight w:val="0"/>
      <w:marTop w:val="0"/>
      <w:marBottom w:val="0"/>
      <w:divBdr>
        <w:top w:val="none" w:sz="0" w:space="0" w:color="auto"/>
        <w:left w:val="none" w:sz="0" w:space="0" w:color="auto"/>
        <w:bottom w:val="none" w:sz="0" w:space="0" w:color="auto"/>
        <w:right w:val="none" w:sz="0" w:space="0" w:color="auto"/>
      </w:divBdr>
    </w:div>
    <w:div w:id="985206186">
      <w:bodyDiv w:val="1"/>
      <w:marLeft w:val="0"/>
      <w:marRight w:val="0"/>
      <w:marTop w:val="0"/>
      <w:marBottom w:val="0"/>
      <w:divBdr>
        <w:top w:val="none" w:sz="0" w:space="0" w:color="auto"/>
        <w:left w:val="none" w:sz="0" w:space="0" w:color="auto"/>
        <w:bottom w:val="none" w:sz="0" w:space="0" w:color="auto"/>
        <w:right w:val="none" w:sz="0" w:space="0" w:color="auto"/>
      </w:divBdr>
    </w:div>
    <w:div w:id="1029532432">
      <w:bodyDiv w:val="1"/>
      <w:marLeft w:val="0"/>
      <w:marRight w:val="0"/>
      <w:marTop w:val="0"/>
      <w:marBottom w:val="0"/>
      <w:divBdr>
        <w:top w:val="none" w:sz="0" w:space="0" w:color="auto"/>
        <w:left w:val="none" w:sz="0" w:space="0" w:color="auto"/>
        <w:bottom w:val="none" w:sz="0" w:space="0" w:color="auto"/>
        <w:right w:val="none" w:sz="0" w:space="0" w:color="auto"/>
      </w:divBdr>
    </w:div>
    <w:div w:id="1131627481">
      <w:bodyDiv w:val="1"/>
      <w:marLeft w:val="0"/>
      <w:marRight w:val="0"/>
      <w:marTop w:val="0"/>
      <w:marBottom w:val="0"/>
      <w:divBdr>
        <w:top w:val="none" w:sz="0" w:space="0" w:color="auto"/>
        <w:left w:val="none" w:sz="0" w:space="0" w:color="auto"/>
        <w:bottom w:val="none" w:sz="0" w:space="0" w:color="auto"/>
        <w:right w:val="none" w:sz="0" w:space="0" w:color="auto"/>
      </w:divBdr>
    </w:div>
    <w:div w:id="1155951785">
      <w:bodyDiv w:val="1"/>
      <w:marLeft w:val="0"/>
      <w:marRight w:val="0"/>
      <w:marTop w:val="0"/>
      <w:marBottom w:val="0"/>
      <w:divBdr>
        <w:top w:val="none" w:sz="0" w:space="0" w:color="auto"/>
        <w:left w:val="none" w:sz="0" w:space="0" w:color="auto"/>
        <w:bottom w:val="none" w:sz="0" w:space="0" w:color="auto"/>
        <w:right w:val="none" w:sz="0" w:space="0" w:color="auto"/>
      </w:divBdr>
    </w:div>
    <w:div w:id="1261714468">
      <w:bodyDiv w:val="1"/>
      <w:marLeft w:val="0"/>
      <w:marRight w:val="0"/>
      <w:marTop w:val="0"/>
      <w:marBottom w:val="0"/>
      <w:divBdr>
        <w:top w:val="none" w:sz="0" w:space="0" w:color="auto"/>
        <w:left w:val="none" w:sz="0" w:space="0" w:color="auto"/>
        <w:bottom w:val="none" w:sz="0" w:space="0" w:color="auto"/>
        <w:right w:val="none" w:sz="0" w:space="0" w:color="auto"/>
      </w:divBdr>
    </w:div>
    <w:div w:id="1411344915">
      <w:bodyDiv w:val="1"/>
      <w:marLeft w:val="0"/>
      <w:marRight w:val="0"/>
      <w:marTop w:val="0"/>
      <w:marBottom w:val="0"/>
      <w:divBdr>
        <w:top w:val="none" w:sz="0" w:space="0" w:color="auto"/>
        <w:left w:val="none" w:sz="0" w:space="0" w:color="auto"/>
        <w:bottom w:val="none" w:sz="0" w:space="0" w:color="auto"/>
        <w:right w:val="none" w:sz="0" w:space="0" w:color="auto"/>
      </w:divBdr>
    </w:div>
    <w:div w:id="1554973062">
      <w:bodyDiv w:val="1"/>
      <w:marLeft w:val="0"/>
      <w:marRight w:val="0"/>
      <w:marTop w:val="0"/>
      <w:marBottom w:val="0"/>
      <w:divBdr>
        <w:top w:val="none" w:sz="0" w:space="0" w:color="auto"/>
        <w:left w:val="none" w:sz="0" w:space="0" w:color="auto"/>
        <w:bottom w:val="none" w:sz="0" w:space="0" w:color="auto"/>
        <w:right w:val="none" w:sz="0" w:space="0" w:color="auto"/>
      </w:divBdr>
    </w:div>
    <w:div w:id="1608271446">
      <w:bodyDiv w:val="1"/>
      <w:marLeft w:val="0"/>
      <w:marRight w:val="0"/>
      <w:marTop w:val="0"/>
      <w:marBottom w:val="0"/>
      <w:divBdr>
        <w:top w:val="none" w:sz="0" w:space="0" w:color="auto"/>
        <w:left w:val="none" w:sz="0" w:space="0" w:color="auto"/>
        <w:bottom w:val="none" w:sz="0" w:space="0" w:color="auto"/>
        <w:right w:val="none" w:sz="0" w:space="0" w:color="auto"/>
      </w:divBdr>
    </w:div>
    <w:div w:id="1633709008">
      <w:bodyDiv w:val="1"/>
      <w:marLeft w:val="0"/>
      <w:marRight w:val="0"/>
      <w:marTop w:val="0"/>
      <w:marBottom w:val="0"/>
      <w:divBdr>
        <w:top w:val="none" w:sz="0" w:space="0" w:color="auto"/>
        <w:left w:val="none" w:sz="0" w:space="0" w:color="auto"/>
        <w:bottom w:val="none" w:sz="0" w:space="0" w:color="auto"/>
        <w:right w:val="none" w:sz="0" w:space="0" w:color="auto"/>
      </w:divBdr>
    </w:div>
    <w:div w:id="1976059855">
      <w:bodyDiv w:val="1"/>
      <w:marLeft w:val="0"/>
      <w:marRight w:val="0"/>
      <w:marTop w:val="0"/>
      <w:marBottom w:val="0"/>
      <w:divBdr>
        <w:top w:val="none" w:sz="0" w:space="0" w:color="auto"/>
        <w:left w:val="none" w:sz="0" w:space="0" w:color="auto"/>
        <w:bottom w:val="none" w:sz="0" w:space="0" w:color="auto"/>
        <w:right w:val="none" w:sz="0" w:space="0" w:color="auto"/>
      </w:divBdr>
    </w:div>
    <w:div w:id="2025327871">
      <w:bodyDiv w:val="1"/>
      <w:marLeft w:val="0"/>
      <w:marRight w:val="0"/>
      <w:marTop w:val="0"/>
      <w:marBottom w:val="0"/>
      <w:divBdr>
        <w:top w:val="none" w:sz="0" w:space="0" w:color="auto"/>
        <w:left w:val="none" w:sz="0" w:space="0" w:color="auto"/>
        <w:bottom w:val="none" w:sz="0" w:space="0" w:color="auto"/>
        <w:right w:val="none" w:sz="0" w:space="0" w:color="auto"/>
      </w:divBdr>
    </w:div>
    <w:div w:id="21405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Jin</dc:creator>
  <cp:lastModifiedBy>Jessica Jin</cp:lastModifiedBy>
  <cp:revision>2</cp:revision>
  <dcterms:created xsi:type="dcterms:W3CDTF">2016-04-11T15:44:00Z</dcterms:created>
  <dcterms:modified xsi:type="dcterms:W3CDTF">2016-04-11T15:44:00Z</dcterms:modified>
</cp:coreProperties>
</file>