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C25" w:rsidRPr="0095117C" w:rsidRDefault="00CD2C25" w:rsidP="00CD2C25">
      <w:pPr>
        <w:jc w:val="both"/>
        <w:rPr>
          <w:i/>
        </w:rPr>
      </w:pPr>
      <w:r>
        <w:rPr>
          <w:b/>
        </w:rPr>
        <w:t xml:space="preserve">Does job type significantly impact on </w:t>
      </w:r>
      <w:r w:rsidRPr="0095117C">
        <w:rPr>
          <w:b/>
        </w:rPr>
        <w:t>the risk fac</w:t>
      </w:r>
      <w:r>
        <w:rPr>
          <w:b/>
        </w:rPr>
        <w:t xml:space="preserve">tors for cardiovascular disease </w:t>
      </w:r>
      <w:r w:rsidR="000302CD">
        <w:rPr>
          <w:b/>
        </w:rPr>
        <w:t xml:space="preserve">– Evidence from a cross-sectional study </w:t>
      </w:r>
      <w:r>
        <w:rPr>
          <w:b/>
        </w:rPr>
        <w:t xml:space="preserve">amongst </w:t>
      </w:r>
      <w:r w:rsidR="004374AE">
        <w:rPr>
          <w:b/>
        </w:rPr>
        <w:t xml:space="preserve">‘desk-based’ </w:t>
      </w:r>
      <w:r w:rsidR="00103E74">
        <w:rPr>
          <w:b/>
        </w:rPr>
        <w:t>professional workers</w:t>
      </w:r>
      <w:r w:rsidR="000302CD">
        <w:rPr>
          <w:b/>
        </w:rPr>
        <w:t xml:space="preserve"> in the </w:t>
      </w:r>
      <w:r w:rsidR="00BF757E">
        <w:rPr>
          <w:b/>
        </w:rPr>
        <w:t xml:space="preserve">North West </w:t>
      </w:r>
      <w:r w:rsidR="000302CD">
        <w:rPr>
          <w:b/>
        </w:rPr>
        <w:t xml:space="preserve">of England. </w:t>
      </w:r>
      <w:r>
        <w:t>By Y. Jin</w:t>
      </w:r>
      <w:r>
        <w:rPr>
          <w:vertAlign w:val="superscript"/>
        </w:rPr>
        <w:t xml:space="preserve">1 </w:t>
      </w:r>
      <w:r>
        <w:t>and T. Birchall</w:t>
      </w:r>
      <w:r>
        <w:rPr>
          <w:vertAlign w:val="superscript"/>
        </w:rPr>
        <w:t>1</w:t>
      </w:r>
      <w:r>
        <w:t xml:space="preserve">, </w:t>
      </w:r>
      <w:r w:rsidRPr="00F247F6">
        <w:rPr>
          <w:vertAlign w:val="superscript"/>
        </w:rPr>
        <w:t>1</w:t>
      </w:r>
      <w:r>
        <w:rPr>
          <w:i/>
        </w:rPr>
        <w:t>School of Health Sciences, Liverpool Hope University, Liverpool. L16 9JD.</w:t>
      </w:r>
    </w:p>
    <w:p w:rsidR="00CD2C25" w:rsidRDefault="00CD2C25" w:rsidP="00CD2C25">
      <w:pPr>
        <w:jc w:val="both"/>
      </w:pPr>
    </w:p>
    <w:p w:rsidR="00CD2C25" w:rsidRDefault="00782E75" w:rsidP="00CD2C25">
      <w:pPr>
        <w:jc w:val="both"/>
      </w:pPr>
      <w:r>
        <w:t>Cardiovascular disease</w:t>
      </w:r>
      <w:r w:rsidR="00CD2C25" w:rsidRPr="003E3203">
        <w:t xml:space="preserve"> (CVD) has become the leading cause of mortality in the European region and globally</w:t>
      </w:r>
      <w:r w:rsidR="00103E74">
        <w:t xml:space="preserve"> </w:t>
      </w:r>
      <w:r w:rsidR="00CD2C25" w:rsidRPr="003E3203">
        <w:rPr>
          <w:vertAlign w:val="superscript"/>
        </w:rPr>
        <w:t>(1)</w:t>
      </w:r>
      <w:r w:rsidR="00CD2C25" w:rsidRPr="003E3203">
        <w:t>.</w:t>
      </w:r>
      <w:r w:rsidR="00CD2C25">
        <w:t xml:space="preserve"> Previous studies have investigated the association of professional </w:t>
      </w:r>
      <w:r w:rsidR="00375231">
        <w:t>activities</w:t>
      </w:r>
      <w:r w:rsidR="00CD2C25">
        <w:t xml:space="preserve"> and job strain with the risk of CVD</w:t>
      </w:r>
      <w:r>
        <w:t xml:space="preserve"> </w:t>
      </w:r>
      <w:r w:rsidR="00221117">
        <w:rPr>
          <w:vertAlign w:val="superscript"/>
        </w:rPr>
        <w:t>(2</w:t>
      </w:r>
      <w:r w:rsidRPr="003E3203">
        <w:rPr>
          <w:vertAlign w:val="superscript"/>
        </w:rPr>
        <w:t>)</w:t>
      </w:r>
      <w:r w:rsidRPr="003E3203">
        <w:t>.</w:t>
      </w:r>
      <w:r w:rsidR="00CD2C25">
        <w:t xml:space="preserve"> Yet, </w:t>
      </w:r>
      <w:r>
        <w:t xml:space="preserve">there is </w:t>
      </w:r>
      <w:r w:rsidR="00CD2C25">
        <w:t xml:space="preserve">a paucity of data </w:t>
      </w:r>
      <w:r w:rsidR="00125067">
        <w:t>looking at the link</w:t>
      </w:r>
      <w:r>
        <w:t xml:space="preserve"> of job type (i.e. part-time or full-time) with the risk </w:t>
      </w:r>
      <w:r w:rsidR="00A929B1">
        <w:t>for</w:t>
      </w:r>
      <w:r>
        <w:t xml:space="preserve"> CVD</w:t>
      </w:r>
      <w:r w:rsidR="00375231">
        <w:t xml:space="preserve"> in ‘desk-based’ professional workers</w:t>
      </w:r>
      <w:r>
        <w:t>.</w:t>
      </w:r>
      <w:r w:rsidR="00CD2C25">
        <w:rPr>
          <w:vertAlign w:val="superscript"/>
        </w:rPr>
        <w:t xml:space="preserve"> </w:t>
      </w:r>
      <w:r w:rsidR="00103E74">
        <w:t>This study aimed to</w:t>
      </w:r>
      <w:r w:rsidR="00CD2C25">
        <w:t xml:space="preserve"> investigate </w:t>
      </w:r>
      <w:r w:rsidR="00A929B1">
        <w:t>variations</w:t>
      </w:r>
      <w:r w:rsidR="00CD2C25">
        <w:t xml:space="preserve"> in </w:t>
      </w:r>
      <w:r w:rsidR="00125067">
        <w:t xml:space="preserve">measures of </w:t>
      </w:r>
      <w:r w:rsidR="00CD2C25">
        <w:t xml:space="preserve">CVD risk factors </w:t>
      </w:r>
      <w:r w:rsidR="00375231">
        <w:t>between</w:t>
      </w:r>
      <w:r w:rsidR="00CD2C25">
        <w:t xml:space="preserve"> </w:t>
      </w:r>
      <w:r w:rsidR="00375231">
        <w:t>part-time and full-time</w:t>
      </w:r>
      <w:r w:rsidR="00CD2C25">
        <w:t xml:space="preserve"> </w:t>
      </w:r>
      <w:r w:rsidR="00EE6FC3">
        <w:t>‘desk-based’</w:t>
      </w:r>
      <w:r w:rsidR="00375231">
        <w:t xml:space="preserve"> professional workers</w:t>
      </w:r>
      <w:r w:rsidR="00CD2C25">
        <w:t xml:space="preserve"> </w:t>
      </w:r>
      <w:r w:rsidR="00294190">
        <w:t>living</w:t>
      </w:r>
      <w:r w:rsidR="00CD230B">
        <w:t xml:space="preserve"> in the North West of England</w:t>
      </w:r>
      <w:r w:rsidR="00103E74">
        <w:t>.</w:t>
      </w:r>
    </w:p>
    <w:p w:rsidR="00CD2C25" w:rsidRDefault="00CD2C25" w:rsidP="00CD2C25">
      <w:pPr>
        <w:ind w:firstLine="284"/>
        <w:jc w:val="both"/>
      </w:pPr>
      <w:r>
        <w:t xml:space="preserve">35 </w:t>
      </w:r>
      <w:r w:rsidR="00EE6FC3">
        <w:t xml:space="preserve">self-reported ‘desk-based’ </w:t>
      </w:r>
      <w:r w:rsidR="00A61783">
        <w:t>professional workers</w:t>
      </w:r>
      <w:r>
        <w:t xml:space="preserve"> (M 13, F 22</w:t>
      </w:r>
      <w:r w:rsidR="00782E75">
        <w:t>; part-time 14, full-time 21</w:t>
      </w:r>
      <w:r w:rsidRPr="003E3203">
        <w:t>) aged</w:t>
      </w:r>
      <w:r>
        <w:t xml:space="preserve"> 30-65 years old were recruited via random selection from Liverpool and its surrounding areas. Laboratory and anthropometric measures of CVD risk were assessed including blood pressure, measures of central obesity and biomarkers of fasting capillary blood glucose and lipid profile. Energy and nutrient intake</w:t>
      </w:r>
      <w:r w:rsidR="00A61783">
        <w:t>s were</w:t>
      </w:r>
      <w:r>
        <w:t xml:space="preserve"> recorded using a validated 3-day diet diary and analysed using a dietary assessment software </w:t>
      </w:r>
      <w:proofErr w:type="spellStart"/>
      <w:r>
        <w:t>Microdiet</w:t>
      </w:r>
      <w:proofErr w:type="spellEnd"/>
      <w:r w:rsidR="00A61783">
        <w:t xml:space="preserve"> (v 3.0)</w:t>
      </w:r>
      <w:r>
        <w:t xml:space="preserve">. </w:t>
      </w:r>
      <w:r w:rsidR="004374AE">
        <w:t>Information on occupation and working hours per</w:t>
      </w:r>
      <w:r w:rsidR="00B10E1D">
        <w:t xml:space="preserve"> week </w:t>
      </w:r>
      <w:r w:rsidR="004374AE">
        <w:t xml:space="preserve">was collected using a sociodemographic questionnaire. </w:t>
      </w:r>
      <w:r>
        <w:t xml:space="preserve">Variation in CVD risk factors </w:t>
      </w:r>
      <w:r w:rsidR="004374AE">
        <w:t xml:space="preserve">between two job type groups </w:t>
      </w:r>
      <w:r>
        <w:t>was assessed using an Independent-Samp</w:t>
      </w:r>
      <w:r w:rsidR="00782E75">
        <w:t xml:space="preserve">les T-test. </w:t>
      </w:r>
      <w:r>
        <w:t xml:space="preserve">Statistical analyses were conducted using SPSS 22 with statistical significance set at 0.05. </w:t>
      </w:r>
    </w:p>
    <w:p w:rsidR="00CD2C25" w:rsidRDefault="00751B28" w:rsidP="00CD2C25">
      <w:pPr>
        <w:ind w:firstLine="284"/>
        <w:jc w:val="both"/>
      </w:pPr>
      <w:r>
        <w:t xml:space="preserve">Participants had professional roles as </w:t>
      </w:r>
      <w:r w:rsidR="00CD2C25">
        <w:t xml:space="preserve">manager, director, academics, </w:t>
      </w:r>
      <w:r w:rsidR="004E2FD2">
        <w:t xml:space="preserve">psychologist, </w:t>
      </w:r>
      <w:r w:rsidR="00CD2C25">
        <w:t>counsellor, librarian</w:t>
      </w:r>
      <w:r w:rsidR="004E2FD2">
        <w:t xml:space="preserve"> and </w:t>
      </w:r>
      <w:r w:rsidR="00CD2C25">
        <w:t xml:space="preserve">office workers. Their average working </w:t>
      </w:r>
      <w:r w:rsidR="00B10E1D">
        <w:t>time was approximately 32</w:t>
      </w:r>
      <w:r w:rsidR="00CD2C25">
        <w:t xml:space="preserve"> h</w:t>
      </w:r>
      <w:r w:rsidR="00B10E1D">
        <w:t>ours</w:t>
      </w:r>
      <w:r w:rsidR="00CD2C25">
        <w:t xml:space="preserve"> </w:t>
      </w:r>
      <w:r w:rsidR="00B10E1D">
        <w:t>per week</w:t>
      </w:r>
      <w:r w:rsidR="00CD2C25">
        <w:t xml:space="preserve"> (SD </w:t>
      </w:r>
      <w:r w:rsidR="00B10E1D">
        <w:t>13.3</w:t>
      </w:r>
      <w:r w:rsidR="00CD2C25">
        <w:t xml:space="preserve">). </w:t>
      </w:r>
      <w:r w:rsidR="00221117">
        <w:t xml:space="preserve">Full-time group had significantly higher levels of blood pressure, measures of </w:t>
      </w:r>
      <w:r w:rsidR="00CD2C25">
        <w:t xml:space="preserve">central obesity, </w:t>
      </w:r>
      <w:r w:rsidR="000927D6">
        <w:t xml:space="preserve">whole </w:t>
      </w:r>
      <w:r w:rsidR="00CD2C25">
        <w:t>blood glucose and</w:t>
      </w:r>
      <w:r w:rsidR="00125067">
        <w:t xml:space="preserve"> some</w:t>
      </w:r>
      <w:r w:rsidR="00CD2C25">
        <w:t xml:space="preserve"> lipid profiles.</w:t>
      </w:r>
      <w:r w:rsidR="00B10E1D">
        <w:t xml:space="preserve"> </w:t>
      </w:r>
      <w:r w:rsidR="00137097">
        <w:t>N</w:t>
      </w:r>
      <w:r w:rsidR="00CD2C25">
        <w:t>oticeably</w:t>
      </w:r>
      <w:r w:rsidR="00137097">
        <w:t xml:space="preserve">, full-time group </w:t>
      </w:r>
      <w:r w:rsidR="00CF1053">
        <w:t>dra</w:t>
      </w:r>
      <w:r w:rsidR="00221117">
        <w:t>nk more alcohol per day</w:t>
      </w:r>
      <w:r w:rsidR="000927D6">
        <w:t xml:space="preserve"> and </w:t>
      </w:r>
      <w:r w:rsidR="00221117">
        <w:t>work</w:t>
      </w:r>
      <w:r w:rsidR="00CF1053">
        <w:t>ed</w:t>
      </w:r>
      <w:r w:rsidR="00221117">
        <w:t xml:space="preserve"> </w:t>
      </w:r>
      <w:r w:rsidR="007E5607">
        <w:t xml:space="preserve">longer </w:t>
      </w:r>
      <w:r w:rsidR="00221117">
        <w:t>hours</w:t>
      </w:r>
      <w:r w:rsidR="000927D6">
        <w:t xml:space="preserve"> per week</w:t>
      </w:r>
      <w:r w:rsidR="00137097">
        <w:t xml:space="preserve"> compared to their part-time counterparts</w:t>
      </w:r>
      <w:r w:rsidR="000927D6">
        <w:t>.</w:t>
      </w:r>
      <w:r w:rsidR="00CD2C25">
        <w:t xml:space="preserve"> The only statistically significant variations are shown </w:t>
      </w:r>
      <w:r w:rsidR="00CF1053">
        <w:t xml:space="preserve">in the Table </w:t>
      </w:r>
      <w:r w:rsidR="00CD2C25">
        <w:t>below.</w:t>
      </w:r>
    </w:p>
    <w:p w:rsidR="00BD2B3D" w:rsidRDefault="00BD2B3D" w:rsidP="00CD2C25">
      <w:pPr>
        <w:ind w:firstLine="284"/>
        <w:jc w:val="both"/>
      </w:pPr>
    </w:p>
    <w:tbl>
      <w:tblPr>
        <w:tblW w:w="9026" w:type="dxa"/>
        <w:tblLook w:val="04A0" w:firstRow="1" w:lastRow="0" w:firstColumn="1" w:lastColumn="0" w:noHBand="0" w:noVBand="1"/>
      </w:tblPr>
      <w:tblGrid>
        <w:gridCol w:w="3068"/>
        <w:gridCol w:w="1856"/>
        <w:gridCol w:w="665"/>
        <w:gridCol w:w="1784"/>
        <w:gridCol w:w="721"/>
        <w:gridCol w:w="932"/>
      </w:tblGrid>
      <w:tr w:rsidR="000927D6" w:rsidRPr="00702646" w:rsidTr="00D23337">
        <w:trPr>
          <w:trHeight w:val="300"/>
        </w:trPr>
        <w:tc>
          <w:tcPr>
            <w:tcW w:w="3075" w:type="dxa"/>
            <w:vMerge w:val="restart"/>
            <w:tcBorders>
              <w:top w:val="single" w:sz="4" w:space="0" w:color="auto"/>
              <w:left w:val="nil"/>
              <w:bottom w:val="single" w:sz="4" w:space="0" w:color="000000"/>
              <w:right w:val="nil"/>
            </w:tcBorders>
            <w:shd w:val="clear" w:color="auto" w:fill="auto"/>
            <w:noWrap/>
            <w:vAlign w:val="center"/>
            <w:hideMark/>
          </w:tcPr>
          <w:p w:rsidR="000927D6" w:rsidRPr="00702646" w:rsidRDefault="000927D6" w:rsidP="000927D6">
            <w:pPr>
              <w:jc w:val="center"/>
              <w:rPr>
                <w:b/>
                <w:bCs/>
                <w:color w:val="000000"/>
                <w:sz w:val="20"/>
                <w:szCs w:val="20"/>
              </w:rPr>
            </w:pPr>
            <w:r w:rsidRPr="00702646">
              <w:rPr>
                <w:b/>
                <w:bCs/>
                <w:color w:val="000000"/>
                <w:sz w:val="20"/>
                <w:szCs w:val="20"/>
              </w:rPr>
              <w:t>Parameters</w:t>
            </w:r>
          </w:p>
        </w:tc>
        <w:tc>
          <w:tcPr>
            <w:tcW w:w="2509" w:type="dxa"/>
            <w:gridSpan w:val="2"/>
            <w:tcBorders>
              <w:top w:val="single" w:sz="4" w:space="0" w:color="auto"/>
              <w:left w:val="nil"/>
              <w:bottom w:val="nil"/>
              <w:right w:val="nil"/>
            </w:tcBorders>
            <w:shd w:val="clear" w:color="auto" w:fill="auto"/>
            <w:noWrap/>
            <w:vAlign w:val="bottom"/>
            <w:hideMark/>
          </w:tcPr>
          <w:p w:rsidR="000927D6" w:rsidRPr="00702646" w:rsidRDefault="000927D6" w:rsidP="000927D6">
            <w:pPr>
              <w:jc w:val="center"/>
              <w:rPr>
                <w:b/>
                <w:bCs/>
                <w:color w:val="000000"/>
                <w:sz w:val="20"/>
                <w:szCs w:val="20"/>
              </w:rPr>
            </w:pPr>
            <w:r w:rsidRPr="00702646">
              <w:rPr>
                <w:b/>
                <w:bCs/>
                <w:color w:val="000000"/>
                <w:sz w:val="20"/>
                <w:szCs w:val="20"/>
              </w:rPr>
              <w:t xml:space="preserve">            Full-time</w:t>
            </w:r>
          </w:p>
        </w:tc>
        <w:tc>
          <w:tcPr>
            <w:tcW w:w="2509" w:type="dxa"/>
            <w:gridSpan w:val="2"/>
            <w:tcBorders>
              <w:top w:val="single" w:sz="4" w:space="0" w:color="auto"/>
              <w:left w:val="nil"/>
              <w:bottom w:val="single" w:sz="4" w:space="0" w:color="auto"/>
              <w:right w:val="nil"/>
            </w:tcBorders>
            <w:shd w:val="clear" w:color="auto" w:fill="auto"/>
            <w:noWrap/>
            <w:vAlign w:val="bottom"/>
            <w:hideMark/>
          </w:tcPr>
          <w:p w:rsidR="000927D6" w:rsidRPr="00702646" w:rsidRDefault="000927D6" w:rsidP="00D23337">
            <w:pPr>
              <w:jc w:val="center"/>
              <w:rPr>
                <w:b/>
                <w:bCs/>
                <w:color w:val="000000"/>
                <w:sz w:val="20"/>
                <w:szCs w:val="20"/>
              </w:rPr>
            </w:pPr>
            <w:r w:rsidRPr="00702646">
              <w:rPr>
                <w:b/>
                <w:bCs/>
                <w:color w:val="000000"/>
                <w:sz w:val="20"/>
                <w:szCs w:val="20"/>
              </w:rPr>
              <w:t xml:space="preserve">           Part-time</w:t>
            </w:r>
          </w:p>
        </w:tc>
        <w:tc>
          <w:tcPr>
            <w:tcW w:w="933" w:type="dxa"/>
            <w:vMerge w:val="restart"/>
            <w:tcBorders>
              <w:top w:val="single" w:sz="4" w:space="0" w:color="auto"/>
              <w:left w:val="nil"/>
              <w:bottom w:val="single" w:sz="4" w:space="0" w:color="000000"/>
              <w:right w:val="nil"/>
            </w:tcBorders>
            <w:shd w:val="clear" w:color="auto" w:fill="auto"/>
            <w:noWrap/>
            <w:vAlign w:val="center"/>
            <w:hideMark/>
          </w:tcPr>
          <w:p w:rsidR="000927D6" w:rsidRPr="00702646" w:rsidRDefault="000927D6" w:rsidP="000927D6">
            <w:pPr>
              <w:jc w:val="center"/>
              <w:rPr>
                <w:b/>
                <w:bCs/>
                <w:i/>
                <w:iCs/>
                <w:color w:val="000000"/>
                <w:sz w:val="20"/>
                <w:szCs w:val="20"/>
              </w:rPr>
            </w:pPr>
            <w:r w:rsidRPr="00702646">
              <w:rPr>
                <w:b/>
                <w:bCs/>
                <w:i/>
                <w:iCs/>
                <w:color w:val="000000"/>
                <w:sz w:val="20"/>
                <w:szCs w:val="20"/>
              </w:rPr>
              <w:t xml:space="preserve">P </w:t>
            </w:r>
            <w:r w:rsidRPr="00702646">
              <w:rPr>
                <w:b/>
                <w:bCs/>
                <w:color w:val="000000"/>
                <w:sz w:val="20"/>
                <w:szCs w:val="20"/>
              </w:rPr>
              <w:t>value</w:t>
            </w:r>
          </w:p>
        </w:tc>
      </w:tr>
      <w:tr w:rsidR="000927D6" w:rsidRPr="00702646" w:rsidTr="00D23337">
        <w:trPr>
          <w:trHeight w:val="300"/>
        </w:trPr>
        <w:tc>
          <w:tcPr>
            <w:tcW w:w="3075" w:type="dxa"/>
            <w:vMerge/>
            <w:tcBorders>
              <w:top w:val="single" w:sz="4" w:space="0" w:color="auto"/>
              <w:left w:val="nil"/>
              <w:bottom w:val="single" w:sz="4" w:space="0" w:color="000000"/>
              <w:right w:val="nil"/>
            </w:tcBorders>
            <w:vAlign w:val="center"/>
            <w:hideMark/>
          </w:tcPr>
          <w:p w:rsidR="000927D6" w:rsidRPr="00702646" w:rsidRDefault="000927D6" w:rsidP="000927D6">
            <w:pPr>
              <w:rPr>
                <w:b/>
                <w:bCs/>
                <w:color w:val="000000"/>
                <w:sz w:val="20"/>
                <w:szCs w:val="20"/>
              </w:rPr>
            </w:pPr>
          </w:p>
        </w:tc>
        <w:tc>
          <w:tcPr>
            <w:tcW w:w="1859" w:type="dxa"/>
            <w:tcBorders>
              <w:top w:val="single" w:sz="4" w:space="0" w:color="auto"/>
              <w:left w:val="nil"/>
              <w:bottom w:val="single" w:sz="4" w:space="0" w:color="auto"/>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Mean</w:t>
            </w:r>
          </w:p>
        </w:tc>
        <w:tc>
          <w:tcPr>
            <w:tcW w:w="650" w:type="dxa"/>
            <w:tcBorders>
              <w:top w:val="single" w:sz="4" w:space="0" w:color="auto"/>
              <w:left w:val="nil"/>
              <w:bottom w:val="single" w:sz="4" w:space="0" w:color="auto"/>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SD</w:t>
            </w:r>
          </w:p>
        </w:tc>
        <w:tc>
          <w:tcPr>
            <w:tcW w:w="1787" w:type="dxa"/>
            <w:tcBorders>
              <w:top w:val="nil"/>
              <w:left w:val="nil"/>
              <w:bottom w:val="single" w:sz="4" w:space="0" w:color="auto"/>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Mean</w:t>
            </w:r>
          </w:p>
        </w:tc>
        <w:tc>
          <w:tcPr>
            <w:tcW w:w="722" w:type="dxa"/>
            <w:tcBorders>
              <w:top w:val="nil"/>
              <w:left w:val="nil"/>
              <w:bottom w:val="single" w:sz="4" w:space="0" w:color="auto"/>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SD</w:t>
            </w:r>
          </w:p>
        </w:tc>
        <w:tc>
          <w:tcPr>
            <w:tcW w:w="933" w:type="dxa"/>
            <w:vMerge/>
            <w:tcBorders>
              <w:top w:val="single" w:sz="4" w:space="0" w:color="auto"/>
              <w:left w:val="nil"/>
              <w:bottom w:val="single" w:sz="4" w:space="0" w:color="000000"/>
              <w:right w:val="nil"/>
            </w:tcBorders>
            <w:vAlign w:val="center"/>
            <w:hideMark/>
          </w:tcPr>
          <w:p w:rsidR="000927D6" w:rsidRPr="00702646" w:rsidRDefault="000927D6" w:rsidP="000927D6">
            <w:pPr>
              <w:rPr>
                <w:b/>
                <w:bCs/>
                <w:i/>
                <w:iCs/>
                <w:color w:val="000000"/>
                <w:sz w:val="20"/>
                <w:szCs w:val="20"/>
              </w:rPr>
            </w:pPr>
          </w:p>
        </w:tc>
      </w:tr>
      <w:tr w:rsidR="000927D6" w:rsidRPr="00702646" w:rsidTr="00D23337">
        <w:trPr>
          <w:trHeight w:val="420"/>
        </w:trPr>
        <w:tc>
          <w:tcPr>
            <w:tcW w:w="3075" w:type="dxa"/>
            <w:tcBorders>
              <w:top w:val="nil"/>
              <w:left w:val="nil"/>
              <w:bottom w:val="nil"/>
              <w:right w:val="nil"/>
            </w:tcBorders>
            <w:shd w:val="clear" w:color="auto" w:fill="auto"/>
            <w:vAlign w:val="center"/>
            <w:hideMark/>
          </w:tcPr>
          <w:p w:rsidR="000927D6" w:rsidRPr="00702646" w:rsidRDefault="000927D6" w:rsidP="000927D6">
            <w:pPr>
              <w:jc w:val="center"/>
              <w:rPr>
                <w:color w:val="000000"/>
                <w:sz w:val="20"/>
                <w:szCs w:val="20"/>
              </w:rPr>
            </w:pPr>
            <w:r w:rsidRPr="00702646">
              <w:rPr>
                <w:color w:val="000000"/>
                <w:sz w:val="20"/>
                <w:szCs w:val="20"/>
              </w:rPr>
              <w:t>Systolic blood pressure  (mmHg)</w:t>
            </w:r>
          </w:p>
        </w:tc>
        <w:tc>
          <w:tcPr>
            <w:tcW w:w="1859"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130.43</w:t>
            </w:r>
          </w:p>
        </w:tc>
        <w:tc>
          <w:tcPr>
            <w:tcW w:w="650"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24.78</w:t>
            </w:r>
          </w:p>
        </w:tc>
        <w:tc>
          <w:tcPr>
            <w:tcW w:w="1787"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110.57</w:t>
            </w:r>
          </w:p>
        </w:tc>
        <w:tc>
          <w:tcPr>
            <w:tcW w:w="722"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11.62</w:t>
            </w:r>
          </w:p>
        </w:tc>
        <w:tc>
          <w:tcPr>
            <w:tcW w:w="933" w:type="dxa"/>
            <w:tcBorders>
              <w:top w:val="nil"/>
              <w:left w:val="nil"/>
              <w:bottom w:val="nil"/>
              <w:right w:val="nil"/>
            </w:tcBorders>
            <w:shd w:val="clear" w:color="auto" w:fill="auto"/>
            <w:noWrap/>
            <w:vAlign w:val="center"/>
            <w:hideMark/>
          </w:tcPr>
          <w:p w:rsidR="000927D6" w:rsidRPr="00702646" w:rsidRDefault="000927D6" w:rsidP="000927D6">
            <w:pPr>
              <w:jc w:val="center"/>
              <w:rPr>
                <w:bCs/>
                <w:color w:val="000000"/>
                <w:sz w:val="20"/>
                <w:szCs w:val="20"/>
              </w:rPr>
            </w:pPr>
            <w:r w:rsidRPr="00702646">
              <w:rPr>
                <w:bCs/>
                <w:color w:val="000000"/>
                <w:sz w:val="20"/>
                <w:szCs w:val="20"/>
              </w:rPr>
              <w:t>0.003</w:t>
            </w:r>
          </w:p>
        </w:tc>
      </w:tr>
      <w:tr w:rsidR="000927D6" w:rsidRPr="00702646" w:rsidTr="00D23337">
        <w:trPr>
          <w:trHeight w:val="330"/>
        </w:trPr>
        <w:tc>
          <w:tcPr>
            <w:tcW w:w="3075" w:type="dxa"/>
            <w:tcBorders>
              <w:top w:val="nil"/>
              <w:left w:val="nil"/>
              <w:bottom w:val="nil"/>
              <w:right w:val="nil"/>
            </w:tcBorders>
            <w:shd w:val="clear" w:color="auto" w:fill="auto"/>
            <w:vAlign w:val="center"/>
            <w:hideMark/>
          </w:tcPr>
          <w:p w:rsidR="000927D6" w:rsidRPr="00702646" w:rsidRDefault="000927D6" w:rsidP="000927D6">
            <w:pPr>
              <w:jc w:val="center"/>
              <w:rPr>
                <w:color w:val="000000"/>
                <w:sz w:val="20"/>
                <w:szCs w:val="20"/>
              </w:rPr>
            </w:pPr>
            <w:r w:rsidRPr="00702646">
              <w:rPr>
                <w:color w:val="000000"/>
                <w:sz w:val="20"/>
                <w:szCs w:val="20"/>
              </w:rPr>
              <w:t>BMI (kg/m</w:t>
            </w:r>
            <w:r w:rsidRPr="00702646">
              <w:rPr>
                <w:sz w:val="20"/>
                <w:szCs w:val="20"/>
                <w:vertAlign w:val="superscript"/>
              </w:rPr>
              <w:t>2</w:t>
            </w:r>
            <w:r w:rsidRPr="00702646">
              <w:rPr>
                <w:color w:val="000000"/>
                <w:sz w:val="20"/>
                <w:szCs w:val="20"/>
              </w:rPr>
              <w:t>)</w:t>
            </w:r>
          </w:p>
        </w:tc>
        <w:tc>
          <w:tcPr>
            <w:tcW w:w="1859" w:type="dxa"/>
            <w:tcBorders>
              <w:top w:val="nil"/>
              <w:left w:val="nil"/>
              <w:bottom w:val="nil"/>
              <w:right w:val="nil"/>
            </w:tcBorders>
            <w:shd w:val="clear" w:color="auto" w:fill="auto"/>
            <w:noWrap/>
            <w:vAlign w:val="center"/>
            <w:hideMark/>
          </w:tcPr>
          <w:p w:rsidR="000927D6" w:rsidRPr="00702646" w:rsidRDefault="000927D6" w:rsidP="000927D6">
            <w:pPr>
              <w:jc w:val="center"/>
              <w:rPr>
                <w:b/>
                <w:bCs/>
                <w:color w:val="000000"/>
                <w:sz w:val="20"/>
                <w:szCs w:val="20"/>
              </w:rPr>
            </w:pPr>
            <w:r w:rsidRPr="00702646">
              <w:rPr>
                <w:b/>
                <w:bCs/>
                <w:color w:val="000000"/>
                <w:sz w:val="20"/>
                <w:szCs w:val="20"/>
              </w:rPr>
              <w:t>25.69</w:t>
            </w:r>
          </w:p>
        </w:tc>
        <w:tc>
          <w:tcPr>
            <w:tcW w:w="650"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2.96</w:t>
            </w:r>
          </w:p>
        </w:tc>
        <w:tc>
          <w:tcPr>
            <w:tcW w:w="1787"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22.30</w:t>
            </w:r>
          </w:p>
        </w:tc>
        <w:tc>
          <w:tcPr>
            <w:tcW w:w="722"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3.00</w:t>
            </w:r>
          </w:p>
        </w:tc>
        <w:tc>
          <w:tcPr>
            <w:tcW w:w="933" w:type="dxa"/>
            <w:tcBorders>
              <w:top w:val="nil"/>
              <w:left w:val="nil"/>
              <w:bottom w:val="nil"/>
              <w:right w:val="nil"/>
            </w:tcBorders>
            <w:shd w:val="clear" w:color="auto" w:fill="auto"/>
            <w:noWrap/>
            <w:vAlign w:val="center"/>
            <w:hideMark/>
          </w:tcPr>
          <w:p w:rsidR="000927D6" w:rsidRPr="00702646" w:rsidRDefault="000927D6" w:rsidP="000927D6">
            <w:pPr>
              <w:jc w:val="center"/>
              <w:rPr>
                <w:bCs/>
                <w:color w:val="000000"/>
                <w:sz w:val="20"/>
                <w:szCs w:val="20"/>
              </w:rPr>
            </w:pPr>
            <w:r w:rsidRPr="00702646">
              <w:rPr>
                <w:bCs/>
                <w:color w:val="000000"/>
                <w:sz w:val="20"/>
                <w:szCs w:val="20"/>
              </w:rPr>
              <w:t>0.002</w:t>
            </w:r>
          </w:p>
        </w:tc>
      </w:tr>
      <w:tr w:rsidR="000927D6" w:rsidRPr="00702646" w:rsidTr="00D23337">
        <w:trPr>
          <w:trHeight w:val="345"/>
        </w:trPr>
        <w:tc>
          <w:tcPr>
            <w:tcW w:w="3075" w:type="dxa"/>
            <w:tcBorders>
              <w:top w:val="nil"/>
              <w:left w:val="nil"/>
              <w:bottom w:val="nil"/>
              <w:right w:val="nil"/>
            </w:tcBorders>
            <w:shd w:val="clear" w:color="auto" w:fill="auto"/>
            <w:vAlign w:val="center"/>
            <w:hideMark/>
          </w:tcPr>
          <w:p w:rsidR="000927D6" w:rsidRPr="00702646" w:rsidRDefault="000927D6" w:rsidP="000927D6">
            <w:pPr>
              <w:jc w:val="center"/>
              <w:rPr>
                <w:color w:val="000000"/>
                <w:sz w:val="20"/>
                <w:szCs w:val="20"/>
              </w:rPr>
            </w:pPr>
            <w:r w:rsidRPr="00702646">
              <w:rPr>
                <w:color w:val="000000"/>
                <w:sz w:val="20"/>
                <w:szCs w:val="20"/>
              </w:rPr>
              <w:t>Waist Circumference (cm)</w:t>
            </w:r>
          </w:p>
        </w:tc>
        <w:tc>
          <w:tcPr>
            <w:tcW w:w="1859"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89.88</w:t>
            </w:r>
          </w:p>
        </w:tc>
        <w:tc>
          <w:tcPr>
            <w:tcW w:w="650"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12.83</w:t>
            </w:r>
          </w:p>
        </w:tc>
        <w:tc>
          <w:tcPr>
            <w:tcW w:w="1787"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75.03</w:t>
            </w:r>
          </w:p>
        </w:tc>
        <w:tc>
          <w:tcPr>
            <w:tcW w:w="722"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13.23</w:t>
            </w:r>
          </w:p>
        </w:tc>
        <w:tc>
          <w:tcPr>
            <w:tcW w:w="933" w:type="dxa"/>
            <w:tcBorders>
              <w:top w:val="nil"/>
              <w:left w:val="nil"/>
              <w:bottom w:val="nil"/>
              <w:right w:val="nil"/>
            </w:tcBorders>
            <w:shd w:val="clear" w:color="auto" w:fill="auto"/>
            <w:noWrap/>
            <w:vAlign w:val="center"/>
            <w:hideMark/>
          </w:tcPr>
          <w:p w:rsidR="000927D6" w:rsidRPr="00702646" w:rsidRDefault="000927D6" w:rsidP="000927D6">
            <w:pPr>
              <w:jc w:val="center"/>
              <w:rPr>
                <w:bCs/>
                <w:color w:val="000000"/>
                <w:sz w:val="20"/>
                <w:szCs w:val="20"/>
              </w:rPr>
            </w:pPr>
            <w:r w:rsidRPr="00702646">
              <w:rPr>
                <w:bCs/>
                <w:color w:val="000000"/>
                <w:sz w:val="20"/>
                <w:szCs w:val="20"/>
              </w:rPr>
              <w:t>0.002</w:t>
            </w:r>
          </w:p>
        </w:tc>
      </w:tr>
      <w:tr w:rsidR="000927D6" w:rsidRPr="00702646" w:rsidTr="00D23337">
        <w:trPr>
          <w:trHeight w:val="315"/>
        </w:trPr>
        <w:tc>
          <w:tcPr>
            <w:tcW w:w="3075" w:type="dxa"/>
            <w:tcBorders>
              <w:top w:val="nil"/>
              <w:left w:val="nil"/>
              <w:bottom w:val="nil"/>
              <w:right w:val="nil"/>
            </w:tcBorders>
            <w:shd w:val="clear" w:color="auto" w:fill="auto"/>
            <w:vAlign w:val="center"/>
            <w:hideMark/>
          </w:tcPr>
          <w:p w:rsidR="000927D6" w:rsidRPr="00702646" w:rsidRDefault="000927D6" w:rsidP="000927D6">
            <w:pPr>
              <w:jc w:val="center"/>
              <w:rPr>
                <w:color w:val="000000"/>
                <w:sz w:val="20"/>
                <w:szCs w:val="20"/>
              </w:rPr>
            </w:pPr>
            <w:r w:rsidRPr="00702646">
              <w:rPr>
                <w:color w:val="000000"/>
                <w:sz w:val="20"/>
                <w:szCs w:val="20"/>
              </w:rPr>
              <w:t xml:space="preserve">Waist-Hip Ratio </w:t>
            </w:r>
          </w:p>
        </w:tc>
        <w:tc>
          <w:tcPr>
            <w:tcW w:w="1859"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0.86</w:t>
            </w:r>
          </w:p>
        </w:tc>
        <w:tc>
          <w:tcPr>
            <w:tcW w:w="650"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0.09</w:t>
            </w:r>
          </w:p>
        </w:tc>
        <w:tc>
          <w:tcPr>
            <w:tcW w:w="1787"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0.76</w:t>
            </w:r>
          </w:p>
        </w:tc>
        <w:tc>
          <w:tcPr>
            <w:tcW w:w="722"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0.09</w:t>
            </w:r>
          </w:p>
        </w:tc>
        <w:tc>
          <w:tcPr>
            <w:tcW w:w="933" w:type="dxa"/>
            <w:tcBorders>
              <w:top w:val="nil"/>
              <w:left w:val="nil"/>
              <w:bottom w:val="nil"/>
              <w:right w:val="nil"/>
            </w:tcBorders>
            <w:shd w:val="clear" w:color="auto" w:fill="auto"/>
            <w:noWrap/>
            <w:vAlign w:val="center"/>
            <w:hideMark/>
          </w:tcPr>
          <w:p w:rsidR="000927D6" w:rsidRPr="00702646" w:rsidRDefault="000927D6" w:rsidP="000927D6">
            <w:pPr>
              <w:jc w:val="center"/>
              <w:rPr>
                <w:bCs/>
                <w:color w:val="000000"/>
                <w:sz w:val="20"/>
                <w:szCs w:val="20"/>
              </w:rPr>
            </w:pPr>
            <w:r w:rsidRPr="00702646">
              <w:rPr>
                <w:bCs/>
                <w:color w:val="000000"/>
                <w:sz w:val="20"/>
                <w:szCs w:val="20"/>
              </w:rPr>
              <w:t>0.004</w:t>
            </w:r>
          </w:p>
        </w:tc>
      </w:tr>
      <w:tr w:rsidR="000927D6" w:rsidRPr="00702646" w:rsidTr="00D23337">
        <w:trPr>
          <w:trHeight w:val="345"/>
        </w:trPr>
        <w:tc>
          <w:tcPr>
            <w:tcW w:w="3075" w:type="dxa"/>
            <w:tcBorders>
              <w:top w:val="nil"/>
              <w:left w:val="nil"/>
              <w:bottom w:val="nil"/>
              <w:right w:val="nil"/>
            </w:tcBorders>
            <w:shd w:val="clear" w:color="auto" w:fill="auto"/>
            <w:vAlign w:val="center"/>
            <w:hideMark/>
          </w:tcPr>
          <w:p w:rsidR="000927D6" w:rsidRPr="00702646" w:rsidRDefault="000927D6" w:rsidP="000927D6">
            <w:pPr>
              <w:jc w:val="center"/>
              <w:rPr>
                <w:color w:val="000000"/>
                <w:sz w:val="20"/>
                <w:szCs w:val="20"/>
              </w:rPr>
            </w:pPr>
            <w:r w:rsidRPr="00702646">
              <w:rPr>
                <w:color w:val="000000"/>
                <w:sz w:val="20"/>
                <w:szCs w:val="20"/>
              </w:rPr>
              <w:t>Whole Blood Glucose (</w:t>
            </w:r>
            <w:proofErr w:type="spellStart"/>
            <w:r w:rsidRPr="00702646">
              <w:rPr>
                <w:color w:val="000000"/>
                <w:sz w:val="20"/>
                <w:szCs w:val="20"/>
              </w:rPr>
              <w:t>mmol</w:t>
            </w:r>
            <w:proofErr w:type="spellEnd"/>
            <w:r w:rsidRPr="00702646">
              <w:rPr>
                <w:color w:val="000000"/>
                <w:sz w:val="20"/>
                <w:szCs w:val="20"/>
              </w:rPr>
              <w:t>/L)</w:t>
            </w:r>
          </w:p>
        </w:tc>
        <w:tc>
          <w:tcPr>
            <w:tcW w:w="1859" w:type="dxa"/>
            <w:tcBorders>
              <w:top w:val="nil"/>
              <w:left w:val="nil"/>
              <w:bottom w:val="nil"/>
              <w:right w:val="nil"/>
            </w:tcBorders>
            <w:shd w:val="clear" w:color="auto" w:fill="auto"/>
            <w:noWrap/>
            <w:vAlign w:val="center"/>
            <w:hideMark/>
          </w:tcPr>
          <w:p w:rsidR="000927D6" w:rsidRPr="00702646" w:rsidRDefault="000927D6" w:rsidP="000927D6">
            <w:pPr>
              <w:jc w:val="center"/>
              <w:rPr>
                <w:b/>
                <w:bCs/>
                <w:color w:val="000000"/>
                <w:sz w:val="20"/>
                <w:szCs w:val="20"/>
              </w:rPr>
            </w:pPr>
            <w:r w:rsidRPr="00702646">
              <w:rPr>
                <w:b/>
                <w:bCs/>
                <w:color w:val="000000"/>
                <w:sz w:val="20"/>
                <w:szCs w:val="20"/>
              </w:rPr>
              <w:t>5.45</w:t>
            </w:r>
          </w:p>
        </w:tc>
        <w:tc>
          <w:tcPr>
            <w:tcW w:w="650"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0.58</w:t>
            </w:r>
          </w:p>
        </w:tc>
        <w:tc>
          <w:tcPr>
            <w:tcW w:w="1787"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4.87</w:t>
            </w:r>
          </w:p>
        </w:tc>
        <w:tc>
          <w:tcPr>
            <w:tcW w:w="722"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0.50</w:t>
            </w:r>
          </w:p>
        </w:tc>
        <w:tc>
          <w:tcPr>
            <w:tcW w:w="933" w:type="dxa"/>
            <w:tcBorders>
              <w:top w:val="nil"/>
              <w:left w:val="nil"/>
              <w:bottom w:val="nil"/>
              <w:right w:val="nil"/>
            </w:tcBorders>
            <w:shd w:val="clear" w:color="auto" w:fill="auto"/>
            <w:noWrap/>
            <w:vAlign w:val="center"/>
            <w:hideMark/>
          </w:tcPr>
          <w:p w:rsidR="000927D6" w:rsidRPr="00702646" w:rsidRDefault="000927D6" w:rsidP="000927D6">
            <w:pPr>
              <w:jc w:val="center"/>
              <w:rPr>
                <w:bCs/>
                <w:color w:val="000000"/>
                <w:sz w:val="20"/>
                <w:szCs w:val="20"/>
              </w:rPr>
            </w:pPr>
            <w:r w:rsidRPr="00702646">
              <w:rPr>
                <w:bCs/>
                <w:color w:val="000000"/>
                <w:sz w:val="20"/>
                <w:szCs w:val="20"/>
              </w:rPr>
              <w:t>0.004</w:t>
            </w:r>
          </w:p>
        </w:tc>
      </w:tr>
      <w:tr w:rsidR="000927D6" w:rsidRPr="00702646" w:rsidTr="00D23337">
        <w:trPr>
          <w:trHeight w:val="555"/>
        </w:trPr>
        <w:tc>
          <w:tcPr>
            <w:tcW w:w="3075" w:type="dxa"/>
            <w:tcBorders>
              <w:top w:val="nil"/>
              <w:left w:val="nil"/>
              <w:bottom w:val="nil"/>
              <w:right w:val="nil"/>
            </w:tcBorders>
            <w:shd w:val="clear" w:color="auto" w:fill="auto"/>
            <w:vAlign w:val="center"/>
            <w:hideMark/>
          </w:tcPr>
          <w:p w:rsidR="000927D6" w:rsidRPr="00702646" w:rsidRDefault="000927D6" w:rsidP="000927D6">
            <w:pPr>
              <w:jc w:val="center"/>
              <w:rPr>
                <w:color w:val="000000"/>
                <w:sz w:val="20"/>
                <w:szCs w:val="20"/>
              </w:rPr>
            </w:pPr>
            <w:r w:rsidRPr="00702646">
              <w:rPr>
                <w:color w:val="000000"/>
                <w:sz w:val="20"/>
                <w:szCs w:val="20"/>
              </w:rPr>
              <w:t>Whole blood Total HDL Cholesterol (</w:t>
            </w:r>
            <w:proofErr w:type="spellStart"/>
            <w:r w:rsidRPr="00702646">
              <w:rPr>
                <w:color w:val="000000"/>
                <w:sz w:val="20"/>
                <w:szCs w:val="20"/>
              </w:rPr>
              <w:t>mmol</w:t>
            </w:r>
            <w:proofErr w:type="spellEnd"/>
            <w:r w:rsidRPr="00702646">
              <w:rPr>
                <w:color w:val="000000"/>
                <w:sz w:val="20"/>
                <w:szCs w:val="20"/>
              </w:rPr>
              <w:t>/L)</w:t>
            </w:r>
          </w:p>
        </w:tc>
        <w:tc>
          <w:tcPr>
            <w:tcW w:w="1859"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1.30</w:t>
            </w:r>
          </w:p>
        </w:tc>
        <w:tc>
          <w:tcPr>
            <w:tcW w:w="650"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0.47</w:t>
            </w:r>
          </w:p>
        </w:tc>
        <w:tc>
          <w:tcPr>
            <w:tcW w:w="1787" w:type="dxa"/>
            <w:tcBorders>
              <w:top w:val="nil"/>
              <w:left w:val="nil"/>
              <w:bottom w:val="nil"/>
              <w:right w:val="nil"/>
            </w:tcBorders>
            <w:shd w:val="clear" w:color="auto" w:fill="auto"/>
            <w:noWrap/>
            <w:vAlign w:val="center"/>
            <w:hideMark/>
          </w:tcPr>
          <w:p w:rsidR="000927D6" w:rsidRPr="00702646" w:rsidRDefault="000927D6" w:rsidP="000927D6">
            <w:pPr>
              <w:jc w:val="center"/>
              <w:rPr>
                <w:b/>
                <w:bCs/>
                <w:color w:val="000000"/>
                <w:sz w:val="20"/>
                <w:szCs w:val="20"/>
              </w:rPr>
            </w:pPr>
            <w:r w:rsidRPr="00702646">
              <w:rPr>
                <w:b/>
                <w:bCs/>
                <w:color w:val="000000"/>
                <w:sz w:val="20"/>
                <w:szCs w:val="20"/>
              </w:rPr>
              <w:t>1.68</w:t>
            </w:r>
          </w:p>
        </w:tc>
        <w:tc>
          <w:tcPr>
            <w:tcW w:w="722"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0.49</w:t>
            </w:r>
          </w:p>
        </w:tc>
        <w:tc>
          <w:tcPr>
            <w:tcW w:w="933" w:type="dxa"/>
            <w:tcBorders>
              <w:top w:val="nil"/>
              <w:left w:val="nil"/>
              <w:bottom w:val="nil"/>
              <w:right w:val="nil"/>
            </w:tcBorders>
            <w:shd w:val="clear" w:color="auto" w:fill="auto"/>
            <w:noWrap/>
            <w:vAlign w:val="center"/>
            <w:hideMark/>
          </w:tcPr>
          <w:p w:rsidR="000927D6" w:rsidRPr="00702646" w:rsidRDefault="000927D6" w:rsidP="000927D6">
            <w:pPr>
              <w:jc w:val="center"/>
              <w:rPr>
                <w:bCs/>
                <w:color w:val="000000"/>
                <w:sz w:val="20"/>
                <w:szCs w:val="20"/>
              </w:rPr>
            </w:pPr>
            <w:r w:rsidRPr="00702646">
              <w:rPr>
                <w:bCs/>
                <w:color w:val="000000"/>
                <w:sz w:val="20"/>
                <w:szCs w:val="20"/>
              </w:rPr>
              <w:t>0.026</w:t>
            </w:r>
          </w:p>
        </w:tc>
      </w:tr>
      <w:tr w:rsidR="000927D6" w:rsidRPr="00702646" w:rsidTr="00D23337">
        <w:trPr>
          <w:trHeight w:val="525"/>
        </w:trPr>
        <w:tc>
          <w:tcPr>
            <w:tcW w:w="3075" w:type="dxa"/>
            <w:tcBorders>
              <w:top w:val="nil"/>
              <w:left w:val="nil"/>
              <w:bottom w:val="nil"/>
              <w:right w:val="nil"/>
            </w:tcBorders>
            <w:shd w:val="clear" w:color="auto" w:fill="auto"/>
            <w:vAlign w:val="center"/>
            <w:hideMark/>
          </w:tcPr>
          <w:p w:rsidR="000927D6" w:rsidRPr="00702646" w:rsidRDefault="000927D6" w:rsidP="000927D6">
            <w:pPr>
              <w:jc w:val="center"/>
              <w:rPr>
                <w:color w:val="000000"/>
                <w:sz w:val="20"/>
                <w:szCs w:val="20"/>
              </w:rPr>
            </w:pPr>
            <w:r w:rsidRPr="00702646">
              <w:rPr>
                <w:color w:val="000000"/>
                <w:sz w:val="20"/>
                <w:szCs w:val="20"/>
              </w:rPr>
              <w:t>Whole blood Ratio of Total Cholesterol to HDL</w:t>
            </w:r>
          </w:p>
        </w:tc>
        <w:tc>
          <w:tcPr>
            <w:tcW w:w="1859"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4.12</w:t>
            </w:r>
          </w:p>
        </w:tc>
        <w:tc>
          <w:tcPr>
            <w:tcW w:w="650"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1.46</w:t>
            </w:r>
          </w:p>
        </w:tc>
        <w:tc>
          <w:tcPr>
            <w:tcW w:w="1787"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3.01</w:t>
            </w:r>
          </w:p>
        </w:tc>
        <w:tc>
          <w:tcPr>
            <w:tcW w:w="722"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1.14</w:t>
            </w:r>
          </w:p>
        </w:tc>
        <w:tc>
          <w:tcPr>
            <w:tcW w:w="933" w:type="dxa"/>
            <w:tcBorders>
              <w:top w:val="nil"/>
              <w:left w:val="nil"/>
              <w:bottom w:val="nil"/>
              <w:right w:val="nil"/>
            </w:tcBorders>
            <w:shd w:val="clear" w:color="auto" w:fill="auto"/>
            <w:noWrap/>
            <w:vAlign w:val="center"/>
            <w:hideMark/>
          </w:tcPr>
          <w:p w:rsidR="000927D6" w:rsidRPr="00702646" w:rsidRDefault="000927D6" w:rsidP="000927D6">
            <w:pPr>
              <w:jc w:val="center"/>
              <w:rPr>
                <w:bCs/>
                <w:color w:val="000000"/>
                <w:sz w:val="20"/>
                <w:szCs w:val="20"/>
              </w:rPr>
            </w:pPr>
            <w:r w:rsidRPr="00702646">
              <w:rPr>
                <w:bCs/>
                <w:color w:val="000000"/>
                <w:sz w:val="20"/>
                <w:szCs w:val="20"/>
              </w:rPr>
              <w:t>0.017</w:t>
            </w:r>
          </w:p>
        </w:tc>
      </w:tr>
      <w:tr w:rsidR="000927D6" w:rsidRPr="00702646" w:rsidTr="00D23337">
        <w:trPr>
          <w:trHeight w:val="420"/>
        </w:trPr>
        <w:tc>
          <w:tcPr>
            <w:tcW w:w="3075" w:type="dxa"/>
            <w:tcBorders>
              <w:top w:val="nil"/>
              <w:left w:val="nil"/>
              <w:bottom w:val="nil"/>
              <w:right w:val="nil"/>
            </w:tcBorders>
            <w:shd w:val="clear" w:color="auto" w:fill="auto"/>
            <w:vAlign w:val="center"/>
            <w:hideMark/>
          </w:tcPr>
          <w:p w:rsidR="000927D6" w:rsidRPr="00702646" w:rsidRDefault="000927D6" w:rsidP="000927D6">
            <w:pPr>
              <w:jc w:val="center"/>
              <w:rPr>
                <w:color w:val="000000"/>
                <w:sz w:val="20"/>
                <w:szCs w:val="20"/>
              </w:rPr>
            </w:pPr>
            <w:r w:rsidRPr="00702646">
              <w:rPr>
                <w:color w:val="000000"/>
                <w:sz w:val="20"/>
                <w:szCs w:val="20"/>
              </w:rPr>
              <w:t xml:space="preserve">Dietary alcohol intake (unit/day)  </w:t>
            </w:r>
          </w:p>
        </w:tc>
        <w:tc>
          <w:tcPr>
            <w:tcW w:w="1859"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1.62</w:t>
            </w:r>
          </w:p>
        </w:tc>
        <w:tc>
          <w:tcPr>
            <w:tcW w:w="650"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0.74</w:t>
            </w:r>
          </w:p>
        </w:tc>
        <w:tc>
          <w:tcPr>
            <w:tcW w:w="1787"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0.18</w:t>
            </w:r>
          </w:p>
        </w:tc>
        <w:tc>
          <w:tcPr>
            <w:tcW w:w="722" w:type="dxa"/>
            <w:tcBorders>
              <w:top w:val="nil"/>
              <w:left w:val="nil"/>
              <w:bottom w:val="nil"/>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0.08</w:t>
            </w:r>
          </w:p>
        </w:tc>
        <w:tc>
          <w:tcPr>
            <w:tcW w:w="933" w:type="dxa"/>
            <w:tcBorders>
              <w:top w:val="nil"/>
              <w:left w:val="nil"/>
              <w:bottom w:val="nil"/>
              <w:right w:val="nil"/>
            </w:tcBorders>
            <w:shd w:val="clear" w:color="auto" w:fill="auto"/>
            <w:noWrap/>
            <w:vAlign w:val="center"/>
            <w:hideMark/>
          </w:tcPr>
          <w:p w:rsidR="000927D6" w:rsidRPr="00702646" w:rsidRDefault="000927D6" w:rsidP="000927D6">
            <w:pPr>
              <w:jc w:val="center"/>
              <w:rPr>
                <w:bCs/>
                <w:color w:val="000000"/>
                <w:sz w:val="20"/>
                <w:szCs w:val="20"/>
              </w:rPr>
            </w:pPr>
            <w:r w:rsidRPr="00702646">
              <w:rPr>
                <w:bCs/>
                <w:color w:val="000000"/>
                <w:sz w:val="20"/>
                <w:szCs w:val="20"/>
              </w:rPr>
              <w:t>0.01</w:t>
            </w:r>
          </w:p>
        </w:tc>
      </w:tr>
      <w:tr w:rsidR="000927D6" w:rsidRPr="00702646" w:rsidTr="00D23337">
        <w:trPr>
          <w:trHeight w:val="360"/>
        </w:trPr>
        <w:tc>
          <w:tcPr>
            <w:tcW w:w="3075" w:type="dxa"/>
            <w:tcBorders>
              <w:top w:val="nil"/>
              <w:left w:val="nil"/>
              <w:bottom w:val="single" w:sz="4" w:space="0" w:color="auto"/>
              <w:right w:val="nil"/>
            </w:tcBorders>
            <w:shd w:val="clear" w:color="auto" w:fill="auto"/>
            <w:vAlign w:val="center"/>
            <w:hideMark/>
          </w:tcPr>
          <w:p w:rsidR="000927D6" w:rsidRPr="00702646" w:rsidRDefault="000927D6" w:rsidP="000927D6">
            <w:pPr>
              <w:jc w:val="center"/>
              <w:rPr>
                <w:color w:val="000000"/>
                <w:sz w:val="20"/>
                <w:szCs w:val="20"/>
              </w:rPr>
            </w:pPr>
            <w:r w:rsidRPr="00702646">
              <w:rPr>
                <w:color w:val="000000"/>
                <w:sz w:val="20"/>
                <w:szCs w:val="20"/>
              </w:rPr>
              <w:t>Working hours/week</w:t>
            </w:r>
          </w:p>
        </w:tc>
        <w:tc>
          <w:tcPr>
            <w:tcW w:w="1859" w:type="dxa"/>
            <w:tcBorders>
              <w:top w:val="nil"/>
              <w:left w:val="nil"/>
              <w:bottom w:val="single" w:sz="4" w:space="0" w:color="auto"/>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40.86</w:t>
            </w:r>
          </w:p>
        </w:tc>
        <w:tc>
          <w:tcPr>
            <w:tcW w:w="650" w:type="dxa"/>
            <w:tcBorders>
              <w:top w:val="nil"/>
              <w:left w:val="nil"/>
              <w:bottom w:val="single" w:sz="4" w:space="0" w:color="auto"/>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7.16</w:t>
            </w:r>
          </w:p>
        </w:tc>
        <w:tc>
          <w:tcPr>
            <w:tcW w:w="1787" w:type="dxa"/>
            <w:tcBorders>
              <w:top w:val="nil"/>
              <w:left w:val="nil"/>
              <w:bottom w:val="single" w:sz="4" w:space="0" w:color="auto"/>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18.09</w:t>
            </w:r>
          </w:p>
        </w:tc>
        <w:tc>
          <w:tcPr>
            <w:tcW w:w="722" w:type="dxa"/>
            <w:tcBorders>
              <w:top w:val="nil"/>
              <w:left w:val="nil"/>
              <w:bottom w:val="single" w:sz="4" w:space="0" w:color="auto"/>
              <w:right w:val="nil"/>
            </w:tcBorders>
            <w:shd w:val="clear" w:color="auto" w:fill="auto"/>
            <w:noWrap/>
            <w:vAlign w:val="center"/>
            <w:hideMark/>
          </w:tcPr>
          <w:p w:rsidR="000927D6" w:rsidRPr="00702646" w:rsidRDefault="000927D6" w:rsidP="000927D6">
            <w:pPr>
              <w:jc w:val="center"/>
              <w:rPr>
                <w:color w:val="000000"/>
                <w:sz w:val="20"/>
                <w:szCs w:val="20"/>
              </w:rPr>
            </w:pPr>
            <w:r w:rsidRPr="00702646">
              <w:rPr>
                <w:color w:val="000000"/>
                <w:sz w:val="20"/>
                <w:szCs w:val="20"/>
              </w:rPr>
              <w:t>6.96</w:t>
            </w:r>
          </w:p>
        </w:tc>
        <w:tc>
          <w:tcPr>
            <w:tcW w:w="933" w:type="dxa"/>
            <w:tcBorders>
              <w:top w:val="nil"/>
              <w:left w:val="nil"/>
              <w:bottom w:val="single" w:sz="4" w:space="0" w:color="auto"/>
              <w:right w:val="nil"/>
            </w:tcBorders>
            <w:shd w:val="clear" w:color="auto" w:fill="auto"/>
            <w:noWrap/>
            <w:vAlign w:val="center"/>
            <w:hideMark/>
          </w:tcPr>
          <w:p w:rsidR="000927D6" w:rsidRPr="00702646" w:rsidRDefault="000927D6" w:rsidP="000927D6">
            <w:pPr>
              <w:jc w:val="center"/>
              <w:rPr>
                <w:bCs/>
                <w:color w:val="000000"/>
                <w:sz w:val="20"/>
                <w:szCs w:val="20"/>
              </w:rPr>
            </w:pPr>
            <w:r w:rsidRPr="00702646">
              <w:rPr>
                <w:bCs/>
                <w:color w:val="000000"/>
                <w:sz w:val="20"/>
                <w:szCs w:val="20"/>
              </w:rPr>
              <w:t>&lt; 0.001</w:t>
            </w:r>
          </w:p>
        </w:tc>
      </w:tr>
    </w:tbl>
    <w:p w:rsidR="001630ED" w:rsidRPr="009B1221" w:rsidRDefault="000927D6" w:rsidP="001630ED">
      <w:pPr>
        <w:jc w:val="both"/>
        <w:rPr>
          <w:sz w:val="18"/>
          <w:szCs w:val="18"/>
        </w:rPr>
      </w:pPr>
      <w:r w:rsidRPr="009B1221">
        <w:rPr>
          <w:sz w:val="18"/>
          <w:szCs w:val="18"/>
        </w:rPr>
        <w:t xml:space="preserve">Key: </w:t>
      </w:r>
      <w:r w:rsidR="001630ED" w:rsidRPr="009B1221">
        <w:rPr>
          <w:sz w:val="18"/>
          <w:szCs w:val="18"/>
        </w:rPr>
        <w:t>bold values indicate that the levels of several risk factors</w:t>
      </w:r>
      <w:r w:rsidRPr="009B1221">
        <w:rPr>
          <w:sz w:val="18"/>
          <w:szCs w:val="18"/>
        </w:rPr>
        <w:t xml:space="preserve"> exceed their corresponding reference values set by WHO and National Heart, Lung and Blood Institute respectively. </w:t>
      </w:r>
      <w:r w:rsidR="001630ED" w:rsidRPr="009B1221">
        <w:rPr>
          <w:sz w:val="18"/>
          <w:szCs w:val="18"/>
        </w:rPr>
        <w:t>I.E. BMI: 25.0 - 29.9 classified as overweight</w:t>
      </w:r>
      <w:r w:rsidR="008E02CC" w:rsidRPr="009B1221">
        <w:rPr>
          <w:sz w:val="18"/>
          <w:szCs w:val="18"/>
        </w:rPr>
        <w:t xml:space="preserve"> </w:t>
      </w:r>
      <w:r w:rsidR="008E02CC" w:rsidRPr="009B1221">
        <w:rPr>
          <w:sz w:val="18"/>
          <w:szCs w:val="18"/>
          <w:vertAlign w:val="superscript"/>
        </w:rPr>
        <w:t>(</w:t>
      </w:r>
      <w:r w:rsidR="00D23337" w:rsidRPr="009B1221">
        <w:rPr>
          <w:sz w:val="18"/>
          <w:szCs w:val="18"/>
          <w:vertAlign w:val="superscript"/>
        </w:rPr>
        <w:t>3</w:t>
      </w:r>
      <w:r w:rsidR="008E02CC" w:rsidRPr="009B1221">
        <w:rPr>
          <w:sz w:val="18"/>
          <w:szCs w:val="18"/>
          <w:vertAlign w:val="superscript"/>
        </w:rPr>
        <w:t>)</w:t>
      </w:r>
      <w:r w:rsidR="00D23337" w:rsidRPr="009B1221">
        <w:rPr>
          <w:sz w:val="18"/>
          <w:szCs w:val="18"/>
        </w:rPr>
        <w:t xml:space="preserve">; </w:t>
      </w:r>
      <w:r w:rsidR="001630ED" w:rsidRPr="009B1221">
        <w:rPr>
          <w:sz w:val="18"/>
          <w:szCs w:val="18"/>
        </w:rPr>
        <w:t xml:space="preserve">whole blood glucose: </w:t>
      </w:r>
      <w:r w:rsidR="00D23337" w:rsidRPr="009B1221">
        <w:rPr>
          <w:sz w:val="18"/>
          <w:szCs w:val="18"/>
        </w:rPr>
        <w:t>5.0-</w:t>
      </w:r>
      <w:r w:rsidR="001630ED" w:rsidRPr="009B1221">
        <w:rPr>
          <w:sz w:val="18"/>
          <w:szCs w:val="18"/>
        </w:rPr>
        <w:t xml:space="preserve">6.2 </w:t>
      </w:r>
      <w:proofErr w:type="spellStart"/>
      <w:r w:rsidR="001630ED" w:rsidRPr="009B1221">
        <w:rPr>
          <w:sz w:val="18"/>
          <w:szCs w:val="18"/>
        </w:rPr>
        <w:t>mmol</w:t>
      </w:r>
      <w:proofErr w:type="spellEnd"/>
      <w:r w:rsidR="001630ED" w:rsidRPr="009B1221">
        <w:rPr>
          <w:sz w:val="18"/>
          <w:szCs w:val="18"/>
        </w:rPr>
        <w:t xml:space="preserve">/L (equivalent to 5.6-6.9 </w:t>
      </w:r>
      <w:proofErr w:type="spellStart"/>
      <w:r w:rsidR="001630ED" w:rsidRPr="009B1221">
        <w:rPr>
          <w:sz w:val="18"/>
          <w:szCs w:val="18"/>
        </w:rPr>
        <w:t>mmol</w:t>
      </w:r>
      <w:proofErr w:type="spellEnd"/>
      <w:r w:rsidR="001630ED" w:rsidRPr="009B1221">
        <w:rPr>
          <w:sz w:val="18"/>
          <w:szCs w:val="18"/>
        </w:rPr>
        <w:t>/L as plasma glucose) classified as prediabetes</w:t>
      </w:r>
      <w:r w:rsidR="00B540C4" w:rsidRPr="009B1221">
        <w:rPr>
          <w:sz w:val="18"/>
          <w:szCs w:val="18"/>
        </w:rPr>
        <w:t xml:space="preserve"> </w:t>
      </w:r>
      <w:r w:rsidR="00D23337" w:rsidRPr="009B1221">
        <w:rPr>
          <w:sz w:val="18"/>
          <w:szCs w:val="18"/>
          <w:vertAlign w:val="superscript"/>
        </w:rPr>
        <w:t>(4)</w:t>
      </w:r>
      <w:r w:rsidR="001630ED" w:rsidRPr="009B1221">
        <w:rPr>
          <w:sz w:val="18"/>
          <w:szCs w:val="18"/>
        </w:rPr>
        <w:t xml:space="preserve">; and whole blood total HDL: ≥ 1.55 </w:t>
      </w:r>
      <w:proofErr w:type="spellStart"/>
      <w:r w:rsidR="001630ED" w:rsidRPr="009B1221">
        <w:rPr>
          <w:sz w:val="18"/>
          <w:szCs w:val="18"/>
        </w:rPr>
        <w:t>mmol</w:t>
      </w:r>
      <w:proofErr w:type="spellEnd"/>
      <w:r w:rsidR="001630ED" w:rsidRPr="009B1221">
        <w:rPr>
          <w:sz w:val="18"/>
          <w:szCs w:val="18"/>
        </w:rPr>
        <w:t>/L set as desirably high levels</w:t>
      </w:r>
      <w:r w:rsidR="00CF1053" w:rsidRPr="009B1221">
        <w:rPr>
          <w:sz w:val="18"/>
          <w:szCs w:val="18"/>
        </w:rPr>
        <w:t xml:space="preserve"> </w:t>
      </w:r>
      <w:r w:rsidR="00D23337" w:rsidRPr="009B1221">
        <w:rPr>
          <w:sz w:val="18"/>
          <w:szCs w:val="18"/>
          <w:vertAlign w:val="superscript"/>
        </w:rPr>
        <w:t>(4)</w:t>
      </w:r>
      <w:r w:rsidR="00D23337" w:rsidRPr="009B1221">
        <w:rPr>
          <w:sz w:val="18"/>
          <w:szCs w:val="18"/>
        </w:rPr>
        <w:t>.</w:t>
      </w:r>
      <w:bookmarkStart w:id="0" w:name="_GoBack"/>
      <w:bookmarkEnd w:id="0"/>
    </w:p>
    <w:p w:rsidR="001630ED" w:rsidRPr="001630ED" w:rsidRDefault="001630ED" w:rsidP="001630ED">
      <w:pPr>
        <w:jc w:val="both"/>
        <w:rPr>
          <w:rFonts w:ascii="Calibri" w:hAnsi="Calibri"/>
          <w:color w:val="000000"/>
          <w:sz w:val="22"/>
          <w:szCs w:val="22"/>
        </w:rPr>
      </w:pPr>
      <w:r w:rsidRPr="001630ED">
        <w:rPr>
          <w:rFonts w:ascii="Calibri" w:hAnsi="Calibri"/>
          <w:color w:val="000000"/>
          <w:sz w:val="22"/>
          <w:szCs w:val="22"/>
        </w:rPr>
        <w:t xml:space="preserve">            </w:t>
      </w:r>
    </w:p>
    <w:p w:rsidR="00221117" w:rsidRDefault="00B069B6" w:rsidP="00B069B6">
      <w:pPr>
        <w:ind w:firstLine="284"/>
        <w:jc w:val="both"/>
      </w:pPr>
      <w:r w:rsidRPr="00B069B6">
        <w:t>To co</w:t>
      </w:r>
      <w:r w:rsidR="00411880">
        <w:t>nclude,</w:t>
      </w:r>
      <w:r w:rsidR="00394233">
        <w:t xml:space="preserve"> </w:t>
      </w:r>
      <w:r w:rsidR="00375231">
        <w:t>full-time</w:t>
      </w:r>
      <w:r w:rsidR="008E02CC">
        <w:t xml:space="preserve"> workers</w:t>
      </w:r>
      <w:r>
        <w:t xml:space="preserve"> </w:t>
      </w:r>
      <w:r w:rsidR="00394233">
        <w:t>had significantly higher levels of a few CVD risk factors</w:t>
      </w:r>
      <w:r w:rsidR="008E02CC">
        <w:t xml:space="preserve"> compared to the part-time group</w:t>
      </w:r>
      <w:r w:rsidR="00394233">
        <w:t xml:space="preserve">. This observation </w:t>
      </w:r>
      <w:r>
        <w:t>may be attr</w:t>
      </w:r>
      <w:r w:rsidR="00394233">
        <w:t>ibuted to the</w:t>
      </w:r>
      <w:r w:rsidR="00221117">
        <w:t xml:space="preserve">ir longer working hours </w:t>
      </w:r>
      <w:r w:rsidR="00375231">
        <w:t>per week than their part-time counterparts</w:t>
      </w:r>
      <w:r w:rsidR="00D23337">
        <w:t>,</w:t>
      </w:r>
      <w:r w:rsidR="00394233">
        <w:t xml:space="preserve"> as suggested by previous evidence </w:t>
      </w:r>
      <w:r w:rsidR="00A33138">
        <w:t xml:space="preserve">examining </w:t>
      </w:r>
      <w:r w:rsidR="008E02CC">
        <w:t xml:space="preserve">the </w:t>
      </w:r>
      <w:r w:rsidR="00221117">
        <w:t>impact of extended working hours of female hospital employees</w:t>
      </w:r>
      <w:r w:rsidR="008E02CC">
        <w:t xml:space="preserve"> on</w:t>
      </w:r>
      <w:r w:rsidR="00221117">
        <w:t xml:space="preserve"> </w:t>
      </w:r>
      <w:r w:rsidR="00D23337">
        <w:t xml:space="preserve">their CVD </w:t>
      </w:r>
      <w:r w:rsidR="00221117">
        <w:t xml:space="preserve">risk </w:t>
      </w:r>
      <w:r w:rsidR="00221117" w:rsidRPr="00221117">
        <w:rPr>
          <w:vertAlign w:val="superscript"/>
        </w:rPr>
        <w:t>(</w:t>
      </w:r>
      <w:r w:rsidR="00D23337">
        <w:rPr>
          <w:vertAlign w:val="superscript"/>
        </w:rPr>
        <w:t>5</w:t>
      </w:r>
      <w:r w:rsidR="00221117" w:rsidRPr="00221117">
        <w:rPr>
          <w:vertAlign w:val="superscript"/>
        </w:rPr>
        <w:t>)</w:t>
      </w:r>
      <w:r w:rsidR="00221117">
        <w:t>.</w:t>
      </w:r>
    </w:p>
    <w:p w:rsidR="00B42176" w:rsidRDefault="00B42176" w:rsidP="00B42176">
      <w:pPr>
        <w:spacing w:line="120" w:lineRule="auto"/>
        <w:ind w:firstLine="284"/>
        <w:jc w:val="both"/>
      </w:pPr>
    </w:p>
    <w:p w:rsidR="00BD2B3D" w:rsidRPr="00931A39" w:rsidRDefault="00221117" w:rsidP="00BD2B3D">
      <w:pPr>
        <w:jc w:val="both"/>
        <w:rPr>
          <w:sz w:val="20"/>
        </w:rPr>
      </w:pPr>
      <w:r>
        <w:rPr>
          <w:sz w:val="20"/>
        </w:rPr>
        <w:t>1</w:t>
      </w:r>
      <w:r w:rsidR="00BD2B3D" w:rsidRPr="00931A39">
        <w:rPr>
          <w:sz w:val="20"/>
        </w:rPr>
        <w:t xml:space="preserve">. Nichols M, Townsend N, Scarborough P </w:t>
      </w:r>
      <w:r w:rsidR="00BD2B3D" w:rsidRPr="00931A39">
        <w:rPr>
          <w:i/>
          <w:sz w:val="20"/>
        </w:rPr>
        <w:t xml:space="preserve">et al. </w:t>
      </w:r>
      <w:r w:rsidR="00BD2B3D" w:rsidRPr="00931A39">
        <w:rPr>
          <w:sz w:val="20"/>
        </w:rPr>
        <w:t xml:space="preserve">(2013) </w:t>
      </w:r>
      <w:proofErr w:type="spellStart"/>
      <w:r w:rsidR="00BD2B3D" w:rsidRPr="00931A39">
        <w:rPr>
          <w:i/>
          <w:sz w:val="20"/>
        </w:rPr>
        <w:t>Eur</w:t>
      </w:r>
      <w:proofErr w:type="spellEnd"/>
      <w:r w:rsidR="00BD2B3D" w:rsidRPr="00931A39">
        <w:rPr>
          <w:i/>
          <w:sz w:val="20"/>
        </w:rPr>
        <w:t xml:space="preserve"> Heart J </w:t>
      </w:r>
      <w:r w:rsidR="00BD2B3D" w:rsidRPr="00931A39">
        <w:rPr>
          <w:b/>
          <w:sz w:val="20"/>
        </w:rPr>
        <w:t>34</w:t>
      </w:r>
      <w:r w:rsidR="00BD2B3D" w:rsidRPr="00931A39">
        <w:rPr>
          <w:sz w:val="20"/>
        </w:rPr>
        <w:t>, 3028-3034.</w:t>
      </w:r>
    </w:p>
    <w:p w:rsidR="00BD2B3D" w:rsidRDefault="00221117" w:rsidP="00BD2B3D">
      <w:pPr>
        <w:jc w:val="both"/>
        <w:rPr>
          <w:sz w:val="20"/>
        </w:rPr>
      </w:pPr>
      <w:r>
        <w:rPr>
          <w:sz w:val="20"/>
        </w:rPr>
        <w:t>2</w:t>
      </w:r>
      <w:r w:rsidR="00BD2B3D" w:rsidRPr="00EE6FC3">
        <w:rPr>
          <w:sz w:val="20"/>
        </w:rPr>
        <w:t xml:space="preserve">. </w:t>
      </w:r>
      <w:proofErr w:type="spellStart"/>
      <w:r w:rsidR="00BD2B3D" w:rsidRPr="00EE6FC3">
        <w:rPr>
          <w:sz w:val="20"/>
        </w:rPr>
        <w:t>Barbini</w:t>
      </w:r>
      <w:proofErr w:type="spellEnd"/>
      <w:r w:rsidR="00BD2B3D" w:rsidRPr="00EE6FC3">
        <w:rPr>
          <w:sz w:val="20"/>
        </w:rPr>
        <w:t xml:space="preserve"> N, </w:t>
      </w:r>
      <w:proofErr w:type="spellStart"/>
      <w:r w:rsidR="00BD2B3D" w:rsidRPr="00EE6FC3">
        <w:rPr>
          <w:sz w:val="20"/>
        </w:rPr>
        <w:t>Gorini</w:t>
      </w:r>
      <w:proofErr w:type="spellEnd"/>
      <w:r w:rsidR="00BD2B3D" w:rsidRPr="00EE6FC3">
        <w:rPr>
          <w:sz w:val="20"/>
        </w:rPr>
        <w:t xml:space="preserve"> G, </w:t>
      </w:r>
      <w:proofErr w:type="spellStart"/>
      <w:r w:rsidR="00BD2B3D" w:rsidRPr="00EE6FC3">
        <w:rPr>
          <w:sz w:val="20"/>
        </w:rPr>
        <w:t>Ferrucci</w:t>
      </w:r>
      <w:proofErr w:type="spellEnd"/>
      <w:r w:rsidR="00BD2B3D" w:rsidRPr="00EE6FC3">
        <w:rPr>
          <w:sz w:val="20"/>
        </w:rPr>
        <w:t xml:space="preserve"> L </w:t>
      </w:r>
      <w:r w:rsidR="00BD2B3D" w:rsidRPr="00EE6FC3">
        <w:rPr>
          <w:i/>
          <w:sz w:val="20"/>
        </w:rPr>
        <w:t>et al.</w:t>
      </w:r>
      <w:r w:rsidR="00BD2B3D" w:rsidRPr="00EE6FC3">
        <w:rPr>
          <w:sz w:val="20"/>
        </w:rPr>
        <w:t xml:space="preserve"> (2007)</w:t>
      </w:r>
      <w:r w:rsidR="00EE6FC3" w:rsidRPr="00EE6FC3">
        <w:rPr>
          <w:sz w:val="20"/>
        </w:rPr>
        <w:t xml:space="preserve"> </w:t>
      </w:r>
      <w:r w:rsidR="00EE6FC3" w:rsidRPr="00EE6FC3">
        <w:rPr>
          <w:i/>
          <w:sz w:val="20"/>
        </w:rPr>
        <w:t xml:space="preserve">G Ital Med </w:t>
      </w:r>
      <w:proofErr w:type="spellStart"/>
      <w:r w:rsidR="00EE6FC3" w:rsidRPr="00EE6FC3">
        <w:rPr>
          <w:i/>
          <w:sz w:val="20"/>
        </w:rPr>
        <w:t>Lav</w:t>
      </w:r>
      <w:proofErr w:type="spellEnd"/>
      <w:r w:rsidR="00EE6FC3" w:rsidRPr="00EE6FC3">
        <w:rPr>
          <w:i/>
          <w:sz w:val="20"/>
        </w:rPr>
        <w:t xml:space="preserve"> Ergon </w:t>
      </w:r>
      <w:r w:rsidR="00EE6FC3" w:rsidRPr="00EE6FC3">
        <w:rPr>
          <w:b/>
          <w:sz w:val="20"/>
        </w:rPr>
        <w:t>29</w:t>
      </w:r>
      <w:r w:rsidR="00EE6FC3" w:rsidRPr="00EE6FC3">
        <w:rPr>
          <w:sz w:val="20"/>
        </w:rPr>
        <w:t>, 174-181.</w:t>
      </w:r>
    </w:p>
    <w:p w:rsidR="00CF1053" w:rsidRDefault="00221117" w:rsidP="00CF1053">
      <w:pPr>
        <w:jc w:val="both"/>
        <w:rPr>
          <w:sz w:val="20"/>
        </w:rPr>
      </w:pPr>
      <w:proofErr w:type="gramStart"/>
      <w:r>
        <w:rPr>
          <w:sz w:val="20"/>
        </w:rPr>
        <w:t>3.</w:t>
      </w:r>
      <w:r w:rsidR="00D23337">
        <w:rPr>
          <w:sz w:val="20"/>
        </w:rPr>
        <w:t xml:space="preserve"> </w:t>
      </w:r>
      <w:r w:rsidR="00CF1053">
        <w:rPr>
          <w:sz w:val="20"/>
        </w:rPr>
        <w:t>WHO</w:t>
      </w:r>
      <w:proofErr w:type="gramEnd"/>
      <w:r w:rsidR="00CF1053">
        <w:rPr>
          <w:sz w:val="20"/>
        </w:rPr>
        <w:t xml:space="preserve"> (2011) </w:t>
      </w:r>
      <w:r w:rsidR="00CF1053" w:rsidRPr="0097235A">
        <w:rPr>
          <w:i/>
          <w:sz w:val="20"/>
        </w:rPr>
        <w:t>Waist Circumference and Waist-Hip Ratio. Report of a WHO Expert Consultation.</w:t>
      </w:r>
      <w:r w:rsidR="00CF1053">
        <w:rPr>
          <w:sz w:val="20"/>
        </w:rPr>
        <w:t xml:space="preserve"> </w:t>
      </w:r>
    </w:p>
    <w:p w:rsidR="009B1221" w:rsidRDefault="00CF1053" w:rsidP="00CF1053">
      <w:pPr>
        <w:jc w:val="both"/>
        <w:rPr>
          <w:sz w:val="20"/>
        </w:rPr>
      </w:pPr>
      <w:r>
        <w:rPr>
          <w:sz w:val="20"/>
        </w:rPr>
        <w:t xml:space="preserve">4. National Heart, Lung and Blood Institute (2001) </w:t>
      </w:r>
      <w:r>
        <w:rPr>
          <w:i/>
          <w:sz w:val="20"/>
        </w:rPr>
        <w:t>JAMA</w:t>
      </w:r>
      <w:r>
        <w:rPr>
          <w:sz w:val="20"/>
        </w:rPr>
        <w:t xml:space="preserve"> </w:t>
      </w:r>
      <w:r>
        <w:rPr>
          <w:b/>
          <w:sz w:val="20"/>
        </w:rPr>
        <w:t>285</w:t>
      </w:r>
      <w:r>
        <w:rPr>
          <w:sz w:val="20"/>
        </w:rPr>
        <w:t>, 2486-97.</w:t>
      </w:r>
    </w:p>
    <w:p w:rsidR="00CF1053" w:rsidRPr="00CF1053" w:rsidRDefault="00CF1053" w:rsidP="00CF1053">
      <w:pPr>
        <w:jc w:val="both"/>
        <w:rPr>
          <w:sz w:val="20"/>
        </w:rPr>
      </w:pPr>
      <w:r>
        <w:rPr>
          <w:sz w:val="20"/>
        </w:rPr>
        <w:t xml:space="preserve">5. Kirk M, </w:t>
      </w:r>
      <w:proofErr w:type="spellStart"/>
      <w:r>
        <w:rPr>
          <w:sz w:val="20"/>
        </w:rPr>
        <w:t>VanDenkerkhof</w:t>
      </w:r>
      <w:proofErr w:type="spellEnd"/>
      <w:r>
        <w:rPr>
          <w:sz w:val="20"/>
        </w:rPr>
        <w:t xml:space="preserve"> E, Janssen I </w:t>
      </w:r>
      <w:r>
        <w:rPr>
          <w:i/>
          <w:sz w:val="20"/>
        </w:rPr>
        <w:t>et al.</w:t>
      </w:r>
      <w:r>
        <w:rPr>
          <w:sz w:val="20"/>
        </w:rPr>
        <w:t xml:space="preserve"> (2015). </w:t>
      </w:r>
      <w:r>
        <w:rPr>
          <w:i/>
          <w:sz w:val="20"/>
        </w:rPr>
        <w:t xml:space="preserve">J </w:t>
      </w:r>
      <w:proofErr w:type="spellStart"/>
      <w:r>
        <w:rPr>
          <w:i/>
          <w:sz w:val="20"/>
        </w:rPr>
        <w:t>Nurs</w:t>
      </w:r>
      <w:proofErr w:type="spellEnd"/>
      <w:r>
        <w:rPr>
          <w:i/>
          <w:sz w:val="20"/>
        </w:rPr>
        <w:t xml:space="preserve"> </w:t>
      </w:r>
      <w:proofErr w:type="spellStart"/>
      <w:r>
        <w:rPr>
          <w:i/>
          <w:sz w:val="20"/>
        </w:rPr>
        <w:t>Adm</w:t>
      </w:r>
      <w:proofErr w:type="spellEnd"/>
      <w:r>
        <w:rPr>
          <w:sz w:val="20"/>
        </w:rPr>
        <w:t xml:space="preserve"> </w:t>
      </w:r>
      <w:r>
        <w:rPr>
          <w:b/>
          <w:sz w:val="20"/>
        </w:rPr>
        <w:t>45</w:t>
      </w:r>
      <w:r>
        <w:rPr>
          <w:sz w:val="20"/>
        </w:rPr>
        <w:t xml:space="preserve">, 284-291. </w:t>
      </w:r>
    </w:p>
    <w:sectPr w:rsidR="00CF1053" w:rsidRPr="00CF1053" w:rsidSect="00B42176">
      <w:pgSz w:w="11906" w:h="16838"/>
      <w:pgMar w:top="624" w:right="1440" w:bottom="62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FA"/>
    <w:rsid w:val="000302CD"/>
    <w:rsid w:val="00055A8D"/>
    <w:rsid w:val="00055B88"/>
    <w:rsid w:val="000927D6"/>
    <w:rsid w:val="000963E0"/>
    <w:rsid w:val="000A5D7A"/>
    <w:rsid w:val="000C072A"/>
    <w:rsid w:val="000C6604"/>
    <w:rsid w:val="000D3F12"/>
    <w:rsid w:val="000E54FD"/>
    <w:rsid w:val="000F5475"/>
    <w:rsid w:val="00103E74"/>
    <w:rsid w:val="00107A51"/>
    <w:rsid w:val="00123B46"/>
    <w:rsid w:val="001242D9"/>
    <w:rsid w:val="00125067"/>
    <w:rsid w:val="0013557C"/>
    <w:rsid w:val="00137097"/>
    <w:rsid w:val="001630ED"/>
    <w:rsid w:val="0018123F"/>
    <w:rsid w:val="00184E13"/>
    <w:rsid w:val="00194F48"/>
    <w:rsid w:val="001B31E0"/>
    <w:rsid w:val="001C24F4"/>
    <w:rsid w:val="001C319A"/>
    <w:rsid w:val="001E17FD"/>
    <w:rsid w:val="001F3C30"/>
    <w:rsid w:val="001F3F0C"/>
    <w:rsid w:val="001F5CE7"/>
    <w:rsid w:val="001F683E"/>
    <w:rsid w:val="0021026D"/>
    <w:rsid w:val="00221117"/>
    <w:rsid w:val="0023563A"/>
    <w:rsid w:val="00236A6D"/>
    <w:rsid w:val="0026532C"/>
    <w:rsid w:val="00265B0B"/>
    <w:rsid w:val="00267953"/>
    <w:rsid w:val="00294190"/>
    <w:rsid w:val="002A09CC"/>
    <w:rsid w:val="002A3104"/>
    <w:rsid w:val="002B524D"/>
    <w:rsid w:val="002E6426"/>
    <w:rsid w:val="003107BC"/>
    <w:rsid w:val="003360D1"/>
    <w:rsid w:val="003568A5"/>
    <w:rsid w:val="0036136C"/>
    <w:rsid w:val="00371705"/>
    <w:rsid w:val="00375231"/>
    <w:rsid w:val="00394233"/>
    <w:rsid w:val="003A67F0"/>
    <w:rsid w:val="003A7B22"/>
    <w:rsid w:val="003C3488"/>
    <w:rsid w:val="003D3D73"/>
    <w:rsid w:val="003E3203"/>
    <w:rsid w:val="003F7CD7"/>
    <w:rsid w:val="00411880"/>
    <w:rsid w:val="0041595A"/>
    <w:rsid w:val="00421E1B"/>
    <w:rsid w:val="0043263B"/>
    <w:rsid w:val="004374AE"/>
    <w:rsid w:val="004519BF"/>
    <w:rsid w:val="00492A03"/>
    <w:rsid w:val="004B5710"/>
    <w:rsid w:val="004B74FF"/>
    <w:rsid w:val="004C3192"/>
    <w:rsid w:val="004E2FD2"/>
    <w:rsid w:val="004E3950"/>
    <w:rsid w:val="004F7DA4"/>
    <w:rsid w:val="00500254"/>
    <w:rsid w:val="005743CC"/>
    <w:rsid w:val="0058168F"/>
    <w:rsid w:val="005A1C0D"/>
    <w:rsid w:val="005B1756"/>
    <w:rsid w:val="005B5F6B"/>
    <w:rsid w:val="005D0197"/>
    <w:rsid w:val="005D0CC4"/>
    <w:rsid w:val="005D1301"/>
    <w:rsid w:val="005E1F80"/>
    <w:rsid w:val="00636381"/>
    <w:rsid w:val="006378F8"/>
    <w:rsid w:val="00677D33"/>
    <w:rsid w:val="006C1D10"/>
    <w:rsid w:val="006C4511"/>
    <w:rsid w:val="006E4768"/>
    <w:rsid w:val="006F1B60"/>
    <w:rsid w:val="006F1ECD"/>
    <w:rsid w:val="00702646"/>
    <w:rsid w:val="0070384A"/>
    <w:rsid w:val="00751B28"/>
    <w:rsid w:val="00776FBD"/>
    <w:rsid w:val="00782E75"/>
    <w:rsid w:val="00791E8D"/>
    <w:rsid w:val="00794719"/>
    <w:rsid w:val="00796B0B"/>
    <w:rsid w:val="007A64B3"/>
    <w:rsid w:val="007A7AF7"/>
    <w:rsid w:val="007B7541"/>
    <w:rsid w:val="007C299A"/>
    <w:rsid w:val="007D2616"/>
    <w:rsid w:val="007D4D82"/>
    <w:rsid w:val="007D6F76"/>
    <w:rsid w:val="007E5607"/>
    <w:rsid w:val="007F2F2E"/>
    <w:rsid w:val="00832F0B"/>
    <w:rsid w:val="008344EE"/>
    <w:rsid w:val="00883C74"/>
    <w:rsid w:val="00886DBF"/>
    <w:rsid w:val="008A6BE5"/>
    <w:rsid w:val="008B1C22"/>
    <w:rsid w:val="008D2DFE"/>
    <w:rsid w:val="008E02CC"/>
    <w:rsid w:val="00927FDD"/>
    <w:rsid w:val="00931A39"/>
    <w:rsid w:val="00942E79"/>
    <w:rsid w:val="0095117C"/>
    <w:rsid w:val="009651EE"/>
    <w:rsid w:val="0097235A"/>
    <w:rsid w:val="009727B9"/>
    <w:rsid w:val="00972B5E"/>
    <w:rsid w:val="00974DDD"/>
    <w:rsid w:val="00984A37"/>
    <w:rsid w:val="009864E3"/>
    <w:rsid w:val="00986C82"/>
    <w:rsid w:val="00993FBA"/>
    <w:rsid w:val="009B1221"/>
    <w:rsid w:val="009C5010"/>
    <w:rsid w:val="009C7057"/>
    <w:rsid w:val="009D349A"/>
    <w:rsid w:val="009F3E7D"/>
    <w:rsid w:val="009F4FFB"/>
    <w:rsid w:val="00A11B30"/>
    <w:rsid w:val="00A1282F"/>
    <w:rsid w:val="00A157FE"/>
    <w:rsid w:val="00A325D1"/>
    <w:rsid w:val="00A33138"/>
    <w:rsid w:val="00A41EDF"/>
    <w:rsid w:val="00A4438B"/>
    <w:rsid w:val="00A61783"/>
    <w:rsid w:val="00A929B1"/>
    <w:rsid w:val="00AA7816"/>
    <w:rsid w:val="00AB2E0E"/>
    <w:rsid w:val="00AD06B6"/>
    <w:rsid w:val="00AE27BB"/>
    <w:rsid w:val="00AF457D"/>
    <w:rsid w:val="00B069B6"/>
    <w:rsid w:val="00B06BDC"/>
    <w:rsid w:val="00B10E1D"/>
    <w:rsid w:val="00B15092"/>
    <w:rsid w:val="00B309F0"/>
    <w:rsid w:val="00B33ED2"/>
    <w:rsid w:val="00B42176"/>
    <w:rsid w:val="00B540C4"/>
    <w:rsid w:val="00B6475E"/>
    <w:rsid w:val="00B6524B"/>
    <w:rsid w:val="00B73BFA"/>
    <w:rsid w:val="00B73FCD"/>
    <w:rsid w:val="00B8002F"/>
    <w:rsid w:val="00BA392B"/>
    <w:rsid w:val="00BA5E4D"/>
    <w:rsid w:val="00BC1483"/>
    <w:rsid w:val="00BC6EDB"/>
    <w:rsid w:val="00BD2B3D"/>
    <w:rsid w:val="00BF0315"/>
    <w:rsid w:val="00BF757E"/>
    <w:rsid w:val="00BF7695"/>
    <w:rsid w:val="00C02FEA"/>
    <w:rsid w:val="00C06796"/>
    <w:rsid w:val="00C10BBE"/>
    <w:rsid w:val="00C113B0"/>
    <w:rsid w:val="00C41DDE"/>
    <w:rsid w:val="00C42721"/>
    <w:rsid w:val="00C4473D"/>
    <w:rsid w:val="00C47CD7"/>
    <w:rsid w:val="00C725BE"/>
    <w:rsid w:val="00C72F40"/>
    <w:rsid w:val="00C7427A"/>
    <w:rsid w:val="00C81C9E"/>
    <w:rsid w:val="00C96214"/>
    <w:rsid w:val="00CA7764"/>
    <w:rsid w:val="00CB0C3B"/>
    <w:rsid w:val="00CB7076"/>
    <w:rsid w:val="00CD230B"/>
    <w:rsid w:val="00CD2C25"/>
    <w:rsid w:val="00CD3B2D"/>
    <w:rsid w:val="00CE7B0C"/>
    <w:rsid w:val="00CF1053"/>
    <w:rsid w:val="00CF6CA4"/>
    <w:rsid w:val="00D20B67"/>
    <w:rsid w:val="00D23337"/>
    <w:rsid w:val="00D25B03"/>
    <w:rsid w:val="00D42539"/>
    <w:rsid w:val="00D451D3"/>
    <w:rsid w:val="00D45610"/>
    <w:rsid w:val="00D57D64"/>
    <w:rsid w:val="00D81F75"/>
    <w:rsid w:val="00D83BEC"/>
    <w:rsid w:val="00D87106"/>
    <w:rsid w:val="00D8755D"/>
    <w:rsid w:val="00D92627"/>
    <w:rsid w:val="00D92EF1"/>
    <w:rsid w:val="00DA79D8"/>
    <w:rsid w:val="00DB0765"/>
    <w:rsid w:val="00DB5F8F"/>
    <w:rsid w:val="00DB756F"/>
    <w:rsid w:val="00DB75EA"/>
    <w:rsid w:val="00DC4DD0"/>
    <w:rsid w:val="00DD38FE"/>
    <w:rsid w:val="00DD46F9"/>
    <w:rsid w:val="00E05E3E"/>
    <w:rsid w:val="00E111FB"/>
    <w:rsid w:val="00E2003B"/>
    <w:rsid w:val="00E366A6"/>
    <w:rsid w:val="00E518B7"/>
    <w:rsid w:val="00E54431"/>
    <w:rsid w:val="00E713E9"/>
    <w:rsid w:val="00EC679A"/>
    <w:rsid w:val="00EC6A78"/>
    <w:rsid w:val="00EE22CF"/>
    <w:rsid w:val="00EE6FC3"/>
    <w:rsid w:val="00EE741A"/>
    <w:rsid w:val="00EF0515"/>
    <w:rsid w:val="00F020E3"/>
    <w:rsid w:val="00F121C3"/>
    <w:rsid w:val="00F12B2A"/>
    <w:rsid w:val="00F247F6"/>
    <w:rsid w:val="00F30532"/>
    <w:rsid w:val="00F35997"/>
    <w:rsid w:val="00F46E82"/>
    <w:rsid w:val="00F64E28"/>
    <w:rsid w:val="00F73D19"/>
    <w:rsid w:val="00F93F51"/>
    <w:rsid w:val="00F949E9"/>
    <w:rsid w:val="00FC0D4D"/>
    <w:rsid w:val="00FC266A"/>
    <w:rsid w:val="00FE3D42"/>
    <w:rsid w:val="00FF256B"/>
    <w:rsid w:val="00FF69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7040A-9504-4819-B367-34CA3B4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B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B88"/>
    <w:rPr>
      <w:color w:val="0000FF" w:themeColor="hyperlink"/>
      <w:u w:val="single"/>
    </w:rPr>
  </w:style>
  <w:style w:type="paragraph" w:styleId="BalloonText">
    <w:name w:val="Balloon Text"/>
    <w:basedOn w:val="Normal"/>
    <w:link w:val="BalloonTextChar"/>
    <w:uiPriority w:val="99"/>
    <w:semiHidden/>
    <w:unhideWhenUsed/>
    <w:rsid w:val="00236A6D"/>
    <w:rPr>
      <w:rFonts w:ascii="Tahoma" w:hAnsi="Tahoma" w:cs="Tahoma"/>
      <w:sz w:val="16"/>
      <w:szCs w:val="16"/>
    </w:rPr>
  </w:style>
  <w:style w:type="character" w:customStyle="1" w:styleId="BalloonTextChar">
    <w:name w:val="Balloon Text Char"/>
    <w:basedOn w:val="DefaultParagraphFont"/>
    <w:link w:val="BalloonText"/>
    <w:uiPriority w:val="99"/>
    <w:semiHidden/>
    <w:rsid w:val="00236A6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38">
      <w:bodyDiv w:val="1"/>
      <w:marLeft w:val="0"/>
      <w:marRight w:val="0"/>
      <w:marTop w:val="0"/>
      <w:marBottom w:val="0"/>
      <w:divBdr>
        <w:top w:val="none" w:sz="0" w:space="0" w:color="auto"/>
        <w:left w:val="none" w:sz="0" w:space="0" w:color="auto"/>
        <w:bottom w:val="none" w:sz="0" w:space="0" w:color="auto"/>
        <w:right w:val="none" w:sz="0" w:space="0" w:color="auto"/>
      </w:divBdr>
    </w:div>
    <w:div w:id="175192410">
      <w:bodyDiv w:val="1"/>
      <w:marLeft w:val="0"/>
      <w:marRight w:val="0"/>
      <w:marTop w:val="0"/>
      <w:marBottom w:val="0"/>
      <w:divBdr>
        <w:top w:val="none" w:sz="0" w:space="0" w:color="auto"/>
        <w:left w:val="none" w:sz="0" w:space="0" w:color="auto"/>
        <w:bottom w:val="none" w:sz="0" w:space="0" w:color="auto"/>
        <w:right w:val="none" w:sz="0" w:space="0" w:color="auto"/>
      </w:divBdr>
    </w:div>
    <w:div w:id="311524413">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738214009">
      <w:bodyDiv w:val="1"/>
      <w:marLeft w:val="0"/>
      <w:marRight w:val="0"/>
      <w:marTop w:val="0"/>
      <w:marBottom w:val="0"/>
      <w:divBdr>
        <w:top w:val="none" w:sz="0" w:space="0" w:color="auto"/>
        <w:left w:val="none" w:sz="0" w:space="0" w:color="auto"/>
        <w:bottom w:val="none" w:sz="0" w:space="0" w:color="auto"/>
        <w:right w:val="none" w:sz="0" w:space="0" w:color="auto"/>
      </w:divBdr>
    </w:div>
    <w:div w:id="985206186">
      <w:bodyDiv w:val="1"/>
      <w:marLeft w:val="0"/>
      <w:marRight w:val="0"/>
      <w:marTop w:val="0"/>
      <w:marBottom w:val="0"/>
      <w:divBdr>
        <w:top w:val="none" w:sz="0" w:space="0" w:color="auto"/>
        <w:left w:val="none" w:sz="0" w:space="0" w:color="auto"/>
        <w:bottom w:val="none" w:sz="0" w:space="0" w:color="auto"/>
        <w:right w:val="none" w:sz="0" w:space="0" w:color="auto"/>
      </w:divBdr>
    </w:div>
    <w:div w:id="1029532432">
      <w:bodyDiv w:val="1"/>
      <w:marLeft w:val="0"/>
      <w:marRight w:val="0"/>
      <w:marTop w:val="0"/>
      <w:marBottom w:val="0"/>
      <w:divBdr>
        <w:top w:val="none" w:sz="0" w:space="0" w:color="auto"/>
        <w:left w:val="none" w:sz="0" w:space="0" w:color="auto"/>
        <w:bottom w:val="none" w:sz="0" w:space="0" w:color="auto"/>
        <w:right w:val="none" w:sz="0" w:space="0" w:color="auto"/>
      </w:divBdr>
    </w:div>
    <w:div w:id="1131627481">
      <w:bodyDiv w:val="1"/>
      <w:marLeft w:val="0"/>
      <w:marRight w:val="0"/>
      <w:marTop w:val="0"/>
      <w:marBottom w:val="0"/>
      <w:divBdr>
        <w:top w:val="none" w:sz="0" w:space="0" w:color="auto"/>
        <w:left w:val="none" w:sz="0" w:space="0" w:color="auto"/>
        <w:bottom w:val="none" w:sz="0" w:space="0" w:color="auto"/>
        <w:right w:val="none" w:sz="0" w:space="0" w:color="auto"/>
      </w:divBdr>
    </w:div>
    <w:div w:id="1155951785">
      <w:bodyDiv w:val="1"/>
      <w:marLeft w:val="0"/>
      <w:marRight w:val="0"/>
      <w:marTop w:val="0"/>
      <w:marBottom w:val="0"/>
      <w:divBdr>
        <w:top w:val="none" w:sz="0" w:space="0" w:color="auto"/>
        <w:left w:val="none" w:sz="0" w:space="0" w:color="auto"/>
        <w:bottom w:val="none" w:sz="0" w:space="0" w:color="auto"/>
        <w:right w:val="none" w:sz="0" w:space="0" w:color="auto"/>
      </w:divBdr>
    </w:div>
    <w:div w:id="1411344915">
      <w:bodyDiv w:val="1"/>
      <w:marLeft w:val="0"/>
      <w:marRight w:val="0"/>
      <w:marTop w:val="0"/>
      <w:marBottom w:val="0"/>
      <w:divBdr>
        <w:top w:val="none" w:sz="0" w:space="0" w:color="auto"/>
        <w:left w:val="none" w:sz="0" w:space="0" w:color="auto"/>
        <w:bottom w:val="none" w:sz="0" w:space="0" w:color="auto"/>
        <w:right w:val="none" w:sz="0" w:space="0" w:color="auto"/>
      </w:divBdr>
    </w:div>
    <w:div w:id="1554973062">
      <w:bodyDiv w:val="1"/>
      <w:marLeft w:val="0"/>
      <w:marRight w:val="0"/>
      <w:marTop w:val="0"/>
      <w:marBottom w:val="0"/>
      <w:divBdr>
        <w:top w:val="none" w:sz="0" w:space="0" w:color="auto"/>
        <w:left w:val="none" w:sz="0" w:space="0" w:color="auto"/>
        <w:bottom w:val="none" w:sz="0" w:space="0" w:color="auto"/>
        <w:right w:val="none" w:sz="0" w:space="0" w:color="auto"/>
      </w:divBdr>
    </w:div>
    <w:div w:id="1608271446">
      <w:bodyDiv w:val="1"/>
      <w:marLeft w:val="0"/>
      <w:marRight w:val="0"/>
      <w:marTop w:val="0"/>
      <w:marBottom w:val="0"/>
      <w:divBdr>
        <w:top w:val="none" w:sz="0" w:space="0" w:color="auto"/>
        <w:left w:val="none" w:sz="0" w:space="0" w:color="auto"/>
        <w:bottom w:val="none" w:sz="0" w:space="0" w:color="auto"/>
        <w:right w:val="none" w:sz="0" w:space="0" w:color="auto"/>
      </w:divBdr>
    </w:div>
    <w:div w:id="1633709008">
      <w:bodyDiv w:val="1"/>
      <w:marLeft w:val="0"/>
      <w:marRight w:val="0"/>
      <w:marTop w:val="0"/>
      <w:marBottom w:val="0"/>
      <w:divBdr>
        <w:top w:val="none" w:sz="0" w:space="0" w:color="auto"/>
        <w:left w:val="none" w:sz="0" w:space="0" w:color="auto"/>
        <w:bottom w:val="none" w:sz="0" w:space="0" w:color="auto"/>
        <w:right w:val="none" w:sz="0" w:space="0" w:color="auto"/>
      </w:divBdr>
    </w:div>
    <w:div w:id="1976059855">
      <w:bodyDiv w:val="1"/>
      <w:marLeft w:val="0"/>
      <w:marRight w:val="0"/>
      <w:marTop w:val="0"/>
      <w:marBottom w:val="0"/>
      <w:divBdr>
        <w:top w:val="none" w:sz="0" w:space="0" w:color="auto"/>
        <w:left w:val="none" w:sz="0" w:space="0" w:color="auto"/>
        <w:bottom w:val="none" w:sz="0" w:space="0" w:color="auto"/>
        <w:right w:val="none" w:sz="0" w:space="0" w:color="auto"/>
      </w:divBdr>
    </w:div>
    <w:div w:id="2025327871">
      <w:bodyDiv w:val="1"/>
      <w:marLeft w:val="0"/>
      <w:marRight w:val="0"/>
      <w:marTop w:val="0"/>
      <w:marBottom w:val="0"/>
      <w:divBdr>
        <w:top w:val="none" w:sz="0" w:space="0" w:color="auto"/>
        <w:left w:val="none" w:sz="0" w:space="0" w:color="auto"/>
        <w:bottom w:val="none" w:sz="0" w:space="0" w:color="auto"/>
        <w:right w:val="none" w:sz="0" w:space="0" w:color="auto"/>
      </w:divBdr>
    </w:div>
    <w:div w:id="21405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Jin</dc:creator>
  <cp:lastModifiedBy>Jessica Jin</cp:lastModifiedBy>
  <cp:revision>2</cp:revision>
  <dcterms:created xsi:type="dcterms:W3CDTF">2016-04-10T11:28:00Z</dcterms:created>
  <dcterms:modified xsi:type="dcterms:W3CDTF">2016-04-10T11:28:00Z</dcterms:modified>
</cp:coreProperties>
</file>