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DC" w:rsidRDefault="00D40415" w:rsidP="009951CA">
      <w:pPr>
        <w:jc w:val="both"/>
        <w:rPr>
          <w:i/>
        </w:rPr>
      </w:pPr>
      <w:bookmarkStart w:id="0" w:name="_GoBack"/>
      <w:bookmarkEnd w:id="0"/>
      <w:r>
        <w:rPr>
          <w:b/>
          <w:bCs/>
        </w:rPr>
        <w:t>Breakfast skipping: impact on health parameters and quality of diet in young adults</w:t>
      </w:r>
      <w:r w:rsidR="009865BB">
        <w:rPr>
          <w:b/>
          <w:bCs/>
        </w:rPr>
        <w:t xml:space="preserve">. </w:t>
      </w:r>
      <w:r w:rsidR="000032C4">
        <w:t>By R.</w:t>
      </w:r>
      <w:r w:rsidR="00851E0E">
        <w:t xml:space="preserve"> L. </w:t>
      </w:r>
      <w:r w:rsidR="000032C4">
        <w:t>Treadwell</w:t>
      </w:r>
      <w:r w:rsidR="00FE0400" w:rsidRPr="00FE0400">
        <w:rPr>
          <w:vertAlign w:val="superscript"/>
        </w:rPr>
        <w:t>1</w:t>
      </w:r>
      <w:r w:rsidR="004B56DC" w:rsidRPr="00FE0400">
        <w:t xml:space="preserve">, </w:t>
      </w:r>
      <w:r w:rsidR="000032C4">
        <w:t>I. Alaunyte</w:t>
      </w:r>
      <w:r w:rsidR="000032C4">
        <w:rPr>
          <w:vertAlign w:val="superscript"/>
        </w:rPr>
        <w:t>1</w:t>
      </w:r>
      <w:r w:rsidR="00FE0400">
        <w:t xml:space="preserve"> and</w:t>
      </w:r>
      <w:r w:rsidR="00FE0400" w:rsidRPr="00FE0400">
        <w:t xml:space="preserve"> </w:t>
      </w:r>
      <w:r w:rsidR="00FE0400">
        <w:t>F. Amirabdollahian</w:t>
      </w:r>
      <w:r w:rsidR="00FE0400">
        <w:rPr>
          <w:vertAlign w:val="superscript"/>
        </w:rPr>
        <w:t>1</w:t>
      </w:r>
      <w:r w:rsidR="00FE0400">
        <w:t xml:space="preserve">, </w:t>
      </w:r>
      <w:r w:rsidR="00FE0400" w:rsidRPr="001253C1">
        <w:rPr>
          <w:i/>
          <w:vertAlign w:val="superscript"/>
        </w:rPr>
        <w:t>1</w:t>
      </w:r>
      <w:r w:rsidR="000032C4">
        <w:rPr>
          <w:i/>
        </w:rPr>
        <w:t>School</w:t>
      </w:r>
      <w:r w:rsidR="00FE0400" w:rsidRPr="001253C1">
        <w:rPr>
          <w:i/>
        </w:rPr>
        <w:t xml:space="preserve"> of Health Sciences, Liverpool Hope University, Liverpool, </w:t>
      </w:r>
      <w:r w:rsidR="008F2B02" w:rsidRPr="001253C1">
        <w:rPr>
          <w:i/>
        </w:rPr>
        <w:t>L16 9JD</w:t>
      </w:r>
      <w:r w:rsidR="00FE0400" w:rsidRPr="001253C1">
        <w:rPr>
          <w:i/>
        </w:rPr>
        <w:t xml:space="preserve"> </w:t>
      </w:r>
    </w:p>
    <w:p w:rsidR="00E80F5B" w:rsidRPr="009865BB" w:rsidRDefault="00E80F5B" w:rsidP="009951CA">
      <w:pPr>
        <w:jc w:val="both"/>
        <w:rPr>
          <w:b/>
          <w:bCs/>
        </w:rPr>
      </w:pPr>
    </w:p>
    <w:p w:rsidR="00502678" w:rsidRPr="00FE0400" w:rsidRDefault="0081194D" w:rsidP="00DD00DC">
      <w:pPr>
        <w:jc w:val="both"/>
      </w:pPr>
      <w:r>
        <w:t>P</w:t>
      </w:r>
      <w:r w:rsidR="009951CA">
        <w:t>revious studies have demonstrated</w:t>
      </w:r>
      <w:r w:rsidR="003C4F7E" w:rsidRPr="00FE0400">
        <w:t xml:space="preserve"> that </w:t>
      </w:r>
      <w:r w:rsidR="002103AC">
        <w:t>breakfast is the most important meal of the day</w:t>
      </w:r>
      <w:r w:rsidR="00475C11">
        <w:t xml:space="preserve"> </w:t>
      </w:r>
      <w:r w:rsidR="00F35795">
        <w:rPr>
          <w:vertAlign w:val="superscript"/>
        </w:rPr>
        <w:t>(</w:t>
      </w:r>
      <w:r w:rsidR="00F35795" w:rsidRPr="00863CDA">
        <w:rPr>
          <w:vertAlign w:val="superscript"/>
        </w:rPr>
        <w:t>1</w:t>
      </w:r>
      <w:r w:rsidR="00F35795">
        <w:rPr>
          <w:vertAlign w:val="superscript"/>
        </w:rPr>
        <w:t>)</w:t>
      </w:r>
      <w:r w:rsidR="00F35795">
        <w:t xml:space="preserve">. </w:t>
      </w:r>
      <w:r w:rsidR="00DD00DC">
        <w:t xml:space="preserve">Despite this, the evidence suggests that breakfast skipping is a common practice due to the perception that omission of breakfast will reduce energy intake and facilitate weight loss </w:t>
      </w:r>
      <w:r w:rsidR="00DD00DC">
        <w:rPr>
          <w:vertAlign w:val="superscript"/>
        </w:rPr>
        <w:t xml:space="preserve">(2, </w:t>
      </w:r>
      <w:r w:rsidR="00F35795">
        <w:rPr>
          <w:vertAlign w:val="superscript"/>
        </w:rPr>
        <w:t>3)</w:t>
      </w:r>
      <w:r w:rsidR="00863CDA" w:rsidRPr="00863CDA">
        <w:t xml:space="preserve">. </w:t>
      </w:r>
      <w:r w:rsidR="00502678" w:rsidRPr="00FE0400">
        <w:t xml:space="preserve">The purpose of this study was to investigate </w:t>
      </w:r>
      <w:r w:rsidR="002103AC">
        <w:t>nutritional adequacy</w:t>
      </w:r>
      <w:r w:rsidR="00947939">
        <w:t xml:space="preserve"> and health parameters</w:t>
      </w:r>
      <w:r w:rsidR="00502678" w:rsidRPr="00FE0400">
        <w:t xml:space="preserve"> of </w:t>
      </w:r>
      <w:r w:rsidR="00DD00DC">
        <w:t>healthy young adults</w:t>
      </w:r>
      <w:r w:rsidR="004374C1" w:rsidRPr="00FE0400">
        <w:t xml:space="preserve"> </w:t>
      </w:r>
      <w:r w:rsidR="00DD00DC">
        <w:t>by</w:t>
      </w:r>
      <w:r w:rsidR="004374C1" w:rsidRPr="00FE0400">
        <w:t xml:space="preserve"> comparing </w:t>
      </w:r>
      <w:r w:rsidR="00DD00DC">
        <w:t xml:space="preserve">patterns of </w:t>
      </w:r>
      <w:r w:rsidR="002103AC">
        <w:t>breakfast consum</w:t>
      </w:r>
      <w:r w:rsidR="009E2B19">
        <w:t xml:space="preserve">ption </w:t>
      </w:r>
      <w:r w:rsidR="009E2B19" w:rsidRPr="009E2B19">
        <w:rPr>
          <w:i/>
        </w:rPr>
        <w:t>v</w:t>
      </w:r>
      <w:r w:rsidR="00DD00DC">
        <w:t xml:space="preserve"> breakfast skipping.</w:t>
      </w:r>
    </w:p>
    <w:p w:rsidR="00502678" w:rsidRPr="000B78B2" w:rsidRDefault="000032C4" w:rsidP="00406BEE">
      <w:pPr>
        <w:ind w:firstLine="284"/>
        <w:jc w:val="both"/>
        <w:rPr>
          <w:color w:val="FF0000"/>
        </w:rPr>
      </w:pPr>
      <w:r>
        <w:t xml:space="preserve">After obtaining ethical approval, </w:t>
      </w:r>
      <w:r w:rsidR="00475C11">
        <w:t>mixed gender</w:t>
      </w:r>
      <w:r w:rsidR="0069204F">
        <w:t xml:space="preserve"> participants (</w:t>
      </w:r>
      <w:r w:rsidR="0069204F" w:rsidRPr="0069204F">
        <w:rPr>
          <w:i/>
        </w:rPr>
        <w:t>n</w:t>
      </w:r>
      <w:r w:rsidR="0069204F">
        <w:t xml:space="preserve"> </w:t>
      </w:r>
      <w:r w:rsidR="00C9554E">
        <w:t>238</w:t>
      </w:r>
      <w:r w:rsidR="009E2B19">
        <w:t xml:space="preserve">, </w:t>
      </w:r>
      <w:r w:rsidR="009E2B19" w:rsidRPr="009E2B19">
        <w:rPr>
          <w:i/>
        </w:rPr>
        <w:t>M</w:t>
      </w:r>
      <w:r w:rsidR="009E2B19">
        <w:t xml:space="preserve"> 104, </w:t>
      </w:r>
      <w:r w:rsidR="009E2B19" w:rsidRPr="009E2B19">
        <w:rPr>
          <w:i/>
        </w:rPr>
        <w:t>F</w:t>
      </w:r>
      <w:r w:rsidR="009E2B19">
        <w:t xml:space="preserve"> 134</w:t>
      </w:r>
      <w:r>
        <w:t xml:space="preserve">) aged 18-25 </w:t>
      </w:r>
      <w:r w:rsidR="0069204F">
        <w:t xml:space="preserve">were </w:t>
      </w:r>
      <w:r>
        <w:t xml:space="preserve">recruited </w:t>
      </w:r>
      <w:r w:rsidR="0069204F" w:rsidRPr="0069204F">
        <w:t xml:space="preserve">from universities in the North West of England </w:t>
      </w:r>
      <w:r w:rsidR="00475C11">
        <w:t>using convenient and snowball sampling.</w:t>
      </w:r>
      <w:r w:rsidR="00947939">
        <w:t xml:space="preserve"> A</w:t>
      </w:r>
      <w:r>
        <w:t>nthropometric measure</w:t>
      </w:r>
      <w:r w:rsidR="00475C11">
        <w:t xml:space="preserve">ments such as </w:t>
      </w:r>
      <w:r w:rsidR="00947939">
        <w:t>BMI</w:t>
      </w:r>
      <w:r w:rsidR="00475C11">
        <w:t xml:space="preserve">, </w:t>
      </w:r>
      <w:r w:rsidR="00947939" w:rsidRPr="00947939">
        <w:t xml:space="preserve">Waist to Hip Ratio </w:t>
      </w:r>
      <w:r w:rsidR="00475C11">
        <w:t>and</w:t>
      </w:r>
      <w:r>
        <w:t xml:space="preserve"> </w:t>
      </w:r>
      <w:r w:rsidR="00B71379">
        <w:t>Body Fat Percentage</w:t>
      </w:r>
      <w:r w:rsidR="00947939">
        <w:t xml:space="preserve">, and </w:t>
      </w:r>
      <w:r w:rsidR="00947939" w:rsidRPr="00947939">
        <w:t xml:space="preserve">fasting capillary blood lipid profile </w:t>
      </w:r>
      <w:r w:rsidR="00847797">
        <w:t xml:space="preserve">and glucose </w:t>
      </w:r>
      <w:r w:rsidR="009867E0">
        <w:t xml:space="preserve">were </w:t>
      </w:r>
      <w:r w:rsidR="00947939">
        <w:t>obtained from participant using standardised techniques</w:t>
      </w:r>
      <w:r w:rsidR="00B71379">
        <w:t xml:space="preserve">. </w:t>
      </w:r>
      <w:r w:rsidR="00947939">
        <w:t>E</w:t>
      </w:r>
      <w:r w:rsidR="009867E0">
        <w:t>nergy</w:t>
      </w:r>
      <w:r w:rsidR="00292846">
        <w:t xml:space="preserve"> and nutrient intake was</w:t>
      </w:r>
      <w:r w:rsidR="009867E0">
        <w:t xml:space="preserve"> as</w:t>
      </w:r>
      <w:r w:rsidR="00CD5B09">
        <w:t xml:space="preserve">sessed through the use of </w:t>
      </w:r>
      <w:r w:rsidR="000B78B2">
        <w:t xml:space="preserve">a validated </w:t>
      </w:r>
      <w:r w:rsidR="009867E0">
        <w:t>3 day food diary in addition to a</w:t>
      </w:r>
      <w:r w:rsidR="000B78B2">
        <w:t xml:space="preserve"> short self-reported </w:t>
      </w:r>
      <w:r w:rsidR="009867E0">
        <w:t>lifestyle questionnaire</w:t>
      </w:r>
      <w:r w:rsidR="00947939">
        <w:t xml:space="preserve"> which included questions on breakfast skipping patterns</w:t>
      </w:r>
      <w:r w:rsidR="004374C1" w:rsidRPr="00FE0400">
        <w:t>.</w:t>
      </w:r>
      <w:r w:rsidR="00475C11">
        <w:t xml:space="preserve"> </w:t>
      </w:r>
      <w:r w:rsidR="00B9762F">
        <w:t xml:space="preserve">Breakfast skipping was defined as the omission of 2 or more times per week. </w:t>
      </w:r>
      <w:r w:rsidR="00C32059" w:rsidRPr="00FE0400">
        <w:t xml:space="preserve">Normal distribution was </w:t>
      </w:r>
      <w:r w:rsidR="000B78B2">
        <w:t>analysed</w:t>
      </w:r>
      <w:r w:rsidR="00C32059" w:rsidRPr="00FE0400">
        <w:t xml:space="preserve"> using the </w:t>
      </w:r>
      <w:r w:rsidR="00C32059" w:rsidRPr="00406BEE">
        <w:t>Shapiro-Wilk test of normalit</w:t>
      </w:r>
      <w:r w:rsidR="00AD400C" w:rsidRPr="00406BEE">
        <w:t xml:space="preserve">y and because the main variables </w:t>
      </w:r>
      <w:r w:rsidR="00C32059" w:rsidRPr="00406BEE">
        <w:t>w</w:t>
      </w:r>
      <w:r w:rsidR="00406BEE">
        <w:t>ere not normally distributed</w:t>
      </w:r>
      <w:r w:rsidR="00C32059" w:rsidRPr="00406BEE">
        <w:t xml:space="preserve">, </w:t>
      </w:r>
      <w:r w:rsidR="00406BEE" w:rsidRPr="00406BEE">
        <w:t>measurements</w:t>
      </w:r>
      <w:r w:rsidR="00C32059" w:rsidRPr="00406BEE">
        <w:t xml:space="preserve"> were compared using the </w:t>
      </w:r>
      <w:r w:rsidR="001253C1" w:rsidRPr="00406BEE">
        <w:t xml:space="preserve">nonparametric </w:t>
      </w:r>
      <w:r w:rsidR="00406BEE" w:rsidRPr="00406BEE">
        <w:t xml:space="preserve">Mann-Whitney </w:t>
      </w:r>
      <w:r w:rsidR="00406BEE" w:rsidRPr="00406BEE">
        <w:rPr>
          <w:i/>
        </w:rPr>
        <w:t>U</w:t>
      </w:r>
      <w:r w:rsidR="00C32059" w:rsidRPr="00406BEE">
        <w:t xml:space="preserve"> Test.</w:t>
      </w:r>
      <w:r w:rsidR="00502678" w:rsidRPr="00406BEE">
        <w:t xml:space="preserve"> </w:t>
      </w:r>
      <w:r w:rsidR="00406BEE" w:rsidRPr="00406BEE">
        <w:t>Statistical analyse</w:t>
      </w:r>
      <w:r w:rsidR="00AD400C" w:rsidRPr="00406BEE">
        <w:t>s were conducted</w:t>
      </w:r>
      <w:r w:rsidR="00947939">
        <w:t xml:space="preserve"> using SPSS </w:t>
      </w:r>
      <w:r w:rsidR="00C32059" w:rsidRPr="00406BEE">
        <w:t xml:space="preserve">and statistical significance was set at 0.05. </w:t>
      </w:r>
    </w:p>
    <w:p w:rsidR="00502678" w:rsidRPr="000B78B2" w:rsidRDefault="00E73940" w:rsidP="00406BEE">
      <w:pPr>
        <w:spacing w:after="120"/>
        <w:ind w:firstLine="284"/>
        <w:jc w:val="both"/>
        <w:rPr>
          <w:bCs/>
          <w:color w:val="FF0000"/>
        </w:rPr>
      </w:pPr>
      <w:r w:rsidRPr="00406BEE">
        <w:rPr>
          <w:bCs/>
        </w:rPr>
        <w:t>The results show that</w:t>
      </w:r>
      <w:r w:rsidR="00406BEE">
        <w:rPr>
          <w:bCs/>
        </w:rPr>
        <w:t xml:space="preserve"> </w:t>
      </w:r>
      <w:r w:rsidR="00B9762F">
        <w:rPr>
          <w:bCs/>
        </w:rPr>
        <w:t>half</w:t>
      </w:r>
      <w:r w:rsidRPr="00406BEE">
        <w:rPr>
          <w:bCs/>
        </w:rPr>
        <w:t xml:space="preserve"> of young adults reported to skip breakfast</w:t>
      </w:r>
      <w:r w:rsidR="00406BEE">
        <w:rPr>
          <w:bCs/>
        </w:rPr>
        <w:t xml:space="preserve"> on regular basis</w:t>
      </w:r>
      <w:r w:rsidRPr="00406BEE">
        <w:rPr>
          <w:bCs/>
        </w:rPr>
        <w:t>. This trend was</w:t>
      </w:r>
      <w:r w:rsidR="00812919">
        <w:rPr>
          <w:bCs/>
        </w:rPr>
        <w:t xml:space="preserve"> seen in both gender groups</w:t>
      </w:r>
      <w:r w:rsidRPr="00406BEE">
        <w:rPr>
          <w:bCs/>
        </w:rPr>
        <w:t xml:space="preserve"> (male</w:t>
      </w:r>
      <w:r w:rsidR="00B9762F">
        <w:rPr>
          <w:bCs/>
        </w:rPr>
        <w:t>s</w:t>
      </w:r>
      <w:r w:rsidRPr="00406BEE">
        <w:rPr>
          <w:bCs/>
        </w:rPr>
        <w:t xml:space="preserve"> -</w:t>
      </w:r>
      <w:r w:rsidR="00B9762F">
        <w:rPr>
          <w:bCs/>
        </w:rPr>
        <w:t xml:space="preserve"> 50</w:t>
      </w:r>
      <w:r w:rsidRPr="00406BEE">
        <w:rPr>
          <w:bCs/>
        </w:rPr>
        <w:t>%, female</w:t>
      </w:r>
      <w:r w:rsidR="00B9762F">
        <w:rPr>
          <w:bCs/>
        </w:rPr>
        <w:t>s</w:t>
      </w:r>
      <w:r w:rsidR="002077C3">
        <w:rPr>
          <w:bCs/>
        </w:rPr>
        <w:t xml:space="preserve"> </w:t>
      </w:r>
      <w:r w:rsidR="00B9762F">
        <w:rPr>
          <w:bCs/>
        </w:rPr>
        <w:t>- 51</w:t>
      </w:r>
      <w:r w:rsidRPr="00406BEE">
        <w:rPr>
          <w:bCs/>
        </w:rPr>
        <w:t xml:space="preserve">%). </w:t>
      </w:r>
      <w:r w:rsidR="002A230B" w:rsidRPr="002A230B">
        <w:rPr>
          <w:bCs/>
        </w:rPr>
        <w:t>Body fat percentage</w:t>
      </w:r>
      <w:r w:rsidR="00A6435F" w:rsidRPr="002A230B">
        <w:rPr>
          <w:bCs/>
        </w:rPr>
        <w:t xml:space="preserve"> </w:t>
      </w:r>
      <w:r w:rsidR="002A230B" w:rsidRPr="002A230B">
        <w:rPr>
          <w:bCs/>
        </w:rPr>
        <w:t xml:space="preserve">median </w:t>
      </w:r>
      <w:r w:rsidR="00A6435F" w:rsidRPr="002A230B">
        <w:rPr>
          <w:bCs/>
        </w:rPr>
        <w:t xml:space="preserve">was significantly lower </w:t>
      </w:r>
      <w:r w:rsidR="002A230B" w:rsidRPr="002A230B">
        <w:rPr>
          <w:bCs/>
        </w:rPr>
        <w:t>in breakfast consumers than skippers</w:t>
      </w:r>
      <w:r w:rsidR="00565B4D" w:rsidRPr="002A230B">
        <w:rPr>
          <w:bCs/>
        </w:rPr>
        <w:t xml:space="preserve"> (</w:t>
      </w:r>
      <w:r w:rsidR="00847797">
        <w:rPr>
          <w:bCs/>
        </w:rPr>
        <w:t>23</w:t>
      </w:r>
      <w:r w:rsidR="002A230B" w:rsidRPr="002A230B">
        <w:rPr>
          <w:bCs/>
        </w:rPr>
        <w:t>%</w:t>
      </w:r>
      <w:r w:rsidR="00A6435F" w:rsidRPr="002A230B">
        <w:rPr>
          <w:bCs/>
        </w:rPr>
        <w:t xml:space="preserve"> </w:t>
      </w:r>
      <w:r w:rsidR="00947939" w:rsidRPr="00947939">
        <w:rPr>
          <w:bCs/>
          <w:i/>
        </w:rPr>
        <w:t>v</w:t>
      </w:r>
      <w:r w:rsidR="00847797">
        <w:rPr>
          <w:bCs/>
        </w:rPr>
        <w:t xml:space="preserve"> 26</w:t>
      </w:r>
      <w:r w:rsidR="00947939">
        <w:rPr>
          <w:bCs/>
        </w:rPr>
        <w:t>%</w:t>
      </w:r>
      <w:r w:rsidR="00454582" w:rsidRPr="002A230B">
        <w:rPr>
          <w:bCs/>
        </w:rPr>
        <w:t>,</w:t>
      </w:r>
      <w:r w:rsidR="00947939">
        <w:rPr>
          <w:bCs/>
        </w:rPr>
        <w:t xml:space="preserve"> P</w:t>
      </w:r>
      <w:r w:rsidR="00D72D99" w:rsidRPr="002A230B">
        <w:rPr>
          <w:bCs/>
        </w:rPr>
        <w:t>&lt;0.05).</w:t>
      </w:r>
      <w:r w:rsidR="005758C6" w:rsidRPr="002A230B">
        <w:t xml:space="preserve"> </w:t>
      </w:r>
      <w:r w:rsidR="00863CDA" w:rsidRPr="002A230B">
        <w:t xml:space="preserve">This finding was consistent </w:t>
      </w:r>
      <w:r w:rsidR="002A230B" w:rsidRPr="002A230B">
        <w:t>in males</w:t>
      </w:r>
      <w:r w:rsidR="00847797">
        <w:t xml:space="preserve"> (18% </w:t>
      </w:r>
      <w:r w:rsidR="00847797" w:rsidRPr="00847797">
        <w:rPr>
          <w:i/>
        </w:rPr>
        <w:t>v</w:t>
      </w:r>
      <w:r w:rsidR="00847797">
        <w:t xml:space="preserve"> 15%, P&lt;0.001)</w:t>
      </w:r>
      <w:r w:rsidR="002A230B" w:rsidRPr="002A230B">
        <w:t xml:space="preserve"> </w:t>
      </w:r>
      <w:r w:rsidR="00947939">
        <w:t>but not in females</w:t>
      </w:r>
      <w:r w:rsidR="00847797">
        <w:t xml:space="preserve"> (30% </w:t>
      </w:r>
      <w:r w:rsidR="00847797" w:rsidRPr="00847797">
        <w:rPr>
          <w:i/>
        </w:rPr>
        <w:t>v</w:t>
      </w:r>
      <w:r w:rsidR="00847797">
        <w:t xml:space="preserve"> 28, P=0.067)</w:t>
      </w:r>
      <w:r w:rsidR="002A230B" w:rsidRPr="002A230B">
        <w:t>.</w:t>
      </w:r>
      <w:r w:rsidR="008F2B02" w:rsidRPr="002A230B">
        <w:t xml:space="preserve"> </w:t>
      </w:r>
      <w:r w:rsidR="00847797" w:rsidRPr="00847797">
        <w:t xml:space="preserve">Blood glucose levels were significantly higher in skippers than </w:t>
      </w:r>
      <w:r w:rsidR="002077C3">
        <w:t xml:space="preserve">in </w:t>
      </w:r>
      <w:r w:rsidR="00847797" w:rsidRPr="00847797">
        <w:t>consumer</w:t>
      </w:r>
      <w:r w:rsidR="002077C3">
        <w:t>s</w:t>
      </w:r>
      <w:r w:rsidR="00847797">
        <w:t>. However</w:t>
      </w:r>
      <w:r w:rsidR="005C5695">
        <w:t xml:space="preserve"> this trend was not observed in males</w:t>
      </w:r>
      <w:r w:rsidR="00847797">
        <w:t xml:space="preserve">. </w:t>
      </w:r>
      <w:r w:rsidR="005C5695">
        <w:t>T</w:t>
      </w:r>
      <w:r w:rsidR="00847797" w:rsidRPr="00847797">
        <w:t xml:space="preserve">otal cholesterol </w:t>
      </w:r>
      <w:r w:rsidR="005C5695">
        <w:t>was significantly higher in female breakfast consumers compared to skippers but there were no significant differences in HDL and LDL</w:t>
      </w:r>
      <w:r w:rsidR="00812919">
        <w:t xml:space="preserve"> in both gender groups</w:t>
      </w:r>
      <w:r w:rsidR="005C5695">
        <w:t>.</w:t>
      </w:r>
      <w:r w:rsidR="0021057E" w:rsidRPr="00847797">
        <w:t xml:space="preserve"> </w:t>
      </w:r>
      <w:r w:rsidR="005C5695">
        <w:t>E</w:t>
      </w:r>
      <w:r w:rsidR="00847797" w:rsidRPr="00847797">
        <w:t>nergy and macronutrient intake in breakfast</w:t>
      </w:r>
      <w:r w:rsidR="005C5695">
        <w:t xml:space="preserve"> skippers compared to consumers showed no significant trends.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872"/>
        <w:gridCol w:w="766"/>
        <w:gridCol w:w="766"/>
        <w:gridCol w:w="872"/>
        <w:gridCol w:w="766"/>
        <w:gridCol w:w="766"/>
      </w:tblGrid>
      <w:tr w:rsidR="00EF6BCC" w:rsidRPr="00356EF7" w:rsidTr="009D122C">
        <w:trPr>
          <w:trHeight w:val="91"/>
          <w:jc w:val="center"/>
        </w:trPr>
        <w:tc>
          <w:tcPr>
            <w:tcW w:w="0" w:type="auto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EF6BCC" w:rsidRPr="00356EF7" w:rsidRDefault="005166C1" w:rsidP="005166C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Diet and</w:t>
            </w:r>
            <w:r w:rsidR="009E2B19">
              <w:rPr>
                <w:b/>
                <w:bCs/>
                <w:sz w:val="20"/>
                <w:szCs w:val="20"/>
                <w:lang w:eastAsia="en-US"/>
              </w:rPr>
              <w:t xml:space="preserve"> health parameters</w:t>
            </w:r>
          </w:p>
        </w:tc>
        <w:tc>
          <w:tcPr>
            <w:tcW w:w="0" w:type="auto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BCC" w:rsidRPr="00356EF7" w:rsidRDefault="009E2B19" w:rsidP="00EF6BC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Breakfast skipper</w:t>
            </w:r>
            <w:r w:rsidR="00EF6BC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69204F">
              <w:rPr>
                <w:b/>
                <w:bCs/>
                <w:sz w:val="20"/>
                <w:szCs w:val="20"/>
                <w:lang w:eastAsia="en-US"/>
              </w:rPr>
              <w:t>(</w:t>
            </w:r>
            <w:r w:rsidR="0069204F" w:rsidRPr="0069204F">
              <w:rPr>
                <w:b/>
                <w:bCs/>
                <w:i/>
                <w:sz w:val="20"/>
                <w:szCs w:val="20"/>
                <w:lang w:eastAsia="en-US"/>
              </w:rPr>
              <w:t>n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120</w:t>
            </w:r>
            <w:r w:rsidR="0069204F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F6BCC" w:rsidRPr="00356EF7" w:rsidRDefault="009E2B19" w:rsidP="00EF6BC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Consumer</w:t>
            </w:r>
            <w:r w:rsidR="0069204F"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="0069204F" w:rsidRPr="0069204F">
              <w:rPr>
                <w:b/>
                <w:bCs/>
                <w:i/>
                <w:sz w:val="20"/>
                <w:szCs w:val="20"/>
                <w:lang w:eastAsia="en-US"/>
              </w:rPr>
              <w:t>n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118</w:t>
            </w:r>
            <w:r w:rsidR="0069204F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EF6BCC" w:rsidRPr="00356EF7" w:rsidTr="009D122C">
        <w:trPr>
          <w:trHeight w:val="91"/>
          <w:jc w:val="center"/>
        </w:trPr>
        <w:tc>
          <w:tcPr>
            <w:tcW w:w="0" w:type="auto"/>
            <w:vMerge/>
            <w:tcBorders>
              <w:right w:val="nil"/>
            </w:tcBorders>
            <w:shd w:val="clear" w:color="auto" w:fill="auto"/>
          </w:tcPr>
          <w:p w:rsidR="00EF6BCC" w:rsidRDefault="00EF6BCC" w:rsidP="00D6136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6BCC" w:rsidRPr="00356EF7" w:rsidRDefault="00EF6BCC" w:rsidP="00EF6BC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Median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auto"/>
          </w:tcPr>
          <w:p w:rsidR="00EF6BCC" w:rsidRPr="00356EF7" w:rsidRDefault="00EF6BCC" w:rsidP="00D613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Quartiles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6BCC" w:rsidRPr="00356EF7" w:rsidRDefault="00EF6BCC" w:rsidP="00EF6BC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Median</w:t>
            </w:r>
          </w:p>
        </w:tc>
        <w:tc>
          <w:tcPr>
            <w:tcW w:w="0" w:type="auto"/>
            <w:gridSpan w:val="2"/>
            <w:tcBorders>
              <w:left w:val="nil"/>
            </w:tcBorders>
            <w:shd w:val="clear" w:color="auto" w:fill="auto"/>
          </w:tcPr>
          <w:p w:rsidR="00EF6BCC" w:rsidRPr="00356EF7" w:rsidRDefault="00EF6BCC" w:rsidP="00D613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Quartiles</w:t>
            </w:r>
          </w:p>
        </w:tc>
      </w:tr>
      <w:tr w:rsidR="00EF6BCC" w:rsidRPr="00356EF7" w:rsidTr="009D122C">
        <w:trPr>
          <w:trHeight w:val="313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F6BCC" w:rsidRDefault="00EF6BCC" w:rsidP="00D6136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BCC" w:rsidRDefault="00EF6BCC" w:rsidP="00D613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BCC" w:rsidRPr="00356EF7" w:rsidRDefault="00EF6BCC" w:rsidP="00D613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P25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BCC" w:rsidRPr="00356EF7" w:rsidRDefault="00EF6BCC" w:rsidP="00D613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P75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BCC" w:rsidRDefault="00EF6BCC" w:rsidP="00D613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BCC" w:rsidRPr="00356EF7" w:rsidRDefault="00EF6BCC" w:rsidP="00277A3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P25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F6BCC" w:rsidRPr="00356EF7" w:rsidRDefault="00EF6BCC" w:rsidP="00277A3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P75</w:t>
            </w:r>
          </w:p>
        </w:tc>
      </w:tr>
      <w:tr w:rsidR="009E2B19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9E2B19" w:rsidRDefault="009E2B19" w:rsidP="007D71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BMI</w:t>
            </w:r>
            <w:r w:rsidR="00C0681B">
              <w:rPr>
                <w:sz w:val="20"/>
                <w:szCs w:val="20"/>
                <w:lang w:eastAsia="en-US"/>
              </w:rPr>
              <w:t xml:space="preserve"> (kg/m</w:t>
            </w:r>
            <w:r w:rsidR="00C0681B" w:rsidRPr="00C0681B">
              <w:rPr>
                <w:sz w:val="20"/>
                <w:szCs w:val="20"/>
                <w:vertAlign w:val="superscript"/>
                <w:lang w:eastAsia="en-US"/>
              </w:rPr>
              <w:t>2</w:t>
            </w:r>
            <w:r w:rsidR="00C0681B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21.2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25.4</w:t>
            </w:r>
          </w:p>
        </w:tc>
      </w:tr>
      <w:tr w:rsidR="009E2B19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9E2B19" w:rsidRDefault="009E2B19" w:rsidP="007D71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 body fat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7E7B35">
              <w:rPr>
                <w:sz w:val="20"/>
                <w:szCs w:val="20"/>
                <w:lang w:eastAsia="en-US"/>
              </w:rPr>
              <w:t>25.9</w:t>
            </w:r>
            <w:r w:rsidR="00947939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7E7B35">
              <w:rPr>
                <w:sz w:val="20"/>
                <w:szCs w:val="20"/>
                <w:lang w:eastAsia="en-US"/>
              </w:rPr>
              <w:t>18.0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7E7B35">
              <w:rPr>
                <w:sz w:val="20"/>
                <w:szCs w:val="20"/>
                <w:lang w:eastAsia="en-US"/>
              </w:rPr>
              <w:t>31.6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7E7B35">
              <w:rPr>
                <w:sz w:val="20"/>
                <w:szCs w:val="20"/>
                <w:lang w:eastAsia="en-US"/>
              </w:rPr>
              <w:t>23.0</w:t>
            </w:r>
            <w:r w:rsidR="00947939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7E7B35">
              <w:rPr>
                <w:sz w:val="20"/>
                <w:szCs w:val="20"/>
                <w:lang w:eastAsia="en-US"/>
              </w:rPr>
              <w:t>15.4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9E2B19" w:rsidRDefault="007E7B35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7E7B35">
              <w:rPr>
                <w:sz w:val="20"/>
                <w:szCs w:val="20"/>
                <w:lang w:eastAsia="en-US"/>
              </w:rPr>
              <w:t>29.3</w:t>
            </w:r>
          </w:p>
        </w:tc>
      </w:tr>
      <w:tr w:rsidR="007F613F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7F613F" w:rsidRDefault="007E7B35" w:rsidP="007D71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Waist to Hip R</w:t>
            </w:r>
            <w:r w:rsidR="00A315F1">
              <w:rPr>
                <w:sz w:val="20"/>
                <w:szCs w:val="20"/>
                <w:lang w:eastAsia="en-US"/>
              </w:rPr>
              <w:t>atio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361DA9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0.80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361DA9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0.74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361DA9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0.85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361DA9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0.80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361DA9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0.74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7F613F" w:rsidRDefault="00361DA9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0.85</w:t>
            </w:r>
          </w:p>
        </w:tc>
      </w:tr>
      <w:tr w:rsidR="007F613F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7F613F" w:rsidRDefault="00A315F1" w:rsidP="007D71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Total cholesterol </w:t>
            </w:r>
            <w:r w:rsidR="00C0681B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="00C0681B">
              <w:rPr>
                <w:sz w:val="20"/>
                <w:szCs w:val="20"/>
                <w:lang w:eastAsia="en-US"/>
              </w:rPr>
              <w:t>mmol</w:t>
            </w:r>
            <w:proofErr w:type="spellEnd"/>
            <w:r w:rsidR="00C0681B">
              <w:rPr>
                <w:sz w:val="20"/>
                <w:szCs w:val="20"/>
                <w:lang w:eastAsia="en-US"/>
              </w:rPr>
              <w:t>/L)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3.9</w:t>
            </w:r>
            <w:r w:rsidR="00947939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4.2</w:t>
            </w:r>
            <w:r w:rsidR="00947939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613F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7F613F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4.5</w:t>
            </w:r>
          </w:p>
        </w:tc>
      </w:tr>
      <w:tr w:rsidR="009E2B19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9E2B19" w:rsidRDefault="00A315F1" w:rsidP="007D71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LDL</w:t>
            </w:r>
            <w:r w:rsidR="00C0681B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C0681B">
              <w:rPr>
                <w:sz w:val="20"/>
                <w:szCs w:val="20"/>
                <w:lang w:eastAsia="en-US"/>
              </w:rPr>
              <w:t>mmol</w:t>
            </w:r>
            <w:proofErr w:type="spellEnd"/>
            <w:r w:rsidR="00C0681B">
              <w:rPr>
                <w:sz w:val="20"/>
                <w:szCs w:val="20"/>
                <w:lang w:eastAsia="en-US"/>
              </w:rPr>
              <w:t>/L)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2.7</w:t>
            </w:r>
          </w:p>
        </w:tc>
      </w:tr>
      <w:tr w:rsidR="009E2B19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9E2B19" w:rsidRDefault="00A315F1" w:rsidP="007D71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HDL</w:t>
            </w:r>
            <w:r w:rsidR="00C0681B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C0681B">
              <w:rPr>
                <w:sz w:val="20"/>
                <w:szCs w:val="20"/>
                <w:lang w:eastAsia="en-US"/>
              </w:rPr>
              <w:t>mmol</w:t>
            </w:r>
            <w:proofErr w:type="spellEnd"/>
            <w:r w:rsidR="00C0681B">
              <w:rPr>
                <w:sz w:val="20"/>
                <w:szCs w:val="20"/>
                <w:lang w:eastAsia="en-US"/>
              </w:rPr>
              <w:t>/L)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9E2B19" w:rsidRDefault="00221F48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221F48">
              <w:rPr>
                <w:sz w:val="20"/>
                <w:szCs w:val="20"/>
                <w:lang w:eastAsia="en-US"/>
              </w:rPr>
              <w:t>1.6</w:t>
            </w:r>
          </w:p>
        </w:tc>
      </w:tr>
      <w:tr w:rsidR="00847797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847797" w:rsidRDefault="00847797" w:rsidP="007D71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Glucose (</w:t>
            </w:r>
            <w:proofErr w:type="spellStart"/>
            <w:r>
              <w:rPr>
                <w:sz w:val="20"/>
                <w:szCs w:val="20"/>
                <w:lang w:eastAsia="en-US"/>
              </w:rPr>
              <w:t>mmol</w:t>
            </w:r>
            <w:proofErr w:type="spellEnd"/>
            <w:r>
              <w:rPr>
                <w:sz w:val="20"/>
                <w:szCs w:val="20"/>
                <w:lang w:eastAsia="en-US"/>
              </w:rPr>
              <w:t>/L)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7797" w:rsidRPr="00221F48" w:rsidRDefault="00847797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4.9*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7797" w:rsidRPr="00221F48" w:rsidRDefault="00847797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7797" w:rsidRPr="00221F48" w:rsidRDefault="00847797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7797" w:rsidRPr="00221F48" w:rsidRDefault="00847797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4.7*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7797" w:rsidRPr="00221F48" w:rsidRDefault="00847797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847797" w:rsidRPr="00221F48" w:rsidRDefault="00847797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5.2</w:t>
            </w:r>
          </w:p>
        </w:tc>
      </w:tr>
      <w:tr w:rsidR="00D307D2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D307D2" w:rsidRPr="00356EF7" w:rsidRDefault="00D307D2" w:rsidP="007D71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Energy intake (</w:t>
            </w:r>
            <w:r w:rsidR="007D715B">
              <w:rPr>
                <w:sz w:val="20"/>
                <w:szCs w:val="20"/>
                <w:lang w:eastAsia="en-US"/>
              </w:rPr>
              <w:t>k</w:t>
            </w:r>
            <w:r w:rsidR="00EB1F06">
              <w:rPr>
                <w:sz w:val="20"/>
                <w:szCs w:val="20"/>
                <w:lang w:eastAsia="en-US"/>
              </w:rPr>
              <w:t>J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F63206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7246.5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F63206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5820.9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F63206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9056.5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F63206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7658.9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78404F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6107.3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D307D2" w:rsidRPr="00356EF7" w:rsidRDefault="0078404F" w:rsidP="0020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9783.3</w:t>
            </w:r>
          </w:p>
        </w:tc>
      </w:tr>
      <w:tr w:rsidR="00D307D2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D307D2" w:rsidRPr="00356EF7" w:rsidRDefault="00D307D2" w:rsidP="00D6136B">
            <w:pPr>
              <w:rPr>
                <w:sz w:val="20"/>
                <w:szCs w:val="20"/>
                <w:lang w:eastAsia="en-US"/>
              </w:rPr>
            </w:pPr>
            <w:r w:rsidRPr="00356EF7">
              <w:rPr>
                <w:sz w:val="20"/>
                <w:szCs w:val="20"/>
                <w:lang w:eastAsia="en-US"/>
              </w:rPr>
              <w:t>Carbohydrate</w:t>
            </w:r>
            <w:r w:rsidR="007F613F">
              <w:rPr>
                <w:sz w:val="20"/>
                <w:szCs w:val="20"/>
                <w:lang w:eastAsia="en-US"/>
              </w:rPr>
              <w:t xml:space="preserve"> (</w:t>
            </w:r>
            <w:r w:rsidR="007F613F" w:rsidRPr="007F613F">
              <w:rPr>
                <w:sz w:val="20"/>
                <w:szCs w:val="20"/>
                <w:lang w:eastAsia="en-US"/>
              </w:rPr>
              <w:t>% TEI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45.2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39.6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49.5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44.7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39.5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49.3</w:t>
            </w:r>
          </w:p>
        </w:tc>
      </w:tr>
      <w:tr w:rsidR="00D307D2" w:rsidRPr="00356EF7" w:rsidTr="009D122C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D307D2" w:rsidRPr="00947939" w:rsidRDefault="007F613F" w:rsidP="00D6136B">
            <w:pPr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947939">
              <w:rPr>
                <w:i/>
                <w:iCs/>
                <w:sz w:val="20"/>
                <w:szCs w:val="20"/>
                <w:lang w:eastAsia="en-US"/>
              </w:rPr>
              <w:t>Free s</w:t>
            </w:r>
            <w:r w:rsidR="00D307D2" w:rsidRPr="00947939">
              <w:rPr>
                <w:i/>
                <w:iCs/>
                <w:sz w:val="20"/>
                <w:szCs w:val="20"/>
                <w:lang w:eastAsia="en-US"/>
              </w:rPr>
              <w:t>ugar</w:t>
            </w:r>
            <w:r w:rsidRPr="00947939">
              <w:rPr>
                <w:i/>
                <w:iCs/>
                <w:sz w:val="20"/>
                <w:szCs w:val="20"/>
                <w:lang w:eastAsia="en-US"/>
              </w:rPr>
              <w:t>s</w:t>
            </w:r>
            <w:r w:rsidR="00D307D2" w:rsidRPr="00947939">
              <w:rPr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947939">
              <w:rPr>
                <w:i/>
                <w:iCs/>
                <w:sz w:val="20"/>
                <w:szCs w:val="20"/>
                <w:lang w:eastAsia="en-US"/>
              </w:rPr>
              <w:t>% TEI</w:t>
            </w:r>
            <w:r w:rsidR="00D307D2" w:rsidRPr="00947939">
              <w:rPr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947939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947939">
              <w:rPr>
                <w:sz w:val="20"/>
                <w:szCs w:val="20"/>
                <w:lang w:eastAsia="en-US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20.8</w:t>
            </w:r>
          </w:p>
        </w:tc>
      </w:tr>
      <w:tr w:rsidR="00D307D2" w:rsidRPr="00356EF7" w:rsidTr="009D122C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</w:tcPr>
          <w:p w:rsidR="00D307D2" w:rsidRPr="00356EF7" w:rsidRDefault="00D307D2" w:rsidP="00D6136B">
            <w:pPr>
              <w:rPr>
                <w:sz w:val="20"/>
                <w:szCs w:val="20"/>
                <w:lang w:eastAsia="en-US"/>
              </w:rPr>
            </w:pPr>
            <w:r w:rsidRPr="00356EF7">
              <w:rPr>
                <w:sz w:val="20"/>
                <w:szCs w:val="20"/>
                <w:lang w:eastAsia="en-US"/>
              </w:rPr>
              <w:t xml:space="preserve">Fat </w:t>
            </w:r>
            <w:r>
              <w:rPr>
                <w:sz w:val="20"/>
                <w:szCs w:val="20"/>
                <w:lang w:eastAsia="en-US"/>
              </w:rPr>
              <w:t>(</w:t>
            </w:r>
            <w:r w:rsidR="007F613F" w:rsidRPr="007F613F">
              <w:rPr>
                <w:sz w:val="20"/>
                <w:szCs w:val="20"/>
                <w:lang w:eastAsia="en-US"/>
              </w:rPr>
              <w:t>% TEI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34.9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29.0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38.4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34.4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29.5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38.3</w:t>
            </w:r>
          </w:p>
        </w:tc>
      </w:tr>
      <w:tr w:rsidR="00D307D2" w:rsidRPr="00356EF7" w:rsidTr="009D122C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D307D2" w:rsidRPr="00356EF7" w:rsidRDefault="00D307D2" w:rsidP="00D6136B">
            <w:pPr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56EF7">
              <w:rPr>
                <w:i/>
                <w:iCs/>
                <w:sz w:val="20"/>
                <w:szCs w:val="20"/>
                <w:lang w:eastAsia="en-US"/>
              </w:rPr>
              <w:t>Saturated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847797">
              <w:rPr>
                <w:i/>
                <w:iCs/>
                <w:sz w:val="20"/>
                <w:szCs w:val="20"/>
                <w:lang w:eastAsia="en-US"/>
              </w:rPr>
              <w:t xml:space="preserve">fat </w:t>
            </w:r>
            <w:r>
              <w:rPr>
                <w:i/>
                <w:iCs/>
                <w:sz w:val="20"/>
                <w:szCs w:val="20"/>
                <w:lang w:eastAsia="en-US"/>
              </w:rPr>
              <w:t>(</w:t>
            </w:r>
            <w:r w:rsidR="007F613F" w:rsidRPr="007F613F">
              <w:rPr>
                <w:i/>
                <w:iCs/>
                <w:sz w:val="20"/>
                <w:szCs w:val="20"/>
                <w:lang w:eastAsia="en-US"/>
              </w:rPr>
              <w:t>% TEI</w:t>
            </w:r>
            <w:r>
              <w:rPr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13.9</w:t>
            </w:r>
          </w:p>
        </w:tc>
      </w:tr>
      <w:tr w:rsidR="00D307D2" w:rsidRPr="00356EF7" w:rsidTr="009D122C">
        <w:trPr>
          <w:jc w:val="center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:rsidR="00D307D2" w:rsidRPr="00356EF7" w:rsidRDefault="00D307D2" w:rsidP="00D6136B">
            <w:pPr>
              <w:rPr>
                <w:sz w:val="20"/>
                <w:szCs w:val="20"/>
                <w:lang w:eastAsia="en-US"/>
              </w:rPr>
            </w:pPr>
            <w:r w:rsidRPr="00356EF7">
              <w:rPr>
                <w:sz w:val="20"/>
                <w:szCs w:val="20"/>
                <w:lang w:eastAsia="en-US"/>
              </w:rPr>
              <w:t xml:space="preserve">Protein </w:t>
            </w:r>
            <w:r>
              <w:rPr>
                <w:sz w:val="20"/>
                <w:szCs w:val="20"/>
                <w:lang w:eastAsia="en-US"/>
              </w:rPr>
              <w:t>(</w:t>
            </w:r>
            <w:r w:rsidR="007F613F" w:rsidRPr="007F613F">
              <w:rPr>
                <w:sz w:val="20"/>
                <w:szCs w:val="20"/>
                <w:lang w:eastAsia="en-US"/>
              </w:rPr>
              <w:t>% TEI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17.4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15.0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 w:themeFill="background1"/>
          </w:tcPr>
          <w:p w:rsidR="00D307D2" w:rsidRPr="00D307D2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20.0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18.6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15.5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 w:themeFill="background1"/>
          </w:tcPr>
          <w:p w:rsidR="00D307D2" w:rsidRPr="00356EF7" w:rsidRDefault="008A3C1A" w:rsidP="002071CA">
            <w:pPr>
              <w:jc w:val="center"/>
              <w:rPr>
                <w:sz w:val="20"/>
                <w:szCs w:val="20"/>
                <w:lang w:eastAsia="en-US"/>
              </w:rPr>
            </w:pPr>
            <w:r w:rsidRPr="008A3C1A">
              <w:rPr>
                <w:sz w:val="20"/>
                <w:szCs w:val="20"/>
                <w:lang w:eastAsia="en-US"/>
              </w:rPr>
              <w:t>23.1</w:t>
            </w:r>
          </w:p>
        </w:tc>
      </w:tr>
    </w:tbl>
    <w:p w:rsidR="005A5A42" w:rsidRPr="005A5A42" w:rsidRDefault="005A5A42" w:rsidP="009D122C">
      <w:pPr>
        <w:spacing w:before="120" w:after="120"/>
        <w:ind w:left="851"/>
        <w:jc w:val="both"/>
        <w:rPr>
          <w:bCs/>
          <w:sz w:val="20"/>
          <w:szCs w:val="20"/>
        </w:rPr>
      </w:pPr>
      <w:r w:rsidRPr="005A5A42">
        <w:rPr>
          <w:bCs/>
          <w:sz w:val="20"/>
          <w:szCs w:val="20"/>
        </w:rPr>
        <w:t>Key:</w:t>
      </w:r>
      <w:r>
        <w:rPr>
          <w:bCs/>
          <w:sz w:val="20"/>
          <w:szCs w:val="20"/>
        </w:rPr>
        <w:t xml:space="preserve"> </w:t>
      </w:r>
      <w:r w:rsidRPr="005A5A42">
        <w:rPr>
          <w:bCs/>
          <w:sz w:val="20"/>
          <w:szCs w:val="20"/>
        </w:rPr>
        <w:t>* repres</w:t>
      </w:r>
      <w:r>
        <w:rPr>
          <w:bCs/>
          <w:sz w:val="20"/>
          <w:szCs w:val="20"/>
        </w:rPr>
        <w:t>ent significant (P&lt;0.05) differences between the groups</w:t>
      </w:r>
    </w:p>
    <w:p w:rsidR="00502678" w:rsidRPr="005A5A42" w:rsidRDefault="005C5695" w:rsidP="00356EF7">
      <w:pPr>
        <w:spacing w:before="120" w:after="120"/>
        <w:ind w:firstLine="284"/>
        <w:jc w:val="both"/>
        <w:rPr>
          <w:bCs/>
        </w:rPr>
      </w:pPr>
      <w:r w:rsidRPr="005A5A42">
        <w:rPr>
          <w:bCs/>
        </w:rPr>
        <w:t xml:space="preserve">In conclusion, this study showed that BMI was similar in breakfast skippers and consumers however body fat percentage was significantly higher in breakfast skippers. Blood lipid and glucose profiles showed gender variations. </w:t>
      </w:r>
      <w:r w:rsidR="005A5A42" w:rsidRPr="005A5A42">
        <w:rPr>
          <w:bCs/>
        </w:rPr>
        <w:t>T</w:t>
      </w:r>
      <w:r w:rsidRPr="005A5A42">
        <w:rPr>
          <w:bCs/>
        </w:rPr>
        <w:t>he findings</w:t>
      </w:r>
      <w:r w:rsidR="005A5A42" w:rsidRPr="005A5A42">
        <w:rPr>
          <w:bCs/>
        </w:rPr>
        <w:t xml:space="preserve"> from the present study support</w:t>
      </w:r>
      <w:r w:rsidRPr="005A5A42">
        <w:rPr>
          <w:bCs/>
        </w:rPr>
        <w:t xml:space="preserve"> previous studies </w:t>
      </w:r>
      <w:r w:rsidRPr="005A5A42">
        <w:rPr>
          <w:bCs/>
          <w:vertAlign w:val="superscript"/>
        </w:rPr>
        <w:t>(2,3)</w:t>
      </w:r>
      <w:r w:rsidRPr="005A5A42">
        <w:rPr>
          <w:bCs/>
        </w:rPr>
        <w:t xml:space="preserve"> suggesting that breakfast </w:t>
      </w:r>
      <w:proofErr w:type="gramStart"/>
      <w:r w:rsidRPr="005A5A42">
        <w:rPr>
          <w:bCs/>
        </w:rPr>
        <w:t>skipping</w:t>
      </w:r>
      <w:proofErr w:type="gramEnd"/>
      <w:r w:rsidRPr="005A5A42">
        <w:rPr>
          <w:bCs/>
        </w:rPr>
        <w:t xml:space="preserve"> </w:t>
      </w:r>
      <w:r w:rsidR="002077C3">
        <w:rPr>
          <w:bCs/>
        </w:rPr>
        <w:t xml:space="preserve">as a weight loss tool should </w:t>
      </w:r>
      <w:r w:rsidRPr="005A5A42">
        <w:rPr>
          <w:bCs/>
        </w:rPr>
        <w:t xml:space="preserve">not </w:t>
      </w:r>
      <w:r w:rsidR="002077C3">
        <w:rPr>
          <w:bCs/>
        </w:rPr>
        <w:t>be w</w:t>
      </w:r>
      <w:r w:rsidR="002077C3" w:rsidRPr="005A5A42">
        <w:rPr>
          <w:bCs/>
        </w:rPr>
        <w:t>arranted</w:t>
      </w:r>
      <w:r w:rsidR="00812919">
        <w:rPr>
          <w:bCs/>
        </w:rPr>
        <w:t>.</w:t>
      </w:r>
    </w:p>
    <w:p w:rsidR="00361DA9" w:rsidRPr="00361DA9" w:rsidRDefault="00361DA9" w:rsidP="00361DA9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 w:rsidRPr="00361DA9">
        <w:rPr>
          <w:sz w:val="20"/>
          <w:szCs w:val="20"/>
        </w:rPr>
        <w:t>Rampersaud</w:t>
      </w:r>
      <w:proofErr w:type="spellEnd"/>
      <w:r w:rsidRPr="00361DA9">
        <w:rPr>
          <w:sz w:val="20"/>
          <w:szCs w:val="20"/>
        </w:rPr>
        <w:t xml:space="preserve">, Pereira, Girard et al (2005) </w:t>
      </w:r>
      <w:r w:rsidRPr="00361DA9">
        <w:rPr>
          <w:i/>
          <w:sz w:val="20"/>
          <w:szCs w:val="20"/>
        </w:rPr>
        <w:t xml:space="preserve">J Am Diet </w:t>
      </w:r>
      <w:proofErr w:type="spellStart"/>
      <w:r w:rsidRPr="00361DA9">
        <w:rPr>
          <w:i/>
          <w:sz w:val="20"/>
          <w:szCs w:val="20"/>
        </w:rPr>
        <w:t>Assoc</w:t>
      </w:r>
      <w:proofErr w:type="spellEnd"/>
      <w:r w:rsidRPr="00361DA9">
        <w:rPr>
          <w:sz w:val="20"/>
          <w:szCs w:val="20"/>
        </w:rPr>
        <w:t xml:space="preserve"> </w:t>
      </w:r>
      <w:r w:rsidRPr="00361DA9">
        <w:rPr>
          <w:b/>
          <w:sz w:val="20"/>
          <w:szCs w:val="20"/>
        </w:rPr>
        <w:t>105</w:t>
      </w:r>
      <w:r w:rsidRPr="00361DA9">
        <w:rPr>
          <w:sz w:val="20"/>
          <w:szCs w:val="20"/>
        </w:rPr>
        <w:t>, 743-760</w:t>
      </w:r>
      <w:r>
        <w:rPr>
          <w:sz w:val="20"/>
          <w:szCs w:val="20"/>
        </w:rPr>
        <w:t>.</w:t>
      </w:r>
    </w:p>
    <w:p w:rsidR="00361DA9" w:rsidRDefault="00361DA9" w:rsidP="00361DA9">
      <w:pPr>
        <w:pStyle w:val="ListParagraph"/>
        <w:numPr>
          <w:ilvl w:val="0"/>
          <w:numId w:val="2"/>
        </w:numPr>
        <w:rPr>
          <w:rStyle w:val="Hyperlink"/>
          <w:bCs/>
          <w:color w:val="auto"/>
          <w:sz w:val="20"/>
          <w:szCs w:val="20"/>
          <w:u w:val="none"/>
        </w:rPr>
      </w:pPr>
      <w:r>
        <w:rPr>
          <w:rStyle w:val="Hyperlink"/>
          <w:bCs/>
          <w:color w:val="auto"/>
          <w:sz w:val="20"/>
          <w:szCs w:val="20"/>
          <w:u w:val="none"/>
        </w:rPr>
        <w:t xml:space="preserve">Johns, </w:t>
      </w:r>
      <w:proofErr w:type="spellStart"/>
      <w:r>
        <w:rPr>
          <w:rStyle w:val="Hyperlink"/>
          <w:bCs/>
          <w:color w:val="auto"/>
          <w:sz w:val="20"/>
          <w:szCs w:val="20"/>
          <w:u w:val="none"/>
        </w:rPr>
        <w:t>Tidswell</w:t>
      </w:r>
      <w:proofErr w:type="spellEnd"/>
      <w:r>
        <w:rPr>
          <w:rStyle w:val="Hyperlink"/>
          <w:bCs/>
          <w:color w:val="auto"/>
          <w:sz w:val="20"/>
          <w:szCs w:val="20"/>
          <w:u w:val="none"/>
        </w:rPr>
        <w:t xml:space="preserve">, </w:t>
      </w:r>
      <w:proofErr w:type="spellStart"/>
      <w:r w:rsidRPr="00361DA9">
        <w:rPr>
          <w:rStyle w:val="Hyperlink"/>
          <w:bCs/>
          <w:color w:val="auto"/>
          <w:sz w:val="20"/>
          <w:szCs w:val="20"/>
          <w:u w:val="none"/>
        </w:rPr>
        <w:t>Mcpherson</w:t>
      </w:r>
      <w:proofErr w:type="spellEnd"/>
      <w:r>
        <w:rPr>
          <w:rStyle w:val="Hyperlink"/>
          <w:bCs/>
          <w:color w:val="auto"/>
          <w:sz w:val="20"/>
          <w:szCs w:val="20"/>
          <w:u w:val="none"/>
        </w:rPr>
        <w:t xml:space="preserve"> et al (</w:t>
      </w:r>
      <w:r w:rsidRPr="00361DA9">
        <w:rPr>
          <w:rStyle w:val="Hyperlink"/>
          <w:bCs/>
          <w:color w:val="auto"/>
          <w:sz w:val="20"/>
          <w:szCs w:val="20"/>
          <w:u w:val="none"/>
        </w:rPr>
        <w:t>2009</w:t>
      </w:r>
      <w:r>
        <w:rPr>
          <w:rStyle w:val="Hyperlink"/>
          <w:bCs/>
          <w:color w:val="auto"/>
          <w:sz w:val="20"/>
          <w:szCs w:val="20"/>
          <w:u w:val="none"/>
        </w:rPr>
        <w:t xml:space="preserve">) </w:t>
      </w:r>
      <w:r w:rsidRPr="00361DA9">
        <w:rPr>
          <w:rStyle w:val="Hyperlink"/>
          <w:bCs/>
          <w:i/>
          <w:color w:val="auto"/>
          <w:sz w:val="20"/>
          <w:szCs w:val="20"/>
          <w:u w:val="none"/>
        </w:rPr>
        <w:t xml:space="preserve">J Hum </w:t>
      </w:r>
      <w:proofErr w:type="spellStart"/>
      <w:r w:rsidRPr="00361DA9">
        <w:rPr>
          <w:rStyle w:val="Hyperlink"/>
          <w:bCs/>
          <w:i/>
          <w:color w:val="auto"/>
          <w:sz w:val="20"/>
          <w:szCs w:val="20"/>
          <w:u w:val="none"/>
        </w:rPr>
        <w:t>Nutr</w:t>
      </w:r>
      <w:proofErr w:type="spellEnd"/>
      <w:r w:rsidRPr="00361DA9">
        <w:rPr>
          <w:rStyle w:val="Hyperlink"/>
          <w:bCs/>
          <w:i/>
          <w:color w:val="auto"/>
          <w:sz w:val="20"/>
          <w:szCs w:val="20"/>
          <w:u w:val="none"/>
        </w:rPr>
        <w:t xml:space="preserve"> Diet</w:t>
      </w:r>
      <w:r>
        <w:rPr>
          <w:rStyle w:val="Hyperlink"/>
          <w:bCs/>
          <w:color w:val="auto"/>
          <w:sz w:val="20"/>
          <w:szCs w:val="20"/>
          <w:u w:val="none"/>
        </w:rPr>
        <w:t xml:space="preserve"> </w:t>
      </w:r>
      <w:r w:rsidRPr="00361DA9">
        <w:rPr>
          <w:rStyle w:val="Hyperlink"/>
          <w:b/>
          <w:bCs/>
          <w:color w:val="auto"/>
          <w:sz w:val="20"/>
          <w:szCs w:val="20"/>
          <w:u w:val="none"/>
        </w:rPr>
        <w:t>22</w:t>
      </w:r>
      <w:r>
        <w:rPr>
          <w:rStyle w:val="Hyperlink"/>
          <w:bCs/>
          <w:color w:val="auto"/>
          <w:sz w:val="20"/>
          <w:szCs w:val="20"/>
          <w:u w:val="none"/>
        </w:rPr>
        <w:t xml:space="preserve">, </w:t>
      </w:r>
      <w:r w:rsidRPr="00361DA9">
        <w:rPr>
          <w:rStyle w:val="Hyperlink"/>
          <w:bCs/>
          <w:color w:val="auto"/>
          <w:sz w:val="20"/>
          <w:szCs w:val="20"/>
          <w:u w:val="none"/>
        </w:rPr>
        <w:t>256–275</w:t>
      </w:r>
      <w:r>
        <w:rPr>
          <w:rStyle w:val="Hyperlink"/>
          <w:bCs/>
          <w:color w:val="auto"/>
          <w:sz w:val="20"/>
          <w:szCs w:val="20"/>
          <w:u w:val="none"/>
        </w:rPr>
        <w:t>.</w:t>
      </w:r>
    </w:p>
    <w:p w:rsidR="00361DA9" w:rsidRPr="00361DA9" w:rsidRDefault="00361DA9" w:rsidP="00361DA9">
      <w:pPr>
        <w:pStyle w:val="ListParagraph"/>
        <w:numPr>
          <w:ilvl w:val="0"/>
          <w:numId w:val="2"/>
        </w:numPr>
        <w:rPr>
          <w:rStyle w:val="Hyperlink"/>
          <w:bCs/>
          <w:color w:val="auto"/>
          <w:sz w:val="20"/>
          <w:szCs w:val="20"/>
          <w:u w:val="none"/>
        </w:rPr>
      </w:pPr>
      <w:proofErr w:type="spellStart"/>
      <w:r>
        <w:rPr>
          <w:rStyle w:val="Hyperlink"/>
          <w:bCs/>
          <w:color w:val="auto"/>
          <w:sz w:val="20"/>
          <w:szCs w:val="20"/>
          <w:u w:val="none"/>
        </w:rPr>
        <w:t>Malinauskas</w:t>
      </w:r>
      <w:proofErr w:type="spellEnd"/>
      <w:r>
        <w:rPr>
          <w:rStyle w:val="Hyperlink"/>
          <w:bCs/>
          <w:color w:val="auto"/>
          <w:sz w:val="20"/>
          <w:szCs w:val="20"/>
          <w:u w:val="none"/>
        </w:rPr>
        <w:t xml:space="preserve">, </w:t>
      </w:r>
      <w:proofErr w:type="spellStart"/>
      <w:r>
        <w:rPr>
          <w:rStyle w:val="Hyperlink"/>
          <w:bCs/>
          <w:color w:val="auto"/>
          <w:sz w:val="20"/>
          <w:szCs w:val="20"/>
          <w:u w:val="none"/>
        </w:rPr>
        <w:t>Raedeke</w:t>
      </w:r>
      <w:proofErr w:type="spellEnd"/>
      <w:r w:rsidRPr="00361DA9">
        <w:rPr>
          <w:rStyle w:val="Hyperlink"/>
          <w:bCs/>
          <w:color w:val="auto"/>
          <w:sz w:val="20"/>
          <w:szCs w:val="20"/>
          <w:u w:val="none"/>
        </w:rPr>
        <w:t xml:space="preserve">, </w:t>
      </w:r>
      <w:proofErr w:type="spellStart"/>
      <w:r w:rsidRPr="00361DA9">
        <w:rPr>
          <w:rStyle w:val="Hyperlink"/>
          <w:bCs/>
          <w:color w:val="auto"/>
          <w:sz w:val="20"/>
          <w:szCs w:val="20"/>
          <w:u w:val="none"/>
        </w:rPr>
        <w:t>Aeby</w:t>
      </w:r>
      <w:proofErr w:type="spellEnd"/>
      <w:r w:rsidRPr="00361DA9">
        <w:rPr>
          <w:rStyle w:val="Hyperlink"/>
          <w:bCs/>
          <w:color w:val="auto"/>
          <w:sz w:val="20"/>
          <w:szCs w:val="20"/>
          <w:u w:val="none"/>
        </w:rPr>
        <w:t xml:space="preserve"> </w:t>
      </w:r>
      <w:r>
        <w:rPr>
          <w:rStyle w:val="Hyperlink"/>
          <w:bCs/>
          <w:color w:val="auto"/>
          <w:sz w:val="20"/>
          <w:szCs w:val="20"/>
          <w:u w:val="none"/>
        </w:rPr>
        <w:t xml:space="preserve">et al (2006) </w:t>
      </w:r>
      <w:proofErr w:type="spellStart"/>
      <w:r w:rsidRPr="00361DA9">
        <w:rPr>
          <w:rStyle w:val="Hyperlink"/>
          <w:bCs/>
          <w:i/>
          <w:color w:val="auto"/>
          <w:sz w:val="20"/>
          <w:szCs w:val="20"/>
          <w:u w:val="none"/>
        </w:rPr>
        <w:t>Nutr</w:t>
      </w:r>
      <w:proofErr w:type="spellEnd"/>
      <w:r w:rsidRPr="00361DA9">
        <w:rPr>
          <w:rStyle w:val="Hyperlink"/>
          <w:bCs/>
          <w:i/>
          <w:color w:val="auto"/>
          <w:sz w:val="20"/>
          <w:szCs w:val="20"/>
          <w:u w:val="none"/>
        </w:rPr>
        <w:t xml:space="preserve"> J </w:t>
      </w:r>
      <w:r w:rsidRPr="00361DA9">
        <w:rPr>
          <w:rStyle w:val="Hyperlink"/>
          <w:b/>
          <w:bCs/>
          <w:color w:val="auto"/>
          <w:sz w:val="20"/>
          <w:szCs w:val="20"/>
          <w:u w:val="none"/>
        </w:rPr>
        <w:t>5</w:t>
      </w:r>
      <w:r>
        <w:rPr>
          <w:rStyle w:val="Hyperlink"/>
          <w:bCs/>
          <w:color w:val="auto"/>
          <w:sz w:val="20"/>
          <w:szCs w:val="20"/>
          <w:u w:val="none"/>
        </w:rPr>
        <w:t xml:space="preserve">, </w:t>
      </w:r>
      <w:r w:rsidRPr="00361DA9">
        <w:rPr>
          <w:rStyle w:val="Hyperlink"/>
          <w:bCs/>
          <w:color w:val="auto"/>
          <w:sz w:val="20"/>
          <w:szCs w:val="20"/>
          <w:u w:val="none"/>
        </w:rPr>
        <w:t>11.</w:t>
      </w:r>
    </w:p>
    <w:p w:rsidR="00A579EC" w:rsidRPr="007B345F" w:rsidRDefault="00A579EC" w:rsidP="001272F2">
      <w:pPr>
        <w:pStyle w:val="ListParagraph"/>
        <w:spacing w:before="120" w:after="120"/>
        <w:ind w:left="0"/>
        <w:rPr>
          <w:bCs/>
          <w:sz w:val="20"/>
          <w:szCs w:val="20"/>
        </w:rPr>
      </w:pPr>
    </w:p>
    <w:sectPr w:rsidR="00A579EC" w:rsidRPr="007B345F" w:rsidSect="005817A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A7FB3"/>
    <w:multiLevelType w:val="hybridMultilevel"/>
    <w:tmpl w:val="A6D6D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D65B6"/>
    <w:multiLevelType w:val="hybridMultilevel"/>
    <w:tmpl w:val="6C6E4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78"/>
    <w:rsid w:val="000032C4"/>
    <w:rsid w:val="000B6541"/>
    <w:rsid w:val="000B78B2"/>
    <w:rsid w:val="000C1CEC"/>
    <w:rsid w:val="001253C1"/>
    <w:rsid w:val="001272F2"/>
    <w:rsid w:val="001A04A7"/>
    <w:rsid w:val="001B4FBB"/>
    <w:rsid w:val="002077C3"/>
    <w:rsid w:val="002103AC"/>
    <w:rsid w:val="0021057E"/>
    <w:rsid w:val="00221F48"/>
    <w:rsid w:val="002400D7"/>
    <w:rsid w:val="00285D92"/>
    <w:rsid w:val="00292846"/>
    <w:rsid w:val="002A230B"/>
    <w:rsid w:val="00306E2B"/>
    <w:rsid w:val="0031297C"/>
    <w:rsid w:val="003159C8"/>
    <w:rsid w:val="00356EF7"/>
    <w:rsid w:val="00361DA9"/>
    <w:rsid w:val="00393530"/>
    <w:rsid w:val="003B67B4"/>
    <w:rsid w:val="003C4F7E"/>
    <w:rsid w:val="00406BEE"/>
    <w:rsid w:val="00412996"/>
    <w:rsid w:val="00413F20"/>
    <w:rsid w:val="0043513F"/>
    <w:rsid w:val="004374C1"/>
    <w:rsid w:val="00454582"/>
    <w:rsid w:val="00475C11"/>
    <w:rsid w:val="004A2EC5"/>
    <w:rsid w:val="004B56DC"/>
    <w:rsid w:val="00502678"/>
    <w:rsid w:val="0051530E"/>
    <w:rsid w:val="005166C1"/>
    <w:rsid w:val="00565B4D"/>
    <w:rsid w:val="005758C6"/>
    <w:rsid w:val="005817A3"/>
    <w:rsid w:val="005A5A42"/>
    <w:rsid w:val="005B0627"/>
    <w:rsid w:val="005C5695"/>
    <w:rsid w:val="0069204F"/>
    <w:rsid w:val="00725D4D"/>
    <w:rsid w:val="0078404F"/>
    <w:rsid w:val="007B345F"/>
    <w:rsid w:val="007D2C4C"/>
    <w:rsid w:val="007D715B"/>
    <w:rsid w:val="007E7B35"/>
    <w:rsid w:val="007F613F"/>
    <w:rsid w:val="0081194D"/>
    <w:rsid w:val="00812919"/>
    <w:rsid w:val="00847797"/>
    <w:rsid w:val="00851E0E"/>
    <w:rsid w:val="00863CDA"/>
    <w:rsid w:val="008A3C1A"/>
    <w:rsid w:val="008F2B02"/>
    <w:rsid w:val="009026B0"/>
    <w:rsid w:val="009126C1"/>
    <w:rsid w:val="00947939"/>
    <w:rsid w:val="00975360"/>
    <w:rsid w:val="009865BB"/>
    <w:rsid w:val="009867E0"/>
    <w:rsid w:val="009951CA"/>
    <w:rsid w:val="009C181B"/>
    <w:rsid w:val="009C254A"/>
    <w:rsid w:val="009D122C"/>
    <w:rsid w:val="009E2B19"/>
    <w:rsid w:val="009E5CDB"/>
    <w:rsid w:val="00A06F8D"/>
    <w:rsid w:val="00A315F1"/>
    <w:rsid w:val="00A579EC"/>
    <w:rsid w:val="00A6435F"/>
    <w:rsid w:val="00A81314"/>
    <w:rsid w:val="00A975CA"/>
    <w:rsid w:val="00AD400C"/>
    <w:rsid w:val="00B4720E"/>
    <w:rsid w:val="00B511A8"/>
    <w:rsid w:val="00B522FD"/>
    <w:rsid w:val="00B71379"/>
    <w:rsid w:val="00B9762F"/>
    <w:rsid w:val="00C0681B"/>
    <w:rsid w:val="00C32059"/>
    <w:rsid w:val="00C813B5"/>
    <w:rsid w:val="00C9554E"/>
    <w:rsid w:val="00CD5B09"/>
    <w:rsid w:val="00D2514B"/>
    <w:rsid w:val="00D307D2"/>
    <w:rsid w:val="00D40415"/>
    <w:rsid w:val="00D559E1"/>
    <w:rsid w:val="00D72D99"/>
    <w:rsid w:val="00DD00DC"/>
    <w:rsid w:val="00DF21D3"/>
    <w:rsid w:val="00E14BFA"/>
    <w:rsid w:val="00E27132"/>
    <w:rsid w:val="00E73940"/>
    <w:rsid w:val="00E80F5B"/>
    <w:rsid w:val="00EA183B"/>
    <w:rsid w:val="00EB1F06"/>
    <w:rsid w:val="00EC4136"/>
    <w:rsid w:val="00EF6BCC"/>
    <w:rsid w:val="00F35795"/>
    <w:rsid w:val="00F552B9"/>
    <w:rsid w:val="00F63206"/>
    <w:rsid w:val="00F77AB7"/>
    <w:rsid w:val="00FB2120"/>
    <w:rsid w:val="00F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126C1"/>
    <w:pPr>
      <w:spacing w:before="100" w:beforeAutospacing="1" w:after="100" w:afterAutospacing="1" w:line="360" w:lineRule="auto"/>
    </w:pPr>
    <w:rPr>
      <w:b/>
      <w:bCs/>
      <w:sz w:val="22"/>
      <w:szCs w:val="20"/>
    </w:rPr>
  </w:style>
  <w:style w:type="table" w:styleId="TableGrid">
    <w:name w:val="Table Grid"/>
    <w:basedOn w:val="TableNormal"/>
    <w:uiPriority w:val="59"/>
    <w:rsid w:val="001B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9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1A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61D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126C1"/>
    <w:pPr>
      <w:spacing w:before="100" w:beforeAutospacing="1" w:after="100" w:afterAutospacing="1" w:line="360" w:lineRule="auto"/>
    </w:pPr>
    <w:rPr>
      <w:b/>
      <w:bCs/>
      <w:sz w:val="22"/>
      <w:szCs w:val="20"/>
    </w:rPr>
  </w:style>
  <w:style w:type="table" w:styleId="TableGrid">
    <w:name w:val="Table Grid"/>
    <w:basedOn w:val="TableNormal"/>
    <w:uiPriority w:val="59"/>
    <w:rsid w:val="001B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9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1A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61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TREADWELL</dc:creator>
  <cp:lastModifiedBy>Dr Farzad Amirabdollahian</cp:lastModifiedBy>
  <cp:revision>2</cp:revision>
  <dcterms:created xsi:type="dcterms:W3CDTF">2015-03-22T22:32:00Z</dcterms:created>
  <dcterms:modified xsi:type="dcterms:W3CDTF">2015-03-22T22:32:00Z</dcterms:modified>
</cp:coreProperties>
</file>